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A1FB80">
      <w:pPr>
        <w:spacing w:line="360" w:lineRule="auto"/>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sz w:val="44"/>
          <w:szCs w:val="44"/>
          <w:highlight w:val="none"/>
          <w:lang w:eastAsia="zh-CN"/>
        </w:rPr>
        <w:t>马市工业片区110kV两回路送出线路及对侧间隔扩建项目（一期）设计、施工总承包</w:t>
      </w:r>
    </w:p>
    <w:p w14:paraId="5190AF7D">
      <w:pPr>
        <w:spacing w:line="360" w:lineRule="auto"/>
        <w:rPr>
          <w:rFonts w:hint="eastAsia" w:asciiTheme="minorEastAsia" w:hAnsiTheme="minorEastAsia" w:eastAsiaTheme="minorEastAsia" w:cstheme="minorEastAsia"/>
          <w:b/>
          <w:color w:val="auto"/>
          <w:highlight w:val="none"/>
        </w:rPr>
      </w:pPr>
    </w:p>
    <w:p w14:paraId="328AFA0F">
      <w:pPr>
        <w:spacing w:line="360" w:lineRule="auto"/>
        <w:rPr>
          <w:rFonts w:hint="eastAsia" w:asciiTheme="minorEastAsia" w:hAnsiTheme="minorEastAsia" w:eastAsiaTheme="minorEastAsia" w:cstheme="minorEastAsia"/>
          <w:b/>
          <w:color w:val="auto"/>
          <w:highlight w:val="none"/>
        </w:rPr>
      </w:pPr>
    </w:p>
    <w:p w14:paraId="5409E11F">
      <w:pPr>
        <w:pStyle w:val="8"/>
        <w:rPr>
          <w:rFonts w:hint="eastAsia" w:asciiTheme="minorEastAsia" w:hAnsiTheme="minorEastAsia" w:eastAsiaTheme="minorEastAsia" w:cstheme="minorEastAsia"/>
          <w:color w:val="auto"/>
          <w:highlight w:val="none"/>
        </w:rPr>
      </w:pPr>
    </w:p>
    <w:p w14:paraId="490D3AF5">
      <w:pPr>
        <w:pStyle w:val="19"/>
        <w:rPr>
          <w:rFonts w:hint="eastAsia" w:asciiTheme="minorEastAsia" w:hAnsiTheme="minorEastAsia" w:eastAsiaTheme="minorEastAsia" w:cstheme="minorEastAsia"/>
          <w:color w:val="auto"/>
          <w:highlight w:val="none"/>
        </w:rPr>
      </w:pPr>
    </w:p>
    <w:p w14:paraId="131A3EAE">
      <w:pPr>
        <w:pStyle w:val="25"/>
        <w:spacing w:line="360" w:lineRule="auto"/>
        <w:jc w:val="center"/>
        <w:rPr>
          <w:rFonts w:hint="eastAsia" w:asciiTheme="minorEastAsia" w:hAnsiTheme="minorEastAsia" w:eastAsiaTheme="minorEastAsia" w:cstheme="minorEastAsia"/>
          <w:b/>
          <w:bCs/>
          <w:color w:val="auto"/>
          <w:spacing w:val="26"/>
          <w:sz w:val="84"/>
          <w:szCs w:val="84"/>
          <w:highlight w:val="none"/>
        </w:rPr>
      </w:pPr>
      <w:r>
        <w:rPr>
          <w:rFonts w:hint="eastAsia" w:asciiTheme="minorEastAsia" w:hAnsiTheme="minorEastAsia" w:eastAsiaTheme="minorEastAsia" w:cstheme="minorEastAsia"/>
          <w:b/>
          <w:bCs/>
          <w:color w:val="auto"/>
          <w:spacing w:val="26"/>
          <w:sz w:val="84"/>
          <w:szCs w:val="84"/>
          <w:highlight w:val="none"/>
        </w:rPr>
        <w:t>招标文件</w:t>
      </w:r>
    </w:p>
    <w:p w14:paraId="115955E9">
      <w:pPr>
        <w:spacing w:line="360" w:lineRule="auto"/>
        <w:ind w:left="240" w:leftChars="100"/>
        <w:jc w:val="center"/>
        <w:rPr>
          <w:rFonts w:hint="eastAsia" w:asciiTheme="minorEastAsia" w:hAnsiTheme="minorEastAsia" w:eastAsiaTheme="minorEastAsia" w:cstheme="minorEastAsia"/>
          <w:b/>
          <w:color w:val="auto"/>
          <w:sz w:val="32"/>
          <w:szCs w:val="32"/>
          <w:highlight w:val="none"/>
        </w:rPr>
      </w:pPr>
    </w:p>
    <w:tbl>
      <w:tblPr>
        <w:tblStyle w:val="22"/>
        <w:tblpPr w:leftFromText="180" w:rightFromText="180" w:vertAnchor="text" w:horzAnchor="page" w:tblpX="1372" w:tblpY="753"/>
        <w:tblW w:w="9799" w:type="dxa"/>
        <w:tblInd w:w="0" w:type="dxa"/>
        <w:tblLayout w:type="fixed"/>
        <w:tblCellMar>
          <w:top w:w="0" w:type="dxa"/>
          <w:left w:w="0" w:type="dxa"/>
          <w:bottom w:w="0" w:type="dxa"/>
          <w:right w:w="0" w:type="dxa"/>
        </w:tblCellMar>
      </w:tblPr>
      <w:tblGrid>
        <w:gridCol w:w="4671"/>
        <w:gridCol w:w="5128"/>
      </w:tblGrid>
      <w:tr w14:paraId="3058CD7A">
        <w:tblPrEx>
          <w:tblCellMar>
            <w:top w:w="0" w:type="dxa"/>
            <w:left w:w="0" w:type="dxa"/>
            <w:bottom w:w="0" w:type="dxa"/>
            <w:right w:w="0" w:type="dxa"/>
          </w:tblCellMar>
        </w:tblPrEx>
        <w:trPr>
          <w:trHeight w:val="935" w:hRule="atLeast"/>
        </w:trPr>
        <w:tc>
          <w:tcPr>
            <w:tcW w:w="4671" w:type="dxa"/>
            <w:noWrap/>
            <w:vAlign w:val="center"/>
          </w:tcPr>
          <w:p w14:paraId="31D9FE58">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   标   人（盖单位章）：</w:t>
            </w:r>
          </w:p>
        </w:tc>
        <w:tc>
          <w:tcPr>
            <w:tcW w:w="5128" w:type="dxa"/>
            <w:noWrap/>
            <w:vAlign w:val="center"/>
          </w:tcPr>
          <w:p w14:paraId="74F95DA6">
            <w:pPr>
              <w:pStyle w:val="26"/>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color w:val="auto"/>
                <w:sz w:val="28"/>
                <w:szCs w:val="28"/>
                <w:highlight w:val="none"/>
                <w:lang w:eastAsia="zh-CN"/>
              </w:rPr>
              <w:t>广东始兴工业园区管理委员会</w:t>
            </w:r>
          </w:p>
        </w:tc>
      </w:tr>
      <w:tr w14:paraId="54896F0D">
        <w:tblPrEx>
          <w:tblCellMar>
            <w:top w:w="0" w:type="dxa"/>
            <w:left w:w="0" w:type="dxa"/>
            <w:bottom w:w="0" w:type="dxa"/>
            <w:right w:w="0" w:type="dxa"/>
          </w:tblCellMar>
        </w:tblPrEx>
        <w:trPr>
          <w:trHeight w:val="1059" w:hRule="atLeast"/>
        </w:trPr>
        <w:tc>
          <w:tcPr>
            <w:tcW w:w="4671" w:type="dxa"/>
            <w:noWrap/>
            <w:vAlign w:val="center"/>
          </w:tcPr>
          <w:p w14:paraId="6595D235">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招标人工作领导小组负责人（签字）：</w:t>
            </w:r>
          </w:p>
        </w:tc>
        <w:tc>
          <w:tcPr>
            <w:tcW w:w="5128" w:type="dxa"/>
            <w:noWrap/>
            <w:vAlign w:val="center"/>
          </w:tcPr>
          <w:p w14:paraId="2A044BCC">
            <w:pPr>
              <w:pStyle w:val="26"/>
              <w:rPr>
                <w:rFonts w:hint="eastAsia" w:asciiTheme="minorEastAsia" w:hAnsiTheme="minorEastAsia" w:eastAsiaTheme="minorEastAsia" w:cstheme="minorEastAsia"/>
                <w:color w:val="auto"/>
                <w:sz w:val="28"/>
                <w:szCs w:val="28"/>
                <w:highlight w:val="none"/>
              </w:rPr>
            </w:pPr>
          </w:p>
        </w:tc>
      </w:tr>
      <w:tr w14:paraId="06732724">
        <w:tblPrEx>
          <w:tblCellMar>
            <w:top w:w="0" w:type="dxa"/>
            <w:left w:w="0" w:type="dxa"/>
            <w:bottom w:w="0" w:type="dxa"/>
            <w:right w:w="0" w:type="dxa"/>
          </w:tblCellMar>
        </w:tblPrEx>
        <w:trPr>
          <w:trHeight w:val="1031" w:hRule="atLeast"/>
        </w:trPr>
        <w:tc>
          <w:tcPr>
            <w:tcW w:w="4671" w:type="dxa"/>
            <w:noWrap/>
            <w:vAlign w:val="center"/>
          </w:tcPr>
          <w:p w14:paraId="194D4C39">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 标 代 理 机 构 （盖章）：</w:t>
            </w:r>
          </w:p>
        </w:tc>
        <w:tc>
          <w:tcPr>
            <w:tcW w:w="5128" w:type="dxa"/>
            <w:noWrap/>
            <w:vAlign w:val="center"/>
          </w:tcPr>
          <w:p w14:paraId="1F91A354">
            <w:pPr>
              <w:pStyle w:val="26"/>
              <w:rPr>
                <w:rFonts w:hint="eastAsia" w:asciiTheme="minorEastAsia" w:hAnsiTheme="minorEastAsia" w:eastAsiaTheme="minorEastAsia" w:cstheme="minorEastAsia"/>
                <w:color w:val="auto"/>
                <w:sz w:val="28"/>
                <w:szCs w:val="28"/>
                <w:highlight w:val="none"/>
                <w:lang w:eastAsia="zh-CN"/>
              </w:rPr>
            </w:pPr>
            <w:r>
              <w:rPr>
                <w:rFonts w:hint="eastAsia" w:asciiTheme="minorEastAsia" w:hAnsiTheme="minorEastAsia" w:eastAsiaTheme="minorEastAsia" w:cstheme="minorEastAsia"/>
                <w:snapToGrid w:val="0"/>
                <w:color w:val="auto"/>
                <w:kern w:val="0"/>
                <w:sz w:val="28"/>
                <w:szCs w:val="28"/>
                <w:highlight w:val="none"/>
                <w:lang w:eastAsia="zh-CN"/>
              </w:rPr>
              <w:t>亿诚建设项目管理有限公司</w:t>
            </w:r>
          </w:p>
        </w:tc>
      </w:tr>
      <w:tr w14:paraId="39BBDF2E">
        <w:tblPrEx>
          <w:tblCellMar>
            <w:top w:w="0" w:type="dxa"/>
            <w:left w:w="0" w:type="dxa"/>
            <w:bottom w:w="0" w:type="dxa"/>
            <w:right w:w="0" w:type="dxa"/>
          </w:tblCellMar>
        </w:tblPrEx>
        <w:trPr>
          <w:trHeight w:val="809" w:hRule="atLeast"/>
        </w:trPr>
        <w:tc>
          <w:tcPr>
            <w:tcW w:w="4671" w:type="dxa"/>
            <w:noWrap/>
            <w:vAlign w:val="center"/>
          </w:tcPr>
          <w:p w14:paraId="162F87BB">
            <w:pPr>
              <w:pStyle w:val="26"/>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招标文件编制人（签字）：</w:t>
            </w:r>
          </w:p>
        </w:tc>
        <w:tc>
          <w:tcPr>
            <w:tcW w:w="5128" w:type="dxa"/>
            <w:noWrap/>
            <w:vAlign w:val="center"/>
          </w:tcPr>
          <w:p w14:paraId="074AB80A">
            <w:pPr>
              <w:pStyle w:val="26"/>
              <w:rPr>
                <w:rFonts w:hint="eastAsia" w:asciiTheme="minorEastAsia" w:hAnsiTheme="minorEastAsia" w:eastAsiaTheme="minorEastAsia" w:cstheme="minorEastAsia"/>
                <w:color w:val="auto"/>
                <w:sz w:val="28"/>
                <w:szCs w:val="28"/>
                <w:highlight w:val="none"/>
              </w:rPr>
            </w:pPr>
          </w:p>
        </w:tc>
      </w:tr>
      <w:tr w14:paraId="6944CCC4">
        <w:tblPrEx>
          <w:tblCellMar>
            <w:top w:w="0" w:type="dxa"/>
            <w:left w:w="0" w:type="dxa"/>
            <w:bottom w:w="0" w:type="dxa"/>
            <w:right w:w="0" w:type="dxa"/>
          </w:tblCellMar>
        </w:tblPrEx>
        <w:trPr>
          <w:trHeight w:val="863" w:hRule="atLeast"/>
        </w:trPr>
        <w:tc>
          <w:tcPr>
            <w:tcW w:w="4671" w:type="dxa"/>
            <w:noWrap/>
            <w:vAlign w:val="center"/>
          </w:tcPr>
          <w:p w14:paraId="705F0753">
            <w:pPr>
              <w:pStyle w:val="26"/>
              <w:wordWrap w:val="0"/>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招标代理机构项目负责人（签字）：</w:t>
            </w:r>
          </w:p>
        </w:tc>
        <w:tc>
          <w:tcPr>
            <w:tcW w:w="5128" w:type="dxa"/>
            <w:noWrap/>
            <w:vAlign w:val="center"/>
          </w:tcPr>
          <w:p w14:paraId="64E98549">
            <w:pPr>
              <w:pStyle w:val="26"/>
              <w:rPr>
                <w:rFonts w:hint="eastAsia" w:asciiTheme="minorEastAsia" w:hAnsiTheme="minorEastAsia" w:eastAsiaTheme="minorEastAsia" w:cstheme="minorEastAsia"/>
                <w:color w:val="auto"/>
                <w:sz w:val="28"/>
                <w:szCs w:val="28"/>
                <w:highlight w:val="none"/>
              </w:rPr>
            </w:pPr>
          </w:p>
        </w:tc>
      </w:tr>
      <w:tr w14:paraId="5B782692">
        <w:tblPrEx>
          <w:tblCellMar>
            <w:top w:w="0" w:type="dxa"/>
            <w:left w:w="0" w:type="dxa"/>
            <w:bottom w:w="0" w:type="dxa"/>
            <w:right w:w="0" w:type="dxa"/>
          </w:tblCellMar>
        </w:tblPrEx>
        <w:trPr>
          <w:trHeight w:val="1047" w:hRule="atLeast"/>
        </w:trPr>
        <w:tc>
          <w:tcPr>
            <w:tcW w:w="4671" w:type="dxa"/>
            <w:noWrap/>
            <w:vAlign w:val="center"/>
          </w:tcPr>
          <w:p w14:paraId="5CB00A7D">
            <w:pPr>
              <w:pStyle w:val="26"/>
              <w:wordWrap w:val="0"/>
              <w:jc w:val="distribute"/>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招标文件编制日期：</w:t>
            </w:r>
          </w:p>
        </w:tc>
        <w:tc>
          <w:tcPr>
            <w:tcW w:w="5128" w:type="dxa"/>
            <w:noWrap/>
            <w:vAlign w:val="center"/>
          </w:tcPr>
          <w:p w14:paraId="5B6F6A24">
            <w:pPr>
              <w:pStyle w:val="26"/>
              <w:rPr>
                <w:rFonts w:hint="eastAsia" w:asciiTheme="minorEastAsia" w:hAnsiTheme="minorEastAsia" w:eastAsiaTheme="minorEastAsia" w:cstheme="minorEastAsia"/>
                <w:color w:val="auto"/>
                <w:sz w:val="28"/>
                <w:highlight w:val="none"/>
              </w:rPr>
            </w:pPr>
            <w:r>
              <w:rPr>
                <w:rFonts w:hint="eastAsia" w:asciiTheme="minorEastAsia" w:hAnsiTheme="minorEastAsia" w:eastAsiaTheme="minorEastAsia" w:cstheme="minorEastAsia"/>
                <w:color w:val="auto"/>
                <w:sz w:val="28"/>
                <w:highlight w:val="none"/>
              </w:rPr>
              <w:t>202</w:t>
            </w:r>
            <w:r>
              <w:rPr>
                <w:rFonts w:hint="eastAsia" w:asciiTheme="minorEastAsia" w:hAnsiTheme="minorEastAsia" w:eastAsiaTheme="minorEastAsia" w:cstheme="minorEastAsia"/>
                <w:color w:val="auto"/>
                <w:sz w:val="28"/>
                <w:highlight w:val="none"/>
                <w:lang w:val="en-US" w:eastAsia="zh-CN"/>
              </w:rPr>
              <w:t>5</w:t>
            </w:r>
            <w:r>
              <w:rPr>
                <w:rFonts w:hint="eastAsia" w:asciiTheme="minorEastAsia" w:hAnsiTheme="minorEastAsia" w:eastAsiaTheme="minorEastAsia" w:cstheme="minorEastAsia"/>
                <w:color w:val="auto"/>
                <w:sz w:val="28"/>
                <w:highlight w:val="none"/>
              </w:rPr>
              <w:t>年</w:t>
            </w:r>
            <w:r>
              <w:rPr>
                <w:rFonts w:hint="eastAsia" w:asciiTheme="minorEastAsia" w:hAnsiTheme="minorEastAsia" w:eastAsiaTheme="minorEastAsia" w:cstheme="minorEastAsia"/>
                <w:color w:val="auto"/>
                <w:sz w:val="28"/>
                <w:highlight w:val="none"/>
                <w:lang w:val="en-US" w:eastAsia="zh-CN"/>
              </w:rPr>
              <w:t>11</w:t>
            </w:r>
            <w:r>
              <w:rPr>
                <w:rFonts w:hint="eastAsia" w:asciiTheme="minorEastAsia" w:hAnsiTheme="minorEastAsia" w:eastAsiaTheme="minorEastAsia" w:cstheme="minorEastAsia"/>
                <w:color w:val="auto"/>
                <w:sz w:val="28"/>
                <w:highlight w:val="none"/>
              </w:rPr>
              <w:t>月</w:t>
            </w:r>
          </w:p>
        </w:tc>
      </w:tr>
    </w:tbl>
    <w:p w14:paraId="0F4F23A0">
      <w:pPr>
        <w:pStyle w:val="5"/>
        <w:rPr>
          <w:rFonts w:hint="eastAsia" w:asciiTheme="minorEastAsia" w:hAnsiTheme="minorEastAsia" w:eastAsiaTheme="minorEastAsia" w:cstheme="minorEastAsia"/>
          <w:color w:val="auto"/>
          <w:highlight w:val="none"/>
        </w:rPr>
      </w:pPr>
    </w:p>
    <w:p w14:paraId="100EC8AD">
      <w:pPr>
        <w:rPr>
          <w:rFonts w:hint="eastAsia" w:asciiTheme="minorEastAsia" w:hAnsiTheme="minorEastAsia" w:eastAsiaTheme="minorEastAsia" w:cstheme="minorEastAsia"/>
          <w:color w:val="auto"/>
          <w:highlight w:val="none"/>
        </w:rPr>
      </w:pPr>
    </w:p>
    <w:p w14:paraId="3A56A2B5">
      <w:pPr>
        <w:pStyle w:val="8"/>
        <w:rPr>
          <w:rFonts w:hint="eastAsia" w:asciiTheme="minorEastAsia" w:hAnsiTheme="minorEastAsia" w:eastAsiaTheme="minorEastAsia" w:cstheme="minorEastAsia"/>
          <w:color w:val="auto"/>
          <w:highlight w:val="none"/>
        </w:rPr>
      </w:pPr>
    </w:p>
    <w:p w14:paraId="444693AE">
      <w:pPr>
        <w:pStyle w:val="27"/>
        <w:tabs>
          <w:tab w:val="left" w:pos="4935"/>
        </w:tabs>
        <w:jc w:val="center"/>
        <w:rPr>
          <w:rFonts w:hint="eastAsia" w:asciiTheme="minorEastAsia" w:hAnsiTheme="minorEastAsia" w:eastAsiaTheme="minorEastAsia" w:cstheme="minorEastAsia"/>
          <w:b/>
          <w:color w:val="auto"/>
          <w:sz w:val="28"/>
          <w:szCs w:val="28"/>
          <w:highlight w:val="none"/>
        </w:rPr>
        <w:sectPr>
          <w:footerReference r:id="rId3" w:type="default"/>
          <w:endnotePr>
            <w:numFmt w:val="decimal"/>
          </w:endnotePr>
          <w:pgSz w:w="11906" w:h="16838"/>
          <w:pgMar w:top="1440" w:right="1463" w:bottom="1440" w:left="1463" w:header="851" w:footer="992" w:gutter="0"/>
          <w:pgNumType w:fmt="decimalFullWidth" w:start="1"/>
          <w:cols w:space="720" w:num="1"/>
          <w:docGrid w:type="lines" w:linePitch="312" w:charSpace="0"/>
        </w:sectPr>
      </w:pPr>
    </w:p>
    <w:p w14:paraId="0555B37B">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3AD81604">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09CD5F7">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567784EB">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7DB7CDA">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2C0AC515">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55FE448">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11DD5D84">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F7C1130">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2AF6094">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7AADD9C0">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650030D">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5DD56BD8">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690C5426">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8494860">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1E516CC3">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2873A93F">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5CFB3D34">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03607C9D">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5C839545">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1DE71151">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75C8859C">
      <w:pPr>
        <w:pStyle w:val="27"/>
        <w:tabs>
          <w:tab w:val="left" w:pos="4935"/>
        </w:tabs>
        <w:jc w:val="center"/>
        <w:rPr>
          <w:rFonts w:hint="eastAsia" w:asciiTheme="minorEastAsia" w:hAnsiTheme="minorEastAsia" w:eastAsiaTheme="minorEastAsia" w:cstheme="minorEastAsia"/>
          <w:b/>
          <w:color w:val="auto"/>
          <w:sz w:val="28"/>
          <w:szCs w:val="28"/>
          <w:highlight w:val="none"/>
        </w:rPr>
      </w:pPr>
    </w:p>
    <w:p w14:paraId="62F75731">
      <w:pPr>
        <w:pStyle w:val="27"/>
        <w:tabs>
          <w:tab w:val="left" w:pos="4935"/>
        </w:tabs>
        <w:jc w:val="center"/>
        <w:rPr>
          <w:rFonts w:hint="eastAsia" w:asciiTheme="minorEastAsia" w:hAnsiTheme="minorEastAsia" w:eastAsiaTheme="minorEastAsia" w:cstheme="minorEastAsia"/>
          <w:b/>
          <w:color w:val="auto"/>
          <w:sz w:val="28"/>
          <w:szCs w:val="28"/>
          <w:highlight w:val="none"/>
        </w:rPr>
        <w:sectPr>
          <w:footerReference r:id="rId4" w:type="default"/>
          <w:endnotePr>
            <w:numFmt w:val="decimal"/>
          </w:endnotePr>
          <w:pgSz w:w="11906" w:h="16838"/>
          <w:pgMar w:top="1440" w:right="1800" w:bottom="1440" w:left="1800" w:header="851" w:footer="992" w:gutter="0"/>
          <w:pgNumType w:fmt="decimalFullWidth" w:start="1"/>
          <w:cols w:space="720" w:num="1"/>
          <w:docGrid w:type="lines" w:linePitch="312" w:charSpace="0"/>
        </w:sectPr>
      </w:pPr>
    </w:p>
    <w:p w14:paraId="63D6DFDF">
      <w:pPr>
        <w:pStyle w:val="27"/>
        <w:tabs>
          <w:tab w:val="left" w:pos="4935"/>
        </w:tabs>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目    录</w:t>
      </w:r>
    </w:p>
    <w:p w14:paraId="03E90139">
      <w:pPr>
        <w:pStyle w:val="16"/>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TOC \o "1-4" \h \z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_Toc18285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第一章投标须知</w:t>
      </w:r>
      <w:r>
        <w:rPr>
          <w:color w:val="auto"/>
          <w:highlight w:val="none"/>
        </w:rPr>
        <w:tab/>
      </w:r>
      <w:r>
        <w:rPr>
          <w:color w:val="auto"/>
          <w:highlight w:val="none"/>
        </w:rPr>
        <w:fldChar w:fldCharType="begin"/>
      </w:r>
      <w:r>
        <w:rPr>
          <w:color w:val="auto"/>
          <w:highlight w:val="none"/>
        </w:rPr>
        <w:instrText xml:space="preserve"> PAGEREF _Toc18285 \h </w:instrText>
      </w:r>
      <w:r>
        <w:rPr>
          <w:color w:val="auto"/>
          <w:highlight w:val="none"/>
        </w:rPr>
        <w:fldChar w:fldCharType="separate"/>
      </w:r>
      <w:r>
        <w:rPr>
          <w:color w:val="auto"/>
          <w:highlight w:val="none"/>
        </w:rPr>
        <w:t>1</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5662A5EB">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_Toc23035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第一节.投标须知前附表</w:t>
      </w:r>
      <w:r>
        <w:rPr>
          <w:color w:val="auto"/>
          <w:highlight w:val="none"/>
        </w:rPr>
        <w:tab/>
      </w:r>
      <w:r>
        <w:rPr>
          <w:color w:val="auto"/>
          <w:highlight w:val="none"/>
        </w:rPr>
        <w:fldChar w:fldCharType="begin"/>
      </w:r>
      <w:r>
        <w:rPr>
          <w:color w:val="auto"/>
          <w:highlight w:val="none"/>
        </w:rPr>
        <w:instrText xml:space="preserve"> PAGEREF _Toc23035 \h </w:instrText>
      </w:r>
      <w:r>
        <w:rPr>
          <w:color w:val="auto"/>
          <w:highlight w:val="none"/>
        </w:rPr>
        <w:fldChar w:fldCharType="separate"/>
      </w:r>
      <w:r>
        <w:rPr>
          <w:color w:val="auto"/>
          <w:highlight w:val="none"/>
        </w:rPr>
        <w:t>1</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7C16C7D">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_Toc12063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szCs w:val="24"/>
          <w:highlight w:val="none"/>
        </w:rPr>
        <w:t>第二节.重要事项时间地点一览表.</w:t>
      </w:r>
      <w:r>
        <w:rPr>
          <w:color w:val="auto"/>
          <w:highlight w:val="none"/>
        </w:rPr>
        <w:tab/>
      </w:r>
      <w:r>
        <w:rPr>
          <w:color w:val="auto"/>
          <w:highlight w:val="none"/>
        </w:rPr>
        <w:fldChar w:fldCharType="begin"/>
      </w:r>
      <w:r>
        <w:rPr>
          <w:color w:val="auto"/>
          <w:highlight w:val="none"/>
        </w:rPr>
        <w:instrText xml:space="preserve"> PAGEREF _Toc12063 \h </w:instrText>
      </w:r>
      <w:r>
        <w:rPr>
          <w:color w:val="auto"/>
          <w:highlight w:val="none"/>
        </w:rPr>
        <w:fldChar w:fldCharType="separate"/>
      </w:r>
      <w:r>
        <w:rPr>
          <w:color w:val="auto"/>
          <w:highlight w:val="none"/>
        </w:rPr>
        <w:t>8</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D155CA0">
      <w:pPr>
        <w:pStyle w:val="16"/>
        <w:tabs>
          <w:tab w:val="right" w:leader="dot" w:pos="8306"/>
        </w:tabs>
        <w:ind w:firstLine="480" w:firstLineChars="200"/>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_Toc30776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36"/>
          <w:highlight w:val="none"/>
        </w:rPr>
        <w:t>第</w:t>
      </w:r>
      <w:r>
        <w:rPr>
          <w:rFonts w:hint="eastAsia" w:asciiTheme="minorEastAsia" w:hAnsiTheme="minorEastAsia" w:eastAsiaTheme="minorEastAsia" w:cstheme="minorEastAsia"/>
          <w:color w:val="auto"/>
          <w:kern w:val="44"/>
          <w:szCs w:val="36"/>
          <w:highlight w:val="none"/>
        </w:rPr>
        <w:t>三节 投标须知正文</w:t>
      </w:r>
      <w:r>
        <w:rPr>
          <w:color w:val="auto"/>
          <w:highlight w:val="none"/>
        </w:rPr>
        <w:tab/>
      </w:r>
      <w:r>
        <w:rPr>
          <w:color w:val="auto"/>
          <w:highlight w:val="none"/>
        </w:rPr>
        <w:fldChar w:fldCharType="begin"/>
      </w:r>
      <w:r>
        <w:rPr>
          <w:color w:val="auto"/>
          <w:highlight w:val="none"/>
        </w:rPr>
        <w:instrText xml:space="preserve"> PAGEREF _Toc30776 \h </w:instrText>
      </w:r>
      <w:r>
        <w:rPr>
          <w:color w:val="auto"/>
          <w:highlight w:val="none"/>
        </w:rPr>
        <w:fldChar w:fldCharType="separate"/>
      </w:r>
      <w:r>
        <w:rPr>
          <w:color w:val="auto"/>
          <w:highlight w:val="none"/>
        </w:rPr>
        <w:t>9</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11AFD8F">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_Toc13971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1、 工程概况综合说明</w:t>
      </w:r>
      <w:r>
        <w:rPr>
          <w:color w:val="auto"/>
          <w:highlight w:val="none"/>
        </w:rPr>
        <w:tab/>
      </w:r>
      <w:r>
        <w:rPr>
          <w:color w:val="auto"/>
          <w:highlight w:val="none"/>
        </w:rPr>
        <w:fldChar w:fldCharType="begin"/>
      </w:r>
      <w:r>
        <w:rPr>
          <w:color w:val="auto"/>
          <w:highlight w:val="none"/>
        </w:rPr>
        <w:instrText xml:space="preserve"> PAGEREF _Toc13971 \h </w:instrText>
      </w:r>
      <w:r>
        <w:rPr>
          <w:color w:val="auto"/>
          <w:highlight w:val="none"/>
        </w:rPr>
        <w:fldChar w:fldCharType="separate"/>
      </w:r>
      <w:r>
        <w:rPr>
          <w:color w:val="auto"/>
          <w:highlight w:val="none"/>
        </w:rPr>
        <w:t>9</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0FC6DC80">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_Toc5372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2 、招标范围</w:t>
      </w:r>
      <w:r>
        <w:rPr>
          <w:color w:val="auto"/>
          <w:highlight w:val="none"/>
        </w:rPr>
        <w:tab/>
      </w:r>
      <w:r>
        <w:rPr>
          <w:color w:val="auto"/>
          <w:highlight w:val="none"/>
        </w:rPr>
        <w:fldChar w:fldCharType="begin"/>
      </w:r>
      <w:r>
        <w:rPr>
          <w:color w:val="auto"/>
          <w:highlight w:val="none"/>
        </w:rPr>
        <w:instrText xml:space="preserve"> PAGEREF _Toc5372 \h </w:instrText>
      </w:r>
      <w:r>
        <w:rPr>
          <w:color w:val="auto"/>
          <w:highlight w:val="none"/>
        </w:rPr>
        <w:fldChar w:fldCharType="separate"/>
      </w:r>
      <w:r>
        <w:rPr>
          <w:rFonts w:hint="eastAsia"/>
          <w:color w:val="auto"/>
          <w:highlight w:val="none"/>
          <w:lang w:val="en-US" w:eastAsia="zh-CN"/>
        </w:rPr>
        <w:t>9</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F40AEFC">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_Toc14847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3、工期</w:t>
      </w:r>
      <w:r>
        <w:rPr>
          <w:color w:val="auto"/>
          <w:highlight w:val="none"/>
        </w:rPr>
        <w:tab/>
      </w:r>
      <w:r>
        <w:rPr>
          <w:color w:val="auto"/>
          <w:highlight w:val="none"/>
        </w:rPr>
        <w:fldChar w:fldCharType="begin"/>
      </w:r>
      <w:r>
        <w:rPr>
          <w:color w:val="auto"/>
          <w:highlight w:val="none"/>
        </w:rPr>
        <w:instrText xml:space="preserve"> PAGEREF _Toc14847 \h </w:instrText>
      </w:r>
      <w:r>
        <w:rPr>
          <w:color w:val="auto"/>
          <w:highlight w:val="none"/>
        </w:rPr>
        <w:fldChar w:fldCharType="separate"/>
      </w:r>
      <w:r>
        <w:rPr>
          <w:color w:val="auto"/>
          <w:highlight w:val="none"/>
        </w:rPr>
        <w:t>10</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73B271D4">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_Toc9262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4 、投标人资质及条件要求</w:t>
      </w:r>
      <w:r>
        <w:rPr>
          <w:color w:val="auto"/>
          <w:highlight w:val="none"/>
        </w:rPr>
        <w:tab/>
      </w:r>
      <w:r>
        <w:rPr>
          <w:color w:val="auto"/>
          <w:highlight w:val="none"/>
        </w:rPr>
        <w:fldChar w:fldCharType="begin"/>
      </w:r>
      <w:r>
        <w:rPr>
          <w:color w:val="auto"/>
          <w:highlight w:val="none"/>
        </w:rPr>
        <w:instrText xml:space="preserve"> PAGEREF _Toc9262 \h </w:instrText>
      </w:r>
      <w:r>
        <w:rPr>
          <w:color w:val="auto"/>
          <w:highlight w:val="none"/>
        </w:rPr>
        <w:fldChar w:fldCharType="separate"/>
      </w:r>
      <w:r>
        <w:rPr>
          <w:color w:val="auto"/>
          <w:highlight w:val="none"/>
        </w:rPr>
        <w:t>10</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3AA6BD08">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_Toc19499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5 、工程招标内容及要求</w:t>
      </w:r>
      <w:r>
        <w:rPr>
          <w:color w:val="auto"/>
          <w:highlight w:val="none"/>
        </w:rPr>
        <w:tab/>
      </w:r>
      <w:r>
        <w:rPr>
          <w:color w:val="auto"/>
          <w:highlight w:val="none"/>
        </w:rPr>
        <w:fldChar w:fldCharType="begin"/>
      </w:r>
      <w:r>
        <w:rPr>
          <w:color w:val="auto"/>
          <w:highlight w:val="none"/>
        </w:rPr>
        <w:instrText xml:space="preserve"> PAGEREF _Toc19499 \h </w:instrText>
      </w:r>
      <w:r>
        <w:rPr>
          <w:color w:val="auto"/>
          <w:highlight w:val="none"/>
        </w:rPr>
        <w:fldChar w:fldCharType="separate"/>
      </w:r>
      <w:r>
        <w:rPr>
          <w:color w:val="auto"/>
          <w:highlight w:val="none"/>
        </w:rPr>
        <w:t>13</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39DD9B7">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_Toc2562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6 、招标工程施工条件及现场踏勘</w:t>
      </w:r>
      <w:r>
        <w:rPr>
          <w:color w:val="auto"/>
          <w:highlight w:val="none"/>
        </w:rPr>
        <w:tab/>
      </w:r>
      <w:r>
        <w:rPr>
          <w:color w:val="auto"/>
          <w:highlight w:val="none"/>
        </w:rPr>
        <w:fldChar w:fldCharType="begin"/>
      </w:r>
      <w:r>
        <w:rPr>
          <w:color w:val="auto"/>
          <w:highlight w:val="none"/>
        </w:rPr>
        <w:instrText xml:space="preserve"> PAGEREF _Toc2562 \h </w:instrText>
      </w:r>
      <w:r>
        <w:rPr>
          <w:color w:val="auto"/>
          <w:highlight w:val="none"/>
        </w:rPr>
        <w:fldChar w:fldCharType="separate"/>
      </w:r>
      <w:r>
        <w:rPr>
          <w:color w:val="auto"/>
          <w:highlight w:val="none"/>
        </w:rPr>
        <w:t>15</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CAD0409">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_Toc12999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7 、其他招标说明</w:t>
      </w:r>
      <w:r>
        <w:rPr>
          <w:color w:val="auto"/>
          <w:highlight w:val="none"/>
        </w:rPr>
        <w:tab/>
      </w:r>
      <w:r>
        <w:rPr>
          <w:color w:val="auto"/>
          <w:highlight w:val="none"/>
        </w:rPr>
        <w:fldChar w:fldCharType="begin"/>
      </w:r>
      <w:r>
        <w:rPr>
          <w:color w:val="auto"/>
          <w:highlight w:val="none"/>
        </w:rPr>
        <w:instrText xml:space="preserve"> PAGEREF _Toc12999 \h </w:instrText>
      </w:r>
      <w:r>
        <w:rPr>
          <w:color w:val="auto"/>
          <w:highlight w:val="none"/>
        </w:rPr>
        <w:fldChar w:fldCharType="separate"/>
      </w:r>
      <w:r>
        <w:rPr>
          <w:color w:val="auto"/>
          <w:highlight w:val="none"/>
        </w:rPr>
        <w:t>16</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7F5A1916">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_Toc18063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snapToGrid w:val="0"/>
          <w:color w:val="auto"/>
          <w:szCs w:val="24"/>
          <w:highlight w:val="none"/>
        </w:rPr>
        <w:t>7.1．</w:t>
      </w:r>
      <w:r>
        <w:rPr>
          <w:rFonts w:hint="eastAsia" w:asciiTheme="minorEastAsia" w:hAnsiTheme="minorEastAsia" w:eastAsiaTheme="minorEastAsia" w:cstheme="minorEastAsia"/>
          <w:color w:val="auto"/>
          <w:szCs w:val="24"/>
          <w:highlight w:val="none"/>
          <w:shd w:val="clear" w:color="auto" w:fill="FFFFFF"/>
        </w:rPr>
        <w:t>获取招标文件</w:t>
      </w:r>
      <w:r>
        <w:rPr>
          <w:color w:val="auto"/>
          <w:highlight w:val="none"/>
        </w:rPr>
        <w:tab/>
      </w:r>
      <w:r>
        <w:rPr>
          <w:color w:val="auto"/>
          <w:highlight w:val="none"/>
        </w:rPr>
        <w:fldChar w:fldCharType="begin"/>
      </w:r>
      <w:r>
        <w:rPr>
          <w:color w:val="auto"/>
          <w:highlight w:val="none"/>
        </w:rPr>
        <w:instrText xml:space="preserve"> PAGEREF _Toc18063 \h </w:instrText>
      </w:r>
      <w:r>
        <w:rPr>
          <w:color w:val="auto"/>
          <w:highlight w:val="none"/>
        </w:rPr>
        <w:fldChar w:fldCharType="separate"/>
      </w:r>
      <w:r>
        <w:rPr>
          <w:color w:val="auto"/>
          <w:highlight w:val="none"/>
        </w:rPr>
        <w:t>16</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C1F5438">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_Toc545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8 、招标答疑</w:t>
      </w:r>
      <w:r>
        <w:rPr>
          <w:color w:val="auto"/>
          <w:highlight w:val="none"/>
        </w:rPr>
        <w:tab/>
      </w:r>
      <w:r>
        <w:rPr>
          <w:color w:val="auto"/>
          <w:highlight w:val="none"/>
        </w:rPr>
        <w:fldChar w:fldCharType="begin"/>
      </w:r>
      <w:r>
        <w:rPr>
          <w:color w:val="auto"/>
          <w:highlight w:val="none"/>
        </w:rPr>
        <w:instrText xml:space="preserve"> PAGEREF _Toc545 \h </w:instrText>
      </w:r>
      <w:r>
        <w:rPr>
          <w:color w:val="auto"/>
          <w:highlight w:val="none"/>
        </w:rPr>
        <w:fldChar w:fldCharType="separate"/>
      </w:r>
      <w:r>
        <w:rPr>
          <w:color w:val="auto"/>
          <w:highlight w:val="none"/>
        </w:rPr>
        <w:t>17</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348E247">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_Toc18198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9 、投标报价的编制</w:t>
      </w:r>
      <w:r>
        <w:rPr>
          <w:color w:val="auto"/>
          <w:highlight w:val="none"/>
        </w:rPr>
        <w:tab/>
      </w:r>
      <w:r>
        <w:rPr>
          <w:color w:val="auto"/>
          <w:highlight w:val="none"/>
        </w:rPr>
        <w:fldChar w:fldCharType="begin"/>
      </w:r>
      <w:r>
        <w:rPr>
          <w:color w:val="auto"/>
          <w:highlight w:val="none"/>
        </w:rPr>
        <w:instrText xml:space="preserve"> PAGEREF _Toc18198 \h </w:instrText>
      </w:r>
      <w:r>
        <w:rPr>
          <w:color w:val="auto"/>
          <w:highlight w:val="none"/>
        </w:rPr>
        <w:fldChar w:fldCharType="separate"/>
      </w:r>
      <w:r>
        <w:rPr>
          <w:color w:val="auto"/>
          <w:highlight w:val="none"/>
        </w:rPr>
        <w:t>18</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0209BB3F">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_Toc15336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4"/>
          <w:highlight w:val="none"/>
        </w:rPr>
        <w:t>10、 最高</w:t>
      </w:r>
      <w:r>
        <w:rPr>
          <w:rFonts w:hint="eastAsia" w:asciiTheme="minorEastAsia" w:hAnsiTheme="minorEastAsia" w:eastAsiaTheme="minorEastAsia" w:cstheme="minorEastAsia"/>
          <w:color w:val="auto"/>
          <w:kern w:val="2"/>
          <w:highlight w:val="none"/>
        </w:rPr>
        <w:t>投标</w:t>
      </w:r>
      <w:r>
        <w:rPr>
          <w:rFonts w:hint="eastAsia" w:asciiTheme="minorEastAsia" w:hAnsiTheme="minorEastAsia" w:eastAsiaTheme="minorEastAsia" w:cstheme="minorEastAsia"/>
          <w:color w:val="auto"/>
          <w:szCs w:val="24"/>
          <w:highlight w:val="none"/>
        </w:rPr>
        <w:t>限价的确定</w:t>
      </w:r>
      <w:r>
        <w:rPr>
          <w:color w:val="auto"/>
          <w:highlight w:val="none"/>
        </w:rPr>
        <w:tab/>
      </w:r>
      <w:r>
        <w:rPr>
          <w:color w:val="auto"/>
          <w:highlight w:val="none"/>
        </w:rPr>
        <w:fldChar w:fldCharType="begin"/>
      </w:r>
      <w:r>
        <w:rPr>
          <w:color w:val="auto"/>
          <w:highlight w:val="none"/>
        </w:rPr>
        <w:instrText xml:space="preserve"> PAGEREF _Toc15336 \h </w:instrText>
      </w:r>
      <w:r>
        <w:rPr>
          <w:color w:val="auto"/>
          <w:highlight w:val="none"/>
        </w:rPr>
        <w:fldChar w:fldCharType="separate"/>
      </w:r>
      <w:r>
        <w:rPr>
          <w:color w:val="auto"/>
          <w:highlight w:val="none"/>
        </w:rPr>
        <w:t>19</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38DF44E7">
      <w:pPr>
        <w:pStyle w:val="18"/>
        <w:tabs>
          <w:tab w:val="right" w:leader="dot" w:pos="8306"/>
        </w:tabs>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_Toc12443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2"/>
          <w:highlight w:val="none"/>
        </w:rPr>
        <w:t xml:space="preserve">11 </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kern w:val="2"/>
          <w:highlight w:val="none"/>
        </w:rPr>
        <w:t>投标</w:t>
      </w:r>
      <w:r>
        <w:rPr>
          <w:rFonts w:hint="eastAsia" w:asciiTheme="minorEastAsia" w:hAnsiTheme="minorEastAsia" w:eastAsiaTheme="minorEastAsia" w:cstheme="minorEastAsia"/>
          <w:color w:val="auto"/>
          <w:szCs w:val="22"/>
          <w:highlight w:val="none"/>
        </w:rPr>
        <w:t>文件的编制要求</w:t>
      </w:r>
      <w:r>
        <w:rPr>
          <w:color w:val="auto"/>
          <w:highlight w:val="none"/>
        </w:rPr>
        <w:tab/>
      </w:r>
      <w:r>
        <w:rPr>
          <w:color w:val="auto"/>
          <w:highlight w:val="none"/>
        </w:rPr>
        <w:fldChar w:fldCharType="begin"/>
      </w:r>
      <w:r>
        <w:rPr>
          <w:color w:val="auto"/>
          <w:highlight w:val="none"/>
        </w:rPr>
        <w:instrText xml:space="preserve"> PAGEREF _Toc12443 \h </w:instrText>
      </w:r>
      <w:r>
        <w:rPr>
          <w:color w:val="auto"/>
          <w:highlight w:val="none"/>
        </w:rPr>
        <w:fldChar w:fldCharType="separate"/>
      </w:r>
      <w:r>
        <w:rPr>
          <w:rFonts w:hint="eastAsia"/>
          <w:color w:val="auto"/>
          <w:highlight w:val="none"/>
          <w:lang w:val="en-US" w:eastAsia="zh-CN"/>
        </w:rPr>
        <w:t>20</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9ACB131">
      <w:pPr>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lang w:val="en-US" w:eastAsia="zh-CN"/>
        </w:rPr>
        <w:t xml:space="preserve">    12、投标有效期及对投标人的其他要求.............................24</w:t>
      </w:r>
    </w:p>
    <w:p w14:paraId="1BE95A4A">
      <w:pPr>
        <w:pStyle w:val="5"/>
        <w:ind w:firstLine="480" w:firstLineChars="200"/>
        <w:rPr>
          <w:rFonts w:hint="eastAsia" w:asciiTheme="minorEastAsia" w:hAnsiTheme="minorEastAsia" w:eastAsiaTheme="minorEastAsia" w:cstheme="minorEastAsia"/>
          <w:b w:val="0"/>
          <w:color w:val="auto"/>
          <w:kern w:val="2"/>
          <w:sz w:val="24"/>
          <w:szCs w:val="21"/>
          <w:highlight w:val="none"/>
          <w:lang w:val="en-US" w:eastAsia="zh-CN" w:bidi="ar-SA"/>
        </w:rPr>
      </w:pPr>
      <w:r>
        <w:rPr>
          <w:rFonts w:hint="eastAsia" w:asciiTheme="minorEastAsia" w:hAnsiTheme="minorEastAsia" w:eastAsiaTheme="minorEastAsia" w:cstheme="minorEastAsia"/>
          <w:b w:val="0"/>
          <w:color w:val="auto"/>
          <w:kern w:val="2"/>
          <w:sz w:val="24"/>
          <w:szCs w:val="21"/>
          <w:highlight w:val="none"/>
          <w:lang w:val="en-US" w:eastAsia="zh-CN" w:bidi="ar-SA"/>
        </w:rPr>
        <w:t>13、开标.......................................................24</w:t>
      </w:r>
    </w:p>
    <w:p w14:paraId="3E80869C">
      <w:pPr>
        <w:ind w:firstLine="480" w:firstLineChars="200"/>
        <w:rPr>
          <w:rFonts w:hint="eastAsia" w:asciiTheme="minorEastAsia" w:hAnsiTheme="minorEastAsia" w:eastAsiaTheme="minorEastAsia" w:cstheme="minorEastAsia"/>
          <w:b w:val="0"/>
          <w:color w:val="auto"/>
          <w:kern w:val="2"/>
          <w:sz w:val="24"/>
          <w:szCs w:val="21"/>
          <w:highlight w:val="none"/>
          <w:lang w:val="en-US" w:eastAsia="zh-CN" w:bidi="ar-SA"/>
        </w:rPr>
      </w:pPr>
      <w:r>
        <w:rPr>
          <w:rFonts w:hint="eastAsia" w:asciiTheme="minorEastAsia" w:hAnsiTheme="minorEastAsia" w:eastAsiaTheme="minorEastAsia" w:cstheme="minorEastAsia"/>
          <w:b w:val="0"/>
          <w:color w:val="auto"/>
          <w:kern w:val="2"/>
          <w:sz w:val="24"/>
          <w:szCs w:val="21"/>
          <w:highlight w:val="none"/>
          <w:lang w:val="en-US" w:eastAsia="zh-CN" w:bidi="ar-SA"/>
        </w:rPr>
        <w:t>14、评标的方法和标准...........................................26</w:t>
      </w:r>
    </w:p>
    <w:p w14:paraId="2D551756">
      <w:pPr>
        <w:pStyle w:val="5"/>
        <w:ind w:firstLine="480" w:firstLineChars="200"/>
        <w:rPr>
          <w:rFonts w:hint="eastAsia" w:asciiTheme="minorEastAsia" w:hAnsiTheme="minorEastAsia" w:eastAsiaTheme="minorEastAsia" w:cstheme="minorEastAsia"/>
          <w:b w:val="0"/>
          <w:color w:val="auto"/>
          <w:kern w:val="2"/>
          <w:sz w:val="24"/>
          <w:szCs w:val="21"/>
          <w:highlight w:val="none"/>
          <w:lang w:val="en-US" w:eastAsia="zh-CN" w:bidi="ar-SA"/>
        </w:rPr>
      </w:pPr>
      <w:r>
        <w:rPr>
          <w:rFonts w:hint="eastAsia" w:asciiTheme="minorEastAsia" w:hAnsiTheme="minorEastAsia" w:eastAsiaTheme="minorEastAsia" w:cstheme="minorEastAsia"/>
          <w:b w:val="0"/>
          <w:color w:val="auto"/>
          <w:kern w:val="2"/>
          <w:sz w:val="24"/>
          <w:szCs w:val="21"/>
          <w:highlight w:val="none"/>
          <w:lang w:val="en-US" w:eastAsia="zh-CN" w:bidi="ar-SA"/>
        </w:rPr>
        <w:t>15、中标候选人公示.............................................33</w:t>
      </w:r>
    </w:p>
    <w:p w14:paraId="7006B749">
      <w:pPr>
        <w:ind w:firstLine="480" w:firstLineChars="200"/>
        <w:rPr>
          <w:rFonts w:hint="default" w:asciiTheme="minorEastAsia" w:hAnsiTheme="minorEastAsia" w:eastAsiaTheme="minorEastAsia" w:cstheme="minorEastAsia"/>
          <w:color w:val="auto"/>
          <w:kern w:val="44"/>
          <w:sz w:val="24"/>
          <w:szCs w:val="36"/>
          <w:highlight w:val="none"/>
          <w:lang w:val="en-US" w:eastAsia="zh-CN" w:bidi="ar-SA"/>
        </w:rPr>
      </w:pPr>
      <w:r>
        <w:rPr>
          <w:rFonts w:hint="eastAsia" w:asciiTheme="minorEastAsia" w:hAnsiTheme="minorEastAsia" w:eastAsiaTheme="minorEastAsia" w:cstheme="minorEastAsia"/>
          <w:color w:val="auto"/>
          <w:kern w:val="44"/>
          <w:sz w:val="24"/>
          <w:szCs w:val="36"/>
          <w:highlight w:val="none"/>
          <w:lang w:val="en-US" w:eastAsia="zh-CN" w:bidi="ar-SA"/>
        </w:rPr>
        <w:t>第四节否决投标条件.............................................33</w:t>
      </w:r>
    </w:p>
    <w:p w14:paraId="30386F37">
      <w:pPr>
        <w:pStyle w:val="16"/>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_Toc614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第二章 中标人须知</w:t>
      </w:r>
      <w:r>
        <w:rPr>
          <w:color w:val="auto"/>
          <w:highlight w:val="none"/>
        </w:rPr>
        <w:tab/>
      </w:r>
      <w:r>
        <w:rPr>
          <w:rFonts w:hint="eastAsia" w:ascii="宋体" w:cs="Times New Roman"/>
          <w:color w:val="auto"/>
          <w:kern w:val="2"/>
          <w:sz w:val="24"/>
          <w:highlight w:val="none"/>
          <w:lang w:val="en-US" w:eastAsia="zh-CN" w:bidi="ar-SA"/>
        </w:rPr>
        <w:t>3</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6</w:t>
      </w:r>
    </w:p>
    <w:p w14:paraId="2CF6486F">
      <w:pPr>
        <w:pStyle w:val="16"/>
        <w:tabs>
          <w:tab w:val="right" w:leader="dot" w:pos="8306"/>
        </w:tabs>
        <w:rPr>
          <w:rFonts w:hint="eastAsia" w:asciiTheme="minorEastAsia" w:hAnsiTheme="minorEastAsia" w:eastAsiaTheme="minorEastAsia" w:cstheme="minorEastAsia"/>
          <w:color w:val="auto"/>
          <w:szCs w:val="21"/>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_Toc22231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第三章 拟签订合同的主要条款</w:t>
      </w:r>
      <w:r>
        <w:rPr>
          <w:color w:val="auto"/>
          <w:highlight w:val="none"/>
        </w:rPr>
        <w:tab/>
      </w:r>
      <w:r>
        <w:rPr>
          <w:rFonts w:hint="eastAsia"/>
          <w:color w:val="auto"/>
          <w:highlight w:val="none"/>
          <w:lang w:val="en-US" w:eastAsia="zh-CN"/>
        </w:rPr>
        <w:t>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0</w:t>
      </w:r>
    </w:p>
    <w:p w14:paraId="0F3F9D5D">
      <w:pPr>
        <w:pStyle w:val="18"/>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_Toc12612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rPr>
        <w:t>1 工程承包方式</w:t>
      </w:r>
      <w:r>
        <w:rPr>
          <w:color w:val="auto"/>
          <w:highlight w:val="none"/>
        </w:rPr>
        <w:tab/>
      </w:r>
      <w:r>
        <w:rPr>
          <w:rFonts w:hint="eastAsia"/>
          <w:color w:val="auto"/>
          <w:highlight w:val="none"/>
          <w:lang w:val="en-US" w:eastAsia="zh-CN"/>
        </w:rPr>
        <w:t>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0</w:t>
      </w:r>
    </w:p>
    <w:p w14:paraId="5251A0DC">
      <w:pPr>
        <w:pStyle w:val="18"/>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_Toc12700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highlight w:val="none"/>
        </w:rPr>
        <w:t xml:space="preserve">2 </w:t>
      </w:r>
      <w:r>
        <w:rPr>
          <w:rFonts w:hint="eastAsia" w:asciiTheme="minorEastAsia" w:hAnsiTheme="minorEastAsia" w:eastAsiaTheme="minorEastAsia" w:cstheme="minorEastAsia"/>
          <w:color w:val="auto"/>
          <w:highlight w:val="none"/>
          <w:lang w:val="en-US" w:eastAsia="zh-CN"/>
        </w:rPr>
        <w:t>施工图</w:t>
      </w:r>
      <w:r>
        <w:rPr>
          <w:rFonts w:hint="eastAsia" w:asciiTheme="minorEastAsia" w:hAnsiTheme="minorEastAsia" w:eastAsiaTheme="minorEastAsia" w:cstheme="minorEastAsia"/>
          <w:color w:val="auto"/>
          <w:highlight w:val="none"/>
        </w:rPr>
        <w:t>编制原则及依据</w:t>
      </w:r>
      <w:r>
        <w:rPr>
          <w:color w:val="auto"/>
          <w:highlight w:val="none"/>
        </w:rPr>
        <w:tab/>
      </w:r>
      <w:r>
        <w:rPr>
          <w:rFonts w:hint="eastAsia"/>
          <w:color w:val="auto"/>
          <w:highlight w:val="none"/>
          <w:lang w:val="en-US" w:eastAsia="zh-CN"/>
        </w:rPr>
        <w:t>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0</w:t>
      </w:r>
    </w:p>
    <w:p w14:paraId="3D7A5804">
      <w:pPr>
        <w:pStyle w:val="18"/>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_Toc12612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2"/>
          <w:highlight w:val="none"/>
          <w:lang w:val="en-US" w:eastAsia="zh-CN"/>
        </w:rPr>
        <w:t>3</w:t>
      </w:r>
      <w:r>
        <w:rPr>
          <w:rFonts w:hint="eastAsia" w:asciiTheme="minorEastAsia" w:hAnsiTheme="minorEastAsia" w:eastAsiaTheme="minorEastAsia" w:cstheme="minorEastAsia"/>
          <w:color w:val="auto"/>
          <w:kern w:val="2"/>
          <w:szCs w:val="24"/>
          <w:highlight w:val="none"/>
        </w:rPr>
        <w:t>工程结算原则</w:t>
      </w:r>
      <w:r>
        <w:rPr>
          <w:color w:val="auto"/>
          <w:highlight w:val="none"/>
        </w:rPr>
        <w:tab/>
      </w:r>
      <w:r>
        <w:rPr>
          <w:rFonts w:hint="eastAsia"/>
          <w:color w:val="auto"/>
          <w:highlight w:val="none"/>
          <w:lang w:val="en-US" w:eastAsia="zh-CN"/>
        </w:rPr>
        <w:t>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1</w:t>
      </w:r>
    </w:p>
    <w:p w14:paraId="15C958EA">
      <w:pPr>
        <w:pStyle w:val="18"/>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_Toc12700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highlight w:val="none"/>
          <w:lang w:val="en-US" w:eastAsia="zh-CN"/>
        </w:rPr>
        <w:t>4</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kern w:val="2"/>
          <w:szCs w:val="24"/>
          <w:highlight w:val="none"/>
        </w:rPr>
        <w:t>工程付款办法</w:t>
      </w:r>
      <w:r>
        <w:rPr>
          <w:color w:val="auto"/>
          <w:highlight w:val="none"/>
        </w:rPr>
        <w:tab/>
      </w:r>
      <w:r>
        <w:rPr>
          <w:rFonts w:hint="eastAsia"/>
          <w:color w:val="auto"/>
          <w:highlight w:val="none"/>
          <w:lang w:val="en-US" w:eastAsia="zh-CN"/>
        </w:rPr>
        <w:t>5</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5</w:t>
      </w:r>
    </w:p>
    <w:p w14:paraId="55F10C15">
      <w:pPr>
        <w:pStyle w:val="16"/>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_Toc8741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w:t>
      </w:r>
      <w:r>
        <w:rPr>
          <w:rFonts w:hint="eastAsia" w:asciiTheme="minorEastAsia" w:hAnsiTheme="minorEastAsia" w:eastAsiaTheme="minorEastAsia" w:cstheme="minorEastAsia"/>
          <w:color w:val="auto"/>
          <w:kern w:val="44"/>
          <w:szCs w:val="36"/>
          <w:highlight w:val="none"/>
          <w:lang w:val="en-US" w:eastAsia="zh-CN"/>
        </w:rPr>
        <w:t>四</w:t>
      </w:r>
      <w:r>
        <w:rPr>
          <w:rFonts w:hint="eastAsia" w:asciiTheme="minorEastAsia" w:hAnsiTheme="minorEastAsia" w:eastAsiaTheme="minorEastAsia" w:cstheme="minorEastAsia"/>
          <w:color w:val="auto"/>
          <w:kern w:val="44"/>
          <w:szCs w:val="36"/>
          <w:highlight w:val="none"/>
        </w:rPr>
        <w:t>章 技术要求</w:t>
      </w:r>
      <w:r>
        <w:rPr>
          <w:color w:val="auto"/>
          <w:highlight w:val="none"/>
        </w:rPr>
        <w:tab/>
      </w:r>
      <w:r>
        <w:rPr>
          <w:color w:val="auto"/>
          <w:highlight w:val="none"/>
        </w:rPr>
        <w:fldChar w:fldCharType="begin"/>
      </w:r>
      <w:r>
        <w:rPr>
          <w:color w:val="auto"/>
          <w:highlight w:val="none"/>
        </w:rPr>
        <w:instrText xml:space="preserve"> PAGEREF _Toc8741 \h </w:instrText>
      </w:r>
      <w:r>
        <w:rPr>
          <w:color w:val="auto"/>
          <w:highlight w:val="none"/>
        </w:rPr>
        <w:fldChar w:fldCharType="separate"/>
      </w:r>
      <w:r>
        <w:rPr>
          <w:color w:val="auto"/>
          <w:highlight w:val="none"/>
        </w:rPr>
        <w:t>5</w:t>
      </w:r>
      <w:r>
        <w:rPr>
          <w:rFonts w:hint="eastAsia"/>
          <w:color w:val="auto"/>
          <w:highlight w:val="none"/>
          <w:lang w:val="en-US" w:eastAsia="zh-CN"/>
        </w:rPr>
        <w:t>8</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EA18512">
      <w:pPr>
        <w:pStyle w:val="16"/>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_Toc269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2"/>
          <w:highlight w:val="none"/>
        </w:rPr>
        <w:t>第</w:t>
      </w:r>
      <w:r>
        <w:rPr>
          <w:rFonts w:hint="eastAsia" w:asciiTheme="minorEastAsia" w:hAnsiTheme="minorEastAsia" w:eastAsiaTheme="minorEastAsia" w:cstheme="minorEastAsia"/>
          <w:color w:val="auto"/>
          <w:kern w:val="44"/>
          <w:szCs w:val="32"/>
          <w:highlight w:val="none"/>
          <w:lang w:val="en-US" w:eastAsia="zh-CN"/>
        </w:rPr>
        <w:t>五</w:t>
      </w:r>
      <w:r>
        <w:rPr>
          <w:rFonts w:hint="eastAsia" w:asciiTheme="minorEastAsia" w:hAnsiTheme="minorEastAsia" w:eastAsiaTheme="minorEastAsia" w:cstheme="minorEastAsia"/>
          <w:color w:val="auto"/>
          <w:kern w:val="44"/>
          <w:szCs w:val="32"/>
          <w:highlight w:val="none"/>
        </w:rPr>
        <w:t>章</w:t>
      </w:r>
      <w:r>
        <w:rPr>
          <w:rFonts w:hint="eastAsia" w:asciiTheme="minorEastAsia" w:hAnsiTheme="minorEastAsia" w:eastAsiaTheme="minorEastAsia" w:cstheme="minorEastAsia"/>
          <w:color w:val="auto"/>
          <w:kern w:val="44"/>
          <w:szCs w:val="28"/>
          <w:highlight w:val="none"/>
          <w:lang w:val="en-US" w:eastAsia="zh-CN"/>
        </w:rPr>
        <w:t xml:space="preserve">  </w:t>
      </w:r>
      <w:r>
        <w:rPr>
          <w:rFonts w:hint="eastAsia" w:asciiTheme="minorEastAsia" w:hAnsiTheme="minorEastAsia" w:eastAsiaTheme="minorEastAsia" w:cstheme="minorEastAsia"/>
          <w:color w:val="auto"/>
          <w:kern w:val="44"/>
          <w:szCs w:val="32"/>
          <w:highlight w:val="none"/>
        </w:rPr>
        <w:t>招标文件的附件</w:t>
      </w:r>
      <w:r>
        <w:rPr>
          <w:color w:val="auto"/>
          <w:highlight w:val="none"/>
        </w:rPr>
        <w:tab/>
      </w:r>
      <w:r>
        <w:rPr>
          <w:color w:val="auto"/>
          <w:highlight w:val="none"/>
        </w:rPr>
        <w:fldChar w:fldCharType="begin"/>
      </w:r>
      <w:r>
        <w:rPr>
          <w:color w:val="auto"/>
          <w:highlight w:val="none"/>
        </w:rPr>
        <w:instrText xml:space="preserve"> PAGEREF _Toc269 \h </w:instrText>
      </w:r>
      <w:r>
        <w:rPr>
          <w:color w:val="auto"/>
          <w:highlight w:val="none"/>
        </w:rPr>
        <w:fldChar w:fldCharType="separate"/>
      </w:r>
      <w:r>
        <w:rPr>
          <w:color w:val="auto"/>
          <w:highlight w:val="none"/>
        </w:rPr>
        <w:t>6</w:t>
      </w:r>
      <w:r>
        <w:rPr>
          <w:rFonts w:hint="eastAsia"/>
          <w:color w:val="auto"/>
          <w:highlight w:val="none"/>
          <w:lang w:val="en-US" w:eastAsia="zh-CN"/>
        </w:rPr>
        <w:t>0</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4E19A5D1">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_Toc2335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snapToGrid w:val="0"/>
          <w:color w:val="auto"/>
          <w:szCs w:val="24"/>
          <w:highlight w:val="none"/>
        </w:rPr>
        <w:t>格式一 封面</w:t>
      </w:r>
      <w:r>
        <w:rPr>
          <w:color w:val="auto"/>
          <w:highlight w:val="none"/>
        </w:rPr>
        <w:tab/>
      </w:r>
      <w:r>
        <w:rPr>
          <w:color w:val="auto"/>
          <w:highlight w:val="none"/>
        </w:rPr>
        <w:fldChar w:fldCharType="begin"/>
      </w:r>
      <w:r>
        <w:rPr>
          <w:color w:val="auto"/>
          <w:highlight w:val="none"/>
        </w:rPr>
        <w:instrText xml:space="preserve"> PAGEREF _Toc2335 \h </w:instrText>
      </w:r>
      <w:r>
        <w:rPr>
          <w:color w:val="auto"/>
          <w:highlight w:val="none"/>
        </w:rPr>
        <w:fldChar w:fldCharType="separate"/>
      </w:r>
      <w:r>
        <w:rPr>
          <w:color w:val="auto"/>
          <w:highlight w:val="none"/>
        </w:rPr>
        <w:t>6</w:t>
      </w:r>
      <w:r>
        <w:rPr>
          <w:rFonts w:hint="eastAsia"/>
          <w:color w:val="auto"/>
          <w:highlight w:val="none"/>
          <w:lang w:val="en-US" w:eastAsia="zh-CN"/>
        </w:rPr>
        <w:t>0</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0EFAC4F7">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_Toc2904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格式二 《投标函》及《工程项目总价表》</w:t>
      </w:r>
      <w:r>
        <w:rPr>
          <w:color w:val="auto"/>
          <w:highlight w:val="none"/>
        </w:rPr>
        <w:tab/>
      </w:r>
      <w:r>
        <w:rPr>
          <w:color w:val="auto"/>
          <w:highlight w:val="none"/>
        </w:rPr>
        <w:fldChar w:fldCharType="begin"/>
      </w:r>
      <w:r>
        <w:rPr>
          <w:color w:val="auto"/>
          <w:highlight w:val="none"/>
        </w:rPr>
        <w:instrText xml:space="preserve"> PAGEREF _Toc2904 \h </w:instrText>
      </w:r>
      <w:r>
        <w:rPr>
          <w:color w:val="auto"/>
          <w:highlight w:val="none"/>
        </w:rPr>
        <w:fldChar w:fldCharType="separate"/>
      </w:r>
      <w:r>
        <w:rPr>
          <w:color w:val="auto"/>
          <w:highlight w:val="none"/>
        </w:rPr>
        <w:t>6</w:t>
      </w:r>
      <w:r>
        <w:rPr>
          <w:rFonts w:hint="eastAsia"/>
          <w:color w:val="auto"/>
          <w:highlight w:val="none"/>
          <w:lang w:val="en-US" w:eastAsia="zh-CN"/>
        </w:rPr>
        <w:t>1</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0D962F6D">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_Toc25686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szCs w:val="24"/>
          <w:highlight w:val="none"/>
        </w:rPr>
        <w:t>格式三 各项</w:t>
      </w:r>
      <w:r>
        <w:rPr>
          <w:rFonts w:hint="eastAsia" w:asciiTheme="minorEastAsia" w:hAnsiTheme="minorEastAsia" w:eastAsiaTheme="minorEastAsia" w:cstheme="minorEastAsia"/>
          <w:bCs/>
          <w:color w:val="auto"/>
          <w:szCs w:val="24"/>
          <w:highlight w:val="none"/>
        </w:rPr>
        <w:t>承诺</w:t>
      </w:r>
      <w:r>
        <w:rPr>
          <w:rFonts w:hint="eastAsia" w:asciiTheme="minorEastAsia" w:hAnsiTheme="minorEastAsia" w:eastAsiaTheme="minorEastAsia" w:cstheme="minorEastAsia"/>
          <w:color w:val="auto"/>
          <w:szCs w:val="24"/>
          <w:highlight w:val="none"/>
        </w:rPr>
        <w:t>一览表</w:t>
      </w:r>
      <w:r>
        <w:rPr>
          <w:color w:val="auto"/>
          <w:highlight w:val="none"/>
        </w:rPr>
        <w:tab/>
      </w:r>
      <w:r>
        <w:rPr>
          <w:color w:val="auto"/>
          <w:highlight w:val="none"/>
        </w:rPr>
        <w:fldChar w:fldCharType="begin"/>
      </w:r>
      <w:r>
        <w:rPr>
          <w:color w:val="auto"/>
          <w:highlight w:val="none"/>
        </w:rPr>
        <w:instrText xml:space="preserve"> PAGEREF _Toc25686 \h </w:instrText>
      </w:r>
      <w:r>
        <w:rPr>
          <w:color w:val="auto"/>
          <w:highlight w:val="none"/>
        </w:rPr>
        <w:fldChar w:fldCharType="separate"/>
      </w:r>
      <w:r>
        <w:rPr>
          <w:color w:val="auto"/>
          <w:highlight w:val="none"/>
        </w:rPr>
        <w:t>6</w:t>
      </w:r>
      <w:r>
        <w:rPr>
          <w:rFonts w:hint="eastAsia"/>
          <w:color w:val="auto"/>
          <w:highlight w:val="none"/>
          <w:lang w:val="en-US" w:eastAsia="zh-CN"/>
        </w:rPr>
        <w:t>3</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441BB9E">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_Toc19430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格式四 授权委托书</w:t>
      </w:r>
      <w:r>
        <w:rPr>
          <w:color w:val="auto"/>
          <w:highlight w:val="none"/>
        </w:rPr>
        <w:tab/>
      </w:r>
      <w:r>
        <w:rPr>
          <w:color w:val="auto"/>
          <w:highlight w:val="none"/>
        </w:rPr>
        <w:fldChar w:fldCharType="begin"/>
      </w:r>
      <w:r>
        <w:rPr>
          <w:color w:val="auto"/>
          <w:highlight w:val="none"/>
        </w:rPr>
        <w:instrText xml:space="preserve"> PAGEREF _Toc19430 \h </w:instrText>
      </w:r>
      <w:r>
        <w:rPr>
          <w:color w:val="auto"/>
          <w:highlight w:val="none"/>
        </w:rPr>
        <w:fldChar w:fldCharType="separate"/>
      </w:r>
      <w:r>
        <w:rPr>
          <w:color w:val="auto"/>
          <w:highlight w:val="none"/>
        </w:rPr>
        <w:t>6</w:t>
      </w:r>
      <w:r>
        <w:rPr>
          <w:rFonts w:hint="eastAsia"/>
          <w:color w:val="auto"/>
          <w:highlight w:val="none"/>
          <w:lang w:val="en-US" w:eastAsia="zh-CN"/>
        </w:rPr>
        <w:t>7</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11943F08">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_Toc24718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格式五 法定代表人身份证明</w:t>
      </w:r>
      <w:r>
        <w:rPr>
          <w:color w:val="auto"/>
          <w:highlight w:val="none"/>
        </w:rPr>
        <w:tab/>
      </w:r>
      <w:r>
        <w:rPr>
          <w:color w:val="auto"/>
          <w:highlight w:val="none"/>
        </w:rPr>
        <w:fldChar w:fldCharType="begin"/>
      </w:r>
      <w:r>
        <w:rPr>
          <w:color w:val="auto"/>
          <w:highlight w:val="none"/>
        </w:rPr>
        <w:instrText xml:space="preserve"> PAGEREF _Toc24718 \h </w:instrText>
      </w:r>
      <w:r>
        <w:rPr>
          <w:color w:val="auto"/>
          <w:highlight w:val="none"/>
        </w:rPr>
        <w:fldChar w:fldCharType="separate"/>
      </w:r>
      <w:r>
        <w:rPr>
          <w:color w:val="auto"/>
          <w:highlight w:val="none"/>
        </w:rPr>
        <w:t>6</w:t>
      </w:r>
      <w:r>
        <w:rPr>
          <w:rFonts w:hint="eastAsia"/>
          <w:color w:val="auto"/>
          <w:highlight w:val="none"/>
          <w:lang w:val="en-US" w:eastAsia="zh-CN"/>
        </w:rPr>
        <w:t>8</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72268BD2">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_Toc11006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格式六 联合体协议书</w:t>
      </w:r>
      <w:r>
        <w:rPr>
          <w:color w:val="auto"/>
          <w:highlight w:val="none"/>
        </w:rPr>
        <w:tab/>
      </w:r>
      <w:r>
        <w:rPr>
          <w:color w:val="auto"/>
          <w:highlight w:val="none"/>
        </w:rPr>
        <w:fldChar w:fldCharType="begin"/>
      </w:r>
      <w:r>
        <w:rPr>
          <w:color w:val="auto"/>
          <w:highlight w:val="none"/>
        </w:rPr>
        <w:instrText xml:space="preserve"> PAGEREF _Toc11006 \h </w:instrText>
      </w:r>
      <w:r>
        <w:rPr>
          <w:color w:val="auto"/>
          <w:highlight w:val="none"/>
        </w:rPr>
        <w:fldChar w:fldCharType="separate"/>
      </w:r>
      <w:r>
        <w:rPr>
          <w:rFonts w:hint="eastAsia"/>
          <w:color w:val="auto"/>
          <w:highlight w:val="none"/>
          <w:lang w:val="en-US" w:eastAsia="zh-CN"/>
        </w:rPr>
        <w:t>69</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6901DD99">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_Toc13094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格式七 投标人基本情况表</w:t>
      </w:r>
      <w:r>
        <w:rPr>
          <w:color w:val="auto"/>
          <w:highlight w:val="none"/>
        </w:rPr>
        <w:tab/>
      </w:r>
      <w:r>
        <w:rPr>
          <w:color w:val="auto"/>
          <w:highlight w:val="none"/>
        </w:rPr>
        <w:fldChar w:fldCharType="begin"/>
      </w:r>
      <w:r>
        <w:rPr>
          <w:color w:val="auto"/>
          <w:highlight w:val="none"/>
        </w:rPr>
        <w:instrText xml:space="preserve"> PAGEREF _Toc13094 \h </w:instrText>
      </w:r>
      <w:r>
        <w:rPr>
          <w:color w:val="auto"/>
          <w:highlight w:val="none"/>
        </w:rPr>
        <w:fldChar w:fldCharType="separate"/>
      </w:r>
      <w:r>
        <w:rPr>
          <w:color w:val="auto"/>
          <w:highlight w:val="none"/>
        </w:rPr>
        <w:t>7</w:t>
      </w:r>
      <w:r>
        <w:rPr>
          <w:rFonts w:hint="eastAsia"/>
          <w:color w:val="auto"/>
          <w:highlight w:val="none"/>
          <w:lang w:val="en-US" w:eastAsia="zh-CN"/>
        </w:rPr>
        <w:t>1</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2301B07C">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_Toc8762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格式八 项目经理简历表</w:t>
      </w:r>
      <w:r>
        <w:rPr>
          <w:color w:val="auto"/>
          <w:highlight w:val="none"/>
        </w:rPr>
        <w:tab/>
      </w:r>
      <w:r>
        <w:rPr>
          <w:color w:val="auto"/>
          <w:highlight w:val="none"/>
        </w:rPr>
        <w:fldChar w:fldCharType="begin"/>
      </w:r>
      <w:r>
        <w:rPr>
          <w:color w:val="auto"/>
          <w:highlight w:val="none"/>
        </w:rPr>
        <w:instrText xml:space="preserve"> PAGEREF _Toc8762 \h </w:instrText>
      </w:r>
      <w:r>
        <w:rPr>
          <w:color w:val="auto"/>
          <w:highlight w:val="none"/>
        </w:rPr>
        <w:fldChar w:fldCharType="separate"/>
      </w:r>
      <w:r>
        <w:rPr>
          <w:color w:val="auto"/>
          <w:highlight w:val="none"/>
        </w:rPr>
        <w:t>7</w:t>
      </w:r>
      <w:r>
        <w:rPr>
          <w:rFonts w:hint="eastAsia"/>
          <w:color w:val="auto"/>
          <w:highlight w:val="none"/>
          <w:lang w:val="en-US" w:eastAsia="zh-CN"/>
        </w:rPr>
        <w:t>2</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68508DCD">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_Toc17547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格式九 项目经理任职声明</w:t>
      </w:r>
      <w:r>
        <w:rPr>
          <w:color w:val="auto"/>
          <w:highlight w:val="none"/>
        </w:rPr>
        <w:tab/>
      </w:r>
      <w:r>
        <w:rPr>
          <w:color w:val="auto"/>
          <w:highlight w:val="none"/>
        </w:rPr>
        <w:fldChar w:fldCharType="begin"/>
      </w:r>
      <w:r>
        <w:rPr>
          <w:color w:val="auto"/>
          <w:highlight w:val="none"/>
        </w:rPr>
        <w:instrText xml:space="preserve"> PAGEREF _Toc17547 \h </w:instrText>
      </w:r>
      <w:r>
        <w:rPr>
          <w:color w:val="auto"/>
          <w:highlight w:val="none"/>
        </w:rPr>
        <w:fldChar w:fldCharType="separate"/>
      </w:r>
      <w:r>
        <w:rPr>
          <w:color w:val="auto"/>
          <w:highlight w:val="none"/>
        </w:rPr>
        <w:t>7</w:t>
      </w:r>
      <w:r>
        <w:rPr>
          <w:rFonts w:hint="eastAsia"/>
          <w:color w:val="auto"/>
          <w:highlight w:val="none"/>
          <w:lang w:val="en-US" w:eastAsia="zh-CN"/>
        </w:rPr>
        <w:t>3</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07A8A5D1">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_Toc15458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格式十 项目技术负责人简历表</w:t>
      </w:r>
      <w:r>
        <w:rPr>
          <w:color w:val="auto"/>
          <w:highlight w:val="none"/>
        </w:rPr>
        <w:tab/>
      </w:r>
      <w:r>
        <w:rPr>
          <w:color w:val="auto"/>
          <w:highlight w:val="none"/>
        </w:rPr>
        <w:fldChar w:fldCharType="begin"/>
      </w:r>
      <w:r>
        <w:rPr>
          <w:color w:val="auto"/>
          <w:highlight w:val="none"/>
        </w:rPr>
        <w:instrText xml:space="preserve"> PAGEREF _Toc15458 \h </w:instrText>
      </w:r>
      <w:r>
        <w:rPr>
          <w:color w:val="auto"/>
          <w:highlight w:val="none"/>
        </w:rPr>
        <w:fldChar w:fldCharType="separate"/>
      </w:r>
      <w:r>
        <w:rPr>
          <w:color w:val="auto"/>
          <w:highlight w:val="none"/>
        </w:rPr>
        <w:t>7</w:t>
      </w:r>
      <w:r>
        <w:rPr>
          <w:rFonts w:hint="eastAsia"/>
          <w:color w:val="auto"/>
          <w:highlight w:val="none"/>
          <w:lang w:val="en-US" w:eastAsia="zh-CN"/>
        </w:rPr>
        <w:t>4</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73E2F058">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_Toc28717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格式十一 项目设计负责人简历表</w:t>
      </w:r>
      <w:r>
        <w:rPr>
          <w:color w:val="auto"/>
          <w:highlight w:val="none"/>
        </w:rPr>
        <w:tab/>
      </w:r>
      <w:r>
        <w:rPr>
          <w:color w:val="auto"/>
          <w:highlight w:val="none"/>
        </w:rPr>
        <w:fldChar w:fldCharType="begin"/>
      </w:r>
      <w:r>
        <w:rPr>
          <w:color w:val="auto"/>
          <w:highlight w:val="none"/>
        </w:rPr>
        <w:instrText xml:space="preserve"> PAGEREF _Toc28717 \h </w:instrText>
      </w:r>
      <w:r>
        <w:rPr>
          <w:color w:val="auto"/>
          <w:highlight w:val="none"/>
        </w:rPr>
        <w:fldChar w:fldCharType="separate"/>
      </w:r>
      <w:r>
        <w:rPr>
          <w:color w:val="auto"/>
          <w:highlight w:val="none"/>
        </w:rPr>
        <w:t>7</w:t>
      </w:r>
      <w:r>
        <w:rPr>
          <w:rFonts w:hint="eastAsia"/>
          <w:color w:val="auto"/>
          <w:highlight w:val="none"/>
          <w:lang w:val="en-US" w:eastAsia="zh-CN"/>
        </w:rPr>
        <w:t>5</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6E6F7B85">
      <w:pPr>
        <w:pStyle w:val="18"/>
        <w:tabs>
          <w:tab w:val="right" w:leader="dot" w:pos="8306"/>
        </w:tabs>
        <w:rPr>
          <w:rFonts w:hint="eastAsia" w:asciiTheme="minorEastAsia" w:hAnsiTheme="minorEastAsia" w:eastAsiaTheme="minorEastAsia" w:cstheme="minorEastAsia"/>
          <w:color w:val="auto"/>
          <w:szCs w:val="21"/>
          <w:highlight w:val="none"/>
        </w:rPr>
        <w:sectPr>
          <w:footerReference r:id="rId5" w:type="default"/>
          <w:endnotePr>
            <w:numFmt w:val="decimal"/>
          </w:endnotePr>
          <w:pgSz w:w="11906" w:h="16838"/>
          <w:pgMar w:top="1440" w:right="1800" w:bottom="1440" w:left="1800" w:header="851" w:footer="992" w:gutter="0"/>
          <w:pgNumType w:fmt="decimal" w:start="1"/>
          <w:cols w:space="720" w:num="1"/>
          <w:docGrid w:type="lines" w:linePitch="312" w:charSpace="0"/>
        </w:sectPr>
      </w:pPr>
    </w:p>
    <w:p w14:paraId="0D1E6ACB">
      <w:pPr>
        <w:pStyle w:val="18"/>
        <w:tabs>
          <w:tab w:val="right" w:leader="dot" w:pos="8306"/>
        </w:tabs>
        <w:rPr>
          <w:color w:val="auto"/>
          <w:highlight w:val="none"/>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_Toc7110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snapToGrid w:val="0"/>
          <w:color w:val="auto"/>
          <w:szCs w:val="24"/>
          <w:highlight w:val="none"/>
        </w:rPr>
        <w:t>格式十二 项目管理机构组成表</w:t>
      </w:r>
      <w:r>
        <w:rPr>
          <w:color w:val="auto"/>
          <w:highlight w:val="none"/>
        </w:rPr>
        <w:tab/>
      </w:r>
      <w:r>
        <w:rPr>
          <w:color w:val="auto"/>
          <w:highlight w:val="none"/>
        </w:rPr>
        <w:fldChar w:fldCharType="begin"/>
      </w:r>
      <w:r>
        <w:rPr>
          <w:color w:val="auto"/>
          <w:highlight w:val="none"/>
        </w:rPr>
        <w:instrText xml:space="preserve"> PAGEREF _Toc7110 \h </w:instrText>
      </w:r>
      <w:r>
        <w:rPr>
          <w:color w:val="auto"/>
          <w:highlight w:val="none"/>
        </w:rPr>
        <w:fldChar w:fldCharType="separate"/>
      </w:r>
      <w:r>
        <w:rPr>
          <w:color w:val="auto"/>
          <w:highlight w:val="none"/>
        </w:rPr>
        <w:t>7</w:t>
      </w:r>
      <w:r>
        <w:rPr>
          <w:rFonts w:hint="eastAsia"/>
          <w:color w:val="auto"/>
          <w:highlight w:val="none"/>
          <w:lang w:val="en-US" w:eastAsia="zh-CN"/>
        </w:rPr>
        <w:t>6</w:t>
      </w:r>
      <w:r>
        <w:rPr>
          <w:color w:val="auto"/>
          <w:highlight w:val="none"/>
        </w:rPr>
        <w:fldChar w:fldCharType="end"/>
      </w:r>
      <w:r>
        <w:rPr>
          <w:rFonts w:hint="eastAsia" w:asciiTheme="minorEastAsia" w:hAnsiTheme="minorEastAsia" w:eastAsiaTheme="minorEastAsia" w:cstheme="minorEastAsia"/>
          <w:color w:val="auto"/>
          <w:szCs w:val="21"/>
          <w:highlight w:val="none"/>
        </w:rPr>
        <w:fldChar w:fldCharType="end"/>
      </w:r>
    </w:p>
    <w:p w14:paraId="549C345E">
      <w:pPr>
        <w:pStyle w:val="18"/>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_Toc14649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bCs/>
          <w:color w:val="auto"/>
          <w:szCs w:val="24"/>
          <w:highlight w:val="none"/>
        </w:rPr>
        <w:t>格式十三 原件一览表</w:t>
      </w:r>
      <w:r>
        <w:rPr>
          <w:color w:val="auto"/>
          <w:highlight w:val="none"/>
        </w:rPr>
        <w:tab/>
      </w:r>
      <w:r>
        <w:rPr>
          <w:rFonts w:hint="eastAsia"/>
          <w:color w:val="auto"/>
          <w:highlight w:val="none"/>
          <w:lang w:val="en-US" w:eastAsia="zh-CN"/>
        </w:rPr>
        <w:t>7</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7</w:t>
      </w:r>
    </w:p>
    <w:p w14:paraId="3A5FDA20">
      <w:pPr>
        <w:pStyle w:val="16"/>
        <w:tabs>
          <w:tab w:val="right" w:leader="dot" w:pos="8306"/>
        </w:tabs>
        <w:rPr>
          <w:rFonts w:hint="eastAsia" w:eastAsiaTheme="minorEastAsia"/>
          <w:color w:val="auto"/>
          <w:highlight w:val="none"/>
          <w:lang w:val="en-US" w:eastAsia="zh-CN"/>
        </w:rPr>
      </w:pPr>
      <w:r>
        <w:rPr>
          <w:rFonts w:hint="eastAsia" w:asciiTheme="minorEastAsia" w:hAnsiTheme="minorEastAsia" w:eastAsiaTheme="minorEastAsia" w:cstheme="minorEastAsia"/>
          <w:color w:val="auto"/>
          <w:szCs w:val="21"/>
          <w:highlight w:val="none"/>
        </w:rPr>
        <w:fldChar w:fldCharType="begin"/>
      </w:r>
      <w:r>
        <w:rPr>
          <w:rFonts w:hint="eastAsia" w:asciiTheme="minorEastAsia" w:hAnsiTheme="minorEastAsia" w:eastAsiaTheme="minorEastAsia" w:cstheme="minorEastAsia"/>
          <w:color w:val="auto"/>
          <w:szCs w:val="21"/>
          <w:highlight w:val="none"/>
        </w:rPr>
        <w:instrText xml:space="preserve"> HYPERLINK \l _Toc11532 </w:instrText>
      </w:r>
      <w:r>
        <w:rPr>
          <w:rFonts w:hint="eastAsia" w:asciiTheme="minorEastAsia" w:hAnsiTheme="minorEastAsia" w:eastAsiaTheme="minorEastAsia" w:cstheme="minorEastAsia"/>
          <w:color w:val="auto"/>
          <w:szCs w:val="21"/>
          <w:highlight w:val="none"/>
        </w:rPr>
        <w:fldChar w:fldCharType="separate"/>
      </w:r>
      <w:r>
        <w:rPr>
          <w:rFonts w:hint="eastAsia" w:asciiTheme="minorEastAsia" w:hAnsiTheme="minorEastAsia" w:eastAsiaTheme="minorEastAsia" w:cstheme="minorEastAsia"/>
          <w:color w:val="auto"/>
          <w:kern w:val="44"/>
          <w:szCs w:val="36"/>
          <w:highlight w:val="none"/>
        </w:rPr>
        <w:t>第</w:t>
      </w:r>
      <w:r>
        <w:rPr>
          <w:rFonts w:hint="eastAsia" w:asciiTheme="minorEastAsia" w:hAnsiTheme="minorEastAsia" w:eastAsiaTheme="minorEastAsia" w:cstheme="minorEastAsia"/>
          <w:color w:val="auto"/>
          <w:kern w:val="44"/>
          <w:szCs w:val="36"/>
          <w:highlight w:val="none"/>
          <w:lang w:val="en-US" w:eastAsia="zh-CN"/>
        </w:rPr>
        <w:t>六</w:t>
      </w:r>
      <w:r>
        <w:rPr>
          <w:rFonts w:hint="eastAsia" w:asciiTheme="minorEastAsia" w:hAnsiTheme="minorEastAsia" w:eastAsiaTheme="minorEastAsia" w:cstheme="minorEastAsia"/>
          <w:color w:val="auto"/>
          <w:kern w:val="44"/>
          <w:szCs w:val="36"/>
          <w:highlight w:val="none"/>
        </w:rPr>
        <w:t>章  建设工程合同</w:t>
      </w:r>
      <w:r>
        <w:rPr>
          <w:color w:val="auto"/>
          <w:highlight w:val="none"/>
        </w:rPr>
        <w:tab/>
      </w:r>
      <w:r>
        <w:rPr>
          <w:rFonts w:hint="eastAsia"/>
          <w:color w:val="auto"/>
          <w:highlight w:val="none"/>
          <w:lang w:val="en-US" w:eastAsia="zh-CN"/>
        </w:rPr>
        <w:t>7</w:t>
      </w:r>
      <w:r>
        <w:rPr>
          <w:rFonts w:hint="eastAsia" w:asciiTheme="minorEastAsia" w:hAnsiTheme="minorEastAsia" w:eastAsiaTheme="minorEastAsia" w:cstheme="minorEastAsia"/>
          <w:color w:val="auto"/>
          <w:szCs w:val="21"/>
          <w:highlight w:val="none"/>
        </w:rPr>
        <w:fldChar w:fldCharType="end"/>
      </w:r>
      <w:r>
        <w:rPr>
          <w:rFonts w:hint="eastAsia" w:asciiTheme="minorEastAsia" w:hAnsiTheme="minorEastAsia" w:eastAsiaTheme="minorEastAsia" w:cstheme="minorEastAsia"/>
          <w:color w:val="auto"/>
          <w:szCs w:val="21"/>
          <w:highlight w:val="none"/>
          <w:lang w:val="en-US" w:eastAsia="zh-CN"/>
        </w:rPr>
        <w:t>9</w:t>
      </w:r>
      <w:bookmarkStart w:id="425" w:name="_GoBack"/>
      <w:bookmarkEnd w:id="425"/>
    </w:p>
    <w:p w14:paraId="5CF8E766">
      <w:pPr>
        <w:pStyle w:val="27"/>
        <w:tabs>
          <w:tab w:val="left" w:pos="4935"/>
        </w:tabs>
        <w:jc w:val="center"/>
        <w:rPr>
          <w:rFonts w:hint="eastAsia" w:asciiTheme="minorEastAsia" w:hAnsiTheme="minorEastAsia" w:eastAsiaTheme="minorEastAsia" w:cstheme="minorEastAsia"/>
          <w:color w:val="auto"/>
          <w:szCs w:val="21"/>
          <w:highlight w:val="none"/>
        </w:rPr>
        <w:sectPr>
          <w:footerReference r:id="rId6" w:type="default"/>
          <w:endnotePr>
            <w:numFmt w:val="decimal"/>
          </w:endnotePr>
          <w:pgSz w:w="11906" w:h="16838"/>
          <w:pgMar w:top="1440" w:right="1800" w:bottom="1440" w:left="1800" w:header="851" w:footer="992" w:gutter="0"/>
          <w:pgNumType w:fmt="decimal" w:start="1"/>
          <w:cols w:space="720" w:num="1"/>
          <w:docGrid w:type="lines" w:linePitch="312" w:charSpace="0"/>
        </w:sectPr>
      </w:pPr>
      <w:r>
        <w:rPr>
          <w:rFonts w:hint="eastAsia" w:asciiTheme="minorEastAsia" w:hAnsiTheme="minorEastAsia" w:eastAsiaTheme="minorEastAsia" w:cstheme="minorEastAsia"/>
          <w:color w:val="auto"/>
          <w:szCs w:val="21"/>
          <w:highlight w:val="none"/>
        </w:rPr>
        <w:fldChar w:fldCharType="end"/>
      </w:r>
    </w:p>
    <w:p w14:paraId="5A8984B2">
      <w:pPr>
        <w:pStyle w:val="28"/>
        <w:keepNext/>
        <w:keepLines/>
        <w:jc w:val="center"/>
        <w:rPr>
          <w:rFonts w:hint="eastAsia" w:asciiTheme="minorEastAsia" w:hAnsiTheme="minorEastAsia" w:eastAsiaTheme="minorEastAsia" w:cstheme="minorEastAsia"/>
          <w:b/>
          <w:color w:val="auto"/>
          <w:kern w:val="44"/>
          <w:sz w:val="36"/>
          <w:szCs w:val="36"/>
          <w:highlight w:val="none"/>
        </w:rPr>
      </w:pPr>
      <w:bookmarkStart w:id="0" w:name="_Toc18285"/>
      <w:bookmarkStart w:id="1" w:name="_Hlt111690251"/>
      <w:r>
        <w:rPr>
          <w:rFonts w:hint="eastAsia" w:asciiTheme="minorEastAsia" w:hAnsiTheme="minorEastAsia" w:eastAsiaTheme="minorEastAsia" w:cstheme="minorEastAsia"/>
          <w:b/>
          <w:color w:val="auto"/>
          <w:kern w:val="44"/>
          <w:sz w:val="36"/>
          <w:szCs w:val="36"/>
          <w:highlight w:val="none"/>
        </w:rPr>
        <w:t>第一章投标须知</w:t>
      </w:r>
      <w:bookmarkEnd w:id="0"/>
    </w:p>
    <w:p w14:paraId="69FD86CC">
      <w:pPr>
        <w:pStyle w:val="29"/>
        <w:keepNext/>
        <w:keepLines/>
        <w:autoSpaceDE/>
        <w:autoSpaceDN/>
        <w:adjustRightInd/>
        <w:spacing w:before="260" w:after="260" w:line="360" w:lineRule="exact"/>
        <w:ind w:firstLine="482" w:firstLineChars="200"/>
        <w:jc w:val="both"/>
        <w:rPr>
          <w:rFonts w:hint="eastAsia" w:asciiTheme="minorEastAsia" w:hAnsiTheme="minorEastAsia" w:eastAsiaTheme="minorEastAsia" w:cstheme="minorEastAsia"/>
          <w:b/>
          <w:color w:val="auto"/>
          <w:kern w:val="2"/>
          <w:highlight w:val="none"/>
        </w:rPr>
      </w:pPr>
      <w:bookmarkStart w:id="2" w:name="_Hlt127175444"/>
      <w:bookmarkEnd w:id="2"/>
      <w:bookmarkStart w:id="3" w:name="_Toc23035"/>
      <w:bookmarkStart w:id="4" w:name="_Hlt120077520"/>
      <w:r>
        <w:rPr>
          <w:rFonts w:hint="eastAsia" w:asciiTheme="minorEastAsia" w:hAnsiTheme="minorEastAsia" w:eastAsiaTheme="minorEastAsia" w:cstheme="minorEastAsia"/>
          <w:b/>
          <w:color w:val="auto"/>
          <w:kern w:val="2"/>
          <w:highlight w:val="none"/>
        </w:rPr>
        <w:t>第一节.投标须知前附表</w:t>
      </w:r>
      <w:bookmarkEnd w:id="3"/>
    </w:p>
    <w:tbl>
      <w:tblPr>
        <w:tblStyle w:val="22"/>
        <w:tblW w:w="10063"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810"/>
        <w:gridCol w:w="2070"/>
        <w:gridCol w:w="7183"/>
      </w:tblGrid>
      <w:tr w14:paraId="799D007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6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53F9D9A">
            <w:pPr>
              <w:pStyle w:val="27"/>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序</w:t>
            </w:r>
          </w:p>
          <w:p w14:paraId="1E7986A1">
            <w:pPr>
              <w:pStyle w:val="27"/>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号</w:t>
            </w:r>
          </w:p>
        </w:tc>
        <w:tc>
          <w:tcPr>
            <w:tcW w:w="2070" w:type="dxa"/>
            <w:tcBorders>
              <w:top w:val="single" w:color="auto" w:sz="4" w:space="0"/>
              <w:left w:val="single" w:color="auto" w:sz="4" w:space="0"/>
              <w:bottom w:val="single" w:color="auto" w:sz="4" w:space="0"/>
              <w:right w:val="single" w:color="auto" w:sz="4" w:space="0"/>
            </w:tcBorders>
            <w:noWrap/>
            <w:vAlign w:val="center"/>
          </w:tcPr>
          <w:p w14:paraId="6E357183">
            <w:pPr>
              <w:pStyle w:val="27"/>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内容</w:t>
            </w:r>
          </w:p>
        </w:tc>
        <w:tc>
          <w:tcPr>
            <w:tcW w:w="7183" w:type="dxa"/>
            <w:tcBorders>
              <w:top w:val="single" w:color="auto" w:sz="4" w:space="0"/>
              <w:left w:val="single" w:color="auto" w:sz="4" w:space="0"/>
              <w:bottom w:val="single" w:color="auto" w:sz="4" w:space="0"/>
              <w:right w:val="single" w:color="auto" w:sz="4" w:space="0"/>
            </w:tcBorders>
            <w:noWrap/>
            <w:vAlign w:val="center"/>
          </w:tcPr>
          <w:p w14:paraId="0FEBF90F">
            <w:pPr>
              <w:pStyle w:val="27"/>
              <w:tabs>
                <w:tab w:val="left" w:pos="1180"/>
              </w:tabs>
              <w:jc w:val="center"/>
              <w:rPr>
                <w:rFonts w:hint="eastAsia" w:asciiTheme="minorEastAsia" w:hAnsiTheme="minorEastAsia" w:eastAsiaTheme="minorEastAsia" w:cstheme="minorEastAsia"/>
                <w:b/>
                <w:bCs/>
                <w:color w:val="auto"/>
                <w:szCs w:val="24"/>
                <w:highlight w:val="none"/>
              </w:rPr>
            </w:pPr>
            <w:r>
              <w:rPr>
                <w:rFonts w:hint="eastAsia" w:asciiTheme="minorEastAsia" w:hAnsiTheme="minorEastAsia" w:eastAsiaTheme="minorEastAsia" w:cstheme="minorEastAsia"/>
                <w:b/>
                <w:bCs/>
                <w:color w:val="auto"/>
                <w:szCs w:val="24"/>
                <w:highlight w:val="none"/>
              </w:rPr>
              <w:t>说明与要求</w:t>
            </w:r>
          </w:p>
        </w:tc>
      </w:tr>
      <w:tr w14:paraId="3D096E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1BF8360">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p>
        </w:tc>
        <w:tc>
          <w:tcPr>
            <w:tcW w:w="2070" w:type="dxa"/>
            <w:tcBorders>
              <w:top w:val="single" w:color="auto" w:sz="4" w:space="0"/>
              <w:left w:val="single" w:color="auto" w:sz="4" w:space="0"/>
              <w:bottom w:val="single" w:color="auto" w:sz="4" w:space="0"/>
              <w:right w:val="single" w:color="auto" w:sz="4" w:space="0"/>
            </w:tcBorders>
            <w:noWrap/>
            <w:vAlign w:val="center"/>
          </w:tcPr>
          <w:p w14:paraId="3789B2AA">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p>
        </w:tc>
        <w:tc>
          <w:tcPr>
            <w:tcW w:w="7183" w:type="dxa"/>
            <w:tcBorders>
              <w:top w:val="single" w:color="auto" w:sz="4" w:space="0"/>
              <w:left w:val="single" w:color="auto" w:sz="4" w:space="0"/>
              <w:bottom w:val="single" w:color="auto" w:sz="4" w:space="0"/>
              <w:right w:val="single" w:color="auto" w:sz="4" w:space="0"/>
            </w:tcBorders>
            <w:noWrap/>
            <w:vAlign w:val="center"/>
          </w:tcPr>
          <w:p w14:paraId="646F6BDE">
            <w:pPr>
              <w:pStyle w:val="30"/>
              <w:wordWrap w:val="0"/>
              <w:adjustRightInd w:val="0"/>
              <w:snapToGrid w:val="0"/>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马市工业片区110kV两回路送出线路及对侧间隔扩建项目（一期）设计、施工总承包</w:t>
            </w:r>
          </w:p>
        </w:tc>
      </w:tr>
      <w:tr w14:paraId="5B7C6A4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B0A2100">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p>
        </w:tc>
        <w:tc>
          <w:tcPr>
            <w:tcW w:w="2070" w:type="dxa"/>
            <w:tcBorders>
              <w:top w:val="single" w:color="auto" w:sz="4" w:space="0"/>
              <w:left w:val="single" w:color="auto" w:sz="4" w:space="0"/>
              <w:bottom w:val="single" w:color="auto" w:sz="4" w:space="0"/>
              <w:right w:val="single" w:color="auto" w:sz="4" w:space="0"/>
            </w:tcBorders>
            <w:noWrap/>
            <w:vAlign w:val="center"/>
          </w:tcPr>
          <w:p w14:paraId="746D89BF">
            <w:pPr>
              <w:pStyle w:val="27"/>
              <w:jc w:val="center"/>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项目业主</w:t>
            </w:r>
          </w:p>
        </w:tc>
        <w:tc>
          <w:tcPr>
            <w:tcW w:w="7183" w:type="dxa"/>
            <w:tcBorders>
              <w:top w:val="single" w:color="auto" w:sz="4" w:space="0"/>
              <w:left w:val="single" w:color="auto" w:sz="4" w:space="0"/>
              <w:bottom w:val="single" w:color="auto" w:sz="4" w:space="0"/>
              <w:right w:val="single" w:color="auto" w:sz="4" w:space="0"/>
            </w:tcBorders>
            <w:noWrap/>
            <w:vAlign w:val="center"/>
          </w:tcPr>
          <w:p w14:paraId="682A291D">
            <w:pPr>
              <w:pStyle w:val="27"/>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color w:val="auto"/>
                <w:szCs w:val="24"/>
                <w:highlight w:val="none"/>
                <w:lang w:val="en-US" w:eastAsia="zh-CN"/>
              </w:rPr>
              <w:t>广东始兴工业园区管理委员会</w:t>
            </w:r>
          </w:p>
        </w:tc>
      </w:tr>
      <w:tr w14:paraId="6EA1B7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CC209FC">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2070" w:type="dxa"/>
            <w:tcBorders>
              <w:top w:val="single" w:color="auto" w:sz="4" w:space="0"/>
              <w:left w:val="single" w:color="auto" w:sz="4" w:space="0"/>
              <w:bottom w:val="single" w:color="auto" w:sz="4" w:space="0"/>
              <w:right w:val="single" w:color="auto" w:sz="4" w:space="0"/>
            </w:tcBorders>
            <w:noWrap/>
            <w:vAlign w:val="center"/>
          </w:tcPr>
          <w:p w14:paraId="6EB3ADF7">
            <w:pPr>
              <w:pStyle w:val="27"/>
              <w:jc w:val="center"/>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项目批准部门</w:t>
            </w:r>
          </w:p>
        </w:tc>
        <w:tc>
          <w:tcPr>
            <w:tcW w:w="7183" w:type="dxa"/>
            <w:tcBorders>
              <w:top w:val="single" w:color="auto" w:sz="4" w:space="0"/>
              <w:left w:val="single" w:color="auto" w:sz="4" w:space="0"/>
              <w:bottom w:val="single" w:color="auto" w:sz="4" w:space="0"/>
              <w:right w:val="single" w:color="auto" w:sz="4" w:space="0"/>
            </w:tcBorders>
            <w:noWrap/>
            <w:vAlign w:val="center"/>
          </w:tcPr>
          <w:p w14:paraId="70CD1D62">
            <w:pPr>
              <w:pStyle w:val="27"/>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color w:val="auto"/>
                <w:kern w:val="0"/>
                <w:szCs w:val="24"/>
                <w:highlight w:val="none"/>
                <w:lang w:eastAsia="zh-CN"/>
              </w:rPr>
              <w:t>始兴县发展和改革局</w:t>
            </w:r>
          </w:p>
        </w:tc>
      </w:tr>
      <w:tr w14:paraId="29DF555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468525E">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w:t>
            </w:r>
          </w:p>
        </w:tc>
        <w:tc>
          <w:tcPr>
            <w:tcW w:w="2070" w:type="dxa"/>
            <w:tcBorders>
              <w:top w:val="single" w:color="auto" w:sz="4" w:space="0"/>
              <w:left w:val="single" w:color="auto" w:sz="4" w:space="0"/>
              <w:bottom w:val="single" w:color="auto" w:sz="4" w:space="0"/>
              <w:right w:val="single" w:color="auto" w:sz="4" w:space="0"/>
            </w:tcBorders>
            <w:noWrap/>
            <w:vAlign w:val="center"/>
          </w:tcPr>
          <w:p w14:paraId="315E07AB">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项目批准文号</w:t>
            </w:r>
          </w:p>
        </w:tc>
        <w:tc>
          <w:tcPr>
            <w:tcW w:w="7183" w:type="dxa"/>
            <w:tcBorders>
              <w:top w:val="single" w:color="auto" w:sz="4" w:space="0"/>
              <w:left w:val="single" w:color="auto" w:sz="4" w:space="0"/>
              <w:bottom w:val="single" w:color="auto" w:sz="4" w:space="0"/>
              <w:right w:val="single" w:color="auto" w:sz="4" w:space="0"/>
            </w:tcBorders>
            <w:noWrap/>
            <w:vAlign w:val="center"/>
          </w:tcPr>
          <w:p w14:paraId="62BB0F43">
            <w:pPr>
              <w:wordWrap w:val="0"/>
              <w:adjustRightInd w:val="0"/>
              <w:snapToGrid w:val="0"/>
              <w:spacing w:line="360" w:lineRule="auto"/>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eastAsia="zh-CN"/>
              </w:rPr>
              <w:t>始发改投审〔</w:t>
            </w:r>
            <w:r>
              <w:rPr>
                <w:rFonts w:hint="eastAsia" w:asciiTheme="minorEastAsia" w:hAnsiTheme="minorEastAsia" w:eastAsiaTheme="minorEastAsia" w:cstheme="minorEastAsia"/>
                <w:snapToGrid w:val="0"/>
                <w:color w:val="auto"/>
                <w:kern w:val="0"/>
                <w:szCs w:val="24"/>
                <w:highlight w:val="none"/>
                <w:lang w:val="en-US" w:eastAsia="zh-CN"/>
              </w:rPr>
              <w:t>2025</w:t>
            </w:r>
            <w:r>
              <w:rPr>
                <w:rFonts w:hint="eastAsia" w:asciiTheme="minorEastAsia" w:hAnsiTheme="minorEastAsia" w:eastAsiaTheme="minorEastAsia" w:cstheme="minorEastAsia"/>
                <w:snapToGrid w:val="0"/>
                <w:color w:val="auto"/>
                <w:kern w:val="0"/>
                <w:szCs w:val="24"/>
                <w:highlight w:val="none"/>
                <w:lang w:eastAsia="zh-CN"/>
              </w:rPr>
              <w:t>〕</w:t>
            </w:r>
            <w:r>
              <w:rPr>
                <w:rFonts w:hint="eastAsia" w:asciiTheme="minorEastAsia" w:hAnsiTheme="minorEastAsia" w:eastAsiaTheme="minorEastAsia" w:cstheme="minorEastAsia"/>
                <w:snapToGrid w:val="0"/>
                <w:color w:val="auto"/>
                <w:kern w:val="0"/>
                <w:szCs w:val="24"/>
                <w:highlight w:val="none"/>
                <w:lang w:val="en-US" w:eastAsia="zh-CN"/>
              </w:rPr>
              <w:t>76</w:t>
            </w:r>
            <w:r>
              <w:rPr>
                <w:rFonts w:hint="eastAsia" w:asciiTheme="minorEastAsia" w:hAnsiTheme="minorEastAsia" w:eastAsiaTheme="minorEastAsia" w:cstheme="minorEastAsia"/>
                <w:snapToGrid w:val="0"/>
                <w:color w:val="auto"/>
                <w:kern w:val="0"/>
                <w:szCs w:val="24"/>
                <w:highlight w:val="none"/>
                <w:lang w:eastAsia="zh-CN"/>
              </w:rPr>
              <w:t>号</w:t>
            </w:r>
          </w:p>
        </w:tc>
      </w:tr>
      <w:tr w14:paraId="25613D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375"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28BFB9C">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w:t>
            </w:r>
          </w:p>
        </w:tc>
        <w:tc>
          <w:tcPr>
            <w:tcW w:w="2070" w:type="dxa"/>
            <w:tcBorders>
              <w:top w:val="single" w:color="auto" w:sz="4" w:space="0"/>
              <w:left w:val="single" w:color="auto" w:sz="4" w:space="0"/>
              <w:bottom w:val="single" w:color="auto" w:sz="4" w:space="0"/>
              <w:right w:val="single" w:color="auto" w:sz="4" w:space="0"/>
            </w:tcBorders>
            <w:noWrap/>
            <w:vAlign w:val="center"/>
          </w:tcPr>
          <w:p w14:paraId="4B91AA02">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项目代码</w:t>
            </w:r>
          </w:p>
        </w:tc>
        <w:tc>
          <w:tcPr>
            <w:tcW w:w="7183" w:type="dxa"/>
            <w:tcBorders>
              <w:top w:val="single" w:color="auto" w:sz="4" w:space="0"/>
              <w:left w:val="single" w:color="auto" w:sz="4" w:space="0"/>
              <w:bottom w:val="single" w:color="auto" w:sz="4" w:space="0"/>
              <w:right w:val="single" w:color="auto" w:sz="4" w:space="0"/>
            </w:tcBorders>
            <w:noWrap/>
            <w:vAlign w:val="center"/>
          </w:tcPr>
          <w:p w14:paraId="32B60A8A">
            <w:pPr>
              <w:wordWrap w:val="0"/>
              <w:adjustRightInd w:val="0"/>
              <w:snapToGrid w:val="0"/>
              <w:spacing w:line="360" w:lineRule="auto"/>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eastAsia="zh-CN"/>
              </w:rPr>
              <w:t>2510-440222-04-01-265764</w:t>
            </w:r>
          </w:p>
        </w:tc>
      </w:tr>
      <w:tr w14:paraId="0A5A759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78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D1DA744">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w:t>
            </w:r>
          </w:p>
        </w:tc>
        <w:tc>
          <w:tcPr>
            <w:tcW w:w="2070" w:type="dxa"/>
            <w:tcBorders>
              <w:top w:val="single" w:color="auto" w:sz="4" w:space="0"/>
              <w:left w:val="single" w:color="auto" w:sz="4" w:space="0"/>
              <w:bottom w:val="single" w:color="auto" w:sz="4" w:space="0"/>
              <w:right w:val="single" w:color="auto" w:sz="4" w:space="0"/>
            </w:tcBorders>
            <w:noWrap/>
            <w:vAlign w:val="center"/>
          </w:tcPr>
          <w:p w14:paraId="432082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资金来源</w:t>
            </w:r>
          </w:p>
          <w:p w14:paraId="640958D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及出资比例</w:t>
            </w:r>
          </w:p>
        </w:tc>
        <w:tc>
          <w:tcPr>
            <w:tcW w:w="7183" w:type="dxa"/>
            <w:tcBorders>
              <w:top w:val="single" w:color="auto" w:sz="4" w:space="0"/>
              <w:left w:val="single" w:color="auto" w:sz="4" w:space="0"/>
              <w:bottom w:val="single" w:color="auto" w:sz="4" w:space="0"/>
              <w:right w:val="single" w:color="auto" w:sz="4" w:space="0"/>
            </w:tcBorders>
            <w:noWrap/>
            <w:vAlign w:val="center"/>
          </w:tcPr>
          <w:p w14:paraId="5B28AE56">
            <w:pPr>
              <w:pStyle w:val="27"/>
              <w:tabs>
                <w:tab w:val="left" w:pos="1180"/>
              </w:tabs>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highlight w:val="none"/>
                <w:lang w:val="en-US" w:eastAsia="zh-CN"/>
              </w:rPr>
              <w:t>县级财政资金</w:t>
            </w:r>
            <w:r>
              <w:rPr>
                <w:rFonts w:hint="eastAsia" w:asciiTheme="minorEastAsia" w:hAnsiTheme="minorEastAsia" w:eastAsiaTheme="minorEastAsia" w:cstheme="minorEastAsia"/>
                <w:color w:val="auto"/>
                <w:highlight w:val="none"/>
                <w:lang w:eastAsia="zh-CN"/>
              </w:rPr>
              <w:t>安排解决</w:t>
            </w:r>
            <w:r>
              <w:rPr>
                <w:rFonts w:hint="eastAsia" w:asciiTheme="minorEastAsia" w:hAnsiTheme="minorEastAsia" w:eastAsiaTheme="minorEastAsia" w:cstheme="minorEastAsia"/>
                <w:color w:val="auto"/>
                <w:highlight w:val="none"/>
              </w:rPr>
              <w:t>100%</w:t>
            </w:r>
          </w:p>
        </w:tc>
      </w:tr>
      <w:tr w14:paraId="2EBFF8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77B5FAB">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w:t>
            </w:r>
          </w:p>
        </w:tc>
        <w:tc>
          <w:tcPr>
            <w:tcW w:w="2070" w:type="dxa"/>
            <w:tcBorders>
              <w:top w:val="single" w:color="auto" w:sz="4" w:space="0"/>
              <w:left w:val="single" w:color="auto" w:sz="4" w:space="0"/>
              <w:bottom w:val="single" w:color="auto" w:sz="4" w:space="0"/>
              <w:right w:val="single" w:color="auto" w:sz="4" w:space="0"/>
            </w:tcBorders>
            <w:noWrap/>
            <w:vAlign w:val="center"/>
          </w:tcPr>
          <w:p w14:paraId="765473E5">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招标人</w:t>
            </w:r>
          </w:p>
        </w:tc>
        <w:tc>
          <w:tcPr>
            <w:tcW w:w="7183" w:type="dxa"/>
            <w:tcBorders>
              <w:top w:val="single" w:color="auto" w:sz="4" w:space="0"/>
              <w:left w:val="single" w:color="auto" w:sz="4" w:space="0"/>
              <w:bottom w:val="single" w:color="auto" w:sz="4" w:space="0"/>
              <w:right w:val="single" w:color="auto" w:sz="4" w:space="0"/>
            </w:tcBorders>
            <w:noWrap/>
            <w:vAlign w:val="center"/>
          </w:tcPr>
          <w:p w14:paraId="46BE6C32">
            <w:pPr>
              <w:pStyle w:val="27"/>
              <w:rPr>
                <w:rFonts w:hint="eastAsia" w:asciiTheme="minorEastAsia" w:hAnsiTheme="minorEastAsia" w:eastAsiaTheme="minorEastAsia" w:cstheme="minorEastAsia"/>
                <w:bCs/>
                <w:color w:val="auto"/>
                <w:szCs w:val="24"/>
                <w:highlight w:val="none"/>
                <w:lang w:eastAsia="zh-CN"/>
              </w:rPr>
            </w:pPr>
            <w:r>
              <w:rPr>
                <w:rFonts w:hint="eastAsia" w:asciiTheme="minorEastAsia" w:hAnsiTheme="minorEastAsia" w:eastAsiaTheme="minorEastAsia" w:cstheme="minorEastAsia"/>
                <w:color w:val="auto"/>
                <w:kern w:val="0"/>
                <w:szCs w:val="24"/>
                <w:highlight w:val="none"/>
                <w:lang w:eastAsia="zh-CN"/>
              </w:rPr>
              <w:t>广东始兴工业园区管理委员会</w:t>
            </w:r>
          </w:p>
        </w:tc>
      </w:tr>
      <w:tr w14:paraId="3E84CFB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4B48B37">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8</w:t>
            </w:r>
          </w:p>
        </w:tc>
        <w:tc>
          <w:tcPr>
            <w:tcW w:w="2070" w:type="dxa"/>
            <w:tcBorders>
              <w:top w:val="single" w:color="auto" w:sz="4" w:space="0"/>
              <w:left w:val="single" w:color="auto" w:sz="4" w:space="0"/>
              <w:bottom w:val="single" w:color="auto" w:sz="4" w:space="0"/>
              <w:right w:val="single" w:color="auto" w:sz="4" w:space="0"/>
            </w:tcBorders>
            <w:noWrap/>
            <w:vAlign w:val="center"/>
          </w:tcPr>
          <w:p w14:paraId="4C8E4003">
            <w:pPr>
              <w:wordWrap w:val="0"/>
              <w:adjustRightInd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招标代理机构</w:t>
            </w:r>
          </w:p>
        </w:tc>
        <w:tc>
          <w:tcPr>
            <w:tcW w:w="7183" w:type="dxa"/>
            <w:tcBorders>
              <w:top w:val="single" w:color="auto" w:sz="4" w:space="0"/>
              <w:left w:val="single" w:color="auto" w:sz="4" w:space="0"/>
              <w:bottom w:val="single" w:color="auto" w:sz="4" w:space="0"/>
              <w:right w:val="single" w:color="auto" w:sz="4" w:space="0"/>
            </w:tcBorders>
            <w:noWrap/>
            <w:vAlign w:val="center"/>
          </w:tcPr>
          <w:p w14:paraId="68BE6ABB">
            <w:pPr>
              <w:pStyle w:val="27"/>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亿诚建设项目管理有限公司</w:t>
            </w:r>
          </w:p>
        </w:tc>
      </w:tr>
      <w:tr w14:paraId="6191862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39E6A443">
            <w:pPr>
              <w:pStyle w:val="27"/>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9</w:t>
            </w:r>
          </w:p>
        </w:tc>
        <w:tc>
          <w:tcPr>
            <w:tcW w:w="2070" w:type="dxa"/>
            <w:tcBorders>
              <w:top w:val="single" w:color="auto" w:sz="4" w:space="0"/>
              <w:left w:val="single" w:color="auto" w:sz="4" w:space="0"/>
              <w:bottom w:val="single" w:color="auto" w:sz="4" w:space="0"/>
              <w:right w:val="single" w:color="auto" w:sz="4" w:space="0"/>
            </w:tcBorders>
            <w:noWrap/>
            <w:vAlign w:val="center"/>
          </w:tcPr>
          <w:p w14:paraId="338FE507">
            <w:pPr>
              <w:pStyle w:val="27"/>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项目总投资</w:t>
            </w:r>
          </w:p>
        </w:tc>
        <w:tc>
          <w:tcPr>
            <w:tcW w:w="7183" w:type="dxa"/>
            <w:tcBorders>
              <w:top w:val="single" w:color="auto" w:sz="4" w:space="0"/>
              <w:left w:val="single" w:color="auto" w:sz="4" w:space="0"/>
              <w:bottom w:val="single" w:color="auto" w:sz="4" w:space="0"/>
              <w:right w:val="single" w:color="auto" w:sz="4" w:space="0"/>
            </w:tcBorders>
            <w:noWrap/>
            <w:vAlign w:val="center"/>
          </w:tcPr>
          <w:p w14:paraId="2EE7EA4B">
            <w:pPr>
              <w:pStyle w:val="27"/>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shd w:val="clear"/>
                <w:lang w:eastAsia="zh-CN"/>
              </w:rPr>
              <w:t>工程</w:t>
            </w:r>
            <w:r>
              <w:rPr>
                <w:rFonts w:hint="eastAsia" w:asciiTheme="minorEastAsia" w:hAnsiTheme="minorEastAsia" w:eastAsiaTheme="minorEastAsia" w:cstheme="minorEastAsia"/>
                <w:color w:val="auto"/>
                <w:highlight w:val="none"/>
                <w:shd w:val="clear"/>
                <w:lang w:val="en-US" w:eastAsia="zh-CN"/>
              </w:rPr>
              <w:t>概</w:t>
            </w:r>
            <w:r>
              <w:rPr>
                <w:rFonts w:hint="eastAsia" w:asciiTheme="minorEastAsia" w:hAnsiTheme="minorEastAsia" w:eastAsiaTheme="minorEastAsia" w:cstheme="minorEastAsia"/>
                <w:color w:val="auto"/>
                <w:highlight w:val="none"/>
                <w:shd w:val="clear"/>
                <w:lang w:eastAsia="zh-CN"/>
              </w:rPr>
              <w:t>算总投资</w:t>
            </w:r>
            <w:r>
              <w:rPr>
                <w:rFonts w:hint="eastAsia" w:asciiTheme="minorEastAsia" w:hAnsiTheme="minorEastAsia" w:eastAsiaTheme="minorEastAsia" w:cstheme="minorEastAsia"/>
                <w:color w:val="auto"/>
                <w:highlight w:val="none"/>
                <w:shd w:val="clear"/>
                <w:lang w:val="en-US" w:eastAsia="zh-CN"/>
              </w:rPr>
              <w:t>4454.21万元，</w:t>
            </w:r>
            <w:r>
              <w:rPr>
                <w:rFonts w:hint="eastAsia" w:ascii="宋体" w:hAnsi="宋体" w:eastAsia="宋体" w:cs="宋体"/>
                <w:b w:val="0"/>
                <w:bCs w:val="0"/>
                <w:snapToGrid w:val="0"/>
                <w:color w:val="auto"/>
                <w:kern w:val="0"/>
                <w:sz w:val="24"/>
                <w:szCs w:val="24"/>
                <w:highlight w:val="none"/>
                <w:shd w:val="clear"/>
                <w:lang w:val="en-US" w:eastAsia="zh-CN" w:bidi="ar-SA"/>
              </w:rPr>
              <w:t>本次招标</w:t>
            </w:r>
            <w:r>
              <w:rPr>
                <w:rFonts w:hint="eastAsia" w:ascii="宋体" w:hAnsi="宋体" w:eastAsia="宋体" w:cs="宋体"/>
                <w:snapToGrid w:val="0"/>
                <w:color w:val="auto"/>
                <w:kern w:val="0"/>
                <w:sz w:val="24"/>
                <w:szCs w:val="24"/>
                <w:highlight w:val="none"/>
                <w:shd w:val="clear"/>
                <w:lang w:val="en-US" w:eastAsia="zh-CN" w:bidi="ar-SA"/>
              </w:rPr>
              <w:t>约</w:t>
            </w:r>
            <w:r>
              <w:rPr>
                <w:rFonts w:hint="eastAsia" w:asciiTheme="minorEastAsia" w:hAnsiTheme="minorEastAsia" w:eastAsiaTheme="minorEastAsia" w:cstheme="minorEastAsia"/>
                <w:color w:val="auto"/>
                <w:highlight w:val="none"/>
                <w:shd w:val="clear"/>
                <w:lang w:val="en-US" w:eastAsia="zh-CN"/>
              </w:rPr>
              <w:t>2103.86</w:t>
            </w:r>
            <w:r>
              <w:rPr>
                <w:rFonts w:hint="eastAsia" w:asciiTheme="minorEastAsia" w:hAnsiTheme="minorEastAsia" w:eastAsiaTheme="minorEastAsia" w:cstheme="minorEastAsia"/>
                <w:color w:val="auto"/>
                <w:highlight w:val="none"/>
                <w:shd w:val="clear"/>
                <w:lang w:eastAsia="zh-CN"/>
              </w:rPr>
              <w:t>万元。</w:t>
            </w:r>
          </w:p>
        </w:tc>
      </w:tr>
      <w:tr w14:paraId="248B507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AF26399">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w:t>
            </w:r>
          </w:p>
        </w:tc>
        <w:tc>
          <w:tcPr>
            <w:tcW w:w="2070" w:type="dxa"/>
            <w:tcBorders>
              <w:top w:val="single" w:color="auto" w:sz="4" w:space="0"/>
              <w:left w:val="single" w:color="auto" w:sz="4" w:space="0"/>
              <w:bottom w:val="single" w:color="auto" w:sz="4" w:space="0"/>
              <w:right w:val="single" w:color="auto" w:sz="4" w:space="0"/>
            </w:tcBorders>
            <w:noWrap/>
            <w:vAlign w:val="center"/>
          </w:tcPr>
          <w:p w14:paraId="79A11CB9">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建设地点</w:t>
            </w:r>
          </w:p>
        </w:tc>
        <w:tc>
          <w:tcPr>
            <w:tcW w:w="7183" w:type="dxa"/>
            <w:tcBorders>
              <w:top w:val="single" w:color="auto" w:sz="4" w:space="0"/>
              <w:left w:val="single" w:color="auto" w:sz="4" w:space="0"/>
              <w:bottom w:val="single" w:color="auto" w:sz="4" w:space="0"/>
              <w:right w:val="single" w:color="auto" w:sz="4" w:space="0"/>
            </w:tcBorders>
            <w:noWrap/>
            <w:vAlign w:val="center"/>
          </w:tcPr>
          <w:p w14:paraId="19A428DE">
            <w:pPr>
              <w:pStyle w:val="27"/>
              <w:rPr>
                <w:rFonts w:hint="default" w:asciiTheme="minorEastAsia" w:hAnsiTheme="minorEastAsia" w:eastAsiaTheme="minorEastAsia" w:cstheme="minorEastAsia"/>
                <w:color w:val="auto"/>
                <w:kern w:val="0"/>
                <w:szCs w:val="24"/>
                <w:highlight w:val="none"/>
                <w:lang w:val="en-US" w:eastAsia="zh-CN"/>
              </w:rPr>
            </w:pPr>
            <w:r>
              <w:rPr>
                <w:rFonts w:hint="eastAsia" w:asciiTheme="minorEastAsia" w:hAnsiTheme="minorEastAsia" w:eastAsiaTheme="minorEastAsia" w:cstheme="minorEastAsia"/>
                <w:snapToGrid w:val="0"/>
                <w:color w:val="auto"/>
                <w:kern w:val="0"/>
                <w:highlight w:val="none"/>
                <w:lang w:eastAsia="zh-CN"/>
              </w:rPr>
              <w:t>始兴县</w:t>
            </w:r>
            <w:r>
              <w:rPr>
                <w:rFonts w:hint="eastAsia" w:asciiTheme="minorEastAsia" w:hAnsiTheme="minorEastAsia" w:eastAsiaTheme="minorEastAsia" w:cstheme="minorEastAsia"/>
                <w:snapToGrid w:val="0"/>
                <w:color w:val="auto"/>
                <w:kern w:val="0"/>
                <w:highlight w:val="none"/>
                <w:lang w:val="en-US" w:eastAsia="zh-CN"/>
              </w:rPr>
              <w:t>马市工业园区</w:t>
            </w:r>
          </w:p>
        </w:tc>
      </w:tr>
      <w:tr w14:paraId="30A3C3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1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C6EB2F1">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w:t>
            </w:r>
          </w:p>
        </w:tc>
        <w:tc>
          <w:tcPr>
            <w:tcW w:w="2070" w:type="dxa"/>
            <w:tcBorders>
              <w:top w:val="single" w:color="auto" w:sz="4" w:space="0"/>
              <w:left w:val="single" w:color="auto" w:sz="4" w:space="0"/>
              <w:bottom w:val="single" w:color="auto" w:sz="4" w:space="0"/>
              <w:right w:val="single" w:color="auto" w:sz="4" w:space="0"/>
            </w:tcBorders>
            <w:noWrap/>
            <w:vAlign w:val="center"/>
          </w:tcPr>
          <w:p w14:paraId="763AAD3D">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项目建设内容</w:t>
            </w:r>
          </w:p>
          <w:p w14:paraId="1ADA2C13">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和规模</w:t>
            </w:r>
          </w:p>
        </w:tc>
        <w:tc>
          <w:tcPr>
            <w:tcW w:w="7183" w:type="dxa"/>
            <w:tcBorders>
              <w:top w:val="single" w:color="auto" w:sz="4" w:space="0"/>
              <w:left w:val="single" w:color="auto" w:sz="4" w:space="0"/>
              <w:bottom w:val="single" w:color="auto" w:sz="4" w:space="0"/>
              <w:right w:val="single" w:color="auto" w:sz="4" w:space="0"/>
            </w:tcBorders>
            <w:noWrap/>
            <w:vAlign w:val="center"/>
          </w:tcPr>
          <w:p w14:paraId="6EE873FD">
            <w:pPr>
              <w:pStyle w:val="27"/>
              <w:jc w:val="left"/>
              <w:rPr>
                <w:rFonts w:hint="eastAsia" w:asciiTheme="minorEastAsia" w:hAnsiTheme="minorEastAsia" w:eastAsiaTheme="minorEastAsia" w:cstheme="minorEastAsia"/>
                <w:color w:val="auto"/>
                <w:highlight w:val="none"/>
                <w:lang w:eastAsia="zh-CN"/>
              </w:rPr>
            </w:pPr>
            <w:r>
              <w:rPr>
                <w:rFonts w:hint="eastAsia" w:asciiTheme="minorHAnsi" w:hAnsiTheme="minorHAnsi"/>
                <w:color w:val="auto"/>
                <w:highlight w:val="none"/>
                <w:lang w:eastAsia="zh-CN"/>
              </w:rPr>
              <w:t>（</w:t>
            </w:r>
            <w:r>
              <w:rPr>
                <w:rFonts w:hint="eastAsia" w:asciiTheme="minorHAnsi" w:hAnsiTheme="minorHAnsi"/>
                <w:color w:val="auto"/>
                <w:highlight w:val="none"/>
                <w:lang w:val="en-US" w:eastAsia="zh-CN"/>
              </w:rPr>
              <w:t>一</w:t>
            </w:r>
            <w:r>
              <w:rPr>
                <w:rFonts w:hint="eastAsia" w:asciiTheme="minorHAnsi" w:hAnsiTheme="minorHAnsi"/>
                <w:color w:val="auto"/>
                <w:highlight w:val="none"/>
                <w:lang w:eastAsia="zh-CN"/>
              </w:rPr>
              <w:t>）</w:t>
            </w:r>
            <w:r>
              <w:rPr>
                <w:rFonts w:hint="eastAsia"/>
                <w:color w:val="auto"/>
                <w:highlight w:val="none"/>
              </w:rPr>
              <w:t>至对侧110kV和平站工程</w:t>
            </w:r>
          </w:p>
          <w:p w14:paraId="637B064F">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（1）110kV建滔忠信站至110kV和平站线路工程</w:t>
            </w:r>
          </w:p>
          <w:p w14:paraId="261FC43A">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新建双回路杆塔3基(耐张塔3基)，新建单回路杆塔34基(耐张塔13基，直线塔21基)；新建110kV架空电缆混合线路总长约13.24km ，架空线路约1×12.73km，电缆敷设约1×0.51km调整导地线弧垂0.6km。新建线路导线采用JL/LB20A-300/40型铝包钢芯铝绞线，地线采用2根48芯OPGW复合光缆，本工程按单回路，5mm覆冰，基本风速23.5m/s设计。</w:t>
            </w:r>
          </w:p>
          <w:p w14:paraId="78E2F732">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新建电缆线路采用FY-YJLW03-Z-64/110kV-1×800mm²，电缆长510米。</w:t>
            </w:r>
          </w:p>
          <w:p w14:paraId="1F5CFF19">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（2）对侧110kV和平变电站扩建一个出线间隔</w:t>
            </w:r>
          </w:p>
          <w:p w14:paraId="6E52A714">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（3）10kV部分</w:t>
            </w:r>
          </w:p>
          <w:p w14:paraId="4DCF4A80">
            <w:pPr>
              <w:spacing w:line="360" w:lineRule="exact"/>
              <w:rPr>
                <w:rFonts w:hint="eastAsia" w:asciiTheme="minorEastAsia" w:hAnsiTheme="minorEastAsia" w:eastAsiaTheme="minorEastAsia" w:cstheme="minorEastAsia"/>
                <w:color w:val="auto"/>
                <w:highlight w:val="none"/>
                <w:lang w:eastAsia="zh-CN"/>
              </w:rPr>
            </w:pPr>
            <w:r>
              <w:rPr>
                <w:rFonts w:hint="eastAsia" w:ascii="宋体" w:hAnsi="宋体" w:eastAsia="宋体" w:cs="Times New Roman"/>
                <w:color w:val="auto"/>
                <w:sz w:val="24"/>
                <w:highlight w:val="none"/>
                <w:lang w:val="en-US" w:eastAsia="zh-CN"/>
              </w:rPr>
              <w:t>新建2回1</w:t>
            </w:r>
            <w:r>
              <w:rPr>
                <w:rFonts w:hint="default" w:ascii="宋体" w:hAnsi="宋体" w:eastAsia="宋体" w:cs="Times New Roman"/>
                <w:color w:val="auto"/>
                <w:sz w:val="24"/>
                <w:highlight w:val="none"/>
                <w:lang w:val="en-US" w:eastAsia="zh-CN"/>
              </w:rPr>
              <w:t>0kV电力电缆，ZRC-YJV22-8.7/15kV -3×300</w:t>
            </w:r>
            <w:r>
              <w:rPr>
                <w:rFonts w:hint="eastAsia" w:ascii="宋体" w:hAnsi="宋体" w:eastAsia="宋体" w:cs="Times New Roman"/>
                <w:color w:val="auto"/>
                <w:sz w:val="24"/>
                <w:highlight w:val="none"/>
                <w:lang w:val="en-US" w:eastAsia="zh-CN"/>
              </w:rPr>
              <w:t>mm²，电缆总长920米；新建2线埋管土建路径长372米，配套1层2列工井（行车型）6座；开挖及修复水泥路面297.6平方米，配套带电作业2项等。</w:t>
            </w:r>
          </w:p>
        </w:tc>
      </w:tr>
      <w:tr w14:paraId="6EF0A34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06F0C0B">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12</w:t>
            </w:r>
          </w:p>
        </w:tc>
        <w:tc>
          <w:tcPr>
            <w:tcW w:w="2070" w:type="dxa"/>
            <w:tcBorders>
              <w:top w:val="single" w:color="auto" w:sz="4" w:space="0"/>
              <w:left w:val="single" w:color="auto" w:sz="4" w:space="0"/>
              <w:bottom w:val="single" w:color="auto" w:sz="4" w:space="0"/>
              <w:right w:val="single" w:color="auto" w:sz="4" w:space="0"/>
            </w:tcBorders>
            <w:noWrap/>
            <w:vAlign w:val="center"/>
          </w:tcPr>
          <w:p w14:paraId="4DB9F180">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招标范围</w:t>
            </w:r>
          </w:p>
          <w:p w14:paraId="54D3E1CF">
            <w:pPr>
              <w:pStyle w:val="27"/>
              <w:jc w:val="center"/>
              <w:rPr>
                <w:rFonts w:hint="eastAsia" w:asciiTheme="minorEastAsia" w:hAnsiTheme="minorEastAsia" w:eastAsiaTheme="minorEastAsia" w:cstheme="minorEastAsia"/>
                <w:snapToGrid w:val="0"/>
                <w:color w:val="auto"/>
                <w:kern w:val="0"/>
                <w:szCs w:val="24"/>
                <w:highlight w:val="none"/>
              </w:rPr>
            </w:pPr>
          </w:p>
        </w:tc>
        <w:tc>
          <w:tcPr>
            <w:tcW w:w="7183" w:type="dxa"/>
            <w:tcBorders>
              <w:top w:val="single" w:color="auto" w:sz="4" w:space="0"/>
              <w:left w:val="single" w:color="auto" w:sz="4" w:space="0"/>
              <w:bottom w:val="single" w:color="auto" w:sz="4" w:space="0"/>
              <w:right w:val="single" w:color="auto" w:sz="4" w:space="0"/>
            </w:tcBorders>
            <w:noWrap/>
            <w:vAlign w:val="center"/>
          </w:tcPr>
          <w:p w14:paraId="4A499476">
            <w:pPr>
              <w:pStyle w:val="27"/>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本工程所涉及的内容包括但不限于以下（1）和（2）：</w:t>
            </w:r>
          </w:p>
          <w:p w14:paraId="246335E6">
            <w:pPr>
              <w:pStyle w:val="27"/>
              <w:ind w:firstLine="240" w:firstLineChars="100"/>
              <w:jc w:val="left"/>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lang w:eastAsia="zh-CN"/>
              </w:rPr>
              <w:t>（</w:t>
            </w:r>
            <w:r>
              <w:rPr>
                <w:rFonts w:hint="eastAsia" w:asciiTheme="minorEastAsia" w:hAnsiTheme="minorEastAsia" w:eastAsiaTheme="minorEastAsia" w:cstheme="minorEastAsia"/>
                <w:snapToGrid w:val="0"/>
                <w:color w:val="auto"/>
                <w:kern w:val="0"/>
                <w:highlight w:val="none"/>
                <w:lang w:val="en-US" w:eastAsia="zh-CN"/>
              </w:rPr>
              <w:t>1</w:t>
            </w:r>
            <w:r>
              <w:rPr>
                <w:rFonts w:hint="eastAsia" w:asciiTheme="minorEastAsia" w:hAnsiTheme="minorEastAsia" w:eastAsiaTheme="minorEastAsia" w:cstheme="minorEastAsia"/>
                <w:snapToGrid w:val="0"/>
                <w:color w:val="auto"/>
                <w:kern w:val="0"/>
                <w:highlight w:val="none"/>
                <w:lang w:eastAsia="zh-CN"/>
              </w:rPr>
              <w:t>）设计部分：本项目的设计范围：确保项目顺利实施的规划、报建、施工等所需的所有建安工程等设计文件。包括：初步设计及概算、施工图设计、施工图审查、验收过程中的设计指导及配合阶段验收等。</w:t>
            </w:r>
          </w:p>
          <w:p w14:paraId="139B8B29">
            <w:pPr>
              <w:pStyle w:val="27"/>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（2）施工部分：设计文件及工程量清单范围内的所有工程及配套工程、设施等的施工。</w:t>
            </w:r>
          </w:p>
          <w:p w14:paraId="6D5D8E66">
            <w:pPr>
              <w:pStyle w:val="27"/>
              <w:ind w:firstLine="240" w:firstLineChars="100"/>
              <w:jc w:val="left"/>
              <w:rPr>
                <w:rFonts w:hint="eastAsia" w:asciiTheme="minorEastAsia" w:hAnsiTheme="minorEastAsia" w:eastAsiaTheme="minorEastAsia" w:cstheme="minorEastAsia"/>
                <w:snapToGrid w:val="0"/>
                <w:color w:val="auto"/>
                <w:kern w:val="0"/>
                <w:highlight w:val="none"/>
                <w:lang w:val="en-US" w:eastAsia="zh-CN"/>
              </w:rPr>
            </w:pPr>
            <w:r>
              <w:rPr>
                <w:rFonts w:hint="eastAsia" w:asciiTheme="minorEastAsia" w:hAnsiTheme="minorEastAsia" w:eastAsiaTheme="minorEastAsia" w:cstheme="minorEastAsia"/>
                <w:snapToGrid w:val="0"/>
                <w:color w:val="auto"/>
                <w:kern w:val="0"/>
                <w:highlight w:val="none"/>
                <w:lang w:val="en-US" w:eastAsia="zh-CN"/>
              </w:rPr>
              <w:t>注：</w:t>
            </w:r>
            <w:r>
              <w:rPr>
                <w:rFonts w:hint="eastAsia" w:asciiTheme="minorEastAsia" w:hAnsiTheme="minorEastAsia" w:eastAsiaTheme="minorEastAsia" w:cstheme="minorEastAsia"/>
                <w:snapToGrid w:val="0"/>
                <w:color w:val="auto"/>
                <w:kern w:val="0"/>
                <w:highlight w:val="none"/>
                <w:lang w:eastAsia="zh-CN"/>
              </w:rPr>
              <w:t>具体详见本项目可行性研究报告。</w:t>
            </w:r>
          </w:p>
        </w:tc>
      </w:tr>
      <w:tr w14:paraId="424416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A16DDBA">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13</w:t>
            </w:r>
          </w:p>
        </w:tc>
        <w:tc>
          <w:tcPr>
            <w:tcW w:w="2070" w:type="dxa"/>
            <w:tcBorders>
              <w:top w:val="single" w:color="auto" w:sz="4" w:space="0"/>
              <w:left w:val="single" w:color="auto" w:sz="4" w:space="0"/>
              <w:bottom w:val="single" w:color="auto" w:sz="4" w:space="0"/>
              <w:right w:val="single" w:color="auto" w:sz="4" w:space="0"/>
            </w:tcBorders>
            <w:noWrap/>
            <w:vAlign w:val="center"/>
          </w:tcPr>
          <w:p w14:paraId="3CB04289">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标段划分</w:t>
            </w:r>
          </w:p>
        </w:tc>
        <w:tc>
          <w:tcPr>
            <w:tcW w:w="7183" w:type="dxa"/>
            <w:tcBorders>
              <w:top w:val="single" w:color="auto" w:sz="4" w:space="0"/>
              <w:left w:val="single" w:color="auto" w:sz="4" w:space="0"/>
              <w:bottom w:val="single" w:color="auto" w:sz="4" w:space="0"/>
              <w:right w:val="single" w:color="auto" w:sz="4" w:space="0"/>
            </w:tcBorders>
            <w:noWrap/>
            <w:vAlign w:val="center"/>
          </w:tcPr>
          <w:p w14:paraId="7C0C9D81">
            <w:pPr>
              <w:wordWrap w:val="0"/>
              <w:adjustRightInd w:val="0"/>
              <w:snapToGrid w:val="0"/>
              <w:spacing w:line="360" w:lineRule="auto"/>
              <w:ind w:firstLine="240" w:firstLineChars="100"/>
              <w:rPr>
                <w:rFonts w:hint="eastAsia" w:asciiTheme="minorEastAsia" w:hAnsiTheme="minorEastAsia" w:eastAsiaTheme="minorEastAsia" w:cstheme="minorEastAsia"/>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lang w:eastAsia="zh-CN"/>
              </w:rPr>
              <w:t>本招标项目不划分标段。</w:t>
            </w:r>
          </w:p>
        </w:tc>
      </w:tr>
      <w:tr w14:paraId="5BFEACC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0F5E8EA">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w:t>
            </w:r>
          </w:p>
        </w:tc>
        <w:tc>
          <w:tcPr>
            <w:tcW w:w="2070" w:type="dxa"/>
            <w:tcBorders>
              <w:top w:val="single" w:color="auto" w:sz="4" w:space="0"/>
              <w:left w:val="single" w:color="auto" w:sz="4" w:space="0"/>
              <w:bottom w:val="single" w:color="auto" w:sz="4" w:space="0"/>
              <w:right w:val="single" w:color="auto" w:sz="4" w:space="0"/>
            </w:tcBorders>
            <w:noWrap/>
            <w:vAlign w:val="center"/>
          </w:tcPr>
          <w:p w14:paraId="0CF9C219">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工期</w:t>
            </w:r>
          </w:p>
        </w:tc>
        <w:tc>
          <w:tcPr>
            <w:tcW w:w="7183" w:type="dxa"/>
            <w:tcBorders>
              <w:top w:val="single" w:color="auto" w:sz="4" w:space="0"/>
              <w:left w:val="single" w:color="auto" w:sz="4" w:space="0"/>
              <w:bottom w:val="single" w:color="auto" w:sz="4" w:space="0"/>
              <w:right w:val="single" w:color="auto" w:sz="4" w:space="0"/>
            </w:tcBorders>
            <w:noWrap/>
            <w:vAlign w:val="center"/>
          </w:tcPr>
          <w:p w14:paraId="2897BBCA">
            <w:pPr>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color w:val="auto"/>
                <w:kern w:val="0"/>
                <w:highlight w:val="none"/>
                <w:lang w:val="en-US" w:eastAsia="zh-CN"/>
              </w:rPr>
              <w:t>本项目勘察、设计、施工工期：</w:t>
            </w:r>
            <w:r>
              <w:rPr>
                <w:rFonts w:hint="eastAsia" w:asciiTheme="minorEastAsia" w:hAnsiTheme="minorEastAsia" w:eastAsiaTheme="minorEastAsia" w:cstheme="minorEastAsia"/>
                <w:color w:val="auto"/>
                <w:kern w:val="0"/>
                <w:highlight w:val="none"/>
                <w:u w:val="single"/>
                <w:lang w:val="en-US" w:eastAsia="zh-CN"/>
              </w:rPr>
              <w:t>140</w:t>
            </w:r>
            <w:r>
              <w:rPr>
                <w:rFonts w:hint="eastAsia" w:asciiTheme="minorEastAsia" w:hAnsiTheme="minorEastAsia" w:eastAsiaTheme="minorEastAsia" w:cstheme="minorEastAsia"/>
                <w:color w:val="auto"/>
                <w:kern w:val="0"/>
                <w:highlight w:val="none"/>
                <w:lang w:eastAsia="zh-CN"/>
              </w:rPr>
              <w:t>日历天【其中：</w:t>
            </w:r>
            <w:r>
              <w:rPr>
                <w:rFonts w:hint="eastAsia" w:asciiTheme="minorEastAsia" w:hAnsiTheme="minorEastAsia" w:eastAsiaTheme="minorEastAsia" w:cstheme="minorEastAsia"/>
                <w:color w:val="auto"/>
                <w:kern w:val="0"/>
                <w:highlight w:val="none"/>
                <w:lang w:val="en-US" w:eastAsia="zh-CN"/>
              </w:rPr>
              <w:t>勘察、</w:t>
            </w:r>
            <w:r>
              <w:rPr>
                <w:rFonts w:hint="eastAsia" w:asciiTheme="minorEastAsia" w:hAnsiTheme="minorEastAsia" w:eastAsiaTheme="minorEastAsia" w:cstheme="minorEastAsia"/>
                <w:color w:val="auto"/>
                <w:kern w:val="0"/>
                <w:highlight w:val="none"/>
                <w:lang w:eastAsia="zh-CN"/>
              </w:rPr>
              <w:t>设计工期</w:t>
            </w:r>
            <w:r>
              <w:rPr>
                <w:rFonts w:hint="eastAsia" w:asciiTheme="minorEastAsia" w:hAnsiTheme="minorEastAsia" w:eastAsiaTheme="minorEastAsia" w:cstheme="minorEastAsia"/>
                <w:color w:val="auto"/>
                <w:kern w:val="0"/>
                <w:highlight w:val="none"/>
                <w:u w:val="single"/>
                <w:lang w:val="en-US" w:eastAsia="zh-CN"/>
              </w:rPr>
              <w:t>20</w:t>
            </w:r>
            <w:r>
              <w:rPr>
                <w:rFonts w:hint="eastAsia" w:asciiTheme="minorEastAsia" w:hAnsiTheme="minorEastAsia" w:eastAsiaTheme="minorEastAsia" w:cstheme="minorEastAsia"/>
                <w:color w:val="auto"/>
                <w:kern w:val="0"/>
                <w:highlight w:val="none"/>
                <w:lang w:eastAsia="zh-CN"/>
              </w:rPr>
              <w:t>日历天、施工工期</w:t>
            </w:r>
            <w:r>
              <w:rPr>
                <w:rFonts w:hint="eastAsia" w:asciiTheme="minorEastAsia" w:hAnsiTheme="minorEastAsia" w:eastAsiaTheme="minorEastAsia" w:cstheme="minorEastAsia"/>
                <w:color w:val="auto"/>
                <w:kern w:val="0"/>
                <w:highlight w:val="none"/>
                <w:u w:val="single"/>
                <w:lang w:val="en-US" w:eastAsia="zh-CN"/>
              </w:rPr>
              <w:t>120</w:t>
            </w:r>
            <w:r>
              <w:rPr>
                <w:rFonts w:hint="eastAsia" w:asciiTheme="minorEastAsia" w:hAnsiTheme="minorEastAsia" w:eastAsiaTheme="minorEastAsia" w:cstheme="minorEastAsia"/>
                <w:color w:val="auto"/>
                <w:kern w:val="0"/>
                <w:highlight w:val="none"/>
                <w:lang w:eastAsia="zh-CN"/>
              </w:rPr>
              <w:t>日历天】。</w:t>
            </w:r>
          </w:p>
        </w:tc>
      </w:tr>
      <w:tr w14:paraId="0FCEB42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962744D">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w:t>
            </w:r>
          </w:p>
        </w:tc>
        <w:tc>
          <w:tcPr>
            <w:tcW w:w="2070" w:type="dxa"/>
            <w:tcBorders>
              <w:top w:val="single" w:color="auto" w:sz="4" w:space="0"/>
              <w:left w:val="single" w:color="auto" w:sz="4" w:space="0"/>
              <w:bottom w:val="single" w:color="auto" w:sz="4" w:space="0"/>
              <w:right w:val="single" w:color="auto" w:sz="4" w:space="0"/>
            </w:tcBorders>
            <w:noWrap/>
            <w:vAlign w:val="center"/>
          </w:tcPr>
          <w:p w14:paraId="6133B793">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质量标准</w:t>
            </w:r>
          </w:p>
        </w:tc>
        <w:tc>
          <w:tcPr>
            <w:tcW w:w="7183" w:type="dxa"/>
            <w:tcBorders>
              <w:top w:val="single" w:color="auto" w:sz="4" w:space="0"/>
              <w:left w:val="single" w:color="auto" w:sz="4" w:space="0"/>
              <w:bottom w:val="single" w:color="auto" w:sz="4" w:space="0"/>
              <w:right w:val="single" w:color="auto" w:sz="4" w:space="0"/>
            </w:tcBorders>
            <w:noWrap/>
            <w:vAlign w:val="center"/>
          </w:tcPr>
          <w:p w14:paraId="03018FA0">
            <w:pPr>
              <w:pStyle w:val="27"/>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勘察要求：符合现行的国家及地方的有关勘察规范要求。</w:t>
            </w:r>
          </w:p>
          <w:p w14:paraId="19509757">
            <w:pPr>
              <w:pStyle w:val="27"/>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设计要求：符合国家或行业颁布的现行有效的有关设计的规范要求，并必须通过有关部门的审查及经有资质的审图机构审查合格。</w:t>
            </w:r>
          </w:p>
          <w:p w14:paraId="0A047190">
            <w:pPr>
              <w:pStyle w:val="27"/>
              <w:ind w:firstLine="240" w:firstLineChars="100"/>
              <w:jc w:val="left"/>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snapToGrid w:val="0"/>
                <w:color w:val="auto"/>
                <w:kern w:val="0"/>
                <w:highlight w:val="none"/>
              </w:rPr>
              <w:t>施工要求：施工质量必须达到合格标准。</w:t>
            </w:r>
          </w:p>
        </w:tc>
      </w:tr>
      <w:tr w14:paraId="16BDB1E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928"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2932D71">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16</w:t>
            </w:r>
          </w:p>
        </w:tc>
        <w:tc>
          <w:tcPr>
            <w:tcW w:w="2070" w:type="dxa"/>
            <w:tcBorders>
              <w:top w:val="single" w:color="auto" w:sz="4" w:space="0"/>
              <w:left w:val="single" w:color="auto" w:sz="4" w:space="0"/>
              <w:bottom w:val="single" w:color="auto" w:sz="4" w:space="0"/>
              <w:right w:val="single" w:color="auto" w:sz="4" w:space="0"/>
            </w:tcBorders>
            <w:noWrap/>
            <w:vAlign w:val="center"/>
          </w:tcPr>
          <w:p w14:paraId="3E69B84F">
            <w:pPr>
              <w:pStyle w:val="27"/>
              <w:spacing w:line="24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工程最高投标限价</w:t>
            </w:r>
          </w:p>
        </w:tc>
        <w:tc>
          <w:tcPr>
            <w:tcW w:w="7183" w:type="dxa"/>
            <w:tcBorders>
              <w:top w:val="single" w:color="auto" w:sz="4" w:space="0"/>
              <w:left w:val="single" w:color="auto" w:sz="4" w:space="0"/>
              <w:bottom w:val="single" w:color="auto" w:sz="4" w:space="0"/>
              <w:right w:val="single" w:color="auto" w:sz="4" w:space="0"/>
            </w:tcBorders>
            <w:noWrap/>
            <w:vAlign w:val="center"/>
          </w:tcPr>
          <w:p w14:paraId="286E6D94">
            <w:pPr>
              <w:pStyle w:val="27"/>
              <w:spacing w:line="240" w:lineRule="auto"/>
              <w:ind w:firstLine="240" w:firstLineChars="100"/>
              <w:rPr>
                <w:rFonts w:hint="default" w:asciiTheme="minorEastAsia" w:hAnsiTheme="minorEastAsia" w:eastAsiaTheme="minorEastAsia" w:cstheme="minorEastAsia"/>
                <w:snapToGrid w:val="0"/>
                <w:color w:val="auto"/>
                <w:kern w:val="0"/>
                <w:szCs w:val="24"/>
                <w:highlight w:val="none"/>
                <w:lang w:val="en-US"/>
              </w:rPr>
            </w:pPr>
            <w:r>
              <w:rPr>
                <w:rFonts w:hint="eastAsia" w:asciiTheme="minorEastAsia" w:hAnsiTheme="minorEastAsia" w:eastAsiaTheme="minorEastAsia" w:cstheme="minorEastAsia"/>
                <w:color w:val="auto"/>
                <w:szCs w:val="24"/>
                <w:highlight w:val="none"/>
                <w:lang w:eastAsia="zh-CN"/>
              </w:rPr>
              <w:t>本项目最高投标限价为人民币（大写）：</w:t>
            </w:r>
            <w:r>
              <w:rPr>
                <w:rFonts w:hint="eastAsia" w:asciiTheme="minorEastAsia" w:hAnsiTheme="minorEastAsia" w:eastAsiaTheme="minorEastAsia" w:cstheme="minorEastAsia"/>
                <w:color w:val="auto"/>
                <w:szCs w:val="24"/>
                <w:highlight w:val="none"/>
                <w:u w:val="single"/>
                <w:lang w:val="en-US" w:eastAsia="zh-CN"/>
              </w:rPr>
              <w:t>贰仟壹佰零叁万捌仟陆佰元（¥21038600.00元）</w:t>
            </w:r>
            <w:r>
              <w:rPr>
                <w:rFonts w:hint="eastAsia" w:asciiTheme="minorEastAsia" w:hAnsiTheme="minorEastAsia" w:eastAsiaTheme="minorEastAsia" w:cstheme="minorEastAsia"/>
                <w:color w:val="auto"/>
                <w:szCs w:val="24"/>
                <w:highlight w:val="none"/>
                <w:u w:val="none"/>
                <w:lang w:val="en-US" w:eastAsia="zh-CN"/>
              </w:rPr>
              <w:t>；</w:t>
            </w:r>
            <w:r>
              <w:rPr>
                <w:rFonts w:hint="eastAsia" w:asciiTheme="minorEastAsia" w:hAnsiTheme="minorEastAsia" w:eastAsiaTheme="minorEastAsia" w:cstheme="minorEastAsia"/>
                <w:color w:val="auto"/>
                <w:szCs w:val="24"/>
                <w:highlight w:val="none"/>
                <w:lang w:val="en-US" w:eastAsia="zh-CN"/>
              </w:rPr>
              <w:t>其中建安工程费为</w:t>
            </w:r>
            <w:r>
              <w:rPr>
                <w:rFonts w:hint="eastAsia" w:asciiTheme="minorEastAsia" w:hAnsiTheme="minorEastAsia" w:eastAsiaTheme="minorEastAsia" w:cstheme="minorEastAsia"/>
                <w:color w:val="auto"/>
                <w:szCs w:val="24"/>
                <w:highlight w:val="none"/>
                <w:u w:val="single"/>
                <w:lang w:val="en-US" w:eastAsia="zh-CN"/>
              </w:rPr>
              <w:t>1722.69万元、建设场地征用及清理费261.28万元、勘察、设计费为119.89万元</w:t>
            </w:r>
            <w:r>
              <w:rPr>
                <w:rFonts w:hint="eastAsia" w:asciiTheme="minorEastAsia" w:hAnsiTheme="minorEastAsia" w:eastAsiaTheme="minorEastAsia" w:cstheme="minorEastAsia"/>
                <w:color w:val="auto"/>
                <w:szCs w:val="24"/>
                <w:highlight w:val="none"/>
                <w:lang w:val="en-US" w:eastAsia="zh-CN"/>
              </w:rPr>
              <w:t>。</w:t>
            </w:r>
          </w:p>
        </w:tc>
      </w:tr>
      <w:tr w14:paraId="67176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B8D84BA">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17</w:t>
            </w:r>
          </w:p>
        </w:tc>
        <w:tc>
          <w:tcPr>
            <w:tcW w:w="2070" w:type="dxa"/>
            <w:tcBorders>
              <w:top w:val="single" w:color="auto" w:sz="4" w:space="0"/>
              <w:left w:val="single" w:color="auto" w:sz="4" w:space="0"/>
              <w:bottom w:val="single" w:color="auto" w:sz="4" w:space="0"/>
              <w:right w:val="single" w:color="auto" w:sz="4" w:space="0"/>
            </w:tcBorders>
            <w:noWrap/>
            <w:vAlign w:val="center"/>
          </w:tcPr>
          <w:p w14:paraId="47306240">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投标人资格要求</w:t>
            </w:r>
          </w:p>
        </w:tc>
        <w:tc>
          <w:tcPr>
            <w:tcW w:w="7183" w:type="dxa"/>
            <w:tcBorders>
              <w:top w:val="single" w:color="auto" w:sz="4" w:space="0"/>
              <w:left w:val="single" w:color="auto" w:sz="4" w:space="0"/>
              <w:bottom w:val="single" w:color="auto" w:sz="4" w:space="0"/>
              <w:right w:val="single" w:color="auto" w:sz="4" w:space="0"/>
            </w:tcBorders>
            <w:noWrap/>
            <w:vAlign w:val="center"/>
          </w:tcPr>
          <w:p w14:paraId="1E8507B9">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1．本次招标</w:t>
            </w:r>
            <w:r>
              <w:rPr>
                <w:rFonts w:hint="eastAsia" w:asciiTheme="minorEastAsia" w:hAnsiTheme="minorEastAsia" w:eastAsiaTheme="minorEastAsia" w:cstheme="minorEastAsia"/>
                <w:color w:val="auto"/>
                <w:sz w:val="24"/>
                <w:highlight w:val="none"/>
                <w:u w:val="single"/>
              </w:rPr>
              <w:t>接受</w:t>
            </w:r>
            <w:r>
              <w:rPr>
                <w:rFonts w:hint="eastAsia" w:asciiTheme="minorEastAsia" w:hAnsiTheme="minorEastAsia" w:eastAsiaTheme="minorEastAsia" w:cstheme="minorEastAsia"/>
                <w:color w:val="auto"/>
                <w:sz w:val="24"/>
                <w:highlight w:val="none"/>
              </w:rPr>
              <w:t>联合体投标，联合体以一个投标人的身份共同投标。</w:t>
            </w:r>
          </w:p>
          <w:p w14:paraId="009C2C69">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1.1．联合体成员数量不超过</w:t>
            </w:r>
            <w:r>
              <w:rPr>
                <w:rFonts w:hint="eastAsia" w:asciiTheme="minorEastAsia" w:hAnsiTheme="minorEastAsia" w:eastAsiaTheme="minorEastAsia" w:cstheme="minorEastAsia"/>
                <w:color w:val="auto"/>
                <w:sz w:val="24"/>
                <w:highlight w:val="none"/>
                <w:u w:val="single"/>
              </w:rPr>
              <w:t>2</w:t>
            </w:r>
            <w:r>
              <w:rPr>
                <w:rFonts w:hint="eastAsia" w:asciiTheme="minorEastAsia" w:hAnsiTheme="minorEastAsia" w:eastAsiaTheme="minorEastAsia" w:cstheme="minorEastAsia"/>
                <w:color w:val="auto"/>
                <w:sz w:val="24"/>
                <w:highlight w:val="none"/>
              </w:rPr>
              <w:t>个。</w:t>
            </w:r>
          </w:p>
          <w:p w14:paraId="0FA9B92C">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1.2．联合体各方应按招标文件提供的格式签订联合体协议书，明确联合体牵头人和各方权利义务，并承诺就中标项目向招标人承担连带责任。《联合体协议书》作为投标文件的组成部分向招标人提交。</w:t>
            </w:r>
          </w:p>
          <w:p w14:paraId="45C93587">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1.3．联合体成员单位均应具备拟承担的工作内容（以《联合体协议书》的约定为准）所规定的资格条件。若同一工作内容由两个或两个以上单位共同承担，该项工作内容按照资质等级较低的单位确定联合体资质等级。</w:t>
            </w:r>
          </w:p>
          <w:p w14:paraId="3DE442E5">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1.4．联合体各方不得再以自己名义单独或参加其他联合体在本招标项目中投标，否则各相关投标均无效。</w:t>
            </w:r>
          </w:p>
          <w:p w14:paraId="5D6B696E">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2.资质要求</w:t>
            </w:r>
          </w:p>
          <w:p w14:paraId="3548C688">
            <w:pPr>
              <w:pStyle w:val="30"/>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2.1．投标人须具备独立法人资格，按国家法律经营。</w:t>
            </w:r>
          </w:p>
          <w:p w14:paraId="161B9222">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2.2．投标人须持有行政主管部门颁发的企业资质证书。</w:t>
            </w:r>
          </w:p>
          <w:p w14:paraId="00A93FB8">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参加投标的投标人可以是单一独立法人或由不超过两家独立法人组成的联合体（必须注明其中一家为牵头人；联合体成员中设计、施工单位分别不得超过一家），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由同一专业的单位组成的联合体，按照资质等级较低的单位确定资质等级：</w:t>
            </w:r>
          </w:p>
          <w:p w14:paraId="44CC86F9">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①施工资质</w:t>
            </w:r>
            <w:r>
              <w:rPr>
                <w:rFonts w:hint="eastAsia" w:asciiTheme="minorEastAsia" w:hAnsiTheme="minorEastAsia" w:eastAsiaTheme="minorEastAsia" w:cstheme="minorEastAsia"/>
                <w:color w:val="auto"/>
                <w:sz w:val="24"/>
                <w:highlight w:val="none"/>
                <w:lang w:val="en-US" w:eastAsia="zh-CN"/>
              </w:rPr>
              <w:t>要求</w:t>
            </w:r>
            <w:r>
              <w:rPr>
                <w:rFonts w:hint="eastAsia" w:asciiTheme="minorEastAsia" w:hAnsiTheme="minorEastAsia" w:eastAsiaTheme="minorEastAsia" w:cstheme="minorEastAsia"/>
                <w:color w:val="auto"/>
                <w:sz w:val="24"/>
                <w:highlight w:val="none"/>
                <w:lang w:val="zh-CN"/>
              </w:rPr>
              <w:t>：具备电力工程施工总承包三级以上（含三级）资质或输变电工程专业承包三级以上（含三级）资质，并持有有效安全生产许可证和《承装（修、试）电力设施许可证》承装类三级以上（含三级）资质：</w:t>
            </w:r>
          </w:p>
          <w:p w14:paraId="1BEDCC5E">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②设计资质要求：工程设计综合甲级资质或工程设计电力行业乙级及以上资质或工程设计电力行业（变电工程、送电工程）专业乙级及以上资质。</w:t>
            </w:r>
          </w:p>
          <w:p w14:paraId="51BE53FD">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注：投标人在中标后，</w:t>
            </w:r>
            <w:r>
              <w:rPr>
                <w:rFonts w:hint="eastAsia" w:asciiTheme="minorEastAsia" w:hAnsiTheme="minorEastAsia" w:eastAsiaTheme="minorEastAsia" w:cstheme="minorEastAsia"/>
                <w:color w:val="auto"/>
                <w:sz w:val="24"/>
                <w:highlight w:val="none"/>
                <w:lang w:val="en-US" w:eastAsia="zh-CN"/>
              </w:rPr>
              <w:t>中标</w:t>
            </w:r>
            <w:r>
              <w:rPr>
                <w:rFonts w:hint="eastAsia" w:asciiTheme="minorEastAsia" w:hAnsiTheme="minorEastAsia" w:eastAsiaTheme="minorEastAsia" w:cstheme="minorEastAsia"/>
                <w:color w:val="auto"/>
                <w:sz w:val="24"/>
                <w:highlight w:val="none"/>
              </w:rPr>
              <w:t>企业若不具备相应的工程勘察资质可由</w:t>
            </w:r>
            <w:r>
              <w:rPr>
                <w:rFonts w:hint="eastAsia" w:asciiTheme="minorEastAsia" w:hAnsiTheme="minorEastAsia" w:eastAsiaTheme="minorEastAsia" w:cstheme="minorEastAsia"/>
                <w:color w:val="auto"/>
                <w:sz w:val="24"/>
                <w:highlight w:val="none"/>
                <w:lang w:val="en-US" w:eastAsia="zh-CN"/>
              </w:rPr>
              <w:t>中标人</w:t>
            </w:r>
            <w:r>
              <w:rPr>
                <w:rFonts w:hint="eastAsia" w:asciiTheme="minorEastAsia" w:hAnsiTheme="minorEastAsia" w:eastAsiaTheme="minorEastAsia" w:cstheme="minorEastAsia"/>
                <w:color w:val="auto"/>
                <w:sz w:val="24"/>
                <w:highlight w:val="none"/>
              </w:rPr>
              <w:t>另行委托有相应资质的单位进行工程勘察，费用已包含在本次招标费</w:t>
            </w:r>
            <w:r>
              <w:rPr>
                <w:rFonts w:hint="eastAsia" w:asciiTheme="minorEastAsia" w:hAnsiTheme="minorEastAsia" w:eastAsiaTheme="minorEastAsia" w:cstheme="minorEastAsia"/>
                <w:color w:val="auto"/>
                <w:sz w:val="24"/>
                <w:highlight w:val="none"/>
                <w:lang w:eastAsia="zh-CN"/>
              </w:rPr>
              <w:t>用</w:t>
            </w:r>
            <w:r>
              <w:rPr>
                <w:rFonts w:hint="eastAsia" w:asciiTheme="minorEastAsia" w:hAnsiTheme="minorEastAsia" w:eastAsiaTheme="minorEastAsia" w:cstheme="minorEastAsia"/>
                <w:color w:val="auto"/>
                <w:sz w:val="24"/>
                <w:highlight w:val="none"/>
              </w:rPr>
              <w:t>中。</w:t>
            </w:r>
          </w:p>
          <w:p w14:paraId="627D576F">
            <w:pPr>
              <w:pStyle w:val="30"/>
              <w:wordWrap w:val="0"/>
              <w:adjustRightInd w:val="0"/>
              <w:snapToGrid w:val="0"/>
              <w:spacing w:line="440" w:lineRule="exact"/>
              <w:ind w:firstLine="48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color w:val="auto"/>
                <w:sz w:val="24"/>
                <w:highlight w:val="none"/>
              </w:rPr>
              <w:t>2.4．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5D80A544">
            <w:pPr>
              <w:pStyle w:val="30"/>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3．相关人员要求</w:t>
            </w:r>
          </w:p>
          <w:p w14:paraId="1C254570">
            <w:pPr>
              <w:pStyle w:val="30"/>
              <w:wordWrap w:val="0"/>
              <w:adjustRightInd w:val="0"/>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w:t>
            </w:r>
            <w:r>
              <w:rPr>
                <w:rFonts w:hint="eastAsia" w:asciiTheme="minorEastAsia" w:hAnsiTheme="minorEastAsia" w:eastAsiaTheme="minorEastAsia" w:cstheme="minorEastAsia"/>
                <w:color w:val="auto"/>
                <w:sz w:val="24"/>
                <w:highlight w:val="none"/>
                <w:lang w:eastAsia="zh-CN"/>
              </w:rPr>
              <w:t>拟派项目经理为</w:t>
            </w:r>
            <w:r>
              <w:rPr>
                <w:rFonts w:hint="eastAsia" w:asciiTheme="minorEastAsia" w:hAnsiTheme="minorEastAsia" w:eastAsiaTheme="minorEastAsia" w:cstheme="minorEastAsia"/>
                <w:color w:val="auto"/>
                <w:sz w:val="24"/>
                <w:highlight w:val="none"/>
                <w:u w:val="single"/>
                <w:lang w:eastAsia="zh-CN"/>
              </w:rPr>
              <w:t>机电工程专业</w:t>
            </w:r>
            <w:r>
              <w:rPr>
                <w:rFonts w:hint="eastAsia" w:asciiTheme="minorEastAsia" w:hAnsiTheme="minorEastAsia" w:eastAsiaTheme="minorEastAsia" w:cstheme="minorEastAsia"/>
                <w:color w:val="auto"/>
                <w:sz w:val="24"/>
                <w:highlight w:val="none"/>
                <w:lang w:eastAsia="zh-CN"/>
              </w:rPr>
              <w:t>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726520BE">
            <w:pPr>
              <w:pStyle w:val="30"/>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3.2．投标人拟派项目技术负责人须具备</w:t>
            </w:r>
            <w:r>
              <w:rPr>
                <w:rFonts w:hint="eastAsia" w:asciiTheme="minorEastAsia" w:hAnsiTheme="minorEastAsia" w:eastAsiaTheme="minorEastAsia" w:cstheme="minorEastAsia"/>
                <w:color w:val="auto"/>
                <w:sz w:val="24"/>
                <w:highlight w:val="none"/>
                <w:u w:val="single"/>
              </w:rPr>
              <w:t>中级</w:t>
            </w:r>
            <w:r>
              <w:rPr>
                <w:rFonts w:hint="eastAsia" w:asciiTheme="minorEastAsia" w:hAnsiTheme="minorEastAsia" w:eastAsiaTheme="minorEastAsia" w:cstheme="minorEastAsia"/>
                <w:color w:val="auto"/>
                <w:sz w:val="24"/>
                <w:highlight w:val="none"/>
              </w:rPr>
              <w:t>以上(含中级)技术职称。</w:t>
            </w:r>
          </w:p>
          <w:p w14:paraId="427F1754">
            <w:pPr>
              <w:pStyle w:val="30"/>
              <w:wordWrap w:val="0"/>
              <w:adjustRightInd w:val="0"/>
              <w:snapToGrid w:val="0"/>
              <w:spacing w:line="360" w:lineRule="auto"/>
              <w:ind w:firstLine="480"/>
              <w:jc w:val="left"/>
              <w:rPr>
                <w:rFonts w:hint="default" w:asciiTheme="minorEastAsia" w:hAnsiTheme="minorEastAsia" w:eastAsiaTheme="minorEastAsia" w:cstheme="minorEastAsia"/>
                <w:color w:val="auto"/>
                <w:sz w:val="24"/>
                <w:highlight w:val="none"/>
                <w:lang w:val="en-US" w:eastAsia="zh-CN"/>
              </w:rPr>
            </w:pPr>
            <w:r>
              <w:rPr>
                <w:rFonts w:hint="eastAsia" w:asciiTheme="minorEastAsia" w:hAnsiTheme="minorEastAsia" w:eastAsiaTheme="minorEastAsia" w:cstheme="minorEastAsia"/>
                <w:color w:val="auto"/>
                <w:sz w:val="24"/>
                <w:highlight w:val="none"/>
                <w:lang w:val="en-US" w:eastAsia="zh-CN"/>
              </w:rPr>
              <w:t>3.3.投标人拟派项目设计负责人具有</w:t>
            </w:r>
            <w:r>
              <w:rPr>
                <w:rFonts w:hint="eastAsia" w:asciiTheme="minorEastAsia" w:hAnsiTheme="minorEastAsia" w:eastAsiaTheme="minorEastAsia" w:cstheme="minorEastAsia"/>
                <w:color w:val="auto"/>
                <w:sz w:val="24"/>
                <w:highlight w:val="none"/>
                <w:u w:val="single"/>
                <w:lang w:val="en-US" w:eastAsia="zh-CN"/>
              </w:rPr>
              <w:t>注册电气工程师</w:t>
            </w:r>
            <w:r>
              <w:rPr>
                <w:rFonts w:hint="eastAsia" w:asciiTheme="minorEastAsia" w:hAnsiTheme="minorEastAsia" w:eastAsiaTheme="minorEastAsia" w:cstheme="minorEastAsia"/>
                <w:color w:val="auto"/>
                <w:sz w:val="24"/>
                <w:highlight w:val="none"/>
                <w:lang w:val="en-US" w:eastAsia="zh-CN"/>
              </w:rPr>
              <w:t>执业资格。</w:t>
            </w:r>
          </w:p>
          <w:p w14:paraId="71692CFA">
            <w:pPr>
              <w:pStyle w:val="30"/>
              <w:wordWrap w:val="0"/>
              <w:adjustRightInd w:val="0"/>
              <w:snapToGrid w:val="0"/>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3.</w:t>
            </w:r>
            <w:r>
              <w:rPr>
                <w:rFonts w:hint="eastAsia" w:asciiTheme="minorEastAsia" w:hAnsiTheme="minorEastAsia" w:eastAsiaTheme="minorEastAsia" w:cstheme="minorEastAsia"/>
                <w:color w:val="auto"/>
                <w:sz w:val="24"/>
                <w:highlight w:val="none"/>
                <w:lang w:val="en-US" w:eastAsia="zh-CN"/>
              </w:rPr>
              <w:t>4</w:t>
            </w:r>
            <w:r>
              <w:rPr>
                <w:rFonts w:hint="eastAsia" w:asciiTheme="minorEastAsia" w:hAnsiTheme="minorEastAsia" w:eastAsiaTheme="minorEastAsia" w:cstheme="minorEastAsia"/>
                <w:color w:val="auto"/>
                <w:sz w:val="24"/>
                <w:highlight w:val="none"/>
              </w:rPr>
              <w:t>．拟派专职安全生产管理人员须具备有效安全生产考核合格证明（C证，安全生产考核合格证书或广东省建筑施工企业管理人员安全生产考核系统考核合格信息打印页），且不少于1人。</w:t>
            </w:r>
          </w:p>
          <w:p w14:paraId="06F4201D">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3.5．投标人（包括组成联合体的所有成员单位）与其拟派往本项目管理机构的所有人员之间必须具备合法、唯一的劳动聘用关系。拟派人员中具备注册执业资格的，其注册单位须与投标人保持一致。</w:t>
            </w:r>
          </w:p>
          <w:p w14:paraId="7A9A6871">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4．禁止投标条款：</w:t>
            </w:r>
          </w:p>
          <w:p w14:paraId="35727C04">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4.1．投标人不得存在下列情形之一：</w:t>
            </w:r>
          </w:p>
          <w:p w14:paraId="189564F5">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（1）为招标人不具有独立法人资格的附属机构（单位）；</w:t>
            </w:r>
          </w:p>
          <w:p w14:paraId="008023CD">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（2）为本招标项目前期准备提供咨询服务的；</w:t>
            </w:r>
          </w:p>
          <w:p w14:paraId="09324307">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（3）与本招标项目的其他投标人为同一个单位负责人；</w:t>
            </w:r>
          </w:p>
          <w:p w14:paraId="53151698">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（4）与本招标项目的其他投标人存在控股、管理关系；</w:t>
            </w:r>
          </w:p>
          <w:p w14:paraId="09B15582">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（5）为本招标项目的监理人；</w:t>
            </w:r>
          </w:p>
          <w:p w14:paraId="2AC0FD72">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（6）为本招标项目的代建人；</w:t>
            </w:r>
          </w:p>
          <w:p w14:paraId="2F82B27F">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（7）为本招标项目的招标代理机构；</w:t>
            </w:r>
          </w:p>
          <w:p w14:paraId="758D0550">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（8）与本招标项目的监理人或代建人或招标代理机构同为一个法定代表人；</w:t>
            </w:r>
          </w:p>
          <w:p w14:paraId="4461D84E">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（9）与本招标项目的监理人或代建人或招标代理机构存在控股或参股关系；</w:t>
            </w:r>
          </w:p>
          <w:p w14:paraId="72A27B48">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（10）与本招标项目的监理人或代建人或招标代理机构存在相互任职或工作关系；</w:t>
            </w:r>
          </w:p>
          <w:p w14:paraId="26E8F179">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（11）被依法暂停或者取消投标资格；</w:t>
            </w:r>
          </w:p>
          <w:p w14:paraId="21CCD9BB">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（12）被责令停产停业、暂扣或者吊销许可证、暂扣或者吊销执照；</w:t>
            </w:r>
          </w:p>
          <w:p w14:paraId="378034B4">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（13）进入清算程序，或被宣告破产，或其他丧失履约能力的情形；</w:t>
            </w:r>
          </w:p>
          <w:p w14:paraId="1A42E237">
            <w:pPr>
              <w:wordWrap w:val="0"/>
              <w:adjustRightInd w:val="0"/>
              <w:snapToGrid w:val="0"/>
              <w:spacing w:line="360" w:lineRule="auto"/>
              <w:ind w:left="240" w:left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（14）在最近三年内发生重大工程质量或安全问题（以相关行业主管部门的行政处罚决定或司法机关出具的有关法律文书为准）；</w:t>
            </w:r>
          </w:p>
          <w:p w14:paraId="749C8B7F">
            <w:pPr>
              <w:wordWrap w:val="0"/>
              <w:adjustRightInd w:val="0"/>
              <w:snapToGrid w:val="0"/>
              <w:spacing w:line="360" w:lineRule="auto"/>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（15）被“信用中国”网站（https://www.creditchina.gov.cn）发布的《法人和非法人组织公共信用信息报告》列入严重失信主体名单的。</w:t>
            </w:r>
          </w:p>
          <w:p w14:paraId="4D9C595F">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4.2．招标人拒绝以下名单中的单位参加本次投标：</w:t>
            </w:r>
          </w:p>
          <w:tbl>
            <w:tblPr>
              <w:tblStyle w:val="22"/>
              <w:tblW w:w="0" w:type="auto"/>
              <w:tblInd w:w="1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5"/>
              <w:gridCol w:w="3495"/>
              <w:gridCol w:w="2775"/>
            </w:tblGrid>
            <w:tr w14:paraId="5E8F8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5" w:type="dxa"/>
                  <w:noWrap/>
                  <w:vAlign w:val="center"/>
                </w:tcPr>
                <w:p w14:paraId="2B43CF02">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3495" w:type="dxa"/>
                  <w:noWrap/>
                  <w:vAlign w:val="center"/>
                </w:tcPr>
                <w:p w14:paraId="12D105D8">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单位名称</w:t>
                  </w:r>
                </w:p>
              </w:tc>
              <w:tc>
                <w:tcPr>
                  <w:tcW w:w="2775" w:type="dxa"/>
                  <w:noWrap/>
                  <w:vAlign w:val="center"/>
                </w:tcPr>
                <w:p w14:paraId="4B826FD2">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拒绝原因</w:t>
                  </w:r>
                </w:p>
              </w:tc>
            </w:tr>
            <w:tr w14:paraId="32E2C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5" w:type="dxa"/>
                  <w:noWrap/>
                  <w:vAlign w:val="center"/>
                </w:tcPr>
                <w:p w14:paraId="6AA9320A">
                  <w:pPr>
                    <w:wordWrap w:val="0"/>
                    <w:adjustRightInd w:val="0"/>
                    <w:snapToGrid w:val="0"/>
                    <w:spacing w:line="360" w:lineRule="auto"/>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3495" w:type="dxa"/>
                  <w:noWrap/>
                  <w:vAlign w:val="center"/>
                </w:tcPr>
                <w:p w14:paraId="7CB904F9">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广东始兴工业园区管理委员会</w:t>
                  </w:r>
                </w:p>
              </w:tc>
              <w:tc>
                <w:tcPr>
                  <w:tcW w:w="2775" w:type="dxa"/>
                  <w:noWrap/>
                  <w:vAlign w:val="center"/>
                </w:tcPr>
                <w:p w14:paraId="6E366A8E">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为本招标项目的招标人</w:t>
                  </w:r>
                </w:p>
              </w:tc>
            </w:tr>
            <w:tr w14:paraId="1576C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5" w:type="dxa"/>
                  <w:noWrap/>
                  <w:vAlign w:val="center"/>
                </w:tcPr>
                <w:p w14:paraId="54108E65">
                  <w:pPr>
                    <w:wordWrap w:val="0"/>
                    <w:adjustRightInd w:val="0"/>
                    <w:snapToGrid w:val="0"/>
                    <w:spacing w:line="360" w:lineRule="auto"/>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3495" w:type="dxa"/>
                  <w:noWrap/>
                  <w:vAlign w:val="center"/>
                </w:tcPr>
                <w:p w14:paraId="47C584D8">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广东始兴工业园区管理委员会</w:t>
                  </w:r>
                </w:p>
              </w:tc>
              <w:tc>
                <w:tcPr>
                  <w:tcW w:w="2775" w:type="dxa"/>
                  <w:noWrap/>
                  <w:vAlign w:val="center"/>
                </w:tcPr>
                <w:p w14:paraId="40D96E40">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为本招标项目的业主单位</w:t>
                  </w:r>
                </w:p>
              </w:tc>
            </w:tr>
            <w:tr w14:paraId="0ECBD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645" w:type="dxa"/>
                  <w:noWrap/>
                  <w:vAlign w:val="center"/>
                </w:tcPr>
                <w:p w14:paraId="78968DD3">
                  <w:pPr>
                    <w:wordWrap w:val="0"/>
                    <w:adjustRightInd w:val="0"/>
                    <w:snapToGrid w:val="0"/>
                    <w:spacing w:line="360" w:lineRule="auto"/>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3495" w:type="dxa"/>
                  <w:noWrap/>
                  <w:vAlign w:val="center"/>
                </w:tcPr>
                <w:p w14:paraId="75171184">
                  <w:pPr>
                    <w:wordWrap w:val="0"/>
                    <w:adjustRightInd w:val="0"/>
                    <w:snapToGrid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lang w:eastAsia="zh-CN"/>
                    </w:rPr>
                    <w:t>亿诚建设项目管理有限公司</w:t>
                  </w:r>
                </w:p>
              </w:tc>
              <w:tc>
                <w:tcPr>
                  <w:tcW w:w="2775" w:type="dxa"/>
                  <w:noWrap/>
                  <w:vAlign w:val="center"/>
                </w:tcPr>
                <w:p w14:paraId="24583BC2">
                  <w:pPr>
                    <w:wordWrap w:val="0"/>
                    <w:adjustRightInd w:val="0"/>
                    <w:snapToGrid w:val="0"/>
                    <w:spacing w:line="360" w:lineRule="auto"/>
                    <w:jc w:val="left"/>
                    <w:rPr>
                      <w:rFonts w:hint="default"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sz w:val="21"/>
                      <w:szCs w:val="21"/>
                      <w:highlight w:val="none"/>
                    </w:rPr>
                    <w:t>为本招标项目的招标代理机构</w:t>
                  </w:r>
                </w:p>
              </w:tc>
            </w:tr>
            <w:tr w14:paraId="4B98D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645" w:type="dxa"/>
                  <w:noWrap/>
                  <w:vAlign w:val="center"/>
                </w:tcPr>
                <w:p w14:paraId="0AB2FB4E">
                  <w:pPr>
                    <w:wordWrap w:val="0"/>
                    <w:adjustRightInd w:val="0"/>
                    <w:snapToGrid w:val="0"/>
                    <w:spacing w:line="360" w:lineRule="auto"/>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3495" w:type="dxa"/>
                  <w:noWrap/>
                  <w:vAlign w:val="center"/>
                </w:tcPr>
                <w:p w14:paraId="6590B104">
                  <w:pPr>
                    <w:wordWrap w:val="0"/>
                    <w:adjustRightInd w:val="0"/>
                    <w:snapToGrid w:val="0"/>
                    <w:spacing w:line="360" w:lineRule="auto"/>
                    <w:jc w:val="center"/>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Theme="minorEastAsia" w:hAnsiTheme="minorEastAsia" w:eastAsiaTheme="minorEastAsia" w:cstheme="minorEastAsia"/>
                      <w:color w:val="auto"/>
                      <w:kern w:val="2"/>
                      <w:sz w:val="21"/>
                      <w:szCs w:val="21"/>
                      <w:highlight w:val="none"/>
                      <w:lang w:val="en-US" w:eastAsia="zh-CN" w:bidi="ar-SA"/>
                    </w:rPr>
                    <w:t>中誉设计有限公司</w:t>
                  </w:r>
                </w:p>
              </w:tc>
              <w:tc>
                <w:tcPr>
                  <w:tcW w:w="2775" w:type="dxa"/>
                  <w:noWrap/>
                  <w:vAlign w:val="center"/>
                </w:tcPr>
                <w:p w14:paraId="5F30A68B">
                  <w:pPr>
                    <w:wordWrap w:val="0"/>
                    <w:adjustRightInd w:val="0"/>
                    <w:snapToGrid w:val="0"/>
                    <w:spacing w:line="360" w:lineRule="auto"/>
                    <w:jc w:val="left"/>
                    <w:rPr>
                      <w:rFonts w:hint="eastAsia" w:asciiTheme="minorEastAsia" w:hAnsiTheme="minorEastAsia" w:eastAsiaTheme="minorEastAsia" w:cstheme="minorEastAsia"/>
                      <w:color w:val="auto"/>
                      <w:kern w:val="2"/>
                      <w:sz w:val="21"/>
                      <w:szCs w:val="21"/>
                      <w:highlight w:val="none"/>
                      <w:lang w:val="en-US" w:eastAsia="zh-CN" w:bidi="ar-SA"/>
                    </w:rPr>
                  </w:pPr>
                  <w:r>
                    <w:rPr>
                      <w:rFonts w:hint="eastAsia" w:ascii="宋体" w:hAnsi="宋体" w:eastAsia="宋体" w:cs="宋体"/>
                      <w:color w:val="auto"/>
                      <w:sz w:val="21"/>
                      <w:szCs w:val="21"/>
                      <w:highlight w:val="none"/>
                    </w:rPr>
                    <w:t>为本招标项目的</w:t>
                  </w:r>
                  <w:r>
                    <w:rPr>
                      <w:rFonts w:hint="eastAsia" w:hAnsi="宋体" w:eastAsia="宋体" w:cs="宋体"/>
                      <w:color w:val="auto"/>
                      <w:sz w:val="21"/>
                      <w:szCs w:val="21"/>
                      <w:highlight w:val="none"/>
                      <w:lang w:val="en-US" w:eastAsia="zh-CN"/>
                    </w:rPr>
                    <w:t>可研</w:t>
                  </w:r>
                  <w:r>
                    <w:rPr>
                      <w:rFonts w:hint="eastAsia" w:ascii="宋体" w:hAnsi="宋体" w:eastAsia="宋体" w:cs="宋体"/>
                      <w:color w:val="auto"/>
                      <w:sz w:val="21"/>
                      <w:szCs w:val="21"/>
                      <w:highlight w:val="none"/>
                    </w:rPr>
                    <w:t>编制单位</w:t>
                  </w:r>
                </w:p>
              </w:tc>
            </w:tr>
          </w:tbl>
          <w:p w14:paraId="32F77CDB">
            <w:pPr>
              <w:pStyle w:val="31"/>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szCs w:val="24"/>
                <w:highlight w:val="none"/>
              </w:rPr>
              <w:t>5.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tc>
      </w:tr>
      <w:tr w14:paraId="3F2B740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49EBEBF">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18</w:t>
            </w:r>
          </w:p>
        </w:tc>
        <w:tc>
          <w:tcPr>
            <w:tcW w:w="2070" w:type="dxa"/>
            <w:tcBorders>
              <w:top w:val="single" w:color="auto" w:sz="4" w:space="0"/>
              <w:left w:val="single" w:color="auto" w:sz="4" w:space="0"/>
              <w:bottom w:val="single" w:color="auto" w:sz="4" w:space="0"/>
              <w:right w:val="single" w:color="auto" w:sz="4" w:space="0"/>
            </w:tcBorders>
            <w:noWrap/>
            <w:vAlign w:val="center"/>
          </w:tcPr>
          <w:p w14:paraId="202E9532">
            <w:pPr>
              <w:snapToGrid w:val="0"/>
              <w:spacing w:beforeLines="50"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投标保证</w:t>
            </w:r>
          </w:p>
        </w:tc>
        <w:tc>
          <w:tcPr>
            <w:tcW w:w="7183" w:type="dxa"/>
            <w:tcBorders>
              <w:top w:val="single" w:color="auto" w:sz="4" w:space="0"/>
              <w:left w:val="single" w:color="auto" w:sz="4" w:space="0"/>
              <w:bottom w:val="single" w:color="auto" w:sz="4" w:space="0"/>
              <w:right w:val="single" w:color="auto" w:sz="4" w:space="0"/>
            </w:tcBorders>
            <w:noWrap/>
            <w:vAlign w:val="center"/>
          </w:tcPr>
          <w:p w14:paraId="0B5D806D">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1．投标人须缴纳金额为人民币</w:t>
            </w:r>
            <w:r>
              <w:rPr>
                <w:rFonts w:hint="eastAsia" w:asciiTheme="minorEastAsia" w:hAnsiTheme="minorEastAsia" w:eastAsiaTheme="minorEastAsia" w:cstheme="minorEastAsia"/>
                <w:b/>
                <w:bCs/>
                <w:snapToGrid w:val="0"/>
                <w:color w:val="auto"/>
                <w:kern w:val="0"/>
                <w:szCs w:val="24"/>
                <w:highlight w:val="none"/>
                <w:u w:val="single"/>
                <w:lang w:val="en-US" w:eastAsia="zh-CN"/>
              </w:rPr>
              <w:t>20</w:t>
            </w:r>
            <w:r>
              <w:rPr>
                <w:rFonts w:hint="eastAsia" w:asciiTheme="minorEastAsia" w:hAnsiTheme="minorEastAsia" w:eastAsiaTheme="minorEastAsia" w:cstheme="minorEastAsia"/>
                <w:b/>
                <w:bCs/>
                <w:snapToGrid w:val="0"/>
                <w:color w:val="auto"/>
                <w:kern w:val="0"/>
                <w:szCs w:val="24"/>
                <w:highlight w:val="none"/>
                <w:u w:val="single"/>
              </w:rPr>
              <w:t>万元整</w:t>
            </w:r>
            <w:r>
              <w:rPr>
                <w:rFonts w:hint="eastAsia" w:asciiTheme="minorEastAsia" w:hAnsiTheme="minorEastAsia" w:eastAsiaTheme="minorEastAsia" w:cstheme="minorEastAsia"/>
                <w:snapToGrid w:val="0"/>
                <w:color w:val="auto"/>
                <w:kern w:val="0"/>
                <w:szCs w:val="24"/>
                <w:highlight w:val="none"/>
              </w:rPr>
              <w:t>的投标保证。联合体投标的，由联合体牵头人缴纳。</w:t>
            </w:r>
          </w:p>
          <w:p w14:paraId="199F9F4D">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2．投标保证的形式包括投标保证金、投标保证担保、投标保证保险三种，由投标人自主选择。</w:t>
            </w:r>
          </w:p>
          <w:p w14:paraId="59865AA6">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采用投标保证金的，投标人在建设工程交易系统获取招标文件完毕后，即可在系统申请缴纳投标保证金，获取本次招标投标保证金缴纳账号。投标人必须于投标保证金到账截止时间（见本章“重要事项时间地点一览表”）前，从其基本账户将投标保证金转账到指定的缴纳账号。逾期到账的、从非投标人基本账户转出的，其投标无效。</w:t>
            </w:r>
          </w:p>
          <w:p w14:paraId="211FDE04">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采用投标保证担保的，投标人应提交有效的银行保函，银行保函的有效期不得短于投标有效期。投标人必须在投标保证担保截止时间（见本章“重要事项时间地点一览表”）前，使用工程建设交易系统完成网上办理电子保函。</w:t>
            </w:r>
          </w:p>
          <w:p w14:paraId="20DE4488">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采用投标保证保险的，投标人须在投标保证保险投保截止时间（见本章“重要事项时间地点一览表”）前，使用建设工程交易系统完成网上投保。投标人可在系统选择保险机构、录入投保信息、支付保费、打印电子保单，电子保单的有效期不得短于投标有效期。投标人可登录全国公共资源交易平台（广东省·韶关市）（https://ygp.gdzwfw.gov.cn/ggzy-portal/#/440200/index），在【服务指南】栏目中下载《韶关市公共资源建设工程交易系统-投标人操作指南》，了解网上投保具体操作流程。逾期投保的，其投标无效。</w:t>
            </w:r>
          </w:p>
          <w:p w14:paraId="0D34EE84">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温馨提醒：投标人采用投标保证担保或投标保证保险的，为避免在评标过程中因有效期发生争议，建议投标人将银行保函或电子保单有效期设置为较招标文件规定的投标有效期延长不少于20个日历天。</w:t>
            </w:r>
          </w:p>
        </w:tc>
      </w:tr>
      <w:tr w14:paraId="145ECF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0E02BF48">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19</w:t>
            </w:r>
          </w:p>
        </w:tc>
        <w:tc>
          <w:tcPr>
            <w:tcW w:w="2070" w:type="dxa"/>
            <w:tcBorders>
              <w:top w:val="single" w:color="auto" w:sz="4" w:space="0"/>
              <w:left w:val="single" w:color="auto" w:sz="4" w:space="0"/>
              <w:bottom w:val="single" w:color="auto" w:sz="4" w:space="0"/>
              <w:right w:val="single" w:color="auto" w:sz="4" w:space="0"/>
            </w:tcBorders>
            <w:noWrap/>
            <w:vAlign w:val="center"/>
          </w:tcPr>
          <w:p w14:paraId="5F42A6E6">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投标有效期</w:t>
            </w:r>
          </w:p>
        </w:tc>
        <w:tc>
          <w:tcPr>
            <w:tcW w:w="7183" w:type="dxa"/>
            <w:tcBorders>
              <w:top w:val="single" w:color="auto" w:sz="4" w:space="0"/>
              <w:left w:val="single" w:color="auto" w:sz="4" w:space="0"/>
              <w:bottom w:val="single" w:color="auto" w:sz="4" w:space="0"/>
              <w:right w:val="single" w:color="auto" w:sz="4" w:space="0"/>
            </w:tcBorders>
            <w:noWrap/>
            <w:vAlign w:val="center"/>
          </w:tcPr>
          <w:p w14:paraId="3EA8D500">
            <w:pPr>
              <w:wordWrap w:val="0"/>
              <w:adjustRightInd w:val="0"/>
              <w:snapToGrid w:val="0"/>
              <w:spacing w:line="360" w:lineRule="auto"/>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snapToGrid w:val="0"/>
                <w:color w:val="auto"/>
                <w:kern w:val="0"/>
                <w:szCs w:val="24"/>
                <w:highlight w:val="none"/>
              </w:rPr>
              <w:t xml:space="preserve">  本次招标的投标有效期为</w:t>
            </w:r>
            <w:r>
              <w:rPr>
                <w:rFonts w:hint="eastAsia" w:asciiTheme="minorEastAsia" w:hAnsiTheme="minorEastAsia" w:eastAsiaTheme="minorEastAsia" w:cstheme="minorEastAsia"/>
                <w:snapToGrid w:val="0"/>
                <w:color w:val="auto"/>
                <w:kern w:val="0"/>
                <w:szCs w:val="24"/>
                <w:highlight w:val="none"/>
                <w:u w:val="single"/>
                <w:lang w:val="en-US" w:eastAsia="zh-CN"/>
              </w:rPr>
              <w:t xml:space="preserve"> 90 </w:t>
            </w:r>
            <w:r>
              <w:rPr>
                <w:rFonts w:hint="eastAsia" w:asciiTheme="minorEastAsia" w:hAnsiTheme="minorEastAsia" w:eastAsiaTheme="minorEastAsia" w:cstheme="minorEastAsia"/>
                <w:snapToGrid w:val="0"/>
                <w:color w:val="auto"/>
                <w:kern w:val="0"/>
                <w:szCs w:val="24"/>
                <w:highlight w:val="none"/>
              </w:rPr>
              <w:t>个日历天。</w:t>
            </w:r>
          </w:p>
        </w:tc>
      </w:tr>
      <w:tr w14:paraId="32AAC8C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7"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67FAA7BB">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20</w:t>
            </w:r>
          </w:p>
        </w:tc>
        <w:tc>
          <w:tcPr>
            <w:tcW w:w="2070" w:type="dxa"/>
            <w:tcBorders>
              <w:top w:val="single" w:color="auto" w:sz="4" w:space="0"/>
              <w:left w:val="single" w:color="auto" w:sz="4" w:space="0"/>
              <w:bottom w:val="single" w:color="auto" w:sz="4" w:space="0"/>
              <w:right w:val="single" w:color="auto" w:sz="4" w:space="0"/>
            </w:tcBorders>
            <w:noWrap/>
            <w:vAlign w:val="center"/>
          </w:tcPr>
          <w:p w14:paraId="6D085E0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投标文件</w:t>
            </w:r>
          </w:p>
          <w:p w14:paraId="5B5FCB3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组成</w:t>
            </w:r>
          </w:p>
        </w:tc>
        <w:tc>
          <w:tcPr>
            <w:tcW w:w="7183" w:type="dxa"/>
            <w:tcBorders>
              <w:top w:val="single" w:color="auto" w:sz="4" w:space="0"/>
              <w:left w:val="single" w:color="auto" w:sz="4" w:space="0"/>
              <w:bottom w:val="single" w:color="auto" w:sz="4" w:space="0"/>
              <w:right w:val="single" w:color="auto" w:sz="4" w:space="0"/>
            </w:tcBorders>
            <w:noWrap/>
            <w:vAlign w:val="center"/>
          </w:tcPr>
          <w:p w14:paraId="76E84AA7">
            <w:pPr>
              <w:wordWrap w:val="0"/>
              <w:adjustRightInd w:val="0"/>
              <w:snapToGrid w:val="0"/>
              <w:spacing w:line="360" w:lineRule="auto"/>
              <w:ind w:firstLine="240" w:firstLineChars="1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投标标书分为一册。</w:t>
            </w:r>
          </w:p>
        </w:tc>
      </w:tr>
      <w:tr w14:paraId="23E81E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AA7EFD8">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21</w:t>
            </w:r>
          </w:p>
        </w:tc>
        <w:tc>
          <w:tcPr>
            <w:tcW w:w="2070" w:type="dxa"/>
            <w:tcBorders>
              <w:top w:val="single" w:color="auto" w:sz="4" w:space="0"/>
              <w:left w:val="single" w:color="auto" w:sz="4" w:space="0"/>
              <w:bottom w:val="single" w:color="auto" w:sz="4" w:space="0"/>
              <w:right w:val="single" w:color="auto" w:sz="4" w:space="0"/>
            </w:tcBorders>
            <w:noWrap/>
            <w:vAlign w:val="center"/>
          </w:tcPr>
          <w:p w14:paraId="16FA8FF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评标委员会</w:t>
            </w:r>
          </w:p>
        </w:tc>
        <w:tc>
          <w:tcPr>
            <w:tcW w:w="7183" w:type="dxa"/>
            <w:tcBorders>
              <w:top w:val="single" w:color="auto" w:sz="4" w:space="0"/>
              <w:left w:val="single" w:color="auto" w:sz="4" w:space="0"/>
              <w:bottom w:val="single" w:color="auto" w:sz="4" w:space="0"/>
              <w:right w:val="single" w:color="auto" w:sz="4" w:space="0"/>
            </w:tcBorders>
            <w:noWrap/>
            <w:vAlign w:val="center"/>
          </w:tcPr>
          <w:p w14:paraId="76186E55">
            <w:pPr>
              <w:wordWrap w:val="0"/>
              <w:adjustRightInd w:val="0"/>
              <w:snapToGrid w:val="0"/>
              <w:spacing w:line="360" w:lineRule="auto"/>
              <w:ind w:firstLine="240" w:firstLineChars="1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Cs w:val="24"/>
                <w:highlight w:val="none"/>
              </w:rPr>
              <w:t>评标委员会由</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人组成，其中招标人代表0人，专家</w:t>
            </w:r>
            <w:r>
              <w:rPr>
                <w:rFonts w:hint="eastAsia" w:asciiTheme="minorEastAsia" w:hAnsiTheme="minorEastAsia" w:eastAsiaTheme="minorEastAsia" w:cstheme="minorEastAsia"/>
                <w:snapToGrid w:val="0"/>
                <w:color w:val="auto"/>
                <w:kern w:val="0"/>
                <w:szCs w:val="24"/>
                <w:highlight w:val="none"/>
                <w:lang w:val="en-US" w:eastAsia="zh-CN"/>
              </w:rPr>
              <w:t>5</w:t>
            </w:r>
            <w:r>
              <w:rPr>
                <w:rFonts w:hint="eastAsia" w:asciiTheme="minorEastAsia" w:hAnsiTheme="minorEastAsia" w:eastAsiaTheme="minorEastAsia" w:cstheme="minorEastAsia"/>
                <w:snapToGrid w:val="0"/>
                <w:color w:val="auto"/>
                <w:kern w:val="0"/>
                <w:szCs w:val="24"/>
                <w:highlight w:val="none"/>
              </w:rPr>
              <w:t>人。专家从广东省综合评标评审专家库－韶关区域中随机抽取，其中技术类专家</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人，经济类专家2人。</w:t>
            </w:r>
          </w:p>
        </w:tc>
      </w:tr>
      <w:tr w14:paraId="5912018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2B62EEAE">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22</w:t>
            </w:r>
          </w:p>
        </w:tc>
        <w:tc>
          <w:tcPr>
            <w:tcW w:w="2070" w:type="dxa"/>
            <w:tcBorders>
              <w:top w:val="single" w:color="auto" w:sz="4" w:space="0"/>
              <w:left w:val="single" w:color="auto" w:sz="4" w:space="0"/>
              <w:bottom w:val="single" w:color="auto" w:sz="4" w:space="0"/>
              <w:right w:val="single" w:color="auto" w:sz="4" w:space="0"/>
            </w:tcBorders>
            <w:noWrap/>
            <w:vAlign w:val="center"/>
          </w:tcPr>
          <w:p w14:paraId="326791A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评标方法</w:t>
            </w:r>
          </w:p>
        </w:tc>
        <w:tc>
          <w:tcPr>
            <w:tcW w:w="7183" w:type="dxa"/>
            <w:tcBorders>
              <w:top w:val="single" w:color="auto" w:sz="4" w:space="0"/>
              <w:left w:val="single" w:color="auto" w:sz="4" w:space="0"/>
              <w:bottom w:val="single" w:color="auto" w:sz="4" w:space="0"/>
              <w:right w:val="single" w:color="auto" w:sz="4" w:space="0"/>
            </w:tcBorders>
            <w:noWrap/>
            <w:vAlign w:val="center"/>
          </w:tcPr>
          <w:p w14:paraId="5448B831">
            <w:pPr>
              <w:wordWrap w:val="0"/>
              <w:adjustRightInd w:val="0"/>
              <w:snapToGrid w:val="0"/>
              <w:spacing w:line="360" w:lineRule="auto"/>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综合评估法</w:t>
            </w:r>
          </w:p>
        </w:tc>
      </w:tr>
      <w:tr w14:paraId="725D225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820E3BC">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23</w:t>
            </w:r>
          </w:p>
        </w:tc>
        <w:tc>
          <w:tcPr>
            <w:tcW w:w="2070" w:type="dxa"/>
            <w:tcBorders>
              <w:top w:val="single" w:color="auto" w:sz="4" w:space="0"/>
              <w:left w:val="single" w:color="auto" w:sz="4" w:space="0"/>
              <w:bottom w:val="single" w:color="auto" w:sz="4" w:space="0"/>
              <w:right w:val="single" w:color="auto" w:sz="4" w:space="0"/>
            </w:tcBorders>
            <w:noWrap/>
            <w:vAlign w:val="center"/>
          </w:tcPr>
          <w:p w14:paraId="16DD0706">
            <w:pPr>
              <w:pStyle w:val="27"/>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安全文明施工</w:t>
            </w:r>
          </w:p>
        </w:tc>
        <w:tc>
          <w:tcPr>
            <w:tcW w:w="7183" w:type="dxa"/>
            <w:tcBorders>
              <w:top w:val="single" w:color="auto" w:sz="4" w:space="0"/>
              <w:left w:val="single" w:color="auto" w:sz="4" w:space="0"/>
              <w:bottom w:val="single" w:color="auto" w:sz="4" w:space="0"/>
              <w:right w:val="single" w:color="auto" w:sz="4" w:space="0"/>
            </w:tcBorders>
            <w:noWrap/>
            <w:vAlign w:val="center"/>
          </w:tcPr>
          <w:p w14:paraId="0E61057E">
            <w:pPr>
              <w:pStyle w:val="27"/>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达到国家、省、市有关标准</w:t>
            </w:r>
          </w:p>
        </w:tc>
      </w:tr>
      <w:tr w14:paraId="4D8B2C7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800"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FE86D26">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24</w:t>
            </w:r>
          </w:p>
        </w:tc>
        <w:tc>
          <w:tcPr>
            <w:tcW w:w="2070" w:type="dxa"/>
            <w:tcBorders>
              <w:top w:val="single" w:color="auto" w:sz="4" w:space="0"/>
              <w:left w:val="single" w:color="auto" w:sz="4" w:space="0"/>
              <w:bottom w:val="single" w:color="auto" w:sz="4" w:space="0"/>
              <w:right w:val="single" w:color="auto" w:sz="4" w:space="0"/>
            </w:tcBorders>
            <w:noWrap/>
            <w:vAlign w:val="center"/>
          </w:tcPr>
          <w:p w14:paraId="313AA59D">
            <w:pPr>
              <w:pStyle w:val="27"/>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房屋建筑工程</w:t>
            </w:r>
          </w:p>
          <w:p w14:paraId="47BE87A7">
            <w:pPr>
              <w:pStyle w:val="27"/>
              <w:spacing w:line="24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绿色建筑标准</w:t>
            </w:r>
          </w:p>
        </w:tc>
        <w:tc>
          <w:tcPr>
            <w:tcW w:w="7183" w:type="dxa"/>
            <w:tcBorders>
              <w:top w:val="single" w:color="auto" w:sz="4" w:space="0"/>
              <w:left w:val="single" w:color="auto" w:sz="4" w:space="0"/>
              <w:bottom w:val="single" w:color="auto" w:sz="4" w:space="0"/>
              <w:right w:val="single" w:color="auto" w:sz="4" w:space="0"/>
            </w:tcBorders>
            <w:noWrap/>
            <w:vAlign w:val="center"/>
          </w:tcPr>
          <w:p w14:paraId="470F01AA">
            <w:pPr>
              <w:pStyle w:val="27"/>
              <w:ind w:firstLine="240" w:firstLineChars="1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本招标项目不纳入绿色建筑实施范围。</w:t>
            </w:r>
          </w:p>
        </w:tc>
      </w:tr>
      <w:tr w14:paraId="71452CE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7460DCE8">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25</w:t>
            </w:r>
          </w:p>
        </w:tc>
        <w:tc>
          <w:tcPr>
            <w:tcW w:w="2070" w:type="dxa"/>
            <w:tcBorders>
              <w:top w:val="single" w:color="auto" w:sz="4" w:space="0"/>
              <w:left w:val="single" w:color="auto" w:sz="4" w:space="0"/>
              <w:bottom w:val="single" w:color="auto" w:sz="4" w:space="0"/>
              <w:right w:val="single" w:color="auto" w:sz="4" w:space="0"/>
            </w:tcBorders>
            <w:noWrap/>
            <w:vAlign w:val="center"/>
          </w:tcPr>
          <w:p w14:paraId="3B1698BC">
            <w:pPr>
              <w:pStyle w:val="27"/>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工程款支付</w:t>
            </w:r>
          </w:p>
        </w:tc>
        <w:tc>
          <w:tcPr>
            <w:tcW w:w="7183" w:type="dxa"/>
            <w:tcBorders>
              <w:top w:val="single" w:color="auto" w:sz="4" w:space="0"/>
              <w:left w:val="single" w:color="auto" w:sz="4" w:space="0"/>
              <w:bottom w:val="single" w:color="auto" w:sz="4" w:space="0"/>
              <w:right w:val="single" w:color="auto" w:sz="4" w:space="0"/>
            </w:tcBorders>
            <w:noWrap/>
            <w:vAlign w:val="center"/>
          </w:tcPr>
          <w:p w14:paraId="7199C91A">
            <w:pPr>
              <w:pStyle w:val="27"/>
              <w:ind w:firstLine="240" w:firstLineChars="1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详见本招标文件“</w:t>
            </w:r>
            <w:r>
              <w:rPr>
                <w:rFonts w:hint="eastAsia" w:asciiTheme="minorEastAsia" w:hAnsiTheme="minorEastAsia" w:eastAsiaTheme="minorEastAsia" w:cstheme="minorEastAsia"/>
                <w:color w:val="auto"/>
                <w:szCs w:val="24"/>
                <w:highlight w:val="none"/>
                <w:lang w:val="en-US" w:eastAsia="zh-CN"/>
              </w:rPr>
              <w:t>第三章</w:t>
            </w:r>
            <w:r>
              <w:rPr>
                <w:rFonts w:hint="eastAsia" w:asciiTheme="minorEastAsia" w:hAnsiTheme="minorEastAsia" w:eastAsiaTheme="minorEastAsia" w:cstheme="minorEastAsia"/>
                <w:color w:val="auto"/>
                <w:szCs w:val="24"/>
                <w:highlight w:val="none"/>
              </w:rPr>
              <w:t>4、工程付款办法”</w:t>
            </w:r>
          </w:p>
        </w:tc>
      </w:tr>
      <w:tr w14:paraId="2C081D8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5B0FE2E">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26</w:t>
            </w:r>
          </w:p>
        </w:tc>
        <w:tc>
          <w:tcPr>
            <w:tcW w:w="2070" w:type="dxa"/>
            <w:tcBorders>
              <w:top w:val="single" w:color="auto" w:sz="4" w:space="0"/>
              <w:left w:val="single" w:color="auto" w:sz="4" w:space="0"/>
              <w:bottom w:val="single" w:color="auto" w:sz="4" w:space="0"/>
              <w:right w:val="single" w:color="auto" w:sz="4" w:space="0"/>
            </w:tcBorders>
            <w:noWrap/>
            <w:vAlign w:val="center"/>
          </w:tcPr>
          <w:p w14:paraId="31B3378D">
            <w:pPr>
              <w:pStyle w:val="27"/>
              <w:spacing w:line="24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工程质量保证金</w:t>
            </w:r>
          </w:p>
        </w:tc>
        <w:tc>
          <w:tcPr>
            <w:tcW w:w="7183" w:type="dxa"/>
            <w:tcBorders>
              <w:top w:val="single" w:color="auto" w:sz="4" w:space="0"/>
              <w:left w:val="single" w:color="auto" w:sz="4" w:space="0"/>
              <w:bottom w:val="single" w:color="auto" w:sz="4" w:space="0"/>
              <w:right w:val="single" w:color="auto" w:sz="4" w:space="0"/>
            </w:tcBorders>
            <w:noWrap/>
            <w:vAlign w:val="center"/>
          </w:tcPr>
          <w:p w14:paraId="74E7727A">
            <w:pPr>
              <w:pStyle w:val="27"/>
              <w:spacing w:line="240" w:lineRule="auto"/>
              <w:ind w:firstLine="240" w:firstLineChars="100"/>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Cs w:val="24"/>
                <w:highlight w:val="none"/>
              </w:rPr>
              <w:t>工程质量保证金总金额为结算价的3%，从工程竣工验收合格之日起计满2年。</w:t>
            </w:r>
          </w:p>
        </w:tc>
      </w:tr>
      <w:tr w14:paraId="29EC290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7D16CC1">
            <w:pPr>
              <w:pStyle w:val="27"/>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27</w:t>
            </w:r>
          </w:p>
        </w:tc>
        <w:tc>
          <w:tcPr>
            <w:tcW w:w="2070" w:type="dxa"/>
            <w:tcBorders>
              <w:top w:val="single" w:color="auto" w:sz="4" w:space="0"/>
              <w:left w:val="single" w:color="auto" w:sz="4" w:space="0"/>
              <w:bottom w:val="single" w:color="auto" w:sz="4" w:space="0"/>
              <w:right w:val="single" w:color="auto" w:sz="4" w:space="0"/>
            </w:tcBorders>
            <w:noWrap/>
            <w:vAlign w:val="center"/>
          </w:tcPr>
          <w:p w14:paraId="25C3A96F">
            <w:pPr>
              <w:snapToGrid w:val="0"/>
              <w:spacing w:beforeLines="50"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招标代理服务</w:t>
            </w:r>
            <w:r>
              <w:rPr>
                <w:rFonts w:hint="eastAsia" w:asciiTheme="minorEastAsia" w:hAnsiTheme="minorEastAsia" w:eastAsiaTheme="minorEastAsia" w:cstheme="minorEastAsia"/>
                <w:snapToGrid w:val="0"/>
                <w:color w:val="auto"/>
                <w:kern w:val="0"/>
                <w:szCs w:val="24"/>
                <w:highlight w:val="none"/>
                <w:lang w:val="en-US" w:eastAsia="zh-CN"/>
              </w:rPr>
              <w:t>费及评标专家酬劳</w:t>
            </w:r>
          </w:p>
        </w:tc>
        <w:tc>
          <w:tcPr>
            <w:tcW w:w="7183" w:type="dxa"/>
            <w:tcBorders>
              <w:top w:val="single" w:color="auto" w:sz="4" w:space="0"/>
              <w:left w:val="single" w:color="auto" w:sz="4" w:space="0"/>
              <w:bottom w:val="single" w:color="auto" w:sz="4" w:space="0"/>
              <w:right w:val="single" w:color="auto" w:sz="4" w:space="0"/>
            </w:tcBorders>
            <w:noWrap/>
            <w:vAlign w:val="center"/>
          </w:tcPr>
          <w:p w14:paraId="63C6A079">
            <w:pPr>
              <w:adjustRightInd w:val="0"/>
              <w:snapToGrid w:val="0"/>
              <w:spacing w:line="360" w:lineRule="auto"/>
              <w:ind w:firstLine="480" w:firstLineChars="200"/>
              <w:jc w:val="left"/>
              <w:rPr>
                <w:rFonts w:hint="eastAsia" w:asciiTheme="minorEastAsia" w:hAnsiTheme="minorEastAsia" w:eastAsiaTheme="minorEastAsia" w:cstheme="minorEastAsia"/>
                <w:bCs/>
                <w:color w:val="auto"/>
                <w:kern w:val="2"/>
                <w:sz w:val="24"/>
                <w:szCs w:val="24"/>
                <w:highlight w:val="none"/>
                <w:lang w:val="en-US" w:eastAsia="zh-CN" w:bidi="ar-SA"/>
              </w:rPr>
            </w:pPr>
            <w:r>
              <w:rPr>
                <w:rFonts w:hint="eastAsia" w:asciiTheme="minorEastAsia" w:hAnsiTheme="minorEastAsia" w:eastAsiaTheme="minorEastAsia" w:cstheme="minorEastAsia"/>
                <w:bCs/>
                <w:color w:val="auto"/>
                <w:kern w:val="2"/>
                <w:sz w:val="24"/>
                <w:szCs w:val="24"/>
                <w:highlight w:val="none"/>
                <w:lang w:val="en-US" w:eastAsia="zh-CN" w:bidi="ar-SA"/>
              </w:rPr>
              <w:t>本项目的招标代理费和评标专家酬劳由中标人支付，该费用不再另行报价，由投标人在投标报价时综合考虑在内。招标代理服务费参照《招标代理服务收费管理暂行办法》（计价格[2002]1980号），以中标价为计费基数来计算。</w:t>
            </w:r>
          </w:p>
        </w:tc>
      </w:tr>
      <w:tr w14:paraId="61DF0FD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4436BE38">
            <w:pPr>
              <w:wordWrap w:val="0"/>
              <w:adjustRightInd w:val="0"/>
              <w:snapToGri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28</w:t>
            </w:r>
          </w:p>
        </w:tc>
        <w:tc>
          <w:tcPr>
            <w:tcW w:w="2070" w:type="dxa"/>
            <w:tcBorders>
              <w:top w:val="single" w:color="auto" w:sz="4" w:space="0"/>
              <w:left w:val="single" w:color="auto" w:sz="4" w:space="0"/>
              <w:bottom w:val="single" w:color="auto" w:sz="4" w:space="0"/>
              <w:right w:val="single" w:color="auto" w:sz="4" w:space="0"/>
            </w:tcBorders>
            <w:noWrap/>
            <w:vAlign w:val="center"/>
          </w:tcPr>
          <w:p w14:paraId="74E26687">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招标人</w:t>
            </w:r>
          </w:p>
          <w:p w14:paraId="549850A1">
            <w:pPr>
              <w:wordWrap w:val="0"/>
              <w:adjustRightInd w:val="0"/>
              <w:snapToGrid w:val="0"/>
              <w:spacing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45E3C08F">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单位名称：</w:t>
            </w:r>
            <w:r>
              <w:rPr>
                <w:rFonts w:hint="eastAsia" w:asciiTheme="minorEastAsia" w:hAnsiTheme="minorEastAsia" w:eastAsiaTheme="minorEastAsia" w:cstheme="minorEastAsia"/>
                <w:snapToGrid w:val="0"/>
                <w:color w:val="auto"/>
                <w:kern w:val="0"/>
                <w:szCs w:val="24"/>
                <w:highlight w:val="none"/>
                <w:lang w:eastAsia="zh-CN"/>
              </w:rPr>
              <w:t>广东始兴工业园区管理委员会</w:t>
            </w:r>
          </w:p>
          <w:p w14:paraId="2CAB45A1">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rPr>
              <w:t>办公地址：</w:t>
            </w:r>
            <w:r>
              <w:rPr>
                <w:rFonts w:hint="eastAsia" w:asciiTheme="minorEastAsia" w:hAnsiTheme="minorEastAsia" w:eastAsiaTheme="minorEastAsia" w:cstheme="minorEastAsia"/>
                <w:snapToGrid w:val="0"/>
                <w:color w:val="auto"/>
                <w:kern w:val="0"/>
                <w:szCs w:val="24"/>
                <w:highlight w:val="none"/>
                <w:lang w:eastAsia="zh-CN"/>
              </w:rPr>
              <w:t>始兴县顿岗镇岭下村沙水工业园行政路1号</w:t>
            </w:r>
          </w:p>
          <w:p w14:paraId="6B090D78">
            <w:pPr>
              <w:wordWrap w:val="0"/>
              <w:adjustRightInd w:val="0"/>
              <w:snapToGrid w:val="0"/>
              <w:spacing w:line="360" w:lineRule="auto"/>
              <w:jc w:val="left"/>
              <w:rPr>
                <w:rFonts w:hint="default" w:asciiTheme="minorEastAsia" w:hAnsiTheme="minorEastAsia" w:eastAsiaTheme="minorEastAsia" w:cstheme="minorEastAsia"/>
                <w:snapToGrid w:val="0"/>
                <w:color w:val="auto"/>
                <w:kern w:val="0"/>
                <w:szCs w:val="24"/>
                <w:highlight w:val="none"/>
                <w:lang w:val="en-US" w:eastAsia="zh-CN"/>
              </w:rPr>
            </w:pPr>
            <w:r>
              <w:rPr>
                <w:rFonts w:hint="eastAsia" w:asciiTheme="minorEastAsia" w:hAnsiTheme="minorEastAsia" w:eastAsiaTheme="minorEastAsia" w:cstheme="minorEastAsia"/>
                <w:snapToGrid w:val="0"/>
                <w:color w:val="auto"/>
                <w:kern w:val="0"/>
                <w:szCs w:val="24"/>
                <w:highlight w:val="none"/>
              </w:rPr>
              <w:t>联系人（部门）：</w:t>
            </w:r>
            <w:r>
              <w:rPr>
                <w:rFonts w:hint="eastAsia" w:asciiTheme="minorEastAsia" w:hAnsiTheme="minorEastAsia" w:eastAsiaTheme="minorEastAsia" w:cstheme="minorEastAsia"/>
                <w:snapToGrid w:val="0"/>
                <w:color w:val="auto"/>
                <w:kern w:val="0"/>
                <w:szCs w:val="24"/>
                <w:highlight w:val="none"/>
                <w:lang w:val="en-US" w:eastAsia="zh-CN"/>
              </w:rPr>
              <w:t>李工</w:t>
            </w:r>
          </w:p>
          <w:p w14:paraId="260D7941">
            <w:pPr>
              <w:wordWrap w:val="0"/>
              <w:adjustRightInd w:val="0"/>
              <w:snapToGrid w:val="0"/>
              <w:spacing w:line="360" w:lineRule="auto"/>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联系电话：0751-3333881</w:t>
            </w:r>
          </w:p>
        </w:tc>
      </w:tr>
      <w:tr w14:paraId="3A05722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296"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BA673AF">
            <w:pPr>
              <w:wordWrap w:val="0"/>
              <w:adjustRightInd w:val="0"/>
              <w:snapToGrid w:val="0"/>
              <w:spacing w:line="360" w:lineRule="auto"/>
              <w:jc w:val="center"/>
              <w:rPr>
                <w:rFonts w:hint="default" w:asciiTheme="minorEastAsia" w:hAnsiTheme="minorEastAsia" w:eastAsiaTheme="minorEastAsia" w:cstheme="minorEastAsia"/>
                <w:color w:val="auto"/>
                <w:szCs w:val="24"/>
                <w:highlight w:val="none"/>
                <w:lang w:val="en-US" w:eastAsia="zh-CN"/>
              </w:rPr>
            </w:pPr>
            <w:r>
              <w:rPr>
                <w:rFonts w:hint="eastAsia" w:asciiTheme="minorEastAsia" w:hAnsiTheme="minorEastAsia" w:eastAsiaTheme="minorEastAsia" w:cstheme="minorEastAsia"/>
                <w:color w:val="auto"/>
                <w:szCs w:val="24"/>
                <w:highlight w:val="none"/>
                <w:lang w:val="en-US" w:eastAsia="zh-CN"/>
              </w:rPr>
              <w:t>29</w:t>
            </w:r>
          </w:p>
        </w:tc>
        <w:tc>
          <w:tcPr>
            <w:tcW w:w="2070" w:type="dxa"/>
            <w:tcBorders>
              <w:top w:val="single" w:color="auto" w:sz="4" w:space="0"/>
              <w:left w:val="single" w:color="auto" w:sz="4" w:space="0"/>
              <w:bottom w:val="single" w:color="auto" w:sz="4" w:space="0"/>
              <w:right w:val="single" w:color="auto" w:sz="4" w:space="0"/>
            </w:tcBorders>
            <w:noWrap/>
            <w:vAlign w:val="center"/>
          </w:tcPr>
          <w:p w14:paraId="29004158">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招标代理机构</w:t>
            </w:r>
          </w:p>
          <w:p w14:paraId="1B338E28">
            <w:pPr>
              <w:wordWrap w:val="0"/>
              <w:adjustRightInd w:val="0"/>
              <w:snapToGrid w:val="0"/>
              <w:spacing w:line="360" w:lineRule="auto"/>
              <w:jc w:val="center"/>
              <w:rPr>
                <w:rFonts w:hint="default"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0D760474">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rPr>
              <w:t>单位名称：</w:t>
            </w:r>
            <w:r>
              <w:rPr>
                <w:rFonts w:hint="eastAsia" w:asciiTheme="minorEastAsia" w:hAnsiTheme="minorEastAsia" w:eastAsiaTheme="minorEastAsia" w:cstheme="minorEastAsia"/>
                <w:snapToGrid w:val="0"/>
                <w:color w:val="auto"/>
                <w:kern w:val="0"/>
                <w:highlight w:val="none"/>
                <w:lang w:eastAsia="zh-CN"/>
              </w:rPr>
              <w:t>亿诚建设项目管理有限公司</w:t>
            </w:r>
          </w:p>
          <w:p w14:paraId="58F6971A">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highlight w:val="none"/>
                <w:lang w:val="en-US" w:eastAsia="zh-CN"/>
              </w:rPr>
            </w:pPr>
            <w:r>
              <w:rPr>
                <w:rFonts w:hint="eastAsia" w:asciiTheme="minorEastAsia" w:hAnsiTheme="minorEastAsia" w:eastAsiaTheme="minorEastAsia" w:cstheme="minorEastAsia"/>
                <w:snapToGrid w:val="0"/>
                <w:color w:val="auto"/>
                <w:kern w:val="0"/>
                <w:highlight w:val="none"/>
              </w:rPr>
              <w:t>办公地址：</w:t>
            </w:r>
            <w:r>
              <w:rPr>
                <w:rFonts w:hint="eastAsia" w:asciiTheme="minorEastAsia" w:hAnsiTheme="minorEastAsia" w:eastAsiaTheme="minorEastAsia" w:cstheme="minorEastAsia"/>
                <w:snapToGrid w:val="0"/>
                <w:color w:val="auto"/>
                <w:kern w:val="0"/>
                <w:highlight w:val="none"/>
                <w:lang w:val="en-US" w:eastAsia="zh-CN"/>
              </w:rPr>
              <w:t>始兴县城南镇墨江南岸安置房2#楼11号商铺</w:t>
            </w:r>
          </w:p>
          <w:p w14:paraId="395B0B73">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联系人：</w:t>
            </w:r>
            <w:r>
              <w:rPr>
                <w:rFonts w:hint="eastAsia" w:asciiTheme="minorEastAsia" w:hAnsiTheme="minorEastAsia" w:eastAsiaTheme="minorEastAsia" w:cstheme="minorEastAsia"/>
                <w:snapToGrid w:val="0"/>
                <w:color w:val="auto"/>
                <w:kern w:val="0"/>
                <w:highlight w:val="none"/>
                <w:lang w:val="en-US" w:eastAsia="zh-CN"/>
              </w:rPr>
              <w:t>游</w:t>
            </w:r>
            <w:r>
              <w:rPr>
                <w:rFonts w:hint="eastAsia" w:asciiTheme="minorEastAsia" w:hAnsiTheme="minorEastAsia" w:eastAsiaTheme="minorEastAsia" w:cstheme="minorEastAsia"/>
                <w:snapToGrid w:val="0"/>
                <w:color w:val="auto"/>
                <w:kern w:val="0"/>
                <w:highlight w:val="none"/>
              </w:rPr>
              <w:t>工</w:t>
            </w:r>
          </w:p>
          <w:p w14:paraId="34A1F0E2">
            <w:pPr>
              <w:wordWrap w:val="0"/>
              <w:adjustRightInd w:val="0"/>
              <w:snapToGrid w:val="0"/>
              <w:spacing w:line="360" w:lineRule="auto"/>
              <w:jc w:val="left"/>
              <w:rPr>
                <w:rFonts w:hint="default" w:asciiTheme="minorEastAsia" w:hAnsiTheme="minorEastAsia" w:eastAsiaTheme="minorEastAsia" w:cstheme="minorEastAsia"/>
                <w:snapToGrid w:val="0"/>
                <w:color w:val="auto"/>
                <w:kern w:val="0"/>
                <w:sz w:val="24"/>
                <w:highlight w:val="none"/>
                <w:lang w:val="en-US" w:eastAsia="zh-CN" w:bidi="ar-SA"/>
              </w:rPr>
            </w:pPr>
            <w:r>
              <w:rPr>
                <w:rFonts w:hint="eastAsia" w:asciiTheme="minorEastAsia" w:hAnsiTheme="minorEastAsia" w:eastAsiaTheme="minorEastAsia" w:cstheme="minorEastAsia"/>
                <w:snapToGrid w:val="0"/>
                <w:color w:val="auto"/>
                <w:kern w:val="0"/>
                <w:highlight w:val="none"/>
              </w:rPr>
              <w:t>联系电话：</w:t>
            </w:r>
            <w:r>
              <w:rPr>
                <w:rFonts w:hint="eastAsia" w:asciiTheme="minorEastAsia" w:hAnsiTheme="minorEastAsia" w:eastAsiaTheme="minorEastAsia" w:cstheme="minorEastAsia"/>
                <w:snapToGrid w:val="0"/>
                <w:color w:val="auto"/>
                <w:kern w:val="0"/>
                <w:highlight w:val="none"/>
                <w:lang w:val="en-US" w:eastAsia="zh-CN"/>
              </w:rPr>
              <w:t>13226546604</w:t>
            </w:r>
          </w:p>
        </w:tc>
      </w:tr>
      <w:tr w14:paraId="403A04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1B8FEFD1">
            <w:pPr>
              <w:wordWrap w:val="0"/>
              <w:adjustRightInd w:val="0"/>
              <w:snapToGrid w:val="0"/>
              <w:spacing w:line="360" w:lineRule="auto"/>
              <w:jc w:val="center"/>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snapToGrid w:val="0"/>
                <w:color w:val="auto"/>
                <w:kern w:val="0"/>
                <w:szCs w:val="24"/>
                <w:highlight w:val="none"/>
              </w:rPr>
              <w:t>3</w:t>
            </w:r>
            <w:r>
              <w:rPr>
                <w:rFonts w:hint="eastAsia" w:asciiTheme="minorEastAsia" w:hAnsiTheme="minorEastAsia" w:eastAsiaTheme="minorEastAsia" w:cstheme="minorEastAsia"/>
                <w:snapToGrid w:val="0"/>
                <w:color w:val="auto"/>
                <w:kern w:val="0"/>
                <w:szCs w:val="24"/>
                <w:highlight w:val="none"/>
                <w:lang w:val="en-US" w:eastAsia="zh-CN"/>
              </w:rPr>
              <w:t>0</w:t>
            </w:r>
          </w:p>
        </w:tc>
        <w:tc>
          <w:tcPr>
            <w:tcW w:w="2070" w:type="dxa"/>
            <w:tcBorders>
              <w:top w:val="single" w:color="auto" w:sz="4" w:space="0"/>
              <w:left w:val="single" w:color="auto" w:sz="4" w:space="0"/>
              <w:bottom w:val="single" w:color="auto" w:sz="4" w:space="0"/>
              <w:right w:val="single" w:color="auto" w:sz="4" w:space="0"/>
            </w:tcBorders>
            <w:noWrap/>
            <w:vAlign w:val="center"/>
          </w:tcPr>
          <w:p w14:paraId="72BC0FAE">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交易场所</w:t>
            </w:r>
          </w:p>
          <w:p w14:paraId="449131DA">
            <w:pPr>
              <w:wordWrap w:val="0"/>
              <w:adjustRightInd w:val="0"/>
              <w:snapToGrid w:val="0"/>
              <w:spacing w:line="360" w:lineRule="auto"/>
              <w:jc w:val="center"/>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1BDC8B0F">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单位名称：韶关市公共资源交易中心</w:t>
            </w:r>
          </w:p>
          <w:p w14:paraId="614E47BE">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lang w:val="zh-CN"/>
              </w:rPr>
            </w:pPr>
            <w:r>
              <w:rPr>
                <w:rFonts w:hint="eastAsia" w:asciiTheme="minorEastAsia" w:hAnsiTheme="minorEastAsia" w:eastAsiaTheme="minorEastAsia" w:cstheme="minorEastAsia"/>
                <w:snapToGrid w:val="0"/>
                <w:color w:val="auto"/>
                <w:kern w:val="0"/>
                <w:szCs w:val="24"/>
                <w:highlight w:val="none"/>
              </w:rPr>
              <w:t>办公地址：</w:t>
            </w:r>
            <w:r>
              <w:rPr>
                <w:rFonts w:hint="eastAsia" w:asciiTheme="minorEastAsia" w:hAnsiTheme="minorEastAsia" w:eastAsiaTheme="minorEastAsia" w:cstheme="minorEastAsia"/>
                <w:snapToGrid w:val="0"/>
                <w:color w:val="auto"/>
                <w:kern w:val="0"/>
                <w:szCs w:val="24"/>
                <w:highlight w:val="none"/>
                <w:lang w:val="zh-CN"/>
              </w:rPr>
              <w:t>始兴县永安大道中79号行政服务大楼四楼</w:t>
            </w:r>
          </w:p>
          <w:p w14:paraId="1737A883">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联系人（部门）：</w:t>
            </w:r>
            <w:r>
              <w:rPr>
                <w:rFonts w:hint="eastAsia" w:asciiTheme="minorEastAsia" w:hAnsiTheme="minorEastAsia" w:eastAsiaTheme="minorEastAsia" w:cstheme="minorEastAsia"/>
                <w:snapToGrid w:val="0"/>
                <w:color w:val="auto"/>
                <w:kern w:val="0"/>
                <w:szCs w:val="24"/>
                <w:highlight w:val="none"/>
                <w:lang w:val="zh-CN"/>
              </w:rPr>
              <w:t>邓工</w:t>
            </w:r>
          </w:p>
          <w:p w14:paraId="02E505C2">
            <w:pPr>
              <w:wordWrap w:val="0"/>
              <w:adjustRightInd w:val="0"/>
              <w:snapToGrid w:val="0"/>
              <w:spacing w:line="360" w:lineRule="auto"/>
              <w:jc w:val="left"/>
              <w:rPr>
                <w:rFonts w:hint="eastAsia" w:asciiTheme="minorEastAsia" w:hAnsiTheme="minorEastAsia" w:eastAsiaTheme="minorEastAsia" w:cstheme="minorEastAsia"/>
                <w:snapToGrid w:val="0"/>
                <w:color w:val="auto"/>
                <w:kern w:val="0"/>
                <w:sz w:val="24"/>
                <w:highlight w:val="none"/>
                <w:lang w:val="en-US" w:eastAsia="zh-CN" w:bidi="ar-SA"/>
              </w:rPr>
            </w:pPr>
            <w:r>
              <w:rPr>
                <w:rFonts w:hint="eastAsia" w:asciiTheme="minorEastAsia" w:hAnsiTheme="minorEastAsia" w:eastAsiaTheme="minorEastAsia" w:cstheme="minorEastAsia"/>
                <w:snapToGrid w:val="0"/>
                <w:color w:val="auto"/>
                <w:kern w:val="0"/>
                <w:szCs w:val="24"/>
                <w:highlight w:val="none"/>
              </w:rPr>
              <w:t xml:space="preserve">联系电话： </w:t>
            </w:r>
            <w:r>
              <w:rPr>
                <w:rFonts w:hint="eastAsia" w:asciiTheme="minorEastAsia" w:hAnsiTheme="minorEastAsia" w:eastAsiaTheme="minorEastAsia" w:cstheme="minorEastAsia"/>
                <w:snapToGrid w:val="0"/>
                <w:color w:val="auto"/>
                <w:kern w:val="0"/>
                <w:szCs w:val="24"/>
                <w:highlight w:val="none"/>
                <w:lang w:val="zh-CN"/>
              </w:rPr>
              <w:t>0751-3315236</w:t>
            </w:r>
          </w:p>
        </w:tc>
      </w:tr>
      <w:tr w14:paraId="2EE64FC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23" w:hRule="atLeast"/>
          <w:jc w:val="center"/>
        </w:trPr>
        <w:tc>
          <w:tcPr>
            <w:tcW w:w="810" w:type="dxa"/>
            <w:tcBorders>
              <w:top w:val="single" w:color="auto" w:sz="4" w:space="0"/>
              <w:left w:val="single" w:color="auto" w:sz="4" w:space="0"/>
              <w:bottom w:val="single" w:color="auto" w:sz="4" w:space="0"/>
              <w:right w:val="single" w:color="auto" w:sz="4" w:space="0"/>
            </w:tcBorders>
            <w:noWrap/>
            <w:vAlign w:val="center"/>
          </w:tcPr>
          <w:p w14:paraId="5F927EC7">
            <w:pPr>
              <w:wordWrap w:val="0"/>
              <w:adjustRightInd w:val="0"/>
              <w:snapToGrid w:val="0"/>
              <w:spacing w:line="360" w:lineRule="auto"/>
              <w:jc w:val="center"/>
              <w:rPr>
                <w:rFonts w:hint="default" w:asciiTheme="minorEastAsia" w:hAnsiTheme="minorEastAsia" w:eastAsiaTheme="minorEastAsia" w:cstheme="minorEastAsia"/>
                <w:snapToGrid w:val="0"/>
                <w:color w:val="auto"/>
                <w:kern w:val="0"/>
                <w:szCs w:val="24"/>
                <w:highlight w:val="none"/>
                <w:lang w:val="en-US" w:eastAsia="zh-CN"/>
              </w:rPr>
            </w:pPr>
            <w:bookmarkStart w:id="5" w:name="_Toc122859103"/>
            <w:bookmarkStart w:id="6" w:name="_Toc122769943"/>
            <w:bookmarkStart w:id="7" w:name="_Toc122671103"/>
            <w:r>
              <w:rPr>
                <w:rFonts w:hint="eastAsia" w:asciiTheme="minorEastAsia" w:hAnsiTheme="minorEastAsia" w:eastAsiaTheme="minorEastAsia" w:cstheme="minorEastAsia"/>
                <w:snapToGrid w:val="0"/>
                <w:color w:val="auto"/>
                <w:kern w:val="0"/>
                <w:szCs w:val="24"/>
                <w:highlight w:val="none"/>
                <w:lang w:val="en-US" w:eastAsia="zh-CN"/>
              </w:rPr>
              <w:t>31</w:t>
            </w:r>
          </w:p>
        </w:tc>
        <w:tc>
          <w:tcPr>
            <w:tcW w:w="2070" w:type="dxa"/>
            <w:tcBorders>
              <w:top w:val="single" w:color="auto" w:sz="4" w:space="0"/>
              <w:left w:val="single" w:color="auto" w:sz="4" w:space="0"/>
              <w:bottom w:val="single" w:color="auto" w:sz="4" w:space="0"/>
              <w:right w:val="single" w:color="auto" w:sz="4" w:space="0"/>
            </w:tcBorders>
            <w:noWrap/>
            <w:vAlign w:val="center"/>
          </w:tcPr>
          <w:p w14:paraId="485C30F0">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行政监督部门</w:t>
            </w:r>
          </w:p>
          <w:p w14:paraId="40438CA7">
            <w:pPr>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联系方式</w:t>
            </w:r>
          </w:p>
        </w:tc>
        <w:tc>
          <w:tcPr>
            <w:tcW w:w="7183" w:type="dxa"/>
            <w:tcBorders>
              <w:top w:val="single" w:color="auto" w:sz="4" w:space="0"/>
              <w:left w:val="single" w:color="auto" w:sz="4" w:space="0"/>
              <w:bottom w:val="single" w:color="auto" w:sz="4" w:space="0"/>
              <w:right w:val="single" w:color="auto" w:sz="4" w:space="0"/>
            </w:tcBorders>
            <w:noWrap/>
            <w:vAlign w:val="center"/>
          </w:tcPr>
          <w:p w14:paraId="4E7D472D">
            <w:pPr>
              <w:spacing w:line="400" w:lineRule="exact"/>
              <w:ind w:left="247" w:leftChars="103"/>
              <w:rPr>
                <w:rFonts w:hint="eastAsia" w:ascii="Times New Roman" w:hAnsi="Times New Roman" w:eastAsia="宋体" w:cs="Times New Roman"/>
                <w:snapToGrid w:val="0"/>
                <w:color w:val="auto"/>
                <w:kern w:val="0"/>
                <w:szCs w:val="22"/>
                <w:highlight w:val="none"/>
                <w:lang w:val="en-US" w:eastAsia="zh-CN"/>
              </w:rPr>
            </w:pPr>
            <w:r>
              <w:rPr>
                <w:rFonts w:hint="eastAsia" w:ascii="Times New Roman" w:hAnsi="Times New Roman" w:eastAsia="宋体" w:cs="Times New Roman"/>
                <w:snapToGrid w:val="0"/>
                <w:color w:val="auto"/>
                <w:kern w:val="0"/>
                <w:szCs w:val="22"/>
                <w:highlight w:val="none"/>
                <w:lang w:val="en-US" w:eastAsia="zh-CN"/>
              </w:rPr>
              <w:t>单位名称：</w:t>
            </w:r>
            <w:r>
              <w:rPr>
                <w:rFonts w:hint="eastAsia" w:asciiTheme="minorEastAsia" w:hAnsiTheme="minorEastAsia" w:eastAsiaTheme="minorEastAsia" w:cstheme="minorEastAsia"/>
                <w:snapToGrid w:val="0"/>
                <w:color w:val="auto"/>
                <w:kern w:val="0"/>
                <w:szCs w:val="24"/>
                <w:highlight w:val="none"/>
                <w:lang w:eastAsia="zh-CN"/>
              </w:rPr>
              <w:t>广东始兴工业园区管理委员会</w:t>
            </w:r>
          </w:p>
          <w:p w14:paraId="09EB3073">
            <w:pPr>
              <w:spacing w:line="400" w:lineRule="exact"/>
              <w:ind w:left="247" w:leftChars="103"/>
              <w:rPr>
                <w:rFonts w:hint="eastAsia" w:ascii="Times New Roman" w:hAnsi="Times New Roman" w:eastAsia="宋体" w:cs="Times New Roman"/>
                <w:snapToGrid w:val="0"/>
                <w:color w:val="auto"/>
                <w:kern w:val="0"/>
                <w:szCs w:val="22"/>
                <w:highlight w:val="none"/>
                <w:lang w:val="en-US" w:eastAsia="zh-CN"/>
              </w:rPr>
            </w:pPr>
            <w:r>
              <w:rPr>
                <w:rFonts w:hint="eastAsia" w:ascii="Times New Roman" w:hAnsi="Times New Roman" w:eastAsia="宋体" w:cs="Times New Roman"/>
                <w:snapToGrid w:val="0"/>
                <w:color w:val="auto"/>
                <w:kern w:val="0"/>
                <w:szCs w:val="22"/>
                <w:highlight w:val="none"/>
                <w:lang w:val="en-US" w:eastAsia="zh-CN"/>
              </w:rPr>
              <w:t>办公地址：</w:t>
            </w:r>
            <w:r>
              <w:rPr>
                <w:rFonts w:hint="eastAsia" w:asciiTheme="minorEastAsia" w:hAnsiTheme="minorEastAsia" w:eastAsiaTheme="minorEastAsia" w:cstheme="minorEastAsia"/>
                <w:snapToGrid w:val="0"/>
                <w:color w:val="auto"/>
                <w:kern w:val="0"/>
                <w:szCs w:val="24"/>
                <w:highlight w:val="none"/>
                <w:lang w:eastAsia="zh-CN"/>
              </w:rPr>
              <w:t>始兴县顿岗镇岭下村沙水工业园行政路1号</w:t>
            </w:r>
            <w:r>
              <w:rPr>
                <w:rFonts w:hint="eastAsia" w:ascii="Times New Roman" w:hAnsi="Times New Roman" w:eastAsia="宋体" w:cs="Times New Roman"/>
                <w:snapToGrid w:val="0"/>
                <w:color w:val="auto"/>
                <w:kern w:val="0"/>
                <w:szCs w:val="22"/>
                <w:highlight w:val="none"/>
                <w:lang w:val="en-US" w:eastAsia="zh-CN"/>
              </w:rPr>
              <w:t xml:space="preserve"> </w:t>
            </w:r>
          </w:p>
          <w:p w14:paraId="2E2768E2">
            <w:pPr>
              <w:spacing w:line="400" w:lineRule="exact"/>
              <w:ind w:left="247" w:leftChars="103"/>
              <w:rPr>
                <w:rFonts w:hint="eastAsia" w:ascii="Times New Roman" w:hAnsi="Times New Roman" w:eastAsia="宋体" w:cs="Times New Roman"/>
                <w:snapToGrid w:val="0"/>
                <w:color w:val="auto"/>
                <w:kern w:val="0"/>
                <w:szCs w:val="22"/>
                <w:highlight w:val="none"/>
                <w:lang w:val="en-US" w:eastAsia="zh-CN"/>
              </w:rPr>
            </w:pPr>
            <w:r>
              <w:rPr>
                <w:rFonts w:hint="eastAsia" w:ascii="Times New Roman" w:hAnsi="Times New Roman" w:eastAsia="宋体" w:cs="Times New Roman"/>
                <w:snapToGrid w:val="0"/>
                <w:color w:val="auto"/>
                <w:kern w:val="0"/>
                <w:szCs w:val="22"/>
                <w:highlight w:val="none"/>
                <w:lang w:val="en-US" w:eastAsia="zh-CN"/>
              </w:rPr>
              <w:t>联系人（部门）：钟工</w:t>
            </w:r>
          </w:p>
          <w:p w14:paraId="5D42B1ED">
            <w:pPr>
              <w:spacing w:line="400" w:lineRule="exact"/>
              <w:ind w:left="247" w:leftChars="103"/>
              <w:rPr>
                <w:rFonts w:hint="eastAsia" w:asciiTheme="minorEastAsia" w:hAnsiTheme="minorEastAsia" w:eastAsiaTheme="minorEastAsia" w:cstheme="minorEastAsia"/>
                <w:snapToGrid w:val="0"/>
                <w:color w:val="auto"/>
                <w:kern w:val="0"/>
                <w:szCs w:val="24"/>
                <w:highlight w:val="none"/>
              </w:rPr>
            </w:pPr>
            <w:r>
              <w:rPr>
                <w:rFonts w:hint="eastAsia" w:ascii="Times New Roman" w:hAnsi="Times New Roman" w:eastAsia="宋体" w:cs="Times New Roman"/>
                <w:snapToGrid w:val="0"/>
                <w:color w:val="auto"/>
                <w:kern w:val="0"/>
                <w:szCs w:val="22"/>
                <w:highlight w:val="none"/>
                <w:lang w:val="en-US" w:eastAsia="zh-CN"/>
              </w:rPr>
              <w:t xml:space="preserve">联系电话：0751-3325368 </w:t>
            </w:r>
          </w:p>
        </w:tc>
      </w:tr>
      <w:bookmarkEnd w:id="4"/>
    </w:tbl>
    <w:p w14:paraId="3E8EC4BB">
      <w:pPr>
        <w:pStyle w:val="3"/>
        <w:wordWrap w:val="0"/>
        <w:autoSpaceDE/>
        <w:autoSpaceDN/>
        <w:snapToGrid w:val="0"/>
        <w:spacing w:after="260" w:line="440" w:lineRule="exact"/>
        <w:jc w:val="both"/>
        <w:rPr>
          <w:rFonts w:hint="eastAsia" w:asciiTheme="minorEastAsia" w:hAnsiTheme="minorEastAsia" w:eastAsiaTheme="minorEastAsia" w:cstheme="minorEastAsia"/>
          <w:b/>
          <w:color w:val="auto"/>
          <w:kern w:val="2"/>
          <w:highlight w:val="none"/>
        </w:rPr>
      </w:pPr>
      <w:r>
        <w:rPr>
          <w:rFonts w:hint="eastAsia" w:asciiTheme="minorEastAsia" w:hAnsiTheme="minorEastAsia" w:eastAsiaTheme="minorEastAsia" w:cstheme="minorEastAsia"/>
          <w:b/>
          <w:color w:val="auto"/>
          <w:kern w:val="2"/>
          <w:highlight w:val="none"/>
        </w:rPr>
        <w:br w:type="page"/>
      </w:r>
      <w:bookmarkEnd w:id="5"/>
      <w:bookmarkEnd w:id="6"/>
      <w:bookmarkEnd w:id="7"/>
      <w:bookmarkStart w:id="8" w:name="_Toc12063"/>
      <w:r>
        <w:rPr>
          <w:rFonts w:hint="eastAsia" w:asciiTheme="minorEastAsia" w:hAnsiTheme="minorEastAsia" w:eastAsiaTheme="minorEastAsia" w:cstheme="minorEastAsia"/>
          <w:b/>
          <w:color w:val="auto"/>
          <w:kern w:val="2"/>
          <w:szCs w:val="24"/>
          <w:highlight w:val="none"/>
        </w:rPr>
        <w:t>第二节.重要事项时间地点一览表.</w:t>
      </w:r>
      <w:bookmarkEnd w:id="8"/>
    </w:p>
    <w:tbl>
      <w:tblPr>
        <w:tblStyle w:val="22"/>
        <w:tblW w:w="9679" w:type="dxa"/>
        <w:tblInd w:w="-6" w:type="dxa"/>
        <w:tblBorders>
          <w:top w:val="outset" w:color="auto" w:sz="6" w:space="0"/>
          <w:left w:val="outset" w:color="auto" w:sz="6" w:space="0"/>
          <w:bottom w:val="outset" w:color="auto" w:sz="6" w:space="0"/>
          <w:right w:val="outset" w:color="auto" w:sz="6" w:space="0"/>
          <w:insideH w:val="none" w:color="auto" w:sz="0" w:space="0"/>
          <w:insideV w:val="none" w:color="auto" w:sz="0" w:space="0"/>
        </w:tblBorders>
        <w:tblLayout w:type="fixed"/>
        <w:tblCellMar>
          <w:top w:w="0" w:type="dxa"/>
          <w:left w:w="0" w:type="dxa"/>
          <w:bottom w:w="0" w:type="dxa"/>
          <w:right w:w="0" w:type="dxa"/>
        </w:tblCellMar>
      </w:tblPr>
      <w:tblGrid>
        <w:gridCol w:w="503"/>
        <w:gridCol w:w="1606"/>
        <w:gridCol w:w="7570"/>
      </w:tblGrid>
      <w:tr w14:paraId="73D71DC8">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1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2569ACF">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D82AE52">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招标公告</w:t>
            </w:r>
          </w:p>
          <w:p w14:paraId="084E36CF">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发布时间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EB81E5B">
            <w:pPr>
              <w:pStyle w:val="30"/>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2025年11月13日 18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00 </w:t>
            </w:r>
            <w:r>
              <w:rPr>
                <w:rFonts w:hint="eastAsia" w:asciiTheme="minorEastAsia" w:hAnsiTheme="minorEastAsia" w:eastAsiaTheme="minorEastAsia" w:cstheme="minorEastAsia"/>
                <w:snapToGrid w:val="0"/>
                <w:color w:val="auto"/>
                <w:kern w:val="0"/>
                <w:sz w:val="24"/>
                <w:highlight w:val="none"/>
                <w:u w:val="none"/>
              </w:rPr>
              <w:t>分</w:t>
            </w:r>
          </w:p>
        </w:tc>
      </w:tr>
      <w:tr w14:paraId="70B869C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292FD3B8">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0E968557">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获取招标文件截止时间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46B87744">
            <w:pPr>
              <w:pStyle w:val="30"/>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2025年12月4日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tc>
      </w:tr>
      <w:tr w14:paraId="3603E3D1">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8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35B9717">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D1B83A5">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网上提问</w:t>
            </w:r>
          </w:p>
          <w:p w14:paraId="5DE63840">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32B14EE3">
            <w:pPr>
              <w:pStyle w:val="30"/>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2025年11月24日16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00 </w:t>
            </w:r>
            <w:r>
              <w:rPr>
                <w:rFonts w:hint="eastAsia" w:asciiTheme="minorEastAsia" w:hAnsiTheme="minorEastAsia" w:eastAsiaTheme="minorEastAsia" w:cstheme="minorEastAsia"/>
                <w:snapToGrid w:val="0"/>
                <w:color w:val="auto"/>
                <w:kern w:val="0"/>
                <w:sz w:val="24"/>
                <w:highlight w:val="none"/>
                <w:u w:val="none"/>
              </w:rPr>
              <w:t>分</w:t>
            </w:r>
          </w:p>
        </w:tc>
      </w:tr>
      <w:tr w14:paraId="1B682EEF">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0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0A36F7D0">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4</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44C3F728">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网上答疑</w:t>
            </w:r>
          </w:p>
          <w:p w14:paraId="5C02C130">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6B720B05">
            <w:pPr>
              <w:pStyle w:val="30"/>
              <w:wordWrap w:val="0"/>
              <w:adjustRightInd w:val="0"/>
              <w:snapToGrid w:val="0"/>
              <w:spacing w:line="400" w:lineRule="exact"/>
              <w:jc w:val="left"/>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2025年11月24日</w:t>
            </w:r>
            <w:r>
              <w:rPr>
                <w:rFonts w:hint="eastAsia" w:asciiTheme="minorEastAsia" w:hAnsiTheme="minorEastAsia" w:eastAsiaTheme="minorEastAsia" w:cstheme="minorEastAsia"/>
                <w:snapToGrid w:val="0"/>
                <w:color w:val="auto"/>
                <w:kern w:val="0"/>
                <w:sz w:val="24"/>
                <w:highlight w:val="none"/>
                <w:u w:val="none"/>
              </w:rPr>
              <w:t xml:space="preserve">16时30分至 </w:t>
            </w:r>
            <w:r>
              <w:rPr>
                <w:rFonts w:hint="eastAsia" w:asciiTheme="minorEastAsia" w:hAnsiTheme="minorEastAsia" w:eastAsiaTheme="minorEastAsia" w:cstheme="minorEastAsia"/>
                <w:snapToGrid w:val="0"/>
                <w:color w:val="auto"/>
                <w:kern w:val="0"/>
                <w:sz w:val="24"/>
                <w:highlight w:val="none"/>
                <w:u w:val="none"/>
                <w:lang w:val="en-US" w:eastAsia="zh-CN"/>
              </w:rPr>
              <w:t>2025年11月27日</w:t>
            </w:r>
            <w:r>
              <w:rPr>
                <w:rFonts w:hint="eastAsia" w:asciiTheme="minorEastAsia" w:hAnsiTheme="minorEastAsia" w:eastAsiaTheme="minorEastAsia" w:cstheme="minorEastAsia"/>
                <w:snapToGrid w:val="0"/>
                <w:color w:val="auto"/>
                <w:kern w:val="0"/>
                <w:sz w:val="24"/>
                <w:highlight w:val="none"/>
                <w:u w:val="none"/>
              </w:rPr>
              <w:t>16时00分</w:t>
            </w:r>
          </w:p>
        </w:tc>
      </w:tr>
      <w:tr w14:paraId="4F7B5F8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58"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41A3A9CF">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5</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35373E4F">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投标保证缴</w:t>
            </w:r>
          </w:p>
          <w:p w14:paraId="585DC118">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纳截止时间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2179ED53">
            <w:pPr>
              <w:pStyle w:val="30"/>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投标保证金到账截止时间：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2025年12月3日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p w14:paraId="78B8DE32">
            <w:pPr>
              <w:pStyle w:val="30"/>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 w:val="24"/>
                <w:highlight w:val="none"/>
                <w:u w:val="none"/>
              </w:rPr>
            </w:pPr>
            <w:r>
              <w:rPr>
                <w:rFonts w:hint="eastAsia" w:asciiTheme="minorEastAsia" w:hAnsiTheme="minorEastAsia" w:eastAsiaTheme="minorEastAsia" w:cstheme="minorEastAsia"/>
                <w:snapToGrid w:val="0"/>
                <w:color w:val="auto"/>
                <w:kern w:val="0"/>
                <w:sz w:val="24"/>
                <w:highlight w:val="none"/>
                <w:u w:val="none"/>
              </w:rPr>
              <w:t xml:space="preserve">投标保证担保上传截止时间：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2025年12月3 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p w14:paraId="7A496103">
            <w:pPr>
              <w:pStyle w:val="19"/>
              <w:wordWrap w:val="0"/>
              <w:adjustRightInd w:val="0"/>
              <w:snapToGrid w:val="0"/>
              <w:spacing w:line="400" w:lineRule="exact"/>
              <w:ind w:firstLine="240" w:firstLineChars="100"/>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Cs w:val="24"/>
                <w:highlight w:val="none"/>
                <w:u w:val="none"/>
              </w:rPr>
              <w:t>投标保证保险投保截止时间：</w:t>
            </w: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2025年12月3日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r>
              <w:rPr>
                <w:rFonts w:hint="eastAsia" w:asciiTheme="minorEastAsia" w:hAnsiTheme="minorEastAsia" w:eastAsiaTheme="minorEastAsia" w:cstheme="minorEastAsia"/>
                <w:snapToGrid w:val="0"/>
                <w:color w:val="auto"/>
                <w:kern w:val="0"/>
                <w:szCs w:val="24"/>
                <w:highlight w:val="none"/>
                <w:u w:val="none"/>
              </w:rPr>
              <w:t>。</w:t>
            </w:r>
          </w:p>
        </w:tc>
      </w:tr>
      <w:tr w14:paraId="7584028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879"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3E0FC847">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6</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8E0E50B">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电子投标</w:t>
            </w:r>
          </w:p>
          <w:p w14:paraId="2F981E23">
            <w:pPr>
              <w:pStyle w:val="30"/>
              <w:wordWrap w:val="0"/>
              <w:adjustRightInd w:val="0"/>
              <w:snapToGrid w:val="0"/>
              <w:spacing w:line="360" w:lineRule="exact"/>
              <w:jc w:val="center"/>
              <w:rPr>
                <w:rFonts w:hint="eastAsia" w:asciiTheme="minorEastAsia" w:hAnsiTheme="minorEastAsia" w:eastAsiaTheme="minorEastAsia" w:cstheme="minorEastAsia"/>
                <w:strike/>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截止时间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C877DC0">
            <w:pPr>
              <w:pStyle w:val="19"/>
              <w:wordWrap w:val="0"/>
              <w:adjustRightInd w:val="0"/>
              <w:snapToGrid w:val="0"/>
              <w:spacing w:line="400" w:lineRule="exact"/>
              <w:ind w:firstLine="120" w:firstLineChars="50"/>
              <w:jc w:val="left"/>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2025年12月4日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tc>
      </w:tr>
      <w:tr w14:paraId="1E01229D">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62"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3D24F6FF">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7</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2E9638F0">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投标相关资料（如有）递交时间</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30CEA8D">
            <w:pPr>
              <w:pStyle w:val="19"/>
              <w:wordWrap w:val="0"/>
              <w:adjustRightInd w:val="0"/>
              <w:snapToGrid w:val="0"/>
              <w:spacing w:line="400" w:lineRule="exact"/>
              <w:jc w:val="left"/>
              <w:rPr>
                <w:rFonts w:hint="eastAsia" w:asciiTheme="minorEastAsia" w:hAnsiTheme="minorEastAsia" w:eastAsiaTheme="minorEastAsia" w:cstheme="minorEastAsia"/>
                <w:snapToGrid w:val="0"/>
                <w:color w:val="auto"/>
                <w:kern w:val="0"/>
                <w:szCs w:val="24"/>
                <w:highlight w:val="none"/>
                <w:u w:val="none"/>
              </w:rPr>
            </w:pPr>
            <w:r>
              <w:rPr>
                <w:rFonts w:hint="eastAsia" w:asciiTheme="minorEastAsia" w:hAnsiTheme="minorEastAsia" w:eastAsiaTheme="minorEastAsia" w:cstheme="minorEastAsia"/>
                <w:snapToGrid w:val="0"/>
                <w:color w:val="auto"/>
                <w:kern w:val="0"/>
                <w:szCs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2025年12月4日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00 </w:t>
            </w:r>
            <w:r>
              <w:rPr>
                <w:rFonts w:hint="eastAsia" w:asciiTheme="minorEastAsia" w:hAnsiTheme="minorEastAsia" w:eastAsiaTheme="minorEastAsia" w:cstheme="minorEastAsia"/>
                <w:snapToGrid w:val="0"/>
                <w:color w:val="auto"/>
                <w:kern w:val="0"/>
                <w:sz w:val="24"/>
                <w:highlight w:val="none"/>
                <w:u w:val="none"/>
              </w:rPr>
              <w:t>分</w:t>
            </w:r>
            <w:r>
              <w:rPr>
                <w:rFonts w:hint="eastAsia" w:asciiTheme="minorEastAsia" w:hAnsiTheme="minorEastAsia" w:eastAsiaTheme="minorEastAsia" w:cstheme="minorEastAsia"/>
                <w:snapToGrid w:val="0"/>
                <w:color w:val="auto"/>
                <w:kern w:val="0"/>
                <w:szCs w:val="24"/>
                <w:highlight w:val="none"/>
                <w:u w:val="none"/>
              </w:rPr>
              <w:t>至</w:t>
            </w: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2025年12月4日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tc>
      </w:tr>
      <w:tr w14:paraId="7160E21C">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550"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F8CE4B0">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8</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1AD3CB0">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投标相关资料（如有）递交地点</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6D82E43">
            <w:pPr>
              <w:pStyle w:val="30"/>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递交场所：韶关市公共资源交易中心始兴分中心，</w:t>
            </w:r>
          </w:p>
          <w:p w14:paraId="5B7A43C6">
            <w:pPr>
              <w:pStyle w:val="30"/>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地址：始兴县永安大道中79号行政服务大楼四楼。</w:t>
            </w:r>
          </w:p>
        </w:tc>
      </w:tr>
      <w:tr w14:paraId="679B9DA0">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556"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11901D56">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9</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6AB8F590">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开标时间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5AA668FC">
            <w:pPr>
              <w:pStyle w:val="19"/>
              <w:wordWrap w:val="0"/>
              <w:adjustRightInd w:val="0"/>
              <w:snapToGrid w:val="0"/>
              <w:spacing w:line="400" w:lineRule="exact"/>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 w:val="24"/>
                <w:highlight w:val="none"/>
                <w:u w:val="none"/>
              </w:rPr>
              <w:t xml:space="preserve"> </w:t>
            </w:r>
            <w:r>
              <w:rPr>
                <w:rFonts w:hint="eastAsia" w:asciiTheme="minorEastAsia" w:hAnsiTheme="minorEastAsia" w:eastAsiaTheme="minorEastAsia" w:cstheme="minorEastAsia"/>
                <w:snapToGrid w:val="0"/>
                <w:color w:val="auto"/>
                <w:kern w:val="0"/>
                <w:sz w:val="24"/>
                <w:highlight w:val="none"/>
                <w:u w:val="none"/>
                <w:lang w:val="en-US" w:eastAsia="zh-CN"/>
              </w:rPr>
              <w:t xml:space="preserve">2025年12月4日 09 </w:t>
            </w:r>
            <w:r>
              <w:rPr>
                <w:rFonts w:hint="eastAsia" w:asciiTheme="minorEastAsia" w:hAnsiTheme="minorEastAsia" w:eastAsiaTheme="minorEastAsia" w:cstheme="minorEastAsia"/>
                <w:snapToGrid w:val="0"/>
                <w:color w:val="auto"/>
                <w:kern w:val="0"/>
                <w:sz w:val="24"/>
                <w:highlight w:val="none"/>
                <w:u w:val="none"/>
              </w:rPr>
              <w:t>时</w:t>
            </w:r>
            <w:r>
              <w:rPr>
                <w:rFonts w:hint="eastAsia" w:asciiTheme="minorEastAsia" w:hAnsiTheme="minorEastAsia" w:eastAsiaTheme="minorEastAsia" w:cstheme="minorEastAsia"/>
                <w:snapToGrid w:val="0"/>
                <w:color w:val="auto"/>
                <w:kern w:val="0"/>
                <w:sz w:val="24"/>
                <w:highlight w:val="none"/>
                <w:u w:val="none"/>
                <w:lang w:val="en-US" w:eastAsia="zh-CN"/>
              </w:rPr>
              <w:t xml:space="preserve"> 30 </w:t>
            </w:r>
            <w:r>
              <w:rPr>
                <w:rFonts w:hint="eastAsia" w:asciiTheme="minorEastAsia" w:hAnsiTheme="minorEastAsia" w:eastAsiaTheme="minorEastAsia" w:cstheme="minorEastAsia"/>
                <w:snapToGrid w:val="0"/>
                <w:color w:val="auto"/>
                <w:kern w:val="0"/>
                <w:sz w:val="24"/>
                <w:highlight w:val="none"/>
                <w:u w:val="none"/>
              </w:rPr>
              <w:t>分</w:t>
            </w:r>
          </w:p>
        </w:tc>
      </w:tr>
      <w:tr w14:paraId="2B7FD935">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361"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528BD55B">
            <w:pPr>
              <w:pStyle w:val="30"/>
              <w:wordWrap w:val="0"/>
              <w:adjustRightInd w:val="0"/>
              <w:snapToGrid w:val="0"/>
              <w:spacing w:line="360" w:lineRule="auto"/>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10</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471A2DC">
            <w:pPr>
              <w:pStyle w:val="30"/>
              <w:wordWrap w:val="0"/>
              <w:adjustRightInd w:val="0"/>
              <w:snapToGrid w:val="0"/>
              <w:spacing w:line="360" w:lineRule="exact"/>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开标地点 </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1DE75F4">
            <w:pPr>
              <w:pStyle w:val="30"/>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开标场所：韶关市公共资源交易中心始兴分中心，</w:t>
            </w:r>
          </w:p>
          <w:p w14:paraId="295B51DA">
            <w:pPr>
              <w:pStyle w:val="30"/>
              <w:wordWrap w:val="0"/>
              <w:adjustRightInd w:val="0"/>
              <w:snapToGrid w:val="0"/>
              <w:spacing w:line="360" w:lineRule="auto"/>
              <w:ind w:firstLine="240" w:firstLineChars="1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 xml:space="preserve">地址：始兴县永安大道中79号行政服务大楼四楼。 </w:t>
            </w:r>
          </w:p>
        </w:tc>
      </w:tr>
      <w:tr w14:paraId="052E5DB3">
        <w:tblPrEx>
          <w:tblBorders>
            <w:top w:val="outset" w:color="auto" w:sz="6" w:space="0"/>
            <w:left w:val="outset" w:color="auto" w:sz="6" w:space="0"/>
            <w:bottom w:val="outset" w:color="auto" w:sz="6" w:space="0"/>
            <w:right w:val="outset" w:color="auto" w:sz="6" w:space="0"/>
            <w:insideH w:val="none" w:color="auto" w:sz="0" w:space="0"/>
            <w:insideV w:val="none" w:color="auto" w:sz="0" w:space="0"/>
          </w:tblBorders>
          <w:tblCellMar>
            <w:top w:w="0" w:type="dxa"/>
            <w:left w:w="0" w:type="dxa"/>
            <w:bottom w:w="0" w:type="dxa"/>
            <w:right w:w="0" w:type="dxa"/>
          </w:tblCellMar>
        </w:tblPrEx>
        <w:trPr>
          <w:trHeight w:val="1407" w:hRule="exact"/>
        </w:trPr>
        <w:tc>
          <w:tcPr>
            <w:tcW w:w="503" w:type="dxa"/>
            <w:tcBorders>
              <w:top w:val="single" w:color="080000" w:sz="4" w:space="0"/>
              <w:left w:val="single" w:color="080000" w:sz="4" w:space="0"/>
              <w:bottom w:val="single" w:color="080000" w:sz="4" w:space="0"/>
              <w:right w:val="single" w:color="080000" w:sz="4" w:space="0"/>
            </w:tcBorders>
            <w:noWrap w:val="0"/>
            <w:vAlign w:val="center"/>
          </w:tcPr>
          <w:p w14:paraId="7B4AD4F3">
            <w:pPr>
              <w:pStyle w:val="30"/>
              <w:widowControl/>
              <w:snapToGrid w:val="0"/>
              <w:spacing w:line="360" w:lineRule="auto"/>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11</w:t>
            </w:r>
          </w:p>
        </w:tc>
        <w:tc>
          <w:tcPr>
            <w:tcW w:w="1606" w:type="dxa"/>
            <w:tcBorders>
              <w:top w:val="single" w:color="080000" w:sz="4" w:space="0"/>
              <w:left w:val="single" w:color="080000" w:sz="4" w:space="0"/>
              <w:bottom w:val="single" w:color="080000" w:sz="4" w:space="0"/>
              <w:right w:val="single" w:color="080000" w:sz="4" w:space="0"/>
            </w:tcBorders>
            <w:noWrap w:val="0"/>
            <w:vAlign w:val="center"/>
          </w:tcPr>
          <w:p w14:paraId="5812358B">
            <w:pPr>
              <w:adjustRightInd w:val="0"/>
              <w:snapToGrid w:val="0"/>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备注</w:t>
            </w:r>
          </w:p>
        </w:tc>
        <w:tc>
          <w:tcPr>
            <w:tcW w:w="7570" w:type="dxa"/>
            <w:tcBorders>
              <w:top w:val="single" w:color="080000" w:sz="4" w:space="0"/>
              <w:left w:val="single" w:color="080000" w:sz="4" w:space="0"/>
              <w:bottom w:val="single" w:color="080000" w:sz="4" w:space="0"/>
              <w:right w:val="single" w:color="080000" w:sz="4" w:space="0"/>
            </w:tcBorders>
            <w:noWrap w:val="0"/>
            <w:vAlign w:val="center"/>
          </w:tcPr>
          <w:p w14:paraId="12A6CEB4">
            <w:pPr>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投标人应按有关要求办理数字证书（CA）和企业入库、获取招标文件、资料文件及招标答疑书等。若由于投标人自身原因未能及时取得上述资料的，由此发生的任何责任由投标人自行承担。</w:t>
            </w:r>
          </w:p>
        </w:tc>
      </w:tr>
    </w:tbl>
    <w:p w14:paraId="66A881A3">
      <w:pPr>
        <w:pStyle w:val="28"/>
        <w:keepNext/>
        <w:keepLines/>
        <w:tabs>
          <w:tab w:val="left" w:pos="885"/>
        </w:tabs>
        <w:ind w:left="885" w:hanging="885"/>
        <w:jc w:val="center"/>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color w:val="auto"/>
          <w:sz w:val="24"/>
          <w:highlight w:val="none"/>
        </w:rPr>
        <w:br w:type="page"/>
      </w:r>
      <w:bookmarkStart w:id="9" w:name="_Hlt69669159"/>
      <w:bookmarkEnd w:id="9"/>
      <w:bookmarkStart w:id="10" w:name="_Toc30776"/>
      <w:bookmarkStart w:id="11" w:name="_Hlt69698754"/>
      <w:bookmarkStart w:id="12" w:name="_Hlt69698705"/>
      <w:r>
        <w:rPr>
          <w:rFonts w:hint="eastAsia" w:asciiTheme="minorEastAsia" w:hAnsiTheme="minorEastAsia" w:eastAsiaTheme="minorEastAsia" w:cstheme="minorEastAsia"/>
          <w:b/>
          <w:color w:val="auto"/>
          <w:sz w:val="36"/>
          <w:szCs w:val="36"/>
          <w:highlight w:val="none"/>
        </w:rPr>
        <w:t>第</w:t>
      </w:r>
      <w:r>
        <w:rPr>
          <w:rFonts w:hint="eastAsia" w:asciiTheme="minorEastAsia" w:hAnsiTheme="minorEastAsia" w:eastAsiaTheme="minorEastAsia" w:cstheme="minorEastAsia"/>
          <w:b/>
          <w:color w:val="auto"/>
          <w:kern w:val="44"/>
          <w:sz w:val="36"/>
          <w:szCs w:val="36"/>
          <w:highlight w:val="none"/>
        </w:rPr>
        <w:t>三节</w:t>
      </w:r>
      <w:bookmarkStart w:id="13" w:name="_Hlt87793819"/>
      <w:bookmarkEnd w:id="13"/>
      <w:r>
        <w:rPr>
          <w:rFonts w:hint="eastAsia" w:asciiTheme="minorEastAsia" w:hAnsiTheme="minorEastAsia" w:eastAsiaTheme="minorEastAsia" w:cstheme="minorEastAsia"/>
          <w:b/>
          <w:color w:val="auto"/>
          <w:kern w:val="44"/>
          <w:sz w:val="36"/>
          <w:szCs w:val="36"/>
          <w:highlight w:val="none"/>
        </w:rPr>
        <w:t xml:space="preserve"> 投标须知正文</w:t>
      </w:r>
      <w:bookmarkEnd w:id="10"/>
    </w:p>
    <w:bookmarkEnd w:id="11"/>
    <w:bookmarkEnd w:id="12"/>
    <w:p w14:paraId="138C5ABC">
      <w:pPr>
        <w:pStyle w:val="7"/>
        <w:spacing w:line="400" w:lineRule="exact"/>
        <w:rPr>
          <w:rFonts w:hint="eastAsia" w:asciiTheme="minorEastAsia" w:hAnsiTheme="minorEastAsia" w:eastAsiaTheme="minorEastAsia" w:cstheme="minorEastAsia"/>
          <w:color w:val="auto"/>
          <w:sz w:val="24"/>
          <w:szCs w:val="28"/>
          <w:highlight w:val="none"/>
          <w:u w:val="single"/>
        </w:rPr>
      </w:pPr>
    </w:p>
    <w:p w14:paraId="1D53B248">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lang w:eastAsia="zh-CN"/>
        </w:rPr>
        <w:t>马市工业片区110kV两回路送出线路及对侧间隔扩建项目</w:t>
      </w:r>
      <w:r>
        <w:rPr>
          <w:rFonts w:hint="eastAsia" w:asciiTheme="minorEastAsia" w:hAnsiTheme="minorEastAsia" w:eastAsiaTheme="minorEastAsia" w:cstheme="minorEastAsia"/>
          <w:snapToGrid w:val="0"/>
          <w:color w:val="auto"/>
          <w:kern w:val="0"/>
          <w:szCs w:val="24"/>
          <w:highlight w:val="none"/>
        </w:rPr>
        <w:t>业经</w:t>
      </w:r>
      <w:r>
        <w:rPr>
          <w:rFonts w:hint="eastAsia" w:asciiTheme="minorEastAsia" w:hAnsiTheme="minorEastAsia" w:eastAsiaTheme="minorEastAsia" w:cstheme="minorEastAsia"/>
          <w:snapToGrid w:val="0"/>
          <w:color w:val="auto"/>
          <w:kern w:val="0"/>
          <w:highlight w:val="none"/>
          <w:u w:val="single"/>
          <w:lang w:eastAsia="zh-CN"/>
        </w:rPr>
        <w:t>始兴县发展和改革局</w:t>
      </w:r>
      <w:r>
        <w:rPr>
          <w:rFonts w:hint="eastAsia" w:asciiTheme="minorEastAsia" w:hAnsiTheme="minorEastAsia" w:eastAsiaTheme="minorEastAsia" w:cstheme="minorEastAsia"/>
          <w:snapToGrid w:val="0"/>
          <w:color w:val="auto"/>
          <w:kern w:val="0"/>
          <w:szCs w:val="24"/>
          <w:highlight w:val="none"/>
          <w:u w:val="single"/>
        </w:rPr>
        <w:t>以《关于</w:t>
      </w:r>
      <w:r>
        <w:rPr>
          <w:rFonts w:hint="eastAsia" w:asciiTheme="minorEastAsia" w:hAnsiTheme="minorEastAsia" w:eastAsiaTheme="minorEastAsia" w:cstheme="minorEastAsia"/>
          <w:snapToGrid w:val="0"/>
          <w:color w:val="auto"/>
          <w:kern w:val="0"/>
          <w:szCs w:val="24"/>
          <w:highlight w:val="none"/>
          <w:u w:val="single"/>
          <w:lang w:eastAsia="zh-CN"/>
        </w:rPr>
        <w:t>马市工业片区110kV两回路送出线路及对侧间隔扩建项目</w:t>
      </w:r>
      <w:r>
        <w:rPr>
          <w:rFonts w:hint="eastAsia" w:asciiTheme="minorEastAsia" w:hAnsiTheme="minorEastAsia" w:eastAsiaTheme="minorEastAsia" w:cstheme="minorEastAsia"/>
          <w:snapToGrid w:val="0"/>
          <w:color w:val="auto"/>
          <w:kern w:val="0"/>
          <w:szCs w:val="24"/>
          <w:highlight w:val="none"/>
          <w:u w:val="single"/>
          <w:lang w:val="en-US" w:eastAsia="zh-CN"/>
        </w:rPr>
        <w:t>可行性研究报告</w:t>
      </w:r>
      <w:r>
        <w:rPr>
          <w:rFonts w:hint="eastAsia" w:asciiTheme="minorEastAsia" w:hAnsiTheme="minorEastAsia" w:eastAsiaTheme="minorEastAsia" w:cstheme="minorEastAsia"/>
          <w:snapToGrid w:val="0"/>
          <w:color w:val="auto"/>
          <w:kern w:val="0"/>
          <w:szCs w:val="24"/>
          <w:highlight w:val="none"/>
          <w:u w:val="single"/>
        </w:rPr>
        <w:t>的批复》（</w:t>
      </w:r>
      <w:r>
        <w:rPr>
          <w:rFonts w:hint="eastAsia" w:asciiTheme="minorEastAsia" w:hAnsiTheme="minorEastAsia" w:eastAsiaTheme="minorEastAsia" w:cstheme="minorEastAsia"/>
          <w:snapToGrid w:val="0"/>
          <w:color w:val="auto"/>
          <w:kern w:val="0"/>
          <w:szCs w:val="24"/>
          <w:highlight w:val="none"/>
          <w:u w:val="single"/>
          <w:lang w:eastAsia="zh-CN"/>
        </w:rPr>
        <w:t>始发改投审〔</w:t>
      </w:r>
      <w:r>
        <w:rPr>
          <w:rFonts w:hint="eastAsia" w:asciiTheme="minorEastAsia" w:hAnsiTheme="minorEastAsia" w:eastAsiaTheme="minorEastAsia" w:cstheme="minorEastAsia"/>
          <w:snapToGrid w:val="0"/>
          <w:color w:val="auto"/>
          <w:kern w:val="0"/>
          <w:szCs w:val="24"/>
          <w:highlight w:val="none"/>
          <w:u w:val="single"/>
          <w:lang w:val="en-US" w:eastAsia="zh-CN"/>
        </w:rPr>
        <w:t>2025</w:t>
      </w:r>
      <w:r>
        <w:rPr>
          <w:rFonts w:hint="eastAsia" w:asciiTheme="minorEastAsia" w:hAnsiTheme="minorEastAsia" w:eastAsiaTheme="minorEastAsia" w:cstheme="minorEastAsia"/>
          <w:snapToGrid w:val="0"/>
          <w:color w:val="auto"/>
          <w:kern w:val="0"/>
          <w:szCs w:val="24"/>
          <w:highlight w:val="none"/>
          <w:u w:val="single"/>
          <w:lang w:eastAsia="zh-CN"/>
        </w:rPr>
        <w:t>〕</w:t>
      </w:r>
      <w:r>
        <w:rPr>
          <w:rFonts w:hint="eastAsia" w:asciiTheme="minorEastAsia" w:hAnsiTheme="minorEastAsia" w:eastAsiaTheme="minorEastAsia" w:cstheme="minorEastAsia"/>
          <w:snapToGrid w:val="0"/>
          <w:color w:val="auto"/>
          <w:kern w:val="0"/>
          <w:szCs w:val="24"/>
          <w:highlight w:val="none"/>
          <w:u w:val="single"/>
          <w:lang w:val="en-US" w:eastAsia="zh-CN"/>
        </w:rPr>
        <w:t>76</w:t>
      </w:r>
      <w:r>
        <w:rPr>
          <w:rFonts w:hint="eastAsia" w:asciiTheme="minorEastAsia" w:hAnsiTheme="minorEastAsia" w:eastAsiaTheme="minorEastAsia" w:cstheme="minorEastAsia"/>
          <w:snapToGrid w:val="0"/>
          <w:color w:val="auto"/>
          <w:kern w:val="0"/>
          <w:szCs w:val="24"/>
          <w:highlight w:val="none"/>
          <w:u w:val="single"/>
          <w:lang w:eastAsia="zh-CN"/>
        </w:rPr>
        <w:t>号</w:t>
      </w:r>
      <w:r>
        <w:rPr>
          <w:rFonts w:hint="eastAsia" w:asciiTheme="minorEastAsia" w:hAnsiTheme="minorEastAsia" w:eastAsiaTheme="minorEastAsia" w:cstheme="minorEastAsia"/>
          <w:snapToGrid w:val="0"/>
          <w:color w:val="auto"/>
          <w:kern w:val="0"/>
          <w:szCs w:val="24"/>
          <w:highlight w:val="none"/>
          <w:u w:val="single"/>
        </w:rPr>
        <w:t>）</w:t>
      </w:r>
      <w:r>
        <w:rPr>
          <w:rFonts w:hint="eastAsia" w:asciiTheme="minorEastAsia" w:hAnsiTheme="minorEastAsia" w:eastAsiaTheme="minorEastAsia" w:cstheme="minorEastAsia"/>
          <w:snapToGrid w:val="0"/>
          <w:color w:val="auto"/>
          <w:kern w:val="0"/>
          <w:szCs w:val="24"/>
          <w:highlight w:val="none"/>
        </w:rPr>
        <w:t>批准建设，项目代码为</w:t>
      </w:r>
      <w:r>
        <w:rPr>
          <w:rFonts w:hint="eastAsia" w:asciiTheme="minorEastAsia" w:hAnsiTheme="minorEastAsia" w:eastAsiaTheme="minorEastAsia" w:cstheme="minorEastAsia"/>
          <w:color w:val="auto"/>
          <w:szCs w:val="24"/>
          <w:highlight w:val="none"/>
          <w:u w:val="single"/>
          <w:lang w:eastAsia="zh-CN"/>
        </w:rPr>
        <w:t>2510-4</w:t>
      </w:r>
      <w:r>
        <w:rPr>
          <w:rFonts w:hint="eastAsia" w:asciiTheme="minorEastAsia" w:hAnsiTheme="minorEastAsia" w:eastAsiaTheme="minorEastAsia" w:cstheme="minorEastAsia"/>
          <w:color w:val="000000" w:themeColor="text1"/>
          <w:szCs w:val="24"/>
          <w:highlight w:val="none"/>
          <w:u w:val="single"/>
          <w:lang w:eastAsia="zh-CN"/>
        </w:rPr>
        <w:t>40222-04-01-265764</w:t>
      </w:r>
      <w:r>
        <w:rPr>
          <w:rFonts w:hint="eastAsia" w:asciiTheme="minorEastAsia" w:hAnsiTheme="minorEastAsia" w:eastAsiaTheme="minorEastAsia" w:cstheme="minorEastAsia"/>
          <w:snapToGrid w:val="0"/>
          <w:color w:val="000000" w:themeColor="text1"/>
          <w:kern w:val="0"/>
          <w:szCs w:val="24"/>
          <w:highlight w:val="none"/>
        </w:rPr>
        <w:t>。</w:t>
      </w:r>
      <w:r>
        <w:rPr>
          <w:rFonts w:hint="eastAsia" w:asciiTheme="minorEastAsia" w:hAnsiTheme="minorEastAsia" w:eastAsiaTheme="minorEastAsia" w:cstheme="minorEastAsia"/>
          <w:color w:val="auto"/>
          <w:highlight w:val="none"/>
        </w:rPr>
        <w:t>项目</w:t>
      </w:r>
      <w:r>
        <w:rPr>
          <w:rFonts w:hint="eastAsia" w:asciiTheme="minorEastAsia" w:hAnsiTheme="minorEastAsia" w:eastAsiaTheme="minorEastAsia" w:cstheme="minorEastAsia"/>
          <w:snapToGrid w:val="0"/>
          <w:color w:val="auto"/>
          <w:kern w:val="0"/>
          <w:szCs w:val="24"/>
          <w:highlight w:val="none"/>
        </w:rPr>
        <w:t>业主为</w:t>
      </w:r>
      <w:r>
        <w:rPr>
          <w:rFonts w:hint="eastAsia" w:asciiTheme="minorEastAsia" w:hAnsiTheme="minorEastAsia" w:eastAsiaTheme="minorEastAsia" w:cstheme="minorEastAsia"/>
          <w:snapToGrid w:val="0"/>
          <w:color w:val="auto"/>
          <w:kern w:val="0"/>
          <w:szCs w:val="24"/>
          <w:highlight w:val="none"/>
          <w:u w:val="single"/>
          <w:lang w:eastAsia="zh-CN"/>
        </w:rPr>
        <w:t>广东始兴工业园区管理委员会</w:t>
      </w:r>
      <w:r>
        <w:rPr>
          <w:rFonts w:hint="eastAsia" w:asciiTheme="minorEastAsia" w:hAnsiTheme="minorEastAsia" w:eastAsiaTheme="minorEastAsia" w:cstheme="minorEastAsia"/>
          <w:snapToGrid w:val="0"/>
          <w:color w:val="auto"/>
          <w:kern w:val="0"/>
          <w:szCs w:val="24"/>
          <w:highlight w:val="none"/>
        </w:rPr>
        <w:t>，建设资金来自</w:t>
      </w:r>
      <w:r>
        <w:rPr>
          <w:rFonts w:hint="eastAsia" w:asciiTheme="minorEastAsia" w:hAnsiTheme="minorEastAsia" w:eastAsiaTheme="minorEastAsia" w:cstheme="minorEastAsia"/>
          <w:snapToGrid w:val="0"/>
          <w:color w:val="auto"/>
          <w:kern w:val="0"/>
          <w:szCs w:val="24"/>
          <w:highlight w:val="none"/>
          <w:u w:val="single"/>
          <w:lang w:val="en-US" w:eastAsia="zh-CN"/>
        </w:rPr>
        <w:t>县级财政资金</w:t>
      </w:r>
      <w:r>
        <w:rPr>
          <w:rFonts w:hint="eastAsia" w:asciiTheme="minorEastAsia" w:hAnsiTheme="minorEastAsia" w:eastAsiaTheme="minorEastAsia" w:cstheme="minorEastAsia"/>
          <w:snapToGrid w:val="0"/>
          <w:color w:val="auto"/>
          <w:kern w:val="0"/>
          <w:szCs w:val="24"/>
          <w:highlight w:val="none"/>
          <w:u w:val="single"/>
          <w:lang w:eastAsia="zh-CN"/>
        </w:rPr>
        <w:t>安排解决</w:t>
      </w:r>
      <w:r>
        <w:rPr>
          <w:rFonts w:hint="eastAsia" w:asciiTheme="minorEastAsia" w:hAnsiTheme="minorEastAsia" w:eastAsiaTheme="minorEastAsia" w:cstheme="minorEastAsia"/>
          <w:snapToGrid w:val="0"/>
          <w:color w:val="auto"/>
          <w:kern w:val="0"/>
          <w:szCs w:val="24"/>
          <w:highlight w:val="none"/>
        </w:rPr>
        <w:t>，出资比例</w:t>
      </w:r>
      <w:r>
        <w:rPr>
          <w:rFonts w:hint="eastAsia" w:asciiTheme="minorEastAsia" w:hAnsiTheme="minorEastAsia" w:eastAsiaTheme="minorEastAsia" w:cstheme="minorEastAsia"/>
          <w:snapToGrid w:val="0"/>
          <w:color w:val="auto"/>
          <w:kern w:val="0"/>
          <w:szCs w:val="24"/>
          <w:highlight w:val="none"/>
          <w:u w:val="single"/>
        </w:rPr>
        <w:t>100%</w:t>
      </w:r>
      <w:r>
        <w:rPr>
          <w:rFonts w:hint="eastAsia" w:asciiTheme="minorEastAsia" w:hAnsiTheme="minorEastAsia" w:eastAsiaTheme="minorEastAsia" w:cstheme="minorEastAsia"/>
          <w:snapToGrid w:val="0"/>
          <w:color w:val="auto"/>
          <w:kern w:val="0"/>
          <w:szCs w:val="24"/>
          <w:highlight w:val="none"/>
        </w:rPr>
        <w:t>，招标人为</w:t>
      </w:r>
      <w:r>
        <w:rPr>
          <w:rFonts w:hint="eastAsia" w:asciiTheme="minorEastAsia" w:hAnsiTheme="minorEastAsia" w:eastAsiaTheme="minorEastAsia" w:cstheme="minorEastAsia"/>
          <w:snapToGrid w:val="0"/>
          <w:color w:val="auto"/>
          <w:kern w:val="0"/>
          <w:highlight w:val="none"/>
          <w:u w:val="single"/>
          <w:lang w:eastAsia="zh-CN"/>
        </w:rPr>
        <w:t>广东始兴工业园区管理委员会</w:t>
      </w:r>
      <w:r>
        <w:rPr>
          <w:rFonts w:hint="eastAsia" w:asciiTheme="minorEastAsia" w:hAnsiTheme="minorEastAsia" w:eastAsiaTheme="minorEastAsia" w:cstheme="minorEastAsia"/>
          <w:snapToGrid w:val="0"/>
          <w:color w:val="auto"/>
          <w:kern w:val="0"/>
          <w:szCs w:val="24"/>
          <w:highlight w:val="none"/>
        </w:rPr>
        <w:t>，招标代理机构为</w:t>
      </w:r>
      <w:r>
        <w:rPr>
          <w:rFonts w:hint="eastAsia" w:asciiTheme="minorEastAsia" w:hAnsiTheme="minorEastAsia" w:eastAsiaTheme="minorEastAsia" w:cstheme="minorEastAsia"/>
          <w:color w:val="auto"/>
          <w:kern w:val="0"/>
          <w:highlight w:val="none"/>
          <w:u w:val="single"/>
          <w:lang w:eastAsia="zh-CN"/>
        </w:rPr>
        <w:t>亿诚建设项目管理有限公司</w:t>
      </w:r>
      <w:r>
        <w:rPr>
          <w:rFonts w:hint="eastAsia" w:asciiTheme="minorEastAsia" w:hAnsiTheme="minorEastAsia" w:eastAsiaTheme="minorEastAsia" w:cstheme="minorEastAsia"/>
          <w:snapToGrid w:val="0"/>
          <w:color w:val="auto"/>
          <w:kern w:val="0"/>
          <w:szCs w:val="24"/>
          <w:highlight w:val="none"/>
        </w:rPr>
        <w:t>。项目已具备招标条件，现对该项目的</w:t>
      </w:r>
      <w:r>
        <w:rPr>
          <w:rFonts w:hint="eastAsia" w:asciiTheme="minorEastAsia" w:hAnsiTheme="minorEastAsia" w:eastAsiaTheme="minorEastAsia" w:cstheme="minorEastAsia"/>
          <w:snapToGrid w:val="0"/>
          <w:color w:val="auto"/>
          <w:kern w:val="0"/>
          <w:szCs w:val="24"/>
          <w:highlight w:val="none"/>
          <w:u w:val="single"/>
        </w:rPr>
        <w:t>设计、施工总承包</w:t>
      </w:r>
      <w:r>
        <w:rPr>
          <w:rFonts w:hint="eastAsia" w:asciiTheme="minorEastAsia" w:hAnsiTheme="minorEastAsia" w:eastAsiaTheme="minorEastAsia" w:cstheme="minorEastAsia"/>
          <w:snapToGrid w:val="0"/>
          <w:color w:val="auto"/>
          <w:kern w:val="0"/>
          <w:szCs w:val="24"/>
          <w:highlight w:val="none"/>
        </w:rPr>
        <w:t>进行公开招标。</w:t>
      </w:r>
    </w:p>
    <w:p w14:paraId="1AB7DEAF">
      <w:pPr>
        <w:pStyle w:val="29"/>
        <w:keepNext/>
        <w:keepLines/>
        <w:ind w:firstLine="480"/>
        <w:jc w:val="both"/>
        <w:rPr>
          <w:rFonts w:hint="eastAsia" w:asciiTheme="minorEastAsia" w:hAnsiTheme="minorEastAsia" w:eastAsiaTheme="minorEastAsia" w:cstheme="minorEastAsia"/>
          <w:b/>
          <w:bCs/>
          <w:snapToGrid w:val="0"/>
          <w:color w:val="auto"/>
          <w:highlight w:val="none"/>
        </w:rPr>
      </w:pPr>
      <w:bookmarkStart w:id="14" w:name="_Hlt78795222"/>
      <w:bookmarkEnd w:id="14"/>
      <w:bookmarkStart w:id="15" w:name="_Hlt109358474"/>
      <w:bookmarkEnd w:id="15"/>
      <w:bookmarkStart w:id="16" w:name="_Hlt119991399"/>
      <w:bookmarkEnd w:id="16"/>
      <w:bookmarkStart w:id="17" w:name="_Hlt74474735"/>
      <w:bookmarkEnd w:id="17"/>
      <w:bookmarkStart w:id="18" w:name="_Hlt87948285"/>
      <w:bookmarkEnd w:id="18"/>
      <w:bookmarkStart w:id="19" w:name="_Toc24563"/>
      <w:bookmarkStart w:id="20" w:name="_Toc13971"/>
      <w:bookmarkStart w:id="21" w:name="_Toc25252"/>
      <w:bookmarkStart w:id="22" w:name="_Toc574"/>
      <w:bookmarkStart w:id="23" w:name="_Toc31976"/>
      <w:bookmarkStart w:id="24" w:name="_Toc30732"/>
      <w:bookmarkStart w:id="25" w:name="_Toc4081"/>
      <w:bookmarkStart w:id="26" w:name="_Toc18453"/>
      <w:bookmarkStart w:id="27" w:name="_Toc23054"/>
      <w:r>
        <w:rPr>
          <w:rFonts w:hint="eastAsia" w:asciiTheme="minorEastAsia" w:hAnsiTheme="minorEastAsia" w:eastAsiaTheme="minorEastAsia" w:cstheme="minorEastAsia"/>
          <w:b/>
          <w:color w:val="auto"/>
          <w:kern w:val="2"/>
          <w:highlight w:val="none"/>
        </w:rPr>
        <w:t>1、 工程概况综合说明</w:t>
      </w:r>
      <w:bookmarkEnd w:id="19"/>
      <w:bookmarkEnd w:id="20"/>
      <w:bookmarkEnd w:id="21"/>
      <w:bookmarkEnd w:id="22"/>
      <w:bookmarkEnd w:id="23"/>
      <w:bookmarkEnd w:id="24"/>
      <w:bookmarkEnd w:id="25"/>
      <w:bookmarkEnd w:id="26"/>
      <w:bookmarkEnd w:id="27"/>
    </w:p>
    <w:p w14:paraId="72CB1E50">
      <w:pPr>
        <w:pStyle w:val="30"/>
        <w:wordWrap w:val="0"/>
        <w:adjustRightInd w:val="0"/>
        <w:snapToGrid w:val="0"/>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sz w:val="24"/>
          <w:highlight w:val="none"/>
        </w:rPr>
        <w:t>1.1</w:t>
      </w:r>
      <w:r>
        <w:rPr>
          <w:rFonts w:hint="eastAsia" w:asciiTheme="minorEastAsia" w:hAnsiTheme="minorEastAsia" w:eastAsiaTheme="minorEastAsia" w:cstheme="minorEastAsia"/>
          <w:color w:val="auto"/>
          <w:sz w:val="24"/>
          <w:highlight w:val="none"/>
        </w:rPr>
        <w:t xml:space="preserve"> 工程概况</w:t>
      </w:r>
    </w:p>
    <w:p w14:paraId="36EE85B0">
      <w:pPr>
        <w:pStyle w:val="30"/>
        <w:wordWrap w:val="0"/>
        <w:adjustRightInd w:val="0"/>
        <w:snapToGrid w:val="0"/>
        <w:spacing w:line="360" w:lineRule="auto"/>
        <w:ind w:firstLine="480"/>
        <w:jc w:val="left"/>
        <w:rPr>
          <w:rFonts w:hint="eastAsia" w:asciiTheme="minorEastAsia" w:hAnsiTheme="minorEastAsia" w:eastAsiaTheme="minorEastAsia" w:cstheme="minorEastAsia"/>
          <w:color w:val="auto"/>
          <w:sz w:val="24"/>
          <w:szCs w:val="18"/>
          <w:highlight w:val="none"/>
          <w:u w:val="single"/>
          <w:lang w:eastAsia="zh-CN"/>
        </w:rPr>
      </w:pPr>
      <w:r>
        <w:rPr>
          <w:rFonts w:hint="eastAsia" w:asciiTheme="minorEastAsia" w:hAnsiTheme="minorEastAsia" w:eastAsiaTheme="minorEastAsia" w:cstheme="minorEastAsia"/>
          <w:b/>
          <w:bCs/>
          <w:color w:val="auto"/>
          <w:sz w:val="24"/>
          <w:highlight w:val="none"/>
        </w:rPr>
        <w:t>1.1.1</w:t>
      </w:r>
      <w:r>
        <w:rPr>
          <w:rFonts w:hint="eastAsia" w:asciiTheme="minorEastAsia" w:hAnsiTheme="minorEastAsia" w:eastAsiaTheme="minorEastAsia" w:cstheme="minorEastAsia"/>
          <w:color w:val="auto"/>
          <w:sz w:val="24"/>
          <w:highlight w:val="none"/>
        </w:rPr>
        <w:t xml:space="preserve"> 建设地点：</w:t>
      </w:r>
      <w:r>
        <w:rPr>
          <w:rFonts w:hint="eastAsia" w:asciiTheme="minorEastAsia" w:hAnsiTheme="minorEastAsia" w:eastAsiaTheme="minorEastAsia" w:cstheme="minorEastAsia"/>
          <w:snapToGrid w:val="0"/>
          <w:color w:val="auto"/>
          <w:kern w:val="0"/>
          <w:sz w:val="24"/>
          <w:highlight w:val="none"/>
          <w:u w:val="single"/>
          <w:lang w:eastAsia="zh-CN"/>
        </w:rPr>
        <w:t>始兴县</w:t>
      </w:r>
      <w:r>
        <w:rPr>
          <w:rFonts w:hint="eastAsia" w:asciiTheme="minorEastAsia" w:hAnsiTheme="minorEastAsia" w:eastAsiaTheme="minorEastAsia" w:cstheme="minorEastAsia"/>
          <w:color w:val="auto"/>
          <w:highlight w:val="none"/>
          <w:u w:val="single"/>
          <w:lang w:eastAsia="zh-CN"/>
        </w:rPr>
        <w:t>马市工业园区</w:t>
      </w:r>
    </w:p>
    <w:p w14:paraId="7F3E5F25">
      <w:pPr>
        <w:pStyle w:val="27"/>
        <w:ind w:firstLine="482" w:firstLineChars="200"/>
        <w:jc w:val="left"/>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b/>
          <w:bCs/>
          <w:color w:val="auto"/>
          <w:highlight w:val="none"/>
        </w:rPr>
        <w:t>1.1.2</w:t>
      </w:r>
      <w:r>
        <w:rPr>
          <w:rFonts w:hint="eastAsia" w:asciiTheme="minorEastAsia" w:hAnsiTheme="minorEastAsia" w:eastAsiaTheme="minorEastAsia" w:cstheme="minorEastAsia"/>
          <w:color w:val="auto"/>
          <w:highlight w:val="none"/>
        </w:rPr>
        <w:t xml:space="preserve"> 建设内容和规模：</w:t>
      </w:r>
      <w:r>
        <w:rPr>
          <w:rFonts w:hint="eastAsia" w:asciiTheme="minorHAnsi" w:hAnsiTheme="minorHAnsi"/>
          <w:color w:val="auto"/>
          <w:highlight w:val="none"/>
          <w:lang w:eastAsia="zh-CN"/>
        </w:rPr>
        <w:t>（</w:t>
      </w:r>
      <w:r>
        <w:rPr>
          <w:rFonts w:hint="eastAsia" w:asciiTheme="minorHAnsi" w:hAnsiTheme="minorHAnsi"/>
          <w:color w:val="auto"/>
          <w:highlight w:val="none"/>
          <w:lang w:val="en-US" w:eastAsia="zh-CN"/>
        </w:rPr>
        <w:t>一</w:t>
      </w:r>
      <w:r>
        <w:rPr>
          <w:rFonts w:hint="eastAsia" w:asciiTheme="minorHAnsi" w:hAnsiTheme="minorHAnsi"/>
          <w:color w:val="auto"/>
          <w:highlight w:val="none"/>
          <w:lang w:eastAsia="zh-CN"/>
        </w:rPr>
        <w:t>）</w:t>
      </w:r>
      <w:r>
        <w:rPr>
          <w:rFonts w:hint="eastAsia"/>
          <w:color w:val="auto"/>
          <w:highlight w:val="none"/>
        </w:rPr>
        <w:t>至对侧110kV和平站工程</w:t>
      </w:r>
    </w:p>
    <w:p w14:paraId="7EF9A9FA">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（1）110kV建滔忠信站至110kV和平站线路工程</w:t>
      </w:r>
    </w:p>
    <w:p w14:paraId="7E588A27">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新建双回路杆塔3基(耐张塔3基)，新建单回路杆塔34基(耐张塔13基，直线塔21基)；新建110kV架空电缆混合线路总长约13.24km ，架空线路约1×12.73km，电缆敷设约1×0.51km调整导地线弧垂0.6km。新建线路导线采用JL/LB20A-300/40型铝包钢芯铝绞线，地线采用2根48芯OPGW复合光缆，本工程按单回路，5mm覆冰，基本风速23.5m/s设计。</w:t>
      </w:r>
    </w:p>
    <w:p w14:paraId="116449E3">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新建电缆线路采用FY-YJLW03-Z-64/110kV-1×800mm²，电缆长510米。</w:t>
      </w:r>
    </w:p>
    <w:p w14:paraId="329F1649">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（2）对侧110kV和平变电站扩建一个出线间隔</w:t>
      </w:r>
    </w:p>
    <w:p w14:paraId="53DD2100">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（3）10kV部分</w:t>
      </w:r>
    </w:p>
    <w:p w14:paraId="17E11BD1">
      <w:pPr>
        <w:spacing w:line="360" w:lineRule="exact"/>
        <w:rPr>
          <w:rFonts w:hint="eastAsia" w:ascii="宋体" w:hAnsi="宋体" w:eastAsia="宋体" w:cs="Times New Roman"/>
          <w:color w:val="auto"/>
          <w:sz w:val="24"/>
          <w:highlight w:val="none"/>
          <w:lang w:val="en-US" w:eastAsia="zh-CN"/>
        </w:rPr>
      </w:pPr>
      <w:r>
        <w:rPr>
          <w:rFonts w:hint="eastAsia" w:ascii="宋体" w:hAnsi="宋体" w:eastAsia="宋体" w:cs="Times New Roman"/>
          <w:color w:val="auto"/>
          <w:sz w:val="24"/>
          <w:highlight w:val="none"/>
          <w:lang w:val="en-US" w:eastAsia="zh-CN"/>
        </w:rPr>
        <w:t>新建2回1</w:t>
      </w:r>
      <w:r>
        <w:rPr>
          <w:rFonts w:hint="default" w:ascii="宋体" w:hAnsi="宋体" w:eastAsia="宋体" w:cs="Times New Roman"/>
          <w:color w:val="auto"/>
          <w:sz w:val="24"/>
          <w:highlight w:val="none"/>
          <w:lang w:val="en-US" w:eastAsia="zh-CN"/>
        </w:rPr>
        <w:t>0kV电力电缆，ZRC-YJV22-8.7/15kV -3×300</w:t>
      </w:r>
      <w:r>
        <w:rPr>
          <w:rFonts w:hint="eastAsia" w:ascii="宋体" w:hAnsi="宋体" w:eastAsia="宋体" w:cs="Times New Roman"/>
          <w:color w:val="auto"/>
          <w:sz w:val="24"/>
          <w:highlight w:val="none"/>
          <w:lang w:val="en-US" w:eastAsia="zh-CN"/>
        </w:rPr>
        <w:t>mm²，电缆总长920米；新建2线埋管土建路径长372米，配套1层2列工井（行车型）6座；开挖及修复水泥路面297.6平方米，配套带电作业2项等。</w:t>
      </w:r>
    </w:p>
    <w:p w14:paraId="143FFD26">
      <w:pPr>
        <w:widowControl/>
        <w:spacing w:line="360" w:lineRule="auto"/>
        <w:ind w:left="511" w:leftChars="213"/>
        <w:rPr>
          <w:rFonts w:hint="eastAsia" w:asciiTheme="minorEastAsia" w:hAnsiTheme="minorEastAsia" w:eastAsiaTheme="minorEastAsia" w:cstheme="minorEastAsia"/>
          <w:snapToGrid w:val="0"/>
          <w:color w:val="auto"/>
          <w:kern w:val="0"/>
          <w:highlight w:val="none"/>
          <w:u w:val="single"/>
          <w:lang w:eastAsia="zh-CN"/>
        </w:rPr>
      </w:pPr>
      <w:r>
        <w:rPr>
          <w:rFonts w:hint="eastAsia" w:asciiTheme="minorEastAsia" w:hAnsiTheme="minorEastAsia" w:eastAsiaTheme="minorEastAsia" w:cstheme="minorEastAsia"/>
          <w:b/>
          <w:bCs/>
          <w:color w:val="auto"/>
          <w:szCs w:val="24"/>
          <w:highlight w:val="none"/>
        </w:rPr>
        <w:t>1.1.3</w:t>
      </w:r>
      <w:r>
        <w:rPr>
          <w:rFonts w:hint="eastAsia" w:asciiTheme="minorEastAsia" w:hAnsiTheme="minorEastAsia" w:eastAsiaTheme="minorEastAsia" w:cstheme="minorEastAsia"/>
          <w:color w:val="auto"/>
          <w:szCs w:val="24"/>
          <w:highlight w:val="none"/>
        </w:rPr>
        <w:t xml:space="preserve"> 项目总投资：</w:t>
      </w:r>
      <w:bookmarkStart w:id="28" w:name="_Toc20999"/>
      <w:r>
        <w:rPr>
          <w:rFonts w:hint="eastAsia" w:asciiTheme="minorEastAsia" w:hAnsiTheme="minorEastAsia" w:eastAsiaTheme="minorEastAsia" w:cstheme="minorEastAsia"/>
          <w:color w:val="auto"/>
          <w:szCs w:val="24"/>
          <w:highlight w:val="none"/>
          <w:u w:val="single"/>
          <w:lang w:eastAsia="zh-CN"/>
        </w:rPr>
        <w:t>工程</w:t>
      </w:r>
      <w:r>
        <w:rPr>
          <w:rFonts w:hint="eastAsia" w:asciiTheme="minorEastAsia" w:hAnsiTheme="minorEastAsia" w:eastAsiaTheme="minorEastAsia" w:cstheme="minorEastAsia"/>
          <w:color w:val="auto"/>
          <w:szCs w:val="24"/>
          <w:highlight w:val="none"/>
          <w:u w:val="single"/>
          <w:lang w:val="en-US" w:eastAsia="zh-CN"/>
        </w:rPr>
        <w:t>概</w:t>
      </w:r>
      <w:r>
        <w:rPr>
          <w:rFonts w:hint="eastAsia" w:asciiTheme="minorEastAsia" w:hAnsiTheme="minorEastAsia" w:eastAsiaTheme="minorEastAsia" w:cstheme="minorEastAsia"/>
          <w:color w:val="auto"/>
          <w:szCs w:val="24"/>
          <w:highlight w:val="none"/>
          <w:u w:val="single"/>
          <w:lang w:eastAsia="zh-CN"/>
        </w:rPr>
        <w:t>算总投资</w:t>
      </w:r>
      <w:r>
        <w:rPr>
          <w:rFonts w:hint="eastAsia" w:asciiTheme="minorEastAsia" w:hAnsiTheme="minorEastAsia" w:eastAsiaTheme="minorEastAsia" w:cstheme="minorEastAsia"/>
          <w:color w:val="auto"/>
          <w:szCs w:val="24"/>
          <w:highlight w:val="none"/>
          <w:u w:val="single"/>
          <w:lang w:val="en-US" w:eastAsia="zh-CN"/>
        </w:rPr>
        <w:t>4454.21万元，本次招标约2103.86</w:t>
      </w:r>
      <w:r>
        <w:rPr>
          <w:rFonts w:hint="eastAsia" w:asciiTheme="minorEastAsia" w:hAnsiTheme="minorEastAsia" w:eastAsiaTheme="minorEastAsia" w:cstheme="minorEastAsia"/>
          <w:color w:val="auto"/>
          <w:szCs w:val="24"/>
          <w:highlight w:val="none"/>
          <w:u w:val="single"/>
          <w:lang w:eastAsia="zh-CN"/>
        </w:rPr>
        <w:t>万元</w:t>
      </w:r>
    </w:p>
    <w:p w14:paraId="4EFF5E15">
      <w:pPr>
        <w:widowControl/>
        <w:spacing w:line="360" w:lineRule="auto"/>
        <w:ind w:left="511" w:leftChars="213"/>
        <w:rPr>
          <w:rFonts w:hint="eastAsia" w:asciiTheme="minorEastAsia" w:hAnsiTheme="minorEastAsia" w:eastAsiaTheme="minorEastAsia" w:cstheme="minorEastAsia"/>
          <w:snapToGrid w:val="0"/>
          <w:color w:val="auto"/>
          <w:kern w:val="0"/>
          <w:highlight w:val="none"/>
          <w:u w:val="single"/>
          <w:lang w:eastAsia="zh-CN"/>
        </w:rPr>
      </w:pPr>
      <w:r>
        <w:rPr>
          <w:rFonts w:hint="eastAsia" w:asciiTheme="minorEastAsia" w:hAnsiTheme="minorEastAsia" w:eastAsiaTheme="minorEastAsia" w:cstheme="minorEastAsia"/>
          <w:b/>
          <w:bCs/>
          <w:snapToGrid w:val="0"/>
          <w:color w:val="auto"/>
          <w:kern w:val="0"/>
          <w:highlight w:val="none"/>
        </w:rPr>
        <w:t>1.2</w:t>
      </w:r>
      <w:r>
        <w:rPr>
          <w:rFonts w:hint="eastAsia" w:asciiTheme="minorEastAsia" w:hAnsiTheme="minorEastAsia" w:eastAsiaTheme="minorEastAsia" w:cstheme="minorEastAsia"/>
          <w:snapToGrid w:val="0"/>
          <w:color w:val="auto"/>
          <w:kern w:val="0"/>
          <w:highlight w:val="none"/>
        </w:rPr>
        <w:t xml:space="preserve"> 标段划分：</w:t>
      </w:r>
      <w:bookmarkEnd w:id="28"/>
      <w:r>
        <w:rPr>
          <w:rFonts w:hint="eastAsia" w:asciiTheme="minorEastAsia" w:hAnsiTheme="minorEastAsia" w:eastAsiaTheme="minorEastAsia" w:cstheme="minorEastAsia"/>
          <w:snapToGrid w:val="0"/>
          <w:color w:val="auto"/>
          <w:kern w:val="0"/>
          <w:szCs w:val="24"/>
          <w:highlight w:val="none"/>
          <w:u w:val="single"/>
          <w:lang w:eastAsia="zh-CN"/>
        </w:rPr>
        <w:t>本招标项目不划分标段。</w:t>
      </w:r>
    </w:p>
    <w:p w14:paraId="56C5AF47">
      <w:pPr>
        <w:pStyle w:val="27"/>
        <w:ind w:firstLine="482"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szCs w:val="24"/>
          <w:highlight w:val="none"/>
        </w:rPr>
        <w:t>1.3</w:t>
      </w:r>
      <w:r>
        <w:rPr>
          <w:rFonts w:hint="eastAsia" w:asciiTheme="minorEastAsia" w:hAnsiTheme="minorEastAsia" w:eastAsiaTheme="minorEastAsia" w:cstheme="minorEastAsia"/>
          <w:color w:val="auto"/>
          <w:szCs w:val="24"/>
          <w:highlight w:val="none"/>
        </w:rPr>
        <w:t xml:space="preserve"> 投标费用：</w:t>
      </w:r>
      <w:r>
        <w:rPr>
          <w:rFonts w:hint="eastAsia" w:asciiTheme="minorEastAsia" w:hAnsiTheme="minorEastAsia" w:eastAsiaTheme="minorEastAsia" w:cstheme="minorEastAsia"/>
          <w:color w:val="auto"/>
          <w:szCs w:val="24"/>
          <w:highlight w:val="none"/>
          <w:u w:val="single"/>
        </w:rPr>
        <w:t>投标人应承担所有准备和参加投标的相关费用，不论投标结果如何，招标人均无义务和责任承担这些费用</w:t>
      </w:r>
      <w:r>
        <w:rPr>
          <w:rFonts w:hint="eastAsia" w:asciiTheme="minorEastAsia" w:hAnsiTheme="minorEastAsia" w:eastAsiaTheme="minorEastAsia" w:cstheme="minorEastAsia"/>
          <w:color w:val="auto"/>
          <w:szCs w:val="24"/>
          <w:highlight w:val="none"/>
        </w:rPr>
        <w:t>。</w:t>
      </w:r>
      <w:bookmarkStart w:id="29" w:name="_Toc106184808"/>
    </w:p>
    <w:p w14:paraId="716BC2BD">
      <w:pPr>
        <w:pStyle w:val="29"/>
        <w:keepNext/>
        <w:keepLines/>
        <w:ind w:firstLine="480"/>
        <w:jc w:val="both"/>
        <w:rPr>
          <w:rFonts w:hint="eastAsia" w:asciiTheme="minorEastAsia" w:hAnsiTheme="minorEastAsia" w:eastAsiaTheme="minorEastAsia" w:cstheme="minorEastAsia"/>
          <w:b/>
          <w:color w:val="auto"/>
          <w:kern w:val="2"/>
          <w:highlight w:val="none"/>
        </w:rPr>
      </w:pPr>
      <w:bookmarkStart w:id="30" w:name="_Toc18851"/>
      <w:bookmarkStart w:id="31" w:name="_Toc12190"/>
      <w:bookmarkStart w:id="32" w:name="_Toc32400"/>
      <w:bookmarkStart w:id="33" w:name="_Toc7700"/>
      <w:bookmarkStart w:id="34" w:name="_Toc121"/>
      <w:bookmarkStart w:id="35" w:name="_Toc5372"/>
      <w:bookmarkStart w:id="36" w:name="_Toc14958"/>
      <w:bookmarkStart w:id="37" w:name="_Toc22550"/>
      <w:bookmarkStart w:id="38" w:name="_Toc17359"/>
      <w:r>
        <w:rPr>
          <w:rFonts w:hint="eastAsia" w:asciiTheme="minorEastAsia" w:hAnsiTheme="minorEastAsia" w:eastAsiaTheme="minorEastAsia" w:cstheme="minorEastAsia"/>
          <w:b/>
          <w:color w:val="auto"/>
          <w:kern w:val="2"/>
          <w:highlight w:val="none"/>
        </w:rPr>
        <w:t>2 、招标范围</w:t>
      </w:r>
      <w:bookmarkEnd w:id="29"/>
      <w:bookmarkEnd w:id="30"/>
      <w:bookmarkEnd w:id="31"/>
      <w:bookmarkEnd w:id="32"/>
      <w:bookmarkEnd w:id="33"/>
      <w:bookmarkEnd w:id="34"/>
      <w:bookmarkEnd w:id="35"/>
      <w:bookmarkEnd w:id="36"/>
      <w:bookmarkEnd w:id="37"/>
      <w:bookmarkEnd w:id="38"/>
    </w:p>
    <w:p w14:paraId="5D00C3F7">
      <w:pPr>
        <w:pStyle w:val="27"/>
        <w:ind w:firstLine="482" w:firstLineChars="200"/>
        <w:jc w:val="left"/>
        <w:rPr>
          <w:rFonts w:hint="eastAsia" w:asciiTheme="minorEastAsia" w:hAnsiTheme="minorEastAsia" w:eastAsiaTheme="minorEastAsia" w:cstheme="minorEastAsia"/>
          <w:snapToGrid w:val="0"/>
          <w:color w:val="auto"/>
          <w:kern w:val="0"/>
          <w:highlight w:val="none"/>
        </w:rPr>
      </w:pPr>
      <w:bookmarkStart w:id="39" w:name="_Hlt91408212"/>
      <w:bookmarkEnd w:id="39"/>
      <w:r>
        <w:rPr>
          <w:rFonts w:hint="eastAsia" w:asciiTheme="minorEastAsia" w:hAnsiTheme="minorEastAsia" w:eastAsiaTheme="minorEastAsia" w:cstheme="minorEastAsia"/>
          <w:b/>
          <w:bCs/>
          <w:color w:val="auto"/>
          <w:sz w:val="24"/>
          <w:szCs w:val="24"/>
          <w:highlight w:val="none"/>
        </w:rPr>
        <w:t>2.1</w:t>
      </w:r>
      <w:r>
        <w:rPr>
          <w:rFonts w:hint="eastAsia" w:asciiTheme="minorEastAsia" w:hAnsiTheme="minorEastAsia" w:eastAsiaTheme="minorEastAsia" w:cstheme="minorEastAsia"/>
          <w:color w:val="auto"/>
          <w:sz w:val="24"/>
          <w:szCs w:val="24"/>
          <w:highlight w:val="none"/>
        </w:rPr>
        <w:t>招标范围：</w:t>
      </w:r>
      <w:bookmarkStart w:id="40" w:name="_Toc1366"/>
      <w:bookmarkStart w:id="41" w:name="_Toc32739"/>
      <w:bookmarkStart w:id="42" w:name="_Toc26845"/>
      <w:bookmarkStart w:id="43" w:name="_Toc2350"/>
      <w:bookmarkStart w:id="44" w:name="_Toc708"/>
      <w:bookmarkStart w:id="45" w:name="_Toc21803"/>
      <w:bookmarkStart w:id="46" w:name="_Toc27886"/>
      <w:bookmarkStart w:id="47" w:name="_Toc2217"/>
      <w:r>
        <w:rPr>
          <w:rFonts w:hint="eastAsia" w:asciiTheme="minorEastAsia" w:hAnsiTheme="minorEastAsia" w:eastAsiaTheme="minorEastAsia" w:cstheme="minorEastAsia"/>
          <w:snapToGrid w:val="0"/>
          <w:color w:val="auto"/>
          <w:kern w:val="0"/>
          <w:highlight w:val="none"/>
        </w:rPr>
        <w:t>本工程所涉及的内容包括但不限于以下（1）和（2）：</w:t>
      </w:r>
    </w:p>
    <w:p w14:paraId="461E3F12">
      <w:pPr>
        <w:pStyle w:val="27"/>
        <w:ind w:firstLine="240" w:firstLineChars="100"/>
        <w:jc w:val="left"/>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lang w:eastAsia="zh-CN"/>
        </w:rPr>
        <w:t>（</w:t>
      </w:r>
      <w:r>
        <w:rPr>
          <w:rFonts w:hint="eastAsia" w:asciiTheme="minorEastAsia" w:hAnsiTheme="minorEastAsia" w:eastAsiaTheme="minorEastAsia" w:cstheme="minorEastAsia"/>
          <w:snapToGrid w:val="0"/>
          <w:color w:val="auto"/>
          <w:kern w:val="0"/>
          <w:highlight w:val="none"/>
          <w:lang w:val="en-US" w:eastAsia="zh-CN"/>
        </w:rPr>
        <w:t>1</w:t>
      </w:r>
      <w:r>
        <w:rPr>
          <w:rFonts w:hint="eastAsia" w:asciiTheme="minorEastAsia" w:hAnsiTheme="minorEastAsia" w:eastAsiaTheme="minorEastAsia" w:cstheme="minorEastAsia"/>
          <w:snapToGrid w:val="0"/>
          <w:color w:val="auto"/>
          <w:kern w:val="0"/>
          <w:highlight w:val="none"/>
          <w:lang w:eastAsia="zh-CN"/>
        </w:rPr>
        <w:t>）设计部分：本项目的设计范围：确保项目顺利实施的规划、报建、施工等所需的所有建安工程等设计文件。包括：初步设计及概算、施工图设计、施工图审查、验收过程中的设计指导及配合阶段验收等。</w:t>
      </w:r>
    </w:p>
    <w:p w14:paraId="084DA7ED">
      <w:pPr>
        <w:pStyle w:val="27"/>
        <w:ind w:firstLine="240" w:firstLineChars="100"/>
        <w:jc w:val="left"/>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（2）施工部分：设计文件及工程量清单范围内的所有工程及配套工程、设施等的施工。</w:t>
      </w:r>
    </w:p>
    <w:p w14:paraId="7A8E8A28">
      <w:pPr>
        <w:pStyle w:val="27"/>
        <w:ind w:firstLine="240" w:firstLineChars="100"/>
        <w:jc w:val="left"/>
        <w:rPr>
          <w:rFonts w:hint="eastAsia" w:asciiTheme="minorEastAsia" w:hAnsiTheme="minorEastAsia" w:eastAsiaTheme="minorEastAsia" w:cstheme="minorEastAsia"/>
          <w:snapToGrid w:val="0"/>
          <w:color w:val="auto"/>
          <w:kern w:val="0"/>
          <w:highlight w:val="none"/>
          <w:lang w:eastAsia="zh-CN"/>
        </w:rPr>
      </w:pPr>
      <w:r>
        <w:rPr>
          <w:rFonts w:hint="eastAsia" w:asciiTheme="minorEastAsia" w:hAnsiTheme="minorEastAsia" w:eastAsiaTheme="minorEastAsia" w:cstheme="minorEastAsia"/>
          <w:snapToGrid w:val="0"/>
          <w:color w:val="auto"/>
          <w:kern w:val="0"/>
          <w:highlight w:val="none"/>
          <w:lang w:val="en-US" w:eastAsia="zh-CN"/>
        </w:rPr>
        <w:t>注：</w:t>
      </w:r>
      <w:r>
        <w:rPr>
          <w:rFonts w:hint="eastAsia" w:asciiTheme="minorEastAsia" w:hAnsiTheme="minorEastAsia" w:eastAsiaTheme="minorEastAsia" w:cstheme="minorEastAsia"/>
          <w:snapToGrid w:val="0"/>
          <w:color w:val="auto"/>
          <w:kern w:val="0"/>
          <w:highlight w:val="none"/>
          <w:lang w:eastAsia="zh-CN"/>
        </w:rPr>
        <w:t>具体详见本项目可行性研究报告。</w:t>
      </w:r>
      <w:bookmarkStart w:id="48" w:name="_Toc14847"/>
    </w:p>
    <w:p w14:paraId="76A8E1A4">
      <w:pPr>
        <w:pStyle w:val="27"/>
        <w:ind w:firstLine="482" w:firstLineChars="200"/>
        <w:jc w:val="left"/>
        <w:rPr>
          <w:rFonts w:hint="eastAsia" w:asciiTheme="minorEastAsia" w:hAnsiTheme="minorEastAsia" w:eastAsiaTheme="minorEastAsia" w:cstheme="minorEastAsia"/>
          <w:b/>
          <w:color w:val="auto"/>
          <w:kern w:val="2"/>
          <w:highlight w:val="none"/>
        </w:rPr>
      </w:pPr>
      <w:r>
        <w:rPr>
          <w:rFonts w:hint="eastAsia" w:asciiTheme="minorEastAsia" w:hAnsiTheme="minorEastAsia" w:eastAsiaTheme="minorEastAsia" w:cstheme="minorEastAsia"/>
          <w:b/>
          <w:color w:val="auto"/>
          <w:kern w:val="2"/>
          <w:highlight w:val="none"/>
        </w:rPr>
        <w:t>3</w:t>
      </w:r>
      <w:bookmarkStart w:id="49" w:name="_Hlt66187826"/>
      <w:bookmarkEnd w:id="49"/>
      <w:r>
        <w:rPr>
          <w:rFonts w:hint="eastAsia" w:asciiTheme="minorEastAsia" w:hAnsiTheme="minorEastAsia" w:eastAsiaTheme="minorEastAsia" w:cstheme="minorEastAsia"/>
          <w:b/>
          <w:color w:val="auto"/>
          <w:kern w:val="2"/>
          <w:highlight w:val="none"/>
        </w:rPr>
        <w:t>、工期</w:t>
      </w:r>
      <w:bookmarkEnd w:id="40"/>
      <w:bookmarkEnd w:id="41"/>
      <w:bookmarkEnd w:id="42"/>
      <w:bookmarkEnd w:id="43"/>
      <w:bookmarkEnd w:id="44"/>
      <w:bookmarkEnd w:id="45"/>
      <w:bookmarkEnd w:id="46"/>
      <w:bookmarkEnd w:id="47"/>
      <w:bookmarkEnd w:id="48"/>
    </w:p>
    <w:p w14:paraId="31C60ABE">
      <w:pPr>
        <w:pStyle w:val="27"/>
        <w:ind w:firstLine="482"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bCs/>
          <w:color w:val="auto"/>
          <w:highlight w:val="none"/>
        </w:rPr>
        <w:t>3.1</w:t>
      </w:r>
      <w:r>
        <w:rPr>
          <w:rFonts w:hint="eastAsia" w:asciiTheme="minorEastAsia" w:hAnsiTheme="minorEastAsia" w:eastAsiaTheme="minorEastAsia" w:cstheme="minorEastAsia"/>
          <w:color w:val="auto"/>
          <w:highlight w:val="none"/>
        </w:rPr>
        <w:t xml:space="preserve"> 本工程工期为：</w:t>
      </w:r>
      <w:r>
        <w:rPr>
          <w:rFonts w:hint="eastAsia" w:asciiTheme="minorEastAsia" w:hAnsiTheme="minorEastAsia" w:eastAsiaTheme="minorEastAsia" w:cstheme="minorEastAsia"/>
          <w:color w:val="auto"/>
          <w:kern w:val="0"/>
          <w:highlight w:val="none"/>
          <w:u w:val="single"/>
          <w:lang w:val="en-US" w:eastAsia="zh-CN"/>
        </w:rPr>
        <w:t xml:space="preserve"> 140 </w:t>
      </w:r>
      <w:r>
        <w:rPr>
          <w:rFonts w:hint="eastAsia" w:asciiTheme="minorEastAsia" w:hAnsiTheme="minorEastAsia" w:eastAsiaTheme="minorEastAsia" w:cstheme="minorEastAsia"/>
          <w:color w:val="auto"/>
          <w:kern w:val="0"/>
          <w:highlight w:val="none"/>
          <w:lang w:eastAsia="zh-CN"/>
        </w:rPr>
        <w:t>日历天【其中：</w:t>
      </w:r>
      <w:r>
        <w:rPr>
          <w:rFonts w:hint="eastAsia" w:asciiTheme="minorEastAsia" w:hAnsiTheme="minorEastAsia" w:eastAsiaTheme="minorEastAsia" w:cstheme="minorEastAsia"/>
          <w:color w:val="auto"/>
          <w:kern w:val="0"/>
          <w:highlight w:val="none"/>
          <w:lang w:val="en-US" w:eastAsia="zh-CN"/>
        </w:rPr>
        <w:t>勘察、</w:t>
      </w:r>
      <w:r>
        <w:rPr>
          <w:rFonts w:hint="eastAsia" w:asciiTheme="minorEastAsia" w:hAnsiTheme="minorEastAsia" w:eastAsiaTheme="minorEastAsia" w:cstheme="minorEastAsia"/>
          <w:color w:val="auto"/>
          <w:kern w:val="0"/>
          <w:highlight w:val="none"/>
          <w:lang w:eastAsia="zh-CN"/>
        </w:rPr>
        <w:t>设计工期</w:t>
      </w:r>
      <w:r>
        <w:rPr>
          <w:rFonts w:hint="eastAsia" w:asciiTheme="minorEastAsia" w:hAnsiTheme="minorEastAsia" w:eastAsiaTheme="minorEastAsia" w:cstheme="minorEastAsia"/>
          <w:color w:val="auto"/>
          <w:kern w:val="0"/>
          <w:highlight w:val="none"/>
          <w:u w:val="single"/>
          <w:lang w:val="en-US" w:eastAsia="zh-CN"/>
        </w:rPr>
        <w:t xml:space="preserve"> 20</w:t>
      </w:r>
      <w:r>
        <w:rPr>
          <w:rFonts w:hint="eastAsia" w:asciiTheme="minorEastAsia" w:hAnsiTheme="minorEastAsia" w:eastAsiaTheme="minorEastAsia" w:cstheme="minorEastAsia"/>
          <w:color w:val="auto"/>
          <w:kern w:val="0"/>
          <w:highlight w:val="none"/>
          <w:lang w:eastAsia="zh-CN"/>
        </w:rPr>
        <w:t>日历天、施工工期</w:t>
      </w:r>
      <w:r>
        <w:rPr>
          <w:rFonts w:hint="eastAsia" w:asciiTheme="minorEastAsia" w:hAnsiTheme="minorEastAsia" w:eastAsiaTheme="minorEastAsia" w:cstheme="minorEastAsia"/>
          <w:color w:val="auto"/>
          <w:kern w:val="0"/>
          <w:highlight w:val="none"/>
          <w:u w:val="single"/>
          <w:lang w:val="en-US" w:eastAsia="zh-CN"/>
        </w:rPr>
        <w:t xml:space="preserve"> 120 </w:t>
      </w:r>
      <w:r>
        <w:rPr>
          <w:rFonts w:hint="eastAsia" w:asciiTheme="minorEastAsia" w:hAnsiTheme="minorEastAsia" w:eastAsiaTheme="minorEastAsia" w:cstheme="minorEastAsia"/>
          <w:color w:val="auto"/>
          <w:kern w:val="0"/>
          <w:highlight w:val="none"/>
          <w:lang w:eastAsia="zh-CN"/>
        </w:rPr>
        <w:t>日历天】，</w:t>
      </w:r>
      <w:r>
        <w:rPr>
          <w:rFonts w:hint="eastAsia" w:asciiTheme="minorEastAsia" w:hAnsiTheme="minorEastAsia" w:eastAsiaTheme="minorEastAsia" w:cstheme="minorEastAsia"/>
          <w:color w:val="auto"/>
          <w:kern w:val="0"/>
          <w:highlight w:val="none"/>
        </w:rPr>
        <w:t>中标人必须在所要求的工期内完成全部招标工程。</w:t>
      </w:r>
    </w:p>
    <w:p w14:paraId="173A4F8B">
      <w:pPr>
        <w:pStyle w:val="27"/>
        <w:ind w:firstLine="482" w:firstLineChars="20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b/>
          <w:color w:val="auto"/>
          <w:kern w:val="44"/>
          <w:highlight w:val="none"/>
        </w:rPr>
        <w:t>3.3</w:t>
      </w:r>
      <w:r>
        <w:rPr>
          <w:rFonts w:hint="eastAsia" w:asciiTheme="minorEastAsia" w:hAnsiTheme="minorEastAsia" w:eastAsiaTheme="minorEastAsia" w:cstheme="minorEastAsia"/>
          <w:color w:val="auto"/>
          <w:kern w:val="0"/>
          <w:highlight w:val="none"/>
          <w:lang w:val="en-US" w:eastAsia="zh-CN"/>
        </w:rPr>
        <w:t>勘察、</w:t>
      </w:r>
      <w:r>
        <w:rPr>
          <w:rFonts w:hint="eastAsia" w:asciiTheme="minorEastAsia" w:hAnsiTheme="minorEastAsia" w:eastAsiaTheme="minorEastAsia" w:cstheme="minorEastAsia"/>
          <w:color w:val="auto"/>
          <w:highlight w:val="none"/>
        </w:rPr>
        <w:t>设计工期自</w:t>
      </w:r>
      <w:r>
        <w:rPr>
          <w:rFonts w:hint="eastAsia" w:asciiTheme="minorEastAsia" w:hAnsiTheme="minorEastAsia" w:eastAsiaTheme="minorEastAsia" w:cstheme="minorEastAsia"/>
          <w:color w:val="auto"/>
          <w:szCs w:val="24"/>
          <w:highlight w:val="none"/>
        </w:rPr>
        <w:t>中标通知书发出之日</w:t>
      </w:r>
      <w:r>
        <w:rPr>
          <w:rFonts w:hint="eastAsia" w:asciiTheme="minorEastAsia" w:hAnsiTheme="minorEastAsia" w:eastAsiaTheme="minorEastAsia" w:cstheme="minorEastAsia"/>
          <w:color w:val="auto"/>
          <w:highlight w:val="none"/>
        </w:rPr>
        <w:t>起计算，至提交符合招标人及审图机构要求的施工图设计文件以及符合要求的施工图预算之日止（每一步设计工作，必须</w:t>
      </w:r>
      <w:r>
        <w:rPr>
          <w:rFonts w:hint="eastAsia" w:asciiTheme="minorEastAsia" w:hAnsiTheme="minorEastAsia" w:eastAsiaTheme="minorEastAsia" w:cstheme="minorEastAsia"/>
          <w:color w:val="auto"/>
          <w:highlight w:val="none"/>
          <w:lang w:val="en-US" w:eastAsia="zh-CN"/>
        </w:rPr>
        <w:t>经</w:t>
      </w:r>
      <w:r>
        <w:rPr>
          <w:rFonts w:hint="eastAsia" w:asciiTheme="minorEastAsia" w:hAnsiTheme="minorEastAsia" w:eastAsiaTheme="minorEastAsia" w:cstheme="minorEastAsia"/>
          <w:color w:val="auto"/>
          <w:highlight w:val="none"/>
        </w:rPr>
        <w:t>招标人及有关部门审核批准后方可实施）</w:t>
      </w:r>
      <w:r>
        <w:rPr>
          <w:rFonts w:hint="eastAsia" w:asciiTheme="minorEastAsia" w:hAnsiTheme="minorEastAsia" w:eastAsiaTheme="minorEastAsia" w:cstheme="minorEastAsia"/>
          <w:color w:val="auto"/>
          <w:highlight w:val="none"/>
          <w:lang w:val="zh-CN"/>
        </w:rPr>
        <w:t>。</w:t>
      </w:r>
    </w:p>
    <w:p w14:paraId="119BCB83">
      <w:pPr>
        <w:pStyle w:val="27"/>
        <w:ind w:firstLine="48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bCs/>
          <w:color w:val="auto"/>
          <w:highlight w:val="none"/>
        </w:rPr>
        <w:t>3</w:t>
      </w:r>
      <w:r>
        <w:rPr>
          <w:rFonts w:hint="eastAsia" w:asciiTheme="minorEastAsia" w:hAnsiTheme="minorEastAsia" w:eastAsiaTheme="minorEastAsia" w:cstheme="minorEastAsia"/>
          <w:b/>
          <w:bCs/>
          <w:color w:val="auto"/>
          <w:highlight w:val="none"/>
          <w:lang w:val="zh-CN"/>
        </w:rPr>
        <w:t>.</w:t>
      </w:r>
      <w:r>
        <w:rPr>
          <w:rFonts w:hint="eastAsia" w:asciiTheme="minorEastAsia" w:hAnsiTheme="minorEastAsia" w:eastAsiaTheme="minorEastAsia" w:cstheme="minorEastAsia"/>
          <w:b/>
          <w:bCs/>
          <w:color w:val="auto"/>
          <w:highlight w:val="none"/>
        </w:rPr>
        <w:t>4</w:t>
      </w:r>
      <w:r>
        <w:rPr>
          <w:rFonts w:hint="eastAsia" w:asciiTheme="minorEastAsia" w:hAnsiTheme="minorEastAsia" w:eastAsiaTheme="minorEastAsia" w:cstheme="minorEastAsia"/>
          <w:color w:val="auto"/>
          <w:highlight w:val="none"/>
          <w:lang w:val="zh-CN"/>
        </w:rPr>
        <w:t xml:space="preserve"> 施工工期从开工令签发之日起计，至竣工验收之日止。</w:t>
      </w:r>
      <w:bookmarkStart w:id="50" w:name="_Toc11872"/>
    </w:p>
    <w:p w14:paraId="411EE9EB">
      <w:pPr>
        <w:pStyle w:val="29"/>
        <w:keepNext/>
        <w:keepLines/>
        <w:ind w:firstLine="482" w:firstLineChars="200"/>
        <w:jc w:val="both"/>
        <w:rPr>
          <w:rFonts w:hint="eastAsia" w:asciiTheme="minorEastAsia" w:hAnsiTheme="minorEastAsia" w:eastAsiaTheme="minorEastAsia" w:cstheme="minorEastAsia"/>
          <w:b/>
          <w:color w:val="auto"/>
          <w:kern w:val="2"/>
          <w:szCs w:val="24"/>
          <w:highlight w:val="none"/>
        </w:rPr>
      </w:pPr>
      <w:bookmarkStart w:id="51" w:name="_Toc24539"/>
      <w:bookmarkStart w:id="52" w:name="_Toc3312"/>
      <w:bookmarkStart w:id="53" w:name="_Toc30034"/>
      <w:bookmarkStart w:id="54" w:name="_Toc13379"/>
      <w:bookmarkStart w:id="55" w:name="_Toc1889"/>
      <w:bookmarkStart w:id="56" w:name="_Toc19644"/>
      <w:bookmarkStart w:id="57" w:name="_Toc2499"/>
      <w:bookmarkStart w:id="58" w:name="_Toc9262"/>
      <w:r>
        <w:rPr>
          <w:rFonts w:hint="eastAsia" w:asciiTheme="minorEastAsia" w:hAnsiTheme="minorEastAsia" w:eastAsiaTheme="minorEastAsia" w:cstheme="minorEastAsia"/>
          <w:b/>
          <w:color w:val="auto"/>
          <w:kern w:val="2"/>
          <w:highlight w:val="none"/>
        </w:rPr>
        <w:t>4 、投标人资质及条件要求</w:t>
      </w:r>
      <w:bookmarkEnd w:id="50"/>
      <w:bookmarkEnd w:id="51"/>
      <w:bookmarkEnd w:id="52"/>
      <w:bookmarkEnd w:id="53"/>
      <w:bookmarkEnd w:id="54"/>
      <w:bookmarkEnd w:id="55"/>
      <w:bookmarkEnd w:id="56"/>
      <w:bookmarkEnd w:id="57"/>
      <w:bookmarkEnd w:id="58"/>
      <w:bookmarkStart w:id="59" w:name="_Hlt74496495"/>
      <w:bookmarkEnd w:id="59"/>
    </w:p>
    <w:p w14:paraId="10E23E7E">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4.1</w:t>
      </w:r>
      <w:r>
        <w:rPr>
          <w:rFonts w:hint="eastAsia" w:asciiTheme="minorEastAsia" w:hAnsiTheme="minorEastAsia" w:eastAsiaTheme="minorEastAsia" w:cstheme="minorEastAsia"/>
          <w:color w:val="auto"/>
          <w:kern w:val="0"/>
          <w:sz w:val="24"/>
          <w:highlight w:val="none"/>
        </w:rPr>
        <w:t>本次招标接受联合体投标，联合体以一个投标人的身份共同投标。</w:t>
      </w:r>
    </w:p>
    <w:p w14:paraId="7DA2338B">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4.1.1</w:t>
      </w:r>
      <w:r>
        <w:rPr>
          <w:rFonts w:hint="eastAsia" w:asciiTheme="minorEastAsia" w:hAnsiTheme="minorEastAsia" w:eastAsiaTheme="minorEastAsia" w:cstheme="minorEastAsia"/>
          <w:color w:val="auto"/>
          <w:kern w:val="0"/>
          <w:sz w:val="24"/>
          <w:highlight w:val="none"/>
        </w:rPr>
        <w:t>联合体成员数量不超过2个。</w:t>
      </w:r>
    </w:p>
    <w:p w14:paraId="27FB69FC">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4.1.2</w:t>
      </w:r>
      <w:r>
        <w:rPr>
          <w:rFonts w:hint="eastAsia" w:asciiTheme="minorEastAsia" w:hAnsiTheme="minorEastAsia" w:eastAsiaTheme="minorEastAsia" w:cstheme="minorEastAsia"/>
          <w:color w:val="auto"/>
          <w:kern w:val="0"/>
          <w:sz w:val="24"/>
          <w:highlight w:val="none"/>
        </w:rPr>
        <w:t>联合体各方应按招标文件提供的格式签订联合体协议书，明确联合体牵头人和各方权利义务，并承诺就中标项目向招标人承担连带责任。《联合体协议书》作为投标文件的组成部分向招标人提交。</w:t>
      </w:r>
    </w:p>
    <w:p w14:paraId="3F945AB0">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4.1.3</w:t>
      </w:r>
      <w:r>
        <w:rPr>
          <w:rFonts w:hint="eastAsia" w:asciiTheme="minorEastAsia" w:hAnsiTheme="minorEastAsia" w:eastAsiaTheme="minorEastAsia" w:cstheme="minorEastAsia"/>
          <w:color w:val="auto"/>
          <w:kern w:val="0"/>
          <w:sz w:val="24"/>
          <w:highlight w:val="none"/>
        </w:rPr>
        <w:t>联合体成员单位均应具备拟承担的工作内容（以《联合体协议书》的约定为准）所规定的资格条件。若同一工作内容由两个或两个以上单位共同承担，该项工作内容按照资质等级较低的单位确定联合体资质等级。</w:t>
      </w:r>
    </w:p>
    <w:p w14:paraId="0896A753">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4.1.4</w:t>
      </w:r>
      <w:r>
        <w:rPr>
          <w:rFonts w:hint="eastAsia" w:asciiTheme="minorEastAsia" w:hAnsiTheme="minorEastAsia" w:eastAsiaTheme="minorEastAsia" w:cstheme="minorEastAsia"/>
          <w:color w:val="auto"/>
          <w:kern w:val="0"/>
          <w:sz w:val="24"/>
          <w:highlight w:val="none"/>
        </w:rPr>
        <w:t>联合体各方不得再以自己名义单独或参加其他联合体在本招标项目中投标，否则各相关投标均无效。</w:t>
      </w:r>
    </w:p>
    <w:p w14:paraId="65D1CD98">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4.2</w:t>
      </w:r>
      <w:r>
        <w:rPr>
          <w:rFonts w:hint="eastAsia" w:asciiTheme="minorEastAsia" w:hAnsiTheme="minorEastAsia" w:eastAsiaTheme="minorEastAsia" w:cstheme="minorEastAsia"/>
          <w:color w:val="auto"/>
          <w:kern w:val="0"/>
          <w:sz w:val="24"/>
          <w:highlight w:val="none"/>
        </w:rPr>
        <w:t>资质要求</w:t>
      </w:r>
    </w:p>
    <w:p w14:paraId="21D46A30">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4.2.1</w:t>
      </w:r>
      <w:r>
        <w:rPr>
          <w:rFonts w:hint="eastAsia" w:asciiTheme="minorEastAsia" w:hAnsiTheme="minorEastAsia" w:eastAsiaTheme="minorEastAsia" w:cstheme="minorEastAsia"/>
          <w:color w:val="auto"/>
          <w:kern w:val="0"/>
          <w:sz w:val="24"/>
          <w:highlight w:val="none"/>
        </w:rPr>
        <w:t>投标人须具备独立法人资格，按国家法律经营。</w:t>
      </w:r>
    </w:p>
    <w:p w14:paraId="092279E6">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b/>
          <w:bCs/>
          <w:color w:val="auto"/>
          <w:kern w:val="0"/>
          <w:sz w:val="24"/>
          <w:highlight w:val="none"/>
        </w:rPr>
      </w:pPr>
      <w:r>
        <w:rPr>
          <w:rFonts w:hint="eastAsia" w:asciiTheme="minorEastAsia" w:hAnsiTheme="minorEastAsia" w:eastAsiaTheme="minorEastAsia" w:cstheme="minorEastAsia"/>
          <w:b/>
          <w:bCs/>
          <w:color w:val="auto"/>
          <w:kern w:val="0"/>
          <w:sz w:val="24"/>
          <w:highlight w:val="none"/>
        </w:rPr>
        <w:t>4.2.2</w:t>
      </w:r>
      <w:r>
        <w:rPr>
          <w:rFonts w:hint="eastAsia" w:asciiTheme="minorEastAsia" w:hAnsiTheme="minorEastAsia" w:eastAsiaTheme="minorEastAsia" w:cstheme="minorEastAsia"/>
          <w:color w:val="auto"/>
          <w:kern w:val="0"/>
          <w:sz w:val="24"/>
          <w:highlight w:val="none"/>
        </w:rPr>
        <w:t>投标人须持有行政主管部门颁发的企业资质证书。</w:t>
      </w:r>
    </w:p>
    <w:p w14:paraId="05DAE512">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kern w:val="0"/>
          <w:sz w:val="24"/>
          <w:highlight w:val="none"/>
        </w:rPr>
        <w:t>4.2.3</w:t>
      </w:r>
      <w:r>
        <w:rPr>
          <w:rFonts w:hint="eastAsia" w:asciiTheme="minorEastAsia" w:hAnsiTheme="minorEastAsia" w:eastAsiaTheme="minorEastAsia" w:cstheme="minorEastAsia"/>
          <w:color w:val="auto"/>
          <w:sz w:val="24"/>
          <w:highlight w:val="none"/>
        </w:rPr>
        <w:t>参加投标的投标人可以是单一独立法人或由不超过两家独立法人组成的联合体（必须注明其中一家为牵头人；联合体成员中设计、施工单位分别不得超过一家），联合体各方不得再以自己的名义单独申请，也不得同时参加两个或两个以上的联合体进行本项目的投标。单一独立法人必须至少同时具备以下①～②资质，组成联合体投标的，联合后必须至少具备以下①～②资质，联合体牵头人必须具备①资质，由同一专业的单位组成的联合体，按照资质等级较低的单位确定资质等级：</w:t>
      </w:r>
    </w:p>
    <w:p w14:paraId="16C35C16">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kern w:val="0"/>
          <w:sz w:val="24"/>
          <w:highlight w:val="none"/>
          <w:lang w:val="zh-CN" w:eastAsia="zh-CN"/>
        </w:rPr>
      </w:pPr>
      <w:r>
        <w:rPr>
          <w:rFonts w:hint="eastAsia" w:asciiTheme="minorEastAsia" w:hAnsiTheme="minorEastAsia" w:eastAsiaTheme="minorEastAsia" w:cstheme="minorEastAsia"/>
          <w:color w:val="auto"/>
          <w:kern w:val="0"/>
          <w:sz w:val="24"/>
          <w:highlight w:val="none"/>
          <w:lang w:val="zh-CN" w:eastAsia="zh-CN"/>
        </w:rPr>
        <w:t>①施工资质</w:t>
      </w:r>
      <w:r>
        <w:rPr>
          <w:rFonts w:hint="eastAsia" w:asciiTheme="minorEastAsia" w:hAnsiTheme="minorEastAsia" w:eastAsiaTheme="minorEastAsia" w:cstheme="minorEastAsia"/>
          <w:color w:val="auto"/>
          <w:kern w:val="0"/>
          <w:sz w:val="24"/>
          <w:highlight w:val="none"/>
          <w:lang w:val="en-US" w:eastAsia="zh-CN"/>
        </w:rPr>
        <w:t>要求</w:t>
      </w:r>
      <w:r>
        <w:rPr>
          <w:rFonts w:hint="eastAsia" w:asciiTheme="minorEastAsia" w:hAnsiTheme="minorEastAsia" w:eastAsiaTheme="minorEastAsia" w:cstheme="minorEastAsia"/>
          <w:color w:val="auto"/>
          <w:kern w:val="0"/>
          <w:sz w:val="24"/>
          <w:highlight w:val="none"/>
          <w:lang w:val="zh-CN" w:eastAsia="zh-CN"/>
        </w:rPr>
        <w:t>：具备电力工程施工总承包三级以上（含三级）资质或输变电工程专业承包三级以上（含三级）资质，并持有有效安全生产许可证和《承装（修、试）电力设施许可证》承装类三级以上（含三级）资质：</w:t>
      </w:r>
    </w:p>
    <w:p w14:paraId="1382CFA2">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kern w:val="0"/>
          <w:sz w:val="24"/>
          <w:highlight w:val="none"/>
          <w:lang w:eastAsia="zh-CN"/>
        </w:rPr>
      </w:pPr>
      <w:r>
        <w:rPr>
          <w:rFonts w:hint="eastAsia" w:asciiTheme="minorEastAsia" w:hAnsiTheme="minorEastAsia" w:eastAsiaTheme="minorEastAsia" w:cstheme="minorEastAsia"/>
          <w:color w:val="auto"/>
          <w:kern w:val="0"/>
          <w:sz w:val="24"/>
          <w:highlight w:val="none"/>
          <w:lang w:eastAsia="zh-CN"/>
        </w:rPr>
        <w:t>②设计资质要求：工程设计综合甲级资质或工程设计电力行业乙级及以上资质或工程设计电力行业（变电工程、送电工程）专业乙级及以上资质。</w:t>
      </w:r>
    </w:p>
    <w:p w14:paraId="5A2B8785">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eastAsia="zh-CN"/>
        </w:rPr>
        <w:t>注：投标人在中标后，设计企业若不具备相应的工程勘察资质可由</w:t>
      </w:r>
      <w:r>
        <w:rPr>
          <w:rFonts w:hint="eastAsia" w:asciiTheme="minorEastAsia" w:hAnsiTheme="minorEastAsia" w:eastAsiaTheme="minorEastAsia" w:cstheme="minorEastAsia"/>
          <w:color w:val="auto"/>
          <w:kern w:val="0"/>
          <w:sz w:val="24"/>
          <w:highlight w:val="none"/>
          <w:lang w:val="en-US" w:eastAsia="zh-CN"/>
        </w:rPr>
        <w:t>中标人</w:t>
      </w:r>
      <w:r>
        <w:rPr>
          <w:rFonts w:hint="eastAsia" w:asciiTheme="minorEastAsia" w:hAnsiTheme="minorEastAsia" w:eastAsiaTheme="minorEastAsia" w:cstheme="minorEastAsia"/>
          <w:color w:val="auto"/>
          <w:kern w:val="0"/>
          <w:sz w:val="24"/>
          <w:highlight w:val="none"/>
          <w:lang w:eastAsia="zh-CN"/>
        </w:rPr>
        <w:t>另行委托有相应资质的单位进行工程勘察，费用已包含在本次招标费用中。</w:t>
      </w:r>
    </w:p>
    <w:p w14:paraId="36600786">
      <w:pPr>
        <w:pStyle w:val="30"/>
        <w:wordWrap w:val="0"/>
        <w:adjustRightInd w:val="0"/>
        <w:snapToGrid w:val="0"/>
        <w:spacing w:line="440" w:lineRule="exact"/>
        <w:ind w:firstLine="480"/>
        <w:jc w:val="left"/>
        <w:rPr>
          <w:rFonts w:hint="eastAsia" w:asciiTheme="minorEastAsia" w:hAnsiTheme="minorEastAsia" w:eastAsiaTheme="minorEastAsia" w:cstheme="minorEastAsia"/>
          <w:strike/>
          <w:color w:val="auto"/>
          <w:sz w:val="24"/>
          <w:highlight w:val="none"/>
          <w:lang w:val="zh-CN"/>
        </w:rPr>
      </w:pPr>
      <w:r>
        <w:rPr>
          <w:rFonts w:hint="eastAsia" w:asciiTheme="minorEastAsia" w:hAnsiTheme="minorEastAsia" w:eastAsiaTheme="minorEastAsia" w:cstheme="minorEastAsia"/>
          <w:b/>
          <w:bCs/>
          <w:color w:val="auto"/>
          <w:kern w:val="0"/>
          <w:sz w:val="24"/>
          <w:highlight w:val="none"/>
        </w:rPr>
        <w:t>4.2.4</w:t>
      </w:r>
      <w:r>
        <w:rPr>
          <w:rFonts w:hint="eastAsia" w:asciiTheme="minorEastAsia" w:hAnsiTheme="minorEastAsia" w:eastAsiaTheme="minorEastAsia" w:cstheme="minorEastAsia"/>
          <w:color w:val="auto"/>
          <w:sz w:val="24"/>
          <w:highlight w:val="none"/>
          <w:lang w:val="zh-CN"/>
        </w:rPr>
        <w:t>根据有关文件精神，投标人的企业相关证书到期的，均按该证书的发证机构相关行业主管部门最新文件执行（如自动顺延或推迟办理延期业务的通知），投标人必须将相关文件附在该证书后面中，证明在开标日继续有效。</w:t>
      </w:r>
    </w:p>
    <w:p w14:paraId="057FEBAA">
      <w:pPr>
        <w:pStyle w:val="30"/>
        <w:wordWrap w:val="0"/>
        <w:adjustRightInd w:val="0"/>
        <w:snapToGrid w:val="0"/>
        <w:spacing w:line="360" w:lineRule="auto"/>
        <w:ind w:firstLine="48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b/>
          <w:bCs/>
          <w:color w:val="auto"/>
          <w:kern w:val="0"/>
          <w:sz w:val="24"/>
          <w:highlight w:val="none"/>
        </w:rPr>
        <w:t>4.3</w:t>
      </w:r>
      <w:r>
        <w:rPr>
          <w:rFonts w:hint="eastAsia" w:asciiTheme="minorEastAsia" w:hAnsiTheme="minorEastAsia" w:eastAsiaTheme="minorEastAsia" w:cstheme="minorEastAsia"/>
          <w:snapToGrid w:val="0"/>
          <w:color w:val="auto"/>
          <w:kern w:val="0"/>
          <w:sz w:val="24"/>
          <w:highlight w:val="none"/>
        </w:rPr>
        <w:t>相关人员要求</w:t>
      </w:r>
    </w:p>
    <w:p w14:paraId="1C1E590D">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4.3.1</w:t>
      </w:r>
      <w:r>
        <w:rPr>
          <w:rFonts w:hint="eastAsia" w:asciiTheme="minorEastAsia" w:hAnsiTheme="minorEastAsia" w:eastAsiaTheme="minorEastAsia" w:cstheme="minorEastAsia"/>
          <w:color w:val="auto"/>
          <w:sz w:val="24"/>
          <w:highlight w:val="none"/>
          <w:lang w:eastAsia="zh-CN"/>
        </w:rPr>
        <w:t>拟派项目经理为</w:t>
      </w:r>
      <w:r>
        <w:rPr>
          <w:rFonts w:hint="eastAsia" w:asciiTheme="minorEastAsia" w:hAnsiTheme="minorEastAsia" w:eastAsiaTheme="minorEastAsia" w:cstheme="minorEastAsia"/>
          <w:color w:val="auto"/>
          <w:sz w:val="24"/>
          <w:highlight w:val="none"/>
          <w:u w:val="single"/>
          <w:lang w:eastAsia="zh-CN"/>
        </w:rPr>
        <w:t>机电工程专业</w:t>
      </w:r>
      <w:r>
        <w:rPr>
          <w:rFonts w:hint="eastAsia" w:asciiTheme="minorEastAsia" w:hAnsiTheme="minorEastAsia" w:eastAsiaTheme="minorEastAsia" w:cstheme="minorEastAsia"/>
          <w:color w:val="auto"/>
          <w:sz w:val="24"/>
          <w:highlight w:val="none"/>
          <w:lang w:eastAsia="zh-CN"/>
        </w:rPr>
        <w:t>一级或二级注册建造师，其中一级注册建造师应持有国家住建部印发的有效注册证书，二级注册建造师应持有广东省住建厅核准的有效电子注册证书(在“广东省二级注册建造师、二级注册结构工程师、二级注册建筑师注册管理信息系统”中打印)。同时均须具备有效安全生产考核合格证明(B证，安全生产考核合格证书或“广东省建筑施工企业管理人员安全生产考核信息系统”考核合格信息打印页)，且未担任其他在施(包括已中标未开工、已开工未竣工)建设工程项目的项目经理。</w:t>
      </w:r>
    </w:p>
    <w:p w14:paraId="5671AE5A">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b/>
          <w:bCs/>
          <w:color w:val="auto"/>
          <w:kern w:val="0"/>
          <w:sz w:val="24"/>
          <w:highlight w:val="none"/>
        </w:rPr>
        <w:t>4.</w:t>
      </w:r>
      <w:r>
        <w:rPr>
          <w:rFonts w:hint="eastAsia" w:asciiTheme="minorEastAsia" w:hAnsiTheme="minorEastAsia" w:eastAsiaTheme="minorEastAsia" w:cstheme="minorEastAsia"/>
          <w:b/>
          <w:bCs/>
          <w:snapToGrid w:val="0"/>
          <w:color w:val="auto"/>
          <w:kern w:val="0"/>
          <w:sz w:val="24"/>
          <w:highlight w:val="none"/>
        </w:rPr>
        <w:t>3.2</w:t>
      </w:r>
      <w:r>
        <w:rPr>
          <w:rFonts w:hint="eastAsia" w:asciiTheme="minorEastAsia" w:hAnsiTheme="minorEastAsia" w:eastAsiaTheme="minorEastAsia" w:cstheme="minorEastAsia"/>
          <w:color w:val="auto"/>
          <w:sz w:val="24"/>
          <w:highlight w:val="none"/>
          <w:lang w:eastAsia="zh-CN"/>
        </w:rPr>
        <w:t>投标人拟派项目技术负责人须具备</w:t>
      </w:r>
      <w:r>
        <w:rPr>
          <w:rFonts w:hint="eastAsia" w:asciiTheme="minorEastAsia" w:hAnsiTheme="minorEastAsia" w:eastAsiaTheme="minorEastAsia" w:cstheme="minorEastAsia"/>
          <w:color w:val="auto"/>
          <w:sz w:val="24"/>
          <w:highlight w:val="none"/>
          <w:u w:val="single"/>
          <w:lang w:eastAsia="zh-CN"/>
        </w:rPr>
        <w:t>中级</w:t>
      </w:r>
      <w:r>
        <w:rPr>
          <w:rFonts w:hint="eastAsia" w:asciiTheme="minorEastAsia" w:hAnsiTheme="minorEastAsia" w:eastAsiaTheme="minorEastAsia" w:cstheme="minorEastAsia"/>
          <w:color w:val="auto"/>
          <w:sz w:val="24"/>
          <w:highlight w:val="none"/>
          <w:lang w:eastAsia="zh-CN"/>
        </w:rPr>
        <w:t>以上(含中级)技术职称。</w:t>
      </w:r>
    </w:p>
    <w:p w14:paraId="17AC08E2">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b w:val="0"/>
          <w:bCs w:val="0"/>
          <w:color w:val="auto"/>
          <w:sz w:val="24"/>
          <w:highlight w:val="none"/>
          <w:lang w:val="en-US" w:eastAsia="zh-CN"/>
        </w:rPr>
      </w:pPr>
      <w:r>
        <w:rPr>
          <w:rFonts w:hint="eastAsia" w:asciiTheme="minorEastAsia" w:hAnsiTheme="minorEastAsia" w:eastAsiaTheme="minorEastAsia" w:cstheme="minorEastAsia"/>
          <w:b/>
          <w:bCs/>
          <w:color w:val="auto"/>
          <w:sz w:val="24"/>
          <w:highlight w:val="none"/>
          <w:lang w:val="en-US" w:eastAsia="zh-CN"/>
        </w:rPr>
        <w:t>4.3.3</w:t>
      </w:r>
      <w:r>
        <w:rPr>
          <w:rFonts w:hint="eastAsia" w:asciiTheme="minorEastAsia" w:hAnsiTheme="minorEastAsia" w:eastAsiaTheme="minorEastAsia" w:cstheme="minorEastAsia"/>
          <w:b w:val="0"/>
          <w:bCs w:val="0"/>
          <w:color w:val="auto"/>
          <w:sz w:val="24"/>
          <w:highlight w:val="none"/>
          <w:lang w:val="en-US" w:eastAsia="zh-CN"/>
        </w:rPr>
        <w:t>投标人拟派项目设计负责人具有</w:t>
      </w:r>
      <w:r>
        <w:rPr>
          <w:rFonts w:hint="eastAsia" w:asciiTheme="minorEastAsia" w:hAnsiTheme="minorEastAsia" w:eastAsiaTheme="minorEastAsia" w:cstheme="minorEastAsia"/>
          <w:b w:val="0"/>
          <w:bCs w:val="0"/>
          <w:color w:val="auto"/>
          <w:sz w:val="24"/>
          <w:highlight w:val="none"/>
          <w:u w:val="single"/>
          <w:lang w:val="en-US" w:eastAsia="zh-CN"/>
        </w:rPr>
        <w:t>注册电气工程师</w:t>
      </w:r>
      <w:r>
        <w:rPr>
          <w:rFonts w:hint="eastAsia" w:asciiTheme="minorEastAsia" w:hAnsiTheme="minorEastAsia" w:eastAsiaTheme="minorEastAsia" w:cstheme="minorEastAsia"/>
          <w:b w:val="0"/>
          <w:bCs w:val="0"/>
          <w:color w:val="auto"/>
          <w:sz w:val="24"/>
          <w:highlight w:val="none"/>
          <w:lang w:val="en-US" w:eastAsia="zh-CN"/>
        </w:rPr>
        <w:t>执业资格。</w:t>
      </w:r>
    </w:p>
    <w:p w14:paraId="20A2D195">
      <w:pPr>
        <w:pStyle w:val="30"/>
        <w:wordWrap w:val="0"/>
        <w:adjustRightInd w:val="0"/>
        <w:snapToGrid w:val="0"/>
        <w:spacing w:line="360" w:lineRule="auto"/>
        <w:ind w:firstLine="482" w:firstLineChars="20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b/>
          <w:bCs/>
          <w:color w:val="auto"/>
          <w:kern w:val="0"/>
          <w:sz w:val="24"/>
          <w:highlight w:val="none"/>
        </w:rPr>
        <w:t>4.</w:t>
      </w:r>
      <w:r>
        <w:rPr>
          <w:rFonts w:hint="eastAsia" w:asciiTheme="minorEastAsia" w:hAnsiTheme="minorEastAsia" w:eastAsiaTheme="minorEastAsia" w:cstheme="minorEastAsia"/>
          <w:b/>
          <w:bCs/>
          <w:snapToGrid w:val="0"/>
          <w:color w:val="auto"/>
          <w:kern w:val="0"/>
          <w:sz w:val="24"/>
          <w:highlight w:val="none"/>
        </w:rPr>
        <w:t>3.</w:t>
      </w:r>
      <w:r>
        <w:rPr>
          <w:rFonts w:hint="eastAsia" w:asciiTheme="minorEastAsia" w:hAnsiTheme="minorEastAsia" w:eastAsiaTheme="minorEastAsia" w:cstheme="minorEastAsia"/>
          <w:b/>
          <w:bCs/>
          <w:snapToGrid w:val="0"/>
          <w:color w:val="auto"/>
          <w:kern w:val="0"/>
          <w:sz w:val="24"/>
          <w:highlight w:val="none"/>
          <w:lang w:val="en-US" w:eastAsia="zh-CN"/>
        </w:rPr>
        <w:t>4</w:t>
      </w:r>
      <w:r>
        <w:rPr>
          <w:rFonts w:hint="eastAsia" w:asciiTheme="minorEastAsia" w:hAnsiTheme="minorEastAsia" w:eastAsiaTheme="minorEastAsia" w:cstheme="minorEastAsia"/>
          <w:snapToGrid w:val="0"/>
          <w:color w:val="auto"/>
          <w:kern w:val="0"/>
          <w:sz w:val="24"/>
          <w:highlight w:val="none"/>
        </w:rPr>
        <w:t>拟派专职安全生产管理人员须具备有效安全生产考核合格证明（C证，安全生产考核合格证书或广东省建筑施工企业管理人员安全生产考核系统考核合格信息打印页），且不少于1人。</w:t>
      </w:r>
    </w:p>
    <w:p w14:paraId="7E09A8B9">
      <w:pPr>
        <w:wordWrap w:val="0"/>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color w:val="auto"/>
          <w:kern w:val="0"/>
          <w:szCs w:val="24"/>
          <w:highlight w:val="none"/>
        </w:rPr>
        <w:t>4.</w:t>
      </w:r>
      <w:r>
        <w:rPr>
          <w:rFonts w:hint="eastAsia" w:asciiTheme="minorEastAsia" w:hAnsiTheme="minorEastAsia" w:eastAsiaTheme="minorEastAsia" w:cstheme="minorEastAsia"/>
          <w:b/>
          <w:bCs/>
          <w:snapToGrid w:val="0"/>
          <w:color w:val="auto"/>
          <w:kern w:val="0"/>
          <w:szCs w:val="24"/>
          <w:highlight w:val="none"/>
        </w:rPr>
        <w:t>3.5</w:t>
      </w:r>
      <w:r>
        <w:rPr>
          <w:rFonts w:hint="eastAsia" w:asciiTheme="minorEastAsia" w:hAnsiTheme="minorEastAsia" w:eastAsiaTheme="minorEastAsia" w:cstheme="minorEastAsia"/>
          <w:snapToGrid w:val="0"/>
          <w:color w:val="auto"/>
          <w:kern w:val="0"/>
          <w:szCs w:val="24"/>
          <w:highlight w:val="none"/>
        </w:rPr>
        <w:t>投标人（包括组成联合体的所有成员单位）与其拟派往本项目管理机构的所有人员之间必须具备合法、唯一的劳动聘用关系。拟派人员中具备注册执业资格的，其注册单位须与投标人保持一致。</w:t>
      </w:r>
    </w:p>
    <w:p w14:paraId="306320E7">
      <w:pPr>
        <w:wordWrap w:val="0"/>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color w:val="auto"/>
          <w:kern w:val="0"/>
          <w:szCs w:val="24"/>
          <w:highlight w:val="none"/>
        </w:rPr>
        <w:t>4.4</w:t>
      </w:r>
      <w:r>
        <w:rPr>
          <w:rFonts w:hint="eastAsia" w:asciiTheme="minorEastAsia" w:hAnsiTheme="minorEastAsia" w:eastAsiaTheme="minorEastAsia" w:cstheme="minorEastAsia"/>
          <w:snapToGrid w:val="0"/>
          <w:color w:val="auto"/>
          <w:kern w:val="0"/>
          <w:szCs w:val="24"/>
          <w:highlight w:val="none"/>
        </w:rPr>
        <w:t>禁止投标条款：</w:t>
      </w:r>
    </w:p>
    <w:p w14:paraId="12529B9D">
      <w:pPr>
        <w:wordWrap w:val="0"/>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color w:val="auto"/>
          <w:kern w:val="0"/>
          <w:szCs w:val="24"/>
          <w:highlight w:val="none"/>
        </w:rPr>
        <w:t>4.4.1</w:t>
      </w:r>
      <w:r>
        <w:rPr>
          <w:rFonts w:hint="eastAsia" w:asciiTheme="minorEastAsia" w:hAnsiTheme="minorEastAsia" w:eastAsiaTheme="minorEastAsia" w:cstheme="minorEastAsia"/>
          <w:snapToGrid w:val="0"/>
          <w:color w:val="auto"/>
          <w:kern w:val="0"/>
          <w:szCs w:val="24"/>
          <w:highlight w:val="none"/>
        </w:rPr>
        <w:t>投标人不得存在下列情形之一：</w:t>
      </w:r>
    </w:p>
    <w:p w14:paraId="5459A4FA">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（1）为招标人不具有独立法人资格的附属机构（单位）；</w:t>
      </w:r>
    </w:p>
    <w:p w14:paraId="1F1605D2">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（2）为本招标项目前期准备提供咨询服务的；</w:t>
      </w:r>
    </w:p>
    <w:p w14:paraId="4A289BEA">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（3）与本招标项目的其他投标人为同一个单位负责人；</w:t>
      </w:r>
    </w:p>
    <w:p w14:paraId="18A448F2">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（4）与本招标项目的其他投标人存在控股、管理关系；</w:t>
      </w:r>
    </w:p>
    <w:p w14:paraId="12F4CB80">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（5）为本招标项目的监理人；</w:t>
      </w:r>
    </w:p>
    <w:p w14:paraId="00B417E8">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（6）为本招标项目的代建人；</w:t>
      </w:r>
    </w:p>
    <w:p w14:paraId="2777CEB9">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（7）为本招标项目的招标代理机构；</w:t>
      </w:r>
    </w:p>
    <w:p w14:paraId="70D7E4F8">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（8）与本招标项目的监理人或代建人或招标代理机构同为一个法定代表人；</w:t>
      </w:r>
    </w:p>
    <w:p w14:paraId="37F499FC">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（9）与本招标项目的监理人或代建人或招标代理机构存在控股或参股关系；</w:t>
      </w:r>
    </w:p>
    <w:p w14:paraId="75DDD688">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（10）与本招标项目的监理人或代建人或招标代理机构存在相互任职或工作关系；</w:t>
      </w:r>
    </w:p>
    <w:p w14:paraId="5590B0E3">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（11）被依法暂停或者取消投标资格；</w:t>
      </w:r>
    </w:p>
    <w:p w14:paraId="4EFB313C">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（12）被责令停产停业、暂扣或者吊销许可证、暂扣或者吊销执照；</w:t>
      </w:r>
    </w:p>
    <w:p w14:paraId="3ACD2C67">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（13）进入清算程序，或被宣告破产，或其他丧失履约能力的情形；</w:t>
      </w:r>
    </w:p>
    <w:p w14:paraId="489BE7D1">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（14）在最近三年内发生重大工程质量或安全问题（以相关行业主管部门的行政处罚决定或司法机关出具的有关法律文书为准）；</w:t>
      </w:r>
    </w:p>
    <w:p w14:paraId="05C3C393">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（15）被“信用中国”网站（https://www.creditchina.gov.cn）发布的《法人和非法人组织公共信用信息报告》列入严重失信主体名单的。</w:t>
      </w:r>
    </w:p>
    <w:p w14:paraId="5766CDB7">
      <w:pPr>
        <w:wordWrap w:val="0"/>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4.4.2</w:t>
      </w:r>
      <w:r>
        <w:rPr>
          <w:rFonts w:hint="eastAsia" w:asciiTheme="minorEastAsia" w:hAnsiTheme="minorEastAsia" w:eastAsiaTheme="minorEastAsia" w:cstheme="minorEastAsia"/>
          <w:snapToGrid w:val="0"/>
          <w:color w:val="auto"/>
          <w:kern w:val="0"/>
          <w:szCs w:val="24"/>
          <w:highlight w:val="none"/>
        </w:rPr>
        <w:t>招标人拒绝以下名单中的单位参加本次投标：</w:t>
      </w:r>
    </w:p>
    <w:tbl>
      <w:tblPr>
        <w:tblStyle w:val="22"/>
        <w:tblW w:w="9159" w:type="dxa"/>
        <w:tblInd w:w="16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4"/>
        <w:gridCol w:w="3390"/>
        <w:gridCol w:w="5085"/>
      </w:tblGrid>
      <w:tr w14:paraId="17CF34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84" w:type="dxa"/>
            <w:noWrap/>
            <w:vAlign w:val="center"/>
          </w:tcPr>
          <w:p w14:paraId="54E71386">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序号</w:t>
            </w:r>
          </w:p>
        </w:tc>
        <w:tc>
          <w:tcPr>
            <w:tcW w:w="3390" w:type="dxa"/>
            <w:noWrap/>
            <w:vAlign w:val="center"/>
          </w:tcPr>
          <w:p w14:paraId="5DC4C2FC">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单位名称</w:t>
            </w:r>
          </w:p>
        </w:tc>
        <w:tc>
          <w:tcPr>
            <w:tcW w:w="5085" w:type="dxa"/>
            <w:noWrap/>
            <w:vAlign w:val="center"/>
          </w:tcPr>
          <w:p w14:paraId="3F5C3E85">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拒绝原因</w:t>
            </w:r>
          </w:p>
        </w:tc>
      </w:tr>
      <w:tr w14:paraId="23167A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84" w:type="dxa"/>
            <w:noWrap/>
            <w:vAlign w:val="center"/>
          </w:tcPr>
          <w:p w14:paraId="7F9C64DC">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3390" w:type="dxa"/>
            <w:noWrap/>
            <w:vAlign w:val="center"/>
          </w:tcPr>
          <w:p w14:paraId="2DB31902">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广东始兴工业园区管理委员会</w:t>
            </w:r>
          </w:p>
        </w:tc>
        <w:tc>
          <w:tcPr>
            <w:tcW w:w="5085" w:type="dxa"/>
            <w:noWrap/>
            <w:vAlign w:val="center"/>
          </w:tcPr>
          <w:p w14:paraId="46DAB036">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为本招标项目的招标人</w:t>
            </w:r>
          </w:p>
        </w:tc>
      </w:tr>
      <w:tr w14:paraId="67723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trPr>
        <w:tc>
          <w:tcPr>
            <w:tcW w:w="684" w:type="dxa"/>
            <w:noWrap/>
            <w:vAlign w:val="center"/>
          </w:tcPr>
          <w:p w14:paraId="1D338CC8">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3390" w:type="dxa"/>
            <w:noWrap/>
            <w:vAlign w:val="center"/>
          </w:tcPr>
          <w:p w14:paraId="2C311065">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eastAsia="zh-CN"/>
              </w:rPr>
              <w:t>广东始兴工业园区管理委员会</w:t>
            </w:r>
          </w:p>
        </w:tc>
        <w:tc>
          <w:tcPr>
            <w:tcW w:w="5085" w:type="dxa"/>
            <w:noWrap/>
            <w:vAlign w:val="center"/>
          </w:tcPr>
          <w:p w14:paraId="54765BC8">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为本招标项目的业主单位</w:t>
            </w:r>
          </w:p>
        </w:tc>
      </w:tr>
      <w:tr w14:paraId="6AFA9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rPr>
        <w:tc>
          <w:tcPr>
            <w:tcW w:w="684" w:type="dxa"/>
            <w:noWrap/>
            <w:vAlign w:val="center"/>
          </w:tcPr>
          <w:p w14:paraId="27B72FFD">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3</w:t>
            </w:r>
          </w:p>
        </w:tc>
        <w:tc>
          <w:tcPr>
            <w:tcW w:w="3390" w:type="dxa"/>
            <w:noWrap/>
            <w:vAlign w:val="center"/>
          </w:tcPr>
          <w:p w14:paraId="358A57DD">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eastAsia="zh-CN"/>
              </w:rPr>
              <w:t>亿诚建设项目管理有限公司</w:t>
            </w:r>
          </w:p>
        </w:tc>
        <w:tc>
          <w:tcPr>
            <w:tcW w:w="5085" w:type="dxa"/>
            <w:noWrap/>
            <w:vAlign w:val="center"/>
          </w:tcPr>
          <w:p w14:paraId="6C62B0C4">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为本招标项目的招标代理机构</w:t>
            </w:r>
          </w:p>
        </w:tc>
      </w:tr>
      <w:tr w14:paraId="663B2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684" w:type="dxa"/>
            <w:noWrap/>
            <w:vAlign w:val="center"/>
          </w:tcPr>
          <w:p w14:paraId="113F3997">
            <w:pPr>
              <w:wordWrap w:val="0"/>
              <w:adjustRightInd w:val="0"/>
              <w:snapToGrid w:val="0"/>
              <w:spacing w:line="360" w:lineRule="auto"/>
              <w:jc w:val="center"/>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lang w:val="en-US" w:eastAsia="zh-CN"/>
              </w:rPr>
              <w:t>4</w:t>
            </w:r>
          </w:p>
        </w:tc>
        <w:tc>
          <w:tcPr>
            <w:tcW w:w="3390" w:type="dxa"/>
            <w:noWrap/>
            <w:vAlign w:val="center"/>
          </w:tcPr>
          <w:p w14:paraId="00FCE16B">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lang w:val="en-US" w:eastAsia="zh-CN"/>
              </w:rPr>
              <w:t>中誉设计有限公司</w:t>
            </w:r>
          </w:p>
        </w:tc>
        <w:tc>
          <w:tcPr>
            <w:tcW w:w="5085" w:type="dxa"/>
            <w:noWrap/>
            <w:vAlign w:val="center"/>
          </w:tcPr>
          <w:p w14:paraId="06354E86">
            <w:pPr>
              <w:wordWrap w:val="0"/>
              <w:adjustRightInd w:val="0"/>
              <w:snapToGrid w:val="0"/>
              <w:spacing w:line="360" w:lineRule="auto"/>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为本招标项目的</w:t>
            </w:r>
            <w:r>
              <w:rPr>
                <w:rFonts w:hint="eastAsia" w:hAnsi="宋体" w:eastAsia="宋体" w:cs="宋体"/>
                <w:color w:val="auto"/>
                <w:sz w:val="21"/>
                <w:szCs w:val="21"/>
                <w:highlight w:val="none"/>
                <w:lang w:val="en-US" w:eastAsia="zh-CN"/>
              </w:rPr>
              <w:t>可研</w:t>
            </w:r>
            <w:r>
              <w:rPr>
                <w:rFonts w:hint="eastAsia" w:asciiTheme="minorEastAsia" w:hAnsiTheme="minorEastAsia" w:eastAsiaTheme="minorEastAsia" w:cstheme="minorEastAsia"/>
                <w:color w:val="auto"/>
                <w:sz w:val="21"/>
                <w:szCs w:val="21"/>
                <w:highlight w:val="none"/>
              </w:rPr>
              <w:t>编制单位</w:t>
            </w:r>
          </w:p>
        </w:tc>
      </w:tr>
    </w:tbl>
    <w:p w14:paraId="1B6C7A96">
      <w:pPr>
        <w:wordWrap w:val="0"/>
        <w:adjustRightInd w:val="0"/>
        <w:snapToGrid w:val="0"/>
        <w:spacing w:line="360" w:lineRule="auto"/>
        <w:ind w:firstLine="482" w:firstLineChars="200"/>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snapToGrid w:val="0"/>
          <w:color w:val="auto"/>
          <w:kern w:val="0"/>
          <w:szCs w:val="24"/>
          <w:highlight w:val="none"/>
        </w:rPr>
        <w:t>4.5</w:t>
      </w:r>
      <w:r>
        <w:rPr>
          <w:rFonts w:hint="eastAsia" w:asciiTheme="minorEastAsia" w:hAnsiTheme="minorEastAsia" w:eastAsiaTheme="minorEastAsia" w:cstheme="minorEastAsia"/>
          <w:snapToGrid w:val="0"/>
          <w:color w:val="auto"/>
          <w:kern w:val="0"/>
          <w:szCs w:val="24"/>
          <w:highlight w:val="none"/>
        </w:rPr>
        <w:t>省外企业（包括组成联合体的所有成员单位）须按照《广东省住房和城乡建设厅关于取消省外建筑企业和人员进粤信息备案有关工作的通知》（粤建市﹝2015﹞52号）规定在“进粤企业和人员诚信信息登记平台”录入相关信息并通过数据规范检查。</w:t>
      </w:r>
    </w:p>
    <w:p w14:paraId="6386D240">
      <w:pPr>
        <w:pStyle w:val="29"/>
        <w:keepNext/>
        <w:keepLines/>
        <w:ind w:firstLine="482" w:firstLineChars="200"/>
        <w:jc w:val="both"/>
        <w:rPr>
          <w:rFonts w:hint="eastAsia" w:asciiTheme="minorEastAsia" w:hAnsiTheme="minorEastAsia" w:eastAsiaTheme="minorEastAsia" w:cstheme="minorEastAsia"/>
          <w:b/>
          <w:color w:val="auto"/>
          <w:kern w:val="2"/>
          <w:highlight w:val="none"/>
        </w:rPr>
      </w:pPr>
      <w:bookmarkStart w:id="60" w:name="_Toc18979"/>
      <w:bookmarkStart w:id="61" w:name="_Toc2707"/>
      <w:bookmarkStart w:id="62" w:name="_Toc17645"/>
      <w:bookmarkStart w:id="63" w:name="_Toc3588"/>
      <w:bookmarkStart w:id="64" w:name="_Toc3094"/>
      <w:bookmarkStart w:id="65" w:name="_Toc19499"/>
      <w:bookmarkStart w:id="66" w:name="_Toc24391"/>
      <w:bookmarkStart w:id="67" w:name="_Toc20378"/>
      <w:bookmarkStart w:id="68" w:name="_Toc8294"/>
      <w:r>
        <w:rPr>
          <w:rFonts w:hint="eastAsia" w:asciiTheme="minorEastAsia" w:hAnsiTheme="minorEastAsia" w:eastAsiaTheme="minorEastAsia" w:cstheme="minorEastAsia"/>
          <w:b/>
          <w:color w:val="auto"/>
          <w:kern w:val="2"/>
          <w:highlight w:val="none"/>
        </w:rPr>
        <w:t>5 、工程招标内容及要求</w:t>
      </w:r>
      <w:bookmarkEnd w:id="60"/>
      <w:bookmarkEnd w:id="61"/>
      <w:bookmarkEnd w:id="62"/>
      <w:bookmarkEnd w:id="63"/>
      <w:bookmarkEnd w:id="64"/>
      <w:bookmarkEnd w:id="65"/>
      <w:bookmarkEnd w:id="66"/>
      <w:bookmarkEnd w:id="67"/>
      <w:bookmarkEnd w:id="68"/>
    </w:p>
    <w:p w14:paraId="3B6C53A4">
      <w:pPr>
        <w:pStyle w:val="36"/>
        <w:widowControl/>
        <w:spacing w:line="360" w:lineRule="auto"/>
        <w:ind w:firstLine="480" w:firstLineChars="200"/>
        <w:jc w:val="left"/>
        <w:rPr>
          <w:rFonts w:hint="eastAsia" w:asciiTheme="minorEastAsia" w:hAnsiTheme="minorEastAsia" w:eastAsiaTheme="minorEastAsia" w:cstheme="minorEastAsia"/>
          <w:color w:val="FF0000"/>
          <w:sz w:val="24"/>
          <w:szCs w:val="21"/>
          <w:highlight w:val="none"/>
        </w:rPr>
      </w:pPr>
      <w:r>
        <w:rPr>
          <w:rFonts w:hint="eastAsia" w:asciiTheme="minorEastAsia" w:hAnsiTheme="minorEastAsia" w:eastAsiaTheme="minorEastAsia" w:cstheme="minorEastAsia"/>
          <w:color w:val="auto"/>
          <w:sz w:val="24"/>
          <w:szCs w:val="21"/>
          <w:highlight w:val="none"/>
        </w:rPr>
        <w:t>设计阶段包括所有相关报建、报批、施工设计文件、施工图设计、施工图预算（不单独计收预算编制费用）及施工配合、后续设计服务工作等；</w:t>
      </w:r>
    </w:p>
    <w:p w14:paraId="393A7923">
      <w:pPr>
        <w:pStyle w:val="36"/>
        <w:widowControl/>
        <w:spacing w:line="360" w:lineRule="auto"/>
        <w:ind w:firstLine="480" w:firstLineChars="200"/>
        <w:jc w:val="left"/>
        <w:rPr>
          <w:rFonts w:hint="eastAsia" w:asciiTheme="minorEastAsia" w:hAnsiTheme="minorEastAsia" w:eastAsiaTheme="minorEastAsia" w:cstheme="minorEastAsia"/>
          <w:b/>
          <w:bCs/>
          <w:snapToGrid w:val="0"/>
          <w:color w:val="auto"/>
          <w:kern w:val="0"/>
          <w:highlight w:val="none"/>
        </w:rPr>
      </w:pPr>
      <w:r>
        <w:rPr>
          <w:rFonts w:hint="eastAsia" w:asciiTheme="minorEastAsia" w:hAnsiTheme="minorEastAsia" w:eastAsiaTheme="minorEastAsia" w:cstheme="minorEastAsia"/>
          <w:color w:val="auto"/>
          <w:sz w:val="24"/>
          <w:szCs w:val="21"/>
          <w:highlight w:val="none"/>
        </w:rPr>
        <w:t>施工包括施工图设计文件及工程量清单范围内的所有工程及配套设施等的施工及配合阶段验收、档案整理、保修期维护等总承包范围工作。</w:t>
      </w:r>
    </w:p>
    <w:p w14:paraId="740FB0CA">
      <w:pPr>
        <w:adjustRightInd w:val="0"/>
        <w:snapToGrid w:val="0"/>
        <w:spacing w:line="360" w:lineRule="auto"/>
        <w:ind w:firstLine="482" w:firstLineChars="2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5.1本次设计工程的内容及要求：</w:t>
      </w:r>
    </w:p>
    <w:p w14:paraId="1B1FBB60">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5.5.1</w:t>
      </w:r>
      <w:r>
        <w:rPr>
          <w:rFonts w:hint="eastAsia" w:asciiTheme="minorEastAsia" w:hAnsiTheme="minorEastAsia" w:eastAsiaTheme="minorEastAsia" w:cstheme="minorEastAsia"/>
          <w:snapToGrid w:val="0"/>
          <w:color w:val="auto"/>
          <w:kern w:val="0"/>
          <w:szCs w:val="24"/>
          <w:highlight w:val="none"/>
        </w:rPr>
        <w:t>本次设计工程的内容及要求：</w:t>
      </w:r>
    </w:p>
    <w:p w14:paraId="54FB29B3">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5.1.1.1</w:t>
      </w:r>
      <w:r>
        <w:rPr>
          <w:rFonts w:hint="eastAsia" w:asciiTheme="minorEastAsia" w:hAnsiTheme="minorEastAsia" w:eastAsiaTheme="minorEastAsia" w:cstheme="minorEastAsia"/>
          <w:color w:val="auto"/>
          <w:sz w:val="24"/>
          <w:szCs w:val="21"/>
          <w:highlight w:val="none"/>
        </w:rPr>
        <w:t>本项目设计包括工程所有专业及其配套设施工程和其他工程等所有招标范围工程项目报建、报批、施工设计文件</w:t>
      </w:r>
      <w:r>
        <w:rPr>
          <w:rFonts w:hint="eastAsia" w:asciiTheme="minorEastAsia" w:hAnsiTheme="minorEastAsia" w:eastAsiaTheme="minorEastAsia" w:cstheme="minorEastAsia"/>
          <w:color w:val="auto"/>
          <w:sz w:val="24"/>
          <w:szCs w:val="21"/>
          <w:highlight w:val="none"/>
          <w:lang w:eastAsia="zh-CN"/>
        </w:rPr>
        <w:t>。包括：初步设计及概算、施工图设计、施工图审查、验收过程中的设计指导及配合阶段验收等（具体详见本项目可行性研究报告）。</w:t>
      </w:r>
    </w:p>
    <w:p w14:paraId="55668145">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5.1.1.2</w:t>
      </w:r>
      <w:r>
        <w:rPr>
          <w:rFonts w:hint="eastAsia" w:asciiTheme="minorEastAsia" w:hAnsiTheme="minorEastAsia" w:eastAsiaTheme="minorEastAsia" w:cstheme="minorEastAsia"/>
          <w:color w:val="auto"/>
          <w:sz w:val="24"/>
          <w:szCs w:val="21"/>
          <w:highlight w:val="none"/>
        </w:rPr>
        <w:t>本工程各个阶段的设计成果必须经招标人及有关审批部门同意后方可进行下一工序的设计工作，若招标人或有关审批部门在审批过程中提出的设计修改或变更，中标人必须无条件进行修改或变更，招标人不再支付由此而增加的设计费用。本工程施工图设计必须先经招标人确认才能送审，并经招标人委托的有资质的审图机构审查合格。若招标人或审图机构在审查过程中提出的设计修改或变更，中标人必须无条件进行修改或优化设计，招标人不再支付由此而增加的设计费用。</w:t>
      </w:r>
    </w:p>
    <w:p w14:paraId="76879AB3">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5.1.1.3</w:t>
      </w:r>
      <w:r>
        <w:rPr>
          <w:rFonts w:hint="eastAsia" w:asciiTheme="minorEastAsia" w:hAnsiTheme="minorEastAsia" w:eastAsiaTheme="minorEastAsia" w:cstheme="minorEastAsia"/>
          <w:color w:val="auto"/>
          <w:sz w:val="24"/>
          <w:szCs w:val="21"/>
          <w:highlight w:val="none"/>
        </w:rPr>
        <w:t>本工程设计要求的质量标准：符合现行的国家及地方的有关设计规范等，且必须通过有关部门的审查及经有资质的审图机构审查合格。</w:t>
      </w:r>
    </w:p>
    <w:p w14:paraId="515F87C8">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5.2</w:t>
      </w:r>
      <w:r>
        <w:rPr>
          <w:rFonts w:hint="eastAsia" w:asciiTheme="minorEastAsia" w:hAnsiTheme="minorEastAsia" w:eastAsiaTheme="minorEastAsia" w:cstheme="minorEastAsia"/>
          <w:color w:val="auto"/>
          <w:sz w:val="24"/>
          <w:szCs w:val="21"/>
          <w:highlight w:val="none"/>
        </w:rPr>
        <w:t>设计承包内容：中标人按合同约定、招标文件内容要求、法律法规及国家强制性标准要求提供完整的设计文件及建设期间的服务等内容。</w:t>
      </w:r>
    </w:p>
    <w:p w14:paraId="53B8EAD8">
      <w:pPr>
        <w:pStyle w:val="36"/>
        <w:widowControl/>
        <w:spacing w:line="360" w:lineRule="auto"/>
        <w:ind w:firstLine="480"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color w:val="auto"/>
          <w:sz w:val="24"/>
          <w:szCs w:val="21"/>
          <w:highlight w:val="none"/>
        </w:rPr>
        <w:t>施工图设计文件（含施工图预算）12套、施工图预算（含工程量清单）5套。提供的所有资料均含电子版（含CAD及PDF文件格式）。</w:t>
      </w:r>
    </w:p>
    <w:p w14:paraId="23BB505C">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5.3</w:t>
      </w:r>
      <w:r>
        <w:rPr>
          <w:rFonts w:hint="eastAsia" w:asciiTheme="minorEastAsia" w:hAnsiTheme="minorEastAsia" w:eastAsiaTheme="minorEastAsia" w:cstheme="minorEastAsia"/>
          <w:color w:val="auto"/>
          <w:sz w:val="24"/>
          <w:szCs w:val="21"/>
          <w:highlight w:val="none"/>
        </w:rPr>
        <w:t xml:space="preserve"> 施工期间若遇到工程变更、突发事件或不可预见的事件等情况，中标人接到建设单位或监理单位通知后应当立即到达施工现场，研究并及时处理问题。</w:t>
      </w:r>
    </w:p>
    <w:p w14:paraId="4A7C7F77">
      <w:pPr>
        <w:pStyle w:val="36"/>
        <w:widowControl/>
        <w:spacing w:line="360" w:lineRule="auto"/>
        <w:ind w:firstLine="482" w:firstLineChars="200"/>
        <w:jc w:val="left"/>
        <w:rPr>
          <w:rFonts w:hint="eastAsia" w:asciiTheme="minorEastAsia" w:hAnsiTheme="minorEastAsia" w:eastAsiaTheme="minorEastAsia" w:cstheme="minorEastAsia"/>
          <w:b/>
          <w:bCs/>
          <w:color w:val="auto"/>
          <w:sz w:val="24"/>
          <w:szCs w:val="21"/>
          <w:highlight w:val="none"/>
        </w:rPr>
      </w:pPr>
      <w:r>
        <w:rPr>
          <w:rFonts w:hint="eastAsia" w:asciiTheme="minorEastAsia" w:hAnsiTheme="minorEastAsia" w:eastAsiaTheme="minorEastAsia" w:cstheme="minorEastAsia"/>
          <w:b/>
          <w:bCs/>
          <w:color w:val="auto"/>
          <w:sz w:val="24"/>
          <w:szCs w:val="21"/>
          <w:highlight w:val="none"/>
        </w:rPr>
        <w:t>5.5关于设计深度的要求</w:t>
      </w:r>
    </w:p>
    <w:p w14:paraId="76D49BE9">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5.5.1</w:t>
      </w:r>
      <w:r>
        <w:rPr>
          <w:rFonts w:hint="eastAsia" w:asciiTheme="minorEastAsia" w:hAnsiTheme="minorEastAsia" w:eastAsiaTheme="minorEastAsia" w:cstheme="minorEastAsia"/>
          <w:color w:val="auto"/>
          <w:sz w:val="24"/>
          <w:szCs w:val="21"/>
          <w:highlight w:val="none"/>
        </w:rPr>
        <w:t>按现行的设计文件深度规定等有关技术标准、设计规范（标准）要求。</w:t>
      </w:r>
    </w:p>
    <w:p w14:paraId="61BE3A1C">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5.5.2</w:t>
      </w:r>
      <w:r>
        <w:rPr>
          <w:rFonts w:hint="eastAsia" w:asciiTheme="minorEastAsia" w:hAnsiTheme="minorEastAsia" w:eastAsiaTheme="minorEastAsia" w:cstheme="minorEastAsia"/>
          <w:color w:val="auto"/>
          <w:sz w:val="24"/>
          <w:szCs w:val="21"/>
          <w:highlight w:val="none"/>
        </w:rPr>
        <w:t>各专业设计应同步进行，中标人应指定总体中标人统筹布局，做好各项设施的协调和衔接、位置预留，不得留待施工中临时变更。</w:t>
      </w:r>
    </w:p>
    <w:p w14:paraId="1C154028">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5.5.3</w:t>
      </w:r>
      <w:r>
        <w:rPr>
          <w:rFonts w:hint="eastAsia" w:asciiTheme="minorEastAsia" w:hAnsiTheme="minorEastAsia" w:eastAsiaTheme="minorEastAsia" w:cstheme="minorEastAsia"/>
          <w:color w:val="auto"/>
          <w:sz w:val="24"/>
          <w:szCs w:val="21"/>
          <w:highlight w:val="none"/>
        </w:rPr>
        <w:t>对技术复杂或造价、规模较大的主要分项工程应作方案比较。</w:t>
      </w:r>
    </w:p>
    <w:p w14:paraId="3FBBC02F">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5.5.4</w:t>
      </w:r>
      <w:r>
        <w:rPr>
          <w:rFonts w:hint="eastAsia" w:asciiTheme="minorEastAsia" w:hAnsiTheme="minorEastAsia" w:eastAsiaTheme="minorEastAsia" w:cstheme="minorEastAsia"/>
          <w:color w:val="auto"/>
          <w:sz w:val="24"/>
          <w:szCs w:val="21"/>
          <w:highlight w:val="none"/>
        </w:rPr>
        <w:t>施工图设计文件的深度，应当满足设备材料采购，非标准设备制作和施工的需要，并注明建设工程合理使用年限。</w:t>
      </w:r>
    </w:p>
    <w:p w14:paraId="6D1CBE3C">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5.5.5</w:t>
      </w:r>
      <w:r>
        <w:rPr>
          <w:rFonts w:hint="eastAsia" w:asciiTheme="minorEastAsia" w:hAnsiTheme="minorEastAsia" w:eastAsiaTheme="minorEastAsia" w:cstheme="minorEastAsia"/>
          <w:color w:val="auto"/>
          <w:sz w:val="24"/>
          <w:szCs w:val="21"/>
          <w:highlight w:val="none"/>
        </w:rPr>
        <w:t>相关的配套外部接口方案均需取得政府主管部门或规划部门认可。</w:t>
      </w:r>
    </w:p>
    <w:p w14:paraId="17D8383C">
      <w:pPr>
        <w:pStyle w:val="36"/>
        <w:widowControl/>
        <w:spacing w:line="360" w:lineRule="auto"/>
        <w:ind w:firstLine="482" w:firstLineChars="200"/>
        <w:jc w:val="left"/>
        <w:rPr>
          <w:rFonts w:hint="eastAsia" w:asciiTheme="minorEastAsia" w:hAnsiTheme="minorEastAsia" w:eastAsiaTheme="minorEastAsia" w:cstheme="minorEastAsia"/>
          <w:color w:val="auto"/>
          <w:sz w:val="24"/>
          <w:szCs w:val="21"/>
          <w:highlight w:val="none"/>
        </w:rPr>
      </w:pPr>
      <w:r>
        <w:rPr>
          <w:rFonts w:hint="eastAsia" w:asciiTheme="minorEastAsia" w:hAnsiTheme="minorEastAsia" w:eastAsiaTheme="minorEastAsia" w:cstheme="minorEastAsia"/>
          <w:b/>
          <w:bCs/>
          <w:color w:val="auto"/>
          <w:sz w:val="24"/>
          <w:szCs w:val="21"/>
          <w:highlight w:val="none"/>
        </w:rPr>
        <w:t>5.5.6</w:t>
      </w:r>
      <w:r>
        <w:rPr>
          <w:rFonts w:hint="eastAsia" w:asciiTheme="minorEastAsia" w:hAnsiTheme="minorEastAsia" w:eastAsiaTheme="minorEastAsia" w:cstheme="minorEastAsia"/>
          <w:color w:val="auto"/>
          <w:sz w:val="24"/>
          <w:szCs w:val="21"/>
          <w:highlight w:val="none"/>
        </w:rPr>
        <w:t>施工图设计文件应考虑交通维护、临时施工便道、危大工程、对周边建筑物的影响等因素，并提供相应的设计方案及计算书（可另册装订），以指导现场施工及过程评审。</w:t>
      </w:r>
    </w:p>
    <w:p w14:paraId="421ED4A9">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5.6</w:t>
      </w:r>
      <w:r>
        <w:rPr>
          <w:rFonts w:hint="eastAsia" w:asciiTheme="minorEastAsia" w:hAnsiTheme="minorEastAsia" w:eastAsiaTheme="minorEastAsia" w:cstheme="minorEastAsia"/>
          <w:b/>
          <w:bCs/>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rPr>
        <w:t>设计后期配合施工工作</w:t>
      </w:r>
    </w:p>
    <w:p w14:paraId="2E44FAAC">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5.6.1</w:t>
      </w:r>
      <w:r>
        <w:rPr>
          <w:rFonts w:hint="eastAsia" w:asciiTheme="minorEastAsia" w:hAnsiTheme="minorEastAsia" w:eastAsiaTheme="minorEastAsia" w:cstheme="minorEastAsia"/>
          <w:b/>
          <w:bCs/>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rPr>
        <w:t>施工图设计完成并经有关单位审查后，才能进入施工阶段，设计单位必须按投标文件的承诺至少派1名参与并熟悉本项目设计、有现场处理经验的设计代表驻现场以配合，建设管理单位不另外支付配合施工费用。</w:t>
      </w:r>
    </w:p>
    <w:p w14:paraId="6700292C">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w:t>
      </w:r>
      <w:r>
        <w:rPr>
          <w:rFonts w:hint="eastAsia" w:asciiTheme="minorEastAsia" w:hAnsiTheme="minorEastAsia" w:eastAsiaTheme="minorEastAsia" w:cstheme="minorEastAsia"/>
          <w:snapToGrid w:val="0"/>
          <w:color w:val="auto"/>
          <w:kern w:val="0"/>
          <w:szCs w:val="24"/>
          <w:highlight w:val="none"/>
        </w:rPr>
        <w:t>限额设计要求：</w:t>
      </w:r>
    </w:p>
    <w:p w14:paraId="413FA32F">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5.7.1</w:t>
      </w:r>
      <w:r>
        <w:rPr>
          <w:rFonts w:hint="eastAsia" w:asciiTheme="minorEastAsia" w:hAnsiTheme="minorEastAsia" w:eastAsiaTheme="minorEastAsia" w:cstheme="minorEastAsia"/>
          <w:snapToGrid w:val="0"/>
          <w:color w:val="auto"/>
          <w:kern w:val="0"/>
          <w:szCs w:val="24"/>
          <w:highlight w:val="none"/>
        </w:rPr>
        <w:t>施工图预算中的建安工程费预算价不得超过经发改部门审定的概算建安工程费</w:t>
      </w:r>
      <w:r>
        <w:rPr>
          <w:rFonts w:hint="eastAsia" w:asciiTheme="minorEastAsia" w:hAnsiTheme="minorEastAsia" w:eastAsiaTheme="minorEastAsia" w:cstheme="minorEastAsia"/>
          <w:color w:val="auto"/>
          <w:szCs w:val="24"/>
          <w:highlight w:val="none"/>
        </w:rPr>
        <w:t>且不得超过建安工程费的中标价</w:t>
      </w:r>
      <w:r>
        <w:rPr>
          <w:rFonts w:hint="eastAsia" w:asciiTheme="minorEastAsia" w:hAnsiTheme="minorEastAsia" w:eastAsiaTheme="minorEastAsia" w:cstheme="minorEastAsia"/>
          <w:snapToGrid w:val="0"/>
          <w:color w:val="auto"/>
          <w:kern w:val="0"/>
          <w:szCs w:val="24"/>
          <w:highlight w:val="none"/>
        </w:rPr>
        <w:t>。</w:t>
      </w:r>
    </w:p>
    <w:p w14:paraId="32E812E5">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5.7.2</w:t>
      </w:r>
      <w:r>
        <w:rPr>
          <w:rFonts w:hint="eastAsia" w:asciiTheme="minorEastAsia" w:hAnsiTheme="minorEastAsia" w:eastAsiaTheme="minorEastAsia" w:cstheme="minorEastAsia"/>
          <w:snapToGrid w:val="0"/>
          <w:color w:val="auto"/>
          <w:kern w:val="0"/>
          <w:szCs w:val="24"/>
          <w:highlight w:val="none"/>
        </w:rPr>
        <w:t>中标人在提交设计施工图时必须同时提交施工图预算。施工图预算作为中标人自我核算是否符合限额设计要求的依据。若造价咨询单位按施工图编制或审核的建安工程费高于5.7.1条规定时，中标人必须无条件对施工图进行修改，直至满足限额设计要求，</w:t>
      </w:r>
      <w:r>
        <w:rPr>
          <w:rFonts w:hint="eastAsia" w:asciiTheme="minorEastAsia" w:hAnsiTheme="minorEastAsia" w:eastAsiaTheme="minorEastAsia" w:cstheme="minorEastAsia"/>
          <w:color w:val="auto"/>
          <w:szCs w:val="24"/>
          <w:highlight w:val="none"/>
        </w:rPr>
        <w:t>不另行增加设计费</w:t>
      </w:r>
      <w:r>
        <w:rPr>
          <w:rFonts w:hint="eastAsia" w:asciiTheme="minorEastAsia" w:hAnsiTheme="minorEastAsia" w:eastAsiaTheme="minorEastAsia" w:cstheme="minorEastAsia"/>
          <w:snapToGrid w:val="0"/>
          <w:color w:val="auto"/>
          <w:kern w:val="0"/>
          <w:szCs w:val="24"/>
          <w:highlight w:val="none"/>
        </w:rPr>
        <w:t>。由此造成造价咨询单位重复编制或审核施工图预算的费用由中标人承担，结算时在设计费中扣除。</w:t>
      </w:r>
    </w:p>
    <w:p w14:paraId="2644B3F2">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5.7.3</w:t>
      </w:r>
      <w:r>
        <w:rPr>
          <w:rFonts w:hint="eastAsia" w:asciiTheme="minorEastAsia" w:hAnsiTheme="minorEastAsia" w:eastAsiaTheme="minorEastAsia" w:cstheme="minorEastAsia"/>
          <w:snapToGrid w:val="0"/>
          <w:color w:val="auto"/>
          <w:kern w:val="0"/>
          <w:szCs w:val="24"/>
          <w:highlight w:val="none"/>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w:t>
      </w:r>
    </w:p>
    <w:p w14:paraId="52B17188">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5.8</w:t>
      </w:r>
      <w:r>
        <w:rPr>
          <w:rFonts w:hint="eastAsia" w:asciiTheme="minorEastAsia" w:hAnsiTheme="minorEastAsia" w:eastAsiaTheme="minorEastAsia" w:cstheme="minorEastAsia"/>
          <w:snapToGrid w:val="0"/>
          <w:color w:val="auto"/>
          <w:kern w:val="0"/>
          <w:szCs w:val="24"/>
          <w:highlight w:val="none"/>
        </w:rPr>
        <w:t>设计时需要考虑与周边环境相结合。</w:t>
      </w:r>
    </w:p>
    <w:p w14:paraId="157FF137">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5.9</w:t>
      </w:r>
      <w:r>
        <w:rPr>
          <w:rFonts w:hint="eastAsia" w:asciiTheme="minorEastAsia" w:hAnsiTheme="minorEastAsia" w:eastAsiaTheme="minorEastAsia" w:cstheme="minorEastAsia"/>
          <w:snapToGrid w:val="0"/>
          <w:color w:val="auto"/>
          <w:kern w:val="0"/>
          <w:szCs w:val="24"/>
          <w:highlight w:val="none"/>
        </w:rPr>
        <w:t>凡参加本次招标的投标人被视为已充分认识和理解了任何与本工程有关的影响事项和困难等情况。</w:t>
      </w:r>
    </w:p>
    <w:p w14:paraId="4A602EBE">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5.10</w:t>
      </w:r>
      <w:r>
        <w:rPr>
          <w:rFonts w:hint="eastAsia" w:asciiTheme="minorEastAsia" w:hAnsiTheme="minorEastAsia" w:eastAsiaTheme="minorEastAsia" w:cstheme="minorEastAsia"/>
          <w:snapToGrid w:val="0"/>
          <w:color w:val="auto"/>
          <w:kern w:val="0"/>
          <w:szCs w:val="24"/>
          <w:highlight w:val="none"/>
        </w:rPr>
        <w:t>工程技术要求：本工程须严格以国家和广东省的有关施工技术规范及现行标准为依据</w:t>
      </w:r>
      <w:bookmarkStart w:id="69" w:name="_Hlt74496021"/>
      <w:bookmarkEnd w:id="69"/>
      <w:r>
        <w:rPr>
          <w:rFonts w:hint="eastAsia" w:asciiTheme="minorEastAsia" w:hAnsiTheme="minorEastAsia" w:eastAsiaTheme="minorEastAsia" w:cstheme="minorEastAsia"/>
          <w:snapToGrid w:val="0"/>
          <w:color w:val="auto"/>
          <w:kern w:val="0"/>
          <w:szCs w:val="24"/>
          <w:highlight w:val="none"/>
        </w:rPr>
        <w:t>，工程必须达到合格标准，如工程未达到合格标准，中标人则按合同价款的1%向招标人缴纳质量违约金，返修费用由中标人承担，同时，招标人有权就因此造成的损失向中标人索赔。招标人有权提请建设行政主管部门对其作不良行为记录，有权给予中标人履约评价为不合格，同时招标人有权拒绝中标人3年内参加招标人其它工程的投标。</w:t>
      </w:r>
    </w:p>
    <w:p w14:paraId="2768B4CB">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5.11</w:t>
      </w:r>
      <w:r>
        <w:rPr>
          <w:rFonts w:hint="eastAsia" w:asciiTheme="minorEastAsia" w:hAnsiTheme="minorEastAsia" w:eastAsiaTheme="minorEastAsia" w:cstheme="minorEastAsia"/>
          <w:snapToGrid w:val="0"/>
          <w:color w:val="auto"/>
          <w:kern w:val="0"/>
          <w:szCs w:val="24"/>
          <w:highlight w:val="none"/>
        </w:rPr>
        <w:t xml:space="preserve"> 中标人在施工中如果工程质量不符合设计要求和有关规定，招标人或监理单位要求停工和返工的必须立即执行，并由中标人承担由此产生的各种费用，工期不予顺延。</w:t>
      </w:r>
    </w:p>
    <w:p w14:paraId="37F127EE">
      <w:pPr>
        <w:adjustRightInd w:val="0"/>
        <w:snapToGrid w:val="0"/>
        <w:spacing w:line="360" w:lineRule="auto"/>
        <w:ind w:firstLine="482"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 xml:space="preserve">5.12 </w:t>
      </w:r>
      <w:r>
        <w:rPr>
          <w:rFonts w:hint="eastAsia" w:asciiTheme="minorEastAsia" w:hAnsiTheme="minorEastAsia" w:eastAsiaTheme="minorEastAsia" w:cstheme="minorEastAsia"/>
          <w:snapToGrid w:val="0"/>
          <w:color w:val="auto"/>
          <w:kern w:val="0"/>
          <w:szCs w:val="24"/>
          <w:highlight w:val="none"/>
        </w:rPr>
        <w:t>保修期限按中华人民共和国国务院令第279号文《建设工程质量管理条例》规定执行，在保修期内因施工质量问题而造成返修，一切费用由中标人负责。中标人在向招标人提交竣工验收报告时，应当向招标人出具质量保修书。质量保修书中应当明确建设工程的保修范围、保修期限和保修责任等。</w:t>
      </w:r>
    </w:p>
    <w:p w14:paraId="32FE58AE">
      <w:pPr>
        <w:adjustRightInd w:val="0"/>
        <w:snapToGrid w:val="0"/>
        <w:spacing w:line="360" w:lineRule="auto"/>
        <w:ind w:firstLine="482"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snapToGrid w:val="0"/>
          <w:color w:val="auto"/>
          <w:kern w:val="0"/>
          <w:szCs w:val="24"/>
          <w:highlight w:val="none"/>
        </w:rPr>
        <w:t xml:space="preserve">5.13 </w:t>
      </w:r>
      <w:r>
        <w:rPr>
          <w:rFonts w:hint="eastAsia" w:asciiTheme="minorEastAsia" w:hAnsiTheme="minorEastAsia" w:eastAsiaTheme="minorEastAsia" w:cstheme="minorEastAsia"/>
          <w:snapToGrid w:val="0"/>
          <w:color w:val="auto"/>
          <w:kern w:val="0"/>
          <w:szCs w:val="24"/>
          <w:highlight w:val="none"/>
        </w:rPr>
        <w:t>工程使用的主要材料质量要求：不低于国家规范及强制标准所列的要求。主要材料必须先提供样板或相关资料给招标人、业主同意确定其规格、型号、颜色、等级等，</w:t>
      </w:r>
      <w:r>
        <w:rPr>
          <w:rFonts w:hint="eastAsia" w:asciiTheme="minorEastAsia" w:hAnsiTheme="minorEastAsia" w:eastAsiaTheme="minorEastAsia" w:cstheme="minorEastAsia"/>
          <w:snapToGrid w:val="0"/>
          <w:color w:val="auto"/>
          <w:kern w:val="0"/>
          <w:szCs w:val="24"/>
          <w:highlight w:val="none"/>
          <w:lang w:val="zh-CN"/>
        </w:rPr>
        <w:t>并经检测部门检测合格</w:t>
      </w:r>
      <w:r>
        <w:rPr>
          <w:rFonts w:hint="eastAsia" w:asciiTheme="minorEastAsia" w:hAnsiTheme="minorEastAsia" w:eastAsiaTheme="minorEastAsia" w:cstheme="minorEastAsia"/>
          <w:snapToGrid w:val="0"/>
          <w:color w:val="auto"/>
          <w:kern w:val="0"/>
          <w:szCs w:val="24"/>
          <w:highlight w:val="none"/>
        </w:rPr>
        <w:t>方可使用，所有材料必须使用合格产品。</w:t>
      </w:r>
      <w:bookmarkStart w:id="70" w:name="_Hlt69699204"/>
      <w:bookmarkEnd w:id="70"/>
      <w:bookmarkStart w:id="71" w:name="_Hlt111690342"/>
      <w:bookmarkEnd w:id="71"/>
      <w:bookmarkStart w:id="72" w:name="_Hlt69356505"/>
      <w:bookmarkEnd w:id="72"/>
      <w:bookmarkStart w:id="73" w:name="_Hlt121563076"/>
      <w:bookmarkEnd w:id="73"/>
      <w:bookmarkStart w:id="74" w:name="_Hlt74496537"/>
      <w:bookmarkEnd w:id="74"/>
      <w:bookmarkStart w:id="75" w:name="_Hlt88974078"/>
      <w:bookmarkEnd w:id="75"/>
      <w:bookmarkStart w:id="76" w:name="_Hlt74493474"/>
      <w:bookmarkEnd w:id="76"/>
      <w:bookmarkStart w:id="77" w:name="_Hlt120502666"/>
      <w:bookmarkEnd w:id="77"/>
    </w:p>
    <w:p w14:paraId="1347D34F">
      <w:pPr>
        <w:pStyle w:val="29"/>
        <w:keepNext/>
        <w:keepLines/>
        <w:ind w:firstLine="480"/>
        <w:jc w:val="both"/>
        <w:rPr>
          <w:rFonts w:hint="eastAsia" w:asciiTheme="minorEastAsia" w:hAnsiTheme="minorEastAsia" w:eastAsiaTheme="minorEastAsia" w:cstheme="minorEastAsia"/>
          <w:b/>
          <w:color w:val="auto"/>
          <w:kern w:val="2"/>
          <w:highlight w:val="none"/>
        </w:rPr>
      </w:pPr>
      <w:bookmarkStart w:id="78" w:name="_Toc16432"/>
      <w:bookmarkStart w:id="79" w:name="_Toc24793"/>
      <w:bookmarkStart w:id="80" w:name="_Toc17958"/>
      <w:bookmarkStart w:id="81" w:name="_Toc10812"/>
      <w:bookmarkStart w:id="82" w:name="_Toc3193"/>
      <w:bookmarkStart w:id="83" w:name="_Toc2562"/>
      <w:bookmarkStart w:id="84" w:name="_Toc19911"/>
      <w:bookmarkStart w:id="85" w:name="_Toc20827"/>
      <w:bookmarkStart w:id="86" w:name="_Toc12891"/>
      <w:r>
        <w:rPr>
          <w:rFonts w:hint="eastAsia" w:asciiTheme="minorEastAsia" w:hAnsiTheme="minorEastAsia" w:eastAsiaTheme="minorEastAsia" w:cstheme="minorEastAsia"/>
          <w:b/>
          <w:color w:val="auto"/>
          <w:kern w:val="2"/>
          <w:highlight w:val="none"/>
        </w:rPr>
        <w:t>6 、招标工程施工条件及现场踏勘</w:t>
      </w:r>
      <w:bookmarkEnd w:id="78"/>
      <w:bookmarkEnd w:id="79"/>
      <w:bookmarkEnd w:id="80"/>
      <w:bookmarkEnd w:id="81"/>
      <w:bookmarkEnd w:id="82"/>
      <w:bookmarkEnd w:id="83"/>
      <w:bookmarkEnd w:id="84"/>
      <w:bookmarkEnd w:id="85"/>
      <w:bookmarkEnd w:id="86"/>
    </w:p>
    <w:p w14:paraId="3769F837">
      <w:pPr>
        <w:pStyle w:val="37"/>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6.1本工程招标人仅在征地红线范围内提供场地，其他一切场地费用由中标人自行负责（含临时道路）。</w:t>
      </w:r>
    </w:p>
    <w:p w14:paraId="21C95B37">
      <w:pPr>
        <w:wordWrap w:val="0"/>
        <w:adjustRightInd w:val="0"/>
        <w:snapToGrid w:val="0"/>
        <w:spacing w:line="360" w:lineRule="auto"/>
        <w:ind w:firstLine="360" w:firstLineChars="15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color w:val="auto"/>
          <w:highlight w:val="none"/>
        </w:rPr>
        <w:t xml:space="preserve"> 6.2 </w:t>
      </w:r>
      <w:r>
        <w:rPr>
          <w:rFonts w:hint="eastAsia" w:asciiTheme="minorEastAsia" w:hAnsiTheme="minorEastAsia" w:eastAsiaTheme="minorEastAsia" w:cstheme="minorEastAsia"/>
          <w:color w:val="auto"/>
          <w:szCs w:val="24"/>
          <w:highlight w:val="none"/>
        </w:rPr>
        <w:t>施工用水：</w:t>
      </w:r>
      <w:r>
        <w:rPr>
          <w:rFonts w:hint="eastAsia" w:asciiTheme="minorEastAsia" w:hAnsiTheme="minorEastAsia" w:eastAsiaTheme="minorEastAsia" w:cstheme="minorEastAsia"/>
          <w:color w:val="auto"/>
          <w:szCs w:val="24"/>
          <w:highlight w:val="none"/>
          <w:u w:val="single"/>
        </w:rPr>
        <w:t>招标人协调，</w:t>
      </w:r>
      <w:r>
        <w:rPr>
          <w:rFonts w:hint="eastAsia" w:asciiTheme="minorEastAsia" w:hAnsiTheme="minorEastAsia" w:eastAsiaTheme="minorEastAsia" w:cstheme="minorEastAsia"/>
          <w:snapToGrid w:val="0"/>
          <w:color w:val="auto"/>
          <w:kern w:val="0"/>
          <w:szCs w:val="24"/>
          <w:highlight w:val="none"/>
          <w:u w:val="single"/>
        </w:rPr>
        <w:t>施工用水及水源由中标人自行解决，费用含在投标报价中，不另计</w:t>
      </w:r>
      <w:r>
        <w:rPr>
          <w:rFonts w:hint="eastAsia" w:asciiTheme="minorEastAsia" w:hAnsiTheme="minorEastAsia" w:eastAsiaTheme="minorEastAsia" w:cstheme="minorEastAsia"/>
          <w:color w:val="auto"/>
          <w:kern w:val="0"/>
          <w:szCs w:val="24"/>
          <w:highlight w:val="none"/>
          <w:u w:val="single"/>
        </w:rPr>
        <w:t>。</w:t>
      </w:r>
    </w:p>
    <w:p w14:paraId="57D9833E">
      <w:pPr>
        <w:wordWrap w:val="0"/>
        <w:adjustRightInd w:val="0"/>
        <w:snapToGrid w:val="0"/>
        <w:spacing w:line="360" w:lineRule="auto"/>
        <w:ind w:firstLine="480" w:firstLineChars="2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color w:val="auto"/>
          <w:highlight w:val="none"/>
        </w:rPr>
        <w:t xml:space="preserve">6.3 </w:t>
      </w:r>
      <w:r>
        <w:rPr>
          <w:rFonts w:hint="eastAsia" w:asciiTheme="minorEastAsia" w:hAnsiTheme="minorEastAsia" w:eastAsiaTheme="minorEastAsia" w:cstheme="minorEastAsia"/>
          <w:color w:val="auto"/>
          <w:szCs w:val="24"/>
          <w:highlight w:val="none"/>
        </w:rPr>
        <w:t>施工用电：</w:t>
      </w:r>
      <w:r>
        <w:rPr>
          <w:rFonts w:hint="eastAsia" w:asciiTheme="minorEastAsia" w:hAnsiTheme="minorEastAsia" w:eastAsiaTheme="minorEastAsia" w:cstheme="minorEastAsia"/>
          <w:color w:val="auto"/>
          <w:szCs w:val="24"/>
          <w:highlight w:val="none"/>
          <w:u w:val="single"/>
        </w:rPr>
        <w:t>招标人协调，</w:t>
      </w:r>
      <w:r>
        <w:rPr>
          <w:rFonts w:hint="eastAsia" w:asciiTheme="minorEastAsia" w:hAnsiTheme="minorEastAsia" w:eastAsiaTheme="minorEastAsia" w:cstheme="minorEastAsia"/>
          <w:snapToGrid w:val="0"/>
          <w:color w:val="auto"/>
          <w:kern w:val="0"/>
          <w:szCs w:val="24"/>
          <w:highlight w:val="none"/>
          <w:u w:val="single"/>
        </w:rPr>
        <w:t>施工用电及电源由中标人自行解决，费用含在投标报价中，不另计</w:t>
      </w:r>
      <w:r>
        <w:rPr>
          <w:rFonts w:hint="eastAsia" w:asciiTheme="minorEastAsia" w:hAnsiTheme="minorEastAsia" w:eastAsiaTheme="minorEastAsia" w:cstheme="minorEastAsia"/>
          <w:color w:val="auto"/>
          <w:kern w:val="0"/>
          <w:szCs w:val="24"/>
          <w:highlight w:val="none"/>
          <w:u w:val="single"/>
        </w:rPr>
        <w:t>。</w:t>
      </w:r>
    </w:p>
    <w:p w14:paraId="1E9F203C">
      <w:pPr>
        <w:pStyle w:val="2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6.4</w:t>
      </w:r>
      <w:r>
        <w:rPr>
          <w:rFonts w:hint="eastAsia" w:asciiTheme="minorEastAsia" w:hAnsiTheme="minorEastAsia" w:eastAsiaTheme="minorEastAsia" w:cstheme="minorEastAsia"/>
          <w:color w:val="auto"/>
          <w:szCs w:val="22"/>
          <w:highlight w:val="none"/>
        </w:rPr>
        <w:t>施工用水、用电由中标人负责报装并接入施工红线范围，</w:t>
      </w:r>
      <w:r>
        <w:rPr>
          <w:rFonts w:hint="eastAsia" w:asciiTheme="minorEastAsia" w:hAnsiTheme="minorEastAsia" w:eastAsiaTheme="minorEastAsia" w:cstheme="minorEastAsia"/>
          <w:color w:val="auto"/>
          <w:highlight w:val="none"/>
        </w:rPr>
        <w:t>并由中标人负责购置及安装满足施工所需的临时用电变压器、水表、电表，其水、电费按工程所在地</w:t>
      </w:r>
      <w:r>
        <w:rPr>
          <w:rFonts w:hint="eastAsia" w:asciiTheme="minorEastAsia" w:hAnsiTheme="minorEastAsia" w:eastAsiaTheme="minorEastAsia" w:cstheme="minorEastAsia"/>
          <w:color w:val="auto"/>
          <w:highlight w:val="none"/>
          <w:u w:val="single"/>
          <w:lang w:val="en-US" w:eastAsia="zh-CN"/>
        </w:rPr>
        <w:t>始兴县</w:t>
      </w:r>
      <w:r>
        <w:rPr>
          <w:rFonts w:hint="eastAsia" w:asciiTheme="minorEastAsia" w:hAnsiTheme="minorEastAsia" w:eastAsiaTheme="minorEastAsia" w:cstheme="minorEastAsia"/>
          <w:color w:val="auto"/>
          <w:highlight w:val="none"/>
        </w:rPr>
        <w:t>基建工程水、电计费标准计算并由中标人缴纳，相关线路、管路费用及安装费用以及购置及安装临时用电变压器的费用由中标人自行承担。</w:t>
      </w:r>
    </w:p>
    <w:p w14:paraId="7D448E35">
      <w:pPr>
        <w:pStyle w:val="2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6.5招标人不集中现场踏勘，但会在招标文件及有关设计文件中明确告知招标工程的具体位置和周边环境，并在现场设置足以识别的标识或提供足以表明工程具体位置的文字或图片。投标人需要了解现场情况的，可自行进行现场踏勘。</w:t>
      </w:r>
    </w:p>
    <w:p w14:paraId="317CC5BF">
      <w:pPr>
        <w:pStyle w:val="2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6.6在现场踏勘过程中，投标人应确保自身安全，投标人如果发生人身伤亡、财物或其他损失，法律法规有规定的按有关规定处理，没有规定的由投标人自行负责。</w:t>
      </w:r>
    </w:p>
    <w:p w14:paraId="693973FC">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6.7现场踏勘期间的交通、食宿由投标人自行安排，费用自理。</w:t>
      </w:r>
    </w:p>
    <w:p w14:paraId="6A59EF80">
      <w:pPr>
        <w:pStyle w:val="29"/>
        <w:keepNext/>
        <w:keepLines/>
        <w:ind w:firstLine="480"/>
        <w:jc w:val="both"/>
        <w:rPr>
          <w:rFonts w:hint="eastAsia" w:asciiTheme="minorEastAsia" w:hAnsiTheme="minorEastAsia" w:eastAsiaTheme="minorEastAsia" w:cstheme="minorEastAsia"/>
          <w:b/>
          <w:bCs/>
          <w:color w:val="auto"/>
          <w:sz w:val="28"/>
          <w:szCs w:val="28"/>
          <w:highlight w:val="none"/>
        </w:rPr>
      </w:pPr>
      <w:bookmarkStart w:id="87" w:name="_Toc12999"/>
      <w:bookmarkStart w:id="88" w:name="_Toc8518"/>
      <w:bookmarkStart w:id="89" w:name="_Toc23962"/>
      <w:bookmarkStart w:id="90" w:name="_Toc25942"/>
      <w:bookmarkStart w:id="91" w:name="_Toc17548"/>
      <w:bookmarkStart w:id="92" w:name="_Toc22484"/>
      <w:bookmarkStart w:id="93" w:name="_Toc5795"/>
      <w:bookmarkStart w:id="94" w:name="_Toc3294"/>
      <w:bookmarkStart w:id="95" w:name="_Toc27595"/>
      <w:r>
        <w:rPr>
          <w:rFonts w:hint="eastAsia" w:asciiTheme="minorEastAsia" w:hAnsiTheme="minorEastAsia" w:eastAsiaTheme="minorEastAsia" w:cstheme="minorEastAsia"/>
          <w:b/>
          <w:color w:val="auto"/>
          <w:kern w:val="2"/>
          <w:highlight w:val="none"/>
        </w:rPr>
        <w:t xml:space="preserve">7 </w:t>
      </w:r>
      <w:bookmarkStart w:id="96" w:name="_Toc488220856"/>
      <w:bookmarkStart w:id="97" w:name="_Toc371968705"/>
      <w:r>
        <w:rPr>
          <w:rFonts w:hint="eastAsia" w:asciiTheme="minorEastAsia" w:hAnsiTheme="minorEastAsia" w:eastAsiaTheme="minorEastAsia" w:cstheme="minorEastAsia"/>
          <w:b/>
          <w:color w:val="auto"/>
          <w:kern w:val="2"/>
          <w:highlight w:val="none"/>
        </w:rPr>
        <w:t>、其他招标说明</w:t>
      </w:r>
      <w:bookmarkEnd w:id="87"/>
      <w:bookmarkEnd w:id="88"/>
      <w:bookmarkEnd w:id="89"/>
      <w:bookmarkEnd w:id="90"/>
      <w:bookmarkEnd w:id="91"/>
      <w:bookmarkEnd w:id="92"/>
      <w:bookmarkEnd w:id="93"/>
      <w:bookmarkEnd w:id="94"/>
      <w:bookmarkEnd w:id="95"/>
      <w:bookmarkEnd w:id="96"/>
    </w:p>
    <w:bookmarkEnd w:id="97"/>
    <w:p w14:paraId="74A9D061">
      <w:pPr>
        <w:pStyle w:val="3"/>
        <w:wordWrap w:val="0"/>
        <w:autoSpaceDE/>
        <w:autoSpaceDN/>
        <w:snapToGrid w:val="0"/>
        <w:spacing w:line="440" w:lineRule="exact"/>
        <w:ind w:firstLine="480"/>
        <w:jc w:val="both"/>
        <w:rPr>
          <w:rFonts w:hint="eastAsia" w:asciiTheme="minorEastAsia" w:hAnsiTheme="minorEastAsia" w:eastAsiaTheme="minorEastAsia" w:cstheme="minorEastAsia"/>
          <w:b/>
          <w:snapToGrid w:val="0"/>
          <w:color w:val="auto"/>
          <w:szCs w:val="24"/>
          <w:highlight w:val="none"/>
        </w:rPr>
      </w:pPr>
      <w:bookmarkStart w:id="98" w:name="_Toc10210"/>
      <w:bookmarkStart w:id="99" w:name="_Toc18063"/>
      <w:bookmarkStart w:id="100" w:name="_Toc28014"/>
      <w:r>
        <w:rPr>
          <w:rFonts w:hint="eastAsia" w:asciiTheme="minorEastAsia" w:hAnsiTheme="minorEastAsia" w:eastAsiaTheme="minorEastAsia" w:cstheme="minorEastAsia"/>
          <w:b/>
          <w:snapToGrid w:val="0"/>
          <w:color w:val="auto"/>
          <w:szCs w:val="24"/>
          <w:highlight w:val="none"/>
        </w:rPr>
        <w:t>7.1．</w:t>
      </w:r>
      <w:r>
        <w:rPr>
          <w:rStyle w:val="24"/>
          <w:rFonts w:hint="eastAsia" w:asciiTheme="minorEastAsia" w:hAnsiTheme="minorEastAsia" w:eastAsiaTheme="minorEastAsia" w:cstheme="minorEastAsia"/>
          <w:color w:val="auto"/>
          <w:szCs w:val="24"/>
          <w:highlight w:val="none"/>
          <w:shd w:val="clear" w:color="auto" w:fill="FFFFFF"/>
        </w:rPr>
        <w:t>获取招标文件</w:t>
      </w:r>
      <w:bookmarkEnd w:id="98"/>
      <w:bookmarkEnd w:id="99"/>
      <w:bookmarkEnd w:id="100"/>
    </w:p>
    <w:p w14:paraId="0E492CD8">
      <w:pPr>
        <w:pStyle w:val="20"/>
        <w:widowControl w:val="0"/>
        <w:wordWrap w:val="0"/>
        <w:adjustRightInd w:val="0"/>
        <w:snapToGrid w:val="0"/>
        <w:spacing w:beforeAutospacing="0" w:afterAutospacing="0" w:line="440" w:lineRule="exact"/>
        <w:ind w:firstLine="482" w:firstLineChars="200"/>
        <w:rPr>
          <w:rFonts w:hint="eastAsia" w:asciiTheme="minorEastAsia" w:hAnsiTheme="minorEastAsia" w:eastAsiaTheme="minorEastAsia" w:cstheme="minorEastAsia"/>
          <w:color w:val="auto"/>
          <w:kern w:val="2"/>
          <w:highlight w:val="none"/>
        </w:rPr>
      </w:pPr>
      <w:r>
        <w:rPr>
          <w:rFonts w:hint="eastAsia" w:asciiTheme="minorEastAsia" w:hAnsiTheme="minorEastAsia" w:eastAsiaTheme="minorEastAsia" w:cstheme="minorEastAsia"/>
          <w:b/>
          <w:bCs/>
          <w:snapToGrid w:val="0"/>
          <w:color w:val="auto"/>
          <w:highlight w:val="none"/>
        </w:rPr>
        <w:t>7.1.1</w:t>
      </w:r>
      <w:r>
        <w:rPr>
          <w:rFonts w:hint="eastAsia" w:asciiTheme="minorEastAsia" w:hAnsiTheme="minorEastAsia" w:eastAsiaTheme="minorEastAsia" w:cstheme="minorEastAsia"/>
          <w:snapToGrid w:val="0"/>
          <w:color w:val="auto"/>
          <w:highlight w:val="none"/>
        </w:rPr>
        <w:t>本次招标实行电子投标。</w:t>
      </w:r>
      <w:r>
        <w:rPr>
          <w:rFonts w:hint="eastAsia" w:asciiTheme="minorEastAsia" w:hAnsiTheme="minorEastAsia" w:eastAsiaTheme="minorEastAsia" w:cstheme="minorEastAsia"/>
          <w:color w:val="auto"/>
          <w:highlight w:val="none"/>
          <w:shd w:val="clear" w:color="auto" w:fill="FFFFFF"/>
        </w:rPr>
        <w:t>本项目招标文件随招标公告一并在</w:t>
      </w:r>
      <w:r>
        <w:rPr>
          <w:rFonts w:hint="eastAsia" w:asciiTheme="minorEastAsia" w:hAnsiTheme="minorEastAsia" w:eastAsiaTheme="minorEastAsia" w:cstheme="minorEastAsia"/>
          <w:bCs/>
          <w:snapToGrid w:val="0"/>
          <w:color w:val="auto"/>
          <w:highlight w:val="none"/>
        </w:rPr>
        <w:t>广东省招标投标监管网(https://www.gdzwfw.gov.cn/ztbjg-portal/#/index)、</w:t>
      </w:r>
      <w:r>
        <w:rPr>
          <w:rFonts w:hint="eastAsia" w:asciiTheme="minorEastAsia" w:hAnsiTheme="minorEastAsia" w:eastAsiaTheme="minorEastAsia" w:cstheme="minorEastAsia"/>
          <w:color w:val="auto"/>
          <w:highlight w:val="none"/>
          <w:shd w:val="clear" w:color="auto" w:fill="FFFFFF"/>
        </w:rPr>
        <w:t>全国公共资源交易平台（广东省·韶关市）（https://ygp.gdzwfw.gov.cn/ggzy-portal/#/440200/index）网站发布。招标文件一经在交易平台发布，视为发送投标人，招标文件及相关附件由投标人自行在交易平台网站下载。招标文件获取</w:t>
      </w:r>
      <w:r>
        <w:rPr>
          <w:rFonts w:hint="eastAsia" w:asciiTheme="minorEastAsia" w:hAnsiTheme="minorEastAsia" w:eastAsiaTheme="minorEastAsia" w:cstheme="minorEastAsia"/>
          <w:snapToGrid w:val="0"/>
          <w:color w:val="auto"/>
          <w:highlight w:val="none"/>
        </w:rPr>
        <w:t>期间</w:t>
      </w:r>
      <w:r>
        <w:rPr>
          <w:rFonts w:hint="eastAsia" w:asciiTheme="minorEastAsia" w:hAnsiTheme="minorEastAsia" w:eastAsiaTheme="minorEastAsia" w:cstheme="minorEastAsia"/>
          <w:color w:val="auto"/>
          <w:highlight w:val="none"/>
          <w:shd w:val="clear" w:color="auto" w:fill="FFFFFF"/>
        </w:rPr>
        <w:t>（</w:t>
      </w:r>
      <w:r>
        <w:rPr>
          <w:rFonts w:hint="eastAsia" w:asciiTheme="minorEastAsia" w:hAnsiTheme="minorEastAsia" w:eastAsiaTheme="minorEastAsia" w:cstheme="minorEastAsia"/>
          <w:snapToGrid w:val="0"/>
          <w:color w:val="auto"/>
          <w:highlight w:val="none"/>
        </w:rPr>
        <w:t>见本章第二节“重要事项时间地点一览表”，招标文件获取期间与招标公告发布时间一致</w:t>
      </w:r>
      <w:r>
        <w:rPr>
          <w:rFonts w:hint="eastAsia" w:asciiTheme="minorEastAsia" w:hAnsiTheme="minorEastAsia" w:eastAsiaTheme="minorEastAsia" w:cstheme="minorEastAsia"/>
          <w:color w:val="auto"/>
          <w:highlight w:val="none"/>
          <w:shd w:val="clear" w:color="auto" w:fill="FFFFFF"/>
        </w:rPr>
        <w:t>），投标人须登录全国公共资源交易平台（广东省·韶关市）（https://ygp.gdzwfw.gov.cn/ggzy-portal/#/440200/index）</w:t>
      </w:r>
      <w:r>
        <w:rPr>
          <w:rFonts w:hint="eastAsia" w:asciiTheme="minorEastAsia" w:hAnsiTheme="minorEastAsia" w:eastAsiaTheme="minorEastAsia" w:cstheme="minorEastAsia"/>
          <w:snapToGrid w:val="0"/>
          <w:color w:val="auto"/>
          <w:highlight w:val="none"/>
        </w:rPr>
        <w:t>下载</w:t>
      </w:r>
      <w:r>
        <w:rPr>
          <w:rFonts w:hint="eastAsia" w:asciiTheme="minorEastAsia" w:hAnsiTheme="minorEastAsia" w:eastAsiaTheme="minorEastAsia" w:cstheme="minorEastAsia"/>
          <w:color w:val="auto"/>
          <w:highlight w:val="none"/>
          <w:shd w:val="clear" w:color="auto" w:fill="FFFFFF"/>
        </w:rPr>
        <w:t>招标文件及相关附件，并于电子投标截止时间（</w:t>
      </w:r>
      <w:r>
        <w:rPr>
          <w:rFonts w:hint="eastAsia" w:asciiTheme="minorEastAsia" w:hAnsiTheme="minorEastAsia" w:eastAsiaTheme="minorEastAsia" w:cstheme="minorEastAsia"/>
          <w:snapToGrid w:val="0"/>
          <w:color w:val="auto"/>
          <w:highlight w:val="none"/>
        </w:rPr>
        <w:t>见本章第二节“重要事项时间地点一览表”</w:t>
      </w:r>
      <w:r>
        <w:rPr>
          <w:rFonts w:hint="eastAsia" w:asciiTheme="minorEastAsia" w:hAnsiTheme="minorEastAsia" w:eastAsiaTheme="minorEastAsia" w:cstheme="minorEastAsia"/>
          <w:color w:val="auto"/>
          <w:highlight w:val="none"/>
          <w:shd w:val="clear" w:color="auto" w:fill="FFFFFF"/>
        </w:rPr>
        <w:t>）前完成电子投标。投标人可登录全国公共资源交易平台（广东省·韶关市）（https://ygp.gdzwfw.gov.cn/ggzy-portal/#/440200/index），在【服务指南】栏目中下载《韶关市公共资源建设工程交易系统-投标人操作指南（电子评标）》，了解网上获取招标文件操作流程。技术咨询电话：18819797080/0751-8379671 伍先生，业务咨询电话：0751-8633211、8633071。</w:t>
      </w:r>
    </w:p>
    <w:p w14:paraId="7925F2F2">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shd w:val="clear" w:color="auto" w:fill="FFFFFF"/>
        </w:rPr>
      </w:pPr>
      <w:r>
        <w:rPr>
          <w:rFonts w:hint="eastAsia" w:asciiTheme="minorEastAsia" w:hAnsiTheme="minorEastAsia" w:eastAsiaTheme="minorEastAsia" w:cstheme="minorEastAsia"/>
          <w:b/>
          <w:bCs/>
          <w:snapToGrid w:val="0"/>
          <w:color w:val="auto"/>
          <w:kern w:val="0"/>
          <w:sz w:val="24"/>
          <w:highlight w:val="none"/>
        </w:rPr>
        <w:t xml:space="preserve">7.1.2 </w:t>
      </w:r>
      <w:r>
        <w:rPr>
          <w:rFonts w:hint="eastAsia" w:asciiTheme="minorEastAsia" w:hAnsiTheme="minorEastAsia" w:eastAsiaTheme="minorEastAsia" w:cstheme="minorEastAsia"/>
          <w:color w:val="auto"/>
          <w:sz w:val="24"/>
          <w:highlight w:val="none"/>
          <w:shd w:val="clear" w:color="auto" w:fill="FFFFFF"/>
        </w:rPr>
        <w:t>只有申领了数字证书（CA）、“粤企签”或GDCA/SZCA/NETCA等符合法律法规规定的电子印章，并在交易平台中完成企业信息数据入库的投标人，方可在交易平台获取招标文件和电子投标。</w:t>
      </w:r>
    </w:p>
    <w:p w14:paraId="02852DCC">
      <w:pPr>
        <w:pStyle w:val="30"/>
        <w:wordWrap w:val="0"/>
        <w:adjustRightInd w:val="0"/>
        <w:snapToGrid w:val="0"/>
        <w:spacing w:line="440" w:lineRule="exact"/>
        <w:ind w:firstLine="480"/>
        <w:jc w:val="left"/>
        <w:rPr>
          <w:rFonts w:hint="eastAsia" w:asciiTheme="minorEastAsia" w:hAnsiTheme="minorEastAsia" w:eastAsiaTheme="minorEastAsia" w:cstheme="minorEastAsia"/>
          <w:color w:val="auto"/>
          <w:sz w:val="24"/>
          <w:highlight w:val="none"/>
          <w:shd w:val="clear" w:color="auto" w:fill="FFFFFF"/>
        </w:rPr>
      </w:pPr>
      <w:r>
        <w:rPr>
          <w:rFonts w:hint="eastAsia" w:asciiTheme="minorEastAsia" w:hAnsiTheme="minorEastAsia" w:eastAsiaTheme="minorEastAsia" w:cstheme="minorEastAsia"/>
          <w:color w:val="auto"/>
          <w:sz w:val="24"/>
          <w:highlight w:val="none"/>
          <w:shd w:val="clear" w:color="auto" w:fill="FFFFFF"/>
        </w:rPr>
        <w:t>首次在韶关市参与建设工程招标投标活动的投标人，必须在交易平台上传企业相关资料办理企业入库事宜。投标人可登录全国公共资源交易平台（广东省·韶关市）（https://ygp.gdzwfw.gov.cn/ggzy-portal/#/440200/index）办理企业入库、数字证书及电子印章事宜，具体请在交易平台查阅相应的交易指引。</w:t>
      </w:r>
    </w:p>
    <w:p w14:paraId="7BC717FB">
      <w:pPr>
        <w:pStyle w:val="30"/>
        <w:wordWrap w:val="0"/>
        <w:adjustRightInd w:val="0"/>
        <w:snapToGrid w:val="0"/>
        <w:spacing w:line="440" w:lineRule="exact"/>
        <w:ind w:firstLine="480"/>
        <w:jc w:val="left"/>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color w:val="auto"/>
          <w:sz w:val="24"/>
          <w:highlight w:val="none"/>
          <w:shd w:val="clear" w:color="auto" w:fill="FFFFFF"/>
        </w:rPr>
        <w:t>已入库企业有关信息（如单位名称、基本账号、资质、人员等）发生变化的，须及时在交易平台进行相应变更。投标人未及时变更信息而造成的损失和后果，由投标人自行承担。</w:t>
      </w:r>
    </w:p>
    <w:p w14:paraId="382A6F0B">
      <w:pPr>
        <w:tabs>
          <w:tab w:val="left" w:pos="7020"/>
        </w:tabs>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shd w:val="clear" w:color="auto" w:fill="FFFFFF"/>
        </w:rPr>
        <w:t>电子印章：是指获得国家工业和信息化部颁发的《电子认证服务许可证》、国家密码管理局颁发的《电子认证服务使用密码许可证》等资质，具备承担因数字证书原因产生纠纷的相关责任的能力，且在广东省内具有数量基础和服务能力的依法设立的电子认证服务机构签发的电子签章认证证书（即CA数字证书）。投标人应当到相关服务机构办理并取得数字证书介质和应用。电子印章包括机构法人电子形式印章，单位法定代表人、被委托人及其他个人的电子形式印章。电子印章与手写签名或者盖章具有同等的法律效力</w:t>
      </w:r>
      <w:r>
        <w:rPr>
          <w:rFonts w:hint="eastAsia" w:asciiTheme="minorEastAsia" w:hAnsiTheme="minorEastAsia" w:eastAsiaTheme="minorEastAsia" w:cstheme="minorEastAsia"/>
          <w:snapToGrid w:val="0"/>
          <w:color w:val="auto"/>
          <w:szCs w:val="24"/>
          <w:highlight w:val="none"/>
        </w:rPr>
        <w:t>。</w:t>
      </w:r>
    </w:p>
    <w:p w14:paraId="12D6BEE0">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2"/>
          <w:highlight w:val="none"/>
        </w:rPr>
        <w:t>7.2</w:t>
      </w:r>
      <w:r>
        <w:rPr>
          <w:rFonts w:hint="eastAsia" w:asciiTheme="minorEastAsia" w:hAnsiTheme="minorEastAsia" w:eastAsiaTheme="minorEastAsia" w:cstheme="minorEastAsia"/>
          <w:color w:val="auto"/>
          <w:highlight w:val="none"/>
        </w:rPr>
        <w:t>招标人（或招标代理机构）对投标人的失误不负任何责任，投标人应指定一名投标事务负责人（即授权委托人），专门负责跟踪、签收、阅读和理解招标文件及随后收到的有关资料，向招标人（或招标代理机构）发出疑问，检查投标文件，协助有关人员尽力克服各种投标失误。投标事务负责人（即授权委托人）如有更换，投标人应及时向招标人（或招标代理机构）提交授权委托书。</w:t>
      </w:r>
    </w:p>
    <w:p w14:paraId="0133369C">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7.3 招标人对招标文件所作的答疑（或修改）公告，构成招标文件的组成部分。</w:t>
      </w:r>
    </w:p>
    <w:p w14:paraId="50ECEE59">
      <w:pPr>
        <w:pStyle w:val="29"/>
        <w:keepNext/>
        <w:keepLines/>
        <w:ind w:firstLine="480"/>
        <w:jc w:val="both"/>
        <w:rPr>
          <w:rFonts w:hint="eastAsia" w:asciiTheme="minorEastAsia" w:hAnsiTheme="minorEastAsia" w:eastAsiaTheme="minorEastAsia" w:cstheme="minorEastAsia"/>
          <w:b/>
          <w:color w:val="auto"/>
          <w:kern w:val="2"/>
          <w:highlight w:val="none"/>
        </w:rPr>
      </w:pPr>
      <w:bookmarkStart w:id="101" w:name="_Toc545"/>
      <w:bookmarkStart w:id="102" w:name="_Toc30148"/>
      <w:r>
        <w:rPr>
          <w:rFonts w:hint="eastAsia" w:asciiTheme="minorEastAsia" w:hAnsiTheme="minorEastAsia" w:eastAsiaTheme="minorEastAsia" w:cstheme="minorEastAsia"/>
          <w:b/>
          <w:color w:val="auto"/>
          <w:kern w:val="2"/>
          <w:highlight w:val="none"/>
        </w:rPr>
        <w:t>8 、招标答疑</w:t>
      </w:r>
      <w:bookmarkEnd w:id="101"/>
      <w:bookmarkEnd w:id="102"/>
      <w:bookmarkStart w:id="103" w:name="_Hlt74496410"/>
      <w:bookmarkEnd w:id="103"/>
    </w:p>
    <w:p w14:paraId="5CC3AEBA">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8.1招标人不集中组织答疑，实行网上答疑。</w:t>
      </w:r>
      <w:r>
        <w:rPr>
          <w:rFonts w:hint="eastAsia" w:asciiTheme="minorEastAsia" w:hAnsiTheme="minorEastAsia" w:eastAsiaTheme="minorEastAsia" w:cstheme="minorEastAsia"/>
          <w:snapToGrid w:val="0"/>
          <w:color w:val="auto"/>
          <w:kern w:val="0"/>
          <w:highlight w:val="none"/>
        </w:rPr>
        <w:t>投标人若对招标文件有疑问</w:t>
      </w:r>
      <w:r>
        <w:rPr>
          <w:rFonts w:hint="eastAsia" w:asciiTheme="minorEastAsia" w:hAnsiTheme="minorEastAsia" w:eastAsiaTheme="minorEastAsia" w:cstheme="minorEastAsia"/>
          <w:color w:val="auto"/>
          <w:highlight w:val="none"/>
        </w:rPr>
        <w:t>应在提问截止时间（</w:t>
      </w:r>
      <w:r>
        <w:rPr>
          <w:rFonts w:hint="eastAsia" w:asciiTheme="minorEastAsia" w:hAnsiTheme="minorEastAsia" w:eastAsiaTheme="minorEastAsia" w:cstheme="minorEastAsia"/>
          <w:snapToGrid w:val="0"/>
          <w:color w:val="auto"/>
          <w:kern w:val="0"/>
          <w:szCs w:val="24"/>
          <w:highlight w:val="none"/>
        </w:rPr>
        <w:t>见本章第二节“重要事项时间地点一览表”</w:t>
      </w:r>
      <w:r>
        <w:rPr>
          <w:rFonts w:hint="eastAsia" w:asciiTheme="minorEastAsia" w:hAnsiTheme="minorEastAsia" w:eastAsiaTheme="minorEastAsia" w:cstheme="minorEastAsia"/>
          <w:color w:val="auto"/>
          <w:highlight w:val="none"/>
        </w:rPr>
        <w:t>）前在交易平台提出问题。未在指定时间前、未采用指定方式提出的，招标人不予受理。</w:t>
      </w:r>
    </w:p>
    <w:p w14:paraId="7C855AE9">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8.2 </w:t>
      </w:r>
      <w:r>
        <w:rPr>
          <w:rFonts w:hint="eastAsia" w:asciiTheme="minorEastAsia" w:hAnsiTheme="minorEastAsia" w:eastAsiaTheme="minorEastAsia" w:cstheme="minorEastAsia"/>
          <w:snapToGrid w:val="0"/>
          <w:color w:val="auto"/>
          <w:kern w:val="0"/>
          <w:highlight w:val="none"/>
        </w:rPr>
        <w:t>招标人在提问截止时间（</w:t>
      </w:r>
      <w:r>
        <w:rPr>
          <w:rFonts w:hint="eastAsia" w:asciiTheme="minorEastAsia" w:hAnsiTheme="minorEastAsia" w:eastAsiaTheme="minorEastAsia" w:cstheme="minorEastAsia"/>
          <w:snapToGrid w:val="0"/>
          <w:color w:val="auto"/>
          <w:kern w:val="0"/>
          <w:szCs w:val="24"/>
          <w:highlight w:val="none"/>
        </w:rPr>
        <w:t>见本章第二节“重要事项时间地点一览表”</w:t>
      </w:r>
      <w:r>
        <w:rPr>
          <w:rFonts w:hint="eastAsia" w:asciiTheme="minorEastAsia" w:hAnsiTheme="minorEastAsia" w:eastAsiaTheme="minorEastAsia" w:cstheme="minorEastAsia"/>
          <w:snapToGrid w:val="0"/>
          <w:color w:val="auto"/>
          <w:kern w:val="0"/>
          <w:highlight w:val="none"/>
        </w:rPr>
        <w:t>）后3日内，一次性对收到的所有问题作出答复，并形成答疑（或修改）公告在发布招标公告的媒介上公开发布。答疑（或修改）公告一旦发布，即视所有潜在投标人已经知悉答疑（或修改）内容，投标人未及时关注而造成的损失和后果，由投标人自行承担。</w:t>
      </w:r>
    </w:p>
    <w:p w14:paraId="61D6D81D">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8.3 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）对招标文件的修改或补充内容作为招标文件的组成部分，具有约束作用。招标文件的澄清、修改、补充等内容均以答疑书（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）中明确的内容为准。当招标文件、招标文件的澄清、修改、补充等文件在同一内容的表述上不一致时，以最后发出的答疑书（</w:t>
      </w:r>
      <w:r>
        <w:rPr>
          <w:rFonts w:hint="eastAsia" w:asciiTheme="minorEastAsia" w:hAnsiTheme="minorEastAsia" w:eastAsiaTheme="minorEastAsia" w:cstheme="minorEastAsia"/>
          <w:snapToGrid w:val="0"/>
          <w:color w:val="auto"/>
          <w:kern w:val="0"/>
          <w:highlight w:val="none"/>
        </w:rPr>
        <w:t>或修改</w:t>
      </w:r>
      <w:r>
        <w:rPr>
          <w:rFonts w:hint="eastAsia" w:asciiTheme="minorEastAsia" w:hAnsiTheme="minorEastAsia" w:eastAsiaTheme="minorEastAsia" w:cstheme="minorEastAsia"/>
          <w:color w:val="auto"/>
          <w:highlight w:val="none"/>
        </w:rPr>
        <w:t>）为准。</w:t>
      </w:r>
    </w:p>
    <w:p w14:paraId="5EC601FE">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8.4 投标人在规定的时间内未对招标文件提出澄清或疑问的，招标人将视其为无异议。对招标文件中描述有歧义或前后不一致的地方，评标委员会有权进行评判，但对同一条款的评判应适用于每个投标人。</w:t>
      </w:r>
    </w:p>
    <w:p w14:paraId="32602466">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8.5 招标人向投标人提供的资料和数据，是招标人现有的能使投标人利用的资料。投标人对招标人提供的招标文件所作出的推论、解释和结论，招标人概不负责；投标人由于对招标文件的任何推论和误解以及招标人对有关问题的口头解释所造成的后果，均由投标人自行负责。</w:t>
      </w:r>
    </w:p>
    <w:p w14:paraId="506E241D">
      <w:pPr>
        <w:pStyle w:val="29"/>
        <w:keepNext/>
        <w:keepLines/>
        <w:ind w:firstLine="480"/>
        <w:jc w:val="both"/>
        <w:rPr>
          <w:rFonts w:hint="eastAsia" w:asciiTheme="minorEastAsia" w:hAnsiTheme="minorEastAsia" w:eastAsiaTheme="minorEastAsia" w:cstheme="minorEastAsia"/>
          <w:b/>
          <w:color w:val="auto"/>
          <w:kern w:val="2"/>
          <w:highlight w:val="none"/>
        </w:rPr>
      </w:pPr>
      <w:bookmarkStart w:id="104" w:name="_Hlt69699188"/>
      <w:bookmarkEnd w:id="104"/>
      <w:bookmarkStart w:id="105" w:name="_Hlt92513711"/>
      <w:bookmarkEnd w:id="105"/>
      <w:bookmarkStart w:id="106" w:name="_Hlt92513715"/>
      <w:bookmarkEnd w:id="106"/>
      <w:bookmarkStart w:id="107" w:name="_Toc28777"/>
      <w:bookmarkStart w:id="108" w:name="_Toc20643"/>
      <w:bookmarkStart w:id="109" w:name="_Toc15195"/>
      <w:bookmarkStart w:id="110" w:name="_Toc25532"/>
      <w:bookmarkStart w:id="111" w:name="_Toc31064"/>
      <w:bookmarkStart w:id="112" w:name="_Toc18198"/>
      <w:bookmarkStart w:id="113" w:name="_Toc8032"/>
      <w:bookmarkStart w:id="114" w:name="_Toc30627"/>
      <w:bookmarkStart w:id="115" w:name="_Toc11301"/>
      <w:r>
        <w:rPr>
          <w:rFonts w:hint="eastAsia" w:asciiTheme="minorEastAsia" w:hAnsiTheme="minorEastAsia" w:eastAsiaTheme="minorEastAsia" w:cstheme="minorEastAsia"/>
          <w:b/>
          <w:color w:val="auto"/>
          <w:kern w:val="2"/>
          <w:highlight w:val="none"/>
        </w:rPr>
        <w:t>9 、投标报价的编制</w:t>
      </w:r>
      <w:bookmarkEnd w:id="107"/>
      <w:bookmarkEnd w:id="108"/>
      <w:bookmarkEnd w:id="109"/>
      <w:bookmarkEnd w:id="110"/>
      <w:bookmarkEnd w:id="111"/>
      <w:bookmarkEnd w:id="112"/>
      <w:bookmarkEnd w:id="113"/>
      <w:bookmarkEnd w:id="114"/>
      <w:bookmarkEnd w:id="115"/>
      <w:bookmarkStart w:id="116" w:name="_Hlt74498519"/>
      <w:bookmarkEnd w:id="116"/>
    </w:p>
    <w:p w14:paraId="445D1222">
      <w:pPr>
        <w:pStyle w:val="27"/>
        <w:ind w:firstLine="560"/>
        <w:rPr>
          <w:rFonts w:hint="eastAsia" w:asciiTheme="minorEastAsia" w:hAnsiTheme="minorEastAsia" w:eastAsiaTheme="minorEastAsia" w:cstheme="minorEastAsia"/>
          <w:color w:val="auto"/>
          <w:spacing w:val="12"/>
          <w:highlight w:val="none"/>
        </w:rPr>
      </w:pPr>
      <w:r>
        <w:rPr>
          <w:rFonts w:hint="eastAsia" w:asciiTheme="minorEastAsia" w:hAnsiTheme="minorEastAsia" w:eastAsiaTheme="minorEastAsia" w:cstheme="minorEastAsia"/>
          <w:color w:val="auto"/>
          <w:spacing w:val="12"/>
          <w:highlight w:val="none"/>
        </w:rPr>
        <w:t>9.1 本招标项目按照以下依据编制最高投标限价：</w:t>
      </w:r>
    </w:p>
    <w:p w14:paraId="6003F186">
      <w:pPr>
        <w:pStyle w:val="27"/>
        <w:ind w:firstLine="560"/>
        <w:rPr>
          <w:rFonts w:hint="eastAsia" w:asciiTheme="minorEastAsia" w:hAnsiTheme="minorEastAsia" w:eastAsiaTheme="minorEastAsia" w:cstheme="minorEastAsia"/>
          <w:color w:val="auto"/>
          <w:spacing w:val="12"/>
          <w:highlight w:val="none"/>
        </w:rPr>
      </w:pPr>
      <w:r>
        <w:rPr>
          <w:rFonts w:hint="eastAsia" w:asciiTheme="minorEastAsia" w:hAnsiTheme="minorEastAsia" w:eastAsiaTheme="minorEastAsia" w:cstheme="minorEastAsia"/>
          <w:color w:val="auto"/>
          <w:spacing w:val="12"/>
          <w:highlight w:val="none"/>
        </w:rPr>
        <w:t>（1）招标文件；</w:t>
      </w:r>
    </w:p>
    <w:p w14:paraId="28D14102">
      <w:pPr>
        <w:pStyle w:val="27"/>
        <w:ind w:firstLine="560"/>
        <w:rPr>
          <w:rFonts w:hint="eastAsia" w:asciiTheme="minorEastAsia" w:hAnsiTheme="minorEastAsia" w:eastAsiaTheme="minorEastAsia" w:cstheme="minorEastAsia"/>
          <w:color w:val="auto"/>
          <w:spacing w:val="12"/>
          <w:highlight w:val="none"/>
        </w:rPr>
      </w:pPr>
      <w:r>
        <w:rPr>
          <w:rFonts w:hint="eastAsia" w:asciiTheme="minorEastAsia" w:hAnsiTheme="minorEastAsia" w:eastAsiaTheme="minorEastAsia" w:cstheme="minorEastAsia"/>
          <w:color w:val="auto"/>
          <w:spacing w:val="12"/>
          <w:highlight w:val="none"/>
        </w:rPr>
        <w:t>（2）施工现场情况、工程特点；</w:t>
      </w:r>
    </w:p>
    <w:p w14:paraId="4CAE9820">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12"/>
          <w:highlight w:val="none"/>
        </w:rPr>
        <w:t>（3）与建设项目相关的标准、规范、技术资料。</w:t>
      </w:r>
    </w:p>
    <w:p w14:paraId="6D3D2F7C">
      <w:pPr>
        <w:pStyle w:val="27"/>
        <w:ind w:firstLine="792"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12"/>
          <w:highlight w:val="none"/>
        </w:rPr>
        <w:t>9.2</w:t>
      </w:r>
      <w:r>
        <w:rPr>
          <w:rFonts w:hint="eastAsia" w:asciiTheme="minorEastAsia" w:hAnsiTheme="minorEastAsia" w:eastAsiaTheme="minorEastAsia" w:cstheme="minorEastAsia"/>
          <w:color w:val="auto"/>
          <w:highlight w:val="none"/>
        </w:rPr>
        <w:t xml:space="preserve"> 本工程投标前，招标人及招标代理机构不集中组织现场踏勘，投标人需要了解现场情况的，可自行进行现场踏勘。各投标人应勘察施工现场及周围环境、地形、地貌、水文、交通等情况，以获得一切可能影响到投标的直</w:t>
      </w:r>
      <w:bookmarkStart w:id="117" w:name="_Hlt66509056"/>
      <w:bookmarkEnd w:id="117"/>
      <w:r>
        <w:rPr>
          <w:rFonts w:hint="eastAsia" w:asciiTheme="minorEastAsia" w:hAnsiTheme="minorEastAsia" w:eastAsiaTheme="minorEastAsia" w:cstheme="minorEastAsia"/>
          <w:color w:val="auto"/>
          <w:highlight w:val="none"/>
        </w:rPr>
        <w:t>接资料。投标人应针对现场情况编制施工组织设计，并在写投标报价时考虑现场情况的影响。</w:t>
      </w:r>
    </w:p>
    <w:p w14:paraId="6422CF0F">
      <w:pPr>
        <w:pStyle w:val="38"/>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pacing w:val="12"/>
          <w:highlight w:val="none"/>
        </w:rPr>
        <w:t>9.</w:t>
      </w:r>
      <w:bookmarkStart w:id="118" w:name="_Hlt88974322"/>
      <w:r>
        <w:rPr>
          <w:rFonts w:hint="eastAsia" w:asciiTheme="minorEastAsia" w:hAnsiTheme="minorEastAsia" w:eastAsiaTheme="minorEastAsia" w:cstheme="minorEastAsia"/>
          <w:color w:val="auto"/>
          <w:spacing w:val="12"/>
          <w:highlight w:val="none"/>
        </w:rPr>
        <w:t>3</w:t>
      </w:r>
      <w:r>
        <w:rPr>
          <w:rFonts w:hint="eastAsia" w:asciiTheme="minorEastAsia" w:hAnsiTheme="minorEastAsia" w:eastAsiaTheme="minorEastAsia" w:cstheme="minorEastAsia"/>
          <w:color w:val="auto"/>
          <w:highlight w:val="none"/>
        </w:rPr>
        <w:t xml:space="preserve"> 现场踏勘费以及其它施工措施项目费，由投标人在投标报价中综合考虑，</w:t>
      </w:r>
      <w:r>
        <w:rPr>
          <w:rFonts w:hint="eastAsia" w:asciiTheme="minorEastAsia" w:hAnsiTheme="minorEastAsia" w:eastAsiaTheme="minorEastAsia" w:cstheme="minorEastAsia"/>
          <w:color w:val="auto"/>
          <w:szCs w:val="22"/>
          <w:highlight w:val="none"/>
        </w:rPr>
        <w:t>一次包定</w:t>
      </w:r>
      <w:r>
        <w:rPr>
          <w:rFonts w:hint="eastAsia" w:asciiTheme="minorEastAsia" w:hAnsiTheme="minorEastAsia" w:eastAsiaTheme="minorEastAsia" w:cstheme="minorEastAsia"/>
          <w:color w:val="auto"/>
          <w:highlight w:val="none"/>
        </w:rPr>
        <w:t>。无论投标人是否列出费用，招标人将一律视为已确认所有现场条件和可能发生的异常情况。</w:t>
      </w:r>
    </w:p>
    <w:bookmarkEnd w:id="118"/>
    <w:p w14:paraId="1CDBA0D0">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9.4 招标人向投标人提供的有关现场的数据和资料，是招标人现有的能被投标人利用的资料，招标人对投标人做出的任何推论、理解和结论均不负责任。</w:t>
      </w:r>
    </w:p>
    <w:p w14:paraId="2AC447D5">
      <w:pPr>
        <w:spacing w:line="360" w:lineRule="auto"/>
        <w:ind w:firstLine="60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5</w:t>
      </w:r>
      <w:r>
        <w:rPr>
          <w:rFonts w:hint="eastAsia" w:asciiTheme="minorEastAsia" w:hAnsiTheme="minorEastAsia" w:eastAsiaTheme="minorEastAsia" w:cstheme="minorEastAsia"/>
          <w:color w:val="auto"/>
          <w:highlight w:val="none"/>
          <w:lang w:val="zh-CN"/>
        </w:rPr>
        <w:t>投标人负责协调处理因项目实施与周边企业和村民等关系并承担相关费用。</w:t>
      </w:r>
    </w:p>
    <w:p w14:paraId="2A4C6AE2">
      <w:pPr>
        <w:spacing w:line="360" w:lineRule="auto"/>
        <w:ind w:firstLine="60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6</w:t>
      </w:r>
      <w:r>
        <w:rPr>
          <w:rFonts w:hint="eastAsia" w:asciiTheme="minorEastAsia" w:hAnsiTheme="minorEastAsia" w:eastAsiaTheme="minorEastAsia" w:cstheme="minorEastAsia"/>
          <w:color w:val="auto"/>
          <w:highlight w:val="none"/>
          <w:lang w:val="zh-CN"/>
        </w:rPr>
        <w:t>投标人应采取设计优化的方式，通过土方平衡方法解决弃土问题，若仍有弃土，按实结算。</w:t>
      </w:r>
    </w:p>
    <w:p w14:paraId="78B10380">
      <w:pPr>
        <w:spacing w:line="360" w:lineRule="auto"/>
        <w:ind w:firstLine="570"/>
        <w:rPr>
          <w:rFonts w:hint="eastAsia" w:asciiTheme="minorEastAsia" w:hAnsiTheme="minorEastAsia" w:eastAsiaTheme="minorEastAsia" w:cstheme="minorEastAsia"/>
          <w:b/>
          <w:color w:val="auto"/>
          <w:highlight w:val="none"/>
          <w:u w:val="double"/>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bookmarkStart w:id="119" w:name="_Toc319917951"/>
      <w:r>
        <w:rPr>
          <w:rFonts w:hint="eastAsia" w:asciiTheme="minorEastAsia" w:hAnsiTheme="minorEastAsia" w:eastAsiaTheme="minorEastAsia" w:cstheme="minorEastAsia"/>
          <w:color w:val="auto"/>
          <w:highlight w:val="none"/>
        </w:rPr>
        <w:t>7</w:t>
      </w:r>
      <w:r>
        <w:rPr>
          <w:rFonts w:hint="eastAsia" w:asciiTheme="minorEastAsia" w:hAnsiTheme="minorEastAsia" w:eastAsiaTheme="minorEastAsia" w:cstheme="minorEastAsia"/>
          <w:b/>
          <w:color w:val="auto"/>
          <w:highlight w:val="none"/>
          <w:u w:val="double"/>
        </w:rPr>
        <w:t>投标人的投标报价不得超过招标人公布的最高投标限价。本项目为限额设计，工程结算总造价不得超过中标价。</w:t>
      </w:r>
    </w:p>
    <w:p w14:paraId="4AE2849A">
      <w:pPr>
        <w:spacing w:line="360" w:lineRule="auto"/>
        <w:ind w:firstLine="57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9.8</w:t>
      </w:r>
      <w:r>
        <w:rPr>
          <w:rFonts w:hint="eastAsia" w:asciiTheme="minorEastAsia" w:hAnsiTheme="minorEastAsia" w:eastAsiaTheme="minorEastAsia" w:cstheme="minorEastAsia"/>
          <w:b/>
          <w:color w:val="auto"/>
          <w:highlight w:val="none"/>
          <w:lang w:val="zh-CN"/>
        </w:rPr>
        <w:t>投标单位应充分考虑本招标文件“第</w:t>
      </w:r>
      <w:r>
        <w:rPr>
          <w:rFonts w:hint="eastAsia" w:asciiTheme="minorEastAsia" w:hAnsiTheme="minorEastAsia" w:eastAsiaTheme="minorEastAsia" w:cstheme="minorEastAsia"/>
          <w:b/>
          <w:color w:val="auto"/>
          <w:highlight w:val="none"/>
          <w:lang w:val="en-US" w:eastAsia="zh-CN"/>
        </w:rPr>
        <w:t>三</w:t>
      </w:r>
      <w:r>
        <w:rPr>
          <w:rFonts w:hint="eastAsia" w:asciiTheme="minorEastAsia" w:hAnsiTheme="minorEastAsia" w:eastAsiaTheme="minorEastAsia" w:cstheme="minorEastAsia"/>
          <w:b/>
          <w:color w:val="auto"/>
          <w:highlight w:val="none"/>
          <w:lang w:val="zh-CN"/>
        </w:rPr>
        <w:t>章 拟签订合同的主要条款”所列的结算原则进行投标及报价。</w:t>
      </w:r>
      <w:bookmarkEnd w:id="119"/>
    </w:p>
    <w:p w14:paraId="525F8844">
      <w:pPr>
        <w:spacing w:line="360" w:lineRule="auto"/>
        <w:ind w:firstLine="57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投标人的投标总报价应考虑完成招标文件中招标规模、内容所规定的所有工程及设备的费用，并承担结算原则中规定的一切风险，还应考虑预算编制费、报建和施工时应由施工单位承担的一切费用。各项费用的主要内容及其报价方式：</w:t>
      </w:r>
    </w:p>
    <w:p w14:paraId="14D9BA1B">
      <w:pPr>
        <w:spacing w:line="360" w:lineRule="auto"/>
        <w:ind w:firstLine="570"/>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.1设计费投标报价</w:t>
      </w:r>
      <w:r>
        <w:rPr>
          <w:rFonts w:hint="eastAsia" w:asciiTheme="minorEastAsia" w:hAnsiTheme="minorEastAsia" w:eastAsiaTheme="minorEastAsia" w:cstheme="minorEastAsia"/>
          <w:color w:val="auto"/>
          <w:szCs w:val="24"/>
          <w:highlight w:val="none"/>
        </w:rPr>
        <w:t>：</w:t>
      </w:r>
      <w:r>
        <w:rPr>
          <w:rFonts w:hint="eastAsia" w:asciiTheme="minorEastAsia" w:hAnsiTheme="minorEastAsia" w:eastAsiaTheme="minorEastAsia" w:cstheme="minorEastAsia"/>
          <w:color w:val="auto"/>
          <w:highlight w:val="none"/>
          <w:lang w:val="zh-CN"/>
        </w:rPr>
        <w:t>在最高投标限价范围内，投标人自行报总价，结算按设计费的中标价包干不作任何调整。设计费的报价应包含各个不同专业的施工图设计费用、进行优化设计或修改设计所增加的设计费用、各项专家评审的专家费用、预算编制费等</w:t>
      </w:r>
      <w:r>
        <w:rPr>
          <w:rFonts w:hint="eastAsia" w:asciiTheme="minorEastAsia" w:hAnsiTheme="minorEastAsia" w:eastAsiaTheme="minorEastAsia" w:cstheme="minorEastAsia"/>
          <w:color w:val="auto"/>
          <w:szCs w:val="24"/>
          <w:highlight w:val="none"/>
        </w:rPr>
        <w:t>（不含第三方施工图审查费）</w:t>
      </w:r>
      <w:r>
        <w:rPr>
          <w:rFonts w:hint="eastAsia" w:asciiTheme="minorEastAsia" w:hAnsiTheme="minorEastAsia" w:eastAsiaTheme="minorEastAsia" w:cstheme="minorEastAsia"/>
          <w:color w:val="auto"/>
          <w:highlight w:val="none"/>
          <w:lang w:val="zh-CN"/>
        </w:rPr>
        <w:t>，由投标人自行考虑所有设计工作的辅助费用。如其他专业需要分包的，需向招标人报备。另外，中标人需向招标人提供合格施工图一式1</w:t>
      </w: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zh-CN"/>
        </w:rPr>
        <w:t>份。</w:t>
      </w:r>
    </w:p>
    <w:p w14:paraId="103C8EAF">
      <w:pPr>
        <w:spacing w:line="360" w:lineRule="auto"/>
        <w:ind w:firstLine="570"/>
        <w:rPr>
          <w:rFonts w:hint="eastAsia" w:asciiTheme="minorEastAsia" w:hAnsiTheme="minorEastAsia" w:eastAsiaTheme="minorEastAsia" w:cstheme="minorEastAsia"/>
          <w:b/>
          <w:bCs/>
          <w:color w:val="auto"/>
          <w:highlight w:val="none"/>
          <w:lang w:val="zh-CN"/>
        </w:rPr>
      </w:pPr>
      <w:r>
        <w:rPr>
          <w:rFonts w:hint="eastAsia" w:asciiTheme="minorEastAsia" w:hAnsiTheme="minorEastAsia" w:eastAsiaTheme="minorEastAsia" w:cstheme="minorEastAsia"/>
          <w:b/>
          <w:bCs/>
          <w:color w:val="auto"/>
          <w:highlight w:val="none"/>
          <w:lang w:val="zh-CN"/>
        </w:rPr>
        <w:t>本项目在实施过程中可能出现设计成果已通过确认，仍需进行设计变更、修改、调整等情况，不另行增加设计费。</w:t>
      </w:r>
    </w:p>
    <w:p w14:paraId="7E983ED5">
      <w:pPr>
        <w:spacing w:line="360" w:lineRule="auto"/>
        <w:ind w:firstLine="588" w:firstLineChars="24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2</w:t>
      </w:r>
      <w:r>
        <w:rPr>
          <w:rFonts w:hint="eastAsia" w:asciiTheme="minorEastAsia" w:hAnsiTheme="minorEastAsia" w:eastAsiaTheme="minorEastAsia" w:cstheme="minorEastAsia"/>
          <w:color w:val="auto"/>
          <w:highlight w:val="none"/>
          <w:lang w:val="zh-CN"/>
        </w:rPr>
        <w:t>建安</w:t>
      </w:r>
      <w:r>
        <w:rPr>
          <w:rFonts w:hint="eastAsia" w:asciiTheme="minorEastAsia" w:hAnsiTheme="minorEastAsia" w:eastAsiaTheme="minorEastAsia" w:cstheme="minorEastAsia"/>
          <w:color w:val="auto"/>
          <w:szCs w:val="24"/>
          <w:highlight w:val="none"/>
        </w:rPr>
        <w:t>工程费用</w:t>
      </w:r>
      <w:r>
        <w:rPr>
          <w:rFonts w:hint="eastAsia" w:asciiTheme="minorEastAsia" w:hAnsiTheme="minorEastAsia" w:eastAsiaTheme="minorEastAsia" w:cstheme="minorEastAsia"/>
          <w:color w:val="auto"/>
          <w:highlight w:val="none"/>
          <w:lang w:val="zh-CN"/>
        </w:rPr>
        <w:t>：采用下浮率的方式进行报价</w:t>
      </w:r>
      <w:r>
        <w:rPr>
          <w:rFonts w:hint="eastAsia" w:asciiTheme="minorEastAsia" w:hAnsiTheme="minorEastAsia" w:eastAsiaTheme="minorEastAsia" w:cstheme="minorEastAsia"/>
          <w:color w:val="auto"/>
          <w:szCs w:val="24"/>
          <w:highlight w:val="none"/>
        </w:rPr>
        <w:t>，结算时按招标文件有关结算原则计算后再按报价</w:t>
      </w:r>
      <w:r>
        <w:rPr>
          <w:rFonts w:hint="eastAsia" w:asciiTheme="minorEastAsia" w:hAnsiTheme="minorEastAsia" w:eastAsiaTheme="minorEastAsia" w:cstheme="minorEastAsia"/>
          <w:color w:val="auto"/>
          <w:highlight w:val="none"/>
          <w:lang w:val="zh-CN"/>
        </w:rPr>
        <w:t>下浮率</w:t>
      </w:r>
      <w:r>
        <w:rPr>
          <w:rFonts w:hint="eastAsia" w:asciiTheme="minorEastAsia" w:hAnsiTheme="minorEastAsia" w:eastAsiaTheme="minorEastAsia" w:cstheme="minorEastAsia"/>
          <w:color w:val="auto"/>
          <w:szCs w:val="24"/>
          <w:highlight w:val="none"/>
        </w:rPr>
        <w:t>下浮。建安工程费投标报价=计算基数×（1-下浮率）。</w:t>
      </w:r>
    </w:p>
    <w:p w14:paraId="2EDA0DA9">
      <w:pPr>
        <w:spacing w:line="360" w:lineRule="auto"/>
        <w:ind w:firstLine="588" w:firstLineChars="245"/>
        <w:rPr>
          <w:rFonts w:hint="eastAsia" w:asciiTheme="minorEastAsia" w:hAnsiTheme="minorEastAsia" w:eastAsiaTheme="minorEastAsia" w:cstheme="minorEastAsia"/>
          <w:strike/>
          <w:color w:val="auto"/>
          <w:szCs w:val="24"/>
          <w:highlight w:val="none"/>
        </w:rPr>
      </w:pPr>
      <w:r>
        <w:rPr>
          <w:rFonts w:hint="eastAsia" w:asciiTheme="minorEastAsia" w:hAnsiTheme="minorEastAsia" w:eastAsiaTheme="minorEastAsia" w:cstheme="minorEastAsia"/>
          <w:color w:val="auto"/>
          <w:szCs w:val="24"/>
          <w:highlight w:val="none"/>
        </w:rPr>
        <w:t>如投标人的建安工程费用投标报价</w:t>
      </w:r>
      <w:r>
        <w:rPr>
          <w:rFonts w:hint="eastAsia" w:asciiTheme="minorEastAsia" w:hAnsiTheme="minorEastAsia" w:eastAsiaTheme="minorEastAsia" w:cstheme="minorEastAsia"/>
          <w:color w:val="auto"/>
          <w:highlight w:val="none"/>
          <w:lang w:val="zh-CN"/>
        </w:rPr>
        <w:t>下浮率</w:t>
      </w:r>
      <w:r>
        <w:rPr>
          <w:rFonts w:hint="eastAsia" w:asciiTheme="minorEastAsia" w:hAnsiTheme="minorEastAsia" w:eastAsiaTheme="minorEastAsia" w:cstheme="minorEastAsia"/>
          <w:color w:val="auto"/>
          <w:szCs w:val="24"/>
          <w:highlight w:val="none"/>
        </w:rPr>
        <w:t>高于15%时，投标人必须在投标报价书中另行作出详细合理的书面说明并提供相关证明材料供评标委员会评审，否则评标委员会将认定该投标人以低于成本报价竞标。</w:t>
      </w:r>
    </w:p>
    <w:p w14:paraId="6D0D7B36">
      <w:pPr>
        <w:pStyle w:val="33"/>
        <w:spacing w:line="360" w:lineRule="auto"/>
        <w:jc w:val="left"/>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snapToGrid w:val="0"/>
          <w:color w:val="auto"/>
          <w:kern w:val="0"/>
          <w:sz w:val="24"/>
          <w:highlight w:val="none"/>
        </w:rPr>
        <w:t xml:space="preserve">    建安工程费的报价应考虑完成招标文件中招标规模、内容所规定的所有工程的费用，并承担结算原则中规定的一切风险，还应包含工程报建和施工时应由施工单位承担的一切费用。</w:t>
      </w:r>
    </w:p>
    <w:p w14:paraId="0A1B6FB4">
      <w:pPr>
        <w:spacing w:line="360" w:lineRule="auto"/>
        <w:ind w:firstLine="588" w:firstLineChars="24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9.9.3</w:t>
      </w:r>
      <w:r>
        <w:rPr>
          <w:rFonts w:hint="eastAsia" w:asciiTheme="minorEastAsia" w:hAnsiTheme="minorEastAsia" w:eastAsiaTheme="minorEastAsia" w:cstheme="minorEastAsia"/>
          <w:color w:val="auto"/>
          <w:szCs w:val="24"/>
          <w:highlight w:val="none"/>
        </w:rPr>
        <w:t>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358176DE">
      <w:pPr>
        <w:spacing w:line="360" w:lineRule="auto"/>
        <w:ind w:firstLine="588" w:firstLineChars="245"/>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9.9.4</w:t>
      </w:r>
      <w:r>
        <w:rPr>
          <w:rFonts w:hint="eastAsia" w:asciiTheme="minorEastAsia" w:hAnsiTheme="minorEastAsia" w:eastAsiaTheme="minorEastAsia" w:cstheme="minorEastAsia"/>
          <w:color w:val="auto"/>
          <w:szCs w:val="24"/>
          <w:highlight w:val="none"/>
        </w:rPr>
        <w:t>投标人在投标报价时，自行考虑高温补贴费、施工视频监控系统费用，专业分包的总包服务及配合费，预算（含工程量清单编制费）等，并承担相应风险，结算时不另行计取。</w:t>
      </w:r>
    </w:p>
    <w:p w14:paraId="1A929A29">
      <w:pPr>
        <w:spacing w:line="360" w:lineRule="auto"/>
        <w:ind w:firstLine="588" w:firstLineChars="245"/>
        <w:rPr>
          <w:rFonts w:hint="eastAsia" w:asciiTheme="minorEastAsia" w:hAnsiTheme="minorEastAsia" w:eastAsiaTheme="minorEastAsia" w:cstheme="minorEastAsia"/>
          <w:bCs/>
          <w:color w:val="auto"/>
          <w:szCs w:val="24"/>
          <w:highlight w:val="none"/>
        </w:rPr>
      </w:pPr>
      <w:r>
        <w:rPr>
          <w:rFonts w:hint="eastAsia" w:asciiTheme="minorEastAsia" w:hAnsiTheme="minorEastAsia" w:eastAsiaTheme="minorEastAsia" w:cstheme="minorEastAsia"/>
          <w:color w:val="auto"/>
          <w:highlight w:val="none"/>
        </w:rPr>
        <w:t>9</w:t>
      </w:r>
      <w:r>
        <w:rPr>
          <w:rFonts w:hint="eastAsia" w:asciiTheme="minorEastAsia" w:hAnsiTheme="minorEastAsia" w:eastAsiaTheme="minorEastAsia" w:cstheme="minorEastAsia"/>
          <w:color w:val="auto"/>
          <w:highlight w:val="none"/>
          <w:lang w:val="zh-CN"/>
        </w:rPr>
        <w:t>.</w:t>
      </w:r>
      <w:r>
        <w:rPr>
          <w:rFonts w:hint="eastAsia" w:asciiTheme="minorEastAsia" w:hAnsiTheme="minorEastAsia" w:eastAsiaTheme="minorEastAsia" w:cstheme="minorEastAsia"/>
          <w:color w:val="auto"/>
          <w:highlight w:val="none"/>
        </w:rPr>
        <w:t xml:space="preserve">9.5 </w:t>
      </w:r>
      <w:r>
        <w:rPr>
          <w:rFonts w:hint="eastAsia" w:asciiTheme="minorEastAsia" w:hAnsiTheme="minorEastAsia" w:eastAsiaTheme="minorEastAsia" w:cstheme="minorEastAsia"/>
          <w:bCs/>
          <w:color w:val="auto"/>
          <w:highlight w:val="none"/>
        </w:rPr>
        <w:t>招标人可根据本项目实际情况对规模及内容进行调整</w:t>
      </w:r>
      <w:r>
        <w:rPr>
          <w:rFonts w:hint="eastAsia" w:asciiTheme="minorEastAsia" w:hAnsiTheme="minorEastAsia" w:eastAsiaTheme="minorEastAsia" w:cstheme="minorEastAsia"/>
          <w:color w:val="auto"/>
          <w:highlight w:val="none"/>
        </w:rPr>
        <w:t>或减少，投标人中标后不得因此调整或减少向招标人索赔，并且必须按调整或减少后的规模及内容完成工程建设。投标人在投标报价时需综合考虑该因素并报价</w:t>
      </w:r>
      <w:r>
        <w:rPr>
          <w:rFonts w:hint="eastAsia" w:asciiTheme="minorEastAsia" w:hAnsiTheme="minorEastAsia" w:eastAsiaTheme="minorEastAsia" w:cstheme="minorEastAsia"/>
          <w:bCs/>
          <w:color w:val="auto"/>
          <w:highlight w:val="none"/>
        </w:rPr>
        <w:t>。</w:t>
      </w:r>
    </w:p>
    <w:p w14:paraId="5234461D">
      <w:pPr>
        <w:pStyle w:val="29"/>
        <w:keepNext/>
        <w:keepLines/>
        <w:ind w:firstLine="480"/>
        <w:jc w:val="both"/>
        <w:rPr>
          <w:rFonts w:hint="eastAsia" w:asciiTheme="minorEastAsia" w:hAnsiTheme="minorEastAsia" w:eastAsiaTheme="minorEastAsia" w:cstheme="minorEastAsia"/>
          <w:b/>
          <w:color w:val="auto"/>
          <w:szCs w:val="24"/>
          <w:highlight w:val="none"/>
        </w:rPr>
      </w:pPr>
      <w:bookmarkStart w:id="120" w:name="_Toc15336"/>
      <w:r>
        <w:rPr>
          <w:rFonts w:hint="eastAsia" w:asciiTheme="minorEastAsia" w:hAnsiTheme="minorEastAsia" w:eastAsiaTheme="minorEastAsia" w:cstheme="minorEastAsia"/>
          <w:b/>
          <w:color w:val="auto"/>
          <w:szCs w:val="24"/>
          <w:highlight w:val="none"/>
        </w:rPr>
        <w:t>10、 最高</w:t>
      </w:r>
      <w:r>
        <w:rPr>
          <w:rFonts w:hint="eastAsia" w:asciiTheme="minorEastAsia" w:hAnsiTheme="minorEastAsia" w:eastAsiaTheme="minorEastAsia" w:cstheme="minorEastAsia"/>
          <w:b/>
          <w:color w:val="auto"/>
          <w:kern w:val="2"/>
          <w:highlight w:val="none"/>
        </w:rPr>
        <w:t>投标</w:t>
      </w:r>
      <w:r>
        <w:rPr>
          <w:rFonts w:hint="eastAsia" w:asciiTheme="minorEastAsia" w:hAnsiTheme="minorEastAsia" w:eastAsiaTheme="minorEastAsia" w:cstheme="minorEastAsia"/>
          <w:b/>
          <w:color w:val="auto"/>
          <w:szCs w:val="24"/>
          <w:highlight w:val="none"/>
        </w:rPr>
        <w:t>限价的确定</w:t>
      </w:r>
      <w:bookmarkEnd w:id="120"/>
      <w:bookmarkStart w:id="121" w:name="_Hlt69335617"/>
      <w:bookmarkStart w:id="122" w:name="_Hlt121629839"/>
    </w:p>
    <w:p w14:paraId="13807494">
      <w:pPr>
        <w:spacing w:line="360" w:lineRule="auto"/>
        <w:ind w:firstLine="560"/>
        <w:rPr>
          <w:rFonts w:hint="eastAsia" w:asciiTheme="minorEastAsia" w:hAnsiTheme="minorEastAsia" w:eastAsiaTheme="minorEastAsia" w:cstheme="minorEastAsia"/>
          <w:color w:val="auto"/>
          <w:highlight w:val="none"/>
        </w:rPr>
      </w:pPr>
      <w:bookmarkStart w:id="123" w:name="_Toc12443"/>
      <w:bookmarkStart w:id="124" w:name="_Toc13350"/>
      <w:bookmarkStart w:id="125" w:name="_Toc7307"/>
      <w:bookmarkStart w:id="126" w:name="_Toc4604"/>
      <w:bookmarkStart w:id="127" w:name="_Toc29734"/>
      <w:bookmarkStart w:id="128" w:name="_Toc15152"/>
      <w:bookmarkStart w:id="129" w:name="_Toc32578"/>
      <w:bookmarkStart w:id="130" w:name="_Toc5483"/>
      <w:bookmarkStart w:id="131" w:name="_Toc24510"/>
      <w:r>
        <w:rPr>
          <w:rFonts w:hint="eastAsia" w:asciiTheme="minorEastAsia" w:hAnsiTheme="minorEastAsia" w:eastAsiaTheme="minorEastAsia" w:cstheme="minorEastAsia"/>
          <w:color w:val="auto"/>
          <w:szCs w:val="24"/>
          <w:highlight w:val="none"/>
          <w:lang w:eastAsia="zh-CN"/>
        </w:rPr>
        <w:t>本项目最高投标限</w:t>
      </w:r>
      <w:r>
        <w:rPr>
          <w:rFonts w:hint="eastAsia" w:asciiTheme="minorEastAsia" w:hAnsiTheme="minorEastAsia" w:eastAsiaTheme="minorEastAsia" w:cstheme="minorEastAsia"/>
          <w:color w:val="auto"/>
          <w:highlight w:val="none"/>
          <w:lang w:eastAsia="zh-CN"/>
        </w:rPr>
        <w:t>价为人民币（大写）：</w:t>
      </w:r>
      <w:r>
        <w:rPr>
          <w:rFonts w:hint="eastAsia" w:asciiTheme="minorEastAsia" w:hAnsiTheme="minorEastAsia" w:eastAsiaTheme="minorEastAsia" w:cstheme="minorEastAsia"/>
          <w:color w:val="auto"/>
          <w:highlight w:val="none"/>
          <w:lang w:val="en-US" w:eastAsia="zh-CN"/>
        </w:rPr>
        <w:t>贰仟壹佰零叁万捌仟陆佰元（¥21038600.00元）。</w:t>
      </w:r>
      <w:r>
        <w:rPr>
          <w:rFonts w:hint="eastAsia" w:asciiTheme="minorEastAsia" w:hAnsiTheme="minorEastAsia" w:eastAsiaTheme="minorEastAsia" w:cstheme="minorEastAsia"/>
          <w:color w:val="auto"/>
          <w:highlight w:val="none"/>
        </w:rPr>
        <w:t>具体详见下表：</w:t>
      </w:r>
    </w:p>
    <w:tbl>
      <w:tblPr>
        <w:tblStyle w:val="22"/>
        <w:tblW w:w="929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49"/>
        <w:gridCol w:w="2286"/>
        <w:gridCol w:w="1748"/>
        <w:gridCol w:w="1685"/>
        <w:gridCol w:w="2830"/>
      </w:tblGrid>
      <w:tr w14:paraId="06319F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34" w:hRule="atLeast"/>
          <w:jc w:val="center"/>
        </w:trPr>
        <w:tc>
          <w:tcPr>
            <w:tcW w:w="749" w:type="dxa"/>
            <w:noWrap w:val="0"/>
            <w:vAlign w:val="center"/>
          </w:tcPr>
          <w:p w14:paraId="7118611E">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序号</w:t>
            </w:r>
          </w:p>
        </w:tc>
        <w:tc>
          <w:tcPr>
            <w:tcW w:w="2286" w:type="dxa"/>
            <w:noWrap w:val="0"/>
            <w:vAlign w:val="center"/>
          </w:tcPr>
          <w:p w14:paraId="5DC4C583">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项目名称</w:t>
            </w:r>
          </w:p>
        </w:tc>
        <w:tc>
          <w:tcPr>
            <w:tcW w:w="1748" w:type="dxa"/>
            <w:noWrap w:val="0"/>
            <w:vAlign w:val="top"/>
          </w:tcPr>
          <w:p w14:paraId="31CDABBB">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建安工程费</w:t>
            </w:r>
          </w:p>
          <w:p w14:paraId="01225D27">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投标下浮率</w:t>
            </w:r>
          </w:p>
        </w:tc>
        <w:tc>
          <w:tcPr>
            <w:tcW w:w="1685" w:type="dxa"/>
            <w:noWrap w:val="0"/>
            <w:vAlign w:val="center"/>
          </w:tcPr>
          <w:p w14:paraId="0F552A90">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最高投标限价（元）</w:t>
            </w:r>
          </w:p>
        </w:tc>
        <w:tc>
          <w:tcPr>
            <w:tcW w:w="2830" w:type="dxa"/>
            <w:noWrap w:val="0"/>
            <w:vAlign w:val="center"/>
          </w:tcPr>
          <w:p w14:paraId="1E93F20B">
            <w:pPr>
              <w:spacing w:line="36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备注</w:t>
            </w:r>
          </w:p>
        </w:tc>
      </w:tr>
      <w:tr w14:paraId="627CE0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85" w:hRule="atLeast"/>
          <w:jc w:val="center"/>
        </w:trPr>
        <w:tc>
          <w:tcPr>
            <w:tcW w:w="749" w:type="dxa"/>
            <w:noWrap w:val="0"/>
            <w:vAlign w:val="center"/>
          </w:tcPr>
          <w:p w14:paraId="6EB74291">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1</w:t>
            </w:r>
          </w:p>
        </w:tc>
        <w:tc>
          <w:tcPr>
            <w:tcW w:w="2286" w:type="dxa"/>
            <w:noWrap w:val="0"/>
            <w:vAlign w:val="center"/>
          </w:tcPr>
          <w:p w14:paraId="72CB0026">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设计费</w:t>
            </w:r>
            <w:r>
              <w:rPr>
                <w:rFonts w:hint="eastAsia" w:ascii="宋体" w:hAnsi="宋体" w:eastAsia="宋体" w:cs="宋体"/>
                <w:color w:val="auto"/>
                <w:kern w:val="1"/>
                <w:sz w:val="24"/>
                <w:szCs w:val="24"/>
                <w:highlight w:val="none"/>
                <w:lang w:val="en-US" w:eastAsia="zh-CN"/>
              </w:rPr>
              <w:t>（含</w:t>
            </w:r>
            <w:r>
              <w:rPr>
                <w:rFonts w:hint="eastAsia" w:hAnsi="宋体" w:eastAsia="宋体" w:cs="宋体"/>
                <w:color w:val="auto"/>
                <w:kern w:val="1"/>
                <w:sz w:val="24"/>
                <w:szCs w:val="24"/>
                <w:highlight w:val="none"/>
                <w:lang w:val="en-US" w:eastAsia="zh-CN"/>
              </w:rPr>
              <w:t>勘察费</w:t>
            </w:r>
            <w:r>
              <w:rPr>
                <w:rFonts w:hint="eastAsia" w:ascii="宋体" w:hAnsi="宋体" w:eastAsia="宋体" w:cs="宋体"/>
                <w:color w:val="auto"/>
                <w:kern w:val="1"/>
                <w:sz w:val="24"/>
                <w:szCs w:val="24"/>
                <w:highlight w:val="none"/>
                <w:lang w:val="en-US" w:eastAsia="zh-CN"/>
              </w:rPr>
              <w:t>）</w:t>
            </w:r>
          </w:p>
        </w:tc>
        <w:tc>
          <w:tcPr>
            <w:tcW w:w="1748" w:type="dxa"/>
            <w:noWrap w:val="0"/>
            <w:vAlign w:val="center"/>
          </w:tcPr>
          <w:p w14:paraId="610A3477">
            <w:pPr>
              <w:spacing w:line="400" w:lineRule="exact"/>
              <w:jc w:val="center"/>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rPr>
              <w:t>/</w:t>
            </w:r>
          </w:p>
        </w:tc>
        <w:tc>
          <w:tcPr>
            <w:tcW w:w="1685" w:type="dxa"/>
            <w:noWrap w:val="0"/>
            <w:vAlign w:val="center"/>
          </w:tcPr>
          <w:p w14:paraId="38DCD6F6">
            <w:pPr>
              <w:snapToGrid w:val="0"/>
              <w:spacing w:line="400" w:lineRule="exact"/>
              <w:jc w:val="center"/>
              <w:rPr>
                <w:rFonts w:hint="default"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 xml:space="preserve">1198900.00   </w:t>
            </w:r>
          </w:p>
        </w:tc>
        <w:tc>
          <w:tcPr>
            <w:tcW w:w="2830" w:type="dxa"/>
            <w:noWrap w:val="0"/>
            <w:vAlign w:val="center"/>
          </w:tcPr>
          <w:p w14:paraId="5B9329B8">
            <w:pPr>
              <w:spacing w:line="360" w:lineRule="exact"/>
              <w:jc w:val="left"/>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lang w:val="zh-CN"/>
              </w:rPr>
              <w:t>设计费在不高于</w:t>
            </w:r>
            <w:r>
              <w:rPr>
                <w:rFonts w:hint="eastAsia" w:ascii="宋体" w:hAnsi="宋体" w:eastAsia="宋体" w:cs="宋体"/>
                <w:color w:val="auto"/>
                <w:kern w:val="1"/>
                <w:sz w:val="24"/>
                <w:szCs w:val="24"/>
                <w:highlight w:val="none"/>
              </w:rPr>
              <w:t>最高投标限价</w:t>
            </w:r>
            <w:r>
              <w:rPr>
                <w:rFonts w:hint="eastAsia" w:ascii="宋体" w:hAnsi="宋体" w:eastAsia="宋体" w:cs="宋体"/>
                <w:color w:val="auto"/>
                <w:kern w:val="1"/>
                <w:sz w:val="24"/>
                <w:szCs w:val="24"/>
                <w:highlight w:val="none"/>
                <w:lang w:val="zh-CN"/>
              </w:rPr>
              <w:t>的基础上自行报价并包干，结算不作任何调整</w:t>
            </w:r>
          </w:p>
        </w:tc>
      </w:tr>
      <w:tr w14:paraId="6018DB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077" w:hRule="atLeast"/>
          <w:jc w:val="center"/>
        </w:trPr>
        <w:tc>
          <w:tcPr>
            <w:tcW w:w="749" w:type="dxa"/>
            <w:noWrap w:val="0"/>
            <w:vAlign w:val="center"/>
          </w:tcPr>
          <w:p w14:paraId="10302F8E">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2</w:t>
            </w:r>
          </w:p>
        </w:tc>
        <w:tc>
          <w:tcPr>
            <w:tcW w:w="2286" w:type="dxa"/>
            <w:noWrap w:val="0"/>
            <w:vAlign w:val="center"/>
          </w:tcPr>
          <w:p w14:paraId="0DE4AA7C">
            <w:pPr>
              <w:spacing w:line="400" w:lineRule="exact"/>
              <w:jc w:val="center"/>
              <w:rPr>
                <w:rFonts w:hint="eastAsia" w:ascii="宋体" w:hAnsi="宋体" w:eastAsia="宋体" w:cs="宋体"/>
                <w:color w:val="auto"/>
                <w:kern w:val="1"/>
                <w:sz w:val="24"/>
                <w:szCs w:val="24"/>
                <w:highlight w:val="none"/>
                <w:lang w:eastAsia="zh-CN"/>
              </w:rPr>
            </w:pPr>
            <w:r>
              <w:rPr>
                <w:rFonts w:hint="eastAsia" w:ascii="宋体" w:hAnsi="宋体" w:eastAsia="宋体" w:cs="宋体"/>
                <w:color w:val="auto"/>
                <w:kern w:val="1"/>
                <w:sz w:val="24"/>
                <w:szCs w:val="24"/>
                <w:highlight w:val="none"/>
              </w:rPr>
              <w:t>建安工程费</w:t>
            </w:r>
          </w:p>
        </w:tc>
        <w:tc>
          <w:tcPr>
            <w:tcW w:w="1748" w:type="dxa"/>
            <w:noWrap w:val="0"/>
            <w:vAlign w:val="center"/>
          </w:tcPr>
          <w:p w14:paraId="3BCB50AD">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w:t>
            </w:r>
            <w:r>
              <w:rPr>
                <w:rFonts w:hint="eastAsia" w:ascii="宋体" w:hAnsi="宋体" w:eastAsia="宋体" w:cs="宋体"/>
                <w:color w:val="auto"/>
                <w:kern w:val="1"/>
                <w:sz w:val="24"/>
                <w:szCs w:val="24"/>
                <w:highlight w:val="none"/>
                <w:u w:val="single"/>
              </w:rPr>
              <w:t xml:space="preserve">  </w:t>
            </w:r>
            <w:r>
              <w:rPr>
                <w:rFonts w:hint="eastAsia" w:ascii="宋体" w:hAnsi="宋体" w:eastAsia="宋体" w:cs="宋体"/>
                <w:color w:val="auto"/>
                <w:kern w:val="1"/>
                <w:sz w:val="24"/>
                <w:szCs w:val="24"/>
                <w:highlight w:val="none"/>
                <w:u w:val="single"/>
                <w:lang w:val="en-US" w:eastAsia="zh-CN"/>
              </w:rPr>
              <w:t>0</w:t>
            </w:r>
            <w:r>
              <w:rPr>
                <w:rFonts w:hint="eastAsia" w:ascii="宋体" w:hAnsi="宋体" w:eastAsia="宋体" w:cs="宋体"/>
                <w:color w:val="auto"/>
                <w:kern w:val="1"/>
                <w:sz w:val="24"/>
                <w:szCs w:val="24"/>
                <w:highlight w:val="none"/>
                <w:u w:val="single"/>
              </w:rPr>
              <w:t xml:space="preserve">.00 </w:t>
            </w:r>
            <w:r>
              <w:rPr>
                <w:rFonts w:hint="eastAsia" w:ascii="宋体" w:hAnsi="宋体" w:eastAsia="宋体" w:cs="宋体"/>
                <w:color w:val="auto"/>
                <w:kern w:val="1"/>
                <w:sz w:val="24"/>
                <w:szCs w:val="24"/>
                <w:highlight w:val="none"/>
              </w:rPr>
              <w:t>%</w:t>
            </w:r>
          </w:p>
        </w:tc>
        <w:tc>
          <w:tcPr>
            <w:tcW w:w="1685" w:type="dxa"/>
            <w:noWrap w:val="0"/>
            <w:vAlign w:val="center"/>
          </w:tcPr>
          <w:p w14:paraId="15600AB6">
            <w:pPr>
              <w:snapToGrid w:val="0"/>
              <w:spacing w:line="400" w:lineRule="exact"/>
              <w:jc w:val="center"/>
              <w:rPr>
                <w:rFonts w:hint="eastAsia" w:ascii="宋体" w:hAnsi="宋体" w:eastAsia="宋体" w:cs="宋体"/>
                <w:color w:val="auto"/>
                <w:kern w:val="1"/>
                <w:sz w:val="24"/>
                <w:szCs w:val="24"/>
                <w:highlight w:val="none"/>
                <w:lang w:val="en-US" w:eastAsia="zh-CN"/>
              </w:rPr>
            </w:pPr>
            <w:r>
              <w:rPr>
                <w:rFonts w:hint="eastAsia" w:ascii="宋体" w:hAnsi="宋体" w:eastAsia="宋体" w:cs="宋体"/>
                <w:color w:val="auto"/>
                <w:kern w:val="1"/>
                <w:sz w:val="24"/>
                <w:szCs w:val="24"/>
                <w:highlight w:val="none"/>
                <w:lang w:val="en-US" w:eastAsia="zh-CN"/>
              </w:rPr>
              <w:t>17226900.00</w:t>
            </w:r>
          </w:p>
        </w:tc>
        <w:tc>
          <w:tcPr>
            <w:tcW w:w="2830" w:type="dxa"/>
            <w:noWrap w:val="0"/>
            <w:vAlign w:val="center"/>
          </w:tcPr>
          <w:p w14:paraId="7F7FBAD2">
            <w:pPr>
              <w:numPr>
                <w:ilvl w:val="0"/>
                <w:numId w:val="1"/>
              </w:numPr>
              <w:spacing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建安工程费报价= </w:t>
            </w:r>
            <w:r>
              <w:rPr>
                <w:rFonts w:hint="eastAsia" w:ascii="宋体" w:hAnsi="宋体" w:eastAsia="宋体" w:cs="宋体"/>
                <w:color w:val="auto"/>
                <w:sz w:val="24"/>
                <w:szCs w:val="24"/>
                <w:highlight w:val="none"/>
                <w:lang w:val="en-US" w:eastAsia="zh-CN"/>
              </w:rPr>
              <w:t>17226900.00</w:t>
            </w:r>
            <w:r>
              <w:rPr>
                <w:rFonts w:hint="eastAsia" w:ascii="宋体" w:hAnsi="宋体" w:eastAsia="宋体" w:cs="宋体"/>
                <w:color w:val="auto"/>
                <w:kern w:val="1"/>
                <w:sz w:val="24"/>
                <w:szCs w:val="24"/>
                <w:highlight w:val="none"/>
                <w:lang w:val="en-US" w:eastAsia="zh-CN"/>
              </w:rPr>
              <w:t>元</w:t>
            </w:r>
            <w:r>
              <w:rPr>
                <w:rFonts w:hint="eastAsia" w:ascii="宋体" w:hAnsi="宋体" w:eastAsia="宋体" w:cs="宋体"/>
                <w:color w:val="auto"/>
                <w:sz w:val="24"/>
                <w:szCs w:val="24"/>
                <w:highlight w:val="none"/>
              </w:rPr>
              <w:t>×（1-建安工程费投标下浮率）</w:t>
            </w:r>
          </w:p>
          <w:p w14:paraId="1C92CD5D">
            <w:pPr>
              <w:numPr>
                <w:ilvl w:val="0"/>
                <w:numId w:val="1"/>
              </w:numPr>
              <w:spacing w:line="360" w:lineRule="exact"/>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投标人应分别报投标下浮率和建安工程费</w:t>
            </w:r>
          </w:p>
        </w:tc>
      </w:tr>
      <w:tr w14:paraId="646868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23881196">
            <w:pPr>
              <w:spacing w:line="400" w:lineRule="exact"/>
              <w:jc w:val="center"/>
              <w:rPr>
                <w:rFonts w:hint="default"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3</w:t>
            </w:r>
          </w:p>
        </w:tc>
        <w:tc>
          <w:tcPr>
            <w:tcW w:w="2286" w:type="dxa"/>
            <w:noWrap w:val="0"/>
            <w:vAlign w:val="center"/>
          </w:tcPr>
          <w:p w14:paraId="5452138C">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lang w:val="en-US" w:eastAsia="zh-CN"/>
              </w:rPr>
              <w:t>建设场地征用及清理费</w:t>
            </w:r>
          </w:p>
        </w:tc>
        <w:tc>
          <w:tcPr>
            <w:tcW w:w="1748" w:type="dxa"/>
            <w:noWrap w:val="0"/>
            <w:vAlign w:val="center"/>
          </w:tcPr>
          <w:p w14:paraId="16CC93A7">
            <w:pPr>
              <w:spacing w:line="400" w:lineRule="exact"/>
              <w:jc w:val="center"/>
              <w:rPr>
                <w:rFonts w:hint="eastAsia"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w:t>
            </w:r>
          </w:p>
        </w:tc>
        <w:tc>
          <w:tcPr>
            <w:tcW w:w="1685" w:type="dxa"/>
            <w:tcBorders>
              <w:right w:val="single" w:color="auto" w:sz="4" w:space="0"/>
            </w:tcBorders>
            <w:noWrap w:val="0"/>
            <w:vAlign w:val="center"/>
          </w:tcPr>
          <w:p w14:paraId="79DC67FF">
            <w:pPr>
              <w:spacing w:line="400" w:lineRule="exact"/>
              <w:jc w:val="center"/>
              <w:rPr>
                <w:rFonts w:hint="default" w:ascii="宋体" w:hAnsi="宋体" w:eastAsia="宋体" w:cs="宋体"/>
                <w:color w:val="auto"/>
                <w:kern w:val="1"/>
                <w:sz w:val="24"/>
                <w:szCs w:val="24"/>
                <w:highlight w:val="none"/>
                <w:lang w:val="en-US" w:eastAsia="zh-CN"/>
              </w:rPr>
            </w:pPr>
            <w:r>
              <w:rPr>
                <w:rFonts w:hint="default" w:ascii="宋体" w:hAnsi="宋体" w:eastAsia="宋体" w:cs="宋体"/>
                <w:color w:val="auto"/>
                <w:kern w:val="1"/>
                <w:sz w:val="24"/>
                <w:szCs w:val="24"/>
                <w:highlight w:val="none"/>
                <w:lang w:val="en-US" w:eastAsia="zh-CN"/>
              </w:rPr>
              <w:t>2612800.00</w:t>
            </w:r>
          </w:p>
        </w:tc>
        <w:tc>
          <w:tcPr>
            <w:tcW w:w="2830" w:type="dxa"/>
            <w:tcBorders>
              <w:left w:val="single" w:color="auto" w:sz="4" w:space="0"/>
            </w:tcBorders>
            <w:noWrap w:val="0"/>
            <w:vAlign w:val="center"/>
          </w:tcPr>
          <w:p w14:paraId="5C437B55">
            <w:pPr>
              <w:spacing w:line="400" w:lineRule="exact"/>
              <w:jc w:val="center"/>
              <w:rPr>
                <w:rFonts w:hint="eastAsia" w:ascii="宋体"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统一报价（以实际发生为准）</w:t>
            </w:r>
          </w:p>
        </w:tc>
      </w:tr>
      <w:tr w14:paraId="54D01FA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7" w:hRule="atLeast"/>
          <w:jc w:val="center"/>
        </w:trPr>
        <w:tc>
          <w:tcPr>
            <w:tcW w:w="749" w:type="dxa"/>
            <w:noWrap w:val="0"/>
            <w:vAlign w:val="center"/>
          </w:tcPr>
          <w:p w14:paraId="66CA040C">
            <w:pPr>
              <w:spacing w:line="400" w:lineRule="exact"/>
              <w:jc w:val="center"/>
              <w:rPr>
                <w:rFonts w:hint="eastAsia" w:hAnsi="宋体" w:eastAsia="宋体" w:cs="宋体"/>
                <w:color w:val="auto"/>
                <w:kern w:val="1"/>
                <w:sz w:val="24"/>
                <w:szCs w:val="24"/>
                <w:highlight w:val="none"/>
                <w:lang w:val="en-US" w:eastAsia="zh-CN"/>
              </w:rPr>
            </w:pPr>
            <w:r>
              <w:rPr>
                <w:rFonts w:hint="eastAsia" w:hAnsi="宋体" w:eastAsia="宋体" w:cs="宋体"/>
                <w:color w:val="auto"/>
                <w:kern w:val="1"/>
                <w:sz w:val="24"/>
                <w:szCs w:val="24"/>
                <w:highlight w:val="none"/>
                <w:lang w:val="en-US" w:eastAsia="zh-CN"/>
              </w:rPr>
              <w:t>5</w:t>
            </w:r>
          </w:p>
        </w:tc>
        <w:tc>
          <w:tcPr>
            <w:tcW w:w="2286" w:type="dxa"/>
            <w:noWrap w:val="0"/>
            <w:vAlign w:val="center"/>
          </w:tcPr>
          <w:p w14:paraId="1DE2FD4E">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合计（1+</w:t>
            </w:r>
            <w:r>
              <w:rPr>
                <w:rFonts w:hint="eastAsia" w:ascii="宋体" w:hAnsi="宋体" w:eastAsia="宋体" w:cs="宋体"/>
                <w:color w:val="auto"/>
                <w:kern w:val="1"/>
                <w:sz w:val="24"/>
                <w:szCs w:val="24"/>
                <w:highlight w:val="none"/>
                <w:lang w:val="en-US" w:eastAsia="zh-CN"/>
              </w:rPr>
              <w:t>2</w:t>
            </w:r>
            <w:r>
              <w:rPr>
                <w:rFonts w:hint="eastAsia" w:hAnsi="宋体" w:eastAsia="宋体" w:cs="宋体"/>
                <w:color w:val="auto"/>
                <w:kern w:val="1"/>
                <w:sz w:val="24"/>
                <w:szCs w:val="24"/>
                <w:highlight w:val="none"/>
                <w:lang w:val="en-US" w:eastAsia="zh-CN"/>
              </w:rPr>
              <w:t>+3</w:t>
            </w:r>
            <w:r>
              <w:rPr>
                <w:rFonts w:hint="eastAsia" w:ascii="宋体" w:hAnsi="宋体" w:eastAsia="宋体" w:cs="宋体"/>
                <w:color w:val="auto"/>
                <w:kern w:val="1"/>
                <w:sz w:val="24"/>
                <w:szCs w:val="24"/>
                <w:highlight w:val="none"/>
              </w:rPr>
              <w:t>）</w:t>
            </w:r>
          </w:p>
        </w:tc>
        <w:tc>
          <w:tcPr>
            <w:tcW w:w="1748" w:type="dxa"/>
            <w:noWrap w:val="0"/>
            <w:vAlign w:val="center"/>
          </w:tcPr>
          <w:p w14:paraId="75C7D810">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w:t>
            </w:r>
          </w:p>
        </w:tc>
        <w:tc>
          <w:tcPr>
            <w:tcW w:w="1685" w:type="dxa"/>
            <w:tcBorders>
              <w:right w:val="single" w:color="auto" w:sz="4" w:space="0"/>
            </w:tcBorders>
            <w:noWrap w:val="0"/>
            <w:vAlign w:val="center"/>
          </w:tcPr>
          <w:p w14:paraId="30355EE0">
            <w:pPr>
              <w:spacing w:line="400" w:lineRule="exact"/>
              <w:jc w:val="center"/>
              <w:rPr>
                <w:rFonts w:hint="eastAsia" w:asciiTheme="minorEastAsia" w:hAnsiTheme="minorEastAsia" w:eastAsiaTheme="minorEastAsia" w:cstheme="minorEastAsia"/>
                <w:color w:val="auto"/>
                <w:highlight w:val="none"/>
                <w:lang w:val="en-US" w:eastAsia="zh-CN"/>
              </w:rPr>
            </w:pPr>
            <w:r>
              <w:rPr>
                <w:rFonts w:hint="eastAsia" w:asciiTheme="minorEastAsia" w:hAnsiTheme="minorEastAsia" w:eastAsiaTheme="minorEastAsia" w:cstheme="minorEastAsia"/>
                <w:color w:val="auto"/>
                <w:highlight w:val="none"/>
                <w:lang w:val="en-US" w:eastAsia="zh-CN"/>
              </w:rPr>
              <w:t>21038600.00</w:t>
            </w:r>
          </w:p>
        </w:tc>
        <w:tc>
          <w:tcPr>
            <w:tcW w:w="2830" w:type="dxa"/>
            <w:tcBorders>
              <w:left w:val="single" w:color="auto" w:sz="4" w:space="0"/>
            </w:tcBorders>
            <w:noWrap w:val="0"/>
            <w:vAlign w:val="center"/>
          </w:tcPr>
          <w:p w14:paraId="2D52F49C">
            <w:pPr>
              <w:spacing w:line="400" w:lineRule="exact"/>
              <w:jc w:val="center"/>
              <w:rPr>
                <w:rFonts w:hint="eastAsia" w:ascii="宋体" w:hAnsi="宋体" w:eastAsia="宋体" w:cs="宋体"/>
                <w:color w:val="auto"/>
                <w:kern w:val="1"/>
                <w:sz w:val="24"/>
                <w:szCs w:val="24"/>
                <w:highlight w:val="none"/>
              </w:rPr>
            </w:pPr>
            <w:r>
              <w:rPr>
                <w:rFonts w:hint="eastAsia" w:ascii="宋体" w:hAnsi="宋体" w:eastAsia="宋体" w:cs="宋体"/>
                <w:color w:val="auto"/>
                <w:kern w:val="1"/>
                <w:sz w:val="24"/>
                <w:szCs w:val="24"/>
                <w:highlight w:val="none"/>
              </w:rPr>
              <w:t>/</w:t>
            </w:r>
          </w:p>
        </w:tc>
      </w:tr>
    </w:tbl>
    <w:p w14:paraId="3AA093C1">
      <w:pPr>
        <w:wordWrap w:val="0"/>
        <w:adjustRightInd w:val="0"/>
        <w:snapToGrid w:val="0"/>
        <w:spacing w:line="440" w:lineRule="exact"/>
        <w:rPr>
          <w:rFonts w:hint="eastAsia" w:asciiTheme="minorEastAsia" w:hAnsiTheme="minorEastAsia" w:eastAsiaTheme="minorEastAsia" w:cstheme="minorEastAsia"/>
          <w:snapToGrid w:val="0"/>
          <w:color w:val="auto"/>
          <w:szCs w:val="24"/>
          <w:highlight w:val="none"/>
        </w:rPr>
      </w:pPr>
      <w:r>
        <w:rPr>
          <w:rFonts w:hint="eastAsia" w:asciiTheme="minorEastAsia" w:hAnsiTheme="minorEastAsia" w:eastAsiaTheme="minorEastAsia" w:cstheme="minorEastAsia"/>
          <w:snapToGrid w:val="0"/>
          <w:color w:val="auto"/>
          <w:szCs w:val="24"/>
          <w:highlight w:val="none"/>
        </w:rPr>
        <w:t>注：投标报价及投标费率均按“四舍五入”原则精确到两位小数，建安工程费投标报价=计算基数×（1-下浮率）。</w:t>
      </w:r>
    </w:p>
    <w:p w14:paraId="63D94DAD">
      <w:pPr>
        <w:rPr>
          <w:rFonts w:hint="eastAsia" w:asciiTheme="minorEastAsia" w:hAnsiTheme="minorEastAsia" w:eastAsiaTheme="minorEastAsia" w:cstheme="minorEastAsia"/>
          <w:color w:val="auto"/>
          <w:szCs w:val="24"/>
          <w:highlight w:val="none"/>
        </w:rPr>
      </w:pPr>
    </w:p>
    <w:p w14:paraId="3D8230CD">
      <w:pPr>
        <w:pStyle w:val="29"/>
        <w:keepNext/>
        <w:keepLines/>
        <w:ind w:firstLine="480"/>
        <w:jc w:val="both"/>
        <w:rPr>
          <w:rFonts w:hint="eastAsia" w:asciiTheme="minorEastAsia" w:hAnsiTheme="minorEastAsia" w:eastAsiaTheme="minorEastAsia" w:cstheme="minorEastAsia"/>
          <w:b/>
          <w:color w:val="auto"/>
          <w:szCs w:val="22"/>
          <w:highlight w:val="none"/>
        </w:rPr>
      </w:pPr>
      <w:r>
        <w:rPr>
          <w:rFonts w:hint="eastAsia" w:asciiTheme="minorEastAsia" w:hAnsiTheme="minorEastAsia" w:eastAsiaTheme="minorEastAsia" w:cstheme="minorEastAsia"/>
          <w:b/>
          <w:color w:val="auto"/>
          <w:szCs w:val="22"/>
          <w:highlight w:val="none"/>
        </w:rPr>
        <w:t xml:space="preserve">11 </w:t>
      </w:r>
      <w:r>
        <w:rPr>
          <w:rFonts w:hint="eastAsia" w:asciiTheme="minorEastAsia" w:hAnsiTheme="minorEastAsia" w:eastAsiaTheme="minorEastAsia" w:cstheme="minorEastAsia"/>
          <w:b/>
          <w:color w:val="auto"/>
          <w:kern w:val="2"/>
          <w:highlight w:val="none"/>
        </w:rPr>
        <w:t>投标</w:t>
      </w:r>
      <w:r>
        <w:rPr>
          <w:rFonts w:hint="eastAsia" w:asciiTheme="minorEastAsia" w:hAnsiTheme="minorEastAsia" w:eastAsiaTheme="minorEastAsia" w:cstheme="minorEastAsia"/>
          <w:b/>
          <w:color w:val="auto"/>
          <w:szCs w:val="22"/>
          <w:highlight w:val="none"/>
        </w:rPr>
        <w:t>文件的编制</w:t>
      </w:r>
      <w:bookmarkStart w:id="132" w:name="_Hlt69208262"/>
      <w:bookmarkEnd w:id="132"/>
      <w:bookmarkStart w:id="133" w:name="_Hlt69332370"/>
      <w:bookmarkEnd w:id="133"/>
      <w:r>
        <w:rPr>
          <w:rFonts w:hint="eastAsia" w:asciiTheme="minorEastAsia" w:hAnsiTheme="minorEastAsia" w:eastAsiaTheme="minorEastAsia" w:cstheme="minorEastAsia"/>
          <w:b/>
          <w:color w:val="auto"/>
          <w:szCs w:val="22"/>
          <w:highlight w:val="none"/>
        </w:rPr>
        <w:t>要求</w:t>
      </w:r>
      <w:bookmarkEnd w:id="123"/>
      <w:bookmarkEnd w:id="124"/>
      <w:bookmarkEnd w:id="125"/>
      <w:bookmarkEnd w:id="126"/>
      <w:bookmarkEnd w:id="127"/>
      <w:bookmarkEnd w:id="128"/>
      <w:bookmarkEnd w:id="129"/>
      <w:bookmarkEnd w:id="130"/>
      <w:bookmarkEnd w:id="131"/>
    </w:p>
    <w:p w14:paraId="5F7AFF46">
      <w:pPr>
        <w:pStyle w:val="39"/>
        <w:spacing w:line="400" w:lineRule="exact"/>
        <w:ind w:firstLine="482" w:firstLineChars="200"/>
        <w:jc w:val="both"/>
        <w:rPr>
          <w:rFonts w:hint="eastAsia" w:asciiTheme="minorEastAsia" w:hAnsiTheme="minorEastAsia" w:eastAsiaTheme="minorEastAsia" w:cstheme="minorEastAsia"/>
          <w:b/>
          <w:color w:val="auto"/>
          <w:highlight w:val="none"/>
        </w:rPr>
      </w:pPr>
      <w:bookmarkStart w:id="134" w:name="_Hlt74497202"/>
      <w:bookmarkEnd w:id="134"/>
      <w:bookmarkStart w:id="135" w:name="_Hlt74495594"/>
      <w:bookmarkEnd w:id="135"/>
      <w:bookmarkStart w:id="136" w:name="_Hlt78768224"/>
      <w:bookmarkEnd w:id="136"/>
      <w:bookmarkStart w:id="137" w:name="_Toc5812"/>
      <w:bookmarkStart w:id="138" w:name="_Toc2841"/>
      <w:bookmarkStart w:id="139" w:name="_Toc25295"/>
      <w:bookmarkStart w:id="140" w:name="_Toc17330"/>
      <w:bookmarkStart w:id="141" w:name="_Toc29847"/>
      <w:bookmarkStart w:id="142" w:name="_Toc13462"/>
      <w:bookmarkStart w:id="143" w:name="_Toc437"/>
      <w:bookmarkStart w:id="144" w:name="_Toc28825"/>
      <w:bookmarkStart w:id="145" w:name="_Toc20541"/>
      <w:bookmarkStart w:id="146" w:name="_Toc6695"/>
      <w:bookmarkStart w:id="147" w:name="_Toc12050"/>
      <w:bookmarkStart w:id="148" w:name="_Toc32061"/>
      <w:bookmarkStart w:id="149" w:name="_Toc9696"/>
      <w:r>
        <w:rPr>
          <w:rFonts w:hint="eastAsia" w:asciiTheme="minorEastAsia" w:hAnsiTheme="minorEastAsia" w:eastAsiaTheme="minorEastAsia" w:cstheme="minorEastAsia"/>
          <w:b/>
          <w:color w:val="auto"/>
          <w:highlight w:val="none"/>
        </w:rPr>
        <w:t>11.1 一般要求</w:t>
      </w:r>
      <w:bookmarkEnd w:id="137"/>
      <w:bookmarkEnd w:id="138"/>
      <w:bookmarkEnd w:id="139"/>
      <w:bookmarkEnd w:id="140"/>
      <w:bookmarkEnd w:id="141"/>
      <w:bookmarkEnd w:id="142"/>
      <w:bookmarkEnd w:id="143"/>
      <w:bookmarkEnd w:id="144"/>
      <w:bookmarkEnd w:id="145"/>
      <w:bookmarkEnd w:id="146"/>
      <w:bookmarkEnd w:id="147"/>
      <w:bookmarkEnd w:id="148"/>
      <w:bookmarkEnd w:id="149"/>
    </w:p>
    <w:p w14:paraId="178FFB66">
      <w:pPr>
        <w:pStyle w:val="37"/>
        <w:ind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highlight w:val="none"/>
        </w:rPr>
        <w:t>投标文件应按第</w:t>
      </w:r>
      <w:r>
        <w:rPr>
          <w:rFonts w:hint="eastAsia" w:asciiTheme="minorEastAsia" w:hAnsiTheme="minorEastAsia" w:eastAsiaTheme="minorEastAsia" w:cstheme="minorEastAsia"/>
          <w:snapToGrid w:val="0"/>
          <w:color w:val="auto"/>
          <w:kern w:val="0"/>
          <w:highlight w:val="none"/>
          <w:lang w:val="en-US" w:eastAsia="zh-CN"/>
        </w:rPr>
        <w:t>六</w:t>
      </w:r>
      <w:r>
        <w:rPr>
          <w:rFonts w:hint="eastAsia" w:asciiTheme="minorEastAsia" w:hAnsiTheme="minorEastAsia" w:eastAsiaTheme="minorEastAsia" w:cstheme="minorEastAsia"/>
          <w:snapToGrid w:val="0"/>
          <w:color w:val="auto"/>
          <w:kern w:val="0"/>
          <w:highlight w:val="none"/>
        </w:rPr>
        <w:t>章 投标文件格式规定的内容，投标人提交的投标文件应当使用招标文件所提供的投标文件全部格式。</w:t>
      </w:r>
    </w:p>
    <w:p w14:paraId="0CAA4023">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color w:val="auto"/>
          <w:highlight w:val="none"/>
        </w:rPr>
        <w:t>11.1.1</w:t>
      </w:r>
      <w:r>
        <w:rPr>
          <w:rFonts w:hint="eastAsia" w:asciiTheme="minorEastAsia" w:hAnsiTheme="minorEastAsia" w:eastAsiaTheme="minorEastAsia" w:cstheme="minorEastAsia"/>
          <w:snapToGrid w:val="0"/>
          <w:color w:val="auto"/>
          <w:kern w:val="0"/>
          <w:highlight w:val="none"/>
        </w:rPr>
        <w:t>投标人必须响应招标文件，并在充分理解招标人提供的全部文件、设计图纸、资料及现场条件的基础上编制投标文件。因投标文件不符合招标文件的要求而造成的损失和后果，由投标人自行承担。</w:t>
      </w:r>
    </w:p>
    <w:p w14:paraId="11756C39">
      <w:pPr>
        <w:pStyle w:val="27"/>
        <w:ind w:firstLine="56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11.1.2</w:t>
      </w:r>
      <w:r>
        <w:rPr>
          <w:rFonts w:hint="eastAsia" w:asciiTheme="minorEastAsia" w:hAnsiTheme="minorEastAsia" w:eastAsiaTheme="minorEastAsia" w:cstheme="minorEastAsia"/>
          <w:snapToGrid w:val="0"/>
          <w:color w:val="auto"/>
          <w:kern w:val="0"/>
          <w:highlight w:val="none"/>
        </w:rPr>
        <w:t>投标文件在电子投标时全部采用电子文档</w:t>
      </w:r>
      <w:r>
        <w:rPr>
          <w:rFonts w:hint="eastAsia"/>
          <w:snapToGrid w:val="0"/>
          <w:color w:val="auto"/>
          <w:kern w:val="0"/>
          <w:highlight w:val="none"/>
        </w:rPr>
        <w:t>（中标人自中标通知书发出之日起五个工作日内再提供</w:t>
      </w:r>
      <w:r>
        <w:rPr>
          <w:rFonts w:hint="eastAsia"/>
          <w:b/>
          <w:bCs/>
          <w:snapToGrid w:val="0"/>
          <w:color w:val="auto"/>
          <w:kern w:val="0"/>
          <w:highlight w:val="none"/>
        </w:rPr>
        <w:t>正本一份、副本二份的纸质版</w:t>
      </w:r>
      <w:r>
        <w:rPr>
          <w:rFonts w:hint="eastAsia"/>
          <w:snapToGrid w:val="0"/>
          <w:color w:val="auto"/>
          <w:kern w:val="0"/>
          <w:highlight w:val="none"/>
        </w:rPr>
        <w:t>投标文件给招标人存档）</w:t>
      </w:r>
      <w:r>
        <w:rPr>
          <w:rFonts w:hint="eastAsia" w:asciiTheme="minorEastAsia" w:hAnsiTheme="minorEastAsia" w:eastAsiaTheme="minorEastAsia" w:cstheme="minorEastAsia"/>
          <w:snapToGrid w:val="0"/>
          <w:color w:val="auto"/>
          <w:kern w:val="0"/>
          <w:highlight w:val="none"/>
        </w:rPr>
        <w:t>，投标文件所附证书证件均为原件彩色扫描件，并采用单位数字证书按招标文件要求在相应位置加盖电子印章。投标文件中需个人签字或盖章的，应加盖个人电子印章或在线下完成后扫描上传。按照交易平台关于全流程电子化项目的相关指南进行操作。详见：全国公共资源交易平台（广东省·韶关市）（https://ygp.gdzwfw.gov.cn/ggzy-portal/#/440200/index）交易指引。</w:t>
      </w:r>
      <w:r>
        <w:rPr>
          <w:rFonts w:hint="eastAsia" w:asciiTheme="minorEastAsia" w:hAnsiTheme="minorEastAsia" w:eastAsiaTheme="minorEastAsia" w:cstheme="minorEastAsia"/>
          <w:color w:val="auto"/>
          <w:highlight w:val="none"/>
        </w:rPr>
        <w:t>（注：组成联合体时，只须加盖联合体牵头人的公章，联合体其它成员可不盖章）。</w:t>
      </w:r>
    </w:p>
    <w:p w14:paraId="42F592C1">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11.1.3 投标文件需按以下要求签字、盖章：</w:t>
      </w:r>
    </w:p>
    <w:p w14:paraId="7753F3F1">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电子投标文件：</w:t>
      </w:r>
    </w:p>
    <w:p w14:paraId="55A21B26">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11.1.3.1 投标文件封面、组成内容中凡注明“签字”处由要求的人员签字或电子签章；凡注明“签字或盖章”处由要求的人员签字或盖其私章（电子印章）；凡注明“签字并盖执业印章”处由要求的人员签字并盖其执业印章。</w:t>
      </w:r>
    </w:p>
    <w:p w14:paraId="47D702F5">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11.1.3.2 投标文件封套、封面、组成内容中凡要求录入投标人名称且注明“盖单位章”处盖单位法人公章（电子印章）</w:t>
      </w:r>
    </w:p>
    <w:p w14:paraId="3F579587">
      <w:pPr>
        <w:pStyle w:val="27"/>
        <w:ind w:firstLine="56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11.1.3.3 投标文件的签字均为签字人本人亲笔署名或签章（电子印章），其余部分的彩色扫描件无须另行签字、盖章。</w:t>
      </w:r>
    </w:p>
    <w:p w14:paraId="4C6A6B28">
      <w:pPr>
        <w:pStyle w:val="27"/>
        <w:ind w:firstLine="56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snapToGrid w:val="0"/>
          <w:color w:val="auto"/>
          <w:kern w:val="0"/>
          <w:highlight w:val="none"/>
        </w:rPr>
        <w:t>11.1.3.4 联合体投标的，除《联合体协议书》外，由联合体牵头人按以上要求签字（电子印章）、盖章（电子印章）即可。</w:t>
      </w:r>
      <w:bookmarkStart w:id="150" w:name="_Toc257031159"/>
      <w:bookmarkStart w:id="151" w:name="_Toc274313880"/>
    </w:p>
    <w:p w14:paraId="49CF92FC">
      <w:pPr>
        <w:pStyle w:val="39"/>
        <w:spacing w:line="360" w:lineRule="auto"/>
        <w:ind w:firstLine="482" w:firstLineChars="200"/>
        <w:jc w:val="both"/>
        <w:rPr>
          <w:rFonts w:hint="eastAsia" w:asciiTheme="minorEastAsia" w:hAnsiTheme="minorEastAsia" w:eastAsiaTheme="minorEastAsia" w:cstheme="minorEastAsia"/>
          <w:b/>
          <w:color w:val="auto"/>
          <w:highlight w:val="none"/>
        </w:rPr>
      </w:pPr>
      <w:bookmarkStart w:id="152" w:name="_Toc26859"/>
      <w:bookmarkStart w:id="153" w:name="_Toc8355"/>
      <w:bookmarkStart w:id="154" w:name="_Toc18076"/>
      <w:bookmarkStart w:id="155" w:name="_Toc27670"/>
      <w:bookmarkStart w:id="156" w:name="_Toc27606"/>
      <w:bookmarkStart w:id="157" w:name="_Toc38"/>
      <w:bookmarkStart w:id="158" w:name="_Toc16107"/>
      <w:bookmarkStart w:id="159" w:name="_Toc6622"/>
      <w:bookmarkStart w:id="160" w:name="_Toc23484"/>
      <w:bookmarkStart w:id="161" w:name="_Toc4699"/>
      <w:bookmarkStart w:id="162" w:name="_Toc8656"/>
      <w:bookmarkStart w:id="163" w:name="_Toc29894"/>
      <w:bookmarkStart w:id="164" w:name="_Toc18670"/>
      <w:r>
        <w:rPr>
          <w:rFonts w:hint="eastAsia" w:asciiTheme="minorEastAsia" w:hAnsiTheme="minorEastAsia" w:eastAsiaTheme="minorEastAsia" w:cstheme="minorEastAsia"/>
          <w:b/>
          <w:color w:val="auto"/>
          <w:highlight w:val="none"/>
        </w:rPr>
        <w:t xml:space="preserve">11.2 </w:t>
      </w:r>
      <w:bookmarkEnd w:id="150"/>
      <w:bookmarkEnd w:id="151"/>
      <w:bookmarkEnd w:id="152"/>
      <w:bookmarkEnd w:id="153"/>
      <w:bookmarkEnd w:id="154"/>
      <w:bookmarkEnd w:id="155"/>
      <w:bookmarkEnd w:id="156"/>
      <w:bookmarkEnd w:id="157"/>
      <w:bookmarkEnd w:id="158"/>
      <w:bookmarkEnd w:id="159"/>
      <w:r>
        <w:rPr>
          <w:rFonts w:hint="eastAsia" w:asciiTheme="minorEastAsia" w:hAnsiTheme="minorEastAsia" w:eastAsiaTheme="minorEastAsia" w:cstheme="minorEastAsia"/>
          <w:b/>
          <w:color w:val="auto"/>
          <w:highlight w:val="none"/>
        </w:rPr>
        <w:t>投标标书的编制要求</w:t>
      </w:r>
      <w:bookmarkEnd w:id="160"/>
      <w:bookmarkEnd w:id="161"/>
      <w:bookmarkEnd w:id="162"/>
      <w:bookmarkEnd w:id="163"/>
      <w:bookmarkEnd w:id="164"/>
    </w:p>
    <w:p w14:paraId="5E19FA46">
      <w:pPr>
        <w:pStyle w:val="27"/>
        <w:ind w:firstLine="561"/>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rPr>
        <w:t>11.2.1 投标标书包括但不限于以下内容：</w:t>
      </w:r>
    </w:p>
    <w:p w14:paraId="5A13FB31">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（1）封面（格式一）；</w:t>
      </w:r>
    </w:p>
    <w:p w14:paraId="2F006C66">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（2）目录； </w:t>
      </w:r>
    </w:p>
    <w:p w14:paraId="5CA2401C">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（3）《投标函》及《工程项目总价表》（格式二）；</w:t>
      </w:r>
    </w:p>
    <w:p w14:paraId="4B9CD5EF">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（4）《各项承诺一览表》（格式三）；</w:t>
      </w:r>
    </w:p>
    <w:p w14:paraId="610787CE">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（5）《授权委托书》（格式四）；</w:t>
      </w:r>
    </w:p>
    <w:p w14:paraId="006B3BFF">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（6）《法定代表人身份证明》（格式五）；</w:t>
      </w:r>
    </w:p>
    <w:p w14:paraId="78D28207">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（7）《联合体协议书》（格式六）及所附资料；</w:t>
      </w:r>
    </w:p>
    <w:p w14:paraId="59F2228E">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投标保证缴纳证明（投标人采用投标保证金的，附建设工程交易系统《缴纳投标保证金通知书》页面截图和银行转账单彩色扫描件；采用投标保证担保的，附银行保函彩色扫描件；采用投标保证保险的，附电子保单打印件）。</w:t>
      </w:r>
    </w:p>
    <w:p w14:paraId="74927305">
      <w:pPr>
        <w:wordWrap w:val="0"/>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snapToGrid w:val="0"/>
          <w:color w:val="auto"/>
          <w:kern w:val="0"/>
          <w:szCs w:val="24"/>
          <w:highlight w:val="none"/>
        </w:rPr>
        <w:t>（9）《投标人基本情况表》（格式七）及所附资料；</w:t>
      </w:r>
    </w:p>
    <w:p w14:paraId="4BDA73FD">
      <w:pPr>
        <w:wordWrap w:val="0"/>
        <w:adjustRightInd w:val="0"/>
        <w:snapToGrid w:val="0"/>
        <w:spacing w:line="360" w:lineRule="auto"/>
        <w:ind w:firstLine="480" w:firstLineChars="200"/>
        <w:rPr>
          <w:rFonts w:hint="eastAsia" w:asciiTheme="minorEastAsia" w:hAnsiTheme="minorEastAsia" w:eastAsiaTheme="minorEastAsia" w:cstheme="minorEastAsia"/>
          <w:strike/>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（10）《项目经理简历表》（格式八）及所附资料；</w:t>
      </w:r>
    </w:p>
    <w:p w14:paraId="24CE8084">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（11）《项目经理任职声明》（格式九）；</w:t>
      </w:r>
    </w:p>
    <w:p w14:paraId="6A6EAF17">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（12）《项目技术负责人简历表》（格式十）及所附资料；</w:t>
      </w:r>
    </w:p>
    <w:p w14:paraId="0E3166FB">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（13）《项目设计负责人简历表》（格式十一）及所附资料；</w:t>
      </w:r>
    </w:p>
    <w:p w14:paraId="3DA93D27">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（14）《项目管理机构组成表》（格式十二）及所附资料；</w:t>
      </w:r>
    </w:p>
    <w:p w14:paraId="6EC10FB6">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（15）本章第14.2目“评标方法”要求提供的评审资料（如有）；</w:t>
      </w:r>
    </w:p>
    <w:p w14:paraId="3AEFFB90">
      <w:pPr>
        <w:pStyle w:val="27"/>
        <w:ind w:firstLine="480" w:firstLineChars="200"/>
        <w:rPr>
          <w:rFonts w:hint="eastAsia" w:asciiTheme="minorEastAsia" w:hAnsiTheme="minorEastAsia" w:eastAsiaTheme="minorEastAsia" w:cstheme="minorEastAsia"/>
          <w:color w:val="auto"/>
          <w:szCs w:val="18"/>
          <w:highlight w:val="none"/>
        </w:rPr>
      </w:pPr>
      <w:r>
        <w:rPr>
          <w:rFonts w:hint="eastAsia" w:asciiTheme="minorEastAsia" w:hAnsiTheme="minorEastAsia" w:eastAsiaTheme="minorEastAsia" w:cstheme="minorEastAsia"/>
          <w:snapToGrid w:val="0"/>
          <w:color w:val="auto"/>
          <w:kern w:val="0"/>
          <w:szCs w:val="24"/>
          <w:highlight w:val="none"/>
        </w:rPr>
        <w:t>（16）投标人认为有必要补充的其他资料。（例如投标人已经工商变更，但其企业资质证书、安全生产许可证或其员工执业资格注册证书上的企业名称未能在投标期间完成变更的书面说明和佐证材料；外省企业所在省、地级市住建部门或其授权的组织（机构）关于企业资质、人员资格有效期自动顺延或延期办理的相关文件等；关于投标总价下浮率超过15%的书面说明和佐证材料）。</w:t>
      </w:r>
    </w:p>
    <w:p w14:paraId="190E1C4E">
      <w:pPr>
        <w:wordWrap w:val="0"/>
        <w:adjustRightInd w:val="0"/>
        <w:snapToGrid w:val="0"/>
        <w:spacing w:line="360" w:lineRule="auto"/>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color w:val="auto"/>
          <w:szCs w:val="24"/>
          <w:highlight w:val="none"/>
        </w:rPr>
        <w:t>11.2.</w:t>
      </w:r>
      <w:r>
        <w:rPr>
          <w:rFonts w:hint="eastAsia" w:asciiTheme="minorEastAsia" w:hAnsiTheme="minorEastAsia" w:eastAsiaTheme="minorEastAsia" w:cstheme="minorEastAsia"/>
          <w:snapToGrid w:val="0"/>
          <w:color w:val="auto"/>
          <w:kern w:val="0"/>
          <w:szCs w:val="24"/>
          <w:highlight w:val="none"/>
        </w:rPr>
        <w:t>2 本章第</w:t>
      </w:r>
      <w:r>
        <w:rPr>
          <w:rFonts w:hint="eastAsia" w:asciiTheme="minorEastAsia" w:hAnsiTheme="minorEastAsia" w:eastAsiaTheme="minorEastAsia" w:cstheme="minorEastAsia"/>
          <w:b/>
          <w:bCs/>
          <w:snapToGrid w:val="0"/>
          <w:color w:val="auto"/>
          <w:kern w:val="0"/>
          <w:szCs w:val="24"/>
          <w:highlight w:val="none"/>
        </w:rPr>
        <w:t>11.2.1</w:t>
      </w:r>
      <w:r>
        <w:rPr>
          <w:rFonts w:hint="eastAsia" w:asciiTheme="minorEastAsia" w:hAnsiTheme="minorEastAsia" w:eastAsiaTheme="minorEastAsia" w:cstheme="minorEastAsia"/>
          <w:snapToGrid w:val="0"/>
          <w:color w:val="auto"/>
          <w:kern w:val="0"/>
          <w:szCs w:val="24"/>
          <w:highlight w:val="none"/>
        </w:rPr>
        <w:t>目中所列出的投标标书组成内容中，第（1）至第（15）项所有投标人均应提供，</w:t>
      </w:r>
      <w:r>
        <w:rPr>
          <w:rFonts w:hint="eastAsia" w:asciiTheme="minorEastAsia" w:hAnsiTheme="minorEastAsia" w:eastAsiaTheme="minorEastAsia" w:cstheme="minorEastAsia"/>
          <w:b/>
          <w:bCs/>
          <w:snapToGrid w:val="0"/>
          <w:color w:val="auto"/>
          <w:kern w:val="0"/>
          <w:szCs w:val="24"/>
          <w:highlight w:val="none"/>
        </w:rPr>
        <w:t>但非联合体投标的，无需提供第（7）项内容。</w:t>
      </w:r>
    </w:p>
    <w:p w14:paraId="665F9C78">
      <w:pPr>
        <w:wordWrap w:val="0"/>
        <w:adjustRightInd w:val="0"/>
        <w:snapToGrid w:val="0"/>
        <w:spacing w:line="360" w:lineRule="auto"/>
        <w:ind w:firstLine="480" w:firstLineChars="2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color w:val="auto"/>
          <w:szCs w:val="24"/>
          <w:highlight w:val="none"/>
        </w:rPr>
        <w:t>11.2.</w:t>
      </w:r>
      <w:r>
        <w:rPr>
          <w:rFonts w:hint="eastAsia" w:asciiTheme="minorEastAsia" w:hAnsiTheme="minorEastAsia" w:eastAsiaTheme="minorEastAsia" w:cstheme="minorEastAsia"/>
          <w:snapToGrid w:val="0"/>
          <w:color w:val="auto"/>
          <w:kern w:val="0"/>
          <w:szCs w:val="24"/>
          <w:highlight w:val="none"/>
        </w:rPr>
        <w:t>3 投标标书的组成内容按本章第</w:t>
      </w:r>
      <w:r>
        <w:rPr>
          <w:rFonts w:hint="eastAsia" w:asciiTheme="minorEastAsia" w:hAnsiTheme="minorEastAsia" w:eastAsiaTheme="minorEastAsia" w:cstheme="minorEastAsia"/>
          <w:b/>
          <w:bCs/>
          <w:snapToGrid w:val="0"/>
          <w:color w:val="auto"/>
          <w:kern w:val="0"/>
          <w:szCs w:val="24"/>
          <w:highlight w:val="none"/>
        </w:rPr>
        <w:t>11.2.1</w:t>
      </w:r>
      <w:r>
        <w:rPr>
          <w:rFonts w:hint="eastAsia" w:asciiTheme="minorEastAsia" w:hAnsiTheme="minorEastAsia" w:eastAsiaTheme="minorEastAsia" w:cstheme="minorEastAsia"/>
          <w:snapToGrid w:val="0"/>
          <w:color w:val="auto"/>
          <w:kern w:val="0"/>
          <w:szCs w:val="24"/>
          <w:highlight w:val="none"/>
        </w:rPr>
        <w:t>目规定的顺序整理、编排后，逐页连续标记页码。</w:t>
      </w:r>
    </w:p>
    <w:p w14:paraId="2C47E4CB">
      <w:pPr>
        <w:pStyle w:val="42"/>
        <w:ind w:firstLine="482" w:firstLineChars="200"/>
        <w:rPr>
          <w:rFonts w:hint="eastAsia" w:asciiTheme="minorEastAsia" w:hAnsiTheme="minorEastAsia" w:eastAsiaTheme="minorEastAsia" w:cstheme="minorEastAsia"/>
          <w:b/>
          <w:bCs/>
          <w:color w:val="auto"/>
          <w:highlight w:val="none"/>
          <w:u w:val="single"/>
        </w:rPr>
      </w:pPr>
      <w:r>
        <w:rPr>
          <w:rFonts w:hint="eastAsia" w:asciiTheme="minorEastAsia" w:hAnsiTheme="minorEastAsia" w:eastAsiaTheme="minorEastAsia" w:cstheme="minorEastAsia"/>
          <w:b/>
          <w:bCs/>
          <w:color w:val="auto"/>
          <w:highlight w:val="none"/>
          <w:u w:val="single"/>
        </w:rPr>
        <w:t>特别说明：</w:t>
      </w:r>
    </w:p>
    <w:p w14:paraId="6DBCDF35">
      <w:pPr>
        <w:pStyle w:val="42"/>
        <w:ind w:firstLine="482" w:firstLineChars="200"/>
        <w:rPr>
          <w:rFonts w:hint="eastAsia" w:asciiTheme="minorEastAsia" w:hAnsiTheme="minorEastAsia" w:eastAsiaTheme="minorEastAsia" w:cstheme="minorEastAsia"/>
          <w:b/>
          <w:bCs/>
          <w:color w:val="auto"/>
          <w:highlight w:val="none"/>
          <w:u w:val="single"/>
        </w:rPr>
      </w:pPr>
      <w:r>
        <w:rPr>
          <w:rFonts w:hint="eastAsia" w:asciiTheme="minorEastAsia" w:hAnsiTheme="minorEastAsia" w:eastAsiaTheme="minorEastAsia" w:cstheme="minorEastAsia"/>
          <w:b/>
          <w:bCs/>
          <w:color w:val="auto"/>
          <w:highlight w:val="none"/>
          <w:u w:val="single"/>
        </w:rPr>
        <w:t>1、本次招标投标时不要求编制施工组织设计。中标人中标后先按有关规定及要求提供设计成果文件，中标人设计成果确认经有关部门的审查及经有资质的审图机构审查合格通过，中标人还应编制施工组织设计及专项施工方案报监理及招标人审批，然后依据审图合格后的设计施工图编写施工组织设计，报有关部门审查批准后方可实施；中标人须向招标人提供经批准的施工组织设计一式五份。</w:t>
      </w:r>
    </w:p>
    <w:p w14:paraId="5E8A6309">
      <w:pPr>
        <w:pStyle w:val="42"/>
        <w:ind w:firstLine="482" w:firstLineChars="200"/>
        <w:rPr>
          <w:rFonts w:hint="eastAsia" w:asciiTheme="minorEastAsia" w:hAnsiTheme="minorEastAsia" w:eastAsiaTheme="minorEastAsia" w:cstheme="minorEastAsia"/>
          <w:b/>
          <w:bCs/>
          <w:color w:val="auto"/>
          <w:highlight w:val="none"/>
          <w:u w:val="single"/>
        </w:rPr>
      </w:pPr>
      <w:r>
        <w:rPr>
          <w:rFonts w:hint="eastAsia" w:asciiTheme="minorEastAsia" w:hAnsiTheme="minorEastAsia" w:eastAsiaTheme="minorEastAsia" w:cstheme="minorEastAsia"/>
          <w:b/>
          <w:bCs/>
          <w:color w:val="auto"/>
          <w:highlight w:val="none"/>
          <w:u w:val="single"/>
        </w:rPr>
        <w:t xml:space="preserve">2、本次招标投标时不要求按编制工程量清单计价模式进行投标报价。投标人若中标后依据经审图合格后的设计施工图编制施工图预算，该施工图预算必须达到办理合同备案及开工手续的要求；中标人须向招标人提供一式伍份完整的预算资料（含工程量计算表、施工图预算书及电子版）。 </w:t>
      </w:r>
      <w:bookmarkStart w:id="165" w:name="_Toc1583"/>
      <w:bookmarkStart w:id="166" w:name="_Toc17459"/>
      <w:bookmarkStart w:id="167" w:name="_Toc11926"/>
      <w:bookmarkStart w:id="168" w:name="_Toc14130"/>
      <w:bookmarkStart w:id="169" w:name="_Toc11313"/>
      <w:bookmarkStart w:id="170" w:name="_Toc27175"/>
      <w:bookmarkStart w:id="171" w:name="_Toc13003"/>
      <w:bookmarkStart w:id="172" w:name="_Toc17812"/>
    </w:p>
    <w:p w14:paraId="3E97A381">
      <w:pPr>
        <w:pStyle w:val="42"/>
        <w:ind w:firstLine="482" w:firstLineChars="200"/>
        <w:rPr>
          <w:rFonts w:hint="eastAsia" w:asciiTheme="minorEastAsia" w:hAnsiTheme="minorEastAsia" w:eastAsiaTheme="minorEastAsia" w:cstheme="minorEastAsia"/>
          <w:b/>
          <w:snapToGrid w:val="0"/>
          <w:color w:val="auto"/>
          <w:highlight w:val="none"/>
        </w:rPr>
      </w:pPr>
      <w:r>
        <w:rPr>
          <w:rFonts w:hint="eastAsia" w:asciiTheme="minorEastAsia" w:hAnsiTheme="minorEastAsia" w:eastAsiaTheme="minorEastAsia" w:cstheme="minorEastAsia"/>
          <w:b/>
          <w:color w:val="auto"/>
          <w:highlight w:val="none"/>
        </w:rPr>
        <w:t>11.3</w:t>
      </w:r>
      <w:bookmarkEnd w:id="165"/>
      <w:bookmarkEnd w:id="166"/>
      <w:bookmarkEnd w:id="167"/>
      <w:bookmarkEnd w:id="168"/>
      <w:bookmarkEnd w:id="169"/>
      <w:bookmarkEnd w:id="170"/>
      <w:bookmarkEnd w:id="171"/>
      <w:bookmarkEnd w:id="172"/>
      <w:r>
        <w:rPr>
          <w:rFonts w:hint="eastAsia" w:asciiTheme="minorEastAsia" w:hAnsiTheme="minorEastAsia" w:eastAsiaTheme="minorEastAsia" w:cstheme="minorEastAsia"/>
          <w:b/>
          <w:snapToGrid w:val="0"/>
          <w:color w:val="auto"/>
          <w:highlight w:val="none"/>
        </w:rPr>
        <w:t>电子投标</w:t>
      </w:r>
      <w:bookmarkStart w:id="173" w:name="_Hlt88627590"/>
      <w:bookmarkEnd w:id="173"/>
      <w:bookmarkStart w:id="174" w:name="_Hlt66200498"/>
      <w:bookmarkEnd w:id="174"/>
      <w:bookmarkStart w:id="175" w:name="_Hlt66511038"/>
      <w:bookmarkEnd w:id="175"/>
      <w:bookmarkStart w:id="176" w:name="_Toc27961"/>
    </w:p>
    <w:p w14:paraId="18FA0933">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11.3.1、在交易平台上传加盖了电子印章的投标文件、录入相关信息及标书页码信息，并提交投标标书（页码起始从封面开始）。提交标书为已加密投标文件。具体操作参照《韶关市公共资源建设工程交易系统-投标人操作指南（电子评标）》。</w:t>
      </w:r>
    </w:p>
    <w:p w14:paraId="6F6E41E7">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本项目评标采用全流程电子化进行招标投标（投标人应在交易平台进行编辑投标相关内容、按招标文件电子投标要求上传已加盖电子印章的投标文件，否则将自行承担不利后果）。投标人在交易平台按要求上传加盖电子印章并经加密的电子投标文件，并在交易平台录入准确的页码信息即可完成在线投标。由于投标人原因导致未按投标截</w:t>
      </w:r>
      <w:r>
        <w:rPr>
          <w:rFonts w:hint="eastAsia" w:asciiTheme="minorEastAsia" w:hAnsiTheme="minorEastAsia" w:eastAsiaTheme="minorEastAsia" w:cstheme="minorEastAsia"/>
          <w:bCs/>
          <w:color w:val="auto"/>
          <w:highlight w:val="none"/>
          <w:lang w:val="en-US" w:eastAsia="zh-CN"/>
        </w:rPr>
        <w:t>止</w:t>
      </w:r>
      <w:r>
        <w:rPr>
          <w:rFonts w:hint="eastAsia" w:asciiTheme="minorEastAsia" w:hAnsiTheme="minorEastAsia" w:eastAsiaTheme="minorEastAsia" w:cstheme="minorEastAsia"/>
          <w:bCs/>
          <w:color w:val="auto"/>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53D26CAB">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投标文件完成上传后，投标人应使用 CA 数字证书对投标文件进行文件加密，形成加密的投标文件并提交标书。</w:t>
      </w:r>
    </w:p>
    <w:p w14:paraId="5D0D4304">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11.3.2电子投标文件的修改、撤回：在提交投标文件截止时间前，投标人可以修改或撤回未解密的电子投标文件，并于提交投标文件截止时间前将重新上传修改后的电子投标文件至交易平台，到达投标文件提交截止时间后投标人不得撤回、补充、修改和更换投标文件。</w:t>
      </w:r>
    </w:p>
    <w:p w14:paraId="7FD233BD">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11.3.3电子投标及投标解密失败及突发情况的补救方案</w:t>
      </w:r>
    </w:p>
    <w:p w14:paraId="16561AF7">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11.3.3.1按照交易平台关于全流程电子化项目的相关指南进行操作。详见：全国公共资源交易平台（广东省·韶关市）发布的最新版操作指南。</w:t>
      </w:r>
    </w:p>
    <w:p w14:paraId="5ED7914A">
      <w:pPr>
        <w:pStyle w:val="42"/>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11.3.3.2补救方案</w:t>
      </w:r>
    </w:p>
    <w:p w14:paraId="094AC32C">
      <w:pPr>
        <w:pStyle w:val="42"/>
        <w:numPr>
          <w:ilvl w:val="0"/>
          <w:numId w:val="2"/>
        </w:numPr>
        <w:ind w:firstLine="480" w:firstLine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highlight w:val="none"/>
        </w:rPr>
        <w:t>投标文件解密失败的补救方案：</w:t>
      </w:r>
      <w:bookmarkStart w:id="177" w:name="_Toc28927"/>
    </w:p>
    <w:p w14:paraId="370B26EB">
      <w:pPr>
        <w:pStyle w:val="42"/>
        <w:numPr>
          <w:ilvl w:val="0"/>
          <w:numId w:val="0"/>
        </w:numPr>
        <w:ind w:firstLine="720" w:firstLineChars="3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在规定时间内，因投标人之外原因(指网络瘫痪、服务器损坏、交易系统故障短期无法恢复)等导致的电子投标文件解密失败，在开标现场解密环节由代理授权后，解密失败投标人可在建设工程交易系统在规定时间（代理机构授权后30分钟内）内重新提交投标文件继续开标程序。电子投标文件解密失败且未在规定的时限内按要求成功上传未加密的备用投标文件的，视为无效投标。</w:t>
      </w:r>
      <w:bookmarkEnd w:id="177"/>
      <w:bookmarkStart w:id="178" w:name="_Toc9612"/>
    </w:p>
    <w:p w14:paraId="1D09EE50">
      <w:pPr>
        <w:pStyle w:val="42"/>
        <w:numPr>
          <w:ilvl w:val="0"/>
          <w:numId w:val="2"/>
        </w:numPr>
        <w:ind w:left="0" w:leftChars="0" w:firstLine="480" w:firstLine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评标时突发情况的补救方案</w:t>
      </w:r>
      <w:bookmarkEnd w:id="178"/>
      <w:bookmarkStart w:id="179" w:name="_Toc6314"/>
      <w:r>
        <w:rPr>
          <w:rFonts w:hint="eastAsia" w:asciiTheme="minorEastAsia" w:hAnsiTheme="minorEastAsia" w:eastAsiaTheme="minorEastAsia" w:cstheme="minorEastAsia"/>
          <w:bCs/>
          <w:color w:val="auto"/>
          <w:kern w:val="2"/>
          <w:highlight w:val="none"/>
          <w:lang w:eastAsia="zh-CN"/>
        </w:rPr>
        <w:t>：</w:t>
      </w:r>
    </w:p>
    <w:p w14:paraId="350D08F0">
      <w:pPr>
        <w:pStyle w:val="42"/>
        <w:numPr>
          <w:ilvl w:val="0"/>
          <w:numId w:val="0"/>
        </w:numPr>
        <w:ind w:firstLine="960" w:firstLineChars="4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在评标过程中，因主场或副场网络故障、电子设备或者评标系统故障，以及其他原因导致无法继续进行评标时，在4小时以内解除故障的可继续评标，超过4小时无法解除故障的，由招标人确定是否进行评标。如延期评标，招标人及参与评标活动的各方主体及其有关工作人员应当配合主场、副场做好招投标资料的封存和保密工作，另行组建评标委员会重新评标。原评标委员会成员应当对评标情况保密，不得对外透露与评标有关的任何信息与情况。</w:t>
      </w:r>
      <w:bookmarkEnd w:id="179"/>
      <w:bookmarkStart w:id="180" w:name="_Toc10157"/>
    </w:p>
    <w:p w14:paraId="40DD96A2">
      <w:pPr>
        <w:pStyle w:val="42"/>
        <w:numPr>
          <w:ilvl w:val="0"/>
          <w:numId w:val="2"/>
        </w:numPr>
        <w:ind w:left="0" w:leftChars="0" w:firstLine="480" w:firstLine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除发生上述情况外，开标评标均以投标人通过交易平台网上递交的电子投标文件为准。</w:t>
      </w:r>
      <w:bookmarkEnd w:id="180"/>
      <w:bookmarkStart w:id="181" w:name="_Toc12675"/>
    </w:p>
    <w:p w14:paraId="4BAC0179">
      <w:pPr>
        <w:pStyle w:val="42"/>
        <w:numPr>
          <w:ilvl w:val="0"/>
          <w:numId w:val="0"/>
        </w:numPr>
        <w:ind w:leftChars="200"/>
        <w:rPr>
          <w:rFonts w:hint="eastAsia" w:asciiTheme="minorEastAsia" w:hAnsiTheme="minorEastAsia" w:eastAsiaTheme="minorEastAsia" w:cstheme="minorEastAsia"/>
          <w:b/>
          <w:color w:val="auto"/>
          <w:kern w:val="2"/>
          <w:highlight w:val="none"/>
        </w:rPr>
      </w:pPr>
      <w:r>
        <w:rPr>
          <w:rFonts w:hint="eastAsia" w:asciiTheme="minorEastAsia" w:hAnsiTheme="minorEastAsia" w:eastAsiaTheme="minorEastAsia" w:cstheme="minorEastAsia"/>
          <w:b/>
          <w:color w:val="auto"/>
          <w:kern w:val="2"/>
          <w:highlight w:val="none"/>
        </w:rPr>
        <w:t>11.4 投标文件的提交、修改和撤回</w:t>
      </w:r>
      <w:bookmarkEnd w:id="176"/>
      <w:bookmarkEnd w:id="181"/>
      <w:bookmarkStart w:id="182" w:name="_Hlt92512875"/>
      <w:bookmarkEnd w:id="182"/>
      <w:bookmarkStart w:id="183" w:name="_Hlt69699424"/>
      <w:bookmarkEnd w:id="183"/>
      <w:bookmarkStart w:id="184" w:name="_Hlt66608380"/>
      <w:bookmarkEnd w:id="184"/>
      <w:bookmarkStart w:id="185" w:name="_Hlt74494779"/>
      <w:bookmarkEnd w:id="185"/>
      <w:bookmarkStart w:id="186" w:name="_Hlt75685366"/>
      <w:bookmarkEnd w:id="186"/>
      <w:bookmarkStart w:id="187" w:name="_Toc24469"/>
      <w:bookmarkStart w:id="188" w:name="_Toc7631"/>
      <w:bookmarkStart w:id="189" w:name="_Toc4483"/>
      <w:bookmarkStart w:id="190" w:name="_Toc3050"/>
      <w:bookmarkStart w:id="191" w:name="_Toc9838"/>
      <w:bookmarkStart w:id="192" w:name="_Toc30635"/>
      <w:bookmarkStart w:id="193" w:name="_Toc106418820"/>
      <w:bookmarkStart w:id="194" w:name="_Toc24322"/>
      <w:bookmarkStart w:id="195" w:name="_Toc28454"/>
      <w:bookmarkStart w:id="196" w:name="_Toc104711075"/>
      <w:bookmarkStart w:id="197" w:name="_Toc22741"/>
    </w:p>
    <w:p w14:paraId="31F1739E">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11.4.1在投标文件提交截止时间前，投标人通过交易平台提交已加密投标文件。逾期提交的电子投标文件，交易平台将予以拒收。</w:t>
      </w:r>
      <w:bookmarkEnd w:id="187"/>
      <w:bookmarkStart w:id="198" w:name="_Toc25103"/>
    </w:p>
    <w:p w14:paraId="5DA0B859">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11.4.2提交时间：见本章第二节“重要事项时间地点一览表”。</w:t>
      </w:r>
      <w:bookmarkEnd w:id="198"/>
      <w:bookmarkStart w:id="199" w:name="_Toc9791"/>
    </w:p>
    <w:p w14:paraId="36420B97">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11.4.3投标人无须进行现场签到，如有招标文件要求提交的用于评审的证书、证件、证明原件等投标相关资料，投标人可在规定的地点、时间内递交至开标现场（附一式两份清单），无原件的不作要求。</w:t>
      </w:r>
      <w:bookmarkEnd w:id="199"/>
      <w:bookmarkStart w:id="200" w:name="_Toc25029"/>
    </w:p>
    <w:p w14:paraId="56568A91">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11.4.4 递交时间和地点：见本章第二节“重要事项时间地点一览表”。</w:t>
      </w:r>
      <w:bookmarkEnd w:id="200"/>
      <w:bookmarkStart w:id="201" w:name="_Toc5665"/>
    </w:p>
    <w:p w14:paraId="56233CFD">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11.4.5 投标人代表到达现场后，应出示以下身份证明材料：</w:t>
      </w:r>
      <w:bookmarkEnd w:id="201"/>
      <w:bookmarkStart w:id="202" w:name="_Toc1714"/>
    </w:p>
    <w:p w14:paraId="311A2BF0">
      <w:pPr>
        <w:pStyle w:val="42"/>
        <w:numPr>
          <w:ilvl w:val="0"/>
          <w:numId w:val="0"/>
        </w:numPr>
        <w:ind w:leftChars="200"/>
        <w:rPr>
          <w:rFonts w:hint="eastAsia" w:asciiTheme="minorEastAsia" w:hAnsiTheme="minorEastAsia" w:eastAsiaTheme="minorEastAsia" w:cstheme="minorEastAsia"/>
          <w:bCs/>
          <w:color w:val="auto"/>
          <w:kern w:val="2"/>
          <w:highlight w:val="none"/>
        </w:rPr>
      </w:pPr>
      <w:r>
        <w:rPr>
          <w:rFonts w:hint="eastAsia" w:asciiTheme="minorEastAsia" w:hAnsiTheme="minorEastAsia" w:eastAsiaTheme="minorEastAsia" w:cstheme="minorEastAsia"/>
          <w:bCs/>
          <w:color w:val="auto"/>
          <w:kern w:val="2"/>
          <w:highlight w:val="none"/>
        </w:rPr>
        <w:t>（1）本人有效的第二代居民身份证；</w:t>
      </w:r>
      <w:bookmarkEnd w:id="202"/>
    </w:p>
    <w:p w14:paraId="5F5A862B">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03" w:name="_Toc30085"/>
      <w:bookmarkStart w:id="204" w:name="_Toc1212"/>
      <w:r>
        <w:rPr>
          <w:rFonts w:hint="eastAsia" w:asciiTheme="minorEastAsia" w:hAnsiTheme="minorEastAsia" w:eastAsiaTheme="minorEastAsia" w:cstheme="minorEastAsia"/>
          <w:bCs/>
          <w:color w:val="auto"/>
          <w:kern w:val="2"/>
          <w:highlight w:val="none"/>
        </w:rPr>
        <w:t>（2）法定代表人到场的，出示《法定代表人身份证明》（格式五）；委托代理人到场的，应同时出示《授权委托书》（格式四）和《法定代表人身份证明》。</w:t>
      </w:r>
      <w:bookmarkEnd w:id="203"/>
      <w:bookmarkEnd w:id="204"/>
    </w:p>
    <w:p w14:paraId="5EFF2F69">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05" w:name="_Toc21384"/>
      <w:bookmarkStart w:id="206" w:name="_Toc29016"/>
      <w:r>
        <w:rPr>
          <w:rFonts w:hint="eastAsia" w:asciiTheme="minorEastAsia" w:hAnsiTheme="minorEastAsia" w:eastAsiaTheme="minorEastAsia" w:cstheme="minorEastAsia"/>
          <w:bCs/>
          <w:color w:val="auto"/>
          <w:kern w:val="2"/>
          <w:highlight w:val="none"/>
        </w:rPr>
        <w:t>11.4.6联合体投标的，由联合体牵头人按以上要求递交投标相关资料。</w:t>
      </w:r>
      <w:bookmarkEnd w:id="205"/>
      <w:bookmarkEnd w:id="206"/>
    </w:p>
    <w:p w14:paraId="4B5A1C6E">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07" w:name="_Toc13703"/>
      <w:bookmarkStart w:id="208" w:name="_Toc16520"/>
      <w:r>
        <w:rPr>
          <w:rFonts w:hint="eastAsia" w:asciiTheme="minorEastAsia" w:hAnsiTheme="minorEastAsia" w:eastAsiaTheme="minorEastAsia" w:cstheme="minorEastAsia"/>
          <w:bCs/>
          <w:color w:val="auto"/>
          <w:kern w:val="2"/>
          <w:highlight w:val="none"/>
        </w:rPr>
        <w:t>11.4.7招标人或其授权的招标代理机构核对、接收投标人递交的投标相关资料后，应并妥善保管。</w:t>
      </w:r>
      <w:bookmarkEnd w:id="207"/>
      <w:bookmarkEnd w:id="208"/>
    </w:p>
    <w:p w14:paraId="6FBD7D4C">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09" w:name="_Toc20579"/>
      <w:bookmarkStart w:id="210" w:name="_Toc27930"/>
      <w:r>
        <w:rPr>
          <w:rFonts w:hint="eastAsia" w:asciiTheme="minorEastAsia" w:hAnsiTheme="minorEastAsia" w:eastAsiaTheme="minorEastAsia" w:cstheme="minorEastAsia"/>
          <w:bCs/>
          <w:color w:val="auto"/>
          <w:kern w:val="2"/>
          <w:highlight w:val="none"/>
        </w:rPr>
        <w:t>11.4.8 投标人发生以下情形的，其投标相关资料招标人不予接收：</w:t>
      </w:r>
      <w:bookmarkEnd w:id="209"/>
      <w:bookmarkEnd w:id="210"/>
    </w:p>
    <w:p w14:paraId="0D1182FE">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11" w:name="_Toc31045"/>
      <w:bookmarkStart w:id="212" w:name="_Toc12964"/>
      <w:r>
        <w:rPr>
          <w:rFonts w:hint="eastAsia" w:asciiTheme="minorEastAsia" w:hAnsiTheme="minorEastAsia" w:eastAsiaTheme="minorEastAsia" w:cstheme="minorEastAsia"/>
          <w:bCs/>
          <w:color w:val="auto"/>
          <w:kern w:val="2"/>
          <w:highlight w:val="none"/>
        </w:rPr>
        <w:t>（1）未在指定的时间和地点递交的；</w:t>
      </w:r>
      <w:bookmarkEnd w:id="211"/>
      <w:bookmarkEnd w:id="212"/>
    </w:p>
    <w:p w14:paraId="4145E7E5">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13" w:name="_Toc17194"/>
      <w:bookmarkStart w:id="214" w:name="_Toc20092"/>
      <w:r>
        <w:rPr>
          <w:rFonts w:hint="eastAsia" w:asciiTheme="minorEastAsia" w:hAnsiTheme="minorEastAsia" w:eastAsiaTheme="minorEastAsia" w:cstheme="minorEastAsia"/>
          <w:bCs/>
          <w:color w:val="auto"/>
          <w:kern w:val="2"/>
          <w:highlight w:val="none"/>
        </w:rPr>
        <w:t>（2）到场人员未出示身份证明材料的。</w:t>
      </w:r>
      <w:bookmarkEnd w:id="213"/>
      <w:bookmarkEnd w:id="214"/>
    </w:p>
    <w:p w14:paraId="69232B7C">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15" w:name="_Toc17679"/>
      <w:bookmarkStart w:id="216" w:name="_Toc2815"/>
      <w:r>
        <w:rPr>
          <w:rFonts w:hint="eastAsia" w:asciiTheme="minorEastAsia" w:hAnsiTheme="minorEastAsia" w:eastAsiaTheme="minorEastAsia" w:cstheme="minorEastAsia"/>
          <w:bCs/>
          <w:color w:val="auto"/>
          <w:kern w:val="2"/>
          <w:highlight w:val="none"/>
        </w:rPr>
        <w:t>11.4..9出现下述情形之一，属于未成功提交投标文件，按无效投标处理：</w:t>
      </w:r>
      <w:bookmarkEnd w:id="215"/>
      <w:bookmarkEnd w:id="216"/>
    </w:p>
    <w:p w14:paraId="56BA48E7">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17" w:name="_Toc22805"/>
      <w:bookmarkStart w:id="218" w:name="_Toc25857"/>
      <w:r>
        <w:rPr>
          <w:rFonts w:hint="eastAsia" w:asciiTheme="minorEastAsia" w:hAnsiTheme="minorEastAsia" w:eastAsiaTheme="minorEastAsia" w:cstheme="minorEastAsia"/>
          <w:bCs/>
          <w:color w:val="auto"/>
          <w:kern w:val="2"/>
          <w:highlight w:val="none"/>
        </w:rPr>
        <w:t>（1）至提交投标文件截止时，投标文件未完整上传或未提交投标；</w:t>
      </w:r>
      <w:bookmarkEnd w:id="217"/>
      <w:bookmarkEnd w:id="218"/>
    </w:p>
    <w:p w14:paraId="2CE87647">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19" w:name="_Toc10568"/>
      <w:bookmarkStart w:id="220" w:name="_Toc26257"/>
      <w:r>
        <w:rPr>
          <w:rFonts w:hint="eastAsia" w:asciiTheme="minorEastAsia" w:hAnsiTheme="minorEastAsia" w:eastAsiaTheme="minorEastAsia" w:cstheme="minorEastAsia"/>
          <w:bCs/>
          <w:color w:val="auto"/>
          <w:kern w:val="2"/>
          <w:highlight w:val="none"/>
        </w:rPr>
        <w:t>（2）投标文件未按投标格式中注明需签字盖章的要求进行签名（含电子签名）和加盖电子印章，或签名（含电子签名）或电子印章不完整的；</w:t>
      </w:r>
      <w:bookmarkEnd w:id="219"/>
      <w:bookmarkEnd w:id="220"/>
    </w:p>
    <w:p w14:paraId="61786E8C">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21" w:name="_Toc8891"/>
      <w:bookmarkStart w:id="222" w:name="_Toc23907"/>
      <w:r>
        <w:rPr>
          <w:rFonts w:hint="eastAsia" w:asciiTheme="minorEastAsia" w:hAnsiTheme="minorEastAsia" w:eastAsiaTheme="minorEastAsia" w:cstheme="minorEastAsia"/>
          <w:bCs/>
          <w:color w:val="auto"/>
          <w:kern w:val="2"/>
          <w:highlight w:val="none"/>
        </w:rPr>
        <w:t>（3）解密失败且在规定时间内未重新提交投标文件的；</w:t>
      </w:r>
      <w:bookmarkEnd w:id="221"/>
      <w:bookmarkEnd w:id="222"/>
    </w:p>
    <w:p w14:paraId="15B44009">
      <w:pPr>
        <w:pStyle w:val="29"/>
        <w:keepNext/>
        <w:keepLines/>
        <w:ind w:firstLine="480"/>
        <w:jc w:val="both"/>
        <w:rPr>
          <w:rFonts w:hint="eastAsia" w:asciiTheme="minorEastAsia" w:hAnsiTheme="minorEastAsia" w:eastAsiaTheme="minorEastAsia" w:cstheme="minorEastAsia"/>
          <w:bCs/>
          <w:color w:val="auto"/>
          <w:kern w:val="2"/>
          <w:highlight w:val="none"/>
        </w:rPr>
      </w:pPr>
      <w:bookmarkStart w:id="223" w:name="_Toc26444"/>
      <w:bookmarkStart w:id="224" w:name="_Toc27644"/>
      <w:r>
        <w:rPr>
          <w:rFonts w:hint="eastAsia" w:asciiTheme="minorEastAsia" w:hAnsiTheme="minorEastAsia" w:eastAsiaTheme="minorEastAsia" w:cstheme="minorEastAsia"/>
          <w:bCs/>
          <w:color w:val="auto"/>
          <w:kern w:val="2"/>
          <w:highlight w:val="none"/>
        </w:rPr>
        <w:t>（4）投标文件损坏或格式不正确的。</w:t>
      </w:r>
      <w:bookmarkEnd w:id="223"/>
      <w:bookmarkEnd w:id="224"/>
    </w:p>
    <w:p w14:paraId="5ACF2246">
      <w:pPr>
        <w:pStyle w:val="29"/>
        <w:keepNext/>
        <w:keepLines/>
        <w:ind w:firstLine="480"/>
        <w:jc w:val="both"/>
        <w:rPr>
          <w:rFonts w:hint="eastAsia" w:asciiTheme="minorEastAsia" w:hAnsiTheme="minorEastAsia" w:eastAsiaTheme="minorEastAsia" w:cstheme="minorEastAsia"/>
          <w:b/>
          <w:color w:val="auto"/>
          <w:kern w:val="2"/>
          <w:highlight w:val="none"/>
        </w:rPr>
      </w:pPr>
      <w:bookmarkStart w:id="225" w:name="_Toc23010"/>
      <w:bookmarkStart w:id="226" w:name="_Toc5659"/>
      <w:r>
        <w:rPr>
          <w:rFonts w:hint="eastAsia" w:asciiTheme="minorEastAsia" w:hAnsiTheme="minorEastAsia" w:eastAsiaTheme="minorEastAsia" w:cstheme="minorEastAsia"/>
          <w:b/>
          <w:color w:val="auto"/>
          <w:kern w:val="2"/>
          <w:highlight w:val="none"/>
        </w:rPr>
        <w:t>12、 投标有效期及对投标人的其他要求</w:t>
      </w:r>
      <w:bookmarkEnd w:id="188"/>
      <w:bookmarkEnd w:id="189"/>
      <w:bookmarkEnd w:id="190"/>
      <w:bookmarkEnd w:id="191"/>
      <w:bookmarkEnd w:id="192"/>
      <w:bookmarkEnd w:id="193"/>
      <w:bookmarkEnd w:id="194"/>
      <w:bookmarkEnd w:id="195"/>
      <w:bookmarkEnd w:id="196"/>
      <w:bookmarkEnd w:id="197"/>
      <w:bookmarkEnd w:id="225"/>
      <w:bookmarkEnd w:id="226"/>
    </w:p>
    <w:p w14:paraId="2DA3218F">
      <w:pPr>
        <w:pStyle w:val="27"/>
        <w:ind w:firstLine="480" w:firstLineChars="200"/>
        <w:rPr>
          <w:rFonts w:hint="eastAsia" w:asciiTheme="minorEastAsia" w:hAnsiTheme="minorEastAsia" w:eastAsiaTheme="minorEastAsia" w:cstheme="minorEastAsia"/>
          <w:color w:val="auto"/>
          <w:kern w:val="0"/>
          <w:szCs w:val="21"/>
          <w:highlight w:val="none"/>
        </w:rPr>
      </w:pPr>
      <w:r>
        <w:rPr>
          <w:rFonts w:hint="eastAsia" w:asciiTheme="minorEastAsia" w:hAnsiTheme="minorEastAsia" w:eastAsiaTheme="minorEastAsia" w:cstheme="minorEastAsia"/>
          <w:snapToGrid w:val="0"/>
          <w:color w:val="auto"/>
          <w:kern w:val="0"/>
          <w:szCs w:val="24"/>
          <w:highlight w:val="none"/>
        </w:rPr>
        <w:t>本次招标投标有效期为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u w:val="single"/>
          <w:lang w:val="en-US" w:eastAsia="zh-CN"/>
        </w:rPr>
        <w:t>90</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个日历天，投标有效期从提交投标文件的截止之日起计算。在此期间，投标人不得撤销或修改其投标文件，否则其投标保证不予退还。</w:t>
      </w:r>
    </w:p>
    <w:bookmarkEnd w:id="121"/>
    <w:p w14:paraId="269AFF1F">
      <w:pPr>
        <w:pStyle w:val="27"/>
        <w:autoSpaceDE w:val="0"/>
        <w:autoSpaceDN w:val="0"/>
        <w:adjustRightInd w:val="0"/>
        <w:ind w:firstLine="482" w:firstLineChars="200"/>
        <w:rPr>
          <w:rFonts w:hint="eastAsia" w:asciiTheme="minorEastAsia" w:hAnsiTheme="minorEastAsia" w:eastAsiaTheme="minorEastAsia" w:cstheme="minorEastAsia"/>
          <w:b/>
          <w:color w:val="auto"/>
          <w:highlight w:val="none"/>
        </w:rPr>
      </w:pPr>
      <w:bookmarkStart w:id="227" w:name="_Hlt111081624"/>
      <w:bookmarkEnd w:id="227"/>
      <w:r>
        <w:rPr>
          <w:rFonts w:hint="eastAsia" w:asciiTheme="minorEastAsia" w:hAnsiTheme="minorEastAsia" w:eastAsiaTheme="minorEastAsia" w:cstheme="minorEastAsia"/>
          <w:b/>
          <w:color w:val="auto"/>
          <w:highlight w:val="none"/>
        </w:rPr>
        <w:t>13 开标</w:t>
      </w:r>
    </w:p>
    <w:p w14:paraId="3F9C570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13.1 招标人邀请所有正确完成了网上获取招标文件、电子投标、缴纳投标保证、递交投标文件的投标人参加开标，投标人可自主决定是否参加。投标人不参加开标的，视其默认开标结果，以及放弃在开标期间见证、监督、投诉、申辩的权利。</w:t>
      </w:r>
    </w:p>
    <w:p w14:paraId="73859315">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13.1.1 开标时间和地点：见本章第二节“重要事项时间地点一览表”。</w:t>
      </w:r>
    </w:p>
    <w:p w14:paraId="7ADB1B86">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13.1.2 开标前24小时，若交易平台显示缴纳投标保证（包括投标保证金、投标保证担保、投标保证保险）的投标人数量不足3个时，招标人将取消原定于次日召开的开标活动。投标人可在投标保证缴纳截止时间（见本章第二节“重要事项时间地点一览表”）至电子投标截止时间（见本章第二节“重要事项时间地点一览表”）期间登录全国公共资源交易平台（广东省·韶关市）（https://ygp.gdzwfw.gov.cn/ggzy-portal/#/440200/index）查询是否发布了取消开标活动的相关信息。</w:t>
      </w:r>
    </w:p>
    <w:p w14:paraId="200E70A3">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13.1.3本项目实行全流程电子化招标投标，投标人在交易平台按要求上传加盖电子印章并经加密的电子投标文件，并在交易平台录入准确的页码信息即可完成在线投标。由于投标人原因导致未按投标截</w:t>
      </w:r>
      <w:r>
        <w:rPr>
          <w:rFonts w:hint="eastAsia" w:asciiTheme="minorEastAsia" w:hAnsiTheme="minorEastAsia" w:eastAsiaTheme="minorEastAsia" w:cstheme="minorEastAsia"/>
          <w:bCs/>
          <w:color w:val="auto"/>
          <w:highlight w:val="none"/>
          <w:lang w:val="en-US" w:eastAsia="zh-CN"/>
        </w:rPr>
        <w:t>止</w:t>
      </w:r>
      <w:r>
        <w:rPr>
          <w:rFonts w:hint="eastAsia" w:asciiTheme="minorEastAsia" w:hAnsiTheme="minorEastAsia" w:eastAsiaTheme="minorEastAsia" w:cstheme="minorEastAsia"/>
          <w:bCs/>
          <w:color w:val="auto"/>
          <w:highlight w:val="none"/>
        </w:rPr>
        <w:t>时限上传完整投标文件、在交易平台中上传的投标文件无法解密、投标文件损坏或格式不正确、投标文件未按招标文件要求加盖电子印章或电子印章不完整、电子投标文件解密失败且未按要求上传备用投标文件等情形导致投标无效的，由投标人自行负责。</w:t>
      </w:r>
    </w:p>
    <w:p w14:paraId="37E635A6">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13.2 开标程序</w:t>
      </w:r>
    </w:p>
    <w:p w14:paraId="51E7EBBA">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（1）主持人（招标人代表或招标人授权的招标代理机构人员）宣读开标纪律。</w:t>
      </w:r>
    </w:p>
    <w:p w14:paraId="24F89B4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（2）主持人宣布唱标人、记录人、见证人、监督人等有关人员姓名。</w:t>
      </w:r>
    </w:p>
    <w:p w14:paraId="1E557CEF">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（3）唱标人公布在投标截止时间前进行投标文件的投标人数量和名称</w:t>
      </w:r>
    </w:p>
    <w:p w14:paraId="13A9CAFE">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（4）招标代理机构会同交易场所工作人员对投标人的电子投标信息进行解密，建设工程交易系统自动生成《投标保证缴纳情况表》和《开标一览表》。</w:t>
      </w:r>
    </w:p>
    <w:p w14:paraId="35D6AD40">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温馨提示：因本项目实行全流程电子化招标投标，投标人无须进行现场签到，可登录交易平台观看开标实况、提出异议或进行澄清、确认等操作，对开标事项的异议未在开标期间提出的，招标人不予受理。具体按招标文件和系统操作手册为准。</w:t>
      </w:r>
    </w:p>
    <w:p w14:paraId="19662591">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因本工程采用全流程电子招标投标方式进行招标，投标人在唱标环节为解密唱标时，以网上电子解密唱标信息为准。全流程电子招标投标采用线上评审，以电子投标文件为准。如果两者报价不一致的，视为报价不唯一，其响应性评审不通过。</w:t>
      </w:r>
    </w:p>
    <w:p w14:paraId="0351D7D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13.3 投标人对开标相关事项（如开标程序等）有异议的，必须在开标期间及时提出，招标人或其授权的招标代理机构应当场作出答复，并记录在案。对开标事项的异议未在开标期间及时提出的，招标人不予受理。</w:t>
      </w:r>
    </w:p>
    <w:p w14:paraId="3310379C">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13.4 招标代理机构将资料原件（若有）、《开标一览表》以及其他有关资料移交评标委员会。</w:t>
      </w:r>
    </w:p>
    <w:p w14:paraId="32D01FA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p>
    <w:p w14:paraId="4E121F19">
      <w:pPr>
        <w:pStyle w:val="27"/>
        <w:autoSpaceDE w:val="0"/>
        <w:autoSpaceDN w:val="0"/>
        <w:adjustRightInd w:val="0"/>
        <w:ind w:firstLine="482" w:firstLineChars="200"/>
        <w:rPr>
          <w:rFonts w:hint="eastAsia" w:asciiTheme="minorEastAsia" w:hAnsiTheme="minorEastAsia" w:eastAsiaTheme="minorEastAsia" w:cstheme="minorEastAsia"/>
          <w:bCs/>
          <w:color w:val="auto"/>
          <w:highlight w:val="none"/>
        </w:rPr>
      </w:pPr>
      <w:bookmarkStart w:id="228" w:name="_Toc21041"/>
      <w:r>
        <w:rPr>
          <w:rFonts w:hint="eastAsia" w:asciiTheme="minorEastAsia" w:hAnsiTheme="minorEastAsia" w:eastAsiaTheme="minorEastAsia" w:cstheme="minorEastAsia"/>
          <w:b/>
          <w:color w:val="auto"/>
          <w:highlight w:val="none"/>
        </w:rPr>
        <w:t xml:space="preserve">14 </w:t>
      </w:r>
      <w:bookmarkStart w:id="229" w:name="_Hlt127093805"/>
      <w:bookmarkEnd w:id="229"/>
      <w:r>
        <w:rPr>
          <w:rFonts w:hint="eastAsia" w:asciiTheme="minorEastAsia" w:hAnsiTheme="minorEastAsia" w:eastAsiaTheme="minorEastAsia" w:cstheme="minorEastAsia"/>
          <w:b/>
          <w:color w:val="auto"/>
          <w:highlight w:val="none"/>
        </w:rPr>
        <w:t>评标的方法和标准</w:t>
      </w:r>
      <w:bookmarkEnd w:id="228"/>
    </w:p>
    <w:p w14:paraId="2C5BC96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评标分为初步评审和详细评审两个阶段，由评标委员会在有关部门的监督下，严格按照本招标文件指定的评标方法，对投标人的投标文件进行审查、评审。评标委员会完成评标后，向招标人推荐 3 个中标候选人，并向招标人提交由全体评标委员会成员签字的评标报告。</w:t>
      </w:r>
    </w:p>
    <w:p w14:paraId="0AE55D26">
      <w:pPr>
        <w:pStyle w:val="27"/>
        <w:autoSpaceDE w:val="0"/>
        <w:autoSpaceDN w:val="0"/>
        <w:adjustRightInd w:val="0"/>
        <w:ind w:firstLine="482" w:firstLineChars="200"/>
        <w:rPr>
          <w:rFonts w:hint="eastAsia" w:asciiTheme="minorEastAsia" w:hAnsiTheme="minorEastAsia" w:eastAsiaTheme="minorEastAsia" w:cstheme="minorEastAsia"/>
          <w:bCs/>
          <w:color w:val="auto"/>
          <w:highlight w:val="none"/>
        </w:rPr>
      </w:pPr>
      <w:bookmarkStart w:id="230" w:name="_Toc32313"/>
      <w:r>
        <w:rPr>
          <w:rFonts w:hint="eastAsia" w:asciiTheme="minorEastAsia" w:hAnsiTheme="minorEastAsia" w:eastAsiaTheme="minorEastAsia" w:cstheme="minorEastAsia"/>
          <w:b/>
          <w:color w:val="auto"/>
          <w:highlight w:val="none"/>
        </w:rPr>
        <w:t>14.1 评标</w:t>
      </w:r>
      <w:bookmarkStart w:id="231" w:name="_Hlt69208274"/>
      <w:bookmarkEnd w:id="231"/>
      <w:r>
        <w:rPr>
          <w:rFonts w:hint="eastAsia" w:asciiTheme="minorEastAsia" w:hAnsiTheme="minorEastAsia" w:eastAsiaTheme="minorEastAsia" w:cstheme="minorEastAsia"/>
          <w:b/>
          <w:color w:val="auto"/>
          <w:highlight w:val="none"/>
        </w:rPr>
        <w:t>委员会</w:t>
      </w:r>
      <w:bookmarkEnd w:id="230"/>
      <w:bookmarkStart w:id="232" w:name="_Hlt69338169"/>
      <w:bookmarkEnd w:id="232"/>
    </w:p>
    <w:p w14:paraId="67D6DF1A">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14.1.1 评标委员会由</w:t>
      </w:r>
      <w:r>
        <w:rPr>
          <w:rFonts w:hint="eastAsia" w:asciiTheme="minorEastAsia" w:hAnsiTheme="minorEastAsia" w:eastAsiaTheme="minorEastAsia" w:cstheme="minorEastAsia"/>
          <w:bCs/>
          <w:color w:val="auto"/>
          <w:highlight w:val="none"/>
          <w:lang w:val="en-US" w:eastAsia="zh-CN"/>
        </w:rPr>
        <w:t>5</w:t>
      </w:r>
      <w:r>
        <w:rPr>
          <w:rFonts w:hint="eastAsia" w:asciiTheme="minorEastAsia" w:hAnsiTheme="minorEastAsia" w:eastAsiaTheme="minorEastAsia" w:cstheme="minorEastAsia"/>
          <w:bCs/>
          <w:color w:val="auto"/>
          <w:highlight w:val="none"/>
        </w:rPr>
        <w:t>人组成。专家从广东省综合评标评审专家库-韶关区域中随机抽取，其中技术类专家</w:t>
      </w:r>
      <w:r>
        <w:rPr>
          <w:rFonts w:hint="eastAsia" w:asciiTheme="minorEastAsia" w:hAnsiTheme="minorEastAsia" w:eastAsiaTheme="minorEastAsia" w:cstheme="minorEastAsia"/>
          <w:bCs/>
          <w:color w:val="auto"/>
          <w:highlight w:val="none"/>
          <w:lang w:val="en-US" w:eastAsia="zh-CN"/>
        </w:rPr>
        <w:t>3</w:t>
      </w:r>
      <w:r>
        <w:rPr>
          <w:rFonts w:hint="eastAsia" w:asciiTheme="minorEastAsia" w:hAnsiTheme="minorEastAsia" w:eastAsiaTheme="minorEastAsia" w:cstheme="minorEastAsia"/>
          <w:bCs/>
          <w:color w:val="auto"/>
          <w:highlight w:val="none"/>
        </w:rPr>
        <w:t>人，经济类专家2人。评标委员会的负责人在评委中民主选出，负责人的权力与评委成员相等。</w:t>
      </w:r>
    </w:p>
    <w:p w14:paraId="0B47977A">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14.1.2 评标委员会应认真、公正、诚实、廉洁地履行职责。有下列情形之一的，不得担任评标委员会成员：</w:t>
      </w:r>
    </w:p>
    <w:p w14:paraId="4D96394A">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14.1.2.1 投标人或者投标人主要负责人的近亲属；</w:t>
      </w:r>
    </w:p>
    <w:p w14:paraId="60CB17E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14.1.2.2 项目主管部门或者行政监督部门的人员；</w:t>
      </w:r>
    </w:p>
    <w:p w14:paraId="14864E7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14.1.2.3 与投标人有经济利益关系，可能影响对投标公正评审的；</w:t>
      </w:r>
    </w:p>
    <w:p w14:paraId="5D4B1CE6">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14.1.2.4 曾因在</w:t>
      </w:r>
      <w:bookmarkStart w:id="233" w:name="_Hlt69700387"/>
      <w:bookmarkEnd w:id="233"/>
      <w:r>
        <w:rPr>
          <w:rFonts w:hint="eastAsia" w:asciiTheme="minorEastAsia" w:hAnsiTheme="minorEastAsia" w:eastAsiaTheme="minorEastAsia" w:cstheme="minorEastAsia"/>
          <w:bCs/>
          <w:color w:val="auto"/>
          <w:highlight w:val="none"/>
        </w:rPr>
        <w:t>招标、评标以及其他与招标投标有关活动中从事违法行为而受过行政处罚或刑事处罚的。</w:t>
      </w:r>
    </w:p>
    <w:p w14:paraId="7B66DAB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14.1.3 评标委员会成员有前款规定情形之一的，应主动提出回避。</w:t>
      </w:r>
    </w:p>
    <w:p w14:paraId="032C51FC">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14.1.4 评标全过程实行封闭式管理，在中标结果公布前，禁止评标委员会成员以任何方式私下接触投标人。</w:t>
      </w:r>
    </w:p>
    <w:p w14:paraId="19A57A9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14.1.5 在评标过程中，评标委员会可以书面形式要求投标人对所提交的投标文件中不明确的内容进行书面澄清或说明，但不接受投标人主动提出的澄清或说明。投标人的书面澄清或说明不得改变投标文件的实质性内容，并作为投标文件的组成部分。</w:t>
      </w:r>
    </w:p>
    <w:p w14:paraId="10C9212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14.1.6 在任何评标环节中，当评标委员会就某项定性的评审结论不统一、需要做出表决时，由评标委员会全体成员按照少数服从多数的原则，以记名投票方式表决。评标委员会全体成员应共同遵守和执行表决结果，严禁评标委员会任何成员将个人意见强加给他人、影响评标正常秩序和妨碍评审结论的公正性。</w:t>
      </w:r>
    </w:p>
    <w:p w14:paraId="567E6500">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p>
    <w:p w14:paraId="3BA31052">
      <w:pPr>
        <w:pStyle w:val="27"/>
        <w:autoSpaceDE w:val="0"/>
        <w:autoSpaceDN w:val="0"/>
        <w:adjustRightInd w:val="0"/>
        <w:ind w:firstLine="482" w:firstLineChars="200"/>
        <w:rPr>
          <w:rFonts w:hint="eastAsia" w:asciiTheme="minorEastAsia" w:hAnsiTheme="minorEastAsia" w:eastAsiaTheme="minorEastAsia" w:cstheme="minorEastAsia"/>
          <w:b/>
          <w:color w:val="auto"/>
          <w:highlight w:val="none"/>
        </w:rPr>
      </w:pPr>
      <w:bookmarkStart w:id="234" w:name="_Toc104711078"/>
      <w:bookmarkStart w:id="235" w:name="_Toc106418823"/>
      <w:bookmarkStart w:id="236" w:name="_Toc17385"/>
      <w:r>
        <w:rPr>
          <w:rFonts w:hint="eastAsia" w:asciiTheme="minorEastAsia" w:hAnsiTheme="minorEastAsia" w:eastAsiaTheme="minorEastAsia" w:cstheme="minorEastAsia"/>
          <w:b/>
          <w:color w:val="auto"/>
          <w:highlight w:val="none"/>
        </w:rPr>
        <w:t>14.2</w:t>
      </w:r>
      <w:bookmarkEnd w:id="234"/>
      <w:bookmarkEnd w:id="235"/>
      <w:r>
        <w:rPr>
          <w:rFonts w:hint="eastAsia" w:asciiTheme="minorEastAsia" w:hAnsiTheme="minorEastAsia" w:eastAsiaTheme="minorEastAsia" w:cstheme="minorEastAsia"/>
          <w:b/>
          <w:color w:val="auto"/>
          <w:highlight w:val="none"/>
        </w:rPr>
        <w:t>评标方法</w:t>
      </w:r>
      <w:bookmarkEnd w:id="236"/>
    </w:p>
    <w:p w14:paraId="4814E1D1">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bookmarkStart w:id="237" w:name="_Hlt66591657"/>
      <w:bookmarkEnd w:id="237"/>
      <w:r>
        <w:rPr>
          <w:rFonts w:hint="eastAsia" w:asciiTheme="minorEastAsia" w:hAnsiTheme="minorEastAsia" w:eastAsiaTheme="minorEastAsia" w:cstheme="minorEastAsia"/>
          <w:bCs/>
          <w:color w:val="auto"/>
          <w:highlight w:val="none"/>
        </w:rPr>
        <w:t>根据有关法律、法规的相关规定，结合本招标项目资金来源和规模特点，本次招标采用综合评估法进行评标。</w:t>
      </w:r>
    </w:p>
    <w:p w14:paraId="271A82BD">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14.2.1评审范围：评标委员会应对所有投标人的投标文件进行评审。</w:t>
      </w:r>
    </w:p>
    <w:p w14:paraId="561B0E3C">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14.2.2 初步评审阶段</w:t>
      </w:r>
    </w:p>
    <w:p w14:paraId="6A543D90">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初步评审阶段分为资格评审、形式评审和响应性评审三个环节。</w:t>
      </w:r>
    </w:p>
    <w:p w14:paraId="68BCCA02">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14.2.3资格评审环节</w:t>
      </w:r>
    </w:p>
    <w:p w14:paraId="64635C57">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资格评审事项包括：</w:t>
      </w:r>
    </w:p>
    <w:p w14:paraId="03DFE2B7">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（1）投标人是否符合本章第三节第 4.4条“禁止投标条款”规定。</w:t>
      </w:r>
    </w:p>
    <w:p w14:paraId="784138A5">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（2）投标人名称是否与营业执照、资质证书、安全生产许可证一致。</w:t>
      </w:r>
    </w:p>
    <w:p w14:paraId="55CCECF1">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（3）投标人的资质是否符合招标文件规定；其营业执照、资质证书、安全生产许可证是否合法、有效、准确。</w:t>
      </w:r>
    </w:p>
    <w:p w14:paraId="3252A45D">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（4）《项目经理简历表》中拟派项目经理是否与《开标一览表》一致。</w:t>
      </w:r>
    </w:p>
    <w:p w14:paraId="748DC84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5）拟派项目经理、项目技术负责人、专职安全员、设计负责人的条件是否符合招标文件规定；项目管理机构组成人员的各类证书、证件、证明是否合法、有效、准确；是否擅自修改、遗漏《项目经理任职声明》的实质性内容。</w:t>
      </w:r>
    </w:p>
    <w:p w14:paraId="3227F8C0">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6）联合体投标的，是否提交《联合体协议书》；是否擅自修改、遗漏《联合体协议书》的实质性内容；联合体成员的数量、资质是否符合招标文件规定；联合体成员是否以自己名义单独或者参加其他联合体参与本招标工程投标。</w:t>
      </w:r>
    </w:p>
    <w:p w14:paraId="69CFE55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（7）投标人为外省建筑企业的，是否按规定在“进粤企业和人员诚信信息登记平台”录入企业及其拟派人员有关信息并通过数据规范检查。</w:t>
      </w:r>
    </w:p>
    <w:p w14:paraId="5F8161DB">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注：如果“禁止投标条款”包括失信惩戒的，投标人信用信息的获取采用现场实时查询的方式实施。由招标代理机构工作人员在评标委员会成员、交易场所工作人员共同见证下，登录信用中国网站（https://www.creditchina.gov.cn），在企业查询界面下载和打印《法人和非法人组织公共信用信息报告》，作为评审依据移交评标委员会。</w:t>
      </w:r>
    </w:p>
    <w:p w14:paraId="20BE857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14.2.4 形式评审环节</w:t>
      </w:r>
    </w:p>
    <w:p w14:paraId="0838931D">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形式评审事项包括：</w:t>
      </w:r>
    </w:p>
    <w:p w14:paraId="0E876C47">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1</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投标文件是否按招标文件规定加盖电子印章。</w:t>
      </w:r>
    </w:p>
    <w:p w14:paraId="2F501CEA">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lang w:val="en-US" w:eastAsia="zh-CN"/>
        </w:rPr>
        <w:t>2</w:t>
      </w:r>
      <w:r>
        <w:rPr>
          <w:rFonts w:hint="eastAsia" w:asciiTheme="minorEastAsia" w:hAnsiTheme="minorEastAsia" w:eastAsiaTheme="minorEastAsia" w:cstheme="minorEastAsia"/>
          <w:bCs/>
          <w:color w:val="auto"/>
          <w:highlight w:val="none"/>
          <w:lang w:eastAsia="zh-CN"/>
        </w:rPr>
        <w:t>）</w:t>
      </w:r>
      <w:r>
        <w:rPr>
          <w:rFonts w:hint="eastAsia" w:asciiTheme="minorEastAsia" w:hAnsiTheme="minorEastAsia" w:eastAsiaTheme="minorEastAsia" w:cstheme="minorEastAsia"/>
          <w:bCs/>
          <w:color w:val="auto"/>
          <w:highlight w:val="none"/>
        </w:rPr>
        <w:t>本节第11.2.2目中规定的“所有投标人均应提供”的组成内容（包括该组成内容的所附资料）是否完整、齐全。</w:t>
      </w:r>
    </w:p>
    <w:p w14:paraId="1A075353">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14.2.5 响应性评审环节</w:t>
      </w:r>
    </w:p>
    <w:p w14:paraId="3EA70AF2">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响应性评审事项包括：</w:t>
      </w:r>
    </w:p>
    <w:p w14:paraId="4D175A90">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（1）投标有效期、质量标准、工期等是否响应招标文件实质性要求；是否擅自修改、遗漏《投标函》《各项承诺一览表》的实质性内容。</w:t>
      </w:r>
    </w:p>
    <w:p w14:paraId="7FFACCE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（2）编投标总价是否唯一；投标总价是否超出最高投标限价；投标人是否以低于成本的价格竞标。</w:t>
      </w:r>
    </w:p>
    <w:p w14:paraId="6F6FF14C">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注：如果某投标人的投标总价下浮率（投标总价下浮率＝100%－投标总价÷招标控制价×100%）超过15%，又未提供相应书面说明和佐证材料或提供的书面说明和佐证材料不能令人信服的，评标委员会应认定其以低于成本的价格竞标，并否决其投标。评标委员会接受该投标人的投标总价而未否决其投标的，应在评标报告中说明判断理由。</w:t>
      </w:r>
    </w:p>
    <w:p w14:paraId="29294FE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14.2.6 否决投标说明</w:t>
      </w:r>
    </w:p>
    <w:p w14:paraId="4852BE06">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初步评审阶段各个环节否决投标的全部条件，在本章第四节“否决投标条件”第1条至第4条中集中列示。投标人有其中所列任何一种情形的，由评标委员会否决其投标。在初步评审阶段任何环节被否决的投标人，不进入下一环节（或阶段）评审。在初步评审阶段任何环节，有效投标人数量不足3个时，招标人应依法重新组织招标。</w:t>
      </w:r>
    </w:p>
    <w:p w14:paraId="23759283">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p>
    <w:p w14:paraId="63BC8A15">
      <w:pPr>
        <w:pStyle w:val="27"/>
        <w:autoSpaceDE w:val="0"/>
        <w:autoSpaceDN w:val="0"/>
        <w:adjustRightInd w:val="0"/>
        <w:ind w:firstLine="482" w:firstLineChars="200"/>
        <w:rPr>
          <w:rFonts w:hint="eastAsia" w:asciiTheme="minorEastAsia" w:hAnsiTheme="minorEastAsia" w:eastAsiaTheme="minorEastAsia" w:cstheme="minorEastAsia"/>
          <w:bCs/>
          <w:color w:val="auto"/>
          <w:highlight w:val="none"/>
        </w:rPr>
      </w:pPr>
      <w:bookmarkStart w:id="238" w:name="_Toc18413"/>
      <w:r>
        <w:rPr>
          <w:rFonts w:hint="eastAsia" w:asciiTheme="minorEastAsia" w:hAnsiTheme="minorEastAsia" w:eastAsiaTheme="minorEastAsia" w:cstheme="minorEastAsia"/>
          <w:b/>
          <w:color w:val="auto"/>
          <w:highlight w:val="none"/>
        </w:rPr>
        <w:t>14.3 详细评审阶段</w:t>
      </w:r>
      <w:bookmarkEnd w:id="238"/>
    </w:p>
    <w:p w14:paraId="032895EF">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 xml:space="preserve"> 14.3.1 “综合评估法”评审程序</w:t>
      </w:r>
    </w:p>
    <w:p w14:paraId="45781012">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评审内容分为商务部分和经济部分两大部分，实行分项计分，以100分为满分。具体分值详见《综合评分表》。</w:t>
      </w:r>
    </w:p>
    <w:p w14:paraId="1679BABE">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除特别注明外，综合得分以及商务部分得分、经济部分得分的中间过程计算值和最终值，均按“四舍五入”原则精确到两位小数。</w:t>
      </w:r>
    </w:p>
    <w:p w14:paraId="0B121F9D">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（1）商务部分得分</w:t>
      </w:r>
    </w:p>
    <w:p w14:paraId="31FED9A9">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①评标委员会各成员独立按照《综合评分表》商务部分指定的评分标准对各评分因素进行打分。各评分因素得分之和即为某投标人的商务部分得分。</w:t>
      </w:r>
    </w:p>
    <w:p w14:paraId="4F725F7E">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②全体评委对该投标人的商务部分总评分取平均值，按“四舍五入”原则精确到两位小数即为该投标人商务部分的最终得分。</w:t>
      </w:r>
    </w:p>
    <w:p w14:paraId="4D3965BF">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（2）经济部分得分</w:t>
      </w:r>
    </w:p>
    <w:p w14:paraId="519ABA71">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经济部分评分方法详见《综合评分表》。</w:t>
      </w:r>
    </w:p>
    <w:p w14:paraId="62C5F2EC">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（3）综合得分</w:t>
      </w:r>
    </w:p>
    <w:p w14:paraId="5AD6E435">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综合得分=商务部分得分+经济部分得分</w:t>
      </w:r>
    </w:p>
    <w:p w14:paraId="2F3AC974">
      <w:pPr>
        <w:pStyle w:val="27"/>
        <w:autoSpaceDE w:val="0"/>
        <w:autoSpaceDN w:val="0"/>
        <w:adjustRightInd w:val="0"/>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4）评标委员会汇总、比较所有投标人的综合得分后，取综合得分最高的投标人为第一中标候选人，取综合得分第二、第三高的投标人为第二、第三中标候选人。如果最高综合得分相同，取投标总价低者为第一中标候选人，并依此确定第二、第三中标候选人。如果最高综合得分相同，投标总价也相同，由评标委员会投票确定。</w:t>
      </w:r>
    </w:p>
    <w:bookmarkEnd w:id="122"/>
    <w:p w14:paraId="77EE0856">
      <w:pPr>
        <w:wordWrap w:val="0"/>
        <w:adjustRightInd w:val="0"/>
        <w:snapToGrid w:val="0"/>
        <w:spacing w:before="260" w:after="260" w:line="360" w:lineRule="auto"/>
        <w:ind w:firstLine="562" w:firstLineChars="200"/>
        <w:jc w:val="center"/>
        <w:rPr>
          <w:rFonts w:hint="eastAsia" w:asciiTheme="minorEastAsia" w:hAnsiTheme="minorEastAsia" w:eastAsiaTheme="minorEastAsia" w:cstheme="minorEastAsia"/>
          <w:b/>
          <w:color w:val="auto"/>
          <w:sz w:val="28"/>
          <w:szCs w:val="28"/>
          <w:highlight w:val="none"/>
        </w:rPr>
      </w:pPr>
    </w:p>
    <w:p w14:paraId="61D847FF">
      <w:pPr>
        <w:pStyle w:val="2"/>
        <w:spacing w:line="504" w:lineRule="atLeast"/>
        <w:jc w:val="center"/>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br w:type="page"/>
      </w:r>
      <w:bookmarkStart w:id="239" w:name="_Toc21000"/>
      <w:r>
        <w:rPr>
          <w:rFonts w:hint="eastAsia" w:asciiTheme="minorEastAsia" w:hAnsiTheme="minorEastAsia" w:eastAsiaTheme="minorEastAsia" w:cstheme="minorEastAsia"/>
          <w:b/>
          <w:color w:val="auto"/>
          <w:sz w:val="28"/>
          <w:szCs w:val="28"/>
          <w:highlight w:val="none"/>
        </w:rPr>
        <w:t>综合评分表</w:t>
      </w:r>
      <w:bookmarkEnd w:id="239"/>
      <w:r>
        <w:rPr>
          <w:rFonts w:hint="eastAsia" w:asciiTheme="minorEastAsia" w:hAnsiTheme="minorEastAsia" w:eastAsiaTheme="minorEastAsia" w:cstheme="minorEastAsia"/>
          <w:b/>
          <w:color w:val="auto"/>
          <w:sz w:val="28"/>
          <w:szCs w:val="28"/>
          <w:highlight w:val="none"/>
        </w:rPr>
        <w:t xml:space="preserve">  </w:t>
      </w:r>
    </w:p>
    <w:tbl>
      <w:tblPr>
        <w:tblStyle w:val="22"/>
        <w:tblW w:w="103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1"/>
        <w:gridCol w:w="687"/>
        <w:gridCol w:w="1262"/>
        <w:gridCol w:w="5107"/>
        <w:gridCol w:w="2591"/>
      </w:tblGrid>
      <w:tr w14:paraId="53413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398" w:type="dxa"/>
            <w:gridSpan w:val="2"/>
            <w:noWrap w:val="0"/>
            <w:vAlign w:val="center"/>
          </w:tcPr>
          <w:p w14:paraId="30227944">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评标</w:t>
            </w:r>
          </w:p>
          <w:p w14:paraId="1062DEF7">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内容</w:t>
            </w:r>
          </w:p>
        </w:tc>
        <w:tc>
          <w:tcPr>
            <w:tcW w:w="6369" w:type="dxa"/>
            <w:gridSpan w:val="2"/>
            <w:noWrap w:val="0"/>
            <w:vAlign w:val="center"/>
          </w:tcPr>
          <w:p w14:paraId="0B0DBC5C">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评分标准</w:t>
            </w:r>
          </w:p>
        </w:tc>
        <w:tc>
          <w:tcPr>
            <w:tcW w:w="2591" w:type="dxa"/>
            <w:noWrap w:val="0"/>
            <w:vAlign w:val="center"/>
          </w:tcPr>
          <w:p w14:paraId="475EFE2E">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b/>
                <w:bCs/>
                <w:color w:val="auto"/>
                <w:sz w:val="21"/>
                <w:szCs w:val="21"/>
                <w:highlight w:val="none"/>
                <w:shd w:val="clear" w:color="auto" w:fill="auto"/>
              </w:rPr>
            </w:pPr>
            <w:r>
              <w:rPr>
                <w:rFonts w:hint="eastAsia" w:ascii="宋体" w:hAnsi="宋体" w:eastAsia="宋体" w:cs="宋体"/>
                <w:b/>
                <w:bCs/>
                <w:color w:val="auto"/>
                <w:sz w:val="21"/>
                <w:szCs w:val="21"/>
                <w:highlight w:val="none"/>
                <w:shd w:val="clear" w:color="auto" w:fill="auto"/>
              </w:rPr>
              <w:t>备注</w:t>
            </w:r>
          </w:p>
        </w:tc>
      </w:tr>
      <w:tr w14:paraId="5C09B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11" w:type="dxa"/>
            <w:vMerge w:val="restart"/>
            <w:noWrap w:val="0"/>
            <w:vAlign w:val="center"/>
          </w:tcPr>
          <w:p w14:paraId="44D889A7">
            <w:pPr>
              <w:keepNext w:val="0"/>
              <w:keepLines w:val="0"/>
              <w:pageBreakBefore w:val="0"/>
              <w:kinsoku/>
              <w:overflowPunct/>
              <w:topLinePunct w:val="0"/>
              <w:bidi w:val="0"/>
              <w:snapToGrid w:val="0"/>
              <w:spacing w:line="240" w:lineRule="auto"/>
              <w:jc w:val="center"/>
              <w:textAlignment w:val="auto"/>
              <w:rPr>
                <w:rFonts w:hint="eastAsia" w:asciiTheme="minorEastAsia" w:hAnsiTheme="minorEastAsia" w:eastAsiaTheme="minorEastAsia" w:cstheme="minorEastAsia"/>
                <w:color w:val="auto"/>
                <w:sz w:val="21"/>
                <w:szCs w:val="21"/>
              </w:rPr>
            </w:pPr>
            <w:r>
              <w:rPr>
                <w:rFonts w:hint="eastAsia" w:asciiTheme="minorEastAsia" w:hAnsiTheme="minorEastAsia" w:eastAsiaTheme="minorEastAsia" w:cstheme="minorEastAsia"/>
                <w:color w:val="auto"/>
                <w:sz w:val="21"/>
                <w:szCs w:val="21"/>
              </w:rPr>
              <w:t>商务</w:t>
            </w:r>
          </w:p>
          <w:p w14:paraId="127E43FA">
            <w:pPr>
              <w:keepNext w:val="0"/>
              <w:keepLines w:val="0"/>
              <w:pageBreakBefore w:val="0"/>
              <w:kinsoku/>
              <w:overflowPunct/>
              <w:topLinePunct w:val="0"/>
              <w:bidi w:val="0"/>
              <w:snapToGrid w:val="0"/>
              <w:spacing w:line="240" w:lineRule="auto"/>
              <w:jc w:val="center"/>
              <w:textAlignment w:val="auto"/>
              <w:rPr>
                <w:rFonts w:hint="default" w:eastAsiaTheme="minorEastAsia"/>
                <w:lang w:val="en-US" w:eastAsia="zh-CN"/>
              </w:rPr>
            </w:pPr>
            <w:r>
              <w:rPr>
                <w:rFonts w:hint="eastAsia" w:asciiTheme="minorEastAsia" w:hAnsiTheme="minorEastAsia" w:eastAsiaTheme="minorEastAsia" w:cstheme="minorEastAsia"/>
                <w:color w:val="auto"/>
                <w:sz w:val="21"/>
                <w:szCs w:val="21"/>
                <w:lang w:val="en-US" w:eastAsia="zh-CN"/>
              </w:rPr>
              <w:t>部分（50分）</w:t>
            </w:r>
          </w:p>
        </w:tc>
        <w:tc>
          <w:tcPr>
            <w:tcW w:w="687" w:type="dxa"/>
            <w:vMerge w:val="restart"/>
            <w:noWrap w:val="0"/>
            <w:vAlign w:val="center"/>
          </w:tcPr>
          <w:p w14:paraId="2F022887">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color w:val="auto"/>
                <w:sz w:val="21"/>
                <w:szCs w:val="21"/>
                <w:highlight w:val="none"/>
                <w:shd w:val="clear" w:color="auto" w:fill="auto"/>
              </w:rPr>
            </w:pPr>
            <w:r>
              <w:rPr>
                <w:rFonts w:hint="eastAsia" w:asciiTheme="minorEastAsia" w:hAnsiTheme="minorEastAsia" w:eastAsiaTheme="minorEastAsia" w:cstheme="minorEastAsia"/>
                <w:sz w:val="21"/>
                <w:szCs w:val="21"/>
              </w:rPr>
              <w:t>施工企业（</w:t>
            </w:r>
            <w:r>
              <w:rPr>
                <w:rFonts w:hint="eastAsia" w:asciiTheme="minorEastAsia" w:hAnsiTheme="minorEastAsia" w:eastAsiaTheme="minorEastAsia" w:cstheme="minorEastAsia"/>
                <w:sz w:val="21"/>
                <w:szCs w:val="21"/>
                <w:lang w:val="en-US" w:eastAsia="zh-CN"/>
              </w:rPr>
              <w:t>30</w:t>
            </w:r>
            <w:r>
              <w:rPr>
                <w:rFonts w:hint="eastAsia" w:asciiTheme="minorEastAsia" w:hAnsiTheme="minorEastAsia" w:eastAsiaTheme="minorEastAsia" w:cstheme="minorEastAsia"/>
                <w:sz w:val="21"/>
                <w:szCs w:val="21"/>
              </w:rPr>
              <w:t>分）</w:t>
            </w:r>
          </w:p>
        </w:tc>
        <w:tc>
          <w:tcPr>
            <w:tcW w:w="1262" w:type="dxa"/>
            <w:noWrap w:val="0"/>
            <w:vAlign w:val="center"/>
          </w:tcPr>
          <w:p w14:paraId="7D612E5E">
            <w:pPr>
              <w:pStyle w:val="8"/>
              <w:wordWrap w:val="0"/>
              <w:adjustRightInd w:val="0"/>
              <w:snapToGrid w:val="0"/>
              <w:spacing w:line="4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企业业绩</w:t>
            </w:r>
          </w:p>
          <w:p w14:paraId="3940BD89">
            <w:pPr>
              <w:rPr>
                <w:rFonts w:hint="eastAsia" w:eastAsiaTheme="minorEastAsia"/>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w:t>
            </w:r>
          </w:p>
        </w:tc>
        <w:tc>
          <w:tcPr>
            <w:tcW w:w="5107" w:type="dxa"/>
            <w:noWrap w:val="0"/>
            <w:vAlign w:val="center"/>
          </w:tcPr>
          <w:p w14:paraId="0D2D3905">
            <w:pPr>
              <w:pStyle w:val="8"/>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202</w:t>
            </w:r>
            <w:r>
              <w:rPr>
                <w:rFonts w:hint="eastAsia" w:hAnsi="宋体" w:eastAsia="宋体" w:cs="宋体"/>
                <w:snapToGrid w:val="0"/>
                <w:color w:val="auto"/>
                <w:kern w:val="0"/>
                <w:sz w:val="21"/>
                <w:szCs w:val="21"/>
                <w:highlight w:val="none"/>
                <w:lang w:val="en-US" w:eastAsia="zh-CN" w:bidi="ar-SA"/>
              </w:rPr>
              <w:t>1</w:t>
            </w:r>
            <w:r>
              <w:rPr>
                <w:rFonts w:hint="eastAsia" w:ascii="宋体" w:hAnsi="宋体" w:eastAsia="宋体" w:cs="宋体"/>
                <w:snapToGrid w:val="0"/>
                <w:color w:val="auto"/>
                <w:kern w:val="0"/>
                <w:sz w:val="21"/>
                <w:szCs w:val="21"/>
                <w:highlight w:val="none"/>
                <w:lang w:val="en-US" w:eastAsia="zh-CN" w:bidi="ar-SA"/>
              </w:rPr>
              <w:t>年1月1日至今（以竣工日期为准）完成过的同类工程业绩（指110kV电压等级且合同金额大于或等于1000万元的输</w:t>
            </w:r>
            <w:r>
              <w:rPr>
                <w:rFonts w:hint="eastAsia" w:hAnsi="宋体" w:eastAsia="宋体" w:cs="宋体"/>
                <w:snapToGrid w:val="0"/>
                <w:color w:val="auto"/>
                <w:kern w:val="0"/>
                <w:sz w:val="21"/>
                <w:szCs w:val="21"/>
                <w:highlight w:val="none"/>
                <w:lang w:val="en-US" w:eastAsia="zh-CN" w:bidi="ar-SA"/>
              </w:rPr>
              <w:t>变</w:t>
            </w:r>
            <w:r>
              <w:rPr>
                <w:rFonts w:hint="eastAsia" w:ascii="宋体" w:hAnsi="宋体" w:eastAsia="宋体" w:cs="宋体"/>
                <w:snapToGrid w:val="0"/>
                <w:color w:val="auto"/>
                <w:kern w:val="0"/>
                <w:sz w:val="21"/>
                <w:szCs w:val="21"/>
                <w:highlight w:val="none"/>
                <w:lang w:val="en-US" w:eastAsia="zh-CN" w:bidi="ar-SA"/>
              </w:rPr>
              <w:t>电工程）每个得1分，满分8分。</w:t>
            </w:r>
          </w:p>
          <w:p w14:paraId="33873947">
            <w:pPr>
              <w:pStyle w:val="8"/>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r>
              <w:rPr>
                <w:rFonts w:hint="eastAsia" w:hAnsi="宋体" w:eastAsia="宋体" w:cs="宋体"/>
                <w:snapToGrid w:val="0"/>
                <w:color w:val="auto"/>
                <w:kern w:val="0"/>
                <w:sz w:val="21"/>
                <w:szCs w:val="21"/>
                <w:highlight w:val="none"/>
                <w:lang w:eastAsia="zh-CN"/>
              </w:rPr>
              <w:t>。</w:t>
            </w:r>
          </w:p>
        </w:tc>
        <w:tc>
          <w:tcPr>
            <w:tcW w:w="2591" w:type="dxa"/>
            <w:noWrap w:val="0"/>
            <w:vAlign w:val="center"/>
          </w:tcPr>
          <w:p w14:paraId="139BEF39">
            <w:pPr>
              <w:pStyle w:val="8"/>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bidi="ar-SA"/>
              </w:rPr>
              <w:t>注：须提供中标通知书（或合同）和竣工验收报告复印件。</w:t>
            </w:r>
          </w:p>
        </w:tc>
      </w:tr>
      <w:tr w14:paraId="07464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69" w:hRule="atLeast"/>
          <w:jc w:val="center"/>
        </w:trPr>
        <w:tc>
          <w:tcPr>
            <w:tcW w:w="711" w:type="dxa"/>
            <w:vMerge w:val="continue"/>
            <w:noWrap w:val="0"/>
            <w:vAlign w:val="center"/>
          </w:tcPr>
          <w:p w14:paraId="1A39FB82">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b/>
                <w:bCs/>
                <w:color w:val="auto"/>
                <w:sz w:val="21"/>
                <w:szCs w:val="21"/>
                <w:highlight w:val="none"/>
                <w:shd w:val="clear" w:color="auto" w:fill="auto"/>
              </w:rPr>
            </w:pPr>
          </w:p>
        </w:tc>
        <w:tc>
          <w:tcPr>
            <w:tcW w:w="687" w:type="dxa"/>
            <w:vMerge w:val="continue"/>
            <w:noWrap w:val="0"/>
            <w:vAlign w:val="center"/>
          </w:tcPr>
          <w:p w14:paraId="153D8776">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color w:val="auto"/>
                <w:sz w:val="21"/>
                <w:szCs w:val="21"/>
                <w:highlight w:val="none"/>
                <w:shd w:val="clear" w:color="auto" w:fill="auto"/>
                <w:lang w:val="en-US" w:eastAsia="zh-CN"/>
              </w:rPr>
            </w:pPr>
          </w:p>
        </w:tc>
        <w:tc>
          <w:tcPr>
            <w:tcW w:w="1262" w:type="dxa"/>
            <w:noWrap w:val="0"/>
            <w:vAlign w:val="center"/>
          </w:tcPr>
          <w:p w14:paraId="370C07F7">
            <w:pPr>
              <w:pStyle w:val="8"/>
              <w:wordWrap w:val="0"/>
              <w:adjustRightInd w:val="0"/>
              <w:snapToGrid w:val="0"/>
              <w:spacing w:line="400" w:lineRule="exact"/>
              <w:jc w:val="both"/>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项目管理架构</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8</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w:t>
            </w:r>
          </w:p>
        </w:tc>
        <w:tc>
          <w:tcPr>
            <w:tcW w:w="5107" w:type="dxa"/>
            <w:noWrap w:val="0"/>
            <w:vAlign w:val="center"/>
          </w:tcPr>
          <w:p w14:paraId="647F06EB">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1．项目经理具有高级工程师或以上技术职称的得1分；</w:t>
            </w:r>
          </w:p>
          <w:p w14:paraId="66D3CE1E">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2．团队人员（除项目经理外）</w:t>
            </w:r>
          </w:p>
          <w:p w14:paraId="6D7D64C2">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①项目技术负责人具有高级工程师或以上技术职称的，得1分；</w:t>
            </w:r>
          </w:p>
          <w:p w14:paraId="4BEE4C54">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②拟投入本项目人员：持有岗位证书的施工现场管理人员≧20人，且质量员、安全员、资料员、材料员、技术员、造价员、机械员、标准员等人员齐全，得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分；10人≦持有岗位证书的施工现场管理人员&lt;20人，且质量员、安全员、资料员、材料员、技术员、造价员、机械员、标准员等人员齐全，得1分。</w:t>
            </w:r>
          </w:p>
          <w:p w14:paraId="48C81258">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③拟投入本项目施工人员：经考核或培训合格（中华人民共和国人力资源和社会保障部）颁发的电工、维修电工等四级/中级技能及以上技术工人≧30人，得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分；15人≦经考核或培训合格的电工、维修电工等四级/中级技能及以上技术工人&lt;30人，得1分。</w:t>
            </w:r>
          </w:p>
          <w:p w14:paraId="2F7BA50F">
            <w:pPr>
              <w:bidi w:val="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本项最高得</w:t>
            </w:r>
            <w:r>
              <w:rPr>
                <w:rFonts w:hint="eastAsia" w:hAnsi="宋体" w:cs="宋体"/>
                <w:snapToGrid w:val="0"/>
                <w:color w:val="auto"/>
                <w:kern w:val="0"/>
                <w:sz w:val="21"/>
                <w:szCs w:val="21"/>
                <w:highlight w:val="none"/>
                <w:lang w:val="en-US" w:eastAsia="zh-CN"/>
              </w:rPr>
              <w:t>8</w:t>
            </w:r>
            <w:r>
              <w:rPr>
                <w:rFonts w:hint="eastAsia" w:ascii="宋体" w:hAnsi="宋体" w:eastAsia="宋体" w:cs="宋体"/>
                <w:snapToGrid w:val="0"/>
                <w:color w:val="auto"/>
                <w:kern w:val="0"/>
                <w:sz w:val="21"/>
                <w:szCs w:val="21"/>
                <w:highlight w:val="none"/>
              </w:rPr>
              <w:t>分</w:t>
            </w:r>
            <w:r>
              <w:rPr>
                <w:rFonts w:hint="eastAsia" w:ascii="宋体" w:hAnsi="宋体" w:eastAsia="宋体" w:cs="宋体"/>
                <w:snapToGrid w:val="0"/>
                <w:color w:val="auto"/>
                <w:kern w:val="0"/>
                <w:sz w:val="21"/>
                <w:szCs w:val="21"/>
                <w:highlight w:val="none"/>
                <w:lang w:eastAsia="zh-CN"/>
              </w:rPr>
              <w:t>。</w:t>
            </w:r>
          </w:p>
        </w:tc>
        <w:tc>
          <w:tcPr>
            <w:tcW w:w="2591" w:type="dxa"/>
            <w:noWrap w:val="0"/>
            <w:vAlign w:val="center"/>
          </w:tcPr>
          <w:p w14:paraId="6A4DACC0">
            <w:pPr>
              <w:pStyle w:val="8"/>
              <w:wordWrap w:val="0"/>
              <w:adjustRightInd w:val="0"/>
              <w:snapToGrid w:val="0"/>
              <w:spacing w:line="400" w:lineRule="exact"/>
              <w:rPr>
                <w:rFonts w:hint="eastAsia" w:ascii="宋体" w:hAnsi="宋体" w:eastAsia="宋体" w:cs="宋体"/>
                <w:color w:val="auto"/>
                <w:kern w:val="2"/>
                <w:sz w:val="21"/>
                <w:szCs w:val="21"/>
                <w:highlight w:val="none"/>
                <w:shd w:val="clear" w:color="auto" w:fill="auto"/>
                <w:lang w:val="en-US" w:eastAsia="zh-CN" w:bidi="ar-SA"/>
              </w:rPr>
            </w:pPr>
            <w:r>
              <w:rPr>
                <w:rFonts w:hint="eastAsia" w:ascii="宋体" w:hAnsi="宋体" w:eastAsia="宋体" w:cs="宋体"/>
                <w:color w:val="auto"/>
                <w:kern w:val="2"/>
                <w:sz w:val="21"/>
                <w:szCs w:val="21"/>
                <w:highlight w:val="none"/>
                <w:shd w:val="clear" w:color="auto" w:fill="auto"/>
                <w:lang w:val="en-US" w:eastAsia="zh-CN" w:bidi="ar-SA"/>
              </w:rPr>
              <w:t>注：必须提供人员证书及近半年内连续三个月的社保证明复印件（其中必须有202</w:t>
            </w:r>
            <w:r>
              <w:rPr>
                <w:rFonts w:hint="eastAsia" w:hAnsi="宋体" w:eastAsia="宋体" w:cs="宋体"/>
                <w:color w:val="auto"/>
                <w:kern w:val="2"/>
                <w:sz w:val="21"/>
                <w:szCs w:val="21"/>
                <w:highlight w:val="none"/>
                <w:shd w:val="clear" w:color="auto" w:fill="auto"/>
                <w:lang w:val="en-US" w:eastAsia="zh-CN" w:bidi="ar-SA"/>
              </w:rPr>
              <w:t>5</w:t>
            </w:r>
            <w:r>
              <w:rPr>
                <w:rFonts w:hint="eastAsia" w:ascii="宋体" w:hAnsi="宋体" w:eastAsia="宋体" w:cs="宋体"/>
                <w:color w:val="auto"/>
                <w:kern w:val="2"/>
                <w:sz w:val="21"/>
                <w:szCs w:val="21"/>
                <w:highlight w:val="none"/>
                <w:shd w:val="clear" w:color="auto" w:fill="auto"/>
                <w:lang w:val="en-US" w:eastAsia="zh-CN" w:bidi="ar-SA"/>
              </w:rPr>
              <w:t>年</w:t>
            </w:r>
            <w:r>
              <w:rPr>
                <w:rFonts w:hint="eastAsia" w:hAnsi="宋体" w:eastAsia="宋体" w:cs="宋体"/>
                <w:color w:val="auto"/>
                <w:kern w:val="2"/>
                <w:sz w:val="21"/>
                <w:szCs w:val="21"/>
                <w:highlight w:val="none"/>
                <w:shd w:val="clear" w:color="auto" w:fill="auto"/>
                <w:lang w:val="en-US" w:eastAsia="zh-CN" w:bidi="ar-SA"/>
              </w:rPr>
              <w:t>10</w:t>
            </w:r>
            <w:r>
              <w:rPr>
                <w:rFonts w:hint="eastAsia" w:ascii="宋体" w:hAnsi="宋体" w:eastAsia="宋体" w:cs="宋体"/>
                <w:color w:val="auto"/>
                <w:kern w:val="2"/>
                <w:sz w:val="21"/>
                <w:szCs w:val="21"/>
                <w:highlight w:val="none"/>
                <w:shd w:val="clear" w:color="auto" w:fill="auto"/>
                <w:lang w:val="en-US" w:eastAsia="zh-CN" w:bidi="ar-SA"/>
              </w:rPr>
              <w:t>月），不提供不得分。</w:t>
            </w:r>
          </w:p>
        </w:tc>
      </w:tr>
      <w:tr w14:paraId="64F1B1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711" w:type="dxa"/>
            <w:vMerge w:val="continue"/>
            <w:noWrap w:val="0"/>
            <w:vAlign w:val="center"/>
          </w:tcPr>
          <w:p w14:paraId="2233D5CE">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noWrap w:val="0"/>
            <w:vAlign w:val="center"/>
          </w:tcPr>
          <w:p w14:paraId="0D0159F4">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noWrap w:val="0"/>
            <w:vAlign w:val="center"/>
          </w:tcPr>
          <w:p w14:paraId="5E384957">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企业银行</w:t>
            </w:r>
          </w:p>
          <w:p w14:paraId="252E6AA9">
            <w:pPr>
              <w:pStyle w:val="8"/>
              <w:wordWrap w:val="0"/>
              <w:adjustRightInd w:val="0"/>
              <w:snapToGrid w:val="0"/>
              <w:spacing w:line="400" w:lineRule="exact"/>
              <w:jc w:val="both"/>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资信评级</w:t>
            </w:r>
          </w:p>
          <w:p w14:paraId="1482191C">
            <w:pPr>
              <w:rPr>
                <w:rFonts w:hint="eastAsia" w:eastAsiaTheme="minorEastAsia"/>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3分</w:t>
            </w:r>
            <w:r>
              <w:rPr>
                <w:rFonts w:hint="eastAsia" w:asciiTheme="minorEastAsia" w:hAnsiTheme="minorEastAsia" w:eastAsiaTheme="minorEastAsia" w:cstheme="minorEastAsia"/>
                <w:sz w:val="21"/>
                <w:szCs w:val="21"/>
                <w:lang w:eastAsia="zh-CN"/>
              </w:rPr>
              <w:t>）</w:t>
            </w:r>
          </w:p>
        </w:tc>
        <w:tc>
          <w:tcPr>
            <w:tcW w:w="5107" w:type="dxa"/>
            <w:noWrap w:val="0"/>
            <w:vAlign w:val="center"/>
          </w:tcPr>
          <w:p w14:paraId="3814FD48">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1．企业获得银行资信评级AAA的，得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p w14:paraId="25713A16">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2．企业获得银行资信评级AA（含AA＋、AA－）的，得 </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 xml:space="preserve"> 分。</w:t>
            </w:r>
          </w:p>
          <w:p w14:paraId="5BC911EB">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 xml:space="preserve">3．企业获得银行资信评级A（含A＋、A－）的得 </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 xml:space="preserve"> 分。</w:t>
            </w:r>
          </w:p>
          <w:p w14:paraId="24B017C6">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．未获得过以上评级的，或评级证书无效的，不予计分。</w:t>
            </w:r>
          </w:p>
          <w:p w14:paraId="346ED1D5">
            <w:pPr>
              <w:pStyle w:val="46"/>
              <w:wordWrap w:val="0"/>
              <w:adjustRightInd w:val="0"/>
              <w:snapToGrid w:val="0"/>
              <w:spacing w:line="400" w:lineRule="exact"/>
              <w:jc w:val="left"/>
              <w:rPr>
                <w:rFonts w:hint="eastAsia" w:ascii="宋体" w:hAnsi="宋体" w:eastAsia="宋体" w:cs="宋体"/>
                <w:snapToGrid w:val="0"/>
                <w:color w:val="auto"/>
                <w:kern w:val="0"/>
                <w:sz w:val="21"/>
                <w:szCs w:val="21"/>
                <w:highlight w:val="none"/>
                <w:lang w:val="en-US" w:eastAsia="zh-CN"/>
              </w:rPr>
            </w:pPr>
            <w:r>
              <w:rPr>
                <w:rFonts w:hint="eastAsia" w:asciiTheme="minorEastAsia" w:hAnsiTheme="minorEastAsia" w:eastAsiaTheme="minorEastAsia" w:cstheme="minorEastAsia"/>
                <w:sz w:val="21"/>
                <w:szCs w:val="21"/>
              </w:rPr>
              <w:t>5．本项</w:t>
            </w:r>
            <w:r>
              <w:rPr>
                <w:rFonts w:hint="eastAsia" w:asciiTheme="minorEastAsia" w:hAnsiTheme="minorEastAsia" w:eastAsiaTheme="minorEastAsia" w:cstheme="minorEastAsia"/>
                <w:sz w:val="21"/>
                <w:szCs w:val="21"/>
                <w:lang w:val="en-US" w:eastAsia="zh-CN"/>
              </w:rPr>
              <w:t>最高得3</w:t>
            </w:r>
            <w:r>
              <w:rPr>
                <w:rFonts w:hint="eastAsia" w:asciiTheme="minorEastAsia" w:hAnsiTheme="minorEastAsia" w:eastAsiaTheme="minorEastAsia" w:cstheme="minorEastAsia"/>
                <w:sz w:val="21"/>
                <w:szCs w:val="21"/>
              </w:rPr>
              <w:t>分。</w:t>
            </w:r>
          </w:p>
        </w:tc>
        <w:tc>
          <w:tcPr>
            <w:tcW w:w="2591" w:type="dxa"/>
            <w:noWrap w:val="0"/>
            <w:vAlign w:val="center"/>
          </w:tcPr>
          <w:p w14:paraId="39C2843D">
            <w:pPr>
              <w:pStyle w:val="8"/>
              <w:wordWrap w:val="0"/>
              <w:adjustRightInd w:val="0"/>
              <w:snapToGrid w:val="0"/>
              <w:spacing w:line="400" w:lineRule="exact"/>
              <w:rPr>
                <w:rFonts w:hint="eastAsia" w:ascii="宋体" w:hAnsi="宋体" w:eastAsia="宋体" w:cs="宋体"/>
                <w:snapToGrid w:val="0"/>
                <w:color w:val="auto"/>
                <w:kern w:val="0"/>
                <w:sz w:val="21"/>
                <w:szCs w:val="21"/>
                <w:highlight w:val="none"/>
                <w:lang w:val="en-US" w:eastAsia="zh-CN"/>
              </w:rPr>
            </w:pPr>
            <w:r>
              <w:rPr>
                <w:rFonts w:hint="eastAsia" w:ascii="宋体" w:hAnsi="宋体" w:eastAsia="宋体" w:cs="宋体"/>
                <w:snapToGrid w:val="0"/>
                <w:color w:val="auto"/>
                <w:kern w:val="0"/>
                <w:sz w:val="21"/>
                <w:szCs w:val="21"/>
                <w:highlight w:val="none"/>
                <w:lang w:val="en-US" w:eastAsia="zh-CN"/>
              </w:rPr>
              <w:t>注：需附在有效期内的资信评级证书或证明复印件（或打印件）。</w:t>
            </w:r>
          </w:p>
        </w:tc>
      </w:tr>
      <w:tr w14:paraId="7A0C7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711" w:type="dxa"/>
            <w:vMerge w:val="continue"/>
            <w:noWrap w:val="0"/>
            <w:vAlign w:val="center"/>
          </w:tcPr>
          <w:p w14:paraId="3D0A371F">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noWrap w:val="0"/>
            <w:vAlign w:val="center"/>
          </w:tcPr>
          <w:p w14:paraId="6DBB272D">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vMerge w:val="restart"/>
            <w:noWrap w:val="0"/>
            <w:vAlign w:val="center"/>
          </w:tcPr>
          <w:p w14:paraId="30BCEA8D">
            <w:pPr>
              <w:pStyle w:val="8"/>
              <w:wordWrap w:val="0"/>
              <w:adjustRightInd w:val="0"/>
              <w:snapToGrid w:val="0"/>
              <w:spacing w:line="400" w:lineRule="exact"/>
              <w:jc w:val="center"/>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企业信用</w:t>
            </w:r>
          </w:p>
          <w:p w14:paraId="20DE150C">
            <w:pPr>
              <w:rPr>
                <w:rFonts w:hint="eastAsia" w:eastAsiaTheme="minorEastAsia"/>
                <w:lang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6分</w:t>
            </w:r>
            <w:r>
              <w:rPr>
                <w:rFonts w:hint="eastAsia" w:asciiTheme="minorEastAsia" w:hAnsiTheme="minorEastAsia" w:eastAsiaTheme="minorEastAsia" w:cstheme="minorEastAsia"/>
                <w:sz w:val="21"/>
                <w:szCs w:val="21"/>
                <w:lang w:eastAsia="zh-CN"/>
              </w:rPr>
              <w:t>）</w:t>
            </w:r>
          </w:p>
        </w:tc>
        <w:tc>
          <w:tcPr>
            <w:tcW w:w="5107" w:type="dxa"/>
            <w:noWrap w:val="0"/>
            <w:vAlign w:val="center"/>
          </w:tcPr>
          <w:p w14:paraId="67A59A8C">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企业获得企业信用等级认证证书AAA级的得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p w14:paraId="0FF3830A">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2．获得AA级的得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w:t>
            </w:r>
          </w:p>
          <w:p w14:paraId="4EE20E15">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．获得A级的得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p w14:paraId="39D60D9F">
            <w:pPr>
              <w:bidi w:val="0"/>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．本项</w:t>
            </w:r>
            <w:r>
              <w:rPr>
                <w:rFonts w:hint="eastAsia" w:asciiTheme="minorEastAsia" w:hAnsiTheme="minorEastAsia" w:eastAsiaTheme="minorEastAsia" w:cstheme="minorEastAsia"/>
                <w:sz w:val="21"/>
                <w:szCs w:val="21"/>
                <w:lang w:val="en-US" w:eastAsia="zh-CN"/>
              </w:rPr>
              <w:t>最高得3</w:t>
            </w:r>
            <w:r>
              <w:rPr>
                <w:rFonts w:hint="eastAsia" w:asciiTheme="minorEastAsia" w:hAnsiTheme="minorEastAsia" w:eastAsiaTheme="minorEastAsia" w:cstheme="minorEastAsia"/>
                <w:sz w:val="21"/>
                <w:szCs w:val="21"/>
              </w:rPr>
              <w:t>分。</w:t>
            </w:r>
          </w:p>
        </w:tc>
        <w:tc>
          <w:tcPr>
            <w:tcW w:w="2591" w:type="dxa"/>
            <w:noWrap w:val="0"/>
            <w:vAlign w:val="center"/>
          </w:tcPr>
          <w:p w14:paraId="26651453">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注：须提供中国企业评价协会颁发的等级证书并在有效期内证书复印件（或打印件），未能提供或证书不在有效期内的不得分。</w:t>
            </w:r>
          </w:p>
        </w:tc>
      </w:tr>
      <w:tr w14:paraId="2C8E64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8" w:hRule="atLeast"/>
          <w:jc w:val="center"/>
        </w:trPr>
        <w:tc>
          <w:tcPr>
            <w:tcW w:w="711" w:type="dxa"/>
            <w:vMerge w:val="continue"/>
            <w:noWrap w:val="0"/>
            <w:vAlign w:val="center"/>
          </w:tcPr>
          <w:p w14:paraId="7B340AC8">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tcBorders>
              <w:bottom w:val="single" w:color="auto" w:sz="4" w:space="0"/>
            </w:tcBorders>
            <w:noWrap w:val="0"/>
            <w:vAlign w:val="center"/>
          </w:tcPr>
          <w:p w14:paraId="44A9726D">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vMerge w:val="continue"/>
            <w:noWrap w:val="0"/>
            <w:vAlign w:val="center"/>
          </w:tcPr>
          <w:p w14:paraId="083E4CC1">
            <w:pPr>
              <w:pStyle w:val="8"/>
              <w:wordWrap w:val="0"/>
              <w:adjustRightInd w:val="0"/>
              <w:snapToGrid w:val="0"/>
              <w:spacing w:line="400" w:lineRule="exact"/>
              <w:jc w:val="center"/>
              <w:rPr>
                <w:rFonts w:hint="eastAsia" w:ascii="宋体" w:hAnsi="宋体" w:eastAsia="宋体" w:cs="宋体"/>
                <w:color w:val="auto"/>
                <w:sz w:val="21"/>
                <w:szCs w:val="21"/>
                <w:highlight w:val="none"/>
              </w:rPr>
            </w:pPr>
          </w:p>
        </w:tc>
        <w:tc>
          <w:tcPr>
            <w:tcW w:w="5107" w:type="dxa"/>
            <w:noWrap w:val="0"/>
            <w:vAlign w:val="center"/>
          </w:tcPr>
          <w:p w14:paraId="3FE3BB39">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企业获得建筑企业信誉AAA级的得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p>
          <w:p w14:paraId="3764AB94">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获得AA级的得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p>
          <w:p w14:paraId="4DC10421">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获得A级的得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p>
          <w:p w14:paraId="673A6D09">
            <w:pPr>
              <w:bidi w:val="0"/>
              <w:rPr>
                <w:rFonts w:hint="eastAsia" w:ascii="宋体" w:hAnsi="宋体" w:eastAsia="宋体" w:cs="宋体"/>
                <w:color w:val="auto"/>
                <w:sz w:val="21"/>
                <w:szCs w:val="21"/>
                <w:highlight w:val="none"/>
              </w:rPr>
            </w:pP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本项</w:t>
            </w:r>
            <w:r>
              <w:rPr>
                <w:rFonts w:hint="eastAsia" w:asciiTheme="minorEastAsia" w:hAnsiTheme="minorEastAsia" w:eastAsiaTheme="minorEastAsia" w:cstheme="minorEastAsia"/>
                <w:sz w:val="21"/>
                <w:szCs w:val="21"/>
                <w:lang w:val="en-US" w:eastAsia="zh-CN"/>
              </w:rPr>
              <w:t>最高得3</w:t>
            </w:r>
            <w:r>
              <w:rPr>
                <w:rFonts w:hint="eastAsia" w:asciiTheme="minorEastAsia" w:hAnsiTheme="minorEastAsia" w:eastAsiaTheme="minorEastAsia" w:cstheme="minorEastAsia"/>
                <w:sz w:val="21"/>
                <w:szCs w:val="21"/>
              </w:rPr>
              <w:t>分。</w:t>
            </w:r>
          </w:p>
        </w:tc>
        <w:tc>
          <w:tcPr>
            <w:tcW w:w="2591" w:type="dxa"/>
            <w:noWrap w:val="0"/>
            <w:vAlign w:val="center"/>
          </w:tcPr>
          <w:p w14:paraId="57E8209C">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注：必须提供地市级或以上建筑协会（或建筑业协会）颁发的证书复印件及发文材料。</w:t>
            </w:r>
          </w:p>
        </w:tc>
      </w:tr>
      <w:tr w14:paraId="7D2B3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711" w:type="dxa"/>
            <w:vMerge w:val="continue"/>
            <w:noWrap w:val="0"/>
            <w:vAlign w:val="center"/>
          </w:tcPr>
          <w:p w14:paraId="56995DE2">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tcBorders>
              <w:top w:val="single" w:color="auto" w:sz="4" w:space="0"/>
              <w:left w:val="single" w:color="auto" w:sz="4" w:space="0"/>
              <w:right w:val="single" w:color="auto" w:sz="4" w:space="0"/>
            </w:tcBorders>
            <w:noWrap w:val="0"/>
            <w:vAlign w:val="center"/>
          </w:tcPr>
          <w:p w14:paraId="11098122">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color w:val="auto"/>
                <w:sz w:val="21"/>
                <w:szCs w:val="21"/>
                <w:highlight w:val="none"/>
                <w:shd w:val="clear" w:color="auto" w:fill="auto"/>
              </w:rPr>
            </w:pPr>
          </w:p>
        </w:tc>
        <w:tc>
          <w:tcPr>
            <w:tcW w:w="1262" w:type="dxa"/>
            <w:tcBorders>
              <w:left w:val="single" w:color="auto" w:sz="4" w:space="0"/>
            </w:tcBorders>
            <w:noWrap w:val="0"/>
            <w:vAlign w:val="center"/>
          </w:tcPr>
          <w:p w14:paraId="0CA41229">
            <w:pPr>
              <w:keepNext w:val="0"/>
              <w:keepLines w:val="0"/>
              <w:pageBreakBefore w:val="0"/>
              <w:kinsoku/>
              <w:overflowPunct/>
              <w:topLinePunct w:val="0"/>
              <w:bidi w:val="0"/>
              <w:snapToGrid w:val="0"/>
              <w:spacing w:line="240" w:lineRule="auto"/>
              <w:jc w:val="center"/>
              <w:textAlignment w:val="auto"/>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售后服务</w:t>
            </w:r>
          </w:p>
          <w:p w14:paraId="2DAC600A">
            <w:pPr>
              <w:keepNext w:val="0"/>
              <w:keepLines w:val="0"/>
              <w:pageBreakBefore w:val="0"/>
              <w:kinsoku/>
              <w:overflowPunct/>
              <w:topLinePunct w:val="0"/>
              <w:bidi w:val="0"/>
              <w:snapToGrid w:val="0"/>
              <w:spacing w:line="240" w:lineRule="auto"/>
              <w:jc w:val="center"/>
              <w:textAlignment w:val="auto"/>
              <w:rPr>
                <w:rFonts w:hint="eastAsia" w:eastAsiaTheme="minorEastAsia"/>
                <w:lang w:val="en-US" w:eastAsia="zh-CN"/>
              </w:rPr>
            </w:pP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5分</w:t>
            </w:r>
            <w:r>
              <w:rPr>
                <w:rFonts w:hint="eastAsia" w:asciiTheme="minorEastAsia" w:hAnsiTheme="minorEastAsia" w:eastAsiaTheme="minorEastAsia" w:cstheme="minorEastAsia"/>
                <w:sz w:val="21"/>
                <w:szCs w:val="21"/>
                <w:lang w:eastAsia="zh-CN"/>
              </w:rPr>
              <w:t>）</w:t>
            </w:r>
          </w:p>
        </w:tc>
        <w:tc>
          <w:tcPr>
            <w:tcW w:w="5107" w:type="dxa"/>
            <w:tcBorders>
              <w:left w:val="single" w:color="auto" w:sz="4" w:space="0"/>
            </w:tcBorders>
            <w:noWrap w:val="0"/>
            <w:vAlign w:val="center"/>
          </w:tcPr>
          <w:p w14:paraId="444DC55E">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根据各投标人为本项目提供售后服务的便利性和快捷性进行综合评审：</w:t>
            </w:r>
          </w:p>
          <w:p w14:paraId="66252169">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1．服务便利性和快捷性相对比最优，售后服务方案、应急方案详细完善、科学，方案的可行性、完整性以及响应机制、应急预案等好：5分；</w:t>
            </w:r>
          </w:p>
          <w:p w14:paraId="009DBBF9">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2．服务便利性和快捷性相较好，售后服务方案、应急方案较详细、较科学，方案的可行性、完整性以及响应机制、应急预案等较好：2分；</w:t>
            </w:r>
          </w:p>
          <w:p w14:paraId="6BECDB6F">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3．服务便利性和快捷性一般，售后服务方案、应急方案较一般，方案的可行性、完整性以及响应机制、应急预案等一般：1分；</w:t>
            </w:r>
          </w:p>
          <w:p w14:paraId="4AAA830B">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4．便利性和快捷性相对比较差，售后服务方案、应急方案较差，方案的可行性、完整性以及响应机制、应急预案等差：0分。</w:t>
            </w:r>
          </w:p>
          <w:p w14:paraId="17BBA316">
            <w:pPr>
              <w:rPr>
                <w:rFonts w:hint="default"/>
                <w:lang w:val="en-US" w:eastAsia="zh-CN"/>
              </w:rPr>
            </w:pPr>
            <w:r>
              <w:rPr>
                <w:rFonts w:hint="eastAsia" w:ascii="宋体" w:hAnsi="宋体" w:eastAsia="宋体" w:cs="宋体"/>
                <w:b w:val="0"/>
                <w:color w:val="auto"/>
                <w:kern w:val="0"/>
                <w:sz w:val="21"/>
                <w:szCs w:val="21"/>
                <w:highlight w:val="none"/>
                <w:lang w:val="en-US" w:eastAsia="zh-CN" w:bidi="ar-SA"/>
              </w:rPr>
              <w:t>5.本项最高得5分。</w:t>
            </w:r>
          </w:p>
        </w:tc>
        <w:tc>
          <w:tcPr>
            <w:tcW w:w="2591" w:type="dxa"/>
            <w:tcBorders>
              <w:left w:val="single" w:color="auto" w:sz="4" w:space="0"/>
            </w:tcBorders>
            <w:noWrap w:val="0"/>
            <w:vAlign w:val="center"/>
          </w:tcPr>
          <w:p w14:paraId="57301261">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default" w:ascii="宋体" w:hAnsi="宋体" w:eastAsia="宋体" w:cs="宋体"/>
                <w:color w:val="auto"/>
                <w:kern w:val="0"/>
                <w:sz w:val="21"/>
                <w:szCs w:val="21"/>
                <w:highlight w:val="none"/>
                <w:lang w:val="en-US" w:eastAsia="zh-CN"/>
              </w:rPr>
            </w:pPr>
            <w:r>
              <w:rPr>
                <w:rFonts w:hint="default" w:ascii="宋体" w:hAnsi="宋体" w:eastAsia="宋体" w:cs="宋体"/>
                <w:color w:val="auto"/>
                <w:kern w:val="0"/>
                <w:sz w:val="21"/>
                <w:szCs w:val="21"/>
                <w:highlight w:val="none"/>
                <w:lang w:val="en-US" w:eastAsia="zh-CN"/>
              </w:rPr>
              <w:t>注：须提供售后服务方案、应急方案。</w:t>
            </w:r>
          </w:p>
        </w:tc>
      </w:tr>
      <w:tr w14:paraId="3C322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7" w:hRule="atLeast"/>
          <w:jc w:val="center"/>
        </w:trPr>
        <w:tc>
          <w:tcPr>
            <w:tcW w:w="711" w:type="dxa"/>
            <w:vMerge w:val="continue"/>
            <w:noWrap w:val="0"/>
            <w:vAlign w:val="center"/>
          </w:tcPr>
          <w:p w14:paraId="3DA16D7E">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restart"/>
            <w:tcBorders>
              <w:left w:val="single" w:color="auto" w:sz="4" w:space="0"/>
              <w:right w:val="single" w:color="auto" w:sz="4" w:space="0"/>
            </w:tcBorders>
            <w:noWrap w:val="0"/>
            <w:vAlign w:val="center"/>
          </w:tcPr>
          <w:p w14:paraId="61647BD9">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color w:val="auto"/>
                <w:sz w:val="21"/>
                <w:szCs w:val="21"/>
                <w:highlight w:val="none"/>
                <w:shd w:val="clear" w:color="auto" w:fill="auto"/>
                <w:lang w:val="en-US" w:eastAsia="zh-CN"/>
              </w:rPr>
            </w:pPr>
            <w:r>
              <w:rPr>
                <w:rFonts w:hint="eastAsia" w:hAnsi="宋体" w:eastAsia="宋体" w:cs="宋体"/>
                <w:color w:val="auto"/>
                <w:sz w:val="21"/>
                <w:szCs w:val="21"/>
                <w:highlight w:val="none"/>
                <w:shd w:val="clear" w:color="auto" w:fill="auto"/>
                <w:lang w:val="en-US" w:eastAsia="zh-CN"/>
              </w:rPr>
              <w:t>设计</w:t>
            </w:r>
            <w:r>
              <w:rPr>
                <w:rFonts w:hint="eastAsia" w:ascii="宋体" w:hAnsi="宋体" w:eastAsia="宋体" w:cs="宋体"/>
                <w:color w:val="auto"/>
                <w:sz w:val="21"/>
                <w:szCs w:val="21"/>
                <w:highlight w:val="none"/>
                <w:shd w:val="clear" w:color="auto" w:fill="auto"/>
                <w:lang w:val="en-US" w:eastAsia="zh-CN"/>
              </w:rPr>
              <w:t>企业</w:t>
            </w:r>
          </w:p>
          <w:p w14:paraId="1D049151">
            <w:pPr>
              <w:keepNext w:val="0"/>
              <w:keepLines w:val="0"/>
              <w:pageBreakBefore w:val="0"/>
              <w:kinsoku/>
              <w:overflowPunct/>
              <w:topLinePunct w:val="0"/>
              <w:bidi w:val="0"/>
              <w:snapToGrid w:val="0"/>
              <w:spacing w:line="240" w:lineRule="auto"/>
              <w:jc w:val="center"/>
              <w:textAlignment w:val="auto"/>
              <w:rPr>
                <w:rFonts w:hint="default"/>
                <w:lang w:val="en-US" w:eastAsia="zh-CN"/>
              </w:rPr>
            </w:pPr>
            <w:r>
              <w:rPr>
                <w:rFonts w:hint="eastAsia" w:ascii="宋体" w:hAnsi="宋体" w:eastAsia="宋体" w:cs="宋体"/>
                <w:color w:val="auto"/>
                <w:sz w:val="21"/>
                <w:szCs w:val="21"/>
                <w:highlight w:val="none"/>
                <w:shd w:val="clear" w:color="auto" w:fill="auto"/>
                <w:lang w:val="en-US" w:eastAsia="zh-CN"/>
              </w:rPr>
              <w:t>（20分）</w:t>
            </w:r>
          </w:p>
        </w:tc>
        <w:tc>
          <w:tcPr>
            <w:tcW w:w="1262" w:type="dxa"/>
            <w:tcBorders>
              <w:left w:val="single" w:color="auto" w:sz="4" w:space="0"/>
            </w:tcBorders>
            <w:noWrap w:val="0"/>
            <w:vAlign w:val="center"/>
          </w:tcPr>
          <w:p w14:paraId="3EE13A39">
            <w:pPr>
              <w:pStyle w:val="8"/>
              <w:keepNext w:val="0"/>
              <w:keepLines w:val="0"/>
              <w:pageBreakBefore w:val="0"/>
              <w:kinsoku/>
              <w:overflowPunct/>
              <w:topLinePunct w:val="0"/>
              <w:bidi w:val="0"/>
              <w:adjustRightInd w:val="0"/>
              <w:snapToGrid w:val="0"/>
              <w:spacing w:after="0" w:line="240" w:lineRule="auto"/>
              <w:jc w:val="center"/>
              <w:textAlignment w:val="auto"/>
              <w:rPr>
                <w:rFonts w:hint="eastAsia" w:hAnsi="宋体" w:eastAsia="宋体" w:cs="宋体"/>
                <w:color w:val="auto"/>
                <w:spacing w:val="-6"/>
                <w:sz w:val="21"/>
                <w:szCs w:val="21"/>
                <w:highlight w:val="none"/>
                <w:lang w:val="en-US" w:eastAsia="zh-CN"/>
              </w:rPr>
            </w:pPr>
            <w:r>
              <w:rPr>
                <w:rFonts w:hint="eastAsia" w:asciiTheme="minorEastAsia" w:hAnsiTheme="minorEastAsia" w:eastAsiaTheme="minorEastAsia" w:cstheme="minorEastAsia"/>
                <w:sz w:val="21"/>
                <w:szCs w:val="21"/>
              </w:rPr>
              <w:t>企业业绩</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5分</w:t>
            </w:r>
            <w:r>
              <w:rPr>
                <w:rFonts w:hint="eastAsia" w:asciiTheme="minorEastAsia" w:hAnsiTheme="minorEastAsia" w:eastAsiaTheme="minorEastAsia" w:cstheme="minorEastAsia"/>
                <w:sz w:val="21"/>
                <w:szCs w:val="21"/>
                <w:lang w:eastAsia="zh-CN"/>
              </w:rPr>
              <w:t>）</w:t>
            </w:r>
          </w:p>
        </w:tc>
        <w:tc>
          <w:tcPr>
            <w:tcW w:w="5107" w:type="dxa"/>
            <w:tcBorders>
              <w:left w:val="single" w:color="auto" w:sz="4" w:space="0"/>
            </w:tcBorders>
            <w:noWrap w:val="0"/>
            <w:vAlign w:val="center"/>
          </w:tcPr>
          <w:p w14:paraId="2DE4D20C">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20</w:t>
            </w:r>
            <w:r>
              <w:rPr>
                <w:rFonts w:hint="eastAsia" w:asciiTheme="minorEastAsia" w:hAnsiTheme="minorEastAsia" w:eastAsiaTheme="minorEastAsia" w:cstheme="minorEastAsia"/>
                <w:sz w:val="21"/>
                <w:szCs w:val="21"/>
                <w:lang w:val="en-US" w:eastAsia="zh-CN"/>
              </w:rPr>
              <w:t>21</w:t>
            </w:r>
            <w:r>
              <w:rPr>
                <w:rFonts w:hint="eastAsia" w:asciiTheme="minorEastAsia" w:hAnsiTheme="minorEastAsia" w:eastAsiaTheme="minorEastAsia" w:cstheme="minorEastAsia"/>
                <w:sz w:val="21"/>
                <w:szCs w:val="21"/>
              </w:rPr>
              <w:t>年1月1日至今具有类似设计（新建或迁改的110千伏及以上线路工程）业绩的，每个得1分，最高得5分，按合同签订时间为准。</w:t>
            </w:r>
          </w:p>
          <w:p w14:paraId="1968321D">
            <w:pPr>
              <w:widowControl/>
              <w:numPr>
                <w:ilvl w:val="0"/>
                <w:numId w:val="0"/>
              </w:numPr>
              <w:ind w:left="0" w:leftChars="0" w:firstLine="0" w:firstLineChars="0"/>
              <w:jc w:val="both"/>
              <w:textAlignment w:val="baseline"/>
              <w:rPr>
                <w:rFonts w:hint="eastAsia" w:ascii="宋体" w:hAnsi="宋体" w:eastAsia="宋体" w:cs="宋体"/>
                <w:color w:val="auto"/>
                <w:kern w:val="0"/>
                <w:sz w:val="21"/>
                <w:szCs w:val="21"/>
                <w:highlight w:val="none"/>
                <w:lang w:val="en-US" w:eastAsia="zh-CN"/>
              </w:rPr>
            </w:pPr>
            <w:r>
              <w:rPr>
                <w:rFonts w:hint="eastAsia" w:ascii="宋体" w:hAnsi="宋体" w:eastAsia="宋体" w:cs="宋体"/>
                <w:b w:val="0"/>
                <w:color w:val="auto"/>
                <w:kern w:val="0"/>
                <w:sz w:val="21"/>
                <w:szCs w:val="21"/>
                <w:highlight w:val="none"/>
                <w:lang w:val="en-US" w:eastAsia="zh-CN" w:bidi="ar-SA"/>
              </w:rPr>
              <w:t>本项最高得5分。</w:t>
            </w:r>
          </w:p>
        </w:tc>
        <w:tc>
          <w:tcPr>
            <w:tcW w:w="2591" w:type="dxa"/>
            <w:tcBorders>
              <w:left w:val="single" w:color="auto" w:sz="4" w:space="0"/>
            </w:tcBorders>
            <w:noWrap w:val="0"/>
            <w:vAlign w:val="center"/>
          </w:tcPr>
          <w:p w14:paraId="6DB77ED7">
            <w:pPr>
              <w:keepNext w:val="0"/>
              <w:keepLines w:val="0"/>
              <w:pageBreakBefore w:val="0"/>
              <w:widowControl w:val="0"/>
              <w:numPr>
                <w:ilvl w:val="0"/>
                <w:numId w:val="0"/>
              </w:numPr>
              <w:kinsoku/>
              <w:wordWrap w:val="0"/>
              <w:overflowPunct/>
              <w:topLinePunct w:val="0"/>
              <w:autoSpaceDE/>
              <w:autoSpaceDN/>
              <w:bidi w:val="0"/>
              <w:adjustRightInd w:val="0"/>
              <w:snapToGrid/>
              <w:spacing w:line="288" w:lineRule="auto"/>
              <w:ind w:left="0" w:leftChars="0" w:firstLine="0" w:firstLineChars="0"/>
              <w:textAlignment w:val="auto"/>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注：同时提供中标通知书或设计合同复印件，未提供齐全的业绩证明文件不得分。</w:t>
            </w:r>
          </w:p>
        </w:tc>
      </w:tr>
      <w:tr w14:paraId="30009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711" w:type="dxa"/>
            <w:vMerge w:val="continue"/>
            <w:noWrap w:val="0"/>
            <w:vAlign w:val="center"/>
          </w:tcPr>
          <w:p w14:paraId="7759E4BF">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tcBorders>
              <w:left w:val="single" w:color="auto" w:sz="4" w:space="0"/>
              <w:right w:val="single" w:color="auto" w:sz="4" w:space="0"/>
            </w:tcBorders>
            <w:noWrap w:val="0"/>
            <w:vAlign w:val="center"/>
          </w:tcPr>
          <w:p w14:paraId="4086C6F0">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tcBorders>
              <w:left w:val="single" w:color="auto" w:sz="4" w:space="0"/>
            </w:tcBorders>
            <w:noWrap w:val="0"/>
            <w:vAlign w:val="center"/>
          </w:tcPr>
          <w:p w14:paraId="519BBD5B">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获奖情况</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5分</w:t>
            </w:r>
            <w:r>
              <w:rPr>
                <w:rFonts w:hint="eastAsia" w:asciiTheme="minorEastAsia" w:hAnsiTheme="minorEastAsia" w:eastAsiaTheme="minorEastAsia" w:cstheme="minorEastAsia"/>
                <w:sz w:val="21"/>
                <w:szCs w:val="21"/>
                <w:lang w:eastAsia="zh-CN"/>
              </w:rPr>
              <w:t>）</w:t>
            </w:r>
          </w:p>
          <w:p w14:paraId="31E28A87">
            <w:pPr>
              <w:keepNext w:val="0"/>
              <w:keepLines w:val="0"/>
              <w:pageBreakBefore w:val="0"/>
              <w:kinsoku/>
              <w:overflowPunct/>
              <w:topLinePunct w:val="0"/>
              <w:bidi w:val="0"/>
              <w:snapToGrid w:val="0"/>
              <w:spacing w:line="240" w:lineRule="auto"/>
              <w:jc w:val="center"/>
              <w:textAlignment w:val="auto"/>
              <w:rPr>
                <w:rFonts w:hint="eastAsia" w:ascii="宋体" w:hAnsi="宋体" w:eastAsia="宋体" w:cs="宋体"/>
                <w:color w:val="auto"/>
                <w:spacing w:val="-6"/>
                <w:sz w:val="21"/>
                <w:szCs w:val="21"/>
                <w:highlight w:val="none"/>
              </w:rPr>
            </w:pPr>
          </w:p>
        </w:tc>
        <w:tc>
          <w:tcPr>
            <w:tcW w:w="5107" w:type="dxa"/>
            <w:noWrap w:val="0"/>
            <w:vAlign w:val="center"/>
          </w:tcPr>
          <w:p w14:paraId="1F7FB580">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2021</w:t>
            </w:r>
            <w:r>
              <w:rPr>
                <w:rFonts w:hint="eastAsia" w:asciiTheme="minorEastAsia" w:hAnsiTheme="minorEastAsia" w:eastAsiaTheme="minorEastAsia" w:cstheme="minorEastAsia"/>
                <w:sz w:val="21"/>
                <w:szCs w:val="21"/>
              </w:rPr>
              <w:t>年1月1日至今获得过国家级奖项的，每个得2分；获省部级奖的，每个得1分。同一工程按最高奖项只计1次获奖。</w:t>
            </w:r>
          </w:p>
          <w:p w14:paraId="57978600">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．国家级（国家相关部委及以上）</w:t>
            </w:r>
          </w:p>
          <w:p w14:paraId="1267FD31">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．省部级（各类国家级行业协会、南方电网、国家电网级别获奖等同于省部级奖）</w:t>
            </w:r>
          </w:p>
          <w:p w14:paraId="0BEF33A2">
            <w:pPr>
              <w:pStyle w:val="5"/>
              <w:keepNext/>
              <w:keepLines/>
              <w:pageBreakBefore w:val="0"/>
              <w:widowControl w:val="0"/>
              <w:kinsoku/>
              <w:wordWrap/>
              <w:overflowPunct/>
              <w:topLinePunct w:val="0"/>
              <w:autoSpaceDE/>
              <w:autoSpaceDN/>
              <w:bidi w:val="0"/>
              <w:adjustRightInd/>
              <w:snapToGrid/>
              <w:spacing w:before="0" w:after="0" w:line="240" w:lineRule="auto"/>
              <w:jc w:val="both"/>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b w:val="0"/>
                <w:color w:val="auto"/>
                <w:kern w:val="0"/>
                <w:sz w:val="21"/>
                <w:szCs w:val="21"/>
                <w:highlight w:val="none"/>
                <w:lang w:val="en-US" w:eastAsia="zh-CN" w:bidi="ar-SA"/>
              </w:rPr>
              <w:t>3.本项最高得5分。</w:t>
            </w:r>
          </w:p>
        </w:tc>
        <w:tc>
          <w:tcPr>
            <w:tcW w:w="2591" w:type="dxa"/>
            <w:noWrap w:val="0"/>
            <w:vAlign w:val="center"/>
          </w:tcPr>
          <w:p w14:paraId="2C24A423">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注：提供获奖证书复印件，不满足不得分，本项最高得5分。</w:t>
            </w:r>
          </w:p>
        </w:tc>
      </w:tr>
      <w:tr w14:paraId="708A7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711" w:type="dxa"/>
            <w:vMerge w:val="continue"/>
            <w:noWrap w:val="0"/>
            <w:vAlign w:val="center"/>
          </w:tcPr>
          <w:p w14:paraId="37C4C4A3">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tcBorders>
              <w:left w:val="single" w:color="auto" w:sz="4" w:space="0"/>
              <w:bottom w:val="single" w:color="auto" w:sz="4" w:space="0"/>
              <w:right w:val="single" w:color="auto" w:sz="4" w:space="0"/>
            </w:tcBorders>
            <w:noWrap w:val="0"/>
            <w:vAlign w:val="center"/>
          </w:tcPr>
          <w:p w14:paraId="0F9F53F5">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tcBorders>
              <w:left w:val="single" w:color="auto" w:sz="4" w:space="0"/>
            </w:tcBorders>
            <w:noWrap w:val="0"/>
            <w:vAlign w:val="center"/>
          </w:tcPr>
          <w:p w14:paraId="5C379B05">
            <w:pPr>
              <w:pStyle w:val="8"/>
              <w:keepNext w:val="0"/>
              <w:keepLines w:val="0"/>
              <w:pageBreakBefore w:val="0"/>
              <w:kinsoku/>
              <w:overflowPunct/>
              <w:topLinePunct w:val="0"/>
              <w:bidi w:val="0"/>
              <w:adjustRightInd w:val="0"/>
              <w:snapToGrid w:val="0"/>
              <w:spacing w:after="0" w:line="240" w:lineRule="auto"/>
              <w:jc w:val="center"/>
              <w:textAlignment w:val="auto"/>
              <w:rPr>
                <w:rFonts w:hint="eastAsia" w:ascii="宋体" w:hAnsi="宋体" w:eastAsia="宋体" w:cs="宋体"/>
                <w:color w:val="auto"/>
                <w:spacing w:val="-6"/>
                <w:sz w:val="21"/>
                <w:szCs w:val="21"/>
                <w:highlight w:val="none"/>
              </w:rPr>
            </w:pPr>
            <w:r>
              <w:rPr>
                <w:rFonts w:hint="eastAsia" w:asciiTheme="minorEastAsia" w:hAnsiTheme="minorEastAsia" w:eastAsiaTheme="minorEastAsia" w:cstheme="minorEastAsia"/>
                <w:sz w:val="21"/>
                <w:szCs w:val="21"/>
              </w:rPr>
              <w:t>企业获得体系认证证书</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2分</w:t>
            </w:r>
            <w:r>
              <w:rPr>
                <w:rFonts w:hint="eastAsia" w:asciiTheme="minorEastAsia" w:hAnsiTheme="minorEastAsia" w:eastAsiaTheme="minorEastAsia" w:cstheme="minorEastAsia"/>
                <w:sz w:val="21"/>
                <w:szCs w:val="21"/>
                <w:lang w:eastAsia="zh-CN"/>
              </w:rPr>
              <w:t>）</w:t>
            </w:r>
          </w:p>
        </w:tc>
        <w:tc>
          <w:tcPr>
            <w:tcW w:w="5107" w:type="dxa"/>
            <w:noWrap w:val="0"/>
            <w:vAlign w:val="center"/>
          </w:tcPr>
          <w:p w14:paraId="3E2E5FA0">
            <w:pPr>
              <w:widowControl/>
              <w:jc w:val="both"/>
              <w:textAlignment w:val="baseline"/>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企业获得质量管理体系认证证书、职业健康安全管理体系认证证书、环境管理体系认证证书（均指在有效期内）3项证书的得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分；其他情况不得分。</w:t>
            </w:r>
          </w:p>
          <w:p w14:paraId="47ABD849">
            <w:pPr>
              <w:pStyle w:val="5"/>
              <w:rPr>
                <w:rFonts w:hint="eastAsia"/>
              </w:rPr>
            </w:pPr>
            <w:r>
              <w:rPr>
                <w:rFonts w:hint="eastAsia" w:ascii="宋体" w:hAnsi="宋体" w:eastAsia="宋体" w:cs="宋体"/>
                <w:b w:val="0"/>
                <w:color w:val="auto"/>
                <w:kern w:val="0"/>
                <w:sz w:val="21"/>
                <w:szCs w:val="21"/>
                <w:highlight w:val="none"/>
                <w:lang w:val="en-US" w:eastAsia="zh-CN" w:bidi="ar-SA"/>
              </w:rPr>
              <w:t>本项最高得2分。</w:t>
            </w:r>
          </w:p>
        </w:tc>
        <w:tc>
          <w:tcPr>
            <w:tcW w:w="2591" w:type="dxa"/>
            <w:noWrap w:val="0"/>
            <w:vAlign w:val="center"/>
          </w:tcPr>
          <w:p w14:paraId="23AFFE0A">
            <w:pPr>
              <w:keepNext w:val="0"/>
              <w:keepLines w:val="0"/>
              <w:pageBreakBefore w:val="0"/>
              <w:widowControl w:val="0"/>
              <w:kinsoku/>
              <w:wordWrap w:val="0"/>
              <w:overflowPunct/>
              <w:topLinePunct w:val="0"/>
              <w:autoSpaceDE/>
              <w:autoSpaceDN/>
              <w:bidi w:val="0"/>
              <w:adjustRightInd w:val="0"/>
              <w:snapToGrid/>
              <w:spacing w:line="288" w:lineRule="auto"/>
              <w:textAlignment w:val="auto"/>
              <w:rPr>
                <w:rFonts w:hint="eastAsia" w:ascii="宋体" w:hAnsi="宋体" w:eastAsia="宋体" w:cs="宋体"/>
                <w:snapToGrid w:val="0"/>
                <w:color w:val="auto"/>
                <w:kern w:val="0"/>
                <w:sz w:val="21"/>
                <w:szCs w:val="21"/>
                <w:highlight w:val="none"/>
                <w:lang w:eastAsia="zh-CN"/>
              </w:rPr>
            </w:pPr>
            <w:r>
              <w:rPr>
                <w:rFonts w:hint="eastAsia" w:ascii="Times New Roman" w:hAnsi="Times New Roman" w:eastAsia="宋体" w:cs="Times New Roman"/>
                <w:snapToGrid w:val="0"/>
                <w:color w:val="auto"/>
                <w:kern w:val="0"/>
                <w:sz w:val="21"/>
                <w:szCs w:val="21"/>
                <w:highlight w:val="none"/>
                <w:lang w:val="en-US" w:eastAsia="zh-CN" w:bidi="ar-SA"/>
              </w:rPr>
              <w:t>注：需附在有效期内的认证证书扫描件，未按要求提供证明资料的或提供的证明材料不符合评审要求的，不得分。</w:t>
            </w:r>
          </w:p>
        </w:tc>
      </w:tr>
      <w:tr w14:paraId="242D3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84" w:hRule="atLeast"/>
          <w:jc w:val="center"/>
        </w:trPr>
        <w:tc>
          <w:tcPr>
            <w:tcW w:w="711" w:type="dxa"/>
            <w:vMerge w:val="continue"/>
            <w:noWrap w:val="0"/>
            <w:vAlign w:val="center"/>
          </w:tcPr>
          <w:p w14:paraId="14D01A39">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vMerge w:val="continue"/>
            <w:tcBorders>
              <w:left w:val="single" w:color="auto" w:sz="4" w:space="0"/>
              <w:bottom w:val="single" w:color="auto" w:sz="4" w:space="0"/>
              <w:right w:val="single" w:color="auto" w:sz="4" w:space="0"/>
            </w:tcBorders>
            <w:noWrap w:val="0"/>
            <w:vAlign w:val="center"/>
          </w:tcPr>
          <w:p w14:paraId="1C251EF7">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tcBorders>
              <w:left w:val="single" w:color="auto" w:sz="4" w:space="0"/>
            </w:tcBorders>
            <w:noWrap w:val="0"/>
            <w:vAlign w:val="center"/>
          </w:tcPr>
          <w:p w14:paraId="1614E0BE">
            <w:pPr>
              <w:bidi w:val="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企业信誉</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lang w:val="en-US" w:eastAsia="zh-CN"/>
              </w:rPr>
              <w:t>3分</w:t>
            </w:r>
            <w:r>
              <w:rPr>
                <w:rFonts w:hint="eastAsia" w:asciiTheme="minorEastAsia" w:hAnsiTheme="minorEastAsia" w:eastAsiaTheme="minorEastAsia" w:cstheme="minorEastAsia"/>
                <w:sz w:val="21"/>
                <w:szCs w:val="21"/>
                <w:lang w:eastAsia="zh-CN"/>
              </w:rPr>
              <w:t>）</w:t>
            </w:r>
          </w:p>
          <w:p w14:paraId="479A405A">
            <w:pPr>
              <w:pStyle w:val="8"/>
              <w:keepNext w:val="0"/>
              <w:keepLines w:val="0"/>
              <w:pageBreakBefore w:val="0"/>
              <w:kinsoku/>
              <w:overflowPunct/>
              <w:topLinePunct w:val="0"/>
              <w:bidi w:val="0"/>
              <w:adjustRightInd w:val="0"/>
              <w:snapToGrid w:val="0"/>
              <w:spacing w:after="0" w:line="240" w:lineRule="auto"/>
              <w:jc w:val="center"/>
              <w:textAlignment w:val="auto"/>
              <w:rPr>
                <w:rFonts w:hint="eastAsia" w:ascii="宋体" w:hAnsi="宋体" w:eastAsia="宋体" w:cs="宋体"/>
                <w:color w:val="auto"/>
                <w:spacing w:val="-6"/>
                <w:sz w:val="21"/>
                <w:szCs w:val="21"/>
                <w:highlight w:val="none"/>
              </w:rPr>
            </w:pPr>
          </w:p>
        </w:tc>
        <w:tc>
          <w:tcPr>
            <w:tcW w:w="5107" w:type="dxa"/>
            <w:noWrap w:val="0"/>
            <w:vAlign w:val="center"/>
          </w:tcPr>
          <w:p w14:paraId="500213D8">
            <w:pPr>
              <w:pStyle w:val="21"/>
              <w:ind w:left="0" w:leftChars="0" w:firstLine="0" w:firstLineChars="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投标人</w:t>
            </w:r>
            <w:r>
              <w:rPr>
                <w:rFonts w:hint="eastAsia" w:asciiTheme="minorEastAsia" w:hAnsiTheme="minorEastAsia" w:eastAsiaTheme="minorEastAsia" w:cstheme="minorEastAsia"/>
                <w:sz w:val="21"/>
                <w:szCs w:val="21"/>
              </w:rPr>
              <w:t>具备</w:t>
            </w:r>
            <w:r>
              <w:rPr>
                <w:rFonts w:hint="eastAsia" w:asciiTheme="minorEastAsia" w:hAnsiTheme="minorEastAsia" w:eastAsiaTheme="minorEastAsia" w:cstheme="minorEastAsia"/>
                <w:sz w:val="21"/>
                <w:szCs w:val="21"/>
                <w:lang w:val="en-US" w:eastAsia="zh-CN"/>
              </w:rPr>
              <w:t>在</w:t>
            </w:r>
            <w:r>
              <w:rPr>
                <w:rFonts w:hint="eastAsia" w:asciiTheme="minorEastAsia" w:hAnsiTheme="minorEastAsia" w:eastAsiaTheme="minorEastAsia" w:cstheme="minorEastAsia"/>
                <w:sz w:val="21"/>
                <w:szCs w:val="21"/>
              </w:rPr>
              <w:t>有效期内中国电力规划设计协会或中国电力企业联合会评为AAA级</w:t>
            </w:r>
            <w:r>
              <w:rPr>
                <w:rFonts w:hint="eastAsia" w:asciiTheme="minorEastAsia" w:hAnsiTheme="minorEastAsia" w:eastAsiaTheme="minorEastAsia" w:cstheme="minorEastAsia"/>
                <w:sz w:val="21"/>
                <w:szCs w:val="21"/>
                <w:lang w:val="en-US" w:eastAsia="zh-CN"/>
              </w:rPr>
              <w:t>的</w:t>
            </w:r>
            <w:r>
              <w:rPr>
                <w:rFonts w:hint="eastAsia" w:asciiTheme="minorEastAsia" w:hAnsiTheme="minorEastAsia" w:eastAsiaTheme="minorEastAsia" w:cstheme="minorEastAsia"/>
                <w:sz w:val="21"/>
                <w:szCs w:val="21"/>
              </w:rPr>
              <w:t>得</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被评为中国电力规划设计协会或中国电力企业联合会评为AA级</w:t>
            </w:r>
            <w:r>
              <w:rPr>
                <w:rFonts w:hint="eastAsia" w:asciiTheme="minorEastAsia" w:hAnsiTheme="minorEastAsia" w:eastAsiaTheme="minorEastAsia" w:cstheme="minorEastAsia"/>
                <w:sz w:val="21"/>
                <w:szCs w:val="21"/>
                <w:lang w:eastAsia="zh-CN"/>
              </w:rPr>
              <w:t>的</w:t>
            </w:r>
            <w:r>
              <w:rPr>
                <w:rFonts w:hint="eastAsia" w:asciiTheme="minorEastAsia" w:hAnsiTheme="minorEastAsia" w:eastAsiaTheme="minorEastAsia" w:cstheme="minorEastAsia"/>
                <w:sz w:val="21"/>
                <w:szCs w:val="21"/>
              </w:rPr>
              <w:t>得</w:t>
            </w: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；被评为</w:t>
            </w:r>
            <w:r>
              <w:rPr>
                <w:rFonts w:hint="eastAsia" w:asciiTheme="minorEastAsia" w:hAnsiTheme="minorEastAsia" w:eastAsiaTheme="minorEastAsia" w:cstheme="minorEastAsia"/>
                <w:sz w:val="21"/>
                <w:szCs w:val="21"/>
              </w:rPr>
              <w:t>中国电力规划设计协会或中国电力企业联合会评为A级</w:t>
            </w:r>
            <w:r>
              <w:rPr>
                <w:rFonts w:hint="eastAsia" w:asciiTheme="minorEastAsia" w:hAnsiTheme="minorEastAsia" w:eastAsiaTheme="minorEastAsia" w:cstheme="minorEastAsia"/>
                <w:sz w:val="21"/>
                <w:szCs w:val="21"/>
                <w:lang w:eastAsia="zh-CN"/>
              </w:rPr>
              <w:t>的</w:t>
            </w:r>
            <w:r>
              <w:rPr>
                <w:rFonts w:hint="eastAsia" w:asciiTheme="minorEastAsia" w:hAnsiTheme="minorEastAsia" w:eastAsiaTheme="minorEastAsia" w:cstheme="minorEastAsia"/>
                <w:sz w:val="21"/>
                <w:szCs w:val="21"/>
              </w:rPr>
              <w:t>得</w:t>
            </w: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sz w:val="21"/>
                <w:szCs w:val="21"/>
              </w:rPr>
              <w:t>分</w:t>
            </w:r>
            <w:r>
              <w:rPr>
                <w:rFonts w:hint="eastAsia" w:asciiTheme="minorEastAsia" w:hAnsiTheme="minorEastAsia" w:eastAsiaTheme="minorEastAsia" w:cstheme="minorEastAsia"/>
                <w:sz w:val="21"/>
                <w:szCs w:val="21"/>
                <w:lang w:eastAsia="zh-CN"/>
              </w:rPr>
              <w:t>；</w:t>
            </w:r>
            <w:r>
              <w:rPr>
                <w:rFonts w:hint="eastAsia" w:asciiTheme="minorEastAsia" w:hAnsiTheme="minorEastAsia" w:eastAsiaTheme="minorEastAsia" w:cstheme="minorEastAsia"/>
                <w:sz w:val="21"/>
                <w:szCs w:val="21"/>
              </w:rPr>
              <w:t>无评级不得分。</w:t>
            </w:r>
          </w:p>
          <w:p w14:paraId="1F01D567">
            <w:pPr>
              <w:pStyle w:val="21"/>
              <w:ind w:left="0" w:leftChars="0" w:firstLine="0" w:firstLineChars="0"/>
              <w:rPr>
                <w:rFonts w:hint="default" w:asciiTheme="minorEastAsia" w:hAnsiTheme="minorEastAsia" w:eastAsiaTheme="minorEastAsia" w:cstheme="minorEastAsia"/>
                <w:sz w:val="21"/>
                <w:szCs w:val="21"/>
                <w:lang w:val="en-US" w:eastAsia="zh-CN"/>
              </w:rPr>
            </w:pPr>
            <w:r>
              <w:rPr>
                <w:rFonts w:hint="eastAsia" w:ascii="宋体" w:hAnsi="宋体" w:eastAsia="宋体" w:cs="宋体"/>
                <w:b w:val="0"/>
                <w:color w:val="auto"/>
                <w:kern w:val="0"/>
                <w:sz w:val="21"/>
                <w:szCs w:val="21"/>
                <w:highlight w:val="none"/>
                <w:lang w:val="en-US" w:eastAsia="zh-CN" w:bidi="ar-SA"/>
              </w:rPr>
              <w:t>本项最高得3分。</w:t>
            </w:r>
          </w:p>
        </w:tc>
        <w:tc>
          <w:tcPr>
            <w:tcW w:w="2591" w:type="dxa"/>
            <w:noWrap w:val="0"/>
            <w:vAlign w:val="center"/>
          </w:tcPr>
          <w:p w14:paraId="4DFFF75A">
            <w:pPr>
              <w:keepNext w:val="0"/>
              <w:keepLines w:val="0"/>
              <w:pageBreakBefore w:val="0"/>
              <w:widowControl w:val="0"/>
              <w:numPr>
                <w:ilvl w:val="0"/>
                <w:numId w:val="0"/>
              </w:numPr>
              <w:kinsoku/>
              <w:wordWrap w:val="0"/>
              <w:overflowPunct/>
              <w:topLinePunct w:val="0"/>
              <w:autoSpaceDE/>
              <w:autoSpaceDN/>
              <w:bidi w:val="0"/>
              <w:adjustRightInd w:val="0"/>
              <w:snapToGrid/>
              <w:spacing w:line="288" w:lineRule="auto"/>
              <w:ind w:left="0" w:leftChars="0" w:firstLine="0" w:firstLineChars="0"/>
              <w:textAlignment w:val="auto"/>
              <w:rPr>
                <w:rFonts w:hint="default" w:eastAsia="黑体"/>
                <w:color w:val="auto"/>
                <w:highlight w:val="none"/>
                <w:lang w:val="en-US" w:eastAsia="zh-CN"/>
              </w:rPr>
            </w:pPr>
            <w:r>
              <w:rPr>
                <w:rFonts w:hint="default" w:ascii="Times New Roman" w:hAnsi="Times New Roman" w:eastAsia="宋体" w:cs="Times New Roman"/>
                <w:snapToGrid w:val="0"/>
                <w:color w:val="auto"/>
                <w:kern w:val="0"/>
                <w:sz w:val="21"/>
                <w:szCs w:val="21"/>
                <w:highlight w:val="none"/>
                <w:lang w:val="en-US" w:eastAsia="zh-CN" w:bidi="ar-SA"/>
              </w:rPr>
              <w:t>需提供相关证明文件彩色扫描件。</w:t>
            </w:r>
          </w:p>
        </w:tc>
      </w:tr>
      <w:tr w14:paraId="512EF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0" w:hRule="atLeast"/>
          <w:jc w:val="center"/>
        </w:trPr>
        <w:tc>
          <w:tcPr>
            <w:tcW w:w="711" w:type="dxa"/>
            <w:noWrap w:val="0"/>
            <w:vAlign w:val="center"/>
          </w:tcPr>
          <w:p w14:paraId="0FC9E0B9">
            <w:pPr>
              <w:keepNext w:val="0"/>
              <w:keepLines w:val="0"/>
              <w:pageBreakBefore w:val="0"/>
              <w:widowControl/>
              <w:kinsoku/>
              <w:overflowPunct/>
              <w:topLinePunct w:val="0"/>
              <w:bidi w:val="0"/>
              <w:snapToGrid w:val="0"/>
              <w:spacing w:line="240" w:lineRule="auto"/>
              <w:textAlignment w:val="auto"/>
              <w:rPr>
                <w:rFonts w:hint="eastAsia" w:ascii="宋体" w:hAnsi="宋体" w:eastAsia="宋体" w:cs="宋体"/>
                <w:color w:val="auto"/>
                <w:sz w:val="21"/>
                <w:szCs w:val="21"/>
                <w:highlight w:val="none"/>
                <w:shd w:val="clear" w:color="auto" w:fill="auto"/>
              </w:rPr>
            </w:pPr>
          </w:p>
        </w:tc>
        <w:tc>
          <w:tcPr>
            <w:tcW w:w="687" w:type="dxa"/>
            <w:tcBorders>
              <w:left w:val="single" w:color="auto" w:sz="4" w:space="0"/>
              <w:bottom w:val="single" w:color="auto" w:sz="4" w:space="0"/>
              <w:right w:val="single" w:color="auto" w:sz="4" w:space="0"/>
            </w:tcBorders>
            <w:noWrap w:val="0"/>
            <w:vAlign w:val="center"/>
          </w:tcPr>
          <w:p w14:paraId="5F5E9B46">
            <w:pPr>
              <w:pStyle w:val="8"/>
              <w:keepNext w:val="0"/>
              <w:keepLines w:val="0"/>
              <w:pageBreakBefore w:val="0"/>
              <w:kinsoku/>
              <w:overflowPunct/>
              <w:topLinePunct w:val="0"/>
              <w:bidi w:val="0"/>
              <w:snapToGrid w:val="0"/>
              <w:spacing w:after="0" w:line="240" w:lineRule="auto"/>
              <w:textAlignment w:val="auto"/>
              <w:rPr>
                <w:rFonts w:hint="eastAsia" w:ascii="宋体" w:hAnsi="宋体" w:eastAsia="宋体" w:cs="宋体"/>
                <w:color w:val="auto"/>
                <w:sz w:val="21"/>
                <w:szCs w:val="21"/>
                <w:highlight w:val="none"/>
                <w:shd w:val="clear" w:color="auto" w:fill="auto"/>
              </w:rPr>
            </w:pPr>
          </w:p>
        </w:tc>
        <w:tc>
          <w:tcPr>
            <w:tcW w:w="1262" w:type="dxa"/>
            <w:tcBorders>
              <w:left w:val="single" w:color="auto" w:sz="4" w:space="0"/>
            </w:tcBorders>
            <w:noWrap w:val="0"/>
            <w:vAlign w:val="center"/>
          </w:tcPr>
          <w:p w14:paraId="1F9EF689">
            <w:pPr>
              <w:pStyle w:val="8"/>
              <w:keepNext w:val="0"/>
              <w:keepLines w:val="0"/>
              <w:pageBreakBefore w:val="0"/>
              <w:kinsoku/>
              <w:overflowPunct/>
              <w:topLinePunct w:val="0"/>
              <w:bidi w:val="0"/>
              <w:adjustRightInd w:val="0"/>
              <w:snapToGrid w:val="0"/>
              <w:spacing w:after="0" w:line="240" w:lineRule="auto"/>
              <w:jc w:val="center"/>
              <w:textAlignment w:val="auto"/>
              <w:rPr>
                <w:rFonts w:hint="eastAsia" w:ascii="宋体" w:hAnsi="宋体" w:eastAsia="宋体" w:cs="宋体"/>
                <w:color w:val="auto"/>
                <w:spacing w:val="-6"/>
                <w:sz w:val="21"/>
                <w:szCs w:val="21"/>
                <w:highlight w:val="none"/>
                <w:lang w:eastAsia="zh-CN"/>
              </w:rPr>
            </w:pPr>
            <w:r>
              <w:rPr>
                <w:rFonts w:hint="eastAsia" w:ascii="宋体" w:hAnsi="宋体" w:eastAsia="宋体" w:cs="宋体"/>
                <w:color w:val="auto"/>
                <w:spacing w:val="-6"/>
                <w:sz w:val="21"/>
                <w:szCs w:val="21"/>
                <w:highlight w:val="none"/>
              </w:rPr>
              <w:t>本项目设计人员综合素质</w:t>
            </w:r>
            <w:r>
              <w:rPr>
                <w:rFonts w:hint="eastAsia" w:ascii="宋体" w:hAnsi="宋体" w:eastAsia="宋体" w:cs="宋体"/>
                <w:color w:val="auto"/>
                <w:spacing w:val="-6"/>
                <w:sz w:val="21"/>
                <w:szCs w:val="21"/>
                <w:highlight w:val="none"/>
                <w:lang w:eastAsia="zh-CN"/>
              </w:rPr>
              <w:t>（</w:t>
            </w:r>
            <w:r>
              <w:rPr>
                <w:rFonts w:hint="eastAsia" w:ascii="宋体" w:hAnsi="宋体" w:eastAsia="宋体" w:cs="宋体"/>
                <w:color w:val="auto"/>
                <w:spacing w:val="-6"/>
                <w:sz w:val="21"/>
                <w:szCs w:val="21"/>
                <w:highlight w:val="none"/>
                <w:lang w:val="en-US" w:eastAsia="zh-CN"/>
              </w:rPr>
              <w:t>5分</w:t>
            </w:r>
            <w:r>
              <w:rPr>
                <w:rFonts w:hint="eastAsia" w:ascii="宋体" w:hAnsi="宋体" w:eastAsia="宋体" w:cs="宋体"/>
                <w:color w:val="auto"/>
                <w:spacing w:val="-6"/>
                <w:sz w:val="21"/>
                <w:szCs w:val="21"/>
                <w:highlight w:val="none"/>
                <w:lang w:eastAsia="zh-CN"/>
              </w:rPr>
              <w:t>）</w:t>
            </w:r>
          </w:p>
        </w:tc>
        <w:tc>
          <w:tcPr>
            <w:tcW w:w="5107" w:type="dxa"/>
            <w:noWrap w:val="0"/>
            <w:vAlign w:val="center"/>
          </w:tcPr>
          <w:p w14:paraId="052FEB90">
            <w:pPr>
              <w:pStyle w:val="21"/>
              <w:ind w:left="0" w:leftChars="0" w:firstLine="0" w:firstLineChars="0"/>
              <w:rPr>
                <w:rFonts w:hint="eastAsia" w:ascii="宋体" w:hAnsi="宋体" w:eastAsia="宋体" w:cs="宋体"/>
                <w:b w:val="0"/>
                <w:color w:val="auto"/>
                <w:kern w:val="0"/>
                <w:sz w:val="21"/>
                <w:szCs w:val="21"/>
                <w:highlight w:val="none"/>
                <w:lang w:val="en-US" w:eastAsia="zh-CN" w:bidi="ar-SA"/>
              </w:rPr>
            </w:pPr>
            <w:r>
              <w:rPr>
                <w:rFonts w:hint="eastAsia" w:ascii="宋体" w:hAnsi="宋体" w:eastAsia="宋体" w:cs="宋体"/>
                <w:b w:val="0"/>
                <w:color w:val="auto"/>
                <w:kern w:val="0"/>
                <w:sz w:val="21"/>
                <w:szCs w:val="21"/>
                <w:highlight w:val="none"/>
                <w:lang w:val="en-US" w:eastAsia="zh-CN" w:bidi="ar-SA"/>
              </w:rPr>
              <w:t>1．投入人员配置（电气、电力）工程师8人以上（含8人）(其中高级职称或者注册电气工程师满5人（含5人）以上的），得3分；</w:t>
            </w:r>
          </w:p>
          <w:p w14:paraId="57B14706">
            <w:pPr>
              <w:pStyle w:val="21"/>
              <w:ind w:left="0" w:leftChars="0" w:firstLine="0" w:firstLineChars="0"/>
              <w:rPr>
                <w:rFonts w:hint="eastAsia" w:ascii="宋体" w:hAnsi="宋体" w:eastAsia="宋体" w:cs="宋体"/>
                <w:b w:val="0"/>
                <w:color w:val="auto"/>
                <w:kern w:val="0"/>
                <w:sz w:val="21"/>
                <w:szCs w:val="21"/>
                <w:highlight w:val="none"/>
                <w:lang w:val="en-US" w:eastAsia="zh-CN" w:bidi="ar-SA"/>
              </w:rPr>
            </w:pPr>
            <w:r>
              <w:rPr>
                <w:rFonts w:hint="eastAsia" w:ascii="宋体" w:hAnsi="宋体" w:eastAsia="宋体" w:cs="宋体"/>
                <w:b w:val="0"/>
                <w:color w:val="auto"/>
                <w:kern w:val="0"/>
                <w:sz w:val="21"/>
                <w:szCs w:val="21"/>
                <w:highlight w:val="none"/>
                <w:lang w:val="en-US" w:eastAsia="zh-CN" w:bidi="ar-SA"/>
              </w:rPr>
              <w:t>2．投入人员配置（电气、电力）工程师职称5人以下(含5人) (其中高级职称或者注册电气工程师满3人（含3人）以上的），得2分；</w:t>
            </w:r>
          </w:p>
          <w:p w14:paraId="12A90015">
            <w:pPr>
              <w:pStyle w:val="21"/>
              <w:ind w:left="0" w:leftChars="0" w:firstLine="0" w:firstLineChars="0"/>
              <w:rPr>
                <w:rFonts w:hint="eastAsia" w:ascii="宋体" w:hAnsi="宋体" w:eastAsia="宋体" w:cs="宋体"/>
                <w:b w:val="0"/>
                <w:color w:val="auto"/>
                <w:kern w:val="0"/>
                <w:sz w:val="21"/>
                <w:szCs w:val="21"/>
                <w:highlight w:val="none"/>
                <w:lang w:val="en-US" w:eastAsia="zh-CN" w:bidi="ar-SA"/>
              </w:rPr>
            </w:pPr>
            <w:r>
              <w:rPr>
                <w:rFonts w:hint="eastAsia" w:ascii="宋体" w:hAnsi="宋体" w:eastAsia="宋体" w:cs="宋体"/>
                <w:b w:val="0"/>
                <w:color w:val="auto"/>
                <w:kern w:val="0"/>
                <w:sz w:val="21"/>
                <w:szCs w:val="21"/>
                <w:highlight w:val="none"/>
                <w:lang w:val="en-US" w:eastAsia="zh-CN" w:bidi="ar-SA"/>
              </w:rPr>
              <w:t>3．项目负责人同时具备高级职称和注册电气工程师的得2分。</w:t>
            </w:r>
          </w:p>
          <w:p w14:paraId="635652CD">
            <w:pPr>
              <w:pStyle w:val="21"/>
              <w:ind w:left="0" w:leftChars="0" w:firstLine="0" w:firstLineChars="0"/>
              <w:rPr>
                <w:rFonts w:hint="eastAsia" w:ascii="宋体" w:hAnsi="宋体" w:eastAsia="宋体" w:cs="宋体"/>
                <w:b w:val="0"/>
                <w:color w:val="auto"/>
                <w:kern w:val="0"/>
                <w:sz w:val="21"/>
                <w:szCs w:val="21"/>
                <w:highlight w:val="none"/>
                <w:lang w:val="en-US" w:eastAsia="zh-CN" w:bidi="ar-SA"/>
              </w:rPr>
            </w:pPr>
            <w:r>
              <w:rPr>
                <w:rFonts w:hint="eastAsia" w:ascii="宋体" w:hAnsi="宋体" w:eastAsia="宋体" w:cs="宋体"/>
                <w:b w:val="0"/>
                <w:color w:val="auto"/>
                <w:kern w:val="0"/>
                <w:sz w:val="21"/>
                <w:szCs w:val="21"/>
                <w:highlight w:val="none"/>
                <w:lang w:val="en-US" w:eastAsia="zh-CN" w:bidi="ar-SA"/>
              </w:rPr>
              <w:t>4．其他情况不得分。</w:t>
            </w:r>
          </w:p>
          <w:p w14:paraId="170FFBB9">
            <w:pPr>
              <w:pStyle w:val="21"/>
              <w:ind w:left="0" w:leftChars="0" w:firstLine="0" w:firstLineChars="0"/>
              <w:rPr>
                <w:rFonts w:hint="default" w:ascii="宋体" w:hAnsi="宋体" w:eastAsia="宋体" w:cs="宋体"/>
                <w:b w:val="0"/>
                <w:color w:val="auto"/>
                <w:kern w:val="0"/>
                <w:sz w:val="21"/>
                <w:szCs w:val="21"/>
                <w:highlight w:val="none"/>
                <w:lang w:val="en-US" w:eastAsia="zh-CN" w:bidi="ar-SA"/>
              </w:rPr>
            </w:pPr>
            <w:r>
              <w:rPr>
                <w:rFonts w:hint="eastAsia" w:ascii="宋体" w:hAnsi="宋体" w:eastAsia="宋体" w:cs="宋体"/>
                <w:b w:val="0"/>
                <w:color w:val="auto"/>
                <w:kern w:val="0"/>
                <w:sz w:val="21"/>
                <w:szCs w:val="21"/>
                <w:highlight w:val="none"/>
                <w:lang w:val="en-US" w:eastAsia="zh-CN" w:bidi="ar-SA"/>
              </w:rPr>
              <w:t>5.本项最高得5分。</w:t>
            </w:r>
          </w:p>
          <w:p w14:paraId="2653FF1F">
            <w:pPr>
              <w:pStyle w:val="21"/>
              <w:ind w:left="0" w:leftChars="0" w:firstLine="0" w:firstLineChars="0"/>
              <w:rPr>
                <w:rFonts w:hint="eastAsia" w:ascii="宋体" w:hAnsi="宋体" w:eastAsia="宋体" w:cs="宋体"/>
                <w:b w:val="0"/>
                <w:color w:val="auto"/>
                <w:kern w:val="0"/>
                <w:sz w:val="21"/>
                <w:szCs w:val="21"/>
                <w:highlight w:val="none"/>
                <w:lang w:val="en-US" w:eastAsia="zh-CN" w:bidi="ar-SA"/>
              </w:rPr>
            </w:pPr>
          </w:p>
        </w:tc>
        <w:tc>
          <w:tcPr>
            <w:tcW w:w="2591" w:type="dxa"/>
            <w:noWrap w:val="0"/>
            <w:vAlign w:val="center"/>
          </w:tcPr>
          <w:p w14:paraId="73A82993">
            <w:pPr>
              <w:keepNext w:val="0"/>
              <w:keepLines w:val="0"/>
              <w:pageBreakBefore w:val="0"/>
              <w:widowControl w:val="0"/>
              <w:numPr>
                <w:ilvl w:val="0"/>
                <w:numId w:val="0"/>
              </w:numPr>
              <w:kinsoku/>
              <w:wordWrap w:val="0"/>
              <w:overflowPunct/>
              <w:topLinePunct w:val="0"/>
              <w:autoSpaceDE/>
              <w:autoSpaceDN/>
              <w:bidi w:val="0"/>
              <w:adjustRightInd w:val="0"/>
              <w:snapToGrid/>
              <w:spacing w:line="288" w:lineRule="auto"/>
              <w:ind w:left="0" w:leftChars="0" w:firstLine="0" w:firstLineChars="0"/>
              <w:textAlignment w:val="auto"/>
              <w:rPr>
                <w:rFonts w:hint="default" w:ascii="Times New Roman" w:hAnsi="Times New Roman" w:eastAsia="宋体" w:cs="Times New Roman"/>
                <w:snapToGrid w:val="0"/>
                <w:color w:val="auto"/>
                <w:kern w:val="0"/>
                <w:sz w:val="21"/>
                <w:szCs w:val="21"/>
                <w:highlight w:val="none"/>
                <w:lang w:val="en-US" w:eastAsia="zh-CN" w:bidi="ar-SA"/>
              </w:rPr>
            </w:pPr>
            <w:r>
              <w:rPr>
                <w:rFonts w:hint="eastAsia" w:ascii="Times New Roman" w:hAnsi="Times New Roman" w:eastAsia="宋体" w:cs="Times New Roman"/>
                <w:snapToGrid w:val="0"/>
                <w:color w:val="auto"/>
                <w:kern w:val="0"/>
                <w:sz w:val="21"/>
                <w:szCs w:val="21"/>
                <w:highlight w:val="none"/>
                <w:lang w:val="en-US" w:eastAsia="zh-CN" w:bidi="ar-SA"/>
              </w:rPr>
              <w:t>注：</w:t>
            </w:r>
            <w:r>
              <w:rPr>
                <w:rFonts w:hint="default" w:ascii="Times New Roman" w:hAnsi="Times New Roman" w:eastAsia="宋体" w:cs="Times New Roman"/>
                <w:snapToGrid w:val="0"/>
                <w:color w:val="auto"/>
                <w:kern w:val="0"/>
                <w:sz w:val="21"/>
                <w:szCs w:val="21"/>
                <w:highlight w:val="none"/>
                <w:lang w:val="en-US" w:eastAsia="zh-CN" w:bidi="ar-SA"/>
              </w:rPr>
              <w:t>需提供以上拟派人员的相关证书扫描件</w:t>
            </w:r>
            <w:r>
              <w:rPr>
                <w:rFonts w:hint="eastAsia" w:ascii="Times New Roman" w:hAnsi="Times New Roman" w:eastAsia="宋体" w:cs="Times New Roman"/>
                <w:snapToGrid w:val="0"/>
                <w:color w:val="auto"/>
                <w:kern w:val="0"/>
                <w:sz w:val="21"/>
                <w:szCs w:val="21"/>
                <w:highlight w:val="none"/>
                <w:lang w:val="en-US" w:eastAsia="zh-CN" w:bidi="ar-SA"/>
              </w:rPr>
              <w:t>及近半年内连续三个月的社保证明复印件（其中必须有2025年10月），不提供不得分。</w:t>
            </w:r>
          </w:p>
        </w:tc>
      </w:tr>
      <w:tr w14:paraId="0624C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10358" w:type="dxa"/>
            <w:gridSpan w:val="5"/>
            <w:noWrap w:val="0"/>
            <w:vAlign w:val="center"/>
          </w:tcPr>
          <w:p w14:paraId="79EB93F1">
            <w:pPr>
              <w:keepNext w:val="0"/>
              <w:keepLines w:val="0"/>
              <w:pageBreakBefore w:val="0"/>
              <w:kinsoku/>
              <w:overflowPunct/>
              <w:topLinePunct w:val="0"/>
              <w:autoSpaceDE w:val="0"/>
              <w:autoSpaceDN w:val="0"/>
              <w:bidi w:val="0"/>
              <w:adjustRightInd w:val="0"/>
              <w:snapToGrid w:val="0"/>
              <w:spacing w:line="240" w:lineRule="auto"/>
              <w:jc w:val="center"/>
              <w:textAlignment w:val="auto"/>
              <w:rPr>
                <w:rFonts w:hint="eastAsia" w:ascii="宋体" w:hAnsi="宋体" w:eastAsia="宋体" w:cs="宋体"/>
                <w:bCs/>
                <w:color w:val="auto"/>
                <w:sz w:val="21"/>
                <w:szCs w:val="21"/>
                <w:highlight w:val="none"/>
                <w:shd w:val="clear" w:color="auto" w:fill="auto"/>
              </w:rPr>
            </w:pPr>
            <w:r>
              <w:rPr>
                <w:rFonts w:hint="eastAsia" w:ascii="宋体" w:hAnsi="宋体" w:eastAsia="宋体" w:cs="宋体"/>
                <w:b/>
                <w:bCs/>
                <w:snapToGrid w:val="0"/>
                <w:color w:val="auto"/>
                <w:kern w:val="0"/>
                <w:sz w:val="21"/>
                <w:szCs w:val="21"/>
                <w:highlight w:val="none"/>
                <w:shd w:val="clear" w:color="auto" w:fill="auto"/>
                <w:lang w:val="en-US" w:eastAsia="zh-CN"/>
              </w:rPr>
              <w:t>经济</w:t>
            </w:r>
            <w:r>
              <w:rPr>
                <w:rFonts w:hint="eastAsia" w:ascii="宋体" w:hAnsi="宋体" w:eastAsia="宋体" w:cs="宋体"/>
                <w:b/>
                <w:bCs/>
                <w:snapToGrid w:val="0"/>
                <w:color w:val="auto"/>
                <w:kern w:val="0"/>
                <w:sz w:val="21"/>
                <w:szCs w:val="21"/>
                <w:highlight w:val="none"/>
                <w:shd w:val="clear" w:color="auto" w:fill="auto"/>
              </w:rPr>
              <w:t>部分：</w:t>
            </w:r>
            <w:r>
              <w:rPr>
                <w:rFonts w:hint="eastAsia" w:ascii="宋体" w:hAnsi="宋体" w:eastAsia="宋体" w:cs="宋体"/>
                <w:b/>
                <w:bCs/>
                <w:snapToGrid w:val="0"/>
                <w:color w:val="auto"/>
                <w:kern w:val="0"/>
                <w:sz w:val="21"/>
                <w:szCs w:val="21"/>
                <w:highlight w:val="none"/>
                <w:shd w:val="clear" w:color="auto" w:fill="auto"/>
                <w:lang w:val="en-US" w:eastAsia="zh-CN"/>
              </w:rPr>
              <w:t>50</w:t>
            </w:r>
            <w:r>
              <w:rPr>
                <w:rFonts w:hint="eastAsia" w:ascii="宋体" w:hAnsi="宋体" w:eastAsia="宋体" w:cs="宋体"/>
                <w:b/>
                <w:bCs/>
                <w:snapToGrid w:val="0"/>
                <w:color w:val="auto"/>
                <w:kern w:val="0"/>
                <w:sz w:val="21"/>
                <w:szCs w:val="21"/>
                <w:highlight w:val="none"/>
                <w:shd w:val="clear" w:color="auto" w:fill="auto"/>
              </w:rPr>
              <w:t>分</w:t>
            </w:r>
          </w:p>
        </w:tc>
      </w:tr>
      <w:tr w14:paraId="2426F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2660" w:type="dxa"/>
            <w:gridSpan w:val="3"/>
            <w:noWrap w:val="0"/>
            <w:vAlign w:val="center"/>
          </w:tcPr>
          <w:p w14:paraId="3633605A">
            <w:pPr>
              <w:keepNext w:val="0"/>
              <w:keepLines w:val="0"/>
              <w:pageBreakBefore w:val="0"/>
              <w:kinsoku/>
              <w:overflowPunct/>
              <w:topLinePunct w:val="0"/>
              <w:bidi w:val="0"/>
              <w:snapToGrid w:val="0"/>
              <w:spacing w:line="240" w:lineRule="auto"/>
              <w:ind w:left="110" w:leftChars="0" w:right="105" w:rightChars="0" w:firstLine="17" w:firstLineChars="0"/>
              <w:jc w:val="center"/>
              <w:textAlignment w:val="auto"/>
              <w:rPr>
                <w:rFonts w:hint="eastAsia" w:ascii="宋体" w:hAnsi="宋体" w:eastAsia="宋体" w:cs="宋体"/>
                <w:color w:val="auto"/>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评标内容</w:t>
            </w:r>
          </w:p>
        </w:tc>
        <w:tc>
          <w:tcPr>
            <w:tcW w:w="7698" w:type="dxa"/>
            <w:gridSpan w:val="2"/>
            <w:noWrap w:val="0"/>
            <w:vAlign w:val="center"/>
          </w:tcPr>
          <w:p w14:paraId="42705C3A">
            <w:pPr>
              <w:keepNext w:val="0"/>
              <w:keepLines w:val="0"/>
              <w:pageBreakBefore w:val="0"/>
              <w:widowControl/>
              <w:kinsoku/>
              <w:overflowPunct/>
              <w:topLinePunct w:val="0"/>
              <w:bidi w:val="0"/>
              <w:snapToGrid w:val="0"/>
              <w:spacing w:line="240" w:lineRule="auto"/>
              <w:jc w:val="center"/>
              <w:textAlignment w:val="auto"/>
              <w:rPr>
                <w:rFonts w:hint="eastAsia" w:ascii="宋体" w:hAnsi="宋体" w:eastAsia="宋体" w:cs="宋体"/>
                <w:bCs/>
                <w:color w:val="auto"/>
                <w:sz w:val="21"/>
                <w:szCs w:val="21"/>
                <w:highlight w:val="none"/>
                <w:shd w:val="clear" w:color="auto" w:fill="auto"/>
              </w:rPr>
            </w:pPr>
            <w:r>
              <w:rPr>
                <w:rFonts w:hint="eastAsia" w:ascii="宋体" w:hAnsi="宋体" w:eastAsia="宋体" w:cs="宋体"/>
                <w:color w:val="auto"/>
                <w:spacing w:val="-6"/>
                <w:sz w:val="21"/>
                <w:szCs w:val="21"/>
                <w:highlight w:val="none"/>
                <w:shd w:val="clear" w:color="auto" w:fill="auto"/>
              </w:rPr>
              <w:t>评分标准</w:t>
            </w:r>
          </w:p>
        </w:tc>
      </w:tr>
      <w:tr w14:paraId="1A56A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6" w:hRule="atLeast"/>
          <w:jc w:val="center"/>
        </w:trPr>
        <w:tc>
          <w:tcPr>
            <w:tcW w:w="2660" w:type="dxa"/>
            <w:gridSpan w:val="3"/>
            <w:noWrap w:val="0"/>
            <w:vAlign w:val="center"/>
          </w:tcPr>
          <w:p w14:paraId="4B8A01B2">
            <w:pPr>
              <w:pStyle w:val="69"/>
              <w:wordWrap w:val="0"/>
              <w:adjustRightInd w:val="0"/>
              <w:snapToGrid w:val="0"/>
              <w:spacing w:line="400" w:lineRule="exact"/>
              <w:jc w:val="center"/>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snapToGrid w:val="0"/>
                <w:color w:val="auto"/>
                <w:kern w:val="0"/>
                <w:sz w:val="21"/>
                <w:szCs w:val="21"/>
                <w:highlight w:val="none"/>
              </w:rPr>
              <w:t>评标基准价D</w:t>
            </w:r>
          </w:p>
        </w:tc>
        <w:tc>
          <w:tcPr>
            <w:tcW w:w="7698" w:type="dxa"/>
            <w:gridSpan w:val="2"/>
            <w:noWrap w:val="0"/>
            <w:vAlign w:val="center"/>
          </w:tcPr>
          <w:p w14:paraId="7035BFAA">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（1）确定最高投标限价下浮系数n：用1～21号球分别代表一个下浮系数，由评委代表从这21个号码中随机抽取</w:t>
            </w:r>
            <w:r>
              <w:rPr>
                <w:rFonts w:hint="eastAsia" w:ascii="宋体" w:hAnsi="宋体" w:eastAsia="宋体" w:cs="宋体"/>
                <w:snapToGrid w:val="0"/>
                <w:color w:val="auto"/>
                <w:kern w:val="0"/>
                <w:sz w:val="21"/>
                <w:szCs w:val="21"/>
                <w:highlight w:val="none"/>
                <w:u w:val="single"/>
              </w:rPr>
              <w:t xml:space="preserve"> 3 </w:t>
            </w:r>
            <w:r>
              <w:rPr>
                <w:rFonts w:hint="eastAsia" w:ascii="宋体" w:hAnsi="宋体" w:eastAsia="宋体" w:cs="宋体"/>
                <w:snapToGrid w:val="0"/>
                <w:color w:val="auto"/>
                <w:kern w:val="0"/>
                <w:sz w:val="21"/>
                <w:szCs w:val="21"/>
                <w:highlight w:val="none"/>
              </w:rPr>
              <w:t>次，每次抽取1个号码，抽出的号球不参与下次抽取。所抽取的</w:t>
            </w:r>
            <w:r>
              <w:rPr>
                <w:rFonts w:hint="eastAsia" w:ascii="宋体" w:hAnsi="宋体" w:eastAsia="宋体" w:cs="宋体"/>
                <w:snapToGrid w:val="0"/>
                <w:color w:val="auto"/>
                <w:kern w:val="0"/>
                <w:sz w:val="21"/>
                <w:szCs w:val="21"/>
                <w:highlight w:val="none"/>
                <w:lang w:val="en-US" w:eastAsia="zh-CN"/>
              </w:rPr>
              <w:t>3</w:t>
            </w:r>
            <w:r>
              <w:rPr>
                <w:rFonts w:hint="eastAsia" w:ascii="宋体" w:hAnsi="宋体" w:eastAsia="宋体" w:cs="宋体"/>
                <w:snapToGrid w:val="0"/>
                <w:color w:val="auto"/>
                <w:kern w:val="0"/>
                <w:sz w:val="21"/>
                <w:szCs w:val="21"/>
                <w:highlight w:val="none"/>
              </w:rPr>
              <w:t>个号码对应下浮系数的算术平均值作为最高投标限价下浮系数n。具体号码对应的下浮系数可参考下表。</w:t>
            </w:r>
          </w:p>
          <w:tbl>
            <w:tblPr>
              <w:tblStyle w:val="22"/>
              <w:tblW w:w="0" w:type="auto"/>
              <w:tblInd w:w="113" w:type="dxa"/>
              <w:tblLayout w:type="fixed"/>
              <w:tblCellMar>
                <w:top w:w="0" w:type="dxa"/>
                <w:left w:w="108" w:type="dxa"/>
                <w:bottom w:w="0" w:type="dxa"/>
                <w:right w:w="108" w:type="dxa"/>
              </w:tblCellMar>
            </w:tblPr>
            <w:tblGrid>
              <w:gridCol w:w="1465"/>
              <w:gridCol w:w="794"/>
              <w:gridCol w:w="830"/>
              <w:gridCol w:w="864"/>
              <w:gridCol w:w="848"/>
              <w:gridCol w:w="882"/>
              <w:gridCol w:w="829"/>
              <w:gridCol w:w="819"/>
            </w:tblGrid>
            <w:tr w14:paraId="372C890B">
              <w:tblPrEx>
                <w:tblCellMar>
                  <w:top w:w="0" w:type="dxa"/>
                  <w:left w:w="108" w:type="dxa"/>
                  <w:bottom w:w="0" w:type="dxa"/>
                  <w:right w:w="108" w:type="dxa"/>
                </w:tblCellMar>
              </w:tblPrEx>
              <w:trPr>
                <w:trHeight w:val="248"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69A73059">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FB0F16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60742DD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420D68E5">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63E6C68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4</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12E8EC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5</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2F905AF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6</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3A3E275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7</w:t>
                  </w:r>
                </w:p>
              </w:tc>
            </w:tr>
            <w:tr w14:paraId="28E4461B">
              <w:tblPrEx>
                <w:tblCellMar>
                  <w:top w:w="0" w:type="dxa"/>
                  <w:left w:w="108" w:type="dxa"/>
                  <w:bottom w:w="0" w:type="dxa"/>
                  <w:right w:w="108" w:type="dxa"/>
                </w:tblCellMar>
              </w:tblPrEx>
              <w:trPr>
                <w:trHeight w:val="632"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1AA48E04">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DDB907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2087FDD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3D2AAA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51E3DD01">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153452C9">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D23721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0BF7226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r>
            <w:tr w14:paraId="507E8B2A">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0DFBFAA9">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5842715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8</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80E3622">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9</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00232F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10</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1F5DDB1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11</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4DCE65BB">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12</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04A543AF">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13</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100862E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14</w:t>
                  </w:r>
                </w:p>
              </w:tc>
            </w:tr>
            <w:tr w14:paraId="3FB75612">
              <w:tblPrEx>
                <w:tblCellMar>
                  <w:top w:w="0" w:type="dxa"/>
                  <w:left w:w="108" w:type="dxa"/>
                  <w:bottom w:w="0" w:type="dxa"/>
                  <w:right w:w="108" w:type="dxa"/>
                </w:tblCellMar>
              </w:tblPrEx>
              <w:trPr>
                <w:trHeight w:val="515"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78C86D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032807F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123CD938">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092F7005">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DB30290">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061BC08">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798751D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2.2</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4E30DB4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2.3</w:t>
                  </w:r>
                </w:p>
              </w:tc>
            </w:tr>
            <w:tr w14:paraId="10721B69">
              <w:tblPrEx>
                <w:tblCellMar>
                  <w:top w:w="0" w:type="dxa"/>
                  <w:left w:w="108" w:type="dxa"/>
                  <w:bottom w:w="0" w:type="dxa"/>
                  <w:right w:w="108" w:type="dxa"/>
                </w:tblCellMar>
              </w:tblPrEx>
              <w:trPr>
                <w:trHeight w:val="47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2BAFC65B">
                  <w:pPr>
                    <w:wordWrap w:val="0"/>
                    <w:adjustRightInd w:val="0"/>
                    <w:snapToGrid w:val="0"/>
                    <w:spacing w:line="400" w:lineRule="exact"/>
                    <w:jc w:val="center"/>
                    <w:rPr>
                      <w:rFonts w:hint="eastAsia" w:ascii="宋体" w:hAnsi="宋体" w:eastAsia="宋体" w:cs="宋体"/>
                      <w:b/>
                      <w:snapToGrid w:val="0"/>
                      <w:color w:val="auto"/>
                      <w:kern w:val="0"/>
                      <w:sz w:val="21"/>
                      <w:szCs w:val="21"/>
                      <w:highlight w:val="none"/>
                    </w:rPr>
                  </w:pPr>
                  <w:r>
                    <w:rPr>
                      <w:rFonts w:hint="eastAsia" w:ascii="宋体" w:hAnsi="宋体" w:eastAsia="宋体" w:cs="宋体"/>
                      <w:bCs/>
                      <w:snapToGrid w:val="0"/>
                      <w:color w:val="auto"/>
                      <w:kern w:val="0"/>
                      <w:sz w:val="21"/>
                      <w:szCs w:val="21"/>
                      <w:highlight w:val="none"/>
                    </w:rPr>
                    <w:t>号球</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6C77C5E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15</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79527FFC">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16</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2A8EE04E">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17</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41616B4F">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18</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20ABA576">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19</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8CA685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20</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6AB88377">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21</w:t>
                  </w:r>
                </w:p>
              </w:tc>
            </w:tr>
            <w:tr w14:paraId="5F65113C">
              <w:tblPrEx>
                <w:tblCellMar>
                  <w:top w:w="0" w:type="dxa"/>
                  <w:left w:w="108" w:type="dxa"/>
                  <w:bottom w:w="0" w:type="dxa"/>
                  <w:right w:w="108" w:type="dxa"/>
                </w:tblCellMar>
              </w:tblPrEx>
              <w:trPr>
                <w:trHeight w:val="600" w:hRule="atLeast"/>
              </w:trPr>
              <w:tc>
                <w:tcPr>
                  <w:tcW w:w="1465" w:type="dxa"/>
                  <w:tcBorders>
                    <w:top w:val="single" w:color="000000" w:sz="4" w:space="0"/>
                    <w:left w:val="single" w:color="000000" w:sz="4" w:space="0"/>
                    <w:bottom w:val="single" w:color="000000" w:sz="4" w:space="0"/>
                    <w:right w:val="single" w:color="000000" w:sz="4" w:space="0"/>
                  </w:tcBorders>
                  <w:noWrap w:val="0"/>
                  <w:vAlign w:val="center"/>
                </w:tcPr>
                <w:p w14:paraId="3B81859A">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下浮系数（%）</w:t>
                  </w:r>
                </w:p>
              </w:tc>
              <w:tc>
                <w:tcPr>
                  <w:tcW w:w="794" w:type="dxa"/>
                  <w:tcBorders>
                    <w:top w:val="single" w:color="000000" w:sz="4" w:space="0"/>
                    <w:left w:val="single" w:color="000000" w:sz="4" w:space="0"/>
                    <w:bottom w:val="single" w:color="000000" w:sz="4" w:space="0"/>
                    <w:right w:val="single" w:color="000000" w:sz="4" w:space="0"/>
                  </w:tcBorders>
                  <w:noWrap w:val="0"/>
                  <w:vAlign w:val="center"/>
                </w:tcPr>
                <w:p w14:paraId="4EF0E455">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2.4</w:t>
                  </w:r>
                </w:p>
              </w:tc>
              <w:tc>
                <w:tcPr>
                  <w:tcW w:w="830" w:type="dxa"/>
                  <w:tcBorders>
                    <w:top w:val="single" w:color="000000" w:sz="4" w:space="0"/>
                    <w:left w:val="single" w:color="000000" w:sz="4" w:space="0"/>
                    <w:bottom w:val="single" w:color="000000" w:sz="4" w:space="0"/>
                    <w:right w:val="single" w:color="000000" w:sz="4" w:space="0"/>
                  </w:tcBorders>
                  <w:noWrap w:val="0"/>
                  <w:vAlign w:val="center"/>
                </w:tcPr>
                <w:p w14:paraId="3943E87D">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2.5</w:t>
                  </w:r>
                </w:p>
              </w:tc>
              <w:tc>
                <w:tcPr>
                  <w:tcW w:w="864" w:type="dxa"/>
                  <w:tcBorders>
                    <w:top w:val="single" w:color="000000" w:sz="4" w:space="0"/>
                    <w:left w:val="single" w:color="000000" w:sz="4" w:space="0"/>
                    <w:bottom w:val="single" w:color="000000" w:sz="4" w:space="0"/>
                    <w:right w:val="single" w:color="000000" w:sz="4" w:space="0"/>
                  </w:tcBorders>
                  <w:noWrap w:val="0"/>
                  <w:vAlign w:val="center"/>
                </w:tcPr>
                <w:p w14:paraId="69603A8F">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2.6</w:t>
                  </w:r>
                </w:p>
              </w:tc>
              <w:tc>
                <w:tcPr>
                  <w:tcW w:w="848" w:type="dxa"/>
                  <w:tcBorders>
                    <w:top w:val="single" w:color="000000" w:sz="4" w:space="0"/>
                    <w:left w:val="single" w:color="000000" w:sz="4" w:space="0"/>
                    <w:bottom w:val="single" w:color="000000" w:sz="4" w:space="0"/>
                    <w:right w:val="single" w:color="000000" w:sz="4" w:space="0"/>
                  </w:tcBorders>
                  <w:noWrap w:val="0"/>
                  <w:vAlign w:val="center"/>
                </w:tcPr>
                <w:p w14:paraId="0EE78041">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2.7</w:t>
                  </w:r>
                </w:p>
              </w:tc>
              <w:tc>
                <w:tcPr>
                  <w:tcW w:w="882" w:type="dxa"/>
                  <w:tcBorders>
                    <w:top w:val="single" w:color="000000" w:sz="4" w:space="0"/>
                    <w:left w:val="single" w:color="000000" w:sz="4" w:space="0"/>
                    <w:bottom w:val="single" w:color="000000" w:sz="4" w:space="0"/>
                    <w:right w:val="single" w:color="000000" w:sz="4" w:space="0"/>
                  </w:tcBorders>
                  <w:noWrap w:val="0"/>
                  <w:vAlign w:val="center"/>
                </w:tcPr>
                <w:p w14:paraId="53FBCF25">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2.8</w:t>
                  </w:r>
                </w:p>
              </w:tc>
              <w:tc>
                <w:tcPr>
                  <w:tcW w:w="829" w:type="dxa"/>
                  <w:tcBorders>
                    <w:top w:val="single" w:color="000000" w:sz="4" w:space="0"/>
                    <w:left w:val="single" w:color="000000" w:sz="4" w:space="0"/>
                    <w:bottom w:val="single" w:color="000000" w:sz="4" w:space="0"/>
                    <w:right w:val="single" w:color="000000" w:sz="4" w:space="0"/>
                  </w:tcBorders>
                  <w:noWrap w:val="0"/>
                  <w:vAlign w:val="center"/>
                </w:tcPr>
                <w:p w14:paraId="4E49F153">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2.9</w:t>
                  </w:r>
                </w:p>
              </w:tc>
              <w:tc>
                <w:tcPr>
                  <w:tcW w:w="819" w:type="dxa"/>
                  <w:tcBorders>
                    <w:top w:val="single" w:color="000000" w:sz="4" w:space="0"/>
                    <w:left w:val="single" w:color="000000" w:sz="4" w:space="0"/>
                    <w:bottom w:val="single" w:color="000000" w:sz="4" w:space="0"/>
                    <w:right w:val="single" w:color="000000" w:sz="4" w:space="0"/>
                  </w:tcBorders>
                  <w:noWrap w:val="0"/>
                  <w:vAlign w:val="center"/>
                </w:tcPr>
                <w:p w14:paraId="5799BC52">
                  <w:pPr>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3.0</w:t>
                  </w:r>
                </w:p>
              </w:tc>
            </w:tr>
          </w:tbl>
          <w:p w14:paraId="003B84DE">
            <w:pPr>
              <w:wordWrap w:val="0"/>
              <w:adjustRightInd w:val="0"/>
              <w:snapToGrid w:val="0"/>
              <w:spacing w:line="400" w:lineRule="exact"/>
              <w:ind w:firstLine="210" w:firstLineChars="100"/>
              <w:jc w:val="left"/>
              <w:rPr>
                <w:rFonts w:hint="eastAsia" w:ascii="宋体" w:hAnsi="宋体" w:eastAsia="宋体" w:cs="宋体"/>
                <w:color w:val="auto"/>
                <w:spacing w:val="-6"/>
                <w:sz w:val="21"/>
                <w:szCs w:val="21"/>
                <w:highlight w:val="none"/>
                <w:shd w:val="clear" w:color="auto" w:fill="auto"/>
              </w:rPr>
            </w:pPr>
            <w:r>
              <w:rPr>
                <w:rFonts w:hint="eastAsia" w:ascii="宋体" w:hAnsi="宋体" w:eastAsia="宋体" w:cs="宋体"/>
                <w:snapToGrid w:val="0"/>
                <w:color w:val="auto"/>
                <w:kern w:val="0"/>
                <w:sz w:val="21"/>
                <w:szCs w:val="21"/>
                <w:highlight w:val="none"/>
              </w:rPr>
              <w:t>（2）评标基准价D＝最高投标限价×（1－n）</w:t>
            </w:r>
          </w:p>
        </w:tc>
      </w:tr>
      <w:tr w14:paraId="5AA275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39" w:hRule="atLeast"/>
          <w:jc w:val="center"/>
        </w:trPr>
        <w:tc>
          <w:tcPr>
            <w:tcW w:w="2660" w:type="dxa"/>
            <w:gridSpan w:val="3"/>
            <w:noWrap w:val="0"/>
            <w:vAlign w:val="center"/>
          </w:tcPr>
          <w:p w14:paraId="2E01CDA3">
            <w:pPr>
              <w:pStyle w:val="69"/>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投标报价</w:t>
            </w:r>
          </w:p>
          <w:p w14:paraId="2BFCF7A5">
            <w:pPr>
              <w:pStyle w:val="69"/>
              <w:wordWrap w:val="0"/>
              <w:adjustRightInd w:val="0"/>
              <w:snapToGrid w:val="0"/>
              <w:spacing w:line="400" w:lineRule="exact"/>
              <w:jc w:val="center"/>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得分N</w:t>
            </w:r>
          </w:p>
        </w:tc>
        <w:tc>
          <w:tcPr>
            <w:tcW w:w="7698" w:type="dxa"/>
            <w:gridSpan w:val="2"/>
            <w:noWrap w:val="0"/>
            <w:vAlign w:val="center"/>
          </w:tcPr>
          <w:p w14:paraId="1485D02E">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采用内插法计算某投标人的投标报价得分N，即当投标人的投标总价等于评标基准价时得</w:t>
            </w:r>
            <w:r>
              <w:rPr>
                <w:rFonts w:hint="eastAsia" w:ascii="宋体" w:hAnsi="宋体" w:eastAsia="宋体" w:cs="宋体"/>
                <w:snapToGrid w:val="0"/>
                <w:color w:val="auto"/>
                <w:kern w:val="0"/>
                <w:sz w:val="21"/>
                <w:szCs w:val="21"/>
                <w:highlight w:val="none"/>
                <w:lang w:val="en-US" w:eastAsia="zh-CN"/>
              </w:rPr>
              <w:t>50</w:t>
            </w:r>
            <w:r>
              <w:rPr>
                <w:rFonts w:hint="eastAsia" w:ascii="宋体" w:hAnsi="宋体" w:eastAsia="宋体" w:cs="宋体"/>
                <w:snapToGrid w:val="0"/>
                <w:color w:val="auto"/>
                <w:kern w:val="0"/>
                <w:sz w:val="21"/>
                <w:szCs w:val="21"/>
                <w:highlight w:val="none"/>
              </w:rPr>
              <w:t>分，每高于评标基准价一个百分点扣</w:t>
            </w:r>
            <w:r>
              <w:rPr>
                <w:rFonts w:hint="eastAsia"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分, 每低于评标基准价一个百分点扣</w:t>
            </w:r>
            <w:r>
              <w:rPr>
                <w:rFonts w:hint="eastAsia" w:ascii="宋体" w:hAnsi="宋体" w:eastAsia="宋体" w:cs="宋体"/>
                <w:snapToGrid w:val="0"/>
                <w:color w:val="auto"/>
                <w:kern w:val="0"/>
                <w:sz w:val="21"/>
                <w:szCs w:val="21"/>
                <w:highlight w:val="none"/>
                <w:lang w:val="en-US" w:eastAsia="zh-CN"/>
              </w:rPr>
              <w:t>0.</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分，扣完为止。公式如下：</w:t>
            </w:r>
          </w:p>
          <w:p w14:paraId="289CFB61">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N＝</w:t>
            </w:r>
            <w:r>
              <w:rPr>
                <w:rFonts w:hint="eastAsia" w:ascii="宋体" w:hAnsi="宋体" w:eastAsia="宋体" w:cs="宋体"/>
                <w:snapToGrid w:val="0"/>
                <w:color w:val="auto"/>
                <w:kern w:val="0"/>
                <w:sz w:val="21"/>
                <w:szCs w:val="21"/>
                <w:highlight w:val="none"/>
                <w:lang w:val="en-US" w:eastAsia="zh-CN"/>
              </w:rPr>
              <w:t>50</w:t>
            </w:r>
            <w:r>
              <w:rPr>
                <w:rFonts w:hint="eastAsia" w:ascii="宋体" w:hAnsi="宋体" w:eastAsia="宋体" w:cs="宋体"/>
                <w:snapToGrid w:val="0"/>
                <w:color w:val="auto"/>
                <w:kern w:val="0"/>
                <w:sz w:val="21"/>
                <w:szCs w:val="21"/>
                <w:highlight w:val="none"/>
              </w:rPr>
              <w:t>－（| Di－D | ÷D）×100×E</w:t>
            </w:r>
          </w:p>
          <w:p w14:paraId="6359D158">
            <w:pPr>
              <w:wordWrap w:val="0"/>
              <w:adjustRightInd w:val="0"/>
              <w:snapToGrid w:val="0"/>
              <w:spacing w:line="400" w:lineRule="exact"/>
              <w:ind w:firstLine="420" w:firstLineChars="200"/>
              <w:jc w:val="left"/>
              <w:rPr>
                <w:rFonts w:hint="eastAsia" w:ascii="宋体" w:hAnsi="宋体" w:eastAsia="宋体" w:cs="宋体"/>
                <w:snapToGrid w:val="0"/>
                <w:color w:val="auto"/>
                <w:kern w:val="0"/>
                <w:sz w:val="21"/>
                <w:szCs w:val="21"/>
                <w:highlight w:val="none"/>
              </w:rPr>
            </w:pPr>
            <w:r>
              <w:rPr>
                <w:rFonts w:hint="eastAsia" w:ascii="宋体" w:hAnsi="宋体" w:eastAsia="宋体" w:cs="宋体"/>
                <w:snapToGrid w:val="0"/>
                <w:color w:val="auto"/>
                <w:kern w:val="0"/>
                <w:sz w:val="21"/>
                <w:szCs w:val="21"/>
                <w:highlight w:val="none"/>
              </w:rPr>
              <w:t>式中：D为评标基准价；Di为某投标人的投标总价；E为扣分因子，当Di＞D时，E＝</w:t>
            </w:r>
            <w:r>
              <w:rPr>
                <w:rFonts w:hint="eastAsia" w:hAnsi="宋体" w:eastAsia="宋体" w:cs="宋体"/>
                <w:snapToGrid w:val="0"/>
                <w:color w:val="auto"/>
                <w:kern w:val="0"/>
                <w:sz w:val="21"/>
                <w:szCs w:val="21"/>
                <w:highlight w:val="none"/>
                <w:lang w:val="en-US" w:eastAsia="zh-CN"/>
              </w:rPr>
              <w:t>1</w:t>
            </w:r>
            <w:r>
              <w:rPr>
                <w:rFonts w:hint="eastAsia" w:ascii="宋体" w:hAnsi="宋体" w:eastAsia="宋体" w:cs="宋体"/>
                <w:snapToGrid w:val="0"/>
                <w:color w:val="auto"/>
                <w:kern w:val="0"/>
                <w:sz w:val="21"/>
                <w:szCs w:val="21"/>
                <w:highlight w:val="none"/>
              </w:rPr>
              <w:t xml:space="preserve"> ；当Di＜D时，E＝</w:t>
            </w:r>
            <w:r>
              <w:rPr>
                <w:rFonts w:hint="eastAsia" w:ascii="宋体" w:hAnsi="宋体" w:eastAsia="宋体" w:cs="宋体"/>
                <w:snapToGrid w:val="0"/>
                <w:color w:val="auto"/>
                <w:kern w:val="0"/>
                <w:sz w:val="21"/>
                <w:szCs w:val="21"/>
                <w:highlight w:val="none"/>
                <w:lang w:val="en-US" w:eastAsia="zh-CN"/>
              </w:rPr>
              <w:t>0.</w:t>
            </w:r>
            <w:r>
              <w:rPr>
                <w:rFonts w:hint="eastAsia" w:hAnsi="宋体" w:eastAsia="宋体" w:cs="宋体"/>
                <w:snapToGrid w:val="0"/>
                <w:color w:val="auto"/>
                <w:kern w:val="0"/>
                <w:sz w:val="21"/>
                <w:szCs w:val="21"/>
                <w:highlight w:val="none"/>
                <w:lang w:val="en-US" w:eastAsia="zh-CN"/>
              </w:rPr>
              <w:t>5</w:t>
            </w:r>
            <w:r>
              <w:rPr>
                <w:rFonts w:hint="eastAsia" w:ascii="宋体" w:hAnsi="宋体" w:eastAsia="宋体" w:cs="宋体"/>
                <w:snapToGrid w:val="0"/>
                <w:color w:val="auto"/>
                <w:kern w:val="0"/>
                <w:sz w:val="21"/>
                <w:szCs w:val="21"/>
                <w:highlight w:val="none"/>
              </w:rPr>
              <w:t>。</w:t>
            </w:r>
          </w:p>
        </w:tc>
      </w:tr>
    </w:tbl>
    <w:p w14:paraId="722A9707">
      <w:pPr>
        <w:rPr>
          <w:rFonts w:hint="eastAsia"/>
        </w:rPr>
      </w:pPr>
    </w:p>
    <w:p w14:paraId="335AFAFF">
      <w:pPr>
        <w:spacing w:line="440" w:lineRule="exact"/>
        <w:rPr>
          <w:rFonts w:hint="eastAsia" w:asciiTheme="minorEastAsia" w:hAnsiTheme="minorEastAsia" w:eastAsiaTheme="minorEastAsia" w:cstheme="minorEastAsia"/>
          <w:color w:val="auto"/>
          <w:spacing w:val="10"/>
          <w:kern w:val="0"/>
          <w:szCs w:val="24"/>
          <w:highlight w:val="none"/>
        </w:rPr>
      </w:pPr>
      <w:r>
        <w:rPr>
          <w:rFonts w:hint="eastAsia" w:asciiTheme="minorEastAsia" w:hAnsiTheme="minorEastAsia" w:eastAsiaTheme="minorEastAsia" w:cstheme="minorEastAsia"/>
          <w:color w:val="auto"/>
          <w:spacing w:val="10"/>
          <w:kern w:val="0"/>
          <w:szCs w:val="24"/>
          <w:highlight w:val="none"/>
        </w:rPr>
        <w:t>备注：</w:t>
      </w:r>
    </w:p>
    <w:p w14:paraId="6B2168E1">
      <w:pPr>
        <w:spacing w:line="440" w:lineRule="exact"/>
        <w:ind w:firstLine="482" w:firstLineChars="200"/>
        <w:rPr>
          <w:rFonts w:hint="eastAsia" w:asciiTheme="minorEastAsia" w:hAnsiTheme="minorEastAsia" w:eastAsiaTheme="minorEastAsia" w:cstheme="minorEastAsia"/>
          <w:b/>
          <w:bCs/>
          <w:color w:val="auto"/>
          <w:szCs w:val="24"/>
          <w:highlight w:val="none"/>
          <w:u w:val="double"/>
        </w:rPr>
      </w:pPr>
      <w:r>
        <w:rPr>
          <w:rFonts w:hint="eastAsia" w:asciiTheme="minorEastAsia" w:hAnsiTheme="minorEastAsia" w:eastAsiaTheme="minorEastAsia" w:cstheme="minorEastAsia"/>
          <w:b/>
          <w:bCs/>
          <w:color w:val="auto"/>
          <w:szCs w:val="24"/>
          <w:highlight w:val="none"/>
        </w:rPr>
        <w:t>1、</w:t>
      </w:r>
      <w:r>
        <w:rPr>
          <w:rFonts w:hint="eastAsia" w:asciiTheme="minorEastAsia" w:hAnsiTheme="minorEastAsia" w:eastAsiaTheme="minorEastAsia" w:cstheme="minorEastAsia"/>
          <w:b/>
          <w:bCs/>
          <w:color w:val="auto"/>
          <w:szCs w:val="24"/>
          <w:highlight w:val="none"/>
          <w:u w:val="double"/>
        </w:rPr>
        <w:t>评分如出现小数点，则保留小数点后两位，第三位四舍五入。</w:t>
      </w:r>
    </w:p>
    <w:p w14:paraId="60609EDA">
      <w:pPr>
        <w:wordWrap w:val="0"/>
        <w:adjustRightInd w:val="0"/>
        <w:snapToGrid w:val="0"/>
        <w:spacing w:line="440" w:lineRule="exact"/>
        <w:ind w:firstLine="520" w:firstLineChars="200"/>
        <w:rPr>
          <w:rFonts w:hint="eastAsia" w:asciiTheme="minorEastAsia" w:hAnsiTheme="minorEastAsia" w:eastAsiaTheme="minorEastAsia" w:cstheme="minorEastAsia"/>
          <w:bCs/>
          <w:color w:val="auto"/>
          <w:spacing w:val="10"/>
          <w:kern w:val="0"/>
          <w:szCs w:val="24"/>
          <w:highlight w:val="none"/>
        </w:rPr>
      </w:pPr>
    </w:p>
    <w:p w14:paraId="0CA43143">
      <w:pPr>
        <w:wordWrap w:val="0"/>
        <w:adjustRightInd w:val="0"/>
        <w:snapToGrid w:val="0"/>
        <w:spacing w:line="440" w:lineRule="exact"/>
        <w:ind w:firstLine="52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Cs/>
          <w:color w:val="auto"/>
          <w:spacing w:val="10"/>
          <w:kern w:val="0"/>
          <w:szCs w:val="24"/>
          <w:highlight w:val="none"/>
        </w:rPr>
        <w:t>14.3.2</w:t>
      </w:r>
      <w:r>
        <w:rPr>
          <w:rFonts w:hint="eastAsia" w:asciiTheme="minorEastAsia" w:hAnsiTheme="minorEastAsia" w:eastAsiaTheme="minorEastAsia" w:cstheme="minorEastAsia"/>
          <w:snapToGrid w:val="0"/>
          <w:color w:val="auto"/>
          <w:kern w:val="0"/>
          <w:szCs w:val="24"/>
          <w:highlight w:val="none"/>
        </w:rPr>
        <w:t>否决投标说明</w:t>
      </w:r>
    </w:p>
    <w:p w14:paraId="1A94197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详细评审阶段否决投标的全部条件，在本章第</w:t>
      </w:r>
      <w:r>
        <w:rPr>
          <w:rFonts w:hint="eastAsia" w:asciiTheme="minorEastAsia" w:hAnsiTheme="minorEastAsia" w:eastAsiaTheme="minorEastAsia" w:cstheme="minorEastAsia"/>
          <w:snapToGrid w:val="0"/>
          <w:color w:val="auto"/>
          <w:kern w:val="0"/>
          <w:szCs w:val="24"/>
          <w:highlight w:val="none"/>
          <w:lang w:val="en-US" w:eastAsia="zh-CN"/>
        </w:rPr>
        <w:t>四节</w:t>
      </w:r>
      <w:r>
        <w:rPr>
          <w:rFonts w:hint="eastAsia" w:asciiTheme="minorEastAsia" w:hAnsiTheme="minorEastAsia" w:eastAsiaTheme="minorEastAsia" w:cstheme="minorEastAsia"/>
          <w:snapToGrid w:val="0"/>
          <w:color w:val="auto"/>
          <w:kern w:val="0"/>
          <w:szCs w:val="24"/>
          <w:highlight w:val="none"/>
        </w:rPr>
        <w:t>“否决投标条件”第4条中集中列示。投标人有其中所列任何一种情形的，由评标委员会否决其投标。经详细评审后，有效投标人数量不足3个时，招标人应依法重新组织招标。</w:t>
      </w:r>
    </w:p>
    <w:p w14:paraId="105E5934">
      <w:pPr>
        <w:pStyle w:val="27"/>
        <w:spacing w:line="400" w:lineRule="exact"/>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bCs/>
          <w:snapToGrid w:val="0"/>
          <w:color w:val="auto"/>
          <w:kern w:val="0"/>
          <w:szCs w:val="24"/>
          <w:highlight w:val="none"/>
        </w:rPr>
        <w:t>注：投标人在详细评审阶段根据评分方法提供的佐证材料，其合法性、有效性和准确性不符合要求的，有关量化因素（或评分因素）的折算、调整（或评分）按相应量化标准（或评分标准）处理，但不否决投标。</w:t>
      </w:r>
    </w:p>
    <w:p w14:paraId="009FEF0F">
      <w:pPr>
        <w:pStyle w:val="39"/>
        <w:ind w:firstLine="482" w:firstLineChars="200"/>
        <w:jc w:val="both"/>
        <w:rPr>
          <w:rFonts w:hint="eastAsia" w:asciiTheme="minorEastAsia" w:hAnsiTheme="minorEastAsia" w:eastAsiaTheme="minorEastAsia" w:cstheme="minorEastAsia"/>
          <w:b/>
          <w:color w:val="auto"/>
          <w:highlight w:val="none"/>
        </w:rPr>
      </w:pPr>
    </w:p>
    <w:p w14:paraId="7953E66F">
      <w:pPr>
        <w:pStyle w:val="39"/>
        <w:ind w:firstLine="482" w:firstLineChars="200"/>
        <w:jc w:val="both"/>
        <w:rPr>
          <w:rFonts w:hint="eastAsia" w:asciiTheme="minorEastAsia" w:hAnsiTheme="minorEastAsia" w:eastAsiaTheme="minorEastAsia" w:cstheme="minorEastAsia"/>
          <w:b/>
          <w:color w:val="auto"/>
          <w:highlight w:val="none"/>
        </w:rPr>
      </w:pPr>
      <w:bookmarkStart w:id="240" w:name="_Toc32481"/>
      <w:bookmarkStart w:id="241" w:name="_Toc19348"/>
      <w:r>
        <w:rPr>
          <w:rFonts w:hint="eastAsia" w:asciiTheme="minorEastAsia" w:hAnsiTheme="minorEastAsia" w:eastAsiaTheme="minorEastAsia" w:cstheme="minorEastAsia"/>
          <w:b/>
          <w:color w:val="auto"/>
          <w:highlight w:val="none"/>
        </w:rPr>
        <w:t>15.5</w:t>
      </w:r>
      <w:r>
        <w:rPr>
          <w:rFonts w:hint="eastAsia" w:asciiTheme="minorEastAsia" w:hAnsiTheme="minorEastAsia" w:eastAsiaTheme="minorEastAsia" w:cstheme="minorEastAsia"/>
          <w:b/>
          <w:snapToGrid w:val="0"/>
          <w:color w:val="auto"/>
          <w:highlight w:val="none"/>
        </w:rPr>
        <w:t>中标</w:t>
      </w:r>
      <w:r>
        <w:rPr>
          <w:rFonts w:hint="eastAsia" w:asciiTheme="minorEastAsia" w:hAnsiTheme="minorEastAsia" w:eastAsiaTheme="minorEastAsia" w:cstheme="minorEastAsia"/>
          <w:b/>
          <w:color w:val="auto"/>
          <w:highlight w:val="none"/>
        </w:rPr>
        <w:t>候选人公示</w:t>
      </w:r>
      <w:bookmarkEnd w:id="240"/>
      <w:bookmarkEnd w:id="241"/>
    </w:p>
    <w:p w14:paraId="489DC8BC">
      <w:pPr>
        <w:pStyle w:val="27"/>
        <w:spacing w:line="400" w:lineRule="exact"/>
        <w:ind w:firstLine="480" w:firstLineChars="200"/>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bCs/>
          <w:color w:val="auto"/>
          <w:highlight w:val="none"/>
        </w:rPr>
        <w:t>15.5.1</w:t>
      </w:r>
      <w:r>
        <w:rPr>
          <w:rFonts w:hint="eastAsia" w:asciiTheme="minorEastAsia" w:hAnsiTheme="minorEastAsia" w:eastAsiaTheme="minorEastAsia" w:cstheme="minorEastAsia"/>
          <w:bCs/>
          <w:snapToGrid w:val="0"/>
          <w:color w:val="auto"/>
          <w:kern w:val="0"/>
          <w:highlight w:val="none"/>
        </w:rPr>
        <w:t>招标人自收到评标委员会提交的书面评标报告和中标候选人名单之日起3日内，将评标结果（即中标候选人名单）、中标候选人投标文件、评标过程（评标专家姓名用代码标记）一并在广东省招标投标监管网（http://zbtb.gd.gov.cn）、全国公共资源交易平台（广东省·韶关市）（https://ygp.gdzwfw.gov.cn/ggzy-portal/#/440200/index）进行公示，公示期不得少于3天。</w:t>
      </w:r>
    </w:p>
    <w:p w14:paraId="1F74F507">
      <w:pPr>
        <w:pStyle w:val="27"/>
        <w:spacing w:line="400" w:lineRule="exact"/>
        <w:ind w:firstLine="480" w:firstLineChars="200"/>
        <w:rPr>
          <w:rFonts w:hint="eastAsia" w:asciiTheme="minorEastAsia" w:hAnsiTheme="minorEastAsia" w:eastAsiaTheme="minorEastAsia" w:cstheme="minorEastAsia"/>
          <w:bCs/>
          <w:color w:val="auto"/>
          <w:highlight w:val="none"/>
        </w:rPr>
      </w:pPr>
      <w:r>
        <w:rPr>
          <w:rFonts w:hint="eastAsia" w:asciiTheme="minorEastAsia" w:hAnsiTheme="minorEastAsia" w:eastAsiaTheme="minorEastAsia" w:cstheme="minorEastAsia"/>
          <w:bCs/>
          <w:color w:val="auto"/>
          <w:highlight w:val="none"/>
        </w:rPr>
        <w:t>15.5.2</w:t>
      </w:r>
      <w:r>
        <w:rPr>
          <w:rFonts w:hint="eastAsia" w:asciiTheme="minorEastAsia" w:hAnsiTheme="minorEastAsia" w:eastAsiaTheme="minorEastAsia" w:cstheme="minorEastAsia"/>
          <w:bCs/>
          <w:snapToGrid w:val="0"/>
          <w:color w:val="auto"/>
          <w:kern w:val="0"/>
          <w:highlight w:val="none"/>
        </w:rPr>
        <w:t>投标人对评标结果、中标候选人投标文件、评标过程有异议的，必须在以上内容公示期间向招标人提出书面异议，否则招标人不予受理。经招标人书面答复，异议人仍不满意的，可在法律规定的时限内向行政监督部门提出书面投诉。异议（投诉）提出、处理的具体办法和要求，按照《韶关市工程建设项目招标投标活动异议和投诉处理办法》（韶法审〔202</w:t>
      </w:r>
      <w:r>
        <w:rPr>
          <w:rFonts w:hint="eastAsia" w:asciiTheme="minorEastAsia" w:hAnsiTheme="minorEastAsia" w:eastAsiaTheme="minorEastAsia" w:cstheme="minorEastAsia"/>
          <w:bCs/>
          <w:snapToGrid w:val="0"/>
          <w:color w:val="auto"/>
          <w:kern w:val="0"/>
          <w:highlight w:val="none"/>
          <w:lang w:val="en-US" w:eastAsia="zh-CN"/>
        </w:rPr>
        <w:t>1</w:t>
      </w:r>
      <w:r>
        <w:rPr>
          <w:rFonts w:hint="eastAsia" w:asciiTheme="minorEastAsia" w:hAnsiTheme="minorEastAsia" w:eastAsiaTheme="minorEastAsia" w:cstheme="minorEastAsia"/>
          <w:bCs/>
          <w:snapToGrid w:val="0"/>
          <w:color w:val="auto"/>
          <w:kern w:val="0"/>
          <w:highlight w:val="none"/>
        </w:rPr>
        <w:t>〕</w:t>
      </w:r>
      <w:r>
        <w:rPr>
          <w:rFonts w:hint="eastAsia" w:asciiTheme="minorEastAsia" w:hAnsiTheme="minorEastAsia" w:eastAsiaTheme="minorEastAsia" w:cstheme="minorEastAsia"/>
          <w:bCs/>
          <w:snapToGrid w:val="0"/>
          <w:color w:val="auto"/>
          <w:kern w:val="0"/>
          <w:highlight w:val="none"/>
          <w:lang w:val="en-US" w:eastAsia="zh-CN"/>
        </w:rPr>
        <w:t>44</w:t>
      </w:r>
      <w:r>
        <w:rPr>
          <w:rFonts w:hint="eastAsia" w:asciiTheme="minorEastAsia" w:hAnsiTheme="minorEastAsia" w:eastAsiaTheme="minorEastAsia" w:cstheme="minorEastAsia"/>
          <w:bCs/>
          <w:snapToGrid w:val="0"/>
          <w:color w:val="auto"/>
          <w:kern w:val="0"/>
          <w:highlight w:val="none"/>
        </w:rPr>
        <w:t>号）执行。</w:t>
      </w:r>
    </w:p>
    <w:p w14:paraId="152F5B78">
      <w:pPr>
        <w:pStyle w:val="27"/>
        <w:spacing w:line="400" w:lineRule="exact"/>
        <w:ind w:firstLine="480" w:firstLineChars="200"/>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bCs/>
          <w:snapToGrid w:val="0"/>
          <w:color w:val="auto"/>
          <w:kern w:val="0"/>
          <w:highlight w:val="none"/>
        </w:rPr>
        <w:t>15.5.3 中标候选人公示期满无异议（投诉）后，招标人确定第一中标候选人为中标人，并在中标人确定之日起7日内向中标人发出中标通知书。在中标通知书发出后5个工作日内，韶关市公共资源交易中心将投标保证金退还给中标候选人以外的投标人。</w:t>
      </w:r>
    </w:p>
    <w:p w14:paraId="504E117F">
      <w:pPr>
        <w:wordWrap w:val="0"/>
        <w:adjustRightInd w:val="0"/>
        <w:snapToGrid w:val="0"/>
        <w:spacing w:line="440" w:lineRule="exact"/>
        <w:rPr>
          <w:rFonts w:hint="eastAsia" w:asciiTheme="minorEastAsia" w:hAnsiTheme="minorEastAsia" w:eastAsiaTheme="minorEastAsia" w:cstheme="minorEastAsia"/>
          <w:snapToGrid w:val="0"/>
          <w:color w:val="auto"/>
          <w:kern w:val="0"/>
          <w:highlight w:val="none"/>
        </w:rPr>
      </w:pPr>
      <w:bookmarkStart w:id="242" w:name="_Hlt112206772"/>
      <w:bookmarkEnd w:id="242"/>
      <w:bookmarkStart w:id="243" w:name="_Hlt69669771"/>
      <w:bookmarkEnd w:id="243"/>
      <w:bookmarkStart w:id="244" w:name="_Toc21045"/>
      <w:bookmarkStart w:id="245" w:name="_Toc13416"/>
      <w:bookmarkStart w:id="246" w:name="_Toc16203"/>
      <w:bookmarkStart w:id="247" w:name="_Toc24184"/>
      <w:bookmarkStart w:id="248" w:name="_Toc16649"/>
      <w:bookmarkStart w:id="249" w:name="_Toc9083"/>
      <w:bookmarkStart w:id="250" w:name="_Hlt69698713"/>
      <w:bookmarkStart w:id="251" w:name="_Toc11519"/>
      <w:bookmarkStart w:id="252" w:name="_Hlt69698765"/>
      <w:bookmarkStart w:id="253" w:name="_Toc16300"/>
      <w:r>
        <w:rPr>
          <w:rFonts w:hint="eastAsia" w:asciiTheme="minorEastAsia" w:hAnsiTheme="minorEastAsia" w:eastAsiaTheme="minorEastAsia" w:cstheme="minorEastAsia"/>
          <w:b/>
          <w:bCs/>
          <w:snapToGrid w:val="0"/>
          <w:color w:val="auto"/>
          <w:kern w:val="0"/>
          <w:szCs w:val="24"/>
          <w:highlight w:val="none"/>
        </w:rPr>
        <w:t>第四节 否决投标条件</w:t>
      </w:r>
    </w:p>
    <w:p w14:paraId="7179118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本节所集中列示的否决投标条件，是本章第三节“投标人须知正文”的组成部分，是对本章第三节所规定的否决投标条件的总结和补充。投标人未有列入本节情形的，评标时一律不得否决其投标。本节所称“规定”均指招标文件的规定。</w:t>
      </w:r>
    </w:p>
    <w:p w14:paraId="5AB488CE">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bookmarkStart w:id="254" w:name="_Toc25868"/>
      <w:r>
        <w:rPr>
          <w:rFonts w:hint="eastAsia" w:asciiTheme="minorEastAsia" w:hAnsiTheme="minorEastAsia" w:eastAsiaTheme="minorEastAsia" w:cstheme="minorEastAsia"/>
          <w:b/>
          <w:bCs/>
          <w:snapToGrid w:val="0"/>
          <w:color w:val="auto"/>
          <w:kern w:val="0"/>
          <w:szCs w:val="24"/>
          <w:highlight w:val="none"/>
        </w:rPr>
        <w:t>1．资格评审环节</w:t>
      </w:r>
      <w:bookmarkEnd w:id="254"/>
    </w:p>
    <w:p w14:paraId="5993AF1E">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投标人有下列情形之一的，评标委员会应否决其投标。被否决的投标人，不进入形式评审环节。</w:t>
      </w:r>
    </w:p>
    <w:p w14:paraId="241AD55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（1）有本章第三节第4.4条“禁止投标条款”规定的任何一种情形；</w:t>
      </w:r>
    </w:p>
    <w:p w14:paraId="010BF21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（2）投标人资质不符合规定的；</w:t>
      </w:r>
    </w:p>
    <w:p w14:paraId="2AE734D9">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投标人名称与营业执照、资质证书、安全生产许可证上的企业名称相互不一致的；其资质证书、安全生产许可证不是由住房城乡建设主管部门颁发的；营业执照、资质证书、安全生产许可证被吊销、暂扣或不在有效期内的；</w:t>
      </w:r>
    </w:p>
    <w:p w14:paraId="34C63990">
      <w:pPr>
        <w:wordWrap w:val="0"/>
        <w:adjustRightInd w:val="0"/>
        <w:snapToGrid w:val="0"/>
        <w:spacing w:line="440" w:lineRule="exact"/>
        <w:ind w:firstLine="723" w:firstLineChars="3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企业资质证书、安全生产许可证的企业名称未完成变更的，不得否决其投标；投标人营业执照、资质证书、安全生产许可证之间登记的信息不一致，应当允许投标人澄清，不得直接否决其投标。</w:t>
      </w:r>
    </w:p>
    <w:p w14:paraId="112A6DE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根据有关文件精神，投标人的企业相关证书到期的，均按该证书的发证机构相关行政主管部门最新文件执行（如自动顺延或推迟办理延期业务的通知等）投标人须提供相关证明材料附在该证书后面，证明在开标日继续有效的。</w:t>
      </w:r>
    </w:p>
    <w:p w14:paraId="080DB10A">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（4）拟派项目经理、项目技术负责人、专职安全员、设计负责人的条件不符合规定的；拟派专职安全员数量不符合规定的；</w:t>
      </w:r>
    </w:p>
    <w:p w14:paraId="6378F2A9">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项目经理简历表》中拟派项目经理与《开标一览表》不一致的；建造师的注册证书不是住建部门颁发的；建造师的注册单位与投标人不一致的；项目管理班子组成人员的各类证书、证件、证明不在有效期内的（建造师注册证书不在使用有效期内的）；擅自修改、遗漏《项目经理任职声明》实质性内容的；</w:t>
      </w:r>
    </w:p>
    <w:p w14:paraId="39C217E0">
      <w:pPr>
        <w:wordWrap w:val="0"/>
        <w:adjustRightInd w:val="0"/>
        <w:snapToGrid w:val="0"/>
        <w:spacing w:line="440" w:lineRule="exact"/>
        <w:ind w:firstLine="723" w:firstLineChars="300"/>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bCs/>
          <w:snapToGrid w:val="0"/>
          <w:color w:val="auto"/>
          <w:kern w:val="0"/>
          <w:szCs w:val="24"/>
          <w:highlight w:val="none"/>
        </w:rPr>
        <w:t>注：投标人已经工商变更，但其员工执业资格注册证书的注册单位名称未完成变更的，不得否决其投标。</w:t>
      </w:r>
    </w:p>
    <w:p w14:paraId="2D43A1C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（6）联合体投标，未提交《联合体协议书》的；擅自修改、遗漏《联合体协议书》实质性内容的；联合体成员的数量、资质不符合规定的；联合体成员同时以自己名义单独投标或者参加其他联合体投标的；</w:t>
      </w:r>
    </w:p>
    <w:p w14:paraId="2A1522A2">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（7）投标人为外省建筑企业，但未提供“进粤企业和人员诚信信息登记平台”企业和拟派人员信息情况打印页或网页截图的。</w:t>
      </w:r>
    </w:p>
    <w:p w14:paraId="0B9990BD">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bookmarkStart w:id="255" w:name="_Toc16862"/>
      <w:r>
        <w:rPr>
          <w:rFonts w:hint="eastAsia" w:asciiTheme="minorEastAsia" w:hAnsiTheme="minorEastAsia" w:eastAsiaTheme="minorEastAsia" w:cstheme="minorEastAsia"/>
          <w:b/>
          <w:bCs/>
          <w:snapToGrid w:val="0"/>
          <w:color w:val="auto"/>
          <w:kern w:val="0"/>
          <w:szCs w:val="24"/>
          <w:highlight w:val="none"/>
        </w:rPr>
        <w:t>2．形式评审环节</w:t>
      </w:r>
      <w:bookmarkEnd w:id="255"/>
    </w:p>
    <w:p w14:paraId="4313C25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投标人有下列情形之一的，评标委员会应否决其投标。被否决的投标人，不进入响应性评审环节。</w:t>
      </w:r>
    </w:p>
    <w:p w14:paraId="3BBF3F8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8</w:t>
      </w:r>
      <w:r>
        <w:rPr>
          <w:rFonts w:hint="eastAsia" w:asciiTheme="minorEastAsia" w:hAnsiTheme="minorEastAsia" w:eastAsiaTheme="minorEastAsia" w:cstheme="minorEastAsia"/>
          <w:snapToGrid w:val="0"/>
          <w:color w:val="auto"/>
          <w:kern w:val="0"/>
          <w:szCs w:val="24"/>
          <w:highlight w:val="none"/>
        </w:rPr>
        <w:t>）本章第三节第11.2.2目中规定的“所有投标人均应提供”的组成内容（包括该组成内容的所附资料）中，任何一项有缺漏的；</w:t>
      </w:r>
    </w:p>
    <w:p w14:paraId="7DD6561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9</w:t>
      </w:r>
      <w:r>
        <w:rPr>
          <w:rFonts w:hint="eastAsia" w:asciiTheme="minorEastAsia" w:hAnsiTheme="minorEastAsia" w:eastAsiaTheme="minorEastAsia" w:cstheme="minorEastAsia"/>
          <w:snapToGrid w:val="0"/>
          <w:color w:val="auto"/>
          <w:kern w:val="0"/>
          <w:szCs w:val="24"/>
          <w:highlight w:val="none"/>
        </w:rPr>
        <w:t>）关键字迹模糊、无法辨认，且该种过错将导致评标委员会无法判断投标文件是否响应招标文件实质性要求的；出现手工涂改、行间插字或删除，但未加盖单位章或由投标人的法定代表人或其委托代理人签字确认的；</w:t>
      </w:r>
    </w:p>
    <w:p w14:paraId="006FFB09">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0</w:t>
      </w:r>
      <w:r>
        <w:rPr>
          <w:rFonts w:hint="eastAsia" w:asciiTheme="minorEastAsia" w:hAnsiTheme="minorEastAsia" w:eastAsiaTheme="minorEastAsia" w:cstheme="minorEastAsia"/>
          <w:snapToGrid w:val="0"/>
          <w:color w:val="auto"/>
          <w:kern w:val="0"/>
          <w:szCs w:val="24"/>
          <w:highlight w:val="none"/>
        </w:rPr>
        <w:t>）投标文件未按规定签字、盖章的；</w:t>
      </w:r>
    </w:p>
    <w:p w14:paraId="6018E7D6">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bookmarkStart w:id="256" w:name="_Toc11607"/>
      <w:r>
        <w:rPr>
          <w:rFonts w:hint="eastAsia" w:asciiTheme="minorEastAsia" w:hAnsiTheme="minorEastAsia" w:eastAsiaTheme="minorEastAsia" w:cstheme="minorEastAsia"/>
          <w:b/>
          <w:bCs/>
          <w:snapToGrid w:val="0"/>
          <w:color w:val="auto"/>
          <w:kern w:val="0"/>
          <w:szCs w:val="24"/>
          <w:highlight w:val="none"/>
        </w:rPr>
        <w:t>3．响应性评审环节</w:t>
      </w:r>
      <w:bookmarkEnd w:id="256"/>
    </w:p>
    <w:p w14:paraId="150F0B9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投标人有下列情形之一的，评标委员会应否决其投标。被否决的投标人，不进入详细评审阶段。</w:t>
      </w:r>
    </w:p>
    <w:p w14:paraId="3A8C0863">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1</w:t>
      </w:r>
      <w:r>
        <w:rPr>
          <w:rFonts w:hint="eastAsia" w:asciiTheme="minorEastAsia" w:hAnsiTheme="minorEastAsia" w:eastAsiaTheme="minorEastAsia" w:cstheme="minorEastAsia"/>
          <w:snapToGrid w:val="0"/>
          <w:color w:val="auto"/>
          <w:kern w:val="0"/>
          <w:szCs w:val="24"/>
          <w:highlight w:val="none"/>
        </w:rPr>
        <w:t>）承诺的投标有效期短于规定的；工期超出规定的；擅自修改、遗漏《投标函》《各项承诺一览表》实质性内容的；</w:t>
      </w:r>
    </w:p>
    <w:p w14:paraId="1DD47615">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r>
        <w:rPr>
          <w:rFonts w:hint="eastAsia" w:asciiTheme="minorEastAsia" w:hAnsiTheme="minorEastAsia" w:eastAsiaTheme="minorEastAsia" w:cstheme="minorEastAsia"/>
          <w:snapToGrid w:val="0"/>
          <w:color w:val="auto"/>
          <w:kern w:val="0"/>
          <w:szCs w:val="24"/>
          <w:highlight w:val="none"/>
          <w:lang w:val="en-US" w:eastAsia="zh-CN"/>
        </w:rPr>
        <w:t>2</w:t>
      </w:r>
      <w:r>
        <w:rPr>
          <w:rFonts w:hint="eastAsia" w:asciiTheme="minorEastAsia" w:hAnsiTheme="minorEastAsia" w:eastAsiaTheme="minorEastAsia" w:cstheme="minorEastAsia"/>
          <w:snapToGrid w:val="0"/>
          <w:color w:val="auto"/>
          <w:kern w:val="0"/>
          <w:szCs w:val="24"/>
          <w:highlight w:val="none"/>
        </w:rPr>
        <w:t>）两个或两个以上投标总价的（同一个投标总价大、小写不一致的除外）；投标总价超出出现最高投标限价的；投标总价下浮率超过15%，又未提供相应书面说明和佐证材料或提供的书面说明和佐证材料不能令人信服，被评标委员会认定以低于成本报价竞标的；</w:t>
      </w:r>
    </w:p>
    <w:p w14:paraId="41530E87">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bookmarkStart w:id="257" w:name="_Toc29578"/>
      <w:r>
        <w:rPr>
          <w:rFonts w:hint="eastAsia" w:asciiTheme="minorEastAsia" w:hAnsiTheme="minorEastAsia" w:eastAsiaTheme="minorEastAsia" w:cstheme="minorEastAsia"/>
          <w:b/>
          <w:bCs/>
          <w:snapToGrid w:val="0"/>
          <w:color w:val="auto"/>
          <w:kern w:val="0"/>
          <w:szCs w:val="24"/>
          <w:highlight w:val="none"/>
        </w:rPr>
        <w:t>4．其他</w:t>
      </w:r>
      <w:bookmarkEnd w:id="257"/>
    </w:p>
    <w:p w14:paraId="5A518CB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在任何评标环节（或阶段），投标人有下列情形之一的，评标委员会应否决其投标。被否决的投标人，不进入下一环节（或阶段）。</w:t>
      </w:r>
    </w:p>
    <w:p w14:paraId="4B2D9CD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（14）不按评标委员会要求澄清、说明或补正的；</w:t>
      </w:r>
    </w:p>
    <w:p w14:paraId="2E55689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（15）有下列情形之一，被评标委员会认定属于串通投标的：</w:t>
      </w:r>
    </w:p>
    <w:p w14:paraId="750963F5">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①不同投标人的投标文件两处以上（含两处）错、漏一致；</w:t>
      </w:r>
    </w:p>
    <w:p w14:paraId="53C86A25">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②不同投标人的投标总价相近且各分项报价、综合单价分析表内容混乱不能相互对应、乱调乱压或乱抬的，而在询标时没有合理的解释或者不能提供计算依据和报价依据；</w:t>
      </w:r>
    </w:p>
    <w:p w14:paraId="17D8ECEA">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③不同投标人的投标各项报价存在异常一致或者呈规律性变化；</w:t>
      </w:r>
    </w:p>
    <w:p w14:paraId="2E64F0A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④不同投标人的投标文件由同一单位或者同一个人编制；</w:t>
      </w:r>
    </w:p>
    <w:p w14:paraId="18B9B85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⑤不同投标人的投标文件中投标资料（包括电子资料）相互混装或项目班子成员出现同一人；</w:t>
      </w:r>
    </w:p>
    <w:p w14:paraId="4046BC73">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⑥不同投标人的投标文件由同一电脑编制或同一台附属设备打印，或投标报价用同一个预算编制软件密码锁制作或出自同一电子文档；</w:t>
      </w:r>
    </w:p>
    <w:p w14:paraId="5D4A487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⑦不同投标人的投标保证由同一企业或同一账户资金缴纳；</w:t>
      </w:r>
    </w:p>
    <w:p w14:paraId="32C8818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sectPr>
          <w:footerReference r:id="rId7" w:type="default"/>
          <w:endnotePr>
            <w:numFmt w:val="decimal"/>
          </w:endnotePr>
          <w:pgSz w:w="11906" w:h="16838"/>
          <w:pgMar w:top="1701" w:right="1531" w:bottom="1417" w:left="1531" w:header="850" w:footer="992" w:gutter="0"/>
          <w:pgNumType w:fmt="decimal" w:start="1"/>
          <w:cols w:space="720" w:num="1"/>
          <w:docGrid w:linePitch="327" w:charSpace="0"/>
        </w:sectPr>
      </w:pPr>
      <w:r>
        <w:rPr>
          <w:rFonts w:hint="eastAsia" w:asciiTheme="minorEastAsia" w:hAnsiTheme="minorEastAsia" w:eastAsiaTheme="minorEastAsia" w:cstheme="minorEastAsia"/>
          <w:snapToGrid w:val="0"/>
          <w:color w:val="auto"/>
          <w:kern w:val="0"/>
          <w:szCs w:val="24"/>
          <w:highlight w:val="none"/>
        </w:rPr>
        <w:t>⑧不同投标人委托同一个人或注册在同一家企业的注册人员或同一家企业为其投标提供投标咨询、商务报价、技术咨询（招标工程本身要求采用专有技术的除外）等服务。</w:t>
      </w:r>
    </w:p>
    <w:bookmarkEnd w:id="1"/>
    <w:bookmarkEnd w:id="244"/>
    <w:bookmarkEnd w:id="245"/>
    <w:bookmarkEnd w:id="246"/>
    <w:bookmarkEnd w:id="247"/>
    <w:bookmarkEnd w:id="248"/>
    <w:bookmarkEnd w:id="249"/>
    <w:bookmarkEnd w:id="250"/>
    <w:bookmarkEnd w:id="251"/>
    <w:bookmarkEnd w:id="252"/>
    <w:bookmarkEnd w:id="253"/>
    <w:p w14:paraId="588F51D2">
      <w:pPr>
        <w:wordWrap w:val="0"/>
        <w:adjustRightInd w:val="0"/>
        <w:snapToGrid w:val="0"/>
        <w:spacing w:line="440" w:lineRule="exact"/>
        <w:jc w:val="center"/>
        <w:outlineLvl w:val="0"/>
        <w:rPr>
          <w:rFonts w:hint="eastAsia" w:asciiTheme="minorEastAsia" w:hAnsiTheme="minorEastAsia" w:eastAsiaTheme="minorEastAsia" w:cstheme="minorEastAsia"/>
          <w:b/>
          <w:color w:val="auto"/>
          <w:kern w:val="44"/>
          <w:sz w:val="36"/>
          <w:szCs w:val="36"/>
          <w:highlight w:val="none"/>
          <w:lang w:val="en-US" w:eastAsia="zh-CN" w:bidi="ar-SA"/>
        </w:rPr>
      </w:pPr>
      <w:bookmarkStart w:id="258" w:name="_Toc10409"/>
      <w:bookmarkStart w:id="259" w:name="_Toc23993"/>
      <w:bookmarkStart w:id="260" w:name="_Toc466640610"/>
      <w:r>
        <w:rPr>
          <w:rFonts w:hint="eastAsia" w:asciiTheme="minorEastAsia" w:hAnsiTheme="minorEastAsia" w:eastAsiaTheme="minorEastAsia" w:cstheme="minorEastAsia"/>
          <w:b/>
          <w:color w:val="auto"/>
          <w:kern w:val="44"/>
          <w:sz w:val="36"/>
          <w:szCs w:val="36"/>
          <w:highlight w:val="none"/>
          <w:lang w:val="en-US" w:eastAsia="zh-CN" w:bidi="ar-SA"/>
        </w:rPr>
        <w:t>第二章 中标人须知</w:t>
      </w:r>
      <w:bookmarkEnd w:id="258"/>
      <w:bookmarkEnd w:id="259"/>
    </w:p>
    <w:p w14:paraId="4F6548C0">
      <w:pPr>
        <w:wordWrap w:val="0"/>
        <w:adjustRightInd w:val="0"/>
        <w:snapToGrid w:val="0"/>
        <w:spacing w:line="440" w:lineRule="exact"/>
        <w:ind w:firstLine="562"/>
        <w:rPr>
          <w:rFonts w:hint="eastAsia" w:ascii="宋体" w:hAnsi="宋体" w:eastAsia="宋体" w:cs="宋体"/>
          <w:b/>
          <w:snapToGrid w:val="0"/>
          <w:color w:val="auto"/>
          <w:kern w:val="0"/>
          <w:sz w:val="24"/>
          <w:szCs w:val="24"/>
          <w:highlight w:val="none"/>
        </w:rPr>
      </w:pPr>
    </w:p>
    <w:p w14:paraId="3D552F43">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1．中标通知书</w:t>
      </w:r>
    </w:p>
    <w:p w14:paraId="6DAF36F7">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招标人确定第一中标候选人为中标人，并在中标人确定之日起7日内向中标人发出中标通知书，中标人必须按韶关市公共资源交易中心的规定办理相关手续后方可领取。中标通知书对招标人和中标人均具有法律约束力。中标通知书发出后，招标人改变中标结果和中标人放弃中标的，应当承担法律责任。</w:t>
      </w:r>
    </w:p>
    <w:p w14:paraId="0CC1E090">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p>
    <w:p w14:paraId="771B2A45">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2．中标结果公示</w:t>
      </w:r>
    </w:p>
    <w:p w14:paraId="545EFA14">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中标通知书发出后15日内，招标人应将中标结果在广东省招标投标监管网（</w:t>
      </w:r>
      <w:r>
        <w:rPr>
          <w:rFonts w:hint="eastAsia" w:ascii="宋体" w:hAnsi="宋体" w:eastAsia="宋体" w:cs="宋体"/>
          <w:snapToGrid w:val="0"/>
          <w:color w:val="auto"/>
          <w:kern w:val="0"/>
          <w:sz w:val="24"/>
          <w:szCs w:val="24"/>
          <w:highlight w:val="none"/>
          <w:lang w:eastAsia="zh-CN"/>
        </w:rPr>
        <w:t>https://www.gdzwfw.gov.cn/ztbjg-portal/#/index</w:t>
      </w:r>
      <w:r>
        <w:rPr>
          <w:rFonts w:hint="eastAsia" w:ascii="宋体" w:hAnsi="宋体" w:eastAsia="宋体" w:cs="宋体"/>
          <w:snapToGrid w:val="0"/>
          <w:color w:val="auto"/>
          <w:kern w:val="0"/>
          <w:sz w:val="24"/>
          <w:szCs w:val="24"/>
          <w:highlight w:val="none"/>
        </w:rPr>
        <w:t>）、广东省公共资源交易平台（韶关市）（https://ygp.gdzwfw.gov.cn/ggzy-portal/#/440200/index）及</w:t>
      </w:r>
      <w:r>
        <w:rPr>
          <w:rFonts w:hint="eastAsia" w:ascii="宋体" w:hAnsi="宋体" w:eastAsia="宋体" w:cs="宋体"/>
          <w:snapToGrid w:val="0"/>
          <w:color w:val="auto"/>
          <w:kern w:val="0"/>
          <w:sz w:val="24"/>
          <w:szCs w:val="24"/>
          <w:highlight w:val="none"/>
          <w:lang w:eastAsia="zh-CN"/>
        </w:rPr>
        <w:t>全国公共资源交易平台（广东省·韶关市）（https://ygp.gdzwfw.gov.cn/ggzy-portal/#/440200/index）</w:t>
      </w:r>
      <w:r>
        <w:rPr>
          <w:rFonts w:hint="eastAsia" w:ascii="宋体" w:hAnsi="宋体" w:eastAsia="宋体" w:cs="宋体"/>
          <w:snapToGrid w:val="0"/>
          <w:color w:val="auto"/>
          <w:kern w:val="0"/>
          <w:sz w:val="24"/>
          <w:szCs w:val="24"/>
          <w:highlight w:val="none"/>
        </w:rPr>
        <w:t>进行公示。</w:t>
      </w:r>
    </w:p>
    <w:p w14:paraId="22EE7F0B">
      <w:pPr>
        <w:wordWrap w:val="0"/>
        <w:adjustRightInd w:val="0"/>
        <w:snapToGrid w:val="0"/>
        <w:spacing w:line="440" w:lineRule="exact"/>
        <w:ind w:firstLine="562"/>
        <w:rPr>
          <w:rFonts w:hint="eastAsia" w:ascii="宋体" w:hAnsi="宋体" w:eastAsia="宋体" w:cs="宋体"/>
          <w:snapToGrid w:val="0"/>
          <w:color w:val="auto"/>
          <w:kern w:val="0"/>
          <w:sz w:val="24"/>
          <w:szCs w:val="24"/>
          <w:highlight w:val="none"/>
        </w:rPr>
      </w:pPr>
    </w:p>
    <w:p w14:paraId="5ABD6FEF">
      <w:pPr>
        <w:wordWrap w:val="0"/>
        <w:adjustRightInd w:val="0"/>
        <w:snapToGrid w:val="0"/>
        <w:spacing w:line="440" w:lineRule="exact"/>
        <w:ind w:firstLine="562"/>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3．履约保证</w:t>
      </w:r>
    </w:p>
    <w:p w14:paraId="4ACC3F67">
      <w:pPr>
        <w:wordWrap w:val="0"/>
        <w:adjustRightInd w:val="0"/>
        <w:snapToGrid w:val="0"/>
        <w:spacing w:line="440" w:lineRule="exact"/>
        <w:ind w:left="0" w:leftChars="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3.1</w:t>
      </w:r>
      <w:r>
        <w:rPr>
          <w:rFonts w:hint="eastAsia" w:ascii="宋体" w:hAnsi="宋体" w:eastAsia="宋体" w:cs="宋体"/>
          <w:snapToGrid w:val="0"/>
          <w:color w:val="auto"/>
          <w:kern w:val="0"/>
          <w:sz w:val="24"/>
          <w:szCs w:val="24"/>
          <w:highlight w:val="none"/>
        </w:rPr>
        <w:t xml:space="preserve"> 中标人须在领取中标通知书之日起</w:t>
      </w:r>
      <w:r>
        <w:rPr>
          <w:rFonts w:hint="eastAsia" w:ascii="宋体" w:hAnsi="宋体" w:eastAsia="宋体" w:cs="宋体"/>
          <w:snapToGrid w:val="0"/>
          <w:color w:val="auto"/>
          <w:kern w:val="0"/>
          <w:sz w:val="24"/>
          <w:szCs w:val="24"/>
          <w:highlight w:val="none"/>
          <w:u w:val="single"/>
        </w:rPr>
        <w:t>10</w:t>
      </w:r>
      <w:r>
        <w:rPr>
          <w:rFonts w:hint="eastAsia" w:ascii="宋体" w:hAnsi="宋体" w:eastAsia="宋体" w:cs="宋体"/>
          <w:snapToGrid w:val="0"/>
          <w:color w:val="auto"/>
          <w:kern w:val="0"/>
          <w:sz w:val="24"/>
          <w:szCs w:val="24"/>
          <w:highlight w:val="none"/>
        </w:rPr>
        <w:t>个工作日内、签订合同前向招标人提交金额为中标价</w:t>
      </w:r>
      <w:r>
        <w:rPr>
          <w:rFonts w:hint="eastAsia" w:ascii="宋体"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rPr>
        <w:t>% 的履约保证</w:t>
      </w:r>
      <w:r>
        <w:rPr>
          <w:rFonts w:hint="eastAsia" w:hAnsi="宋体" w:eastAsia="宋体" w:cs="宋体"/>
          <w:snapToGrid w:val="0"/>
          <w:color w:val="auto"/>
          <w:kern w:val="0"/>
          <w:sz w:val="24"/>
          <w:szCs w:val="24"/>
          <w:highlight w:val="none"/>
          <w:lang w:eastAsia="zh-CN"/>
        </w:rPr>
        <w:t>，招标人同时向中标人提供工程款支付担保</w:t>
      </w:r>
      <w:r>
        <w:rPr>
          <w:rFonts w:hint="eastAsia" w:ascii="宋体" w:hAnsi="宋体" w:eastAsia="宋体" w:cs="宋体"/>
          <w:snapToGrid w:val="0"/>
          <w:color w:val="auto"/>
          <w:kern w:val="0"/>
          <w:sz w:val="24"/>
          <w:szCs w:val="24"/>
          <w:highlight w:val="none"/>
        </w:rPr>
        <w:t>。联合体投标的，由联合体牵头人缴纳。</w:t>
      </w:r>
    </w:p>
    <w:p w14:paraId="2F7BB094">
      <w:pPr>
        <w:wordWrap w:val="0"/>
        <w:adjustRightInd w:val="0"/>
        <w:snapToGrid w:val="0"/>
        <w:spacing w:line="440" w:lineRule="exact"/>
        <w:ind w:left="0" w:leftChars="0"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3.2</w:t>
      </w:r>
      <w:r>
        <w:rPr>
          <w:rFonts w:hint="eastAsia" w:ascii="宋体" w:hAnsi="宋体" w:eastAsia="宋体" w:cs="宋体"/>
          <w:snapToGrid w:val="0"/>
          <w:color w:val="auto"/>
          <w:kern w:val="0"/>
          <w:sz w:val="24"/>
          <w:szCs w:val="24"/>
          <w:highlight w:val="none"/>
        </w:rPr>
        <w:t xml:space="preserve"> 履约保证的形式包括履约保证金、履约保证担保、履约保证保险三种，由中标人自主选择。</w:t>
      </w:r>
    </w:p>
    <w:p w14:paraId="763F8F6A">
      <w:pPr>
        <w:wordWrap w:val="0"/>
        <w:adjustRightInd w:val="0"/>
        <w:snapToGrid w:val="0"/>
        <w:spacing w:line="440" w:lineRule="exact"/>
        <w:ind w:left="0" w:leftChars="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（1）采用履约保证金的，中标人须从其法人开户银行的账号将履约保证金划至招标人账户，并详细注明项目名称及用途。</w:t>
      </w:r>
    </w:p>
    <w:p w14:paraId="7EED9968">
      <w:pPr>
        <w:wordWrap w:val="0"/>
        <w:adjustRightInd w:val="0"/>
        <w:snapToGrid w:val="0"/>
        <w:spacing w:line="440" w:lineRule="exact"/>
        <w:ind w:left="0" w:leftChars="0"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采用履约保证担保或履约保证保险的，中标人应提交有效的银行保函或保险合同（或保险单）原件，银行保函或保险合同（或保险单）的有效期应当自合同生效之日起至项目通过竣工验收之日后28天止。如果中标人无法获得具体截止日期，银行保函或保险合同（或保险单）中应当有“变更工程竣工日期的，保证期间按照变更后的竣工日期做相应调整”或类似约定的条款。</w:t>
      </w:r>
    </w:p>
    <w:p w14:paraId="12EB34B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lang w:eastAsia="zh-CN"/>
        </w:rPr>
      </w:pPr>
      <w:r>
        <w:rPr>
          <w:rFonts w:hint="eastAsia" w:ascii="宋体" w:hAnsi="宋体" w:eastAsia="宋体" w:cs="宋体"/>
          <w:b/>
          <w:bCs/>
          <w:snapToGrid w:val="0"/>
          <w:color w:val="auto"/>
          <w:kern w:val="0"/>
          <w:sz w:val="24"/>
          <w:szCs w:val="24"/>
          <w:highlight w:val="none"/>
        </w:rPr>
        <w:t>3.3</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lang w:val="en-US" w:eastAsia="zh-CN"/>
        </w:rPr>
        <w:t>中标人在领取中标通知书之日起10个工作日内仍未提交履约保证的，招标人发出第一次提醒函；在领取中标通知书之日起15个工作日内仍未提交的，招标人发出第二次提醒函；在领取中标通知书之日起20个工作日内仍未提交的，视其放弃中标。</w:t>
      </w:r>
      <w:r>
        <w:rPr>
          <w:rFonts w:hint="eastAsia" w:ascii="宋体" w:hAnsi="宋体" w:eastAsia="宋体" w:cs="宋体"/>
          <w:snapToGrid w:val="0"/>
          <w:color w:val="auto"/>
          <w:kern w:val="0"/>
          <w:sz w:val="24"/>
          <w:szCs w:val="24"/>
          <w:highlight w:val="none"/>
        </w:rPr>
        <w:t>并由招标人通报建设行政管理部门。如采用</w:t>
      </w:r>
      <w:r>
        <w:rPr>
          <w:rFonts w:hint="eastAsia" w:ascii="宋体" w:hAnsi="宋体" w:eastAsia="宋体" w:cs="宋体"/>
          <w:snapToGrid w:val="0"/>
          <w:color w:val="auto"/>
          <w:kern w:val="0"/>
          <w:sz w:val="24"/>
          <w:szCs w:val="24"/>
          <w:highlight w:val="none"/>
          <w:lang w:eastAsia="zh-CN"/>
        </w:rPr>
        <w:t>商业保函、银行保函或保险合同</w:t>
      </w:r>
      <w:r>
        <w:rPr>
          <w:rFonts w:hint="eastAsia" w:ascii="宋体" w:hAnsi="宋体" w:eastAsia="宋体" w:cs="宋体"/>
          <w:snapToGrid w:val="0"/>
          <w:color w:val="auto"/>
          <w:kern w:val="0"/>
          <w:sz w:val="24"/>
          <w:szCs w:val="24"/>
          <w:highlight w:val="none"/>
        </w:rPr>
        <w:t>方式缴纳履约保证金，在保函或保险合同到期前一个月，中标人须主动办理续期手续或提交新的</w:t>
      </w:r>
      <w:r>
        <w:rPr>
          <w:rFonts w:hint="eastAsia" w:ascii="宋体" w:hAnsi="宋体" w:eastAsia="宋体" w:cs="宋体"/>
          <w:snapToGrid w:val="0"/>
          <w:color w:val="auto"/>
          <w:kern w:val="0"/>
          <w:sz w:val="24"/>
          <w:szCs w:val="24"/>
          <w:highlight w:val="none"/>
          <w:lang w:eastAsia="zh-CN"/>
        </w:rPr>
        <w:t>商业保函、银行保函或保险合同。</w:t>
      </w:r>
    </w:p>
    <w:p w14:paraId="75D32829">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4E7723A6">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3.4</w:t>
      </w:r>
      <w:r>
        <w:rPr>
          <w:rFonts w:hint="eastAsia" w:ascii="宋体" w:hAnsi="宋体" w:eastAsia="宋体" w:cs="宋体"/>
          <w:snapToGrid w:val="0"/>
          <w:color w:val="auto"/>
          <w:kern w:val="0"/>
          <w:sz w:val="24"/>
          <w:szCs w:val="24"/>
          <w:highlight w:val="none"/>
        </w:rPr>
        <w:t xml:space="preserve"> 在工程实施过程中，如果承包人（即招标阶段的中标人，下同）由于自身的资金、技术、质量、非不可抗力等原因给发包人（即招标阶段的招标人，下同）造成经济损失，扣除相应履约保证。</w:t>
      </w:r>
    </w:p>
    <w:p w14:paraId="7DF95F4F">
      <w:pPr>
        <w:wordWrap w:val="0"/>
        <w:adjustRightInd w:val="0"/>
        <w:snapToGrid w:val="0"/>
        <w:spacing w:line="440" w:lineRule="exact"/>
        <w:ind w:firstLine="56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3.5</w:t>
      </w:r>
      <w:r>
        <w:rPr>
          <w:rFonts w:hint="eastAsia" w:ascii="宋体" w:hAnsi="宋体" w:eastAsia="宋体" w:cs="宋体"/>
          <w:snapToGrid w:val="0"/>
          <w:color w:val="auto"/>
          <w:kern w:val="0"/>
          <w:sz w:val="24"/>
          <w:szCs w:val="24"/>
          <w:highlight w:val="none"/>
        </w:rPr>
        <w:t xml:space="preserve"> 项目通过竣工验收之日后28天内，发包人将履约保证退还给承包人。</w:t>
      </w:r>
    </w:p>
    <w:p w14:paraId="5E316317">
      <w:pPr>
        <w:wordWrap w:val="0"/>
        <w:adjustRightInd w:val="0"/>
        <w:snapToGrid w:val="0"/>
        <w:spacing w:line="440" w:lineRule="exact"/>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4．合同订立</w:t>
      </w:r>
    </w:p>
    <w:p w14:paraId="16634C02">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4.1</w:t>
      </w:r>
      <w:r>
        <w:rPr>
          <w:rFonts w:hint="eastAsia" w:ascii="宋体" w:hAnsi="宋体" w:eastAsia="宋体" w:cs="宋体"/>
          <w:snapToGrid w:val="0"/>
          <w:color w:val="auto"/>
          <w:kern w:val="0"/>
          <w:sz w:val="24"/>
          <w:szCs w:val="24"/>
          <w:highlight w:val="none"/>
        </w:rPr>
        <w:t xml:space="preserve"> 招标人应当自中标通知书发出之日起</w:t>
      </w:r>
      <w:r>
        <w:rPr>
          <w:rFonts w:hint="eastAsia" w:ascii="宋体" w:hAnsi="宋体" w:eastAsia="宋体" w:cs="宋体"/>
          <w:snapToGrid w:val="0"/>
          <w:color w:val="auto"/>
          <w:kern w:val="0"/>
          <w:sz w:val="24"/>
          <w:szCs w:val="24"/>
          <w:highlight w:val="none"/>
          <w:u w:val="single"/>
        </w:rPr>
        <w:t>30</w:t>
      </w:r>
      <w:r>
        <w:rPr>
          <w:rFonts w:hint="eastAsia" w:ascii="宋体" w:hAnsi="宋体" w:eastAsia="宋体" w:cs="宋体"/>
          <w:snapToGrid w:val="0"/>
          <w:color w:val="auto"/>
          <w:kern w:val="0"/>
          <w:sz w:val="24"/>
          <w:szCs w:val="24"/>
          <w:highlight w:val="none"/>
        </w:rPr>
        <w:t>日内，按照招标文件、中标人的投标文件与中标人订立书面合同。</w:t>
      </w:r>
    </w:p>
    <w:p w14:paraId="27A07709">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w:t>
      </w:r>
      <w:r>
        <w:rPr>
          <w:rFonts w:hint="eastAsia" w:ascii="宋体" w:hAnsi="宋体" w:eastAsia="宋体" w:cs="宋体"/>
          <w:snapToGrid w:val="0"/>
          <w:color w:val="auto"/>
          <w:kern w:val="0"/>
          <w:sz w:val="24"/>
          <w:szCs w:val="24"/>
          <w:highlight w:val="none"/>
        </w:rPr>
        <w:t xml:space="preserve"> 不正常报价的梳理和确认</w:t>
      </w:r>
    </w:p>
    <w:p w14:paraId="6F699B37">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4.2.1</w:t>
      </w: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b/>
          <w:bCs/>
          <w:snapToGrid w:val="0"/>
          <w:color w:val="auto"/>
          <w:kern w:val="0"/>
          <w:sz w:val="24"/>
          <w:szCs w:val="24"/>
          <w:highlight w:val="none"/>
        </w:rPr>
        <w:t>合同订立期间，招标人应对中标人的投标报价进行全面分析和整理，从而发现并提取其中可能存在的算术性错误、错漏项、不平衡报价等不正常报价，并修正其中的算术性错误。</w:t>
      </w:r>
      <w:r>
        <w:rPr>
          <w:rFonts w:hint="eastAsia" w:ascii="宋体" w:hAnsi="宋体" w:eastAsia="宋体" w:cs="宋体"/>
          <w:snapToGrid w:val="0"/>
          <w:color w:val="auto"/>
          <w:kern w:val="0"/>
          <w:sz w:val="24"/>
          <w:szCs w:val="24"/>
          <w:highlight w:val="none"/>
        </w:rPr>
        <w:t>招标人不具备以上能力的，可</w:t>
      </w:r>
      <w:r>
        <w:rPr>
          <w:rFonts w:hint="eastAsia" w:ascii="宋体" w:hAnsi="宋体" w:eastAsia="宋体" w:cs="宋体"/>
          <w:snapToGrid w:val="0"/>
          <w:color w:val="auto"/>
          <w:kern w:val="0"/>
          <w:sz w:val="24"/>
          <w:szCs w:val="24"/>
          <w:highlight w:val="none"/>
          <w:lang w:val="en-US" w:eastAsia="zh-CN"/>
        </w:rPr>
        <w:t>委托</w:t>
      </w:r>
      <w:r>
        <w:rPr>
          <w:rFonts w:hint="eastAsia" w:ascii="宋体" w:hAnsi="宋体" w:eastAsia="宋体" w:cs="宋体"/>
          <w:snapToGrid w:val="0"/>
          <w:color w:val="auto"/>
          <w:kern w:val="0"/>
          <w:sz w:val="24"/>
          <w:szCs w:val="24"/>
          <w:highlight w:val="none"/>
        </w:rPr>
        <w:t>造价咨询单位实施。</w:t>
      </w:r>
    </w:p>
    <w:p w14:paraId="79EE7444">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4.2.2</w:t>
      </w:r>
      <w:r>
        <w:rPr>
          <w:rFonts w:hint="eastAsia" w:ascii="宋体" w:hAnsi="宋体" w:eastAsia="宋体" w:cs="宋体"/>
          <w:snapToGrid w:val="0"/>
          <w:color w:val="auto"/>
          <w:kern w:val="0"/>
          <w:sz w:val="24"/>
          <w:szCs w:val="24"/>
          <w:highlight w:val="none"/>
        </w:rPr>
        <w:t xml:space="preserve"> 招标人或其授权的造价咨询单位应就发现的以上所有不正常报价分类整理、汇总，形成《不正常报价清单》，并交中标人复核和确认。经招标人和中标人共同签字、盖章确认的《不正常报价清单》，构成施工合同的组成部分。</w:t>
      </w:r>
    </w:p>
    <w:p w14:paraId="2D1A6206">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 xml:space="preserve">4.3 </w:t>
      </w:r>
      <w:r>
        <w:rPr>
          <w:rFonts w:hint="eastAsia" w:ascii="宋体" w:hAnsi="宋体" w:eastAsia="宋体" w:cs="宋体"/>
          <w:snapToGrid w:val="0"/>
          <w:color w:val="auto"/>
          <w:kern w:val="0"/>
          <w:sz w:val="24"/>
          <w:szCs w:val="24"/>
          <w:highlight w:val="none"/>
        </w:rPr>
        <w:t>本招标工程合同计价方式为：</w:t>
      </w:r>
      <w:r>
        <w:rPr>
          <w:rFonts w:hint="eastAsia" w:ascii="宋体" w:hAnsi="宋体" w:eastAsia="宋体" w:cs="宋体"/>
          <w:b/>
          <w:bCs/>
          <w:snapToGrid w:val="0"/>
          <w:color w:val="auto"/>
          <w:kern w:val="0"/>
          <w:sz w:val="24"/>
          <w:szCs w:val="24"/>
          <w:highlight w:val="none"/>
          <w:u w:val="single"/>
          <w:lang w:val="en-US" w:eastAsia="zh-CN"/>
        </w:rPr>
        <w:t>总</w:t>
      </w:r>
      <w:r>
        <w:rPr>
          <w:rFonts w:hint="eastAsia" w:ascii="宋体" w:hAnsi="宋体" w:eastAsia="宋体" w:cs="宋体"/>
          <w:b/>
          <w:bCs/>
          <w:snapToGrid w:val="0"/>
          <w:color w:val="auto"/>
          <w:kern w:val="0"/>
          <w:sz w:val="24"/>
          <w:szCs w:val="24"/>
          <w:highlight w:val="none"/>
          <w:u w:val="single"/>
        </w:rPr>
        <w:t>价合同</w:t>
      </w:r>
      <w:r>
        <w:rPr>
          <w:rFonts w:hint="eastAsia" w:ascii="宋体" w:hAnsi="宋体" w:eastAsia="宋体" w:cs="宋体"/>
          <w:snapToGrid w:val="0"/>
          <w:color w:val="auto"/>
          <w:kern w:val="0"/>
          <w:sz w:val="24"/>
          <w:szCs w:val="24"/>
          <w:highlight w:val="none"/>
        </w:rPr>
        <w:t>。</w:t>
      </w:r>
    </w:p>
    <w:p w14:paraId="25ADB814">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4.4</w:t>
      </w:r>
      <w:r>
        <w:rPr>
          <w:rFonts w:hint="eastAsia" w:ascii="宋体" w:hAnsi="宋体" w:eastAsia="宋体" w:cs="宋体"/>
          <w:snapToGrid w:val="0"/>
          <w:color w:val="auto"/>
          <w:kern w:val="0"/>
          <w:sz w:val="24"/>
          <w:szCs w:val="24"/>
          <w:highlight w:val="none"/>
        </w:rPr>
        <w:t xml:space="preserve"> 合同的标的、质量、履行期限条款和合同的价款、单价、比例条款等主要条款，应当与招标文件、中标人的投标文件的内容一致。中标人在签订合同时不得向招标人提出附加条件。</w:t>
      </w:r>
    </w:p>
    <w:p w14:paraId="715452D8">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4.5</w:t>
      </w:r>
      <w:r>
        <w:rPr>
          <w:rFonts w:hint="eastAsia" w:ascii="宋体" w:hAnsi="宋体" w:eastAsia="宋体" w:cs="宋体"/>
          <w:snapToGrid w:val="0"/>
          <w:color w:val="auto"/>
          <w:kern w:val="0"/>
          <w:sz w:val="24"/>
          <w:szCs w:val="24"/>
          <w:highlight w:val="none"/>
        </w:rPr>
        <w:t xml:space="preserve"> 若中标人在领取中标通知书之日起30天内仍未签订合同，招标人发出第一次提醒函；在领取中标通知书之日起40天内仍未签订，招标人发出第二次提醒函；在领取中标通知书之日起45天内仍未签订，视其放弃中标。</w:t>
      </w:r>
    </w:p>
    <w:p w14:paraId="0AB66E5F">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4.6</w:t>
      </w:r>
      <w:r>
        <w:rPr>
          <w:rFonts w:hint="eastAsia" w:ascii="宋体" w:hAnsi="宋体" w:eastAsia="宋体" w:cs="宋体"/>
          <w:snapToGrid w:val="0"/>
          <w:color w:val="auto"/>
          <w:kern w:val="0"/>
          <w:sz w:val="24"/>
          <w:szCs w:val="24"/>
          <w:highlight w:val="none"/>
        </w:rPr>
        <w:t xml:space="preserve"> 在书面合同订立之日起2个工作日内，由中标人将合同上传至建设工程交易系统，并发起退还投标保证的申请。韶关市公共资源交易中心在收到申请之日起3个工作日内，将投标保证金（或银行保函）退还给中标人和其他中标候选人。</w:t>
      </w:r>
    </w:p>
    <w:p w14:paraId="3B037CB5">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6101F304">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5．放弃中标的处理</w:t>
      </w:r>
    </w:p>
    <w:p w14:paraId="49FD4741">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5.1</w:t>
      </w:r>
      <w:r>
        <w:rPr>
          <w:rFonts w:hint="eastAsia" w:ascii="宋体" w:hAnsi="宋体" w:eastAsia="宋体" w:cs="宋体"/>
          <w:snapToGrid w:val="0"/>
          <w:color w:val="auto"/>
          <w:kern w:val="0"/>
          <w:sz w:val="24"/>
          <w:szCs w:val="24"/>
          <w:highlight w:val="none"/>
        </w:rPr>
        <w:t xml:space="preserve"> 中标人</w:t>
      </w:r>
      <w:r>
        <w:rPr>
          <w:rFonts w:hint="eastAsia" w:ascii="宋体" w:hAnsi="宋体" w:eastAsia="宋体" w:cs="宋体"/>
          <w:snapToGrid w:val="0"/>
          <w:color w:val="auto"/>
          <w:sz w:val="24"/>
          <w:szCs w:val="24"/>
          <w:highlight w:val="none"/>
        </w:rPr>
        <w:t>无正当理由放弃中标的，</w:t>
      </w:r>
      <w:r>
        <w:rPr>
          <w:rFonts w:hint="eastAsia" w:ascii="宋体" w:hAnsi="宋体" w:eastAsia="宋体" w:cs="宋体"/>
          <w:snapToGrid w:val="0"/>
          <w:color w:val="auto"/>
          <w:kern w:val="0"/>
          <w:sz w:val="24"/>
          <w:szCs w:val="24"/>
          <w:highlight w:val="none"/>
        </w:rPr>
        <w:t>取消其中标资格，其投标保证不予退还，给招标人造成的损失超过投标保证金额的，弃标人还应当对超过部分予以赔偿。招标人可按照评标委员会提出的中标候选人名单排序依次确定其他中标候选人为中标人，如果招标人认为其他中标候选人的条件明显不利于招标人的，也可以重新招标。</w:t>
      </w:r>
      <w:r>
        <w:rPr>
          <w:rFonts w:hint="eastAsia" w:ascii="宋体" w:hAnsi="宋体" w:eastAsia="宋体" w:cs="宋体"/>
          <w:bCs/>
          <w:snapToGrid w:val="0"/>
          <w:color w:val="auto"/>
          <w:kern w:val="0"/>
          <w:sz w:val="24"/>
          <w:szCs w:val="24"/>
          <w:highlight w:val="none"/>
        </w:rPr>
        <w:t>因此种情况造成招标人重新招标的</w:t>
      </w:r>
      <w:r>
        <w:rPr>
          <w:rFonts w:hint="eastAsia" w:ascii="宋体" w:hAnsi="宋体" w:eastAsia="宋体" w:cs="宋体"/>
          <w:snapToGrid w:val="0"/>
          <w:color w:val="auto"/>
          <w:kern w:val="0"/>
          <w:sz w:val="24"/>
          <w:szCs w:val="24"/>
          <w:highlight w:val="none"/>
        </w:rPr>
        <w:t>，招标人可不接受该弃标人再次投标。同时，招标人应将该弃标人的失信行为向行政监督部门报告。</w:t>
      </w:r>
    </w:p>
    <w:p w14:paraId="548CFB00">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5.2</w:t>
      </w:r>
      <w:r>
        <w:rPr>
          <w:rFonts w:hint="eastAsia" w:ascii="宋体" w:hAnsi="宋体" w:eastAsia="宋体" w:cs="宋体"/>
          <w:snapToGrid w:val="0"/>
          <w:color w:val="auto"/>
          <w:kern w:val="0"/>
          <w:sz w:val="24"/>
          <w:szCs w:val="24"/>
          <w:highlight w:val="none"/>
        </w:rPr>
        <w:t xml:space="preserve"> 中标人因不可抗力提出不能履行合同的，须在领取中标通知书之日起10天内提供有关证明文件或资料，其投标保证予以退还，招标人可按照评标委员会提出的中标候选人名单排序依次确定其他中标候选人为中标人。如果招标人认为其他中标候选人的条件明显不利于招标人的，也可以重新招标。</w:t>
      </w:r>
    </w:p>
    <w:p w14:paraId="2473FD63">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109B6D27">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6．专业工程分包</w:t>
      </w:r>
    </w:p>
    <w:p w14:paraId="2359EBDD">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合同范围内的工程未经发包人同意一律不得分包，一经发现，取消承包人的承包资格，由此引起的一切经济损失和法律责任由承包人自行承担。若有专业工程必须分包的，发包人不另行支付总包服务费；其分包合同由总包人与分包人双方签订，发包人不参与总包人与分包人之间的结算，该部分工程的造价仍按总包人与发包人签订的合同的有关条款进行结算。</w:t>
      </w:r>
    </w:p>
    <w:p w14:paraId="720E0F54">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0BA5CC6B">
      <w:pPr>
        <w:wordWrap w:val="0"/>
        <w:adjustRightInd w:val="0"/>
        <w:snapToGrid w:val="0"/>
        <w:spacing w:line="440" w:lineRule="exact"/>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7．工人工资支付专用账户</w:t>
      </w:r>
    </w:p>
    <w:p w14:paraId="22BF22E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7.1</w:t>
      </w:r>
      <w:r>
        <w:rPr>
          <w:rFonts w:hint="eastAsia" w:ascii="宋体" w:hAnsi="宋体" w:eastAsia="宋体" w:cs="宋体"/>
          <w:snapToGrid w:val="0"/>
          <w:color w:val="auto"/>
          <w:kern w:val="0"/>
          <w:sz w:val="24"/>
          <w:szCs w:val="24"/>
          <w:highlight w:val="none"/>
        </w:rPr>
        <w:t xml:space="preserve"> 发、承包双方订立合同时，应就承包人设立工人工资支付专用账户（以下简称“工资专户”）、工程进度款中工人工资款的比例、工资款拨付的期限等事项作出明确约定。发包人按照合同约定，按月将工程款中的工资款项单独足额拨付到承包人的工资专户，并对承包人工人工资支付情况进行监督，及时协调解决工人工资发放中存在的问题。</w:t>
      </w:r>
    </w:p>
    <w:p w14:paraId="6B18851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7.2</w:t>
      </w:r>
      <w:r>
        <w:rPr>
          <w:rFonts w:hint="eastAsia" w:ascii="宋体" w:hAnsi="宋体" w:eastAsia="宋体" w:cs="宋体"/>
          <w:snapToGrid w:val="0"/>
          <w:color w:val="auto"/>
          <w:kern w:val="0"/>
          <w:sz w:val="24"/>
          <w:szCs w:val="24"/>
          <w:highlight w:val="none"/>
        </w:rPr>
        <w:t xml:space="preserve"> 承包人必须在项目开工前，在项目所在地银行设立工资专户，并在作业工人进场前按照相关规定完成实名管理登记及作业工人工资卡开办。承包人应在工资专户开立后2个工作日内，将开户银行及其账号、开户协议等资料提交给发包人。</w:t>
      </w:r>
    </w:p>
    <w:p w14:paraId="4BECD18E">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7.3</w:t>
      </w:r>
      <w:r>
        <w:rPr>
          <w:rFonts w:hint="eastAsia" w:ascii="宋体" w:hAnsi="宋体" w:eastAsia="宋体" w:cs="宋体"/>
          <w:snapToGrid w:val="0"/>
          <w:color w:val="auto"/>
          <w:kern w:val="0"/>
          <w:sz w:val="24"/>
          <w:szCs w:val="24"/>
          <w:highlight w:val="none"/>
        </w:rPr>
        <w:t xml:space="preserve"> 施工总承包企业依法将专业工程分包的，应在分包合同中就分包人设立工资专户、工程进度款中工人工资款的比例、工资款拨付的期限等事项作出明确约定。总包人按照分包合同约定，按月将工程款中的工资款项单独足额拨付到分包人的工资专户，并对分包人工人工资支付情况进行监督，及时协调解决工人工资发放中存在的问题。</w:t>
      </w:r>
    </w:p>
    <w:p w14:paraId="03BA09ED">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65133FF1">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8．诚信登记</w:t>
      </w:r>
    </w:p>
    <w:p w14:paraId="65125F54">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承包人在签订合同30日内，须按《韶关市住建管理局关于加强我市建筑行业企业及注册执业人员诚信管理的通知》（韶市建字〔2018）56号）的要求办理诚信登记，纳入诚信管理范围。</w:t>
      </w:r>
    </w:p>
    <w:p w14:paraId="1199D0CD">
      <w:pPr>
        <w:wordWrap w:val="0"/>
        <w:adjustRightInd w:val="0"/>
        <w:snapToGrid w:val="0"/>
        <w:spacing w:line="440" w:lineRule="exact"/>
        <w:ind w:firstLine="480" w:firstLineChars="200"/>
        <w:rPr>
          <w:rFonts w:hint="eastAsia" w:ascii="宋体" w:hAnsi="宋体" w:eastAsia="宋体" w:cs="宋体"/>
          <w:snapToGrid w:val="0"/>
          <w:color w:val="auto"/>
          <w:kern w:val="0"/>
          <w:sz w:val="24"/>
          <w:szCs w:val="24"/>
          <w:highlight w:val="none"/>
        </w:rPr>
      </w:pPr>
    </w:p>
    <w:p w14:paraId="63F26F78">
      <w:pPr>
        <w:wordWrap w:val="0"/>
        <w:adjustRightInd w:val="0"/>
        <w:snapToGrid w:val="0"/>
        <w:spacing w:line="360" w:lineRule="auto"/>
        <w:ind w:firstLine="482" w:firstLineChars="200"/>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9．工期进度</w:t>
      </w:r>
    </w:p>
    <w:p w14:paraId="760FE638">
      <w:pPr>
        <w:pStyle w:val="20"/>
        <w:keepNext w:val="0"/>
        <w:keepLines w:val="0"/>
        <w:pageBreakBefore w:val="0"/>
        <w:widowControl/>
        <w:suppressLineNumbers w:val="0"/>
        <w:kinsoku/>
        <w:overflowPunct/>
        <w:topLinePunct w:val="0"/>
        <w:autoSpaceDE/>
        <w:autoSpaceDN/>
        <w:bidi w:val="0"/>
        <w:spacing w:before="0" w:beforeAutospacing="0" w:after="150" w:afterAutospacing="0" w:line="360" w:lineRule="auto"/>
        <w:ind w:left="0" w:right="0" w:firstLine="480"/>
        <w:textAlignment w:val="auto"/>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9.1</w:t>
      </w:r>
      <w:r>
        <w:rPr>
          <w:rFonts w:hint="eastAsia" w:ascii="宋体" w:hAnsi="宋体" w:eastAsia="宋体" w:cs="宋体"/>
          <w:color w:val="auto"/>
          <w:sz w:val="24"/>
          <w:szCs w:val="24"/>
          <w:highlight w:val="none"/>
          <w:lang w:val="en-US" w:eastAsia="zh-CN"/>
        </w:rPr>
        <w:t>本项目勘察、设计、施工工期：</w:t>
      </w:r>
      <w:r>
        <w:rPr>
          <w:rFonts w:hint="eastAsia" w:eastAsia="宋体" w:cs="宋体"/>
          <w:color w:val="auto"/>
          <w:sz w:val="24"/>
          <w:szCs w:val="24"/>
          <w:highlight w:val="none"/>
          <w:lang w:val="en-US" w:eastAsia="zh-CN"/>
        </w:rPr>
        <w:t>140</w:t>
      </w:r>
      <w:r>
        <w:rPr>
          <w:rFonts w:hint="eastAsia" w:ascii="宋体" w:hAnsi="宋体" w:eastAsia="宋体" w:cs="宋体"/>
          <w:color w:val="auto"/>
          <w:sz w:val="24"/>
          <w:szCs w:val="24"/>
          <w:highlight w:val="none"/>
          <w:lang w:val="en-US" w:eastAsia="zh-CN"/>
        </w:rPr>
        <w:t>日历天【其中：勘察、设计工期</w:t>
      </w:r>
      <w:r>
        <w:rPr>
          <w:rFonts w:hint="eastAsia" w:eastAsia="宋体" w:cs="宋体"/>
          <w:color w:val="auto"/>
          <w:sz w:val="24"/>
          <w:szCs w:val="24"/>
          <w:highlight w:val="none"/>
          <w:lang w:val="en-US" w:eastAsia="zh-CN"/>
        </w:rPr>
        <w:t>20</w:t>
      </w:r>
      <w:r>
        <w:rPr>
          <w:rFonts w:hint="eastAsia" w:ascii="宋体" w:hAnsi="宋体" w:eastAsia="宋体" w:cs="宋体"/>
          <w:color w:val="auto"/>
          <w:sz w:val="24"/>
          <w:szCs w:val="24"/>
          <w:highlight w:val="none"/>
          <w:lang w:val="en-US" w:eastAsia="zh-CN"/>
        </w:rPr>
        <w:t>日历天、施工工期</w:t>
      </w:r>
      <w:r>
        <w:rPr>
          <w:rFonts w:hint="eastAsia" w:eastAsia="宋体" w:cs="宋体"/>
          <w:color w:val="auto"/>
          <w:sz w:val="24"/>
          <w:szCs w:val="24"/>
          <w:highlight w:val="none"/>
          <w:lang w:val="en-US" w:eastAsia="zh-CN"/>
        </w:rPr>
        <w:t>120</w:t>
      </w:r>
      <w:r>
        <w:rPr>
          <w:rFonts w:hint="eastAsia" w:ascii="宋体" w:hAnsi="宋体" w:eastAsia="宋体" w:cs="宋体"/>
          <w:color w:val="auto"/>
          <w:sz w:val="24"/>
          <w:szCs w:val="24"/>
          <w:highlight w:val="none"/>
          <w:lang w:val="en-US" w:eastAsia="zh-CN"/>
        </w:rPr>
        <w:t>日历天】</w:t>
      </w:r>
    </w:p>
    <w:p w14:paraId="42D088F9">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9.2</w:t>
      </w:r>
      <w:r>
        <w:rPr>
          <w:rFonts w:hint="eastAsia" w:ascii="宋体" w:hAnsi="宋体" w:eastAsia="宋体" w:cs="宋体"/>
          <w:snapToGrid w:val="0"/>
          <w:color w:val="auto"/>
          <w:kern w:val="0"/>
          <w:sz w:val="24"/>
          <w:szCs w:val="24"/>
          <w:highlight w:val="none"/>
        </w:rPr>
        <w:t xml:space="preserve"> 施工工期从承包人收到监理单位签发的开工令之日起计，至竣工验收合格之日止。</w:t>
      </w:r>
    </w:p>
    <w:p w14:paraId="220FEFDB">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9.3</w:t>
      </w:r>
      <w:r>
        <w:rPr>
          <w:rFonts w:hint="eastAsia" w:ascii="宋体" w:hAnsi="宋体" w:eastAsia="宋体" w:cs="宋体"/>
          <w:snapToGrid w:val="0"/>
          <w:color w:val="auto"/>
          <w:kern w:val="0"/>
          <w:sz w:val="24"/>
          <w:szCs w:val="24"/>
          <w:highlight w:val="none"/>
        </w:rPr>
        <w:t xml:space="preserve"> 由于承包人原因，没有按期完成设计工作的，承包人须在逾期第壹天起每天按设计费合同价款的</w:t>
      </w:r>
      <w:r>
        <w:rPr>
          <w:rFonts w:hint="eastAsia" w:ascii="宋体" w:hAnsi="宋体" w:eastAsia="宋体" w:cs="宋体"/>
          <w:snapToGrid w:val="0"/>
          <w:color w:val="auto"/>
          <w:kern w:val="0"/>
          <w:sz w:val="24"/>
          <w:szCs w:val="24"/>
          <w:highlight w:val="none"/>
          <w:u w:val="single"/>
        </w:rPr>
        <w:t>1%</w:t>
      </w:r>
      <w:r>
        <w:rPr>
          <w:rFonts w:hint="eastAsia" w:ascii="宋体" w:hAnsi="宋体" w:eastAsia="宋体" w:cs="宋体"/>
          <w:snapToGrid w:val="0"/>
          <w:color w:val="auto"/>
          <w:kern w:val="0"/>
          <w:sz w:val="24"/>
          <w:szCs w:val="24"/>
          <w:highlight w:val="none"/>
        </w:rPr>
        <w:t>向招标人返纳逾期违约金；由于承包人原因，工程没有按期竣工并通过验收时</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snapToGrid w:val="0"/>
          <w:color w:val="auto"/>
          <w:kern w:val="0"/>
          <w:sz w:val="24"/>
          <w:szCs w:val="24"/>
          <w:highlight w:val="none"/>
        </w:rPr>
        <w:t>，承包人须在逾期第壹天起每天按合同价款的</w:t>
      </w:r>
      <w:r>
        <w:rPr>
          <w:rFonts w:hint="eastAsia" w:ascii="宋体" w:hAnsi="宋体" w:eastAsia="宋体" w:cs="宋体"/>
          <w:snapToGrid w:val="0"/>
          <w:color w:val="auto"/>
          <w:kern w:val="0"/>
          <w:sz w:val="24"/>
          <w:szCs w:val="24"/>
          <w:highlight w:val="none"/>
          <w:u w:val="single"/>
          <w:lang w:val="en-US" w:eastAsia="zh-CN"/>
        </w:rPr>
        <w:t>1</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向招标人返纳逾期竣工违约金。逾期竣工违约金的最高限额为</w:t>
      </w:r>
      <w:r>
        <w:rPr>
          <w:rFonts w:hint="eastAsia" w:ascii="宋体" w:hAnsi="宋体" w:eastAsia="宋体" w:cs="宋体"/>
          <w:snapToGrid w:val="0"/>
          <w:color w:val="auto"/>
          <w:kern w:val="0"/>
          <w:sz w:val="24"/>
          <w:szCs w:val="24"/>
          <w:highlight w:val="none"/>
          <w:u w:val="single"/>
        </w:rPr>
        <w:t>合同价款的</w:t>
      </w:r>
      <w:r>
        <w:rPr>
          <w:rFonts w:hint="eastAsia" w:hAnsi="宋体" w:eastAsia="宋体" w:cs="宋体"/>
          <w:snapToGrid w:val="0"/>
          <w:color w:val="auto"/>
          <w:kern w:val="0"/>
          <w:sz w:val="24"/>
          <w:szCs w:val="24"/>
          <w:highlight w:val="none"/>
          <w:u w:val="single"/>
          <w:lang w:val="en-US" w:eastAsia="zh-CN"/>
        </w:rPr>
        <w:t>3</w:t>
      </w:r>
      <w:r>
        <w:rPr>
          <w:rFonts w:hint="eastAsia" w:ascii="宋体" w:hAnsi="宋体" w:eastAsia="宋体" w:cs="宋体"/>
          <w:snapToGrid w:val="0"/>
          <w:color w:val="auto"/>
          <w:kern w:val="0"/>
          <w:sz w:val="24"/>
          <w:szCs w:val="24"/>
          <w:highlight w:val="none"/>
          <w:u w:val="single"/>
        </w:rPr>
        <w:t>%</w:t>
      </w:r>
      <w:r>
        <w:rPr>
          <w:rFonts w:hint="eastAsia" w:ascii="宋体" w:hAnsi="宋体" w:eastAsia="宋体" w:cs="宋体"/>
          <w:snapToGrid w:val="0"/>
          <w:color w:val="auto"/>
          <w:kern w:val="0"/>
          <w:sz w:val="24"/>
          <w:szCs w:val="24"/>
          <w:highlight w:val="none"/>
        </w:rPr>
        <w:t>。</w:t>
      </w:r>
    </w:p>
    <w:p w14:paraId="762F5E72">
      <w:pPr>
        <w:wordWrap w:val="0"/>
        <w:adjustRightInd w:val="0"/>
        <w:snapToGrid w:val="0"/>
        <w:spacing w:line="440" w:lineRule="exact"/>
        <w:ind w:firstLine="482" w:firstLineChars="200"/>
        <w:rPr>
          <w:rFonts w:hint="eastAsia" w:ascii="宋体" w:hAnsi="宋体" w:eastAsia="宋体" w:cs="宋体"/>
          <w:b/>
          <w:bCs/>
          <w:snapToGrid w:val="0"/>
          <w:color w:val="auto"/>
          <w:kern w:val="0"/>
          <w:sz w:val="24"/>
          <w:szCs w:val="24"/>
          <w:highlight w:val="none"/>
        </w:rPr>
      </w:pPr>
    </w:p>
    <w:p w14:paraId="41E5A176">
      <w:pPr>
        <w:wordWrap w:val="0"/>
        <w:adjustRightInd w:val="0"/>
        <w:snapToGrid w:val="0"/>
        <w:spacing w:line="440" w:lineRule="exact"/>
        <w:ind w:firstLine="482" w:firstLineChars="200"/>
        <w:outlineLvl w:val="2"/>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10．项目管理机构</w:t>
      </w:r>
    </w:p>
    <w:p w14:paraId="3BE32E90">
      <w:pPr>
        <w:wordWrap w:val="0"/>
        <w:adjustRightInd w:val="0"/>
        <w:snapToGrid w:val="0"/>
        <w:spacing w:line="42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10.1</w:t>
      </w:r>
      <w:r>
        <w:rPr>
          <w:rFonts w:hint="eastAsia" w:ascii="宋体" w:hAnsi="宋体" w:eastAsia="宋体" w:cs="宋体"/>
          <w:snapToGrid w:val="0"/>
          <w:color w:val="auto"/>
          <w:kern w:val="0"/>
          <w:sz w:val="24"/>
          <w:szCs w:val="24"/>
          <w:highlight w:val="none"/>
        </w:rPr>
        <w:t xml:space="preserve"> 承包人派驻的项目管理班子成员必须为其投标文件确定的人员，否则发包人有权终止合同。</w:t>
      </w:r>
    </w:p>
    <w:p w14:paraId="70CD8D37">
      <w:pPr>
        <w:wordWrap w:val="0"/>
        <w:adjustRightInd w:val="0"/>
        <w:snapToGrid w:val="0"/>
        <w:spacing w:line="440" w:lineRule="exact"/>
        <w:ind w:firstLine="48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10.2</w:t>
      </w:r>
      <w:r>
        <w:rPr>
          <w:rFonts w:hint="eastAsia" w:ascii="宋体" w:hAnsi="宋体" w:eastAsia="宋体" w:cs="宋体"/>
          <w:snapToGrid w:val="0"/>
          <w:color w:val="auto"/>
          <w:kern w:val="0"/>
          <w:sz w:val="24"/>
          <w:szCs w:val="24"/>
          <w:highlight w:val="none"/>
        </w:rPr>
        <w:t xml:space="preserve"> 项目管理班子成员不得擅自变更。其中，项目经理若有《广东省住房和城乡建设厅关于建设工程项目招标中标后监督检查的办法》（粤建市〔2009〕8号，以下简称“《办法》”）第九条所述除外情形之一确需变更的，承包人应填写《建设工程项目管理班子变更情况报告表》（《办法》附件4）并附上相关证明资料，经发包人和建设行政主管部门审核同意方可变更，且更换后的项目经理应与承包人的投标文件所确定的原项目经理的主要条件一致；项目管理班子其他成员若有《办法》第九条所述除外情形之一确需变更的，承包人应填写《建设工程项目管理班子变更情况报告表》并附上相关证明资料，经发包人审核同意方可变更。</w:t>
      </w:r>
    </w:p>
    <w:p w14:paraId="3C4F6D97">
      <w:pPr>
        <w:wordWrap w:val="0"/>
        <w:adjustRightInd w:val="0"/>
        <w:snapToGrid w:val="0"/>
        <w:spacing w:line="440" w:lineRule="exact"/>
        <w:ind w:firstLine="482" w:firstLineChars="200"/>
        <w:rPr>
          <w:rFonts w:hint="eastAsia" w:ascii="宋体" w:hAnsi="宋体" w:eastAsia="宋体" w:cs="宋体"/>
          <w:b/>
          <w:snapToGrid w:val="0"/>
          <w:color w:val="auto"/>
          <w:kern w:val="0"/>
          <w:sz w:val="24"/>
          <w:szCs w:val="24"/>
          <w:highlight w:val="none"/>
        </w:rPr>
      </w:pPr>
    </w:p>
    <w:p w14:paraId="486421DC">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11．现场管理</w:t>
      </w:r>
    </w:p>
    <w:p w14:paraId="68D2F7A2">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11.1</w:t>
      </w:r>
      <w:r>
        <w:rPr>
          <w:rFonts w:hint="eastAsia" w:ascii="宋体" w:hAnsi="宋体" w:eastAsia="宋体" w:cs="宋体"/>
          <w:snapToGrid w:val="0"/>
          <w:color w:val="auto"/>
          <w:kern w:val="0"/>
          <w:sz w:val="24"/>
          <w:szCs w:val="24"/>
          <w:highlight w:val="none"/>
        </w:rPr>
        <w:t xml:space="preserve"> 承包人在施工期间应严格遵守国家、广东省、韶关市有关绿色施工、文明施工、噪音扬尘、消防爆破、环境卫生、渣土清运、治安保卫等方面的规定，并建立相应规章制度和保障措施。否则由此造成的经济损失和法律责任，均由承包人承担。</w:t>
      </w:r>
    </w:p>
    <w:p w14:paraId="5A4F9992">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11.2</w:t>
      </w:r>
      <w:r>
        <w:rPr>
          <w:rFonts w:hint="eastAsia" w:ascii="宋体" w:hAnsi="宋体" w:eastAsia="宋体" w:cs="宋体"/>
          <w:snapToGrid w:val="0"/>
          <w:color w:val="auto"/>
          <w:kern w:val="0"/>
          <w:sz w:val="24"/>
          <w:szCs w:val="24"/>
          <w:highlight w:val="none"/>
        </w:rPr>
        <w:t xml:space="preserve"> 承包人应按安全施工有关规定，采取严格、科学的安全防护措施，确保施工和人员（包括第三者）的安全，承担由于自身安全防护措施不力所造成的安全事故责任和发生的费用。</w:t>
      </w:r>
    </w:p>
    <w:p w14:paraId="00C6C599">
      <w:pPr>
        <w:wordWrap w:val="0"/>
        <w:adjustRightInd w:val="0"/>
        <w:snapToGrid w:val="0"/>
        <w:spacing w:line="440" w:lineRule="exact"/>
        <w:ind w:firstLine="482" w:firstLineChars="200"/>
        <w:rPr>
          <w:rFonts w:hint="eastAsia" w:ascii="宋体" w:hAnsi="宋体" w:eastAsia="宋体" w:cs="宋体"/>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11.3</w:t>
      </w:r>
      <w:r>
        <w:rPr>
          <w:rFonts w:hint="eastAsia" w:ascii="宋体" w:hAnsi="宋体" w:eastAsia="宋体" w:cs="宋体"/>
          <w:snapToGrid w:val="0"/>
          <w:color w:val="auto"/>
          <w:kern w:val="0"/>
          <w:sz w:val="24"/>
          <w:szCs w:val="24"/>
          <w:highlight w:val="none"/>
        </w:rPr>
        <w:t xml:space="preserve"> 为保证施工现场的环境卫生，承包人在本招标工程施工过程中，所有的车辆必须按发包人规定的行车路线行驶。</w:t>
      </w:r>
    </w:p>
    <w:p w14:paraId="5BBA1165">
      <w:pPr>
        <w:pStyle w:val="7"/>
        <w:ind w:firstLine="480" w:firstLineChars="200"/>
        <w:rPr>
          <w:rFonts w:hint="eastAsia" w:ascii="宋体" w:hAnsi="宋体" w:eastAsia="宋体" w:cs="宋体"/>
          <w:color w:val="auto"/>
          <w:sz w:val="24"/>
          <w:szCs w:val="24"/>
          <w:highlight w:val="none"/>
        </w:rPr>
      </w:pPr>
    </w:p>
    <w:p w14:paraId="68B42AFA">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12．监督实施</w:t>
      </w:r>
    </w:p>
    <w:p w14:paraId="1246E825">
      <w:pPr>
        <w:wordWrap w:val="0"/>
        <w:adjustRightInd w:val="0"/>
        <w:snapToGrid w:val="0"/>
        <w:spacing w:line="440" w:lineRule="exact"/>
        <w:ind w:firstLine="560"/>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须服从发包人对工程质量、进度、成本的全方位监督，施工中的年度计划、季度计划、月度计划、施工方案等应报送监理单位审批和发包人备案。施工中的质量保证措施等资料均应及时报送监理单位和发包人备案。</w:t>
      </w:r>
    </w:p>
    <w:p w14:paraId="741A4FAD">
      <w:pPr>
        <w:wordWrap w:val="0"/>
        <w:adjustRightInd w:val="0"/>
        <w:snapToGrid w:val="0"/>
        <w:spacing w:line="440" w:lineRule="exact"/>
        <w:ind w:firstLine="560"/>
        <w:rPr>
          <w:rFonts w:hint="eastAsia" w:ascii="宋体" w:hAnsi="宋体" w:eastAsia="宋体" w:cs="宋体"/>
          <w:b/>
          <w:snapToGrid w:val="0"/>
          <w:color w:val="auto"/>
          <w:kern w:val="0"/>
          <w:sz w:val="24"/>
          <w:szCs w:val="24"/>
          <w:highlight w:val="none"/>
        </w:rPr>
      </w:pPr>
    </w:p>
    <w:p w14:paraId="4D203231">
      <w:pPr>
        <w:wordWrap w:val="0"/>
        <w:adjustRightInd w:val="0"/>
        <w:snapToGrid w:val="0"/>
        <w:spacing w:line="440" w:lineRule="exact"/>
        <w:ind w:firstLine="482" w:firstLineChars="200"/>
        <w:outlineLvl w:val="2"/>
        <w:rPr>
          <w:rFonts w:hint="eastAsia"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13．主材的采购和使用</w:t>
      </w:r>
    </w:p>
    <w:p w14:paraId="22492CA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招标人有权拒绝承包人提供的不合格或不符合绿色施工要求的材料，并要求承包人立即进行更换。承包人应按发包人确认后的主要材料的规格、颜色要求采购。如果变更规格或颜色，必须经发包人同意后，报有关审核部门重新核定单价后方可采购，并相应调整合同价款。主要材料必须先提供样板给发包人确定其规格、颜色、等级等，发包人同意后方可使用。</w:t>
      </w:r>
    </w:p>
    <w:p w14:paraId="4A5DEDFB">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p>
    <w:p w14:paraId="120C9173">
      <w:pPr>
        <w:wordWrap w:val="0"/>
        <w:adjustRightInd w:val="0"/>
        <w:snapToGrid w:val="0"/>
        <w:spacing w:line="440" w:lineRule="exact"/>
        <w:ind w:firstLine="482" w:firstLineChars="200"/>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14．竣工资料移交</w:t>
      </w:r>
    </w:p>
    <w:p w14:paraId="1913D69F">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工程竣工验收时，</w:t>
      </w:r>
      <w:r>
        <w:rPr>
          <w:rFonts w:hint="eastAsia" w:ascii="宋体" w:hAnsi="宋体" w:eastAsia="宋体" w:cs="宋体"/>
          <w:snapToGrid w:val="0"/>
          <w:color w:val="auto"/>
          <w:kern w:val="0"/>
          <w:sz w:val="24"/>
          <w:szCs w:val="24"/>
          <w:highlight w:val="none"/>
        </w:rPr>
        <w:t>承包</w:t>
      </w:r>
      <w:r>
        <w:rPr>
          <w:rFonts w:hint="eastAsia" w:ascii="宋体" w:hAnsi="宋体" w:eastAsia="宋体" w:cs="宋体"/>
          <w:bCs/>
          <w:snapToGrid w:val="0"/>
          <w:color w:val="auto"/>
          <w:kern w:val="0"/>
          <w:sz w:val="24"/>
          <w:szCs w:val="24"/>
          <w:highlight w:val="none"/>
        </w:rPr>
        <w:t>人应向监理单位和</w:t>
      </w:r>
      <w:r>
        <w:rPr>
          <w:rFonts w:hint="eastAsia" w:ascii="宋体" w:hAnsi="宋体" w:eastAsia="宋体" w:cs="宋体"/>
          <w:snapToGrid w:val="0"/>
          <w:color w:val="auto"/>
          <w:kern w:val="0"/>
          <w:sz w:val="24"/>
          <w:szCs w:val="24"/>
          <w:highlight w:val="none"/>
        </w:rPr>
        <w:t>发包</w:t>
      </w:r>
      <w:r>
        <w:rPr>
          <w:rFonts w:hint="eastAsia" w:ascii="宋体" w:hAnsi="宋体" w:eastAsia="宋体" w:cs="宋体"/>
          <w:bCs/>
          <w:snapToGrid w:val="0"/>
          <w:color w:val="auto"/>
          <w:kern w:val="0"/>
          <w:sz w:val="24"/>
          <w:szCs w:val="24"/>
          <w:highlight w:val="none"/>
        </w:rPr>
        <w:t>人提供符合国家档案部门备案要求的，编制成册的竣工图及有关的技术档案资料（含声像档案）一式</w:t>
      </w:r>
      <w:r>
        <w:rPr>
          <w:rFonts w:hint="eastAsia" w:ascii="宋体" w:hAnsi="宋体" w:eastAsia="宋体" w:cs="宋体"/>
          <w:bCs/>
          <w:snapToGrid w:val="0"/>
          <w:color w:val="auto"/>
          <w:kern w:val="0"/>
          <w:sz w:val="24"/>
          <w:szCs w:val="24"/>
          <w:highlight w:val="none"/>
          <w:u w:val="single"/>
        </w:rPr>
        <w:t>捌</w:t>
      </w:r>
      <w:r>
        <w:rPr>
          <w:rFonts w:hint="eastAsia" w:ascii="宋体" w:hAnsi="宋体" w:eastAsia="宋体" w:cs="宋体"/>
          <w:bCs/>
          <w:snapToGrid w:val="0"/>
          <w:color w:val="auto"/>
          <w:kern w:val="0"/>
          <w:sz w:val="24"/>
          <w:szCs w:val="24"/>
          <w:highlight w:val="none"/>
        </w:rPr>
        <w:t>份。</w:t>
      </w:r>
    </w:p>
    <w:p w14:paraId="308BC3C0">
      <w:pPr>
        <w:wordWrap w:val="0"/>
        <w:adjustRightInd w:val="0"/>
        <w:snapToGrid w:val="0"/>
        <w:spacing w:line="440" w:lineRule="exact"/>
        <w:ind w:firstLine="560"/>
        <w:rPr>
          <w:rFonts w:hint="eastAsia" w:ascii="宋体" w:hAnsi="宋体" w:eastAsia="宋体" w:cs="宋体"/>
          <w:b/>
          <w:snapToGrid w:val="0"/>
          <w:color w:val="auto"/>
          <w:kern w:val="0"/>
          <w:sz w:val="24"/>
          <w:szCs w:val="24"/>
          <w:highlight w:val="none"/>
        </w:rPr>
      </w:pPr>
    </w:p>
    <w:p w14:paraId="3CDD2D98">
      <w:pPr>
        <w:wordWrap w:val="0"/>
        <w:adjustRightInd w:val="0"/>
        <w:snapToGrid w:val="0"/>
        <w:spacing w:line="440" w:lineRule="exact"/>
        <w:ind w:firstLine="482" w:firstLineChars="200"/>
        <w:outlineLvl w:val="2"/>
        <w:rPr>
          <w:rFonts w:hint="eastAsia" w:ascii="宋体" w:hAnsi="宋体" w:eastAsia="宋体" w:cs="宋体"/>
          <w:bCs/>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15．质量保证</w:t>
      </w:r>
    </w:p>
    <w:p w14:paraId="177910DD">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15.1</w:t>
      </w:r>
      <w:r>
        <w:rPr>
          <w:rFonts w:hint="eastAsia" w:ascii="宋体" w:hAnsi="宋体" w:eastAsia="宋体" w:cs="宋体"/>
          <w:bCs/>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rPr>
        <w:t>本招标工程</w:t>
      </w:r>
      <w:r>
        <w:rPr>
          <w:rFonts w:hint="eastAsia" w:ascii="宋体" w:hAnsi="宋体" w:eastAsia="宋体" w:cs="宋体"/>
          <w:bCs/>
          <w:snapToGrid w:val="0"/>
          <w:color w:val="auto"/>
          <w:kern w:val="0"/>
          <w:sz w:val="24"/>
          <w:szCs w:val="24"/>
          <w:highlight w:val="none"/>
        </w:rPr>
        <w:t>缺陷责任期为</w:t>
      </w:r>
      <w:r>
        <w:rPr>
          <w:rFonts w:hint="eastAsia" w:ascii="宋体" w:hAnsi="宋体" w:eastAsia="宋体" w:cs="宋体"/>
          <w:bCs/>
          <w:snapToGrid w:val="0"/>
          <w:color w:val="auto"/>
          <w:kern w:val="0"/>
          <w:sz w:val="24"/>
          <w:szCs w:val="24"/>
          <w:highlight w:val="none"/>
          <w:u w:val="single"/>
          <w:lang w:val="en-US" w:eastAsia="zh-CN"/>
        </w:rPr>
        <w:t>1</w:t>
      </w:r>
      <w:r>
        <w:rPr>
          <w:rFonts w:hint="eastAsia" w:ascii="宋体" w:hAnsi="宋体" w:eastAsia="宋体" w:cs="宋体"/>
          <w:bCs/>
          <w:snapToGrid w:val="0"/>
          <w:color w:val="auto"/>
          <w:kern w:val="0"/>
          <w:sz w:val="24"/>
          <w:szCs w:val="24"/>
          <w:highlight w:val="none"/>
        </w:rPr>
        <w:t>年（自通过竣工验收之日起计），在此期间预留金额为结算价</w:t>
      </w:r>
      <w:r>
        <w:rPr>
          <w:rFonts w:hint="eastAsia" w:ascii="宋体" w:hAnsi="宋体" w:eastAsia="宋体" w:cs="宋体"/>
          <w:bCs/>
          <w:snapToGrid w:val="0"/>
          <w:color w:val="auto"/>
          <w:kern w:val="0"/>
          <w:sz w:val="24"/>
          <w:szCs w:val="24"/>
          <w:highlight w:val="none"/>
          <w:u w:val="single"/>
        </w:rPr>
        <w:t xml:space="preserve"> 3% </w:t>
      </w:r>
      <w:r>
        <w:rPr>
          <w:rFonts w:hint="eastAsia" w:ascii="宋体" w:hAnsi="宋体" w:eastAsia="宋体" w:cs="宋体"/>
          <w:bCs/>
          <w:snapToGrid w:val="0"/>
          <w:color w:val="auto"/>
          <w:kern w:val="0"/>
          <w:sz w:val="24"/>
          <w:szCs w:val="24"/>
          <w:highlight w:val="none"/>
        </w:rPr>
        <w:t>的质量保证。</w:t>
      </w:r>
    </w:p>
    <w:p w14:paraId="7C4AB571">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15.2</w:t>
      </w:r>
      <w:r>
        <w:rPr>
          <w:rFonts w:hint="eastAsia" w:ascii="宋体" w:hAnsi="宋体" w:eastAsia="宋体" w:cs="宋体"/>
          <w:bCs/>
          <w:snapToGrid w:val="0"/>
          <w:color w:val="auto"/>
          <w:kern w:val="0"/>
          <w:sz w:val="24"/>
          <w:szCs w:val="24"/>
          <w:highlight w:val="none"/>
        </w:rPr>
        <w:t xml:space="preserve"> 质量保证的形式包括质量保证金、质量保证担保、质量保证保险三种，由承包人自主选择。</w:t>
      </w:r>
    </w:p>
    <w:p w14:paraId="6DCFA31D">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（1）采用质量保证金形式的，在结清审定总造价时一次性扣留相应金额作为质量保证金。</w:t>
      </w:r>
    </w:p>
    <w:p w14:paraId="1556FF04">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（2）采用质量保证担保或质量保证保险的，承包人应在竣工验收时向发包人提交有效的银行保函或保险合同（或保险单）原件，银行保函或保险合同（或保险单）的有效期不得短于缺陷责任期。</w:t>
      </w:r>
    </w:p>
    <w:p w14:paraId="1F4F27D1">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15.3</w:t>
      </w:r>
      <w:r>
        <w:rPr>
          <w:rFonts w:hint="eastAsia" w:ascii="宋体" w:hAnsi="宋体" w:eastAsia="宋体" w:cs="宋体"/>
          <w:bCs/>
          <w:snapToGrid w:val="0"/>
          <w:color w:val="auto"/>
          <w:kern w:val="0"/>
          <w:sz w:val="24"/>
          <w:szCs w:val="24"/>
          <w:highlight w:val="none"/>
        </w:rPr>
        <w:t xml:space="preserve"> 缺陷责任期内，由承包人原因造成的缺陷，承包人应负责维修，并承担鉴定及维修费用。如果承包人不维修也不承担费用，发包人可按合同约定从质量保证中扣除，维修费用超出保证金额的，发包人可按合同约定向承包人进行索赔。承包人维修并承担相应费用后，不免除对工程的损失赔偿责任。</w:t>
      </w:r>
    </w:p>
    <w:p w14:paraId="615FD6B9">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Cs/>
          <w:snapToGrid w:val="0"/>
          <w:color w:val="auto"/>
          <w:kern w:val="0"/>
          <w:sz w:val="24"/>
          <w:szCs w:val="24"/>
          <w:highlight w:val="none"/>
        </w:rPr>
        <w:t>由他人原因造成的缺陷，发包人负责组织维修，承包人不承担费用，且发包人不得从质量保证中扣除费用。</w:t>
      </w:r>
    </w:p>
    <w:p w14:paraId="3EB47F0B">
      <w:pPr>
        <w:wordWrap w:val="0"/>
        <w:adjustRightInd w:val="0"/>
        <w:snapToGrid w:val="0"/>
        <w:spacing w:line="440" w:lineRule="exact"/>
        <w:ind w:firstLine="560"/>
        <w:rPr>
          <w:rFonts w:hint="eastAsia" w:ascii="宋体" w:hAnsi="宋体" w:eastAsia="宋体" w:cs="宋体"/>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15.4</w:t>
      </w:r>
      <w:r>
        <w:rPr>
          <w:rFonts w:hint="eastAsia" w:ascii="宋体" w:hAnsi="宋体" w:eastAsia="宋体" w:cs="宋体"/>
          <w:bCs/>
          <w:snapToGrid w:val="0"/>
          <w:color w:val="auto"/>
          <w:kern w:val="0"/>
          <w:sz w:val="24"/>
          <w:szCs w:val="24"/>
          <w:highlight w:val="none"/>
        </w:rPr>
        <w:t xml:space="preserve"> 缺陷责任期内，承包人应认真履行合同约定的责任。缺陷责任期到期后，承包人向发包人申请退还质量保证，发包人应按照《建设工程质量保证金管理办法》有关规定将质量保证退还给承包人。</w:t>
      </w:r>
    </w:p>
    <w:p w14:paraId="293891AF">
      <w:pPr>
        <w:wordWrap w:val="0"/>
        <w:adjustRightInd w:val="0"/>
        <w:snapToGrid w:val="0"/>
        <w:spacing w:line="440" w:lineRule="exact"/>
        <w:ind w:firstLine="560"/>
        <w:rPr>
          <w:rFonts w:hint="eastAsia" w:ascii="宋体" w:hAnsi="宋体" w:eastAsia="宋体" w:cs="宋体"/>
          <w:b/>
          <w:bCs/>
          <w:snapToGrid w:val="0"/>
          <w:color w:val="auto"/>
          <w:kern w:val="0"/>
          <w:sz w:val="24"/>
          <w:szCs w:val="24"/>
          <w:highlight w:val="none"/>
        </w:rPr>
      </w:pPr>
    </w:p>
    <w:p w14:paraId="1FEB90D1">
      <w:pPr>
        <w:wordWrap w:val="0"/>
        <w:adjustRightInd w:val="0"/>
        <w:snapToGrid w:val="0"/>
        <w:spacing w:line="440" w:lineRule="exact"/>
        <w:ind w:firstLine="482" w:firstLineChars="200"/>
        <w:outlineLvl w:val="2"/>
        <w:rPr>
          <w:rFonts w:hint="eastAsia" w:ascii="宋体" w:hAnsi="宋体" w:eastAsia="宋体" w:cs="宋体"/>
          <w:strike/>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16</w:t>
      </w:r>
      <w:r>
        <w:rPr>
          <w:rFonts w:hint="eastAsia" w:ascii="宋体" w:hAnsi="宋体" w:eastAsia="宋体" w:cs="宋体"/>
          <w:b/>
          <w:snapToGrid w:val="0"/>
          <w:color w:val="auto"/>
          <w:kern w:val="0"/>
          <w:sz w:val="24"/>
          <w:szCs w:val="24"/>
          <w:highlight w:val="none"/>
        </w:rPr>
        <w:t>．不良行为处理</w:t>
      </w:r>
    </w:p>
    <w:p w14:paraId="2C971214">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承包人及其有关人员有下列行为之一的，发包人应及时向建设行政主管部门报告。除按照有关法律、法规进行处罚外，不良行为将计入企业及有关个人诚信档案，并在韶关市住房和城乡建设管理局网站（http://zgj.sg.gov.cn）公示。</w:t>
      </w:r>
    </w:p>
    <w:p w14:paraId="7825FCE6">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（1）转包、违法分包或违反投标承诺分包工程的；</w:t>
      </w:r>
    </w:p>
    <w:p w14:paraId="0F4B92A8">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（2）非原参加投标中标的项目经理负责组织施工或在实施过程中擅自更换项目经理的、项目的其他主要管理人员与中标文件确定的人员不相符的；</w:t>
      </w:r>
    </w:p>
    <w:p w14:paraId="134DEA0A">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（3）投标文件确定的大型机械设备没有进入施工现场的；</w:t>
      </w:r>
    </w:p>
    <w:p w14:paraId="0B6C3466">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（4）与建设单位、监理单位串通，签认虚假工程量或工程造价的；</w:t>
      </w:r>
    </w:p>
    <w:p w14:paraId="4C6C9552">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（5）项目经理施工现场管理不到位的；</w:t>
      </w:r>
    </w:p>
    <w:p w14:paraId="2B848F2F">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（6）项目经理在非本人资格证书注册单位从事工程项目施工管理的；</w:t>
      </w:r>
    </w:p>
    <w:p w14:paraId="36AAE4A1">
      <w:pPr>
        <w:pStyle w:val="47"/>
        <w:wordWrap w:val="0"/>
        <w:adjustRightInd w:val="0"/>
        <w:snapToGrid w:val="0"/>
        <w:spacing w:line="440" w:lineRule="exact"/>
        <w:ind w:firstLine="480" w:firstLineChars="200"/>
        <w:jc w:val="lef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（7）项目经理同时承担超过一项工程项目的；</w:t>
      </w:r>
    </w:p>
    <w:p w14:paraId="1323669F">
      <w:pPr>
        <w:pStyle w:val="47"/>
        <w:wordWrap w:val="0"/>
        <w:adjustRightInd w:val="0"/>
        <w:snapToGrid w:val="0"/>
        <w:spacing w:line="440" w:lineRule="exact"/>
        <w:ind w:firstLine="480" w:firstLineChars="200"/>
        <w:jc w:val="left"/>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（8）违反有关法律、法规、规章规定的其它行为。</w:t>
      </w:r>
    </w:p>
    <w:p w14:paraId="57A7835C">
      <w:pPr>
        <w:pStyle w:val="47"/>
        <w:wordWrap w:val="0"/>
        <w:adjustRightInd w:val="0"/>
        <w:snapToGrid w:val="0"/>
        <w:spacing w:line="440" w:lineRule="exact"/>
        <w:ind w:firstLine="482" w:firstLineChars="200"/>
        <w:jc w:val="left"/>
        <w:outlineLvl w:val="2"/>
        <w:rPr>
          <w:rFonts w:hint="eastAsia" w:ascii="宋体" w:hAnsi="宋体" w:eastAsia="宋体" w:cs="宋体"/>
          <w:b/>
          <w:bCs/>
          <w:snapToGrid w:val="0"/>
          <w:color w:val="auto"/>
          <w:kern w:val="0"/>
          <w:sz w:val="24"/>
          <w:szCs w:val="24"/>
          <w:highlight w:val="none"/>
        </w:rPr>
      </w:pPr>
      <w:r>
        <w:rPr>
          <w:rFonts w:hint="eastAsia" w:ascii="宋体" w:hAnsi="宋体" w:eastAsia="宋体" w:cs="宋体"/>
          <w:b/>
          <w:bCs/>
          <w:snapToGrid w:val="0"/>
          <w:color w:val="auto"/>
          <w:kern w:val="0"/>
          <w:sz w:val="24"/>
          <w:szCs w:val="24"/>
          <w:highlight w:val="none"/>
        </w:rPr>
        <w:t>17</w:t>
      </w:r>
      <w:r>
        <w:rPr>
          <w:rFonts w:hint="eastAsia" w:ascii="宋体" w:hAnsi="宋体" w:eastAsia="宋体" w:cs="宋体"/>
          <w:b/>
          <w:snapToGrid w:val="0"/>
          <w:color w:val="auto"/>
          <w:kern w:val="0"/>
          <w:sz w:val="24"/>
          <w:szCs w:val="24"/>
          <w:highlight w:val="none"/>
        </w:rPr>
        <w:t>．</w:t>
      </w:r>
      <w:r>
        <w:rPr>
          <w:rFonts w:hint="eastAsia" w:ascii="宋体" w:hAnsi="宋体" w:eastAsia="宋体" w:cs="宋体"/>
          <w:b/>
          <w:bCs/>
          <w:snapToGrid w:val="0"/>
          <w:color w:val="auto"/>
          <w:kern w:val="0"/>
          <w:sz w:val="24"/>
          <w:szCs w:val="24"/>
          <w:highlight w:val="none"/>
        </w:rPr>
        <w:t>信用评价条款内容</w:t>
      </w:r>
    </w:p>
    <w:p w14:paraId="40A83BAF">
      <w:pPr>
        <w:pStyle w:val="49"/>
        <w:wordWrap w:val="0"/>
        <w:adjustRightInd w:val="0"/>
        <w:snapToGrid w:val="0"/>
        <w:spacing w:line="440" w:lineRule="exact"/>
        <w:ind w:firstLine="560"/>
        <w:rPr>
          <w:rFonts w:hint="eastAsia" w:ascii="宋体" w:hAnsi="宋体" w:eastAsia="宋体" w:cs="宋体"/>
          <w:b/>
          <w:bCs/>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由招标人决定是否对施工单位的履约情况进行信用评价。若进行信用评价，评价条款由招标人自拟，条款内容可参考人员到位情况、服务配合程度、服务成果质量、项目后期服务及信用评价结果的运用等。</w:t>
      </w:r>
    </w:p>
    <w:p w14:paraId="5D80D4CA">
      <w:pPr>
        <w:bidi w:val="0"/>
        <w:rPr>
          <w:rFonts w:hint="eastAsia" w:ascii="宋体" w:hAnsi="宋体" w:eastAsia="宋体" w:cs="宋体"/>
          <w:color w:val="auto"/>
          <w:sz w:val="24"/>
          <w:szCs w:val="24"/>
          <w:highlight w:val="none"/>
        </w:rPr>
      </w:pPr>
      <w:bookmarkStart w:id="261" w:name="_Toc14079368"/>
      <w:bookmarkStart w:id="262" w:name="_Toc30736"/>
    </w:p>
    <w:p w14:paraId="17ACD083">
      <w:pPr>
        <w:pStyle w:val="4"/>
        <w:wordWrap w:val="0"/>
        <w:snapToGrid w:val="0"/>
        <w:spacing w:line="360" w:lineRule="auto"/>
        <w:ind w:firstLine="482" w:firstLineChars="200"/>
        <w:rPr>
          <w:rFonts w:hint="eastAsia" w:ascii="宋体" w:hAnsi="宋体" w:eastAsia="宋体" w:cs="宋体"/>
          <w:bCs/>
          <w:snapToGrid w:val="0"/>
          <w:color w:val="auto"/>
          <w:sz w:val="24"/>
          <w:szCs w:val="24"/>
          <w:highlight w:val="none"/>
        </w:rPr>
      </w:pPr>
      <w:bookmarkStart w:id="263" w:name="_Toc28557"/>
      <w:bookmarkStart w:id="264" w:name="_Toc11642"/>
      <w:bookmarkStart w:id="265" w:name="_Toc20256"/>
      <w:bookmarkStart w:id="266" w:name="_Toc31280"/>
      <w:bookmarkStart w:id="267" w:name="_Toc2332"/>
      <w:bookmarkStart w:id="268" w:name="_Toc39136346"/>
      <w:bookmarkStart w:id="269" w:name="_Toc27448"/>
      <w:r>
        <w:rPr>
          <w:rFonts w:hint="eastAsia" w:ascii="宋体" w:hAnsi="宋体" w:eastAsia="宋体" w:cs="宋体"/>
          <w:bCs/>
          <w:snapToGrid w:val="0"/>
          <w:color w:val="auto"/>
          <w:sz w:val="24"/>
          <w:szCs w:val="24"/>
          <w:highlight w:val="none"/>
        </w:rPr>
        <w:t>18．其他事项</w:t>
      </w:r>
      <w:bookmarkEnd w:id="261"/>
      <w:bookmarkEnd w:id="262"/>
      <w:bookmarkEnd w:id="263"/>
      <w:bookmarkEnd w:id="264"/>
      <w:bookmarkEnd w:id="265"/>
      <w:bookmarkEnd w:id="266"/>
      <w:bookmarkEnd w:id="267"/>
      <w:bookmarkEnd w:id="268"/>
      <w:bookmarkEnd w:id="269"/>
    </w:p>
    <w:p w14:paraId="221E0FF4">
      <w:pPr>
        <w:pStyle w:val="49"/>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w:t>
      </w:r>
      <w:r>
        <w:rPr>
          <w:rFonts w:hint="eastAsia" w:ascii="宋体" w:hAnsi="宋体" w:eastAsia="宋体" w:cs="宋体"/>
          <w:color w:val="auto"/>
          <w:sz w:val="24"/>
          <w:szCs w:val="24"/>
          <w:highlight w:val="none"/>
          <w:shd w:val="clear" w:color="auto" w:fill="FFFFFF"/>
        </w:rPr>
        <w:t>中标人须为招标人提供现场管理的交通便利（开工至质保期满）。中标人不得以任何理由提出任何费用及补偿要求。</w:t>
      </w:r>
    </w:p>
    <w:p w14:paraId="52BE9660">
      <w:pPr>
        <w:pStyle w:val="49"/>
        <w:snapToGrid w:val="0"/>
        <w:spacing w:line="360" w:lineRule="auto"/>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18.2</w:t>
      </w:r>
      <w:r>
        <w:rPr>
          <w:rFonts w:hint="eastAsia" w:ascii="宋体" w:hAnsi="宋体" w:eastAsia="宋体" w:cs="宋体"/>
          <w:color w:val="auto"/>
          <w:sz w:val="24"/>
          <w:szCs w:val="24"/>
          <w:highlight w:val="none"/>
          <w:shd w:val="clear" w:color="auto" w:fill="FFFFFF"/>
        </w:rPr>
        <w:t>中标人须为招标人提供现场办公管理的便利。按工程需要配置办公室、会议室及办公家具、生活设施，配备满足工作需要的办公设备（电脑、打印机、复印机、传真机、办公用品等）。中标人不得以任何理由提出任何费用及补偿要求。</w:t>
      </w:r>
    </w:p>
    <w:p w14:paraId="26E028DB">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18.3</w:t>
      </w:r>
      <w:r>
        <w:rPr>
          <w:rFonts w:hint="eastAsia" w:ascii="宋体" w:hAnsi="宋体" w:eastAsia="宋体" w:cs="宋体"/>
          <w:color w:val="auto"/>
          <w:sz w:val="24"/>
          <w:szCs w:val="24"/>
          <w:highlight w:val="none"/>
          <w:shd w:val="clear" w:color="auto" w:fill="FFFFFF"/>
        </w:rPr>
        <w:t>中标人须服从工程监理单位对工程质量全方位的监理，施工中的年度计划、季度计划、月度计划、施工方案等应报送监理单位审批和招标人备案。施工中的质量保证等资料均应及时报送监理单位和招标人备案。</w:t>
      </w:r>
    </w:p>
    <w:p w14:paraId="5B47C277">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18.4</w:t>
      </w:r>
      <w:r>
        <w:rPr>
          <w:rFonts w:hint="eastAsia" w:ascii="宋体" w:hAnsi="宋体" w:eastAsia="宋体" w:cs="宋体"/>
          <w:color w:val="auto"/>
          <w:sz w:val="24"/>
          <w:szCs w:val="24"/>
          <w:highlight w:val="none"/>
          <w:shd w:val="clear" w:color="auto" w:fill="FFFFFF"/>
        </w:rPr>
        <w:t>工程竣工验收后15日内，中标人应按市城建档案馆的要求（质量、数量），将编制成册的施工档案资料（含声像档案和电子档案）提供给招标人、市城建档案馆、住建局、质量监督单位及监理单位，并承担档案涉及的所有费用（制作标准和相关要求按市城建档案馆的有关规定执行）。中标人提交符合城建档案馆要求的竣工资料经招标人确认签收后，即可办理工程结算手续。</w:t>
      </w:r>
    </w:p>
    <w:p w14:paraId="4FD00BCB">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18.5</w:t>
      </w:r>
      <w:r>
        <w:rPr>
          <w:rFonts w:hint="eastAsia" w:ascii="宋体" w:hAnsi="宋体" w:eastAsia="宋体" w:cs="宋体"/>
          <w:color w:val="auto"/>
          <w:sz w:val="24"/>
          <w:szCs w:val="24"/>
          <w:highlight w:val="none"/>
          <w:shd w:val="clear" w:color="auto" w:fill="FFFFFF"/>
        </w:rPr>
        <w:t>为保证施工现场的环境卫生，中标人在本工程施工过程中，所有的车辆必须按招标人规定的行车路线行驶。并负责施工现场及受施工影响周边道路的卫生。</w:t>
      </w:r>
    </w:p>
    <w:p w14:paraId="7A5AC617">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18.6</w:t>
      </w:r>
      <w:r>
        <w:rPr>
          <w:rFonts w:hint="eastAsia" w:ascii="宋体" w:hAnsi="宋体" w:eastAsia="宋体" w:cs="宋体"/>
          <w:color w:val="auto"/>
          <w:sz w:val="24"/>
          <w:szCs w:val="24"/>
          <w:highlight w:val="none"/>
          <w:shd w:val="clear" w:color="auto" w:fill="FFFFFF"/>
        </w:rPr>
        <w:t>中标人应按招标人确认后的主要材料的规格、颜色要求采购。如变更规格或颜色，必须经招标人同意，并报有关审核部门重新核定单价后方可采购，并相应调整工程造价。主要材料必须先提供样板给招标人确定其规格、颜色、等级等，然后方可使用。</w:t>
      </w:r>
    </w:p>
    <w:p w14:paraId="64228AFA">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18.7</w:t>
      </w:r>
      <w:r>
        <w:rPr>
          <w:rFonts w:hint="eastAsia" w:ascii="宋体" w:hAnsi="宋体" w:eastAsia="宋体" w:cs="宋体"/>
          <w:color w:val="auto"/>
          <w:sz w:val="24"/>
          <w:szCs w:val="24"/>
          <w:highlight w:val="none"/>
          <w:shd w:val="clear" w:color="auto" w:fill="FFFFFF"/>
        </w:rPr>
        <w:t>中标人须按工程所在地关于建筑渣土管理和扬尘治理等有关规定执行。</w:t>
      </w:r>
    </w:p>
    <w:p w14:paraId="0DC322FB">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18.8</w:t>
      </w:r>
      <w:r>
        <w:rPr>
          <w:rFonts w:hint="eastAsia" w:ascii="宋体" w:hAnsi="宋体" w:eastAsia="宋体" w:cs="宋体"/>
          <w:color w:val="auto"/>
          <w:sz w:val="24"/>
          <w:szCs w:val="24"/>
          <w:highlight w:val="none"/>
          <w:shd w:val="clear" w:color="auto" w:fill="FFFFFF"/>
        </w:rPr>
        <w:t>中标人应已详细了解本项目的前期工作（包括征地拆迁），同时也应已勘察施工现场、周围环境、地形、地貌、水文、交通等情况。中标人投标报价应已充分考虑在施工中由于招标人原因造成停工或工期延误等因素所产生的相关费用，招标人不予另计费；中标人不得以不完全了解项目的前期工作及现场情况为理由，提出因外界因素造成停工或工期延误的额外付款要求；对此类要求，招标人不作任何考虑及答复。</w:t>
      </w:r>
    </w:p>
    <w:p w14:paraId="64FE8FBF">
      <w:pPr>
        <w:pStyle w:val="49"/>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如因招标人原因（自然灾害等不可抗力因素除外），工程不能按期开工，或开工后全部停滞，工期按相关规定予以顺延。停工发生后，若可复工时，中标人应在收到招标人发出的复工通知书后3日内开始复工。</w:t>
      </w:r>
    </w:p>
    <w:p w14:paraId="6DE25CF3">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18.9</w:t>
      </w:r>
      <w:r>
        <w:rPr>
          <w:rFonts w:hint="eastAsia" w:ascii="宋体" w:hAnsi="宋体" w:eastAsia="宋体" w:cs="宋体"/>
          <w:color w:val="auto"/>
          <w:sz w:val="24"/>
          <w:szCs w:val="24"/>
          <w:highlight w:val="none"/>
          <w:shd w:val="clear" w:color="auto" w:fill="FFFFFF"/>
        </w:rPr>
        <w:t>若设计超过了限额标准，中标人必须无条件优化，直至达到限额要求为止，设计及施工工期不予以顺延，招标人不再支付由此而增加的设计费。</w:t>
      </w:r>
    </w:p>
    <w:p w14:paraId="461F1273">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18.10</w:t>
      </w:r>
      <w:r>
        <w:rPr>
          <w:rFonts w:hint="eastAsia" w:ascii="宋体" w:hAnsi="宋体" w:eastAsia="宋体" w:cs="宋体"/>
          <w:color w:val="auto"/>
          <w:sz w:val="24"/>
          <w:szCs w:val="24"/>
          <w:highlight w:val="none"/>
          <w:shd w:val="clear" w:color="auto" w:fill="FFFFFF"/>
        </w:rPr>
        <w:t>施工图设计通过招标人确，若由于审查过程中提出的设计修改或变更，中标人必须无条件进行修改或优化设计，招标人不再支付由此而增加的设计费用。</w:t>
      </w:r>
    </w:p>
    <w:p w14:paraId="6905A88B">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18.11</w:t>
      </w:r>
      <w:r>
        <w:rPr>
          <w:rFonts w:hint="eastAsia" w:ascii="宋体" w:hAnsi="宋体" w:eastAsia="宋体" w:cs="宋体"/>
          <w:color w:val="auto"/>
          <w:sz w:val="24"/>
          <w:szCs w:val="24"/>
          <w:highlight w:val="none"/>
          <w:shd w:val="clear" w:color="auto" w:fill="FFFFFF"/>
        </w:rPr>
        <w:t>增加工程造价在施工14天前中标人必须提供详细的报价书（含工程项目名称、变更部位、理由、预计造价等）给监理单位核实并报招标人或有关审核部门核定后，方可施工。</w:t>
      </w:r>
    </w:p>
    <w:p w14:paraId="64C0C65D">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18.12</w:t>
      </w:r>
      <w:r>
        <w:rPr>
          <w:rFonts w:hint="eastAsia" w:ascii="宋体" w:hAnsi="宋体" w:eastAsia="宋体" w:cs="宋体"/>
          <w:color w:val="auto"/>
          <w:sz w:val="24"/>
          <w:szCs w:val="24"/>
          <w:highlight w:val="none"/>
          <w:shd w:val="clear" w:color="auto" w:fill="FFFFFF"/>
        </w:rPr>
        <w:t>中标人在施工图设计前，要充分进行市场调查，主要材料、设备在满足设计规范及建设标准的情况下，尽量采用造价管理机构发布的信息价中有相应型号、规格的标准材料，若必须采用非标准材料的，必须经招标人同意，否则参照信息价中相近且低于其标准的材料信息价作为该项材料的结算价。施工图设计工作须经招标人审核通过后方可进行下一步设计。</w:t>
      </w:r>
    </w:p>
    <w:p w14:paraId="5D691C88">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w:t>
      </w:r>
      <w:r>
        <w:rPr>
          <w:rFonts w:hint="eastAsia" w:ascii="宋体" w:hAnsi="宋体" w:eastAsia="宋体" w:cs="宋体"/>
          <w:color w:val="auto"/>
          <w:sz w:val="24"/>
          <w:szCs w:val="24"/>
          <w:highlight w:val="none"/>
          <w:shd w:val="clear" w:color="auto" w:fill="FFFFFF"/>
        </w:rPr>
        <w:t>依据《关于进一步明确EPC建设工程财政投资评审工作有关事项的通知》（韶财建【2018】6号）文件，本项目有关具体事项如下：</w:t>
      </w:r>
    </w:p>
    <w:p w14:paraId="78D76EBF">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18.13.1</w:t>
      </w:r>
      <w:r>
        <w:rPr>
          <w:rFonts w:hint="eastAsia" w:ascii="宋体" w:hAnsi="宋体" w:eastAsia="宋体" w:cs="宋体"/>
          <w:color w:val="auto"/>
          <w:sz w:val="24"/>
          <w:szCs w:val="24"/>
          <w:highlight w:val="none"/>
          <w:shd w:val="clear" w:color="auto" w:fill="FFFFFF"/>
        </w:rPr>
        <w:t>承包人应按合同专用条款约定时间提交施工图设计文件、图纸及相关资料后按节点要求上报施工图工程量清单、预算。</w:t>
      </w:r>
    </w:p>
    <w:p w14:paraId="06421CCB">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18.13.2</w:t>
      </w:r>
      <w:r>
        <w:rPr>
          <w:rFonts w:hint="eastAsia" w:ascii="宋体" w:hAnsi="宋体" w:eastAsia="宋体" w:cs="宋体"/>
          <w:color w:val="auto"/>
          <w:sz w:val="24"/>
          <w:szCs w:val="24"/>
          <w:highlight w:val="none"/>
          <w:shd w:val="clear" w:color="auto" w:fill="FFFFFF"/>
        </w:rPr>
        <w:t>承包人必须根据已批准的有关文件深化和优化设计，保证设计文件的深度；因承包人原因造成设计文件存在遭漏、错误、缺陷和不足导致造价增加由承包人负责；在实施过程中的设计优化，不得增加工程造价；确因发包人原因、法律法规调整或者不可抗力造成的设计变更，按工程变更处理。</w:t>
      </w:r>
    </w:p>
    <w:p w14:paraId="46BB1B2D">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18.13.3</w:t>
      </w:r>
      <w:r>
        <w:rPr>
          <w:rFonts w:hint="eastAsia" w:ascii="宋体" w:hAnsi="宋体" w:eastAsia="宋体" w:cs="宋体"/>
          <w:color w:val="auto"/>
          <w:sz w:val="24"/>
          <w:szCs w:val="24"/>
          <w:highlight w:val="none"/>
          <w:shd w:val="clear" w:color="auto" w:fill="FFFFFF"/>
        </w:rPr>
        <w:t>燃气、通信、电力等专业工程设计、施工方案需要相关部门审批的必须通过审查；在实施过程中由于设计、施工原因导致整体方案改变的，按设计遗漏、错误、缺陷和不足及施工方案不足处理，增加工程造价由承包人负责及承担费用。承包人因勘察不全面导致施工破坏地下管线的由承包人承担全部损失及责任。</w:t>
      </w:r>
    </w:p>
    <w:p w14:paraId="407587BF">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18.13.4</w:t>
      </w:r>
      <w:r>
        <w:rPr>
          <w:rFonts w:hint="eastAsia" w:ascii="宋体" w:hAnsi="宋体" w:eastAsia="宋体" w:cs="宋体"/>
          <w:color w:val="auto"/>
          <w:sz w:val="24"/>
          <w:szCs w:val="24"/>
          <w:highlight w:val="none"/>
          <w:shd w:val="clear" w:color="auto" w:fill="FFFFFF"/>
        </w:rPr>
        <w:t>承包人不得在设计文件中或以口头暗示方式指定工程物资供货商或者制造厂，只有唯一厂家除外；承包人应通过招标等竞争性方式选择供货商或制造厂。</w:t>
      </w:r>
    </w:p>
    <w:p w14:paraId="7977D973">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18.13.5</w:t>
      </w:r>
      <w:r>
        <w:rPr>
          <w:rFonts w:hint="eastAsia" w:ascii="宋体" w:hAnsi="宋体" w:eastAsia="宋体" w:cs="宋体"/>
          <w:color w:val="auto"/>
          <w:sz w:val="24"/>
          <w:szCs w:val="24"/>
          <w:highlight w:val="none"/>
          <w:shd w:val="clear" w:color="auto" w:fill="FFFFFF"/>
        </w:rPr>
        <w:t>主要设备、管材(主材)以及专业工程结算报审要求</w:t>
      </w:r>
    </w:p>
    <w:p w14:paraId="70FA8867">
      <w:pPr>
        <w:pStyle w:val="49"/>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主要设备、管材(主材) 以及专业工程等在工程预算中以“暂估价”形式包括在总承包范围内进行单列的，实施时确定规格型号、参数及档次、询价确价须经过有关承包人充分协商一致并形成书面材料；设备、管材(主材) 采购额达到依法招标条件的，应按国家相关规定采用招标方式确定设备、管材(主材) 供货商或制造厂和价格；结算时需提供选型、确价、实施采购、招标等决策过程文件，互相佐证的采购(招标)文件、投标文件、合同、发票、银行转账单等依据，专业工程需提供图纸等相关完整资料。</w:t>
      </w:r>
    </w:p>
    <w:p w14:paraId="016F6CC5">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18.13.6</w:t>
      </w:r>
      <w:r>
        <w:rPr>
          <w:rFonts w:hint="eastAsia" w:ascii="宋体" w:hAnsi="宋体" w:eastAsia="宋体" w:cs="宋体"/>
          <w:color w:val="auto"/>
          <w:sz w:val="24"/>
          <w:szCs w:val="24"/>
          <w:highlight w:val="none"/>
          <w:shd w:val="clear" w:color="auto" w:fill="FFFFFF"/>
        </w:rPr>
        <w:t>承包人不得为了用完设计限额额度，擅自扩大建设规模、增加建设内容、提高建设标准的行为，因此导致造价增加由承包人负责及承担费用。</w:t>
      </w:r>
    </w:p>
    <w:p w14:paraId="22CACD1D">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18.14</w:t>
      </w:r>
      <w:r>
        <w:rPr>
          <w:rFonts w:hint="eastAsia" w:ascii="宋体" w:hAnsi="宋体" w:eastAsia="宋体" w:cs="宋体"/>
          <w:color w:val="auto"/>
          <w:sz w:val="24"/>
          <w:szCs w:val="24"/>
          <w:highlight w:val="none"/>
          <w:shd w:val="clear" w:color="auto" w:fill="FFFFFF"/>
        </w:rPr>
        <w:t>工程质量保修期按《中华人民共和国建筑法》、《建设工程质量管理条例》等相关规定实施。</w:t>
      </w:r>
    </w:p>
    <w:p w14:paraId="4EE75984">
      <w:pPr>
        <w:pStyle w:val="49"/>
        <w:snapToGrid w:val="0"/>
        <w:ind w:firstLine="482"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b/>
          <w:bCs/>
          <w:color w:val="auto"/>
          <w:sz w:val="24"/>
          <w:szCs w:val="24"/>
          <w:highlight w:val="none"/>
          <w:shd w:val="clear" w:color="auto" w:fill="FFFFFF"/>
        </w:rPr>
        <w:t>18.15</w:t>
      </w:r>
      <w:r>
        <w:rPr>
          <w:rFonts w:hint="eastAsia" w:ascii="宋体" w:hAnsi="宋体" w:eastAsia="宋体" w:cs="宋体"/>
          <w:color w:val="auto"/>
          <w:sz w:val="24"/>
          <w:szCs w:val="24"/>
          <w:highlight w:val="none"/>
          <w:shd w:val="clear" w:color="auto" w:fill="FFFFFF"/>
        </w:rPr>
        <w:t>（一）用人单位应当在建设项目动工前，在建设项目所在地商业银行设立工人工资支付专用账户。</w:t>
      </w:r>
    </w:p>
    <w:p w14:paraId="2A8D7CA6">
      <w:pPr>
        <w:pStyle w:val="49"/>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（二）用人单位应当在用工之日起15日内为每一位工人办理个人银行账户。</w:t>
      </w:r>
    </w:p>
    <w:p w14:paraId="4FBB98FF">
      <w:pPr>
        <w:pStyle w:val="49"/>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（三）用人单位应当指定专人负责建设项目施工现场台账管理，真实、准确记录工人名册、劳务合同、劳动合同、工程进度、工时台账、劳务承包款和工人工资支付等信息，并保存两年以上备查。</w:t>
      </w:r>
    </w:p>
    <w:p w14:paraId="33F9452B">
      <w:pPr>
        <w:pStyle w:val="49"/>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四）用人单位应当按照“及时支付，按实结算”的原则，在规定日期前通过银行工人工资支付专用账户将工人工资直接支付到工人的个人银行账户，并按月将工人工资支付明细表报施工总承包单位和建设单位备案。</w:t>
      </w:r>
    </w:p>
    <w:p w14:paraId="2371AEFD">
      <w:pPr>
        <w:wordWrap w:val="0"/>
        <w:adjustRightInd w:val="0"/>
        <w:snapToGrid w:val="0"/>
        <w:ind w:firstLine="480" w:firstLineChars="20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rPr>
        <w:t>用人单位未建立、保存用工管理台账，或者伪造相关台账的，按照《广东省劳动保障监察条例》第五十条的规定，由人力资源社会保障部门责令改正，并可处以二千元以上二万元以下的人民币罚款。</w:t>
      </w:r>
    </w:p>
    <w:p w14:paraId="248D19B7">
      <w:pPr>
        <w:snapToGrid w:val="0"/>
        <w:spacing w:line="44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b/>
          <w:bCs/>
          <w:color w:val="auto"/>
          <w:sz w:val="24"/>
          <w:szCs w:val="24"/>
          <w:highlight w:val="none"/>
          <w:shd w:val="clear" w:color="auto" w:fill="FFFFFF"/>
        </w:rPr>
        <w:t>8.16</w:t>
      </w:r>
      <w:r>
        <w:rPr>
          <w:rFonts w:hint="eastAsia" w:ascii="宋体" w:hAnsi="宋体" w:eastAsia="宋体" w:cs="宋体"/>
          <w:color w:val="auto"/>
          <w:sz w:val="24"/>
          <w:szCs w:val="24"/>
          <w:highlight w:val="none"/>
        </w:rPr>
        <w:t>按照《广东省住房和城乡建设厅关于建设工程项目招标中标后监督检查的办法》（粤建市〔2009〕8号）和《韶关市住房和城乡建设局关于加强房屋建筑和市政工程项目招标中标后监督检查的通知》（韶市建字〔2014〕145号）等相关法律法规。中标人中标之后，工程施工项目负责人和项目管理班子其他成员必须是该工程中标时所承诺的项目管理班子成员。</w:t>
      </w:r>
    </w:p>
    <w:p w14:paraId="2AD2BF83">
      <w:pPr>
        <w:snapToGrid w:val="0"/>
        <w:spacing w:line="440" w:lineRule="exact"/>
        <w:ind w:firstLine="56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管理班子成员不得擅自变更，项目管理班子成员因有粤建市〔2009〕8号第九条所述情形之一确属不能履行职责需要变更的，施工或监理单位应向建设行政主管部门填报《建设工程项目管理班子变更情况报告表》并附上有关证明文件，经建设行政主管部门审核同意方可变更。更换后的项目经理与中标单位的投标文件所确定的项目负责人或总监理工程师的主要条件一致。</w:t>
      </w:r>
    </w:p>
    <w:p w14:paraId="2AA67756">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若中标单位有下列行为之一的，除依照有关法律、法规进行处罚外，将通过市建设与房地产信息网站予以及时曝光，并作为今后该单位参与投标的评分扣分依据直至取消投标资格。</w:t>
      </w:r>
    </w:p>
    <w:p w14:paraId="300842E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 转包、违法分包或违反投标承诺分包工程的；   </w:t>
      </w:r>
    </w:p>
    <w:p w14:paraId="7848F57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 非原参加投标中标的项目经理负责组织施工或在实施过程违反粤建市〔2009〕8号第九条规定更换项目经理的、项目的其他主要管理人员与中标文件确定的人员不相符的；</w:t>
      </w:r>
    </w:p>
    <w:p w14:paraId="5D1B9BBF">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 投标文件确定的大型机械设备没有进入施工现场的；</w:t>
      </w:r>
    </w:p>
    <w:p w14:paraId="12966B68">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 建设、监理、施工等单位串通，签认虚假工程量或工程造价的；</w:t>
      </w:r>
    </w:p>
    <w:p w14:paraId="69151C1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 施工现场管理不到位的；</w:t>
      </w:r>
    </w:p>
    <w:p w14:paraId="3041A70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 非本人资格证书登记所在的单位从事工程项目施工管理的；</w:t>
      </w:r>
    </w:p>
    <w:p w14:paraId="5B8DCA54">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 项目经理同时承担超过一项工程项目的；</w:t>
      </w:r>
    </w:p>
    <w:p w14:paraId="6C7205A6">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 违反有关法律、法规、规章规定的其它行为。</w:t>
      </w:r>
    </w:p>
    <w:p w14:paraId="1B0975E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b/>
          <w:bCs/>
          <w:color w:val="auto"/>
          <w:sz w:val="24"/>
          <w:szCs w:val="24"/>
          <w:highlight w:val="none"/>
        </w:rPr>
        <w:t>18.17</w:t>
      </w:r>
      <w:r>
        <w:rPr>
          <w:rFonts w:hint="eastAsia" w:ascii="宋体" w:hAnsi="宋体" w:eastAsia="宋体" w:cs="宋体"/>
          <w:color w:val="auto"/>
          <w:sz w:val="24"/>
          <w:szCs w:val="24"/>
          <w:highlight w:val="none"/>
          <w:lang w:val="zh-CN"/>
        </w:rPr>
        <w:t>中标单位必须做好临时道路（含进场道路）的建设与维护及周边环境的保护工作。如临时道路及设施达不到安全文明施工标准的，由招标人组织安排施工队进行维修，实际完成结算由监理单位审定。</w:t>
      </w:r>
    </w:p>
    <w:p w14:paraId="545246F2">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b/>
          <w:color w:val="auto"/>
          <w:sz w:val="24"/>
          <w:szCs w:val="24"/>
          <w:highlight w:val="none"/>
        </w:rPr>
        <w:t>18.</w:t>
      </w:r>
      <w:r>
        <w:rPr>
          <w:rFonts w:hint="eastAsia" w:ascii="宋体" w:hAnsi="宋体" w:eastAsia="宋体" w:cs="宋体"/>
          <w:b/>
          <w:color w:val="auto"/>
          <w:sz w:val="24"/>
          <w:szCs w:val="24"/>
          <w:highlight w:val="none"/>
          <w:lang w:val="en-US" w:eastAsia="zh-CN"/>
        </w:rPr>
        <w:t>18</w:t>
      </w:r>
      <w:r>
        <w:rPr>
          <w:rFonts w:hint="eastAsia" w:ascii="宋体" w:hAnsi="宋体" w:eastAsia="宋体" w:cs="宋体"/>
          <w:b/>
          <w:color w:val="auto"/>
          <w:sz w:val="24"/>
          <w:szCs w:val="24"/>
          <w:highlight w:val="none"/>
        </w:rPr>
        <w:t>中标人违约行为及违约责任条款</w:t>
      </w:r>
    </w:p>
    <w:p w14:paraId="176D358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（一）工程移交延误违约</w:t>
      </w:r>
    </w:p>
    <w:p w14:paraId="567E0A24">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由于设计原因造成设计资料质量不合格，不能满足技术要求或使工期延误的，中标人除应按招标人要求期限返工外，其返工的设计费、施工费用均由中标人承担，并根据受损失程度向招标人支付相应赔偿金。</w:t>
      </w:r>
    </w:p>
    <w:p w14:paraId="7D4E4671">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（2）因中标人的原因</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未按招标人或监理单位开工令要求时间开工的，每迟延开工1 天，应向招标人支付违约金5000 元；迟延开工超过20 天的，招标人有权根据实际情况单方面解除合同。</w:t>
      </w:r>
    </w:p>
    <w:p w14:paraId="18742C6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（3）因中标人的原因造成工期延误</w:t>
      </w:r>
      <w:r>
        <w:rPr>
          <w:rFonts w:hint="eastAsia" w:ascii="宋体" w:hAnsi="宋体" w:eastAsia="宋体" w:cs="宋体"/>
          <w:snapToGrid w:val="0"/>
          <w:color w:val="auto"/>
          <w:kern w:val="0"/>
          <w:sz w:val="24"/>
          <w:szCs w:val="24"/>
          <w:highlight w:val="none"/>
          <w:lang w:eastAsia="zh-CN"/>
        </w:rPr>
        <w:t>（工期自监理单位签发的开工令日期起算）</w:t>
      </w:r>
      <w:r>
        <w:rPr>
          <w:rFonts w:hint="eastAsia" w:ascii="宋体" w:hAnsi="宋体" w:eastAsia="宋体" w:cs="宋体"/>
          <w:color w:val="auto"/>
          <w:sz w:val="24"/>
          <w:szCs w:val="24"/>
          <w:highlight w:val="none"/>
        </w:rPr>
        <w:t>，从延误的第一天起按合同价</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‰向招标人支付违约金，支付违约金上限为工程合同价款的</w:t>
      </w:r>
      <w:r>
        <w:rPr>
          <w:rFonts w:hint="eastAsia" w:ascii="宋体" w:hAnsi="宋体" w:cs="宋体"/>
          <w:color w:val="auto"/>
          <w:sz w:val="24"/>
          <w:szCs w:val="24"/>
          <w:highlight w:val="none"/>
          <w:lang w:val="en-US" w:eastAsia="zh-CN"/>
        </w:rPr>
        <w:t>3</w:t>
      </w:r>
      <w:r>
        <w:rPr>
          <w:rFonts w:hint="eastAsia" w:ascii="宋体" w:hAnsi="宋体" w:eastAsia="宋体" w:cs="宋体"/>
          <w:color w:val="auto"/>
          <w:sz w:val="24"/>
          <w:szCs w:val="24"/>
          <w:highlight w:val="none"/>
        </w:rPr>
        <w:t>%。</w:t>
      </w:r>
    </w:p>
    <w:p w14:paraId="7E295C6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中标人必须按期完成主要工序的施工任务，若属中标人原因逾期达10天未完成主要节点的施工任务时，除按第（1）项约定承担违约责任外，招标人可要求撤换项目负责人，中标人应予以执行，并在总工期不调整的前提下自行消化节点工期的延误。逾期1天，罚款</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000元，逾期30 天未完成主要节点的施工任务时，属中标人进度严重违约行为，招标人可单方面终止合同，将中标人作不良纪录报建设行政主管部门备案。并由中标人承担相应的进度严重违约责任。</w:t>
      </w:r>
    </w:p>
    <w:p w14:paraId="40E26F86">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（5）中标人承担的进度严重违约责任为：如果中标人出现进度严重违约事件，则须无条件接受招标人终止合同，并在接到终止合同通知书之日起5 个日历天内（招标人应予以配合），在监理工程师的监督下退场完毕。退场完毕后由监理工程师出具《退出完结证明书》，并据此进行相关结算。中标人按履约担保金额支付违约金。给招标人造成的损失超过履约担保金额的部分，中标人还应承担赔偿责任。</w:t>
      </w:r>
    </w:p>
    <w:p w14:paraId="01B286F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工程施工过程中（竣工验收前），中标人必须按招标人、监理人的要求及时为专业工程（电信、电力管线、电力走廊、煤气、道路绿化、路灯、交通设施、给水等）提供工作面及为专业工程穿插施工所需各项配合工作给予方便，中标人应在施工方案中充分考虑专业工程穿插施工所需的穿插工作面及工期，由于中标人未能给予专业工程穿插施工，造成总施工工期的延误，施工工期不予顺延，中标人承担由于工期延误所产生的损失。</w:t>
      </w:r>
    </w:p>
    <w:p w14:paraId="4F71C094">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（7）中标人违反合同专用条款的约定和招标人的规定，逾期完成竣工档案的整理、移交、送审备案工作的，每逾期1 天，中标人支付违约金</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w:t>
      </w:r>
    </w:p>
    <w:p w14:paraId="3016C0F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（二）安全、文明施工要求及违约处理：</w:t>
      </w:r>
    </w:p>
    <w:p w14:paraId="745810EA">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按本合同的约定编制施工组织设计（施工方案、包括安全文明施工措施），经过监理人和招标人审核确认后按其施工，不得随意更改。如果根据实际情况确需修改，则需经工程师及招标人审批同意。</w:t>
      </w:r>
    </w:p>
    <w:p w14:paraId="470013D1">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中标人应严格遵守国家、省、市及有关防火、爆破和施工安全以及文明施工、深夜施工、环卫和城市管理等规定，建立规章制度和防护措施，并组织施工。在相关部门的检查中，中标人施工场地被评为不合格工地或被通报批评或下发停工整改通知的或者被新闻媒体曝光的，每发生一次，中标人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000 元违约金，如招标人因此被相关部门处罚的，罚金由中标人承担。</w:t>
      </w:r>
    </w:p>
    <w:p w14:paraId="18EF0C92">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（3）如果中标人未按招投标文件、本合同、《广东省建设厅建筑工程安全防护、文明施工措施费用管理办法》、招标人要求做好绿色施工安全防护相关措施，未在限期内完成整改的，每延期一天，中标人支付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000元违约金。</w:t>
      </w:r>
    </w:p>
    <w:p w14:paraId="0E0ECEBF">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在本工程余泥渣土清运施工和建筑垃圾排放运输时，中标人必须严格执行当地相关管理规定的标准和要求，办齐排放有关证照，雇请有合格准运证车辆和具备资质的运输企业，设立专职人员管理余泥渣土、建筑垃圾的运输工作，并对分包单位依法排放余泥渣土、建筑垃圾进行监管。中标人因违反本款约定所造成的一切责任后果全部由中标人承担。经招标人或相关部门检查发现中标人未执行本款约定的，每发现一次，中标人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元违约金。同时，招标人将根据中标人违反余泥渣土运输管理有关规定而造成的不良后果的严重程度，上报建设行政主管部门进行处理。</w:t>
      </w:r>
    </w:p>
    <w:p w14:paraId="4B2C87F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必须按合同约定的“绿色施工安全防护措施费”足额投入，否则发包人有权自行实施，承包人无条件接受并承担相关费用并接受处罚。招标人根据中标人提供的绿色施工安全防护投入明细经监理单位审核后在合同约定的“绿色施工安全防护措施费”金额内按实结算。</w:t>
      </w:r>
    </w:p>
    <w:p w14:paraId="4CB53AC0">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（三）工程质量方面的违约责任：</w:t>
      </w:r>
    </w:p>
    <w:p w14:paraId="657A22C7">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用于本合同工程所有的材料设备的品牌、型号、规格、质量等符合本合同及招投标文件的要求，严禁假冒伪劣产品，严禁以次充好，严禁未经招标人批准即以其他产品（包括中标人的产品）顶替本合同及招投标文件中规定的产品。中标人在施工中偷工减料、使用不合格的建筑材料、建筑构配件或设备、不按照工程设计图纸、施工技术标准施工，或者未对建筑材料、建筑构配件、设备、商品混凝土进行检验，或者未对涉及结构安全的试块、试件以及有关材料取样送检的，应负责无偿修理或返工，并应支付合同价款千分之三的违约金给招标人。</w:t>
      </w:r>
    </w:p>
    <w:p w14:paraId="17CDDE0B">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（2）设计人对设计资料及文件出现的遗漏或错误负责修改或补充。由于设计错误造成工程质量事故损失，设计人负责采取补救措施。</w:t>
      </w:r>
    </w:p>
    <w:p w14:paraId="01225BB7">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（3）由于设计人原因造成设计成果资料质量不合格，不能满足技术要求时设计人应按招标人要求期限返工，其返工设计费用由设计人承担。</w:t>
      </w:r>
    </w:p>
    <w:p w14:paraId="70A8034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（4）如工程在竣工验收达不到合格标准，招标人不予支付工程款，直至中标人返工至合格后方予以支付，并按合同价款的</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向招标人返纳质量违约金。</w:t>
      </w:r>
    </w:p>
    <w:p w14:paraId="62857D85">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（四）关于农民工工资支付的违约责任：</w:t>
      </w:r>
    </w:p>
    <w:p w14:paraId="47A4CADB">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中标人拖欠农民工工资，被农民工投诉属实的，中标人必须在3 天内发放拖欠的款项。若继续拖延被投诉2 次及以上，经查实，中标人除应立即支付拖欠款项外，还应支付10000 元违约金给招标人。因中标人拖欠农民工工资，导致农民工采取停工、集聚围阻招标人办公地点甚至政府办公部门等过激行动的，中标人应支付20000 元违约金，并立即采取切实有效措施予以整改；拒不采取切实有效措施整改的，或整改效果不明显的，招标人可用中标人工程款垫付。若中标人在本工程内发生无故拖欠农民工工资现象，将被作不良记录，上报建设行政主管部门。</w:t>
      </w:r>
    </w:p>
    <w:p w14:paraId="072CD4E6">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（五）项目管理机构人员、机械设备、劳动力到位方面的违约责任：</w:t>
      </w:r>
    </w:p>
    <w:p w14:paraId="65F6AADD">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中标人必须保证投标文件中确定的项目负责人及其项目技术负责人、主要施工管理人员能及时地、始终地参与本工程施工管理，在未征得招标人书面同意之前不得更换。如果擅自更换项目负责人或项目技术负责人，中标人每更换一人次，需支付10000 元违约金给招标人，如果擅自更换主要施工管理人员，每更换一人次，中标人需支付5000 元违约金给招标人。</w:t>
      </w:r>
    </w:p>
    <w:p w14:paraId="1AEBD10A">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（2）如果中标人未按监理单位确认后的施工组织设计中的机械设备投入计划投入机械设备，经监理工程师或招标人代表检查发现的，将书面告知限期整改。</w:t>
      </w:r>
    </w:p>
    <w:p w14:paraId="0711943A">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（3）如果中标人未按监理单位确认后的施工组织设计中的人力投入计划投入，经监理工程师和招标人代表检查发现的，每发现一次，中标人支付</w:t>
      </w:r>
      <w:r>
        <w:rPr>
          <w:rFonts w:hint="eastAsia" w:ascii="宋体" w:hAnsi="宋体" w:eastAsia="宋体" w:cs="宋体"/>
          <w:color w:val="auto"/>
          <w:sz w:val="24"/>
          <w:szCs w:val="24"/>
          <w:highlight w:val="none"/>
          <w:lang w:val="en-US" w:eastAsia="zh-CN"/>
        </w:rPr>
        <w:t>3</w:t>
      </w:r>
      <w:r>
        <w:rPr>
          <w:rFonts w:hint="eastAsia" w:ascii="宋体" w:hAnsi="宋体" w:eastAsia="宋体" w:cs="宋体"/>
          <w:color w:val="auto"/>
          <w:sz w:val="24"/>
          <w:szCs w:val="24"/>
          <w:highlight w:val="none"/>
        </w:rPr>
        <w:t>000 元违约金给招标人。</w:t>
      </w:r>
    </w:p>
    <w:p w14:paraId="525AC122">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如果检查发现中标人超过三次未按承诺投入的人力、机械、物力组织施工，招标人将作为不良纪录报建设行政主管部门备案。如果检查发现中标人没有按施工组织设计的进度安排推进工程建设，使主要工序的工期延误超过10 天，没有按招标人的意见撤换现场负责人；或者按招标人的意见撤换现场负责人后，仍然无法有效控制工程进度，招标人将发出书面警告，警告发出后15 天内，主要工序的工期延误仍然超过10 天，招标人将作为不良纪录报建设行政主管部门备案。对此，中标人不得有异议。</w:t>
      </w:r>
    </w:p>
    <w:p w14:paraId="0439C4C7">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（5）中标人的项目负责人、技术负责人、安全负责人、质量负责人等必须常驻施工现场，且须无条件参加每周的工地例会以及双方约定的其它重要会议，如有缺席，则每人每缺席一次，中标人需支付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000 元人民币违约金。</w:t>
      </w:r>
    </w:p>
    <w:p w14:paraId="31D4BA28">
      <w:pPr>
        <w:pStyle w:val="47"/>
        <w:widowControl/>
        <w:snapToGrid w:val="0"/>
        <w:spacing w:line="440" w:lineRule="exact"/>
        <w:ind w:firstLine="42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（6）设计代表必须常驻施工现场，且须无条件参加每周的工地例会以及双方约定的其它重要会议，如有缺席，则每人每缺席一次，中标人需支付</w:t>
      </w: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00 元人民币违约金。</w:t>
      </w:r>
    </w:p>
    <w:p w14:paraId="42B1AC6D">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中标人需综合考虑现场因素，不得以不完全了解现场情况为理由，提出额外付款或延长工期等要求（除征地拆迁及管线搬迁造成停工，招标人按规定调整工期）。对此类要求，招标人不作任何考虑及答复。</w:t>
      </w:r>
    </w:p>
    <w:p w14:paraId="5CFDB888">
      <w:pPr>
        <w:keepNext w:val="0"/>
        <w:keepLines w:val="0"/>
        <w:pageBreakBefore w:val="0"/>
        <w:widowControl w:val="0"/>
        <w:kinsoku/>
        <w:wordWrap w:val="0"/>
        <w:overflowPunct/>
        <w:topLinePunct w:val="0"/>
        <w:autoSpaceDE/>
        <w:autoSpaceDN/>
        <w:bidi w:val="0"/>
        <w:adjustRightInd w:val="0"/>
        <w:snapToGrid w:val="0"/>
        <w:spacing w:line="440" w:lineRule="exact"/>
        <w:ind w:left="0" w:leftChars="0" w:firstLine="420"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18.2</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招标代理费及评标专家酬劳的支付：本工程的招标代理费和评标专家酬劳全部由中标人支付，该费用不再另行报价，由投标人在投标报价时综合考虑在内。中标人在领取中标通知书前须向招标代理机构一次性支付后方可领取中标通知书。</w:t>
      </w:r>
    </w:p>
    <w:p w14:paraId="627BB1BD">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rPr>
      </w:pPr>
    </w:p>
    <w:p w14:paraId="39133C16">
      <w:pPr>
        <w:pStyle w:val="27"/>
        <w:rPr>
          <w:rFonts w:hint="eastAsia" w:asciiTheme="minorEastAsia" w:hAnsiTheme="minorEastAsia" w:eastAsiaTheme="minorEastAsia" w:cstheme="minorEastAsia"/>
          <w:b/>
          <w:color w:val="auto"/>
          <w:kern w:val="44"/>
          <w:sz w:val="36"/>
          <w:szCs w:val="36"/>
          <w:highlight w:val="none"/>
        </w:rPr>
      </w:pPr>
    </w:p>
    <w:p w14:paraId="3E4879C8">
      <w:pPr>
        <w:pStyle w:val="27"/>
        <w:rPr>
          <w:rFonts w:hint="eastAsia" w:asciiTheme="minorEastAsia" w:hAnsiTheme="minorEastAsia" w:eastAsiaTheme="minorEastAsia" w:cstheme="minorEastAsia"/>
          <w:b/>
          <w:color w:val="auto"/>
          <w:kern w:val="44"/>
          <w:sz w:val="36"/>
          <w:szCs w:val="36"/>
          <w:highlight w:val="none"/>
        </w:rPr>
      </w:pPr>
    </w:p>
    <w:p w14:paraId="207FF828">
      <w:pPr>
        <w:pStyle w:val="27"/>
        <w:rPr>
          <w:rFonts w:hint="eastAsia" w:asciiTheme="minorEastAsia" w:hAnsiTheme="minorEastAsia" w:eastAsiaTheme="minorEastAsia" w:cstheme="minorEastAsia"/>
          <w:b/>
          <w:color w:val="auto"/>
          <w:kern w:val="44"/>
          <w:sz w:val="36"/>
          <w:szCs w:val="36"/>
          <w:highlight w:val="none"/>
        </w:rPr>
      </w:pPr>
    </w:p>
    <w:p w14:paraId="747DEF2A">
      <w:pPr>
        <w:pStyle w:val="27"/>
        <w:rPr>
          <w:rFonts w:hint="eastAsia" w:asciiTheme="minorEastAsia" w:hAnsiTheme="minorEastAsia" w:eastAsiaTheme="minorEastAsia" w:cstheme="minorEastAsia"/>
          <w:b/>
          <w:color w:val="auto"/>
          <w:kern w:val="44"/>
          <w:sz w:val="36"/>
          <w:szCs w:val="36"/>
          <w:highlight w:val="none"/>
        </w:rPr>
      </w:pPr>
    </w:p>
    <w:p w14:paraId="3FBA30CF">
      <w:pPr>
        <w:pStyle w:val="27"/>
        <w:rPr>
          <w:rFonts w:hint="eastAsia" w:asciiTheme="minorEastAsia" w:hAnsiTheme="minorEastAsia" w:eastAsiaTheme="minorEastAsia" w:cstheme="minorEastAsia"/>
          <w:b/>
          <w:color w:val="auto"/>
          <w:kern w:val="44"/>
          <w:sz w:val="36"/>
          <w:szCs w:val="36"/>
          <w:highlight w:val="none"/>
        </w:rPr>
      </w:pPr>
    </w:p>
    <w:p w14:paraId="0C7BFE5A">
      <w:pPr>
        <w:pStyle w:val="27"/>
        <w:rPr>
          <w:rFonts w:hint="eastAsia" w:asciiTheme="minorEastAsia" w:hAnsiTheme="minorEastAsia" w:eastAsiaTheme="minorEastAsia" w:cstheme="minorEastAsia"/>
          <w:b/>
          <w:color w:val="auto"/>
          <w:kern w:val="44"/>
          <w:sz w:val="36"/>
          <w:szCs w:val="36"/>
          <w:highlight w:val="none"/>
        </w:rPr>
      </w:pPr>
    </w:p>
    <w:p w14:paraId="796AE4D2">
      <w:pPr>
        <w:pStyle w:val="27"/>
        <w:rPr>
          <w:rFonts w:hint="eastAsia" w:asciiTheme="minorEastAsia" w:hAnsiTheme="minorEastAsia" w:eastAsiaTheme="minorEastAsia" w:cstheme="minorEastAsia"/>
          <w:b/>
          <w:color w:val="auto"/>
          <w:kern w:val="44"/>
          <w:sz w:val="36"/>
          <w:szCs w:val="36"/>
          <w:highlight w:val="none"/>
        </w:rPr>
      </w:pPr>
    </w:p>
    <w:p w14:paraId="3E67416D">
      <w:pPr>
        <w:pStyle w:val="27"/>
        <w:rPr>
          <w:rFonts w:hint="eastAsia" w:asciiTheme="minorEastAsia" w:hAnsiTheme="minorEastAsia" w:eastAsiaTheme="minorEastAsia" w:cstheme="minorEastAsia"/>
          <w:b/>
          <w:color w:val="auto"/>
          <w:kern w:val="44"/>
          <w:sz w:val="36"/>
          <w:szCs w:val="36"/>
          <w:highlight w:val="none"/>
        </w:rPr>
      </w:pPr>
    </w:p>
    <w:p w14:paraId="2D09DF9C">
      <w:pPr>
        <w:pStyle w:val="27"/>
        <w:rPr>
          <w:rFonts w:hint="eastAsia" w:asciiTheme="minorEastAsia" w:hAnsiTheme="minorEastAsia" w:eastAsiaTheme="minorEastAsia" w:cstheme="minorEastAsia"/>
          <w:b/>
          <w:color w:val="auto"/>
          <w:kern w:val="44"/>
          <w:sz w:val="36"/>
          <w:szCs w:val="36"/>
          <w:highlight w:val="none"/>
        </w:rPr>
      </w:pPr>
    </w:p>
    <w:p w14:paraId="313AB578">
      <w:pPr>
        <w:pStyle w:val="27"/>
        <w:rPr>
          <w:rFonts w:hint="eastAsia" w:asciiTheme="minorEastAsia" w:hAnsiTheme="minorEastAsia" w:eastAsiaTheme="minorEastAsia" w:cstheme="minorEastAsia"/>
          <w:b/>
          <w:color w:val="auto"/>
          <w:kern w:val="44"/>
          <w:sz w:val="36"/>
          <w:szCs w:val="36"/>
          <w:highlight w:val="none"/>
        </w:rPr>
      </w:pPr>
    </w:p>
    <w:p w14:paraId="4460B385">
      <w:pPr>
        <w:pStyle w:val="27"/>
        <w:rPr>
          <w:rFonts w:hint="eastAsia" w:asciiTheme="minorEastAsia" w:hAnsiTheme="minorEastAsia" w:eastAsiaTheme="minorEastAsia" w:cstheme="minorEastAsia"/>
          <w:b/>
          <w:color w:val="auto"/>
          <w:kern w:val="44"/>
          <w:sz w:val="36"/>
          <w:szCs w:val="36"/>
          <w:highlight w:val="none"/>
        </w:rPr>
      </w:pPr>
    </w:p>
    <w:p w14:paraId="2A1F6CA5">
      <w:pPr>
        <w:pStyle w:val="28"/>
        <w:keepNext/>
        <w:keepLines/>
        <w:tabs>
          <w:tab w:val="left" w:pos="885"/>
        </w:tabs>
        <w:spacing w:line="400" w:lineRule="exact"/>
        <w:jc w:val="center"/>
        <w:rPr>
          <w:rFonts w:hint="eastAsia" w:asciiTheme="minorEastAsia" w:hAnsiTheme="minorEastAsia" w:eastAsiaTheme="minorEastAsia" w:cstheme="minorEastAsia"/>
          <w:b/>
          <w:color w:val="auto"/>
          <w:kern w:val="44"/>
          <w:sz w:val="36"/>
          <w:szCs w:val="36"/>
          <w:highlight w:val="none"/>
          <w:lang w:val="en-US" w:eastAsia="zh-CN" w:bidi="ar-SA"/>
        </w:rPr>
      </w:pPr>
      <w:r>
        <w:rPr>
          <w:rFonts w:hint="eastAsia" w:asciiTheme="minorEastAsia" w:hAnsiTheme="minorEastAsia" w:eastAsiaTheme="minorEastAsia" w:cstheme="minorEastAsia"/>
          <w:b/>
          <w:color w:val="auto"/>
          <w:kern w:val="44"/>
          <w:sz w:val="36"/>
          <w:szCs w:val="36"/>
          <w:highlight w:val="none"/>
          <w:lang w:val="en-US" w:eastAsia="zh-CN" w:bidi="ar-SA"/>
        </w:rPr>
        <w:t>第三章 拟签订合同的主要条款</w:t>
      </w:r>
    </w:p>
    <w:p w14:paraId="7079BBD2">
      <w:pPr>
        <w:pStyle w:val="27"/>
        <w:rPr>
          <w:rFonts w:hint="eastAsia" w:asciiTheme="minorEastAsia" w:hAnsiTheme="minorEastAsia" w:eastAsiaTheme="minorEastAsia" w:cstheme="minorEastAsia"/>
          <w:color w:val="auto"/>
          <w:highlight w:val="none"/>
        </w:rPr>
      </w:pPr>
    </w:p>
    <w:p w14:paraId="37ADFF99">
      <w:pPr>
        <w:pStyle w:val="29"/>
        <w:keepNext/>
        <w:keepLines/>
        <w:ind w:firstLine="480"/>
        <w:jc w:val="both"/>
        <w:rPr>
          <w:rFonts w:hint="eastAsia" w:asciiTheme="minorEastAsia" w:hAnsiTheme="minorEastAsia" w:eastAsiaTheme="minorEastAsia" w:cstheme="minorEastAsia"/>
          <w:b/>
          <w:color w:val="auto"/>
          <w:kern w:val="2"/>
          <w:highlight w:val="none"/>
        </w:rPr>
      </w:pPr>
      <w:r>
        <w:rPr>
          <w:rFonts w:hint="eastAsia" w:asciiTheme="minorEastAsia" w:hAnsiTheme="minorEastAsia" w:eastAsiaTheme="minorEastAsia" w:cstheme="minorEastAsia"/>
          <w:b/>
          <w:color w:val="auto"/>
          <w:kern w:val="2"/>
          <w:highlight w:val="none"/>
        </w:rPr>
        <w:t>1 工程承包方式</w:t>
      </w:r>
    </w:p>
    <w:p w14:paraId="4B00D46C">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承包人按中标价以总承包方式在规定的期限内对设计、施工（包工包料、包质量、包机械、包绿色安全文明施工、包工期等）进行总承包，不允许转包和违法分包，如承包人无相应专业资质，确需分包须与发包人协商并得到发包人和监理人同意并报工程主管部门备案。</w:t>
      </w:r>
    </w:p>
    <w:p w14:paraId="71FC4794">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1.1.1 包工包料：材料符合招标文件要求</w:t>
      </w:r>
      <w:r>
        <w:rPr>
          <w:rFonts w:hint="eastAsia" w:asciiTheme="minorEastAsia" w:hAnsiTheme="minorEastAsia" w:eastAsiaTheme="minorEastAsia" w:cstheme="minorEastAsia"/>
          <w:snapToGrid w:val="0"/>
          <w:color w:val="auto"/>
          <w:kern w:val="0"/>
          <w:highlight w:val="none"/>
        </w:rPr>
        <w:t>及合同的相关约定</w:t>
      </w:r>
      <w:r>
        <w:rPr>
          <w:rFonts w:hint="eastAsia" w:asciiTheme="minorEastAsia" w:hAnsiTheme="minorEastAsia" w:eastAsiaTheme="minorEastAsia" w:cstheme="minorEastAsia"/>
          <w:color w:val="auto"/>
          <w:highlight w:val="none"/>
        </w:rPr>
        <w:t>，报验使用；办理用工保险。</w:t>
      </w:r>
    </w:p>
    <w:p w14:paraId="4F16B8EC">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1.1.2 包质量：符合招标文件要求</w:t>
      </w:r>
      <w:r>
        <w:rPr>
          <w:rFonts w:hint="eastAsia" w:asciiTheme="minorEastAsia" w:hAnsiTheme="minorEastAsia" w:eastAsiaTheme="minorEastAsia" w:cstheme="minorEastAsia"/>
          <w:color w:val="auto"/>
          <w:szCs w:val="24"/>
          <w:highlight w:val="none"/>
        </w:rPr>
        <w:t>及合同有关质量的相关约定</w:t>
      </w:r>
      <w:r>
        <w:rPr>
          <w:rFonts w:hint="eastAsia" w:asciiTheme="minorEastAsia" w:hAnsiTheme="minorEastAsia" w:eastAsiaTheme="minorEastAsia" w:cstheme="minorEastAsia"/>
          <w:color w:val="auto"/>
          <w:highlight w:val="none"/>
        </w:rPr>
        <w:t>。</w:t>
      </w:r>
    </w:p>
    <w:p w14:paraId="458E2B2D">
      <w:pPr>
        <w:wordWrap w:val="0"/>
        <w:adjustRightInd w:val="0"/>
        <w:snapToGrid w:val="0"/>
        <w:spacing w:line="360" w:lineRule="auto"/>
        <w:ind w:firstLine="480" w:firstLineChars="20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1.1.3 包安全包文明施工：符合国家及省、市的相关规定及招标文件、合同的相关约定要求。</w:t>
      </w:r>
    </w:p>
    <w:p w14:paraId="3C65DD10">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1.1.4 包工期：本工程项目施工必须在规定的期限内完成。</w:t>
      </w:r>
    </w:p>
    <w:p w14:paraId="37ED0941">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2"/>
          <w:highlight w:val="none"/>
        </w:rPr>
        <w:t xml:space="preserve">1.2 </w:t>
      </w:r>
      <w:r>
        <w:rPr>
          <w:rFonts w:hint="eastAsia" w:asciiTheme="minorEastAsia" w:hAnsiTheme="minorEastAsia" w:eastAsiaTheme="minorEastAsia" w:cstheme="minorEastAsia"/>
          <w:color w:val="auto"/>
          <w:szCs w:val="24"/>
          <w:highlight w:val="none"/>
        </w:rPr>
        <w:t>限额设计要求：</w:t>
      </w:r>
    </w:p>
    <w:p w14:paraId="437DF6FB">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1.2.1施工图预算中的建安工程费不得超过初步设计概算中的建安工程费且不得超过建安工程费的中标价。</w:t>
      </w:r>
    </w:p>
    <w:p w14:paraId="0783210D">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1.2.2 承包人在提交设计施工图时必须同时提交施工图预算。施工图预算作为承包人自我核算是否符合限额设计要求的依据。若造价咨询单位按施工图编制或审核的建安工程费高于前条1.2.1条规定时，承包人必须无条件对施工图进行修改，直至满足限额设计要求，不另行增加设计费，且由此造成发包人委托的造价咨询单位重复编制或审核施工图预算的费用由承包人承担，结算时在设计费中扣除。</w:t>
      </w:r>
    </w:p>
    <w:p w14:paraId="74C0D9B0">
      <w:pPr>
        <w:pStyle w:val="29"/>
        <w:keepNext/>
        <w:keepLines/>
        <w:ind w:firstLine="480"/>
        <w:jc w:val="both"/>
        <w:rPr>
          <w:rFonts w:hint="eastAsia" w:asciiTheme="minorEastAsia" w:hAnsiTheme="minorEastAsia" w:eastAsiaTheme="minorEastAsia" w:cstheme="minorEastAsia"/>
          <w:b/>
          <w:color w:val="auto"/>
          <w:kern w:val="2"/>
          <w:highlight w:val="none"/>
        </w:rPr>
      </w:pPr>
      <w:r>
        <w:rPr>
          <w:rFonts w:hint="eastAsia" w:asciiTheme="minorEastAsia" w:hAnsiTheme="minorEastAsia" w:eastAsiaTheme="minorEastAsia" w:cstheme="minorEastAsia"/>
          <w:b/>
          <w:color w:val="auto"/>
          <w:kern w:val="2"/>
          <w:highlight w:val="none"/>
          <w:lang w:val="en-US" w:eastAsia="zh-CN"/>
        </w:rPr>
        <w:t>2施工图</w:t>
      </w:r>
      <w:r>
        <w:rPr>
          <w:rFonts w:hint="eastAsia" w:asciiTheme="minorEastAsia" w:hAnsiTheme="minorEastAsia" w:eastAsiaTheme="minorEastAsia" w:cstheme="minorEastAsia"/>
          <w:b/>
          <w:color w:val="auto"/>
          <w:kern w:val="2"/>
          <w:highlight w:val="none"/>
        </w:rPr>
        <w:t>编制原则及依据</w:t>
      </w:r>
    </w:p>
    <w:p w14:paraId="19F3BD1F">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1、工程量依据设计人员提供的设备清册和相关图纸计算；</w:t>
      </w:r>
    </w:p>
    <w:p w14:paraId="298D134C">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2、定额执行《电力建设工程定额》（2018年版），费用划分及费用标准执行《电网工程建设预算编制与计算规定》及粤电定〔2020〕5号文关于印发《广东省电网工程建设预算编制与计算规定实施细则》的通知；</w:t>
      </w:r>
    </w:p>
    <w:p w14:paraId="2A86293B">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3、税金执行定额〔2019〕13号《电力工程造价与定额管理总站关于调整电力工程计价依据增值税税率的通知》；</w:t>
      </w:r>
    </w:p>
    <w:p w14:paraId="78BF36EA">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4、主要设备价格按参南方电网定额〔2025〕9号文《关于印发《南方电网公司2025年第二季度电网工程主要设备材料信息价》的通知》；</w:t>
      </w:r>
    </w:p>
    <w:p w14:paraId="1AB3E511">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人工及安装工程材料、机械、建筑工程机械调差执行电力工程造价与定额管理总站文件《电力工程造价与定额管理总站关于发布2018版电力建设工程概预算定额2023年上半年价格水平调整的通知》（定额〔2025〕34号），建筑工程地方性材料按韶关地区2025年9月信息价进行调差；</w:t>
      </w:r>
    </w:p>
    <w:p w14:paraId="1A6AFBF5">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6、设计费执行《工程勘察设计收费标准》2002修订本</w:t>
      </w:r>
    </w:p>
    <w:p w14:paraId="4A4244CF">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7、勘察费执行《工程勘察设计收费标准》2002修订本</w:t>
      </w:r>
    </w:p>
    <w:p w14:paraId="4F981810">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8、社会保险费缴费费率执行《关于调整电力建设工程社会保险费缴费费率的通知》（粤电定〔2020〕6号)；</w:t>
      </w:r>
    </w:p>
    <w:p w14:paraId="4C2A6498">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9、住房公积金缴费费率执行《关于调整电力建设工程住房公积金缴费费率的通知》（粤电定〔2016〕7号)；</w:t>
      </w:r>
    </w:p>
    <w:p w14:paraId="45372AD1">
      <w:pPr>
        <w:pStyle w:val="27"/>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10、基本预备费费率按</w:t>
      </w:r>
      <w:r>
        <w:rPr>
          <w:rFonts w:hint="eastAsia" w:asciiTheme="minorEastAsia" w:hAnsiTheme="minorEastAsia" w:eastAsiaTheme="minorEastAsia" w:cstheme="minorEastAsia"/>
          <w:color w:val="auto"/>
          <w:highlight w:val="none"/>
          <w:lang w:val="en-US" w:eastAsia="zh-CN"/>
        </w:rPr>
        <w:t>1.5</w:t>
      </w:r>
      <w:r>
        <w:rPr>
          <w:rFonts w:hint="eastAsia" w:asciiTheme="minorEastAsia" w:hAnsiTheme="minorEastAsia" w:eastAsiaTheme="minorEastAsia" w:cstheme="minorEastAsia"/>
          <w:color w:val="auto"/>
          <w:highlight w:val="none"/>
        </w:rPr>
        <w:t>%计算，建设期贷款利率按4.99%计算。</w:t>
      </w:r>
    </w:p>
    <w:p w14:paraId="1C52D385">
      <w:pPr>
        <w:pStyle w:val="3"/>
        <w:keepNext/>
        <w:keepLines/>
        <w:spacing w:line="360" w:lineRule="auto"/>
        <w:ind w:firstLine="480"/>
        <w:jc w:val="both"/>
        <w:rPr>
          <w:rFonts w:hint="eastAsia" w:asciiTheme="minorEastAsia" w:hAnsiTheme="minorEastAsia" w:eastAsiaTheme="minorEastAsia" w:cstheme="minorEastAsia"/>
          <w:b/>
          <w:color w:val="auto"/>
          <w:kern w:val="2"/>
          <w:szCs w:val="24"/>
          <w:highlight w:val="none"/>
        </w:rPr>
      </w:pPr>
      <w:r>
        <w:rPr>
          <w:rFonts w:hint="eastAsia" w:asciiTheme="minorEastAsia" w:hAnsiTheme="minorEastAsia" w:eastAsiaTheme="minorEastAsia" w:cstheme="minorEastAsia"/>
          <w:b/>
          <w:color w:val="auto"/>
          <w:kern w:val="2"/>
          <w:szCs w:val="24"/>
          <w:highlight w:val="none"/>
        </w:rPr>
        <w:t>3 工程结算原则</w:t>
      </w:r>
    </w:p>
    <w:p w14:paraId="5F4572BC">
      <w:pPr>
        <w:spacing w:line="360" w:lineRule="auto"/>
        <w:ind w:firstLine="480" w:firstLineChars="2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3.1设计费结算原则：设计费按中标价包干，结算时不作任何调整</w:t>
      </w:r>
      <w:r>
        <w:rPr>
          <w:rFonts w:hint="eastAsia" w:asciiTheme="minorEastAsia" w:hAnsiTheme="minorEastAsia" w:eastAsiaTheme="minorEastAsia" w:cstheme="minorEastAsia"/>
          <w:color w:val="auto"/>
          <w:kern w:val="1"/>
          <w:szCs w:val="24"/>
          <w:highlight w:val="none"/>
        </w:rPr>
        <w:t>。</w:t>
      </w:r>
    </w:p>
    <w:p w14:paraId="469E7F45">
      <w:pPr>
        <w:spacing w:line="360" w:lineRule="auto"/>
        <w:ind w:firstLine="480" w:firstLineChars="200"/>
        <w:jc w:val="left"/>
        <w:rPr>
          <w:rFonts w:hint="eastAsia" w:asciiTheme="minorEastAsia" w:hAnsiTheme="minorEastAsia" w:eastAsiaTheme="minorEastAsia" w:cstheme="minorEastAsia"/>
          <w:strike/>
          <w:color w:val="auto"/>
          <w:szCs w:val="24"/>
          <w:highlight w:val="none"/>
        </w:rPr>
      </w:pPr>
      <w:r>
        <w:rPr>
          <w:rFonts w:hint="eastAsia" w:asciiTheme="minorEastAsia" w:hAnsiTheme="minorEastAsia" w:eastAsiaTheme="minorEastAsia" w:cstheme="minorEastAsia"/>
          <w:color w:val="auto"/>
          <w:szCs w:val="24"/>
          <w:highlight w:val="none"/>
        </w:rPr>
        <w:t>3.2工程费用结算基准价的确定：以第2</w:t>
      </w:r>
      <w:r>
        <w:rPr>
          <w:rFonts w:hint="eastAsia" w:asciiTheme="minorEastAsia" w:hAnsiTheme="minorEastAsia" w:eastAsiaTheme="minorEastAsia" w:cstheme="minorEastAsia"/>
          <w:b/>
          <w:color w:val="auto"/>
          <w:highlight w:val="none"/>
        </w:rPr>
        <w:t>～</w:t>
      </w:r>
      <w:r>
        <w:rPr>
          <w:rFonts w:hint="eastAsia" w:asciiTheme="minorEastAsia" w:hAnsiTheme="minorEastAsia" w:eastAsiaTheme="minorEastAsia" w:cstheme="minorEastAsia"/>
          <w:color w:val="auto"/>
          <w:szCs w:val="24"/>
          <w:highlight w:val="none"/>
        </w:rPr>
        <w:t>2条工程预算价编制原则编制的经审核后的预算价乘以（1－承包人中标下浮率）作为此工程项目的建安工程结算基准价（不含预备费）</w:t>
      </w:r>
      <w:r>
        <w:rPr>
          <w:rFonts w:hint="eastAsia" w:asciiTheme="minorEastAsia" w:hAnsiTheme="minorEastAsia" w:eastAsiaTheme="minorEastAsia" w:cstheme="minorEastAsia"/>
          <w:color w:val="auto"/>
          <w:szCs w:val="24"/>
          <w:highlight w:val="none"/>
          <w:lang w:val="en-US" w:eastAsia="zh-CN"/>
        </w:rPr>
        <w:t>建设场地征用及清理费</w:t>
      </w:r>
      <w:r>
        <w:rPr>
          <w:rFonts w:hint="eastAsia" w:asciiTheme="minorEastAsia" w:hAnsiTheme="minorEastAsia" w:eastAsiaTheme="minorEastAsia" w:cstheme="minorEastAsia"/>
          <w:b/>
          <w:bCs/>
          <w:color w:val="auto"/>
          <w:szCs w:val="24"/>
          <w:highlight w:val="none"/>
          <w:lang w:val="en-US" w:eastAsia="zh-CN"/>
        </w:rPr>
        <w:t>以实际发生为准</w:t>
      </w:r>
      <w:r>
        <w:rPr>
          <w:rFonts w:hint="eastAsia" w:asciiTheme="minorEastAsia" w:hAnsiTheme="minorEastAsia" w:eastAsiaTheme="minorEastAsia" w:cstheme="minorEastAsia"/>
          <w:color w:val="auto"/>
          <w:szCs w:val="24"/>
          <w:highlight w:val="none"/>
        </w:rPr>
        <w:t>。</w:t>
      </w:r>
    </w:p>
    <w:p w14:paraId="1E1906DA">
      <w:pPr>
        <w:spacing w:line="360" w:lineRule="auto"/>
        <w:ind w:firstLine="480" w:firstLineChars="200"/>
        <w:jc w:val="left"/>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3.3</w:t>
      </w:r>
      <w:r>
        <w:rPr>
          <w:rFonts w:hint="eastAsia" w:asciiTheme="minorEastAsia" w:hAnsiTheme="minorEastAsia" w:eastAsiaTheme="minorEastAsia" w:cstheme="minorEastAsia"/>
          <w:color w:val="auto"/>
          <w:szCs w:val="24"/>
          <w:highlight w:val="none"/>
        </w:rPr>
        <w:t>工程</w:t>
      </w:r>
      <w:r>
        <w:rPr>
          <w:rFonts w:hint="eastAsia" w:asciiTheme="minorEastAsia" w:hAnsiTheme="minorEastAsia" w:eastAsiaTheme="minorEastAsia" w:cstheme="minorEastAsia"/>
          <w:color w:val="auto"/>
          <w:kern w:val="0"/>
          <w:szCs w:val="24"/>
          <w:highlight w:val="none"/>
        </w:rPr>
        <w:t>费用结算原则：发包人在不增减建设规模的情况下，结算价即为</w:t>
      </w:r>
      <w:r>
        <w:rPr>
          <w:rFonts w:hint="eastAsia" w:asciiTheme="minorEastAsia" w:hAnsiTheme="minorEastAsia" w:eastAsiaTheme="minorEastAsia" w:cstheme="minorEastAsia"/>
          <w:color w:val="auto"/>
          <w:szCs w:val="24"/>
          <w:highlight w:val="none"/>
        </w:rPr>
        <w:t>结算基准价</w:t>
      </w:r>
      <w:r>
        <w:rPr>
          <w:rFonts w:hint="eastAsia" w:asciiTheme="minorEastAsia" w:hAnsiTheme="minorEastAsia" w:eastAsiaTheme="minorEastAsia" w:cstheme="minorEastAsia"/>
          <w:color w:val="auto"/>
          <w:kern w:val="0"/>
          <w:szCs w:val="24"/>
          <w:highlight w:val="none"/>
        </w:rPr>
        <w:t>，但下列情形除外：</w:t>
      </w:r>
    </w:p>
    <w:p w14:paraId="1470CA2D">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3.3.1 国家政策性人工价差调整：</w:t>
      </w:r>
      <w:r>
        <w:rPr>
          <w:rFonts w:hint="eastAsia" w:asciiTheme="minorEastAsia" w:hAnsiTheme="minorEastAsia" w:eastAsiaTheme="minorEastAsia" w:cstheme="minorEastAsia"/>
          <w:color w:val="auto"/>
          <w:kern w:val="0"/>
          <w:szCs w:val="24"/>
          <w:highlight w:val="none"/>
        </w:rPr>
        <w:t>调整方式按省、市有关规定调整。</w:t>
      </w:r>
    </w:p>
    <w:p w14:paraId="0F140830">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3.3.2 当后继相关法律、法规、规章和政策引起安全文明施工费发生变化时，应当按照省建设行政主管部门或省、韶关市、</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工程造价管理机构据此发布的规定调整；</w:t>
      </w:r>
    </w:p>
    <w:p w14:paraId="4F6C9347">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3.3.3 当后继相关法律、法规、规章和政策引起规费、税金等发生变化时，应当按照省政府或省、韶关市、</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有关主管部门据此发布的规定调整；</w:t>
      </w:r>
    </w:p>
    <w:p w14:paraId="6E9DB926">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3.3.4 当施工期间市场物价发生涨落，引起工程所在地工程造价管理机构发布的价格信息中材料价格变化，主要建筑材料价格浮动超过±5%（指钢材、商品砼、商品砂浆、水泥、砂、石等主要材料），则双方同意调整5％以外部分价差；</w:t>
      </w:r>
      <w:r>
        <w:rPr>
          <w:rFonts w:hint="eastAsia" w:asciiTheme="minorEastAsia" w:hAnsiTheme="minorEastAsia" w:eastAsiaTheme="minorEastAsia" w:cstheme="minorEastAsia"/>
          <w:color w:val="auto"/>
          <w:kern w:val="0"/>
          <w:szCs w:val="24"/>
          <w:highlight w:val="none"/>
        </w:rPr>
        <w:t>人工费</w:t>
      </w:r>
      <w:r>
        <w:rPr>
          <w:rFonts w:hint="eastAsia" w:asciiTheme="minorEastAsia" w:hAnsiTheme="minorEastAsia" w:eastAsiaTheme="minorEastAsia" w:cstheme="minorEastAsia"/>
          <w:color w:val="auto"/>
          <w:szCs w:val="24"/>
          <w:highlight w:val="none"/>
        </w:rPr>
        <w:t>根据国家政策按实调整；机械费浮动超过±10%，双方同意调整10％以外部分价差。其工、料、机消耗量以发包人确认的</w:t>
      </w:r>
      <w:r>
        <w:rPr>
          <w:rFonts w:hint="eastAsia" w:asciiTheme="minorEastAsia" w:hAnsiTheme="minorEastAsia" w:eastAsiaTheme="minorEastAsia" w:cstheme="minorEastAsia"/>
          <w:color w:val="auto"/>
          <w:kern w:val="0"/>
          <w:szCs w:val="24"/>
          <w:highlight w:val="none"/>
        </w:rPr>
        <w:t>施工图工程量清单预算</w:t>
      </w:r>
      <w:r>
        <w:rPr>
          <w:rFonts w:hint="eastAsia" w:asciiTheme="minorEastAsia" w:hAnsiTheme="minorEastAsia" w:eastAsiaTheme="minorEastAsia" w:cstheme="minorEastAsia"/>
          <w:color w:val="auto"/>
          <w:szCs w:val="24"/>
          <w:highlight w:val="none"/>
        </w:rPr>
        <w:t>及进度中的消耗量为准。</w:t>
      </w:r>
    </w:p>
    <w:p w14:paraId="11400AEB">
      <w:pPr>
        <w:spacing w:line="440" w:lineRule="exact"/>
        <w:ind w:firstLine="482" w:firstLineChars="200"/>
        <w:rPr>
          <w:rFonts w:hint="eastAsia" w:asciiTheme="minorEastAsia" w:hAnsiTheme="minorEastAsia" w:eastAsiaTheme="minorEastAsia" w:cstheme="minorEastAsia"/>
          <w:b/>
          <w:bCs/>
          <w:color w:val="auto"/>
          <w:kern w:val="0"/>
          <w:szCs w:val="24"/>
          <w:highlight w:val="none"/>
          <w:u w:val="single"/>
        </w:rPr>
      </w:pPr>
      <w:r>
        <w:rPr>
          <w:rFonts w:hint="eastAsia" w:asciiTheme="minorEastAsia" w:hAnsiTheme="minorEastAsia" w:eastAsiaTheme="minorEastAsia" w:cstheme="minorEastAsia"/>
          <w:b/>
          <w:bCs/>
          <w:color w:val="auto"/>
          <w:kern w:val="0"/>
          <w:szCs w:val="24"/>
          <w:highlight w:val="none"/>
          <w:u w:val="single"/>
        </w:rPr>
        <w:t>注：人工费、材料单价、机械台班的价差调整基数是以施工当季《</w:t>
      </w:r>
      <w:r>
        <w:rPr>
          <w:rFonts w:hint="eastAsia" w:asciiTheme="minorEastAsia" w:hAnsiTheme="minorEastAsia" w:eastAsiaTheme="minorEastAsia" w:cstheme="minorEastAsia"/>
          <w:b/>
          <w:bCs/>
          <w:color w:val="auto"/>
          <w:kern w:val="0"/>
          <w:szCs w:val="24"/>
          <w:highlight w:val="none"/>
          <w:u w:val="single"/>
          <w:lang w:val="en-US" w:eastAsia="zh-CN"/>
        </w:rPr>
        <w:t>始兴县</w:t>
      </w:r>
      <w:r>
        <w:rPr>
          <w:rFonts w:hint="eastAsia" w:asciiTheme="minorEastAsia" w:hAnsiTheme="minorEastAsia" w:eastAsiaTheme="minorEastAsia" w:cstheme="minorEastAsia"/>
          <w:b/>
          <w:bCs/>
          <w:color w:val="auto"/>
          <w:kern w:val="0"/>
          <w:szCs w:val="24"/>
          <w:highlight w:val="none"/>
          <w:u w:val="single"/>
        </w:rPr>
        <w:t>建筑工程造价信息》</w:t>
      </w:r>
      <w:r>
        <w:rPr>
          <w:rFonts w:hint="eastAsia" w:asciiTheme="minorEastAsia" w:hAnsiTheme="minorEastAsia" w:eastAsiaTheme="minorEastAsia" w:cstheme="minorEastAsia"/>
          <w:b/>
          <w:bCs/>
          <w:color w:val="auto"/>
          <w:szCs w:val="24"/>
          <w:highlight w:val="none"/>
          <w:u w:val="single"/>
        </w:rPr>
        <w:t>（如信息价没有时参考施工当月&lt;韶关建筑工程造价信息&gt;）</w:t>
      </w:r>
      <w:r>
        <w:rPr>
          <w:rFonts w:hint="eastAsia" w:asciiTheme="minorEastAsia" w:hAnsiTheme="minorEastAsia" w:eastAsiaTheme="minorEastAsia" w:cstheme="minorEastAsia"/>
          <w:b/>
          <w:bCs/>
          <w:color w:val="auto"/>
          <w:kern w:val="0"/>
          <w:szCs w:val="24"/>
          <w:highlight w:val="none"/>
          <w:u w:val="single"/>
        </w:rPr>
        <w:t>公布的信息价（包括人工费、材料单价、机械台班）为F1与编制施工图工程量清单预算当季</w:t>
      </w:r>
      <w:r>
        <w:rPr>
          <w:rFonts w:hint="eastAsia" w:asciiTheme="minorEastAsia" w:hAnsiTheme="minorEastAsia" w:eastAsiaTheme="minorEastAsia" w:cstheme="minorEastAsia"/>
          <w:b/>
          <w:color w:val="auto"/>
          <w:kern w:val="0"/>
          <w:szCs w:val="24"/>
          <w:highlight w:val="none"/>
          <w:u w:val="single"/>
        </w:rPr>
        <w:t>（招标文件所规定的设计预算编制工期内）</w:t>
      </w:r>
      <w:r>
        <w:rPr>
          <w:rFonts w:hint="eastAsia" w:asciiTheme="minorEastAsia" w:hAnsiTheme="minorEastAsia" w:eastAsiaTheme="minorEastAsia" w:cstheme="minorEastAsia"/>
          <w:b/>
          <w:bCs/>
          <w:color w:val="auto"/>
          <w:kern w:val="0"/>
          <w:szCs w:val="24"/>
          <w:highlight w:val="none"/>
          <w:u w:val="single"/>
        </w:rPr>
        <w:t>《</w:t>
      </w:r>
      <w:r>
        <w:rPr>
          <w:rFonts w:hint="eastAsia" w:asciiTheme="minorEastAsia" w:hAnsiTheme="minorEastAsia" w:eastAsiaTheme="minorEastAsia" w:cstheme="minorEastAsia"/>
          <w:b/>
          <w:bCs/>
          <w:color w:val="auto"/>
          <w:kern w:val="0"/>
          <w:szCs w:val="24"/>
          <w:highlight w:val="none"/>
          <w:u w:val="single"/>
          <w:lang w:val="en-US" w:eastAsia="zh-CN"/>
        </w:rPr>
        <w:t>始兴县</w:t>
      </w:r>
      <w:r>
        <w:rPr>
          <w:rFonts w:hint="eastAsia" w:asciiTheme="minorEastAsia" w:hAnsiTheme="minorEastAsia" w:eastAsiaTheme="minorEastAsia" w:cstheme="minorEastAsia"/>
          <w:b/>
          <w:bCs/>
          <w:color w:val="auto"/>
          <w:kern w:val="0"/>
          <w:szCs w:val="24"/>
          <w:highlight w:val="none"/>
          <w:u w:val="single"/>
        </w:rPr>
        <w:t>建筑工程造价信息》</w:t>
      </w:r>
      <w:r>
        <w:rPr>
          <w:rFonts w:hint="eastAsia" w:asciiTheme="minorEastAsia" w:hAnsiTheme="minorEastAsia" w:eastAsiaTheme="minorEastAsia" w:cstheme="minorEastAsia"/>
          <w:b/>
          <w:bCs/>
          <w:color w:val="auto"/>
          <w:szCs w:val="24"/>
          <w:highlight w:val="none"/>
          <w:u w:val="single"/>
        </w:rPr>
        <w:t>（如信息价没有时参考预算编制当月</w:t>
      </w:r>
      <w:r>
        <w:rPr>
          <w:rFonts w:hint="eastAsia" w:asciiTheme="minorEastAsia" w:hAnsiTheme="minorEastAsia" w:eastAsiaTheme="minorEastAsia" w:cstheme="minorEastAsia"/>
          <w:b/>
          <w:color w:val="auto"/>
          <w:kern w:val="0"/>
          <w:szCs w:val="24"/>
          <w:highlight w:val="none"/>
          <w:u w:val="single"/>
        </w:rPr>
        <w:t>（招标文件所规定的设计预算编制工期内）</w:t>
      </w:r>
      <w:r>
        <w:rPr>
          <w:rFonts w:hint="eastAsia" w:asciiTheme="minorEastAsia" w:hAnsiTheme="minorEastAsia" w:eastAsiaTheme="minorEastAsia" w:cstheme="minorEastAsia"/>
          <w:b/>
          <w:bCs/>
          <w:color w:val="auto"/>
          <w:szCs w:val="24"/>
          <w:highlight w:val="none"/>
          <w:u w:val="single"/>
        </w:rPr>
        <w:t>&lt;韶关建筑工程造价信息&gt;）</w:t>
      </w:r>
      <w:r>
        <w:rPr>
          <w:rFonts w:hint="eastAsia" w:asciiTheme="minorEastAsia" w:hAnsiTheme="minorEastAsia" w:eastAsiaTheme="minorEastAsia" w:cstheme="minorEastAsia"/>
          <w:b/>
          <w:bCs/>
          <w:color w:val="auto"/>
          <w:kern w:val="0"/>
          <w:szCs w:val="24"/>
          <w:highlight w:val="none"/>
          <w:u w:val="single"/>
        </w:rPr>
        <w:t>公布的信息价（包括人工费、材料单价、机械台班）F0比较。</w:t>
      </w:r>
    </w:p>
    <w:p w14:paraId="6BE25A16">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1）人工费调整方式：按省、市有关规定调整。</w:t>
      </w:r>
    </w:p>
    <w:p w14:paraId="3A49F1AB">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2）材料补差方式：</w:t>
      </w:r>
    </w:p>
    <w:p w14:paraId="55736386">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调价系数A=（F1-F0）÷F0×100%</w:t>
      </w:r>
    </w:p>
    <w:p w14:paraId="6959C81B">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当材料涨价时，材料补差= F0×（A-5%），当材料跌价时，材料补差= F0×（A+5%），材料补差只计算相应的规费和税金。</w:t>
      </w:r>
    </w:p>
    <w:p w14:paraId="29C55A7B">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3）施工机械使用费补差方式：</w:t>
      </w:r>
    </w:p>
    <w:p w14:paraId="673B8547">
      <w:pPr>
        <w:spacing w:line="360" w:lineRule="auto"/>
        <w:ind w:firstLine="480" w:firstLineChars="20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调价系数A=（F1-F0）÷F0×100%</w:t>
      </w:r>
    </w:p>
    <w:p w14:paraId="16C4ED11">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当施工机械台班费涨价时，机械台班补差= F0×（A-10%），当施工机械台班费跌价时，机械台班补差= F0×（A+10%）， 施工机械使用费补差只计算相应的规费和税金。</w:t>
      </w:r>
    </w:p>
    <w:p w14:paraId="28781BFB">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4）若项目规模、建设标准等发生变化，因变化而发生的措施项目费结算时进行相应增减。</w:t>
      </w:r>
    </w:p>
    <w:p w14:paraId="19637353">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5）施工合同履行期间，由于非承包人原因导致工程变更的，发、承包双方应当按照GB50500-2013年《建设工程工程量清单计价规范》和省的有关规定，依据实际变更项目调整工程价款。工程变更引起工程量发生变化，出现本合同价款调整方式第3.3.5款情形的，应当按照其规定调整；其他情形的，按照以下规定调整：</w:t>
      </w:r>
    </w:p>
    <w:p w14:paraId="1DD0BE3D">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①结算基准价中有适用于变更工程项目的，按照该项目的单价或合价调整；</w:t>
      </w:r>
    </w:p>
    <w:p w14:paraId="496130EA">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②结算基准价中没有适用、只有类似于变更工程项目的，可在合理范围内参照类似项目的单价或合价调整；</w:t>
      </w:r>
    </w:p>
    <w:p w14:paraId="3447FB6B">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③结算基准价中没有适用也没有类似于变更工程项目的，根据变更工程资料、计量规则和计价办法、施工期间工程造价管理机构发布的价格信息，按本结算原则第3.3.5款重新确定综合单价后，相应调整工程价款；</w:t>
      </w:r>
    </w:p>
    <w:p w14:paraId="5D8F9BF5">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④结算基准价中没有适用也没有类似于变更工程项目，且施工期间工程造价管理机构发布的价格信息缺项的，根据变更工程资料、计量规则、计价办法和通过市场调查等的有合法依据的市场价格，按本原则第3.3.5条提出变更工程项目的单价或合价，经发、承包双方确认后调整；</w:t>
      </w:r>
    </w:p>
    <w:p w14:paraId="5DA85FF7">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⑤如发包人只调整材料的等级、规格或品牌，则其综合单价按结算基准价中单价＋该项材料的价差（经发包人审定后的材料单价-结算基准价中的材料单价）进行调整，规费、税金按有关规定调整。</w:t>
      </w:r>
    </w:p>
    <w:p w14:paraId="760BB6DE">
      <w:pPr>
        <w:spacing w:line="360" w:lineRule="auto"/>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szCs w:val="24"/>
          <w:highlight w:val="none"/>
        </w:rPr>
        <w:t xml:space="preserve">    6）建设工程完工后，发、承包双方和受其委托具有相应资质的工程造价咨询企业必须按照GB50500-2013年《建设工程工程量清单计价规范》和省的有关规定办理竣工结算。</w:t>
      </w:r>
    </w:p>
    <w:p w14:paraId="6B117DCE">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3.3.5 工程造价调整项目若是结算基准价中没有的项目，其造价调整如下：</w:t>
      </w:r>
    </w:p>
    <w:p w14:paraId="6E6735EE">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按（1）GB50500-2013年《建设工程工程量清单计价规范》、（2）2018年广东省建设工程计价依据（包括2018年《广东省市政工程综合定额》、2018年《广东省房屋建筑与装饰工程综合定额》、2018年《广东省通用安装工程综合定额》、2018年《广东省园林绿化工程综合定额》、2018年《广东省建设工程施工机具台班费用编制规则》），工程量按发、承包双方签证确认的、应予计量的实际完成的工程量计算，主要材料价格按施工同期工程所在地工程造价管理机构发布的价格信息中的综合单价计算，工程所在地工程造价管理机构发布的价格信息中参考价没有的材料价由发、承包双方市场询价确定，规费、税金等其它费用则按有关规定计算（费率有上、下限的以下限计算），预算包干费及赶工措施费不予计算。经发包人或其指定的有关单位审核，经审核后的造价按承包人的建安工程费中标下浮率下浮后作为工程结算价。</w:t>
      </w:r>
    </w:p>
    <w:p w14:paraId="5404E26E">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清单项目如只单独调整人工、材料、机械台班价差的，其人工、材料、机械台班消耗量均以审定施工图预算中的该清单项目的人工、材料、机械台班消耗量为准。</w:t>
      </w:r>
    </w:p>
    <w:p w14:paraId="5100078A">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承包人不得以不完全了解现场情况为理由，提出额外付款或延长工期等要求。对此类要求，发包人不作任何考虑及答复。</w:t>
      </w:r>
    </w:p>
    <w:p w14:paraId="43C223E6">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合同履行期间，由于承包人原因导致发生设计变更或现场签证的，由此增加的工程造价费用，由承包人自行承担，发包人不予以考虑和补偿，同时按相关违约条款处罚。</w:t>
      </w:r>
    </w:p>
    <w:p w14:paraId="7EEBEAA9">
      <w:pPr>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kern w:val="0"/>
          <w:szCs w:val="24"/>
          <w:highlight w:val="none"/>
        </w:rPr>
        <w:t xml:space="preserve">    3.4 如发包人减少建设规模，则</w:t>
      </w:r>
      <w:r>
        <w:rPr>
          <w:rFonts w:hint="eastAsia" w:asciiTheme="minorEastAsia" w:hAnsiTheme="minorEastAsia" w:eastAsiaTheme="minorEastAsia" w:cstheme="minorEastAsia"/>
          <w:color w:val="auto"/>
          <w:szCs w:val="24"/>
          <w:highlight w:val="none"/>
        </w:rPr>
        <w:t>根据</w:t>
      </w:r>
      <w:r>
        <w:rPr>
          <w:rFonts w:hint="eastAsia" w:asciiTheme="minorEastAsia" w:hAnsiTheme="minorEastAsia" w:eastAsiaTheme="minorEastAsia" w:cstheme="minorEastAsia"/>
          <w:color w:val="auto"/>
          <w:kern w:val="0"/>
          <w:szCs w:val="24"/>
          <w:highlight w:val="none"/>
        </w:rPr>
        <w:t>经发包人确认的预算书</w:t>
      </w:r>
      <w:r>
        <w:rPr>
          <w:rFonts w:hint="eastAsia" w:asciiTheme="minorEastAsia" w:hAnsiTheme="minorEastAsia" w:eastAsiaTheme="minorEastAsia" w:cstheme="minorEastAsia"/>
          <w:color w:val="auto"/>
          <w:szCs w:val="24"/>
          <w:highlight w:val="none"/>
        </w:rPr>
        <w:t>扣减减少</w:t>
      </w:r>
      <w:r>
        <w:rPr>
          <w:rFonts w:hint="eastAsia" w:asciiTheme="minorEastAsia" w:hAnsiTheme="minorEastAsia" w:eastAsiaTheme="minorEastAsia" w:cstheme="minorEastAsia"/>
          <w:color w:val="auto"/>
          <w:kern w:val="0"/>
          <w:szCs w:val="24"/>
          <w:highlight w:val="none"/>
        </w:rPr>
        <w:t>部分工程造价。</w:t>
      </w:r>
      <w:r>
        <w:rPr>
          <w:rFonts w:hint="eastAsia" w:asciiTheme="minorEastAsia" w:hAnsiTheme="minorEastAsia" w:eastAsiaTheme="minorEastAsia" w:cstheme="minorEastAsia"/>
          <w:color w:val="auto"/>
          <w:szCs w:val="24"/>
          <w:highlight w:val="none"/>
        </w:rPr>
        <w:t>最终结算价由</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财政局投资评审中心审定为准</w:t>
      </w:r>
      <w:r>
        <w:rPr>
          <w:rFonts w:hint="eastAsia" w:asciiTheme="minorEastAsia" w:hAnsiTheme="minorEastAsia" w:eastAsiaTheme="minorEastAsia" w:cstheme="minorEastAsia"/>
          <w:color w:val="auto"/>
          <w:kern w:val="0"/>
          <w:szCs w:val="24"/>
          <w:highlight w:val="none"/>
        </w:rPr>
        <w:t xml:space="preserve">。 </w:t>
      </w:r>
    </w:p>
    <w:p w14:paraId="171A7F32">
      <w:pPr>
        <w:spacing w:line="360" w:lineRule="auto"/>
        <w:rPr>
          <w:rFonts w:hint="eastAsia" w:asciiTheme="minorEastAsia" w:hAnsiTheme="minorEastAsia" w:eastAsiaTheme="minorEastAsia" w:cstheme="minorEastAsia"/>
          <w:strike/>
          <w:color w:val="auto"/>
          <w:szCs w:val="24"/>
          <w:highlight w:val="none"/>
        </w:rPr>
      </w:pPr>
      <w:r>
        <w:rPr>
          <w:rFonts w:hint="eastAsia" w:asciiTheme="minorEastAsia" w:hAnsiTheme="minorEastAsia" w:eastAsiaTheme="minorEastAsia" w:cstheme="minorEastAsia"/>
          <w:color w:val="auto"/>
          <w:szCs w:val="24"/>
          <w:highlight w:val="none"/>
        </w:rPr>
        <w:t xml:space="preserve">    3.5 预备费：</w:t>
      </w:r>
      <w:r>
        <w:rPr>
          <w:rFonts w:hint="eastAsia" w:asciiTheme="minorEastAsia" w:hAnsiTheme="minorEastAsia" w:eastAsiaTheme="minorEastAsia" w:cstheme="minorEastAsia"/>
          <w:b/>
          <w:color w:val="auto"/>
          <w:szCs w:val="24"/>
          <w:highlight w:val="none"/>
        </w:rPr>
        <w:t>由发包人掌握使用，不发生时不计入结算总价。</w:t>
      </w:r>
      <w:r>
        <w:rPr>
          <w:rFonts w:hint="eastAsia" w:asciiTheme="minorEastAsia" w:hAnsiTheme="minorEastAsia" w:eastAsiaTheme="minorEastAsia" w:cstheme="minorEastAsia"/>
          <w:b/>
          <w:color w:val="auto"/>
          <w:szCs w:val="24"/>
          <w:highlight w:val="none"/>
          <w:lang w:val="en-US" w:eastAsia="zh-CN"/>
        </w:rPr>
        <w:t>适</w:t>
      </w:r>
      <w:r>
        <w:rPr>
          <w:rFonts w:hint="eastAsia" w:asciiTheme="minorEastAsia" w:hAnsiTheme="minorEastAsia" w:eastAsiaTheme="minorEastAsia" w:cstheme="minorEastAsia"/>
          <w:b/>
          <w:color w:val="auto"/>
          <w:szCs w:val="24"/>
          <w:highlight w:val="none"/>
        </w:rPr>
        <w:t>用范围用于以下情形：</w:t>
      </w:r>
    </w:p>
    <w:p w14:paraId="0C37E3D5">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（1）由于发包人的要求导致发生设计变更或合同约定调整因素出现时的工程价款调整以及发生的索赔、现场签证等，其工程量按实调整，结算时按实际施工工作量及招标文件、合同约定进行结算，</w:t>
      </w:r>
      <w:r>
        <w:rPr>
          <w:rFonts w:hint="eastAsia" w:asciiTheme="minorEastAsia" w:hAnsiTheme="minorEastAsia" w:eastAsiaTheme="minorEastAsia" w:cstheme="minorEastAsia"/>
          <w:b/>
          <w:color w:val="auto"/>
          <w:szCs w:val="24"/>
          <w:highlight w:val="none"/>
        </w:rPr>
        <w:t>不发生时不计入结算总价</w:t>
      </w:r>
      <w:r>
        <w:rPr>
          <w:rFonts w:hint="eastAsia" w:asciiTheme="minorEastAsia" w:hAnsiTheme="minorEastAsia" w:eastAsiaTheme="minorEastAsia" w:cstheme="minorEastAsia"/>
          <w:color w:val="auto"/>
          <w:szCs w:val="24"/>
          <w:highlight w:val="none"/>
        </w:rPr>
        <w:t>。</w:t>
      </w:r>
    </w:p>
    <w:p w14:paraId="695FEAB0">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（2）国家政策变化导致的调整。</w:t>
      </w:r>
    </w:p>
    <w:p w14:paraId="4A3CF856">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（3）施工期间市场物价涨落，引起工程所在地工程造价管理机构发布的价格信息中材料价格变化，主要建筑材料（具体参照第3.3.4条款）价格浮动超过+5%的。</w:t>
      </w:r>
    </w:p>
    <w:p w14:paraId="21B0115E">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（4）施工合同签订时尚未确定或者不可预见的所需材料、设备、服务的采购。结算时按实际发生根据本招标文件的工程结算原则第3.3.5款进行结算。</w:t>
      </w:r>
    </w:p>
    <w:p w14:paraId="5F5F27C0">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（5）因不可预见的原因施工局部调整或施工技术工艺调整或应急工作需要发生的工程量。</w:t>
      </w:r>
    </w:p>
    <w:p w14:paraId="132D9CD3">
      <w:pPr>
        <w:spacing w:line="360" w:lineRule="auto"/>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（6）土石方工程等相应的投资概算范围之外的及因地质情况引起的基础变更的工程价款调整：其工程量按实调整，结算时按实际施工工作量及招标文件、合同约定进行结算。</w:t>
      </w:r>
    </w:p>
    <w:p w14:paraId="3458105B">
      <w:pPr>
        <w:spacing w:line="50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3.6 预算包干费：根据2018年《广东省市政工程综合定额》、2018年《广东省房屋建筑与装饰工程综合定额》、2018年《广东省通用安装工程综合定额》、2018年《广东省园林绿化工程综合定额》，以各专业分部分项的人工费与施工机具费之和为基础计算预算包干费。本工程的预算包干内容包括：按《广东省建设工程计价依据（2018）》相关规定。</w:t>
      </w:r>
    </w:p>
    <w:p w14:paraId="27EB3FCB">
      <w:pPr>
        <w:spacing w:line="50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3.7本工程结算不另行计取高温补贴费用、预算编制费、专业分包总包服务及配合费、设计优化及修改增加的费用。</w:t>
      </w:r>
    </w:p>
    <w:p w14:paraId="7095D662">
      <w:pPr>
        <w:spacing w:line="50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3.8 本工程暂估价（若有）为发包人用于支付必然发生但暂时不能确定价格的材料、工程设备的单价以及专业工程的金额，其结算原则按本章“2～3 工程结算原则”有关条款进行结算，结算时不得超过预算中所列相应的暂估价。</w:t>
      </w:r>
    </w:p>
    <w:p w14:paraId="36074419">
      <w:pPr>
        <w:spacing w:line="50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3.9 因本项目为设计、施工总承包，如果设计图纸、施工图预算由于设计深度原因导致的设计变更，不另行增加费用。</w:t>
      </w:r>
    </w:p>
    <w:p w14:paraId="5143F495">
      <w:pPr>
        <w:spacing w:line="500" w:lineRule="exact"/>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3.10 项目工程费用最终结算价以</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财政局投资评审中心的审定意见为准：若最终结算价超过中标价，则按中标价结算；若最终结算价未超过中标价，则按</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财政局投资评审中心审定的结算价进行结算。</w:t>
      </w:r>
    </w:p>
    <w:p w14:paraId="42601664">
      <w:pPr>
        <w:pStyle w:val="29"/>
        <w:keepNext/>
        <w:keepLines/>
        <w:spacing w:line="500" w:lineRule="exact"/>
        <w:ind w:firstLine="480"/>
        <w:jc w:val="both"/>
        <w:rPr>
          <w:rFonts w:hint="eastAsia" w:asciiTheme="minorEastAsia" w:hAnsiTheme="minorEastAsia" w:eastAsiaTheme="minorEastAsia" w:cstheme="minorEastAsia"/>
          <w:b/>
          <w:color w:val="auto"/>
          <w:kern w:val="2"/>
          <w:szCs w:val="24"/>
          <w:highlight w:val="none"/>
        </w:rPr>
      </w:pPr>
      <w:r>
        <w:rPr>
          <w:rFonts w:hint="eastAsia" w:asciiTheme="minorEastAsia" w:hAnsiTheme="minorEastAsia" w:eastAsiaTheme="minorEastAsia" w:cstheme="minorEastAsia"/>
          <w:b/>
          <w:color w:val="auto"/>
          <w:kern w:val="2"/>
          <w:szCs w:val="24"/>
          <w:highlight w:val="none"/>
        </w:rPr>
        <w:t>4 工程付款办法</w:t>
      </w:r>
    </w:p>
    <w:p w14:paraId="523E8FF5">
      <w:pPr>
        <w:pStyle w:val="27"/>
        <w:spacing w:line="500" w:lineRule="exact"/>
        <w:ind w:firstLine="48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b/>
          <w:bCs/>
          <w:color w:val="auto"/>
          <w:szCs w:val="22"/>
          <w:highlight w:val="none"/>
        </w:rPr>
        <w:t>4.1</w:t>
      </w:r>
      <w:r>
        <w:rPr>
          <w:rFonts w:hint="eastAsia" w:asciiTheme="minorEastAsia" w:hAnsiTheme="minorEastAsia" w:eastAsiaTheme="minorEastAsia" w:cstheme="minorEastAsia"/>
          <w:b/>
          <w:bCs/>
          <w:color w:val="auto"/>
          <w:szCs w:val="21"/>
          <w:highlight w:val="none"/>
        </w:rPr>
        <w:t>设计费的支付</w:t>
      </w:r>
      <w:r>
        <w:rPr>
          <w:rFonts w:hint="eastAsia" w:asciiTheme="minorEastAsia" w:hAnsiTheme="minorEastAsia" w:eastAsiaTheme="minorEastAsia" w:cstheme="minorEastAsia"/>
          <w:color w:val="auto"/>
          <w:szCs w:val="22"/>
          <w:highlight w:val="none"/>
        </w:rPr>
        <w:t>：</w:t>
      </w:r>
    </w:p>
    <w:p w14:paraId="4EBAC88E">
      <w:pPr>
        <w:pStyle w:val="27"/>
        <w:spacing w:line="44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4.1.1</w:t>
      </w:r>
      <w:r>
        <w:rPr>
          <w:rFonts w:hint="eastAsia" w:asciiTheme="minorEastAsia" w:hAnsiTheme="minorEastAsia" w:eastAsiaTheme="minorEastAsia" w:cstheme="minorEastAsia"/>
          <w:color w:val="auto"/>
          <w:szCs w:val="24"/>
          <w:highlight w:val="none"/>
        </w:rPr>
        <w:t>完成本项目工程施工图设计并提交符合要求的完整送审施工图设计文件后，相关请款资料经</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财政局审批后10个工作日内，支付至设计费合同价款的</w:t>
      </w:r>
      <w:r>
        <w:rPr>
          <w:rFonts w:hint="eastAsia" w:asciiTheme="minorEastAsia" w:hAnsiTheme="minorEastAsia" w:eastAsiaTheme="minorEastAsia" w:cstheme="minorEastAsia"/>
          <w:color w:val="auto"/>
          <w:szCs w:val="24"/>
          <w:highlight w:val="none"/>
          <w:lang w:val="en-US" w:eastAsia="zh-CN"/>
        </w:rPr>
        <w:t>5</w:t>
      </w:r>
      <w:r>
        <w:rPr>
          <w:rFonts w:hint="eastAsia" w:asciiTheme="minorEastAsia" w:hAnsiTheme="minorEastAsia" w:eastAsiaTheme="minorEastAsia" w:cstheme="minorEastAsia"/>
          <w:color w:val="auto"/>
          <w:szCs w:val="24"/>
          <w:highlight w:val="none"/>
        </w:rPr>
        <w:t>0%。</w:t>
      </w:r>
    </w:p>
    <w:p w14:paraId="03825845">
      <w:pPr>
        <w:pStyle w:val="27"/>
        <w:spacing w:line="44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4.1.2本项目工程施工图设计经发包人委托具有资质的第三方审图机构审查合格并提交合格的完整施工图设计成果文件后，支付至设计费合同价款的</w:t>
      </w:r>
      <w:r>
        <w:rPr>
          <w:rFonts w:hint="eastAsia" w:asciiTheme="minorEastAsia" w:hAnsiTheme="minorEastAsia" w:eastAsiaTheme="minorEastAsia" w:cstheme="minorEastAsia"/>
          <w:color w:val="auto"/>
          <w:szCs w:val="24"/>
          <w:highlight w:val="none"/>
          <w:lang w:val="en-US" w:eastAsia="zh-CN"/>
        </w:rPr>
        <w:t>9</w:t>
      </w:r>
      <w:r>
        <w:rPr>
          <w:rFonts w:hint="eastAsia" w:asciiTheme="minorEastAsia" w:hAnsiTheme="minorEastAsia" w:eastAsiaTheme="minorEastAsia" w:cstheme="minorEastAsia"/>
          <w:color w:val="auto"/>
          <w:szCs w:val="24"/>
          <w:highlight w:val="none"/>
        </w:rPr>
        <w:t>0%。</w:t>
      </w:r>
    </w:p>
    <w:p w14:paraId="7A53E820">
      <w:pPr>
        <w:pStyle w:val="27"/>
        <w:spacing w:line="440" w:lineRule="exact"/>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4.1.</w:t>
      </w:r>
      <w:r>
        <w:rPr>
          <w:rFonts w:hint="eastAsia" w:asciiTheme="minorEastAsia" w:hAnsiTheme="minorEastAsia" w:eastAsiaTheme="minorEastAsia" w:cstheme="minorEastAsia"/>
          <w:color w:val="auto"/>
          <w:szCs w:val="24"/>
          <w:highlight w:val="none"/>
          <w:lang w:val="en-US" w:eastAsia="zh-CN"/>
        </w:rPr>
        <w:t>3</w:t>
      </w:r>
      <w:r>
        <w:rPr>
          <w:rFonts w:hint="eastAsia" w:asciiTheme="minorEastAsia" w:hAnsiTheme="minorEastAsia" w:eastAsiaTheme="minorEastAsia" w:cstheme="minorEastAsia"/>
          <w:color w:val="auto"/>
          <w:szCs w:val="24"/>
          <w:highlight w:val="none"/>
        </w:rPr>
        <w:t>工程竣工验收合格后，相关请款资料经</w:t>
      </w:r>
      <w:r>
        <w:rPr>
          <w:rFonts w:hint="eastAsia" w:asciiTheme="minorEastAsia" w:hAnsiTheme="minorEastAsia" w:eastAsiaTheme="minorEastAsia" w:cstheme="minorEastAsia"/>
          <w:color w:val="auto"/>
          <w:szCs w:val="24"/>
          <w:highlight w:val="none"/>
          <w:lang w:val="en-US" w:eastAsia="zh-CN"/>
        </w:rPr>
        <w:t>始兴县</w:t>
      </w:r>
      <w:r>
        <w:rPr>
          <w:rFonts w:hint="eastAsia" w:asciiTheme="minorEastAsia" w:hAnsiTheme="minorEastAsia" w:eastAsiaTheme="minorEastAsia" w:cstheme="minorEastAsia"/>
          <w:color w:val="auto"/>
          <w:szCs w:val="24"/>
          <w:highlight w:val="none"/>
        </w:rPr>
        <w:t>财政局审批后10个工作日内支付剩余的设计费余额。</w:t>
      </w:r>
    </w:p>
    <w:p w14:paraId="27694A73">
      <w:pPr>
        <w:pStyle w:val="27"/>
        <w:spacing w:line="500" w:lineRule="exact"/>
        <w:ind w:firstLine="482"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 xml:space="preserve">4.2 </w:t>
      </w:r>
      <w:r>
        <w:rPr>
          <w:rFonts w:hint="eastAsia" w:asciiTheme="minorEastAsia" w:hAnsiTheme="minorEastAsia" w:eastAsiaTheme="minorEastAsia" w:cstheme="minorEastAsia"/>
          <w:b/>
          <w:bCs/>
          <w:color w:val="auto"/>
          <w:szCs w:val="21"/>
          <w:highlight w:val="none"/>
        </w:rPr>
        <w:t>建安工程款的支付</w:t>
      </w:r>
      <w:r>
        <w:rPr>
          <w:rFonts w:hint="eastAsia" w:asciiTheme="minorEastAsia" w:hAnsiTheme="minorEastAsia" w:eastAsiaTheme="minorEastAsia" w:cstheme="minorEastAsia"/>
          <w:color w:val="auto"/>
          <w:szCs w:val="22"/>
          <w:highlight w:val="none"/>
        </w:rPr>
        <w:t>：</w:t>
      </w:r>
    </w:p>
    <w:p w14:paraId="39E4B68E">
      <w:pPr>
        <w:pStyle w:val="27"/>
        <w:spacing w:line="500" w:lineRule="exact"/>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4.2.1 本工程</w:t>
      </w:r>
      <w:r>
        <w:rPr>
          <w:rFonts w:hint="eastAsia" w:asciiTheme="minorEastAsia" w:hAnsiTheme="minorEastAsia" w:eastAsiaTheme="minorEastAsia" w:cstheme="minorEastAsia"/>
          <w:color w:val="auto"/>
          <w:highlight w:val="none"/>
          <w:u w:val="single"/>
        </w:rPr>
        <w:t>支付</w:t>
      </w:r>
      <w:r>
        <w:rPr>
          <w:rFonts w:hint="eastAsia" w:asciiTheme="minorEastAsia" w:hAnsiTheme="minorEastAsia" w:eastAsiaTheme="minorEastAsia" w:cstheme="minorEastAsia"/>
          <w:color w:val="auto"/>
          <w:highlight w:val="none"/>
        </w:rPr>
        <w:t>施工预付款。</w:t>
      </w:r>
    </w:p>
    <w:p w14:paraId="076F6BA9">
      <w:pPr>
        <w:pStyle w:val="27"/>
        <w:spacing w:line="500" w:lineRule="exact"/>
        <w:ind w:firstLine="480"/>
        <w:rPr>
          <w:rFonts w:hint="eastAsia" w:asciiTheme="minorEastAsia" w:hAnsiTheme="minorEastAsia" w:eastAsiaTheme="minorEastAsia" w:cstheme="minorEastAsia"/>
          <w:i/>
          <w:snapToGrid w:val="0"/>
          <w:color w:val="auto"/>
          <w:kern w:val="0"/>
          <w:highlight w:val="none"/>
        </w:rPr>
      </w:pPr>
      <w:r>
        <w:rPr>
          <w:rFonts w:hint="eastAsia" w:asciiTheme="minorEastAsia" w:hAnsiTheme="minorEastAsia" w:eastAsiaTheme="minorEastAsia" w:cstheme="minorEastAsia"/>
          <w:color w:val="auto"/>
          <w:highlight w:val="none"/>
        </w:rPr>
        <w:t xml:space="preserve">4.2.2 </w:t>
      </w:r>
      <w:r>
        <w:rPr>
          <w:rFonts w:hint="eastAsia" w:asciiTheme="minorEastAsia" w:hAnsiTheme="minorEastAsia" w:eastAsiaTheme="minorEastAsia" w:cstheme="minorEastAsia"/>
          <w:snapToGrid w:val="0"/>
          <w:color w:val="auto"/>
          <w:kern w:val="0"/>
          <w:highlight w:val="none"/>
        </w:rPr>
        <w:t>施工预付款必须专用于合同工程，并按以下原则支付和抵扣：</w:t>
      </w:r>
    </w:p>
    <w:p w14:paraId="63C811A9">
      <w:pPr>
        <w:adjustRightInd w:val="0"/>
        <w:snapToGrid w:val="0"/>
        <w:spacing w:line="500" w:lineRule="exact"/>
        <w:ind w:firstLine="56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 施工预付款支付比例为：按施工合同价（预备费除外）的</w:t>
      </w:r>
      <w:r>
        <w:rPr>
          <w:rFonts w:hint="eastAsia" w:asciiTheme="minorEastAsia" w:hAnsiTheme="minorEastAsia" w:eastAsiaTheme="minorEastAsia" w:cstheme="minorEastAsia"/>
          <w:snapToGrid w:val="0"/>
          <w:color w:val="auto"/>
          <w:kern w:val="0"/>
          <w:szCs w:val="24"/>
          <w:highlight w:val="none"/>
          <w:u w:val="single"/>
        </w:rPr>
        <w:t xml:space="preserve">30% </w:t>
      </w:r>
      <w:r>
        <w:rPr>
          <w:rFonts w:hint="eastAsia" w:asciiTheme="minorEastAsia" w:hAnsiTheme="minorEastAsia" w:eastAsiaTheme="minorEastAsia" w:cstheme="minorEastAsia"/>
          <w:snapToGrid w:val="0"/>
          <w:color w:val="auto"/>
          <w:kern w:val="0"/>
          <w:szCs w:val="24"/>
          <w:highlight w:val="none"/>
        </w:rPr>
        <w:t>支付%。</w:t>
      </w:r>
    </w:p>
    <w:p w14:paraId="4D1EDCF5">
      <w:pPr>
        <w:adjustRightInd w:val="0"/>
        <w:snapToGrid w:val="0"/>
        <w:spacing w:line="500" w:lineRule="exact"/>
        <w:ind w:firstLine="560"/>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（2）本工程要求承包人提供与预付款等额的预付款银行保函（</w:t>
      </w:r>
      <w:r>
        <w:rPr>
          <w:rFonts w:hint="eastAsia" w:asciiTheme="minorEastAsia" w:hAnsiTheme="minorEastAsia" w:eastAsiaTheme="minorEastAsia" w:cstheme="minorEastAsia"/>
          <w:snapToGrid w:val="0"/>
          <w:color w:val="auto"/>
          <w:kern w:val="0"/>
          <w:szCs w:val="22"/>
          <w:highlight w:val="none"/>
        </w:rPr>
        <w:t>预付款银行保函按发包人提供的格式，详见招标文件第八章：预付款保函</w:t>
      </w: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b/>
          <w:snapToGrid w:val="0"/>
          <w:color w:val="auto"/>
          <w:kern w:val="0"/>
          <w:szCs w:val="24"/>
          <w:highlight w:val="none"/>
        </w:rPr>
        <w:t>且本工程预付款保函期限原则上不少于6个月，承包人的预付款保函有效期应保证在扣回预付款前有效，未扣回预付款但保函过期的，承包人应重新开具预付款保函。</w:t>
      </w:r>
    </w:p>
    <w:p w14:paraId="5BC3AB23">
      <w:pPr>
        <w:pStyle w:val="27"/>
        <w:ind w:firstLine="48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szCs w:val="24"/>
          <w:highlight w:val="none"/>
        </w:rPr>
        <w:t>（3）承包人应在签订施工合同后，在提供等额的预付款保函及具备施工条件的前提下（如承包人主要人员及主要机械进场到位），向发包人提交预付款支付申请。</w:t>
      </w:r>
    </w:p>
    <w:p w14:paraId="50A020C9">
      <w:pPr>
        <w:pStyle w:val="27"/>
        <w:ind w:firstLine="480" w:firstLineChars="200"/>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snapToGrid w:val="0"/>
          <w:color w:val="auto"/>
          <w:kern w:val="0"/>
          <w:highlight w:val="none"/>
        </w:rPr>
        <w:t>发包人在收到支付申请的7天内进行核实后，按程序向财政部门申请一次性支付预付款（工人工资预付款单独支付至工人工资专用账户）。</w:t>
      </w:r>
      <w:r>
        <w:rPr>
          <w:rFonts w:hint="eastAsia" w:asciiTheme="minorEastAsia" w:hAnsiTheme="minorEastAsia" w:eastAsiaTheme="minorEastAsia" w:cstheme="minorEastAsia"/>
          <w:b/>
          <w:snapToGrid w:val="0"/>
          <w:color w:val="auto"/>
          <w:kern w:val="0"/>
          <w:highlight w:val="none"/>
        </w:rPr>
        <w:t>凡未签订合同、未提供预付款保函或不具备施工条件的工程，发包人不预付工程款。</w:t>
      </w:r>
    </w:p>
    <w:p w14:paraId="441A6618">
      <w:pPr>
        <w:pStyle w:val="27"/>
        <w:ind w:firstLine="480" w:firstLineChars="200"/>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bCs/>
          <w:snapToGrid w:val="0"/>
          <w:color w:val="auto"/>
          <w:kern w:val="0"/>
          <w:highlight w:val="none"/>
        </w:rPr>
        <w:t>（4）预付款应从每支付期应支付给承包人的工程进度款中扣回，扣回比例为每支付期的工程进度款的50%，直到扣回的金额达到合同约定的预付款金额为止。</w:t>
      </w:r>
    </w:p>
    <w:p w14:paraId="1C464A15">
      <w:pPr>
        <w:pStyle w:val="27"/>
        <w:ind w:firstLine="480" w:firstLineChars="200"/>
        <w:rPr>
          <w:rFonts w:hint="eastAsia" w:asciiTheme="minorEastAsia" w:hAnsiTheme="minorEastAsia" w:eastAsiaTheme="minorEastAsia" w:cstheme="minorEastAsia"/>
          <w:bCs/>
          <w:snapToGrid w:val="0"/>
          <w:color w:val="auto"/>
          <w:kern w:val="0"/>
          <w:highlight w:val="none"/>
        </w:rPr>
      </w:pPr>
      <w:r>
        <w:rPr>
          <w:rFonts w:hint="eastAsia" w:asciiTheme="minorEastAsia" w:hAnsiTheme="minorEastAsia" w:eastAsiaTheme="minorEastAsia" w:cstheme="minorEastAsia"/>
          <w:color w:val="auto"/>
          <w:highlight w:val="none"/>
        </w:rPr>
        <w:t xml:space="preserve"> 4.2.3工程进度款支付条件：承包人必须提供的施工图预算报</w:t>
      </w:r>
      <w:r>
        <w:rPr>
          <w:rFonts w:hint="eastAsia" w:asciiTheme="minorEastAsia" w:hAnsiTheme="minorEastAsia" w:eastAsiaTheme="minorEastAsia" w:cstheme="minorEastAsia"/>
          <w:color w:val="auto"/>
          <w:highlight w:val="none"/>
          <w:lang w:eastAsia="zh-CN"/>
        </w:rPr>
        <w:t>发包人</w:t>
      </w:r>
      <w:r>
        <w:rPr>
          <w:rFonts w:hint="eastAsia" w:asciiTheme="minorEastAsia" w:hAnsiTheme="minorEastAsia" w:eastAsiaTheme="minorEastAsia" w:cstheme="minorEastAsia"/>
          <w:color w:val="auto"/>
          <w:highlight w:val="none"/>
        </w:rPr>
        <w:t>方可支付工程进度款。</w:t>
      </w:r>
    </w:p>
    <w:p w14:paraId="1ED23DEC">
      <w:pPr>
        <w:pStyle w:val="27"/>
        <w:ind w:firstLine="480" w:firstLineChars="200"/>
        <w:rPr>
          <w:rFonts w:hint="eastAsia" w:asciiTheme="minorEastAsia" w:hAnsiTheme="minorEastAsia" w:eastAsiaTheme="minorEastAsia" w:cstheme="minorEastAsia"/>
          <w:strike/>
          <w:color w:val="auto"/>
          <w:highlight w:val="none"/>
        </w:rPr>
      </w:pPr>
      <w:r>
        <w:rPr>
          <w:rFonts w:hint="eastAsia" w:asciiTheme="minorEastAsia" w:hAnsiTheme="minorEastAsia" w:eastAsiaTheme="minorEastAsia" w:cstheme="minorEastAsia"/>
          <w:color w:val="auto"/>
          <w:szCs w:val="24"/>
          <w:highlight w:val="none"/>
        </w:rPr>
        <w:t xml:space="preserve"> 4.2.4</w:t>
      </w:r>
      <w:r>
        <w:rPr>
          <w:rFonts w:hint="eastAsia" w:asciiTheme="minorEastAsia" w:hAnsiTheme="minorEastAsia" w:eastAsiaTheme="minorEastAsia" w:cstheme="minorEastAsia"/>
          <w:color w:val="auto"/>
          <w:highlight w:val="none"/>
        </w:rPr>
        <w:t xml:space="preserve"> 施工过程中按月支付工程进度款：承包人每月按</w:t>
      </w:r>
      <w:r>
        <w:rPr>
          <w:rFonts w:hint="eastAsia" w:asciiTheme="minorEastAsia" w:hAnsiTheme="minorEastAsia" w:eastAsiaTheme="minorEastAsia" w:cstheme="minorEastAsia"/>
          <w:color w:val="auto"/>
          <w:szCs w:val="22"/>
          <w:highlight w:val="none"/>
        </w:rPr>
        <w:t>工程形象进度申</w:t>
      </w:r>
      <w:r>
        <w:rPr>
          <w:rFonts w:hint="eastAsia" w:asciiTheme="minorEastAsia" w:hAnsiTheme="minorEastAsia" w:eastAsiaTheme="minorEastAsia" w:cstheme="minorEastAsia"/>
          <w:color w:val="auto"/>
          <w:highlight w:val="none"/>
        </w:rPr>
        <w:t>报，截止日为当月26日，形象进度和</w:t>
      </w:r>
      <w:r>
        <w:rPr>
          <w:rFonts w:hint="eastAsia" w:asciiTheme="minorEastAsia" w:hAnsiTheme="minorEastAsia" w:eastAsiaTheme="minorEastAsia" w:cstheme="minorEastAsia"/>
          <w:snapToGrid w:val="0"/>
          <w:color w:val="auto"/>
          <w:kern w:val="0"/>
          <w:highlight w:val="none"/>
        </w:rPr>
        <w:t>《工程付款申请书》</w:t>
      </w:r>
      <w:r>
        <w:rPr>
          <w:rFonts w:hint="eastAsia" w:asciiTheme="minorEastAsia" w:hAnsiTheme="minorEastAsia" w:eastAsiaTheme="minorEastAsia" w:cstheme="minorEastAsia"/>
          <w:color w:val="auto"/>
          <w:highlight w:val="none"/>
        </w:rPr>
        <w:t>由监理单位核实确认，经</w:t>
      </w:r>
      <w:r>
        <w:rPr>
          <w:rFonts w:hint="eastAsia" w:asciiTheme="minorEastAsia" w:hAnsiTheme="minorEastAsia" w:eastAsiaTheme="minorEastAsia" w:cstheme="minorEastAsia"/>
          <w:snapToGrid w:val="0"/>
          <w:color w:val="auto"/>
          <w:kern w:val="0"/>
          <w:highlight w:val="none"/>
        </w:rPr>
        <w:t>造价咨询单位（如有造价单位）审核，</w:t>
      </w:r>
      <w:r>
        <w:rPr>
          <w:rFonts w:hint="eastAsia" w:asciiTheme="minorEastAsia" w:hAnsiTheme="minorEastAsia" w:eastAsiaTheme="minorEastAsia" w:cstheme="minorEastAsia"/>
          <w:color w:val="auto"/>
          <w:highlight w:val="none"/>
        </w:rPr>
        <w:t>再经发包人审核确认后于申报工程进度款的次月支付。</w:t>
      </w:r>
    </w:p>
    <w:p w14:paraId="19F459D0">
      <w:pPr>
        <w:spacing w:line="360" w:lineRule="auto"/>
        <w:rPr>
          <w:rFonts w:hint="eastAsia" w:asciiTheme="minorEastAsia" w:hAnsiTheme="minorEastAsia" w:eastAsiaTheme="minorEastAsia" w:cstheme="minorEastAsia"/>
          <w:snapToGrid w:val="0"/>
          <w:color w:val="auto"/>
          <w:kern w:val="0"/>
          <w:highlight w:val="none"/>
        </w:rPr>
      </w:pPr>
      <w:r>
        <w:rPr>
          <w:rFonts w:hint="eastAsia" w:asciiTheme="minorEastAsia" w:hAnsiTheme="minorEastAsia" w:eastAsiaTheme="minorEastAsia" w:cstheme="minorEastAsia"/>
          <w:color w:val="auto"/>
          <w:szCs w:val="24"/>
          <w:highlight w:val="none"/>
        </w:rPr>
        <w:t xml:space="preserve">     4.2.5</w:t>
      </w:r>
      <w:r>
        <w:rPr>
          <w:rFonts w:hint="eastAsia" w:asciiTheme="minorEastAsia" w:hAnsiTheme="minorEastAsia" w:eastAsiaTheme="minorEastAsia" w:cstheme="minorEastAsia"/>
          <w:snapToGrid w:val="0"/>
          <w:color w:val="auto"/>
          <w:kern w:val="0"/>
          <w:highlight w:val="none"/>
        </w:rPr>
        <w:t>每月的工程进度款按应付金额的</w:t>
      </w:r>
      <w:r>
        <w:rPr>
          <w:rFonts w:hint="eastAsia" w:asciiTheme="minorEastAsia" w:hAnsiTheme="minorEastAsia" w:eastAsiaTheme="minorEastAsia" w:cstheme="minorEastAsia"/>
          <w:snapToGrid w:val="0"/>
          <w:color w:val="auto"/>
          <w:kern w:val="0"/>
          <w:highlight w:val="none"/>
          <w:u w:val="single"/>
        </w:rPr>
        <w:t xml:space="preserve"> 80 ％</w:t>
      </w:r>
      <w:r>
        <w:rPr>
          <w:rFonts w:hint="eastAsia" w:asciiTheme="minorEastAsia" w:hAnsiTheme="minorEastAsia" w:eastAsiaTheme="minorEastAsia" w:cstheme="minorEastAsia"/>
          <w:snapToGrid w:val="0"/>
          <w:color w:val="auto"/>
          <w:kern w:val="0"/>
          <w:highlight w:val="none"/>
        </w:rPr>
        <w:t xml:space="preserve">支付，工程进度款中的作业工人工资款项暂为该月工程进度款的 </w:t>
      </w:r>
      <w:r>
        <w:rPr>
          <w:rFonts w:hint="eastAsia" w:asciiTheme="minorEastAsia" w:hAnsiTheme="minorEastAsia" w:eastAsiaTheme="minorEastAsia" w:cstheme="minorEastAsia"/>
          <w:snapToGrid w:val="0"/>
          <w:color w:val="auto"/>
          <w:kern w:val="0"/>
          <w:highlight w:val="none"/>
          <w:u w:val="single"/>
        </w:rPr>
        <w:t>30 ％</w:t>
      </w:r>
      <w:r>
        <w:rPr>
          <w:rFonts w:hint="eastAsia" w:asciiTheme="minorEastAsia" w:hAnsiTheme="minorEastAsia" w:eastAsiaTheme="minorEastAsia" w:cstheme="minorEastAsia"/>
          <w:snapToGrid w:val="0"/>
          <w:color w:val="auto"/>
          <w:kern w:val="0"/>
          <w:highlight w:val="none"/>
        </w:rPr>
        <w:t>，具体工人工资拨付金额以该月实际审核确认的为准，由发包人将该月审核确认后的作业工人工资款项单独足额拨付到承包人的工资专户。</w:t>
      </w:r>
    </w:p>
    <w:p w14:paraId="1E58CADA">
      <w:pPr>
        <w:pStyle w:val="27"/>
        <w:ind w:firstLine="480" w:firstLineChars="200"/>
        <w:rPr>
          <w:rFonts w:hint="eastAsia" w:asciiTheme="minorEastAsia" w:hAnsiTheme="minorEastAsia" w:eastAsiaTheme="minorEastAsia" w:cstheme="minorEastAsia"/>
          <w:strike/>
          <w:color w:val="auto"/>
          <w:highlight w:val="none"/>
        </w:rPr>
      </w:pPr>
      <w:r>
        <w:rPr>
          <w:rFonts w:hint="eastAsia" w:asciiTheme="minorEastAsia" w:hAnsiTheme="minorEastAsia" w:eastAsiaTheme="minorEastAsia" w:cstheme="minorEastAsia"/>
          <w:color w:val="auto"/>
          <w:highlight w:val="none"/>
        </w:rPr>
        <w:t>4.3</w:t>
      </w:r>
      <w:r>
        <w:rPr>
          <w:rFonts w:hint="eastAsia" w:asciiTheme="minorEastAsia" w:hAnsiTheme="minorEastAsia" w:eastAsiaTheme="minorEastAsia" w:cstheme="minorEastAsia"/>
          <w:snapToGrid w:val="0"/>
          <w:color w:val="auto"/>
          <w:kern w:val="0"/>
          <w:szCs w:val="24"/>
          <w:highlight w:val="none"/>
        </w:rPr>
        <w:t>措施项目费中的“绿色施工安全防护措施费”拨付按照《广东省建设工程计价依据（2018）》执行，按照</w:t>
      </w:r>
      <w:r>
        <w:rPr>
          <w:rFonts w:hint="eastAsia" w:asciiTheme="minorEastAsia" w:hAnsiTheme="minorEastAsia" w:eastAsiaTheme="minorEastAsia" w:cstheme="minorEastAsia"/>
          <w:color w:val="auto"/>
          <w:szCs w:val="24"/>
          <w:highlight w:val="none"/>
        </w:rPr>
        <w:t>韶关市住房和城乡建设管理局《关于明确建筑工程安全防护、文明施工措施费用具体管理办法的通知》韶市建字〔2015〕26号文的</w:t>
      </w:r>
      <w:r>
        <w:rPr>
          <w:rFonts w:hint="eastAsia" w:asciiTheme="minorEastAsia" w:hAnsiTheme="minorEastAsia" w:eastAsiaTheme="minorEastAsia" w:cstheme="minorEastAsia"/>
          <w:snapToGrid w:val="0"/>
          <w:color w:val="auto"/>
          <w:kern w:val="0"/>
          <w:szCs w:val="24"/>
          <w:highlight w:val="none"/>
        </w:rPr>
        <w:t>有关规定支付。发生一般事故及以上等级重大安全事故的，发包人可扣除承包人金额相当于所有“绿色施工安全防护措施费”的工程管理费。</w:t>
      </w:r>
    </w:p>
    <w:p w14:paraId="3701FDBF">
      <w:pPr>
        <w:wordWrap w:val="0"/>
        <w:adjustRightInd w:val="0"/>
        <w:snapToGrid w:val="0"/>
        <w:spacing w:line="360" w:lineRule="auto"/>
        <w:ind w:firstLine="480" w:firstLineChars="200"/>
        <w:rPr>
          <w:rFonts w:hint="eastAsia" w:asciiTheme="minorEastAsia" w:hAnsiTheme="minorEastAsia" w:eastAsiaTheme="minorEastAsia" w:cstheme="minorEastAsia"/>
          <w:strike/>
          <w:color w:val="auto"/>
          <w:highlight w:val="none"/>
        </w:rPr>
      </w:pPr>
      <w:r>
        <w:rPr>
          <w:rFonts w:hint="eastAsia" w:asciiTheme="minorEastAsia" w:hAnsiTheme="minorEastAsia" w:eastAsiaTheme="minorEastAsia" w:cstheme="minorEastAsia"/>
          <w:color w:val="auto"/>
          <w:szCs w:val="24"/>
          <w:highlight w:val="none"/>
        </w:rPr>
        <w:t>4.4</w:t>
      </w:r>
      <w:r>
        <w:rPr>
          <w:rFonts w:hint="eastAsia" w:asciiTheme="minorEastAsia" w:hAnsiTheme="minorEastAsia" w:eastAsiaTheme="minorEastAsia" w:cstheme="minorEastAsia"/>
          <w:snapToGrid w:val="0"/>
          <w:color w:val="auto"/>
          <w:kern w:val="0"/>
          <w:szCs w:val="24"/>
          <w:highlight w:val="none"/>
        </w:rPr>
        <w:t>变更工程造价必须经监理单位核实及造价咨询单位（如有造价单位）审核，并经发包人核定后方可支付。</w:t>
      </w:r>
    </w:p>
    <w:p w14:paraId="020DAD48">
      <w:pPr>
        <w:pStyle w:val="27"/>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    4.5 结算审核完成后，于次月支付至审定总造价的97%。</w:t>
      </w:r>
    </w:p>
    <w:p w14:paraId="4F561736">
      <w:pPr>
        <w:pStyle w:val="27"/>
        <w:rPr>
          <w:rFonts w:hint="eastAsia" w:asciiTheme="minorEastAsia" w:hAnsiTheme="minorEastAsia" w:eastAsiaTheme="minorEastAsia" w:cstheme="minorEastAsia"/>
          <w:strike/>
          <w:color w:val="auto"/>
          <w:highlight w:val="none"/>
        </w:rPr>
      </w:pPr>
      <w:r>
        <w:rPr>
          <w:rFonts w:hint="eastAsia" w:asciiTheme="minorEastAsia" w:hAnsiTheme="minorEastAsia" w:eastAsiaTheme="minorEastAsia" w:cstheme="minorEastAsia"/>
          <w:color w:val="auto"/>
          <w:highlight w:val="none"/>
        </w:rPr>
        <w:t xml:space="preserve">    4.6 剩余3%为工程质量保证金，从工程竣工验收合格之日起满</w:t>
      </w:r>
      <w:r>
        <w:rPr>
          <w:rFonts w:hint="eastAsia" w:asciiTheme="minorEastAsia" w:hAnsiTheme="minorEastAsia" w:eastAsiaTheme="minorEastAsia" w:cstheme="minorEastAsia"/>
          <w:color w:val="auto"/>
          <w:highlight w:val="none"/>
          <w:u w:val="single"/>
        </w:rPr>
        <w:t>2</w:t>
      </w:r>
      <w:r>
        <w:rPr>
          <w:rFonts w:hint="eastAsia" w:asciiTheme="minorEastAsia" w:hAnsiTheme="minorEastAsia" w:eastAsiaTheme="minorEastAsia" w:cstheme="minorEastAsia"/>
          <w:color w:val="auto"/>
          <w:highlight w:val="none"/>
        </w:rPr>
        <w:t>年，</w:t>
      </w:r>
      <w:r>
        <w:rPr>
          <w:rFonts w:hint="eastAsia" w:asciiTheme="minorEastAsia" w:hAnsiTheme="minorEastAsia" w:eastAsiaTheme="minorEastAsia" w:cstheme="minorEastAsia"/>
          <w:snapToGrid w:val="0"/>
          <w:color w:val="auto"/>
          <w:kern w:val="0"/>
          <w:highlight w:val="none"/>
        </w:rPr>
        <w:t>若未发现质量问题，</w:t>
      </w:r>
      <w:r>
        <w:rPr>
          <w:rFonts w:hint="eastAsia" w:asciiTheme="minorEastAsia" w:hAnsiTheme="minorEastAsia" w:eastAsiaTheme="minorEastAsia" w:cstheme="minorEastAsia"/>
          <w:bCs/>
          <w:snapToGrid w:val="0"/>
          <w:color w:val="auto"/>
          <w:kern w:val="0"/>
          <w:highlight w:val="none"/>
        </w:rPr>
        <w:t>承包人向发包人申请退还质量保证（或保证金），发包人按照《建设工程质量保证金管理办法》及合同的有关规定和约定将质量保证（或保证金）</w:t>
      </w:r>
      <w:r>
        <w:rPr>
          <w:rFonts w:hint="eastAsia" w:asciiTheme="minorEastAsia" w:hAnsiTheme="minorEastAsia" w:eastAsiaTheme="minorEastAsia" w:cstheme="minorEastAsia"/>
          <w:bCs/>
          <w:color w:val="auto"/>
          <w:kern w:val="0"/>
          <w:highlight w:val="none"/>
        </w:rPr>
        <w:t>于次月</w:t>
      </w:r>
      <w:r>
        <w:rPr>
          <w:rFonts w:hint="eastAsia" w:asciiTheme="minorEastAsia" w:hAnsiTheme="minorEastAsia" w:eastAsiaTheme="minorEastAsia" w:cstheme="minorEastAsia"/>
          <w:bCs/>
          <w:snapToGrid w:val="0"/>
          <w:color w:val="auto"/>
          <w:kern w:val="0"/>
          <w:highlight w:val="none"/>
        </w:rPr>
        <w:t>退还给承包人</w:t>
      </w:r>
      <w:r>
        <w:rPr>
          <w:rFonts w:hint="eastAsia" w:asciiTheme="minorEastAsia" w:hAnsiTheme="minorEastAsia" w:eastAsiaTheme="minorEastAsia" w:cstheme="minorEastAsia"/>
          <w:bCs/>
          <w:color w:val="auto"/>
          <w:kern w:val="0"/>
          <w:highlight w:val="none"/>
        </w:rPr>
        <w:t>（不计息）。</w:t>
      </w:r>
    </w:p>
    <w:p w14:paraId="3AA8CFA7">
      <w:pPr>
        <w:wordWrap w:val="0"/>
        <w:adjustRightInd w:val="0"/>
        <w:snapToGrid w:val="0"/>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Cs w:val="24"/>
          <w:highlight w:val="none"/>
        </w:rPr>
        <w:t>4.7承包人提供的工程款发票必须按照发包人要求提供相应增值税发票给发包人，发包人收到符合要求的发票后方可支付工程款。</w:t>
      </w:r>
      <w:r>
        <w:rPr>
          <w:rFonts w:hint="eastAsia" w:asciiTheme="minorEastAsia" w:hAnsiTheme="minorEastAsia" w:eastAsiaTheme="minorEastAsia" w:cstheme="minorEastAsia"/>
          <w:snapToGrid w:val="0"/>
          <w:color w:val="auto"/>
          <w:kern w:val="0"/>
          <w:szCs w:val="24"/>
          <w:highlight w:val="none"/>
        </w:rPr>
        <w:t>如果承包人无法提供符合要求的发票，由此造成的相应损失由承包人承担。</w:t>
      </w:r>
    </w:p>
    <w:p w14:paraId="554E6408">
      <w:pPr>
        <w:pStyle w:val="27"/>
        <w:ind w:firstLine="48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highlight w:val="none"/>
        </w:rPr>
        <w:t>4.8本项目为政府全额投资，所有支付手续经发包人审批后，还须报政府财政部门审批完毕方可支付，如经发包人审批后已及时履行了向财政部门申报审批手续，则发包人不支付延期付</w:t>
      </w:r>
      <w:r>
        <w:rPr>
          <w:rFonts w:hint="eastAsia" w:asciiTheme="minorEastAsia" w:hAnsiTheme="minorEastAsia" w:eastAsiaTheme="minorEastAsia" w:cstheme="minorEastAsia"/>
          <w:color w:val="auto"/>
          <w:szCs w:val="22"/>
          <w:highlight w:val="none"/>
        </w:rPr>
        <w:t>款的利息，承包人也不得因政府财政部门履行审批程序所造成的延期付款而暂停施工和相关服务。</w:t>
      </w:r>
    </w:p>
    <w:p w14:paraId="1B3D4D47">
      <w:pPr>
        <w:pStyle w:val="27"/>
        <w:ind w:firstLine="480"/>
        <w:rPr>
          <w:rFonts w:hint="default" w:asciiTheme="minorEastAsia" w:hAnsiTheme="minorEastAsia" w:eastAsiaTheme="minorEastAsia" w:cstheme="minorEastAsia"/>
          <w:color w:val="auto"/>
          <w:szCs w:val="22"/>
          <w:highlight w:val="none"/>
          <w:lang w:val="en-US" w:eastAsia="zh-CN"/>
        </w:rPr>
      </w:pPr>
      <w:r>
        <w:rPr>
          <w:rFonts w:hint="eastAsia" w:asciiTheme="minorEastAsia" w:hAnsiTheme="minorEastAsia" w:eastAsiaTheme="minorEastAsia" w:cstheme="minorEastAsia"/>
          <w:color w:val="auto"/>
          <w:szCs w:val="22"/>
          <w:highlight w:val="none"/>
          <w:lang w:val="en-US" w:eastAsia="zh-CN"/>
        </w:rPr>
        <w:t>4.9建设场地征用及清理费支付方式：须经过相关部门审核后再支付。</w:t>
      </w:r>
    </w:p>
    <w:p w14:paraId="34C457A7">
      <w:pPr>
        <w:wordWrap w:val="0"/>
        <w:adjustRightInd w:val="0"/>
        <w:snapToGrid w:val="0"/>
        <w:spacing w:line="360" w:lineRule="auto"/>
        <w:ind w:firstLine="482" w:firstLineChars="200"/>
        <w:rPr>
          <w:rFonts w:hint="eastAsia" w:asciiTheme="minorEastAsia" w:hAnsiTheme="minorEastAsia" w:eastAsiaTheme="minorEastAsia" w:cstheme="minorEastAsia"/>
          <w:color w:val="auto"/>
          <w:szCs w:val="24"/>
          <w:highlight w:val="none"/>
          <w:u w:val="single"/>
        </w:rPr>
      </w:pPr>
      <w:r>
        <w:rPr>
          <w:rFonts w:hint="eastAsia" w:asciiTheme="minorEastAsia" w:hAnsiTheme="minorEastAsia" w:eastAsiaTheme="minorEastAsia" w:cstheme="minorEastAsia"/>
          <w:b/>
          <w:bCs/>
          <w:color w:val="auto"/>
          <w:szCs w:val="24"/>
          <w:highlight w:val="none"/>
        </w:rPr>
        <w:t>4.</w:t>
      </w:r>
      <w:r>
        <w:rPr>
          <w:rFonts w:hint="eastAsia" w:asciiTheme="minorEastAsia" w:hAnsiTheme="minorEastAsia" w:eastAsiaTheme="minorEastAsia" w:cstheme="minorEastAsia"/>
          <w:b/>
          <w:bCs/>
          <w:color w:val="auto"/>
          <w:szCs w:val="24"/>
          <w:highlight w:val="none"/>
          <w:lang w:val="en-US" w:eastAsia="zh-CN"/>
        </w:rPr>
        <w:t>10</w:t>
      </w:r>
      <w:r>
        <w:rPr>
          <w:rFonts w:hint="eastAsia" w:asciiTheme="minorEastAsia" w:hAnsiTheme="minorEastAsia" w:eastAsiaTheme="minorEastAsia" w:cstheme="minorEastAsia"/>
          <w:color w:val="auto"/>
          <w:highlight w:val="none"/>
        </w:rPr>
        <w:t>预备费支付方式：与每个月的工程进度款一并报送（若发生符合使用范围的情形需使用预备费时），在预备费的范围内由监理单位进行签认，造价咨询单位审核，发包人确认，进度款中需要列明涉及预备费的部分。在预备费的范围内由监理单位进行签证，造价咨询单位审核后，经发包人确认后按该进度款项的50％支付，其余部分待结算完成审核后支付。预备费如有余额归发包人，不发生时不计入结算总价。</w:t>
      </w:r>
    </w:p>
    <w:p w14:paraId="65F886A9">
      <w:pPr>
        <w:wordWrap w:val="0"/>
        <w:adjustRightInd w:val="0"/>
        <w:snapToGrid w:val="0"/>
        <w:spacing w:line="440" w:lineRule="exact"/>
        <w:ind w:firstLine="482" w:firstLineChars="200"/>
        <w:rPr>
          <w:rFonts w:hint="eastAsia" w:ascii="Times New Roman" w:hAnsi="Times New Roman" w:cs="Times New Roman"/>
          <w:caps w:val="0"/>
          <w:smallCaps w:val="0"/>
          <w:snapToGrid w:val="0"/>
          <w:color w:val="auto"/>
          <w:spacing w:val="0"/>
          <w:kern w:val="0"/>
          <w:sz w:val="24"/>
          <w:szCs w:val="24"/>
          <w:highlight w:val="none"/>
        </w:rPr>
      </w:pPr>
      <w:r>
        <w:rPr>
          <w:rFonts w:hint="eastAsia" w:asciiTheme="minorEastAsia" w:hAnsiTheme="minorEastAsia" w:eastAsiaTheme="minorEastAsia" w:cstheme="minorEastAsia"/>
          <w:b/>
          <w:color w:val="auto"/>
          <w:szCs w:val="24"/>
          <w:highlight w:val="none"/>
        </w:rPr>
        <w:t>4.1</w:t>
      </w:r>
      <w:r>
        <w:rPr>
          <w:rFonts w:hint="eastAsia" w:asciiTheme="minorEastAsia" w:hAnsiTheme="minorEastAsia" w:eastAsiaTheme="minorEastAsia" w:cstheme="minorEastAsia"/>
          <w:b/>
          <w:color w:val="auto"/>
          <w:szCs w:val="24"/>
          <w:highlight w:val="none"/>
          <w:lang w:val="en-US" w:eastAsia="zh-CN"/>
        </w:rPr>
        <w:t>1</w:t>
      </w:r>
      <w:r>
        <w:rPr>
          <w:rFonts w:hint="eastAsia" w:asciiTheme="minorEastAsia" w:hAnsiTheme="minorEastAsia" w:eastAsiaTheme="minorEastAsia" w:cstheme="minorEastAsia"/>
          <w:color w:val="auto"/>
          <w:szCs w:val="24"/>
          <w:highlight w:val="none"/>
        </w:rPr>
        <w:t>本工程按政府有关要求或资金安排情况、合同有关约定，经双方协商可调整建安费支付办法。</w:t>
      </w:r>
    </w:p>
    <w:p w14:paraId="7E516488">
      <w:pPr>
        <w:wordWrap w:val="0"/>
        <w:adjustRightInd w:val="0"/>
        <w:snapToGrid w:val="0"/>
        <w:spacing w:line="360" w:lineRule="auto"/>
        <w:ind w:firstLine="561"/>
        <w:rPr>
          <w:rFonts w:hint="eastAsia" w:asciiTheme="minorEastAsia" w:hAnsiTheme="minorEastAsia" w:eastAsiaTheme="minorEastAsia" w:cstheme="minorEastAsia"/>
          <w:bCs/>
          <w:snapToGrid w:val="0"/>
          <w:color w:val="auto"/>
          <w:kern w:val="0"/>
          <w:szCs w:val="24"/>
          <w:highlight w:val="none"/>
        </w:rPr>
      </w:pPr>
    </w:p>
    <w:p w14:paraId="05FD9175">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bookmarkStart w:id="270" w:name="_Toc12936"/>
      <w:bookmarkStart w:id="271" w:name="_Toc16873"/>
      <w:bookmarkStart w:id="272" w:name="_Toc22105"/>
      <w:bookmarkStart w:id="273" w:name="_Toc4262"/>
      <w:bookmarkStart w:id="274" w:name="_Toc17661"/>
      <w:bookmarkStart w:id="275" w:name="_Toc26916"/>
      <w:bookmarkStart w:id="276" w:name="_Toc29236"/>
      <w:bookmarkStart w:id="277" w:name="_Toc25046"/>
      <w:bookmarkStart w:id="278" w:name="_Toc8741"/>
    </w:p>
    <w:p w14:paraId="74A23DD2">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72013A75">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72288149">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21C46C5F">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704F3236">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4FA30CF5">
      <w:pPr>
        <w:pStyle w:val="27"/>
        <w:rPr>
          <w:rFonts w:hint="eastAsia"/>
          <w:color w:val="auto"/>
        </w:rPr>
      </w:pPr>
    </w:p>
    <w:p w14:paraId="53CD44C6">
      <w:pPr>
        <w:pStyle w:val="27"/>
        <w:rPr>
          <w:rFonts w:hint="eastAsia"/>
          <w:color w:val="auto"/>
        </w:rPr>
      </w:pPr>
    </w:p>
    <w:p w14:paraId="3926623C">
      <w:pPr>
        <w:pStyle w:val="27"/>
        <w:rPr>
          <w:rFonts w:hint="eastAsia"/>
          <w:color w:val="auto"/>
        </w:rPr>
      </w:pPr>
    </w:p>
    <w:p w14:paraId="43FEFCFA">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p>
    <w:p w14:paraId="52162D63">
      <w:pPr>
        <w:pStyle w:val="27"/>
        <w:rPr>
          <w:rFonts w:hint="eastAsia" w:asciiTheme="minorEastAsia" w:hAnsiTheme="minorEastAsia" w:eastAsiaTheme="minorEastAsia" w:cstheme="minorEastAsia"/>
          <w:b/>
          <w:color w:val="auto"/>
          <w:kern w:val="44"/>
          <w:sz w:val="36"/>
          <w:szCs w:val="36"/>
          <w:highlight w:val="none"/>
        </w:rPr>
      </w:pPr>
    </w:p>
    <w:p w14:paraId="6BB0CDD3">
      <w:pPr>
        <w:pStyle w:val="27"/>
        <w:rPr>
          <w:rFonts w:hint="eastAsia" w:asciiTheme="minorEastAsia" w:hAnsiTheme="minorEastAsia" w:eastAsiaTheme="minorEastAsia" w:cstheme="minorEastAsia"/>
          <w:b/>
          <w:color w:val="auto"/>
          <w:kern w:val="44"/>
          <w:sz w:val="36"/>
          <w:szCs w:val="36"/>
          <w:highlight w:val="none"/>
        </w:rPr>
      </w:pPr>
    </w:p>
    <w:p w14:paraId="532323A3">
      <w:pPr>
        <w:pStyle w:val="27"/>
        <w:rPr>
          <w:rFonts w:hint="eastAsia" w:asciiTheme="minorEastAsia" w:hAnsiTheme="minorEastAsia" w:eastAsiaTheme="minorEastAsia" w:cstheme="minorEastAsia"/>
          <w:b/>
          <w:color w:val="auto"/>
          <w:kern w:val="44"/>
          <w:sz w:val="36"/>
          <w:szCs w:val="36"/>
          <w:highlight w:val="none"/>
        </w:rPr>
      </w:pPr>
    </w:p>
    <w:p w14:paraId="15F997C3">
      <w:pPr>
        <w:pStyle w:val="27"/>
        <w:rPr>
          <w:rFonts w:hint="eastAsia" w:asciiTheme="minorEastAsia" w:hAnsiTheme="minorEastAsia" w:eastAsiaTheme="minorEastAsia" w:cstheme="minorEastAsia"/>
          <w:b/>
          <w:color w:val="auto"/>
          <w:kern w:val="44"/>
          <w:sz w:val="36"/>
          <w:szCs w:val="36"/>
          <w:highlight w:val="none"/>
        </w:rPr>
      </w:pPr>
    </w:p>
    <w:p w14:paraId="55DBA4C5">
      <w:pPr>
        <w:pStyle w:val="27"/>
        <w:rPr>
          <w:rFonts w:hint="eastAsia" w:asciiTheme="minorEastAsia" w:hAnsiTheme="minorEastAsia" w:eastAsiaTheme="minorEastAsia" w:cstheme="minorEastAsia"/>
          <w:b/>
          <w:color w:val="auto"/>
          <w:kern w:val="44"/>
          <w:sz w:val="36"/>
          <w:szCs w:val="36"/>
          <w:highlight w:val="none"/>
        </w:rPr>
      </w:pPr>
    </w:p>
    <w:p w14:paraId="0E725845">
      <w:pPr>
        <w:pStyle w:val="28"/>
        <w:keepNext/>
        <w:keepLines/>
        <w:tabs>
          <w:tab w:val="left" w:pos="885"/>
        </w:tabs>
        <w:jc w:val="center"/>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val="en-US" w:eastAsia="zh-CN"/>
        </w:rPr>
        <w:t>四</w:t>
      </w:r>
      <w:r>
        <w:rPr>
          <w:rFonts w:hint="eastAsia" w:asciiTheme="minorEastAsia" w:hAnsiTheme="minorEastAsia" w:eastAsiaTheme="minorEastAsia" w:cstheme="minorEastAsia"/>
          <w:b/>
          <w:color w:val="auto"/>
          <w:kern w:val="44"/>
          <w:sz w:val="36"/>
          <w:szCs w:val="36"/>
          <w:highlight w:val="none"/>
        </w:rPr>
        <w:t xml:space="preserve">章 </w:t>
      </w:r>
      <w:bookmarkEnd w:id="260"/>
      <w:bookmarkEnd w:id="270"/>
      <w:bookmarkEnd w:id="271"/>
      <w:bookmarkEnd w:id="272"/>
      <w:bookmarkEnd w:id="273"/>
      <w:bookmarkEnd w:id="274"/>
      <w:bookmarkEnd w:id="275"/>
      <w:bookmarkEnd w:id="276"/>
      <w:bookmarkEnd w:id="277"/>
      <w:r>
        <w:rPr>
          <w:rFonts w:hint="eastAsia" w:asciiTheme="minorEastAsia" w:hAnsiTheme="minorEastAsia" w:eastAsiaTheme="minorEastAsia" w:cstheme="minorEastAsia"/>
          <w:b/>
          <w:color w:val="auto"/>
          <w:kern w:val="44"/>
          <w:sz w:val="36"/>
          <w:szCs w:val="36"/>
          <w:highlight w:val="none"/>
        </w:rPr>
        <w:t>技术要求</w:t>
      </w:r>
      <w:bookmarkEnd w:id="278"/>
    </w:p>
    <w:p w14:paraId="4106F672">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bookmarkStart w:id="279" w:name="_Hlt87793370"/>
      <w:bookmarkEnd w:id="279"/>
      <w:bookmarkStart w:id="280" w:name="_Hlt69359335"/>
      <w:bookmarkEnd w:id="280"/>
      <w:bookmarkStart w:id="281" w:name="_Hlt69265216"/>
      <w:bookmarkEnd w:id="281"/>
      <w:bookmarkStart w:id="282" w:name="_Hlt69358207"/>
      <w:bookmarkEnd w:id="282"/>
      <w:bookmarkStart w:id="283" w:name="_Hlt69357851"/>
      <w:bookmarkEnd w:id="283"/>
      <w:bookmarkStart w:id="284" w:name="_Hlt78709799"/>
      <w:bookmarkEnd w:id="284"/>
      <w:bookmarkStart w:id="285" w:name="_Hlt66104926"/>
      <w:bookmarkEnd w:id="285"/>
      <w:bookmarkStart w:id="286" w:name="_Hlt69358458"/>
      <w:bookmarkEnd w:id="286"/>
      <w:bookmarkStart w:id="287" w:name="_Hlt69116854"/>
      <w:bookmarkEnd w:id="287"/>
      <w:bookmarkStart w:id="288" w:name="_Hlt87793346"/>
      <w:bookmarkEnd w:id="288"/>
      <w:bookmarkStart w:id="289" w:name="_Hlt69359245"/>
      <w:bookmarkEnd w:id="289"/>
      <w:bookmarkStart w:id="290" w:name="_Hlt80411122"/>
      <w:bookmarkEnd w:id="290"/>
      <w:bookmarkStart w:id="291" w:name="_Hlt69359243"/>
      <w:bookmarkEnd w:id="291"/>
      <w:bookmarkStart w:id="292" w:name="_Hlt69635252"/>
      <w:bookmarkEnd w:id="292"/>
      <w:bookmarkStart w:id="293" w:name="_Hlt68774758"/>
      <w:bookmarkEnd w:id="293"/>
      <w:bookmarkStart w:id="294" w:name="_Hlt69359086"/>
      <w:bookmarkEnd w:id="294"/>
      <w:bookmarkStart w:id="295" w:name="_Hlt69116858"/>
      <w:bookmarkEnd w:id="295"/>
      <w:bookmarkStart w:id="296" w:name="_Hlt75685840"/>
      <w:bookmarkEnd w:id="296"/>
      <w:r>
        <w:rPr>
          <w:rFonts w:hint="eastAsia" w:asciiTheme="minorEastAsia" w:hAnsiTheme="minorEastAsia" w:eastAsiaTheme="minorEastAsia" w:cstheme="minorEastAsia"/>
          <w:color w:val="auto"/>
          <w:sz w:val="24"/>
          <w:szCs w:val="24"/>
          <w:highlight w:val="none"/>
        </w:rPr>
        <w:t>1.技术（规范）标准</w:t>
      </w:r>
    </w:p>
    <w:p w14:paraId="283136F0">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依据设计文件的要求，本招标工程项目的材料、设备、施工须达到下列现行中华人民共和国以及省、自治区、直辖市或行业的工程建设标准、规范的要求，至少应包括：</w:t>
      </w:r>
    </w:p>
    <w:p w14:paraId="143FBE02">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eastAsia="zh-CN"/>
        </w:rPr>
        <w:t>）《110kV～750kV架空输电线路线路设计规范》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GB50545</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2010</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183C1AF5">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lang w:eastAsia="zh-CN"/>
        </w:rPr>
        <w:t>）《交流电气装置的过电压保护和绝缘配合设计规范》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GB/T 50064-2014</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0DFB3B68">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lang w:eastAsia="zh-CN"/>
        </w:rPr>
        <w:t>）《输电线路对电信线路危险和干扰影响防护设计规程》</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DL/T 5033-2006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0DA178D0">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lang w:eastAsia="zh-CN"/>
        </w:rPr>
        <w:t>）《架空输电线路杆塔结构设计技术规</w:t>
      </w:r>
      <w:r>
        <w:rPr>
          <w:rFonts w:hint="eastAsia" w:asciiTheme="minorEastAsia" w:hAnsiTheme="minorEastAsia" w:eastAsiaTheme="minorEastAsia" w:cstheme="minorEastAsia"/>
          <w:color w:val="auto"/>
          <w:sz w:val="24"/>
          <w:szCs w:val="24"/>
          <w:highlight w:val="none"/>
          <w:lang w:val="en-US" w:eastAsia="zh-CN"/>
        </w:rPr>
        <w:t>程</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 xml:space="preserve">DL/T </w:t>
      </w:r>
      <w:r>
        <w:rPr>
          <w:rFonts w:hint="eastAsia" w:asciiTheme="minorEastAsia" w:hAnsiTheme="minorEastAsia" w:eastAsiaTheme="minorEastAsia" w:cstheme="minorEastAsia"/>
          <w:color w:val="auto"/>
          <w:sz w:val="24"/>
          <w:szCs w:val="24"/>
          <w:highlight w:val="none"/>
          <w:lang w:val="en-US" w:eastAsia="zh-CN"/>
        </w:rPr>
        <w:t>5486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2020)</w:t>
      </w:r>
      <w:r>
        <w:rPr>
          <w:rFonts w:hint="eastAsia" w:asciiTheme="minorEastAsia" w:hAnsiTheme="minorEastAsia" w:eastAsiaTheme="minorEastAsia" w:cstheme="minorEastAsia"/>
          <w:color w:val="auto"/>
          <w:sz w:val="24"/>
          <w:szCs w:val="24"/>
          <w:highlight w:val="none"/>
          <w:lang w:eastAsia="zh-CN"/>
        </w:rPr>
        <w:t>；</w:t>
      </w:r>
    </w:p>
    <w:p w14:paraId="05267E17">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（5）《架空输电线路荷载规范》(DLT 5551-2018)；</w:t>
      </w:r>
    </w:p>
    <w:p w14:paraId="4F3AAAF6">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6</w:t>
      </w:r>
      <w:r>
        <w:rPr>
          <w:rFonts w:hint="eastAsia" w:asciiTheme="minorEastAsia" w:hAnsiTheme="minorEastAsia" w:eastAsiaTheme="minorEastAsia" w:cstheme="minorEastAsia"/>
          <w:color w:val="auto"/>
          <w:sz w:val="24"/>
          <w:szCs w:val="24"/>
          <w:highlight w:val="none"/>
          <w:lang w:eastAsia="zh-CN"/>
        </w:rPr>
        <w:t>）《架空输电线路基础设计技术规程》</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DL/T 5219-20</w:t>
      </w:r>
      <w:r>
        <w:rPr>
          <w:rFonts w:hint="eastAsia" w:asciiTheme="minorEastAsia" w:hAnsiTheme="minorEastAsia" w:eastAsiaTheme="minorEastAsia" w:cstheme="minorEastAsia"/>
          <w:color w:val="auto"/>
          <w:sz w:val="24"/>
          <w:szCs w:val="24"/>
          <w:highlight w:val="none"/>
          <w:lang w:val="en-US" w:eastAsia="zh-CN"/>
        </w:rPr>
        <w:t>23)</w:t>
      </w:r>
      <w:r>
        <w:rPr>
          <w:rFonts w:hint="eastAsia" w:asciiTheme="minorEastAsia" w:hAnsiTheme="minorEastAsia" w:eastAsiaTheme="minorEastAsia" w:cstheme="minorEastAsia"/>
          <w:color w:val="auto"/>
          <w:sz w:val="24"/>
          <w:szCs w:val="24"/>
          <w:highlight w:val="none"/>
          <w:lang w:eastAsia="zh-CN"/>
        </w:rPr>
        <w:t>；</w:t>
      </w:r>
    </w:p>
    <w:p w14:paraId="5C5FD303">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7</w:t>
      </w:r>
      <w:r>
        <w:rPr>
          <w:rFonts w:hint="eastAsia" w:asciiTheme="minorEastAsia" w:hAnsiTheme="minorEastAsia" w:eastAsiaTheme="minorEastAsia" w:cstheme="minorEastAsia"/>
          <w:color w:val="auto"/>
          <w:sz w:val="24"/>
          <w:szCs w:val="24"/>
          <w:highlight w:val="none"/>
          <w:lang w:eastAsia="zh-CN"/>
        </w:rPr>
        <w:t>）《交流电气装置的接地设计规范》</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GB50065-2011</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lang w:eastAsia="zh-CN"/>
        </w:rPr>
        <w:t>；</w:t>
      </w:r>
    </w:p>
    <w:p w14:paraId="32A0278F">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（8）《多雷区110kV～500kV交流同塔多回输电线路防雷技术导则》</w:t>
      </w:r>
      <w:r>
        <w:rPr>
          <w:rFonts w:hint="eastAsia" w:asciiTheme="minorEastAsia" w:hAnsiTheme="minorEastAsia" w:eastAsiaTheme="minorEastAsia" w:cstheme="minorEastAsia"/>
          <w:color w:val="auto"/>
          <w:sz w:val="24"/>
          <w:szCs w:val="24"/>
          <w:highlight w:val="none"/>
          <w:lang w:eastAsia="zh-CN"/>
        </w:rPr>
        <w:t>（DL/T 1784-2017）；</w:t>
      </w:r>
    </w:p>
    <w:p w14:paraId="3147DA7D">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（9）《数字输电线路装备技术导则》(办生技函〔2022〕9号附件16)；</w:t>
      </w:r>
    </w:p>
    <w:p w14:paraId="602CF46A">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（10）中国南方电网公司《35kV～500kV输电线路杆塔标准设计-V2.1版》；</w:t>
      </w:r>
    </w:p>
    <w:p w14:paraId="3010015D">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11</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关于印发生产设备品类清单(2022版)的通知</w:t>
      </w:r>
      <w:r>
        <w:rPr>
          <w:rFonts w:hint="eastAsia" w:asciiTheme="minorEastAsia" w:hAnsiTheme="minorEastAsia" w:eastAsiaTheme="minorEastAsia" w:cstheme="minorEastAsia"/>
          <w:color w:val="auto"/>
          <w:sz w:val="24"/>
          <w:szCs w:val="24"/>
          <w:highlight w:val="none"/>
          <w:lang w:eastAsia="zh-CN"/>
        </w:rPr>
        <w:t>》；</w:t>
      </w:r>
    </w:p>
    <w:p w14:paraId="08E58A06">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（12）《南方电网污区分布图》(2021版)；</w:t>
      </w:r>
    </w:p>
    <w:p w14:paraId="090F2E40">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（13）《南方电网冰区分布图》(2022版)；</w:t>
      </w:r>
    </w:p>
    <w:p w14:paraId="2EA7BA5C">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（14）南方电网公司反事故措施(2022版)；</w:t>
      </w:r>
    </w:p>
    <w:p w14:paraId="2AACCFF7">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（15）《架空输电线路防雷技术导则》</w:t>
      </w:r>
      <w:bookmarkStart w:id="297" w:name="docnum"/>
      <w:r>
        <w:rPr>
          <w:rFonts w:hint="eastAsia" w:asciiTheme="minorEastAsia" w:hAnsiTheme="minorEastAsia" w:eastAsiaTheme="minorEastAsia" w:cstheme="minorEastAsia"/>
          <w:color w:val="auto"/>
          <w:sz w:val="24"/>
          <w:szCs w:val="24"/>
          <w:highlight w:val="none"/>
          <w:lang w:val="en-US" w:eastAsia="zh-CN"/>
        </w:rPr>
        <w:t>(</w:t>
      </w:r>
      <w:bookmarkEnd w:id="297"/>
      <w:r>
        <w:rPr>
          <w:rFonts w:hint="eastAsia" w:asciiTheme="minorEastAsia" w:hAnsiTheme="minorEastAsia" w:eastAsiaTheme="minorEastAsia" w:cstheme="minorEastAsia"/>
          <w:color w:val="auto"/>
          <w:sz w:val="24"/>
          <w:szCs w:val="24"/>
          <w:highlight w:val="none"/>
          <w:lang w:val="en-US" w:eastAsia="zh-CN"/>
        </w:rPr>
        <w:t>Q CSG1107002-2018)；</w:t>
      </w:r>
    </w:p>
    <w:p w14:paraId="4936A0BB">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（16）《输电线路树障防控工作导则》(2022版)；</w:t>
      </w:r>
    </w:p>
    <w:p w14:paraId="45BD5C12">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（17）《关于印发广东电网有限责任公司输电线路悬式绝缘子选型导则的通知》(广电生[2016]114号)；</w:t>
      </w:r>
    </w:p>
    <w:p w14:paraId="4B2F3327">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（18）广东电网有限责任公司逆向物资管理实施细则(</w:t>
      </w:r>
      <w:r>
        <w:rPr>
          <w:rFonts w:hint="eastAsia" w:asciiTheme="minorEastAsia" w:hAnsiTheme="minorEastAsia" w:eastAsiaTheme="minorEastAsia" w:cstheme="minorEastAsia"/>
          <w:color w:val="auto"/>
          <w:sz w:val="24"/>
          <w:szCs w:val="24"/>
          <w:highlight w:val="none"/>
          <w:lang w:val="en-GB" w:eastAsia="zh-CN"/>
        </w:rPr>
        <w:t>Q/CSG-GPG 2 17 006-2018</w:t>
      </w:r>
      <w:r>
        <w:rPr>
          <w:rFonts w:hint="eastAsia" w:asciiTheme="minorEastAsia" w:hAnsiTheme="minorEastAsia" w:eastAsiaTheme="minorEastAsia" w:cstheme="minorEastAsia"/>
          <w:color w:val="auto"/>
          <w:sz w:val="24"/>
          <w:szCs w:val="24"/>
          <w:highlight w:val="none"/>
          <w:lang w:val="en-US" w:eastAsia="zh-CN"/>
        </w:rPr>
        <w:t>)；</w:t>
      </w:r>
    </w:p>
    <w:p w14:paraId="0381FFE2">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19</w:t>
      </w:r>
      <w:r>
        <w:rPr>
          <w:rFonts w:hint="eastAsia" w:asciiTheme="minorEastAsia" w:hAnsiTheme="minorEastAsia" w:eastAsiaTheme="minorEastAsia" w:cstheme="minorEastAsia"/>
          <w:color w:val="auto"/>
          <w:sz w:val="24"/>
          <w:szCs w:val="24"/>
          <w:highlight w:val="none"/>
          <w:lang w:eastAsia="zh-CN"/>
        </w:rPr>
        <w:t>）国家和电力行业相关的技术标准规程和规范文本；</w:t>
      </w:r>
    </w:p>
    <w:p w14:paraId="2507B548">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20</w:t>
      </w:r>
      <w:r>
        <w:rPr>
          <w:rFonts w:hint="eastAsia" w:asciiTheme="minorEastAsia" w:hAnsiTheme="minorEastAsia" w:eastAsiaTheme="minorEastAsia" w:cstheme="minorEastAsia"/>
          <w:color w:val="auto"/>
          <w:sz w:val="24"/>
          <w:szCs w:val="24"/>
          <w:highlight w:val="none"/>
          <w:lang w:eastAsia="zh-CN"/>
        </w:rPr>
        <w:t>）供电部门确定的供电方案；</w:t>
      </w:r>
    </w:p>
    <w:p w14:paraId="5E1DC384">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21</w:t>
      </w:r>
      <w:r>
        <w:rPr>
          <w:rFonts w:hint="eastAsia" w:asciiTheme="minorEastAsia" w:hAnsiTheme="minorEastAsia" w:eastAsiaTheme="minorEastAsia" w:cstheme="minorEastAsia"/>
          <w:color w:val="auto"/>
          <w:sz w:val="24"/>
          <w:szCs w:val="24"/>
          <w:highlight w:val="none"/>
          <w:lang w:eastAsia="zh-CN"/>
        </w:rPr>
        <w:t>）用户（业主）的具体要求；</w:t>
      </w:r>
    </w:p>
    <w:p w14:paraId="1582F485">
      <w:pPr>
        <w:pStyle w:val="6"/>
        <w:spacing w:line="360" w:lineRule="auto"/>
        <w:ind w:left="0" w:leftChars="0" w:firstLine="0" w:firstLineChars="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22</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 xml:space="preserve">其它有关的规范和标准。   </w:t>
      </w:r>
    </w:p>
    <w:p w14:paraId="4451B04D">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t xml:space="preserve"> 输变电工程通用主要技术规范（但不限于）如下：</w:t>
      </w:r>
    </w:p>
    <w:p w14:paraId="6AAB7015">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（1）《南方电网标准设计》(中国南方电网)</w:t>
      </w:r>
    </w:p>
    <w:p w14:paraId="6ADB385D">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（2）《南方电网基建工程质量控制作业标准（WHS）》(中国南方电网)</w:t>
      </w:r>
    </w:p>
    <w:p w14:paraId="35A96B92">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（3）《南方电网施工作业指导书》(中国南方电网)</w:t>
      </w:r>
    </w:p>
    <w:p w14:paraId="13D98DA8">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（4）《南方电网质量验收评定标准》(中国南方电网)</w:t>
      </w:r>
    </w:p>
    <w:p w14:paraId="6F9E300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（5）《电力建设安全工作规范》  DL/T5009.2-94</w:t>
      </w:r>
    </w:p>
    <w:p w14:paraId="52417FDE">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（6）《建设工程文件归档整理规范》 GB/T50328-2001</w:t>
      </w:r>
    </w:p>
    <w:p w14:paraId="65F37E7E">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（7）《电气装置安装工程接地装置施工及验收规范》 GB50169-2006</w:t>
      </w:r>
    </w:p>
    <w:p w14:paraId="16847622">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 强制性条文规范(包括但不限于)如下：</w:t>
      </w:r>
    </w:p>
    <w:p w14:paraId="066AA3AE">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本项目工程严格执行国家和电力行业现行的强制性条文，且应为其最新版本，包括但不限于如下内容：</w:t>
      </w:r>
    </w:p>
    <w:p w14:paraId="74475733">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（1）《实施工程建设强制性标准监督规定》（建设部 81 号令）</w:t>
      </w:r>
    </w:p>
    <w:p w14:paraId="03874B28">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2</w:t>
      </w:r>
      <w:r>
        <w:rPr>
          <w:rFonts w:hint="eastAsia" w:asciiTheme="minorEastAsia" w:hAnsiTheme="minorEastAsia" w:eastAsiaTheme="minorEastAsia" w:cstheme="minorEastAsia"/>
          <w:color w:val="auto"/>
          <w:sz w:val="24"/>
          <w:szCs w:val="24"/>
          <w:highlight w:val="none"/>
        </w:rPr>
        <w:t>）《工程建设标准强制性条文》（电力工程部分）（2006版）</w:t>
      </w:r>
    </w:p>
    <w:p w14:paraId="3244253E">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eastAsiaTheme="minorEastAsia" w:cstheme="minorEastAsia"/>
          <w:color w:val="auto"/>
          <w:sz w:val="24"/>
          <w:szCs w:val="24"/>
          <w:highlight w:val="none"/>
        </w:rPr>
        <w:t>）《工程建设标准强制性条文》（房屋建筑部分）（2009版）</w:t>
      </w:r>
    </w:p>
    <w:p w14:paraId="2158EAD6">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）《基建工程强制性条文实施办法》（南网各分、子公司）</w:t>
      </w:r>
    </w:p>
    <w:p w14:paraId="37990DCA">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）电网建设工程执行强制性条文涉及的其它法律、法规、规程、规范及技术标准。</w:t>
      </w:r>
    </w:p>
    <w:p w14:paraId="57AE8604">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以上所列的主要技术标准和规范，如未能达到国际和国内最新标准时，投标方应使工程的施工及选用的设备和材料符合最近的国际、国内标准，并提供采用的标准、规范和所应用的最新版本的有关技术依据资料。</w:t>
      </w:r>
    </w:p>
    <w:p w14:paraId="1359B3C9">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p>
    <w:p w14:paraId="69B69DFD">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4．备查要求</w:t>
      </w:r>
    </w:p>
    <w:p w14:paraId="1E61FE97">
      <w:pPr>
        <w:pStyle w:val="6"/>
        <w:spacing w:line="360" w:lineRule="auto"/>
        <w:ind w:firstLine="480" w:firstLineChars="200"/>
        <w:rPr>
          <w:rFonts w:hint="eastAsia" w:asciiTheme="minorEastAsia" w:hAnsiTheme="minorEastAsia" w:eastAsiaTheme="minorEastAsia" w:cstheme="minorEastAsia"/>
          <w:color w:val="auto"/>
          <w:sz w:val="24"/>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heme="minorEastAsia" w:hAnsiTheme="minorEastAsia" w:eastAsiaTheme="minorEastAsia" w:cstheme="minorEastAsia"/>
          <w:color w:val="auto"/>
          <w:sz w:val="24"/>
          <w:szCs w:val="24"/>
          <w:highlight w:val="none"/>
        </w:rPr>
        <w:t>承包人必须在施工现场准备至少一套上述规范，发包人和监理单位可随时检查承包人的上述规范，并监督承包人按规范要求执行。</w:t>
      </w:r>
    </w:p>
    <w:p w14:paraId="64ACC6D1">
      <w:pPr>
        <w:pStyle w:val="2"/>
        <w:numPr>
          <w:ilvl w:val="0"/>
          <w:numId w:val="0"/>
        </w:numPr>
        <w:jc w:val="center"/>
        <w:rPr>
          <w:rFonts w:hint="eastAsia" w:asciiTheme="minorEastAsia" w:hAnsiTheme="minorEastAsia" w:eastAsiaTheme="minorEastAsia" w:cstheme="minorEastAsia"/>
          <w:b/>
          <w:color w:val="auto"/>
          <w:kern w:val="44"/>
          <w:sz w:val="36"/>
          <w:szCs w:val="36"/>
          <w:highlight w:val="none"/>
          <w:lang w:val="en-US" w:eastAsia="zh-CN" w:bidi="ar-SA"/>
        </w:rPr>
      </w:pPr>
      <w:bookmarkStart w:id="298" w:name="_Toc28010"/>
      <w:bookmarkStart w:id="299" w:name="_Toc25914"/>
      <w:bookmarkStart w:id="300" w:name="_Toc105"/>
      <w:bookmarkStart w:id="301" w:name="_Toc25340"/>
      <w:bookmarkStart w:id="302" w:name="_Toc466640613"/>
      <w:bookmarkStart w:id="303" w:name="_Toc3771"/>
      <w:bookmarkStart w:id="304" w:name="_Toc1386"/>
      <w:bookmarkStart w:id="305" w:name="_Toc30186"/>
      <w:bookmarkStart w:id="306" w:name="_Toc27104"/>
      <w:bookmarkStart w:id="307" w:name="_Toc269"/>
      <w:r>
        <w:rPr>
          <w:rFonts w:hint="eastAsia" w:asciiTheme="minorEastAsia" w:hAnsiTheme="minorEastAsia" w:eastAsiaTheme="minorEastAsia" w:cstheme="minorEastAsia"/>
          <w:b/>
          <w:color w:val="auto"/>
          <w:kern w:val="44"/>
          <w:sz w:val="36"/>
          <w:szCs w:val="36"/>
          <w:highlight w:val="none"/>
          <w:lang w:val="en-US" w:eastAsia="zh-CN" w:bidi="ar-SA"/>
        </w:rPr>
        <w:t>第五章</w:t>
      </w:r>
      <w:bookmarkEnd w:id="298"/>
      <w:bookmarkEnd w:id="299"/>
      <w:bookmarkEnd w:id="300"/>
      <w:bookmarkEnd w:id="301"/>
      <w:bookmarkEnd w:id="302"/>
      <w:bookmarkEnd w:id="303"/>
      <w:bookmarkEnd w:id="304"/>
      <w:bookmarkEnd w:id="305"/>
      <w:bookmarkEnd w:id="306"/>
      <w:bookmarkStart w:id="308" w:name="_Hlt69698785"/>
      <w:r>
        <w:rPr>
          <w:rFonts w:hint="eastAsia" w:asciiTheme="minorEastAsia" w:hAnsiTheme="minorEastAsia" w:eastAsiaTheme="minorEastAsia" w:cstheme="minorEastAsia"/>
          <w:b/>
          <w:color w:val="auto"/>
          <w:kern w:val="44"/>
          <w:sz w:val="36"/>
          <w:szCs w:val="36"/>
          <w:highlight w:val="none"/>
          <w:lang w:val="en-US" w:eastAsia="zh-CN" w:bidi="ar-SA"/>
        </w:rPr>
        <w:t xml:space="preserve">  招标文件</w:t>
      </w:r>
      <w:bookmarkStart w:id="309" w:name="_Hlt75747044"/>
      <w:bookmarkEnd w:id="309"/>
      <w:r>
        <w:rPr>
          <w:rFonts w:hint="eastAsia" w:asciiTheme="minorEastAsia" w:hAnsiTheme="minorEastAsia" w:eastAsiaTheme="minorEastAsia" w:cstheme="minorEastAsia"/>
          <w:b/>
          <w:color w:val="auto"/>
          <w:kern w:val="44"/>
          <w:sz w:val="36"/>
          <w:szCs w:val="36"/>
          <w:highlight w:val="none"/>
          <w:lang w:val="en-US" w:eastAsia="zh-CN" w:bidi="ar-SA"/>
        </w:rPr>
        <w:t>的附件</w:t>
      </w:r>
      <w:bookmarkEnd w:id="307"/>
    </w:p>
    <w:p w14:paraId="52DCEE26">
      <w:pPr>
        <w:rPr>
          <w:rFonts w:hint="eastAsia" w:asciiTheme="minorEastAsia" w:hAnsiTheme="minorEastAsia" w:eastAsiaTheme="minorEastAsia" w:cstheme="minorEastAsia"/>
          <w:color w:val="auto"/>
          <w:highlight w:val="none"/>
        </w:rPr>
      </w:pPr>
    </w:p>
    <w:bookmarkEnd w:id="308"/>
    <w:p w14:paraId="597703FD">
      <w:pPr>
        <w:pStyle w:val="3"/>
        <w:spacing w:before="120"/>
        <w:rPr>
          <w:rFonts w:hint="eastAsia" w:asciiTheme="minorEastAsia" w:hAnsiTheme="minorEastAsia" w:eastAsiaTheme="minorEastAsia" w:cstheme="minorEastAsia"/>
          <w:b/>
          <w:snapToGrid w:val="0"/>
          <w:color w:val="auto"/>
          <w:szCs w:val="24"/>
          <w:highlight w:val="none"/>
        </w:rPr>
      </w:pPr>
      <w:bookmarkStart w:id="310" w:name="_附件一：投标函"/>
      <w:bookmarkEnd w:id="310"/>
      <w:bookmarkStart w:id="311" w:name="_附件一：对招标文件条款自愿接受承诺书"/>
      <w:bookmarkEnd w:id="311"/>
      <w:bookmarkStart w:id="312" w:name="_附件五：综合评审合理低价法"/>
      <w:bookmarkEnd w:id="312"/>
      <w:bookmarkStart w:id="313" w:name="_附件二：近三年度主要施工项目（竣工及在建）一览表"/>
      <w:bookmarkEnd w:id="313"/>
      <w:bookmarkStart w:id="314" w:name="_附件二：工期承诺书"/>
      <w:bookmarkEnd w:id="314"/>
      <w:bookmarkStart w:id="315" w:name="_附件四：工期承诺书"/>
      <w:bookmarkEnd w:id="315"/>
      <w:bookmarkStart w:id="316" w:name="_Toc39136360"/>
      <w:bookmarkStart w:id="317" w:name="_Toc2902"/>
      <w:bookmarkStart w:id="318" w:name="_Toc3855"/>
      <w:bookmarkStart w:id="319" w:name="_Toc2335"/>
      <w:bookmarkStart w:id="320" w:name="_Toc12527"/>
      <w:bookmarkStart w:id="321" w:name="_Toc12406"/>
      <w:bookmarkStart w:id="322" w:name="_Toc133160683"/>
      <w:bookmarkStart w:id="323" w:name="_Toc137444778"/>
      <w:bookmarkStart w:id="324" w:name="_Toc132687128"/>
      <w:bookmarkStart w:id="325" w:name="_Toc142468134"/>
      <w:bookmarkStart w:id="326" w:name="_Toc78794873"/>
      <w:bookmarkStart w:id="327" w:name="_Toc133815902"/>
      <w:r>
        <w:rPr>
          <w:rFonts w:hint="eastAsia" w:asciiTheme="minorEastAsia" w:hAnsiTheme="minorEastAsia" w:eastAsiaTheme="minorEastAsia" w:cstheme="minorEastAsia"/>
          <w:b/>
          <w:snapToGrid w:val="0"/>
          <w:color w:val="auto"/>
          <w:szCs w:val="24"/>
          <w:highlight w:val="none"/>
        </w:rPr>
        <w:t>格式一 封面</w:t>
      </w:r>
      <w:bookmarkEnd w:id="316"/>
      <w:bookmarkEnd w:id="317"/>
      <w:bookmarkEnd w:id="318"/>
      <w:bookmarkEnd w:id="319"/>
      <w:bookmarkEnd w:id="320"/>
      <w:bookmarkEnd w:id="321"/>
    </w:p>
    <w:p w14:paraId="75027D67">
      <w:pPr>
        <w:pStyle w:val="40"/>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356E42AB">
      <w:pPr>
        <w:pStyle w:val="40"/>
        <w:widowControl w:val="0"/>
        <w:wordWrap w:val="0"/>
        <w:adjustRightInd w:val="0"/>
        <w:snapToGrid w:val="0"/>
        <w:jc w:val="right"/>
        <w:rPr>
          <w:rFonts w:hint="eastAsia" w:asciiTheme="minorEastAsia" w:hAnsiTheme="minorEastAsia" w:eastAsiaTheme="minorEastAsia" w:cstheme="minorEastAsia"/>
          <w:b/>
          <w:snapToGrid w:val="0"/>
          <w:color w:val="auto"/>
          <w:sz w:val="24"/>
          <w:szCs w:val="24"/>
          <w:highlight w:val="none"/>
        </w:rPr>
      </w:pPr>
    </w:p>
    <w:p w14:paraId="393A94FD">
      <w:pPr>
        <w:pStyle w:val="40"/>
        <w:widowControl w:val="0"/>
        <w:wordWrap w:val="0"/>
        <w:adjustRightInd w:val="0"/>
        <w:snapToGrid w:val="0"/>
        <w:rPr>
          <w:rFonts w:hint="eastAsia" w:asciiTheme="minorEastAsia" w:hAnsiTheme="minorEastAsia" w:eastAsiaTheme="minorEastAsia" w:cstheme="minorEastAsia"/>
          <w:b/>
          <w:snapToGrid w:val="0"/>
          <w:color w:val="auto"/>
          <w:sz w:val="24"/>
          <w:szCs w:val="24"/>
          <w:highlight w:val="none"/>
        </w:rPr>
      </w:pPr>
    </w:p>
    <w:p w14:paraId="71043724">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24"/>
          <w:highlight w:val="none"/>
        </w:rPr>
      </w:pPr>
      <w:bookmarkStart w:id="328" w:name="_Hlt69116778"/>
      <w:bookmarkEnd w:id="328"/>
      <w:bookmarkStart w:id="329" w:name="_附件二十五：综合评审合理低价法"/>
      <w:bookmarkEnd w:id="329"/>
      <w:bookmarkStart w:id="330" w:name="_Hlt68774664"/>
      <w:bookmarkEnd w:id="330"/>
      <w:bookmarkStart w:id="331" w:name="_附件二十四：技术标提问单"/>
      <w:bookmarkEnd w:id="331"/>
      <w:bookmarkStart w:id="332" w:name="_附件十：单项工程费汇总表"/>
      <w:bookmarkEnd w:id="332"/>
      <w:bookmarkStart w:id="333" w:name="_Toc26795"/>
      <w:bookmarkStart w:id="334" w:name="_Toc39136361"/>
      <w:bookmarkStart w:id="335" w:name="_Toc15791"/>
      <w:bookmarkStart w:id="336" w:name="_Toc5872"/>
      <w:bookmarkStart w:id="337" w:name="_Toc28483"/>
      <w:bookmarkStart w:id="338" w:name="_Toc466640620"/>
      <w:bookmarkStart w:id="339" w:name="_Toc66849200"/>
      <w:bookmarkStart w:id="340" w:name="_Toc104711098"/>
      <w:bookmarkStart w:id="341" w:name="_Toc106418843"/>
      <w:bookmarkStart w:id="342" w:name="_Hlt66847557"/>
    </w:p>
    <w:p w14:paraId="428F3708">
      <w:pPr>
        <w:pStyle w:val="40"/>
        <w:widowControl w:val="0"/>
        <w:wordWrap w:val="0"/>
        <w:adjustRightInd w:val="0"/>
        <w:snapToGrid w:val="0"/>
        <w:rPr>
          <w:rFonts w:hint="eastAsia" w:asciiTheme="minorEastAsia" w:hAnsiTheme="minorEastAsia" w:eastAsiaTheme="minorEastAsia" w:cstheme="minorEastAsia"/>
          <w:b/>
          <w:snapToGrid w:val="0"/>
          <w:color w:val="auto"/>
          <w:sz w:val="24"/>
          <w:highlight w:val="none"/>
        </w:rPr>
      </w:pPr>
    </w:p>
    <w:p w14:paraId="73EDA505">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48"/>
          <w:szCs w:val="48"/>
          <w:highlight w:val="none"/>
        </w:rPr>
      </w:pPr>
      <w:r>
        <w:rPr>
          <w:rFonts w:hint="eastAsia" w:asciiTheme="minorEastAsia" w:hAnsiTheme="minorEastAsia" w:eastAsiaTheme="minorEastAsia" w:cstheme="minorEastAsia"/>
          <w:b/>
          <w:snapToGrid w:val="0"/>
          <w:color w:val="auto"/>
          <w:sz w:val="48"/>
          <w:szCs w:val="48"/>
          <w:highlight w:val="none"/>
          <w:u w:val="single"/>
        </w:rPr>
        <w:t xml:space="preserve">（项目名称）   </w:t>
      </w:r>
      <w:r>
        <w:rPr>
          <w:rFonts w:hint="eastAsia" w:asciiTheme="minorEastAsia" w:hAnsiTheme="minorEastAsia" w:eastAsiaTheme="minorEastAsia" w:cstheme="minorEastAsia"/>
          <w:b/>
          <w:snapToGrid w:val="0"/>
          <w:color w:val="auto"/>
          <w:sz w:val="48"/>
          <w:szCs w:val="48"/>
          <w:highlight w:val="none"/>
        </w:rPr>
        <w:t>招标</w:t>
      </w:r>
    </w:p>
    <w:p w14:paraId="4DC119CD">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435D3E7B">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5E9AA455">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62DDAD48">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53E3EB77">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72"/>
          <w:highlight w:val="none"/>
        </w:rPr>
      </w:pPr>
      <w:r>
        <w:rPr>
          <w:rFonts w:hint="eastAsia" w:asciiTheme="minorEastAsia" w:hAnsiTheme="minorEastAsia" w:eastAsiaTheme="minorEastAsia" w:cstheme="minorEastAsia"/>
          <w:b/>
          <w:snapToGrid w:val="0"/>
          <w:color w:val="auto"/>
          <w:sz w:val="72"/>
          <w:highlight w:val="none"/>
        </w:rPr>
        <w:t>投  标  文  件</w:t>
      </w:r>
    </w:p>
    <w:p w14:paraId="5DBDFD57">
      <w:pPr>
        <w:pStyle w:val="40"/>
        <w:widowControl w:val="0"/>
        <w:wordWrap w:val="0"/>
        <w:adjustRightInd w:val="0"/>
        <w:snapToGrid w:val="0"/>
        <w:ind w:firstLine="0"/>
        <w:jc w:val="center"/>
        <w:rPr>
          <w:rFonts w:hint="eastAsia" w:asciiTheme="minorEastAsia" w:hAnsiTheme="minorEastAsia" w:eastAsiaTheme="minorEastAsia" w:cstheme="minorEastAsia"/>
          <w:b/>
          <w:snapToGrid w:val="0"/>
          <w:color w:val="auto"/>
          <w:sz w:val="32"/>
          <w:highlight w:val="none"/>
        </w:rPr>
      </w:pPr>
    </w:p>
    <w:p w14:paraId="7DBD85A9">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6F6ED05F">
      <w:pPr>
        <w:pStyle w:val="40"/>
        <w:widowControl w:val="0"/>
        <w:wordWrap w:val="0"/>
        <w:adjustRightInd w:val="0"/>
        <w:snapToGrid w:val="0"/>
        <w:ind w:firstLine="0"/>
        <w:rPr>
          <w:rFonts w:hint="eastAsia" w:asciiTheme="minorEastAsia" w:hAnsiTheme="minorEastAsia" w:eastAsiaTheme="minorEastAsia" w:cstheme="minorEastAsia"/>
          <w:b/>
          <w:snapToGrid w:val="0"/>
          <w:color w:val="auto"/>
          <w:sz w:val="32"/>
          <w:highlight w:val="none"/>
        </w:rPr>
      </w:pPr>
    </w:p>
    <w:p w14:paraId="2A4EB8F5">
      <w:pPr>
        <w:pStyle w:val="40"/>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5D1336BF">
      <w:pPr>
        <w:pStyle w:val="40"/>
        <w:widowControl w:val="0"/>
        <w:wordWrap w:val="0"/>
        <w:adjustRightInd w:val="0"/>
        <w:snapToGrid w:val="0"/>
        <w:rPr>
          <w:rFonts w:hint="eastAsia" w:asciiTheme="minorEastAsia" w:hAnsiTheme="minorEastAsia" w:eastAsiaTheme="minorEastAsia" w:cstheme="minorEastAsia"/>
          <w:b/>
          <w:snapToGrid w:val="0"/>
          <w:color w:val="auto"/>
          <w:sz w:val="32"/>
          <w:highlight w:val="none"/>
        </w:rPr>
      </w:pPr>
    </w:p>
    <w:p w14:paraId="49E65E09">
      <w:pPr>
        <w:pStyle w:val="40"/>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投标人：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（盖单位章）</w:t>
      </w:r>
    </w:p>
    <w:p w14:paraId="02B6E3D7">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6333B675">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5BDD3F3E">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4C154B36">
      <w:pPr>
        <w:pStyle w:val="40"/>
        <w:widowControl w:val="0"/>
        <w:wordWrap w:val="0"/>
        <w:adjustRightInd w:val="0"/>
        <w:snapToGrid w:val="0"/>
        <w:ind w:firstLine="0"/>
        <w:jc w:val="center"/>
        <w:rPr>
          <w:rFonts w:hint="eastAsia" w:hAnsi="宋体" w:eastAsia="宋体" w:cs="宋体"/>
          <w:bCs/>
          <w:snapToGrid w:val="0"/>
          <w:color w:val="auto"/>
          <w:sz w:val="32"/>
          <w:highlight w:val="none"/>
        </w:rPr>
      </w:pPr>
      <w:r>
        <w:rPr>
          <w:rFonts w:hint="eastAsia" w:hAnsi="宋体" w:eastAsia="宋体" w:cs="宋体"/>
          <w:bCs/>
          <w:snapToGrid w:val="0"/>
          <w:color w:val="auto"/>
          <w:sz w:val="32"/>
          <w:highlight w:val="none"/>
        </w:rPr>
        <w:t>法定代表人或其委托代理人：</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（签字或盖章）</w:t>
      </w:r>
    </w:p>
    <w:p w14:paraId="088EEDF0">
      <w:pPr>
        <w:pStyle w:val="40"/>
        <w:widowControl w:val="0"/>
        <w:wordWrap w:val="0"/>
        <w:adjustRightInd w:val="0"/>
        <w:snapToGrid w:val="0"/>
        <w:ind w:firstLine="0"/>
        <w:jc w:val="center"/>
        <w:rPr>
          <w:rFonts w:hint="eastAsia" w:hAnsi="宋体" w:eastAsia="宋体" w:cs="宋体"/>
          <w:bCs/>
          <w:snapToGrid w:val="0"/>
          <w:color w:val="auto"/>
          <w:sz w:val="32"/>
          <w:highlight w:val="none"/>
        </w:rPr>
      </w:pPr>
    </w:p>
    <w:p w14:paraId="5A9441CA">
      <w:pPr>
        <w:pStyle w:val="40"/>
        <w:widowControl w:val="0"/>
        <w:wordWrap w:val="0"/>
        <w:adjustRightInd w:val="0"/>
        <w:snapToGrid w:val="0"/>
        <w:ind w:firstLine="0"/>
        <w:jc w:val="center"/>
        <w:rPr>
          <w:rFonts w:hint="eastAsia" w:hAnsi="宋体" w:eastAsia="宋体" w:cs="宋体"/>
          <w:bCs/>
          <w:snapToGrid w:val="0"/>
          <w:color w:val="auto"/>
          <w:sz w:val="32"/>
          <w:highlight w:val="none"/>
          <w:u w:val="single"/>
        </w:rPr>
      </w:pPr>
    </w:p>
    <w:p w14:paraId="66B9D751">
      <w:pPr>
        <w:pStyle w:val="40"/>
        <w:widowControl w:val="0"/>
        <w:wordWrap w:val="0"/>
        <w:adjustRightInd w:val="0"/>
        <w:snapToGrid w:val="0"/>
        <w:ind w:firstLine="0"/>
        <w:jc w:val="center"/>
        <w:rPr>
          <w:rFonts w:hint="eastAsia" w:hAnsi="宋体" w:eastAsia="宋体" w:cs="宋体"/>
          <w:b/>
          <w:snapToGrid w:val="0"/>
          <w:color w:val="auto"/>
          <w:highlight w:val="none"/>
        </w:rPr>
      </w:pP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年</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月</w:t>
      </w:r>
      <w:r>
        <w:rPr>
          <w:rFonts w:hint="eastAsia" w:hAnsi="宋体" w:eastAsia="宋体" w:cs="宋体"/>
          <w:bCs/>
          <w:snapToGrid w:val="0"/>
          <w:color w:val="auto"/>
          <w:sz w:val="32"/>
          <w:highlight w:val="none"/>
          <w:u w:val="single"/>
        </w:rPr>
        <w:t xml:space="preserve">      </w:t>
      </w:r>
      <w:r>
        <w:rPr>
          <w:rFonts w:hint="eastAsia" w:hAnsi="宋体" w:eastAsia="宋体" w:cs="宋体"/>
          <w:bCs/>
          <w:snapToGrid w:val="0"/>
          <w:color w:val="auto"/>
          <w:sz w:val="32"/>
          <w:highlight w:val="none"/>
        </w:rPr>
        <w:t>日</w:t>
      </w:r>
    </w:p>
    <w:p w14:paraId="297B53F5">
      <w:pPr>
        <w:pStyle w:val="3"/>
        <w:spacing w:before="120"/>
        <w:rPr>
          <w:rFonts w:hint="eastAsia" w:asciiTheme="minorEastAsia" w:hAnsiTheme="minorEastAsia" w:eastAsiaTheme="minorEastAsia" w:cstheme="minorEastAsia"/>
          <w:b/>
          <w:bCs/>
          <w:color w:val="auto"/>
          <w:szCs w:val="24"/>
          <w:highlight w:val="none"/>
        </w:rPr>
      </w:pPr>
    </w:p>
    <w:p w14:paraId="01C21B67">
      <w:pPr>
        <w:pStyle w:val="3"/>
        <w:spacing w:before="120"/>
        <w:rPr>
          <w:rFonts w:hint="eastAsia" w:asciiTheme="minorEastAsia" w:hAnsiTheme="minorEastAsia" w:eastAsiaTheme="minorEastAsia" w:cstheme="minorEastAsia"/>
          <w:b/>
          <w:bCs/>
          <w:color w:val="auto"/>
          <w:szCs w:val="24"/>
          <w:highlight w:val="none"/>
        </w:rPr>
      </w:pPr>
    </w:p>
    <w:p w14:paraId="52E44A58">
      <w:pPr>
        <w:pStyle w:val="3"/>
        <w:spacing w:before="120"/>
        <w:rPr>
          <w:rFonts w:hint="eastAsia" w:asciiTheme="minorEastAsia" w:hAnsiTheme="minorEastAsia" w:eastAsiaTheme="minorEastAsia" w:cstheme="minorEastAsia"/>
          <w:b/>
          <w:bCs/>
          <w:color w:val="auto"/>
          <w:szCs w:val="24"/>
          <w:highlight w:val="none"/>
        </w:rPr>
      </w:pPr>
    </w:p>
    <w:p w14:paraId="2E6A0871">
      <w:pPr>
        <w:pStyle w:val="3"/>
        <w:spacing w:before="120"/>
        <w:rPr>
          <w:rFonts w:hint="eastAsia" w:asciiTheme="minorEastAsia" w:hAnsiTheme="minorEastAsia" w:eastAsiaTheme="minorEastAsia" w:cstheme="minorEastAsia"/>
          <w:b/>
          <w:bCs/>
          <w:color w:val="auto"/>
          <w:szCs w:val="24"/>
          <w:highlight w:val="none"/>
        </w:rPr>
      </w:pPr>
    </w:p>
    <w:p w14:paraId="60940AE5">
      <w:pPr>
        <w:pStyle w:val="3"/>
        <w:spacing w:before="120"/>
        <w:rPr>
          <w:rFonts w:hint="eastAsia" w:asciiTheme="minorEastAsia" w:hAnsiTheme="minorEastAsia" w:eastAsiaTheme="minorEastAsia" w:cstheme="minorEastAsia"/>
          <w:b/>
          <w:bCs/>
          <w:color w:val="auto"/>
          <w:szCs w:val="24"/>
          <w:highlight w:val="none"/>
        </w:rPr>
      </w:pPr>
    </w:p>
    <w:p w14:paraId="0F7E093F">
      <w:pPr>
        <w:pStyle w:val="3"/>
        <w:spacing w:before="120"/>
        <w:rPr>
          <w:rFonts w:hint="eastAsia" w:asciiTheme="minorEastAsia" w:hAnsiTheme="minorEastAsia" w:eastAsiaTheme="minorEastAsia" w:cstheme="minorEastAsia"/>
          <w:b/>
          <w:bCs/>
          <w:color w:val="auto"/>
          <w:szCs w:val="24"/>
          <w:highlight w:val="none"/>
        </w:rPr>
      </w:pPr>
      <w:bookmarkStart w:id="343" w:name="_Toc2904"/>
      <w:r>
        <w:rPr>
          <w:rFonts w:hint="eastAsia" w:asciiTheme="minorEastAsia" w:hAnsiTheme="minorEastAsia" w:eastAsiaTheme="minorEastAsia" w:cstheme="minorEastAsia"/>
          <w:b/>
          <w:bCs/>
          <w:color w:val="auto"/>
          <w:szCs w:val="24"/>
          <w:highlight w:val="none"/>
        </w:rPr>
        <w:t xml:space="preserve">格式二 </w:t>
      </w:r>
      <w:bookmarkEnd w:id="333"/>
      <w:bookmarkEnd w:id="334"/>
      <w:bookmarkEnd w:id="335"/>
      <w:r>
        <w:rPr>
          <w:rFonts w:hint="eastAsia" w:asciiTheme="minorEastAsia" w:hAnsiTheme="minorEastAsia" w:eastAsiaTheme="minorEastAsia" w:cstheme="minorEastAsia"/>
          <w:b/>
          <w:bCs/>
          <w:color w:val="auto"/>
          <w:szCs w:val="24"/>
          <w:highlight w:val="none"/>
        </w:rPr>
        <w:t>《投标函》及《工程项目总价表》</w:t>
      </w:r>
      <w:bookmarkEnd w:id="336"/>
      <w:bookmarkEnd w:id="337"/>
      <w:bookmarkEnd w:id="343"/>
    </w:p>
    <w:p w14:paraId="75279C5E">
      <w:pPr>
        <w:pStyle w:val="4"/>
        <w:keepNext w:val="0"/>
        <w:keepLines w:val="0"/>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szCs w:val="24"/>
          <w:highlight w:val="none"/>
        </w:rPr>
      </w:pPr>
      <w:bookmarkStart w:id="344" w:name="_Toc10604"/>
      <w:bookmarkStart w:id="345" w:name="_Toc27121"/>
      <w:bookmarkStart w:id="346" w:name="_Toc18294"/>
      <w:bookmarkStart w:id="347" w:name="_Toc9280"/>
      <w:bookmarkStart w:id="348" w:name="_Toc39136362"/>
      <w:bookmarkStart w:id="349" w:name="_Toc29375"/>
      <w:bookmarkStart w:id="350" w:name="_Toc28044"/>
      <w:bookmarkStart w:id="351" w:name="_Toc28636"/>
      <w:bookmarkStart w:id="352" w:name="_Toc21577"/>
      <w:bookmarkStart w:id="353" w:name="_Toc8657"/>
      <w:r>
        <w:rPr>
          <w:rFonts w:hint="eastAsia" w:asciiTheme="minorEastAsia" w:hAnsiTheme="minorEastAsia" w:eastAsiaTheme="minorEastAsia" w:cstheme="minorEastAsia"/>
          <w:snapToGrid w:val="0"/>
          <w:color w:val="auto"/>
          <w:szCs w:val="24"/>
          <w:highlight w:val="none"/>
        </w:rPr>
        <w:t>投  标  函</w:t>
      </w:r>
      <w:bookmarkEnd w:id="344"/>
      <w:bookmarkEnd w:id="345"/>
      <w:bookmarkEnd w:id="346"/>
      <w:bookmarkEnd w:id="347"/>
      <w:bookmarkEnd w:id="348"/>
      <w:bookmarkEnd w:id="349"/>
      <w:bookmarkEnd w:id="350"/>
      <w:bookmarkEnd w:id="351"/>
      <w:bookmarkEnd w:id="352"/>
      <w:bookmarkEnd w:id="353"/>
    </w:p>
    <w:p w14:paraId="00705CF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7BE6EC87">
      <w:pPr>
        <w:wordWrap w:val="0"/>
        <w:adjustRightInd w:val="0"/>
        <w:snapToGrid w:val="0"/>
        <w:spacing w:line="440" w:lineRule="exact"/>
        <w:rPr>
          <w:rFonts w:hint="eastAsia"/>
          <w:color w:val="auto"/>
          <w:highlight w:val="none"/>
        </w:rPr>
      </w:pPr>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15B1FE48">
      <w:pPr>
        <w:wordWrap w:val="0"/>
        <w:adjustRightInd w:val="0"/>
        <w:snapToGrid w:val="0"/>
        <w:spacing w:line="440" w:lineRule="exact"/>
        <w:ind w:firstLine="570"/>
        <w:rPr>
          <w:rFonts w:hint="eastAsia" w:asciiTheme="minorEastAsia" w:hAnsiTheme="minorEastAsia" w:eastAsiaTheme="minorEastAsia" w:cstheme="minorEastAsia"/>
          <w:color w:val="auto"/>
          <w:szCs w:val="22"/>
          <w:highlight w:val="none"/>
        </w:rPr>
      </w:pPr>
      <w:r>
        <w:rPr>
          <w:rFonts w:hint="eastAsia" w:asciiTheme="minorEastAsia" w:hAnsiTheme="minorEastAsia" w:eastAsiaTheme="minorEastAsia" w:cstheme="minorEastAsia"/>
          <w:color w:val="auto"/>
          <w:szCs w:val="22"/>
          <w:highlight w:val="none"/>
        </w:rPr>
        <w:t>1.在研</w:t>
      </w:r>
      <w:r>
        <w:rPr>
          <w:rFonts w:hint="eastAsia" w:asciiTheme="minorEastAsia" w:hAnsiTheme="minorEastAsia" w:eastAsiaTheme="minorEastAsia" w:cstheme="minorEastAsia"/>
          <w:color w:val="auto"/>
          <w:szCs w:val="22"/>
          <w:highlight w:val="none"/>
          <w:u w:val="single"/>
        </w:rPr>
        <w:t xml:space="preserve">究        （项目名称）        </w:t>
      </w:r>
      <w:r>
        <w:rPr>
          <w:rFonts w:hint="eastAsia" w:asciiTheme="minorEastAsia" w:hAnsiTheme="minorEastAsia" w:eastAsiaTheme="minorEastAsia" w:cstheme="minorEastAsia"/>
          <w:color w:val="auto"/>
          <w:szCs w:val="22"/>
          <w:highlight w:val="none"/>
        </w:rPr>
        <w:t>招标文件和其它相关文件，并对现场进行深入了解后，我方（即文末签名人），考虑了本企业的实力和特点，愿意接受招标文件的全部内容和条件，兹以人民币（大写）：</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小写：（¥</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）的投标总价竞投本项目。</w:t>
      </w:r>
    </w:p>
    <w:p w14:paraId="24815B26">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2. </w:t>
      </w:r>
      <w:r>
        <w:rPr>
          <w:rFonts w:hint="eastAsia" w:asciiTheme="minorEastAsia" w:hAnsiTheme="minorEastAsia" w:eastAsiaTheme="minorEastAsia" w:cstheme="minorEastAsia"/>
          <w:color w:val="auto"/>
          <w:szCs w:val="22"/>
          <w:highlight w:val="none"/>
        </w:rPr>
        <w:t>如果我方中标，我方保证按照合同约定的开工日期开始本项目的</w:t>
      </w:r>
      <w:r>
        <w:rPr>
          <w:rFonts w:hint="eastAsia" w:asciiTheme="minorEastAsia" w:hAnsiTheme="minorEastAsia" w:eastAsiaTheme="minorEastAsia" w:cstheme="minorEastAsia"/>
          <w:color w:val="auto"/>
          <w:szCs w:val="22"/>
          <w:highlight w:val="none"/>
          <w:lang w:val="en-US" w:eastAsia="zh-CN"/>
        </w:rPr>
        <w:t>勘察、</w:t>
      </w:r>
      <w:r>
        <w:rPr>
          <w:rFonts w:hint="eastAsia" w:asciiTheme="minorEastAsia" w:hAnsiTheme="minorEastAsia" w:eastAsiaTheme="minorEastAsia" w:cstheme="minorEastAsia"/>
          <w:color w:val="auto"/>
          <w:szCs w:val="22"/>
          <w:highlight w:val="none"/>
        </w:rPr>
        <w:t>设计、施工，本工程</w:t>
      </w:r>
      <w:r>
        <w:rPr>
          <w:rFonts w:hint="eastAsia" w:asciiTheme="minorEastAsia" w:hAnsiTheme="minorEastAsia" w:eastAsiaTheme="minorEastAsia" w:cstheme="minorEastAsia"/>
          <w:color w:val="auto"/>
          <w:szCs w:val="22"/>
          <w:highlight w:val="none"/>
          <w:lang w:val="en-US" w:eastAsia="zh-CN"/>
        </w:rPr>
        <w:t>勘察、</w:t>
      </w:r>
      <w:r>
        <w:rPr>
          <w:rFonts w:hint="eastAsia" w:asciiTheme="minorEastAsia" w:hAnsiTheme="minorEastAsia" w:eastAsiaTheme="minorEastAsia" w:cstheme="minorEastAsia"/>
          <w:color w:val="auto"/>
          <w:szCs w:val="22"/>
          <w:highlight w:val="none"/>
        </w:rPr>
        <w:t>设计、施工招标工期为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个日历天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其中：</w:t>
      </w:r>
      <w:r>
        <w:rPr>
          <w:rFonts w:hint="eastAsia" w:asciiTheme="minorEastAsia" w:hAnsiTheme="minorEastAsia" w:eastAsiaTheme="minorEastAsia" w:cstheme="minorEastAsia"/>
          <w:color w:val="auto"/>
          <w:szCs w:val="22"/>
          <w:highlight w:val="none"/>
          <w:lang w:val="en-US" w:eastAsia="zh-CN"/>
        </w:rPr>
        <w:t>勘察、</w:t>
      </w:r>
      <w:r>
        <w:rPr>
          <w:rFonts w:hint="eastAsia" w:asciiTheme="minorEastAsia" w:hAnsiTheme="minorEastAsia" w:eastAsiaTheme="minorEastAsia" w:cstheme="minorEastAsia"/>
          <w:color w:val="auto"/>
          <w:szCs w:val="22"/>
          <w:highlight w:val="none"/>
        </w:rPr>
        <w:t>设计工期为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日历天，施工工期为</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日历天</w:t>
      </w:r>
      <w:r>
        <w:rPr>
          <w:rFonts w:hint="eastAsia" w:asciiTheme="minorEastAsia" w:hAnsiTheme="minorEastAsia" w:eastAsiaTheme="minorEastAsia" w:cstheme="minorEastAsia"/>
          <w:color w:val="auto"/>
          <w:szCs w:val="22"/>
          <w:highlight w:val="none"/>
          <w:lang w:eastAsia="zh-CN"/>
        </w:rPr>
        <w:t>）</w:t>
      </w:r>
      <w:r>
        <w:rPr>
          <w:rFonts w:hint="eastAsia" w:asciiTheme="minorEastAsia" w:hAnsiTheme="minorEastAsia" w:eastAsiaTheme="minorEastAsia" w:cstheme="minorEastAsia"/>
          <w:color w:val="auto"/>
          <w:szCs w:val="22"/>
          <w:highlight w:val="none"/>
        </w:rPr>
        <w:t>内竣工，并确保工程质量达到</w:t>
      </w:r>
      <w:r>
        <w:rPr>
          <w:rFonts w:hint="eastAsia" w:asciiTheme="minorEastAsia" w:hAnsiTheme="minorEastAsia" w:eastAsiaTheme="minorEastAsia" w:cstheme="minorEastAsia"/>
          <w:color w:val="auto"/>
          <w:szCs w:val="22"/>
          <w:highlight w:val="none"/>
          <w:u w:val="single"/>
        </w:rPr>
        <w:t xml:space="preserve">      </w:t>
      </w:r>
      <w:r>
        <w:rPr>
          <w:rFonts w:hint="eastAsia" w:asciiTheme="minorEastAsia" w:hAnsiTheme="minorEastAsia" w:eastAsiaTheme="minorEastAsia" w:cstheme="minorEastAsia"/>
          <w:color w:val="auto"/>
          <w:szCs w:val="22"/>
          <w:highlight w:val="none"/>
        </w:rPr>
        <w:t>标准和维修其中的任何缺陷</w:t>
      </w:r>
      <w:r>
        <w:rPr>
          <w:rFonts w:hint="eastAsia" w:asciiTheme="minorEastAsia" w:hAnsiTheme="minorEastAsia" w:eastAsiaTheme="minorEastAsia" w:cstheme="minorEastAsia"/>
          <w:snapToGrid w:val="0"/>
          <w:color w:val="auto"/>
          <w:kern w:val="0"/>
          <w:szCs w:val="24"/>
          <w:highlight w:val="none"/>
        </w:rPr>
        <w:t>。</w:t>
      </w:r>
    </w:p>
    <w:p w14:paraId="036C7224">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 本投标函在你方接收我方递交的投标文件之日起、到招标文件规定的投标有效期期满前对我方具有约束力。我方随时准备接受你方发出的中标通知书。</w:t>
      </w:r>
    </w:p>
    <w:p w14:paraId="0B49FDB8">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4．我方在此声明，我方不存在本工程招标文件所列示的“禁止投标条款”所列出的任何一种情形，并愿意承担因我方就此弄虚作假所引起的一切法律后果。</w:t>
      </w:r>
    </w:p>
    <w:p w14:paraId="6B588902">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5．我方在此承诺，所递交投标文件的全部内容均为真实、有效、准确的，并愿意承担因我方就此弄虚作假所引起的一切法律后果，同时理解和同意有可能被要求提供更多的资料。</w:t>
      </w:r>
    </w:p>
    <w:p w14:paraId="6C0BCAFC">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 我方理解你方不一定要接纳收到的最低投标总价或任何投标总价的投标人中标，也不要求你方解释我方是否中标的原因。</w:t>
      </w:r>
    </w:p>
    <w:p w14:paraId="27896E82">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p>
    <w:p w14:paraId="340BFBBA">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61E55B01">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20E1F6B4">
      <w:pPr>
        <w:wordWrap w:val="0"/>
        <w:adjustRightInd w:val="0"/>
        <w:snapToGrid w:val="0"/>
        <w:spacing w:line="440" w:lineRule="exact"/>
        <w:ind w:firstLine="4080" w:firstLineChars="1700"/>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AA9DDCB">
      <w:pPr>
        <w:jc w:val="lef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br w:type="page"/>
      </w:r>
    </w:p>
    <w:p w14:paraId="4580702E">
      <w:pPr>
        <w:pStyle w:val="4"/>
        <w:spacing w:before="260" w:after="260"/>
        <w:jc w:val="center"/>
        <w:rPr>
          <w:rFonts w:hint="eastAsia" w:asciiTheme="minorEastAsia" w:hAnsiTheme="minorEastAsia" w:eastAsiaTheme="minorEastAsia" w:cstheme="minorEastAsia"/>
          <w:bCs/>
          <w:color w:val="auto"/>
          <w:szCs w:val="24"/>
          <w:highlight w:val="none"/>
        </w:rPr>
      </w:pPr>
      <w:bookmarkStart w:id="354" w:name="_Toc25629"/>
      <w:bookmarkStart w:id="355" w:name="_Toc9155"/>
      <w:bookmarkStart w:id="356" w:name="_Toc25829"/>
      <w:bookmarkStart w:id="357" w:name="_Toc20338"/>
      <w:bookmarkStart w:id="358" w:name="_Toc5052"/>
      <w:bookmarkStart w:id="359" w:name="_Toc453"/>
      <w:bookmarkStart w:id="360" w:name="_Toc7915"/>
      <w:bookmarkStart w:id="361" w:name="_Toc39136364"/>
      <w:r>
        <w:rPr>
          <w:rFonts w:hint="eastAsia" w:asciiTheme="minorEastAsia" w:hAnsiTheme="minorEastAsia" w:eastAsiaTheme="minorEastAsia" w:cstheme="minorEastAsia"/>
          <w:bCs/>
          <w:color w:val="auto"/>
          <w:szCs w:val="24"/>
          <w:highlight w:val="none"/>
        </w:rPr>
        <w:t>工程项目总价表</w:t>
      </w:r>
      <w:bookmarkEnd w:id="354"/>
      <w:bookmarkEnd w:id="355"/>
      <w:bookmarkEnd w:id="356"/>
      <w:bookmarkEnd w:id="357"/>
      <w:bookmarkEnd w:id="358"/>
      <w:bookmarkEnd w:id="359"/>
    </w:p>
    <w:tbl>
      <w:tblPr>
        <w:tblStyle w:val="22"/>
        <w:tblW w:w="985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68"/>
        <w:gridCol w:w="1883"/>
        <w:gridCol w:w="1686"/>
        <w:gridCol w:w="1473"/>
        <w:gridCol w:w="1690"/>
        <w:gridCol w:w="2455"/>
      </w:tblGrid>
      <w:tr w14:paraId="1DBA5E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1" w:hRule="atLeast"/>
          <w:jc w:val="center"/>
        </w:trPr>
        <w:tc>
          <w:tcPr>
            <w:tcW w:w="668" w:type="dxa"/>
            <w:noWrap w:val="0"/>
            <w:vAlign w:val="center"/>
          </w:tcPr>
          <w:p w14:paraId="4929443D">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序号</w:t>
            </w:r>
          </w:p>
        </w:tc>
        <w:tc>
          <w:tcPr>
            <w:tcW w:w="1883" w:type="dxa"/>
            <w:noWrap w:val="0"/>
            <w:vAlign w:val="center"/>
          </w:tcPr>
          <w:p w14:paraId="0A6458C3">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项目名称</w:t>
            </w:r>
          </w:p>
        </w:tc>
        <w:tc>
          <w:tcPr>
            <w:tcW w:w="1686" w:type="dxa"/>
            <w:noWrap w:val="0"/>
            <w:vAlign w:val="center"/>
          </w:tcPr>
          <w:p w14:paraId="5E83FFB1">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报价基数（元）</w:t>
            </w:r>
          </w:p>
        </w:tc>
        <w:tc>
          <w:tcPr>
            <w:tcW w:w="1473" w:type="dxa"/>
            <w:noWrap w:val="0"/>
            <w:vAlign w:val="center"/>
          </w:tcPr>
          <w:p w14:paraId="4203C6FA">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w:t>
            </w:r>
            <w:r>
              <w:rPr>
                <w:rFonts w:hint="eastAsia" w:asciiTheme="minorEastAsia" w:hAnsiTheme="minorEastAsia" w:eastAsiaTheme="minorEastAsia" w:cstheme="minorEastAsia"/>
                <w:color w:val="auto"/>
                <w:szCs w:val="24"/>
                <w:highlight w:val="none"/>
                <w:lang w:val="zh-CN"/>
              </w:rPr>
              <w:t>下</w:t>
            </w:r>
            <w:r>
              <w:rPr>
                <w:rFonts w:hint="eastAsia" w:asciiTheme="minorEastAsia" w:hAnsiTheme="minorEastAsia" w:eastAsiaTheme="minorEastAsia" w:cstheme="minorEastAsia"/>
                <w:color w:val="auto"/>
                <w:szCs w:val="24"/>
                <w:highlight w:val="none"/>
              </w:rPr>
              <w:t>浮率</w:t>
            </w:r>
          </w:p>
        </w:tc>
        <w:tc>
          <w:tcPr>
            <w:tcW w:w="1690" w:type="dxa"/>
            <w:noWrap w:val="0"/>
            <w:vAlign w:val="center"/>
          </w:tcPr>
          <w:p w14:paraId="142FD188">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投标报价（元）</w:t>
            </w:r>
          </w:p>
        </w:tc>
        <w:tc>
          <w:tcPr>
            <w:tcW w:w="2455" w:type="dxa"/>
            <w:noWrap w:val="0"/>
            <w:vAlign w:val="center"/>
          </w:tcPr>
          <w:p w14:paraId="40279893">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kern w:val="1"/>
                <w:szCs w:val="24"/>
                <w:highlight w:val="none"/>
              </w:rPr>
              <w:t>报价要求</w:t>
            </w:r>
          </w:p>
        </w:tc>
      </w:tr>
      <w:tr w14:paraId="34A169C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180" w:hRule="atLeast"/>
          <w:jc w:val="center"/>
        </w:trPr>
        <w:tc>
          <w:tcPr>
            <w:tcW w:w="668" w:type="dxa"/>
            <w:noWrap w:val="0"/>
            <w:vAlign w:val="center"/>
          </w:tcPr>
          <w:p w14:paraId="53139ECF">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1</w:t>
            </w:r>
          </w:p>
        </w:tc>
        <w:tc>
          <w:tcPr>
            <w:tcW w:w="1883" w:type="dxa"/>
            <w:noWrap w:val="0"/>
            <w:vAlign w:val="center"/>
          </w:tcPr>
          <w:p w14:paraId="511BFD66">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szCs w:val="24"/>
                <w:highlight w:val="none"/>
                <w:lang w:val="zh-CN" w:eastAsia="zh-CN"/>
              </w:rPr>
              <w:t>设计费</w:t>
            </w:r>
            <w:r>
              <w:rPr>
                <w:rFonts w:hint="eastAsia" w:asciiTheme="minorEastAsia" w:hAnsiTheme="minorEastAsia" w:eastAsiaTheme="minorEastAsia" w:cstheme="minorEastAsia"/>
                <w:color w:val="auto"/>
                <w:szCs w:val="24"/>
                <w:highlight w:val="none"/>
                <w:lang w:val="en-US" w:eastAsia="zh-CN"/>
              </w:rPr>
              <w:t>（</w:t>
            </w:r>
            <w:r>
              <w:rPr>
                <w:rFonts w:hint="eastAsia" w:ascii="宋体" w:hAnsi="宋体" w:eastAsia="宋体" w:cs="宋体"/>
                <w:color w:val="auto"/>
                <w:kern w:val="1"/>
                <w:sz w:val="24"/>
                <w:szCs w:val="24"/>
                <w:highlight w:val="none"/>
                <w:lang w:val="en-US" w:eastAsia="zh-CN"/>
              </w:rPr>
              <w:t>含</w:t>
            </w:r>
            <w:r>
              <w:rPr>
                <w:rFonts w:hint="eastAsia" w:hAnsi="宋体" w:eastAsia="宋体" w:cs="宋体"/>
                <w:color w:val="auto"/>
                <w:kern w:val="1"/>
                <w:sz w:val="24"/>
                <w:szCs w:val="24"/>
                <w:highlight w:val="none"/>
                <w:lang w:val="en-US" w:eastAsia="zh-CN"/>
              </w:rPr>
              <w:t>勘察费</w:t>
            </w:r>
            <w:r>
              <w:rPr>
                <w:rFonts w:hint="eastAsia" w:ascii="宋体" w:hAnsi="宋体" w:eastAsia="宋体" w:cs="宋体"/>
                <w:color w:val="auto"/>
                <w:kern w:val="1"/>
                <w:sz w:val="24"/>
                <w:szCs w:val="24"/>
                <w:highlight w:val="none"/>
                <w:lang w:val="en-US" w:eastAsia="zh-CN"/>
              </w:rPr>
              <w:t>）</w:t>
            </w:r>
          </w:p>
        </w:tc>
        <w:tc>
          <w:tcPr>
            <w:tcW w:w="1686" w:type="dxa"/>
            <w:noWrap w:val="0"/>
            <w:vAlign w:val="center"/>
          </w:tcPr>
          <w:p w14:paraId="5F698044">
            <w:pPr>
              <w:snapToGrid w:val="0"/>
              <w:spacing w:line="400" w:lineRule="exact"/>
              <w:jc w:val="center"/>
              <w:rPr>
                <w:rFonts w:hint="default" w:asciiTheme="minorEastAsia" w:hAnsiTheme="minorEastAsia" w:eastAsiaTheme="minorEastAsia" w:cstheme="minorEastAsia"/>
                <w:color w:val="auto"/>
                <w:kern w:val="1"/>
                <w:szCs w:val="24"/>
                <w:highlight w:val="none"/>
                <w:lang w:val="en-US"/>
              </w:rPr>
            </w:pPr>
            <w:r>
              <w:rPr>
                <w:rFonts w:hint="eastAsia" w:asciiTheme="minorEastAsia" w:hAnsiTheme="minorEastAsia" w:eastAsiaTheme="minorEastAsia" w:cstheme="minorEastAsia"/>
                <w:color w:val="auto"/>
                <w:kern w:val="1"/>
                <w:szCs w:val="24"/>
                <w:highlight w:val="none"/>
                <w:lang w:val="en-US" w:eastAsia="zh-CN"/>
              </w:rPr>
              <w:t>1198900.00</w:t>
            </w:r>
          </w:p>
        </w:tc>
        <w:tc>
          <w:tcPr>
            <w:tcW w:w="1473" w:type="dxa"/>
            <w:noWrap w:val="0"/>
            <w:vAlign w:val="center"/>
          </w:tcPr>
          <w:p w14:paraId="0C1825B5">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w:t>
            </w:r>
          </w:p>
        </w:tc>
        <w:tc>
          <w:tcPr>
            <w:tcW w:w="1690" w:type="dxa"/>
            <w:noWrap w:val="0"/>
            <w:vAlign w:val="center"/>
          </w:tcPr>
          <w:p w14:paraId="75F416D4">
            <w:pPr>
              <w:spacing w:line="360" w:lineRule="auto"/>
              <w:jc w:val="center"/>
              <w:rPr>
                <w:rFonts w:hint="eastAsia" w:asciiTheme="minorEastAsia" w:hAnsiTheme="minorEastAsia" w:eastAsiaTheme="minorEastAsia" w:cstheme="minorEastAsia"/>
                <w:color w:val="auto"/>
                <w:szCs w:val="24"/>
                <w:highlight w:val="none"/>
              </w:rPr>
            </w:pPr>
          </w:p>
        </w:tc>
        <w:tc>
          <w:tcPr>
            <w:tcW w:w="2455" w:type="dxa"/>
            <w:noWrap w:val="0"/>
            <w:vAlign w:val="center"/>
          </w:tcPr>
          <w:p w14:paraId="7CC45B24">
            <w:pPr>
              <w:wordWrap w:val="0"/>
              <w:adjustRightInd w:val="0"/>
              <w:snapToGrid w:val="0"/>
              <w:spacing w:line="360" w:lineRule="auto"/>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lang w:val="zh-CN" w:eastAsia="zh-CN"/>
              </w:rPr>
              <w:t>设计费在不高于</w:t>
            </w:r>
            <w:r>
              <w:rPr>
                <w:rFonts w:hint="eastAsia" w:asciiTheme="minorEastAsia" w:hAnsiTheme="minorEastAsia" w:eastAsiaTheme="minorEastAsia" w:cstheme="minorEastAsia"/>
                <w:color w:val="auto"/>
                <w:szCs w:val="24"/>
                <w:highlight w:val="none"/>
                <w:lang w:eastAsia="zh-CN"/>
              </w:rPr>
              <w:t>最高投标限价</w:t>
            </w:r>
            <w:r>
              <w:rPr>
                <w:rFonts w:hint="eastAsia" w:asciiTheme="minorEastAsia" w:hAnsiTheme="minorEastAsia" w:eastAsiaTheme="minorEastAsia" w:cstheme="minorEastAsia"/>
                <w:color w:val="auto"/>
                <w:szCs w:val="24"/>
                <w:highlight w:val="none"/>
                <w:lang w:val="zh-CN" w:eastAsia="zh-CN"/>
              </w:rPr>
              <w:t>的基础上自行报价并包干，结算不作任何调整。</w:t>
            </w:r>
          </w:p>
        </w:tc>
      </w:tr>
      <w:tr w14:paraId="258911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6" w:hRule="atLeast"/>
          <w:jc w:val="center"/>
        </w:trPr>
        <w:tc>
          <w:tcPr>
            <w:tcW w:w="668" w:type="dxa"/>
            <w:noWrap w:val="0"/>
            <w:vAlign w:val="center"/>
          </w:tcPr>
          <w:p w14:paraId="74CA62BE">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2</w:t>
            </w:r>
          </w:p>
        </w:tc>
        <w:tc>
          <w:tcPr>
            <w:tcW w:w="1883" w:type="dxa"/>
            <w:noWrap w:val="0"/>
            <w:vAlign w:val="center"/>
          </w:tcPr>
          <w:p w14:paraId="08D24868">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kern w:val="1"/>
                <w:szCs w:val="24"/>
                <w:highlight w:val="none"/>
              </w:rPr>
              <w:t>建安工程费</w:t>
            </w:r>
          </w:p>
        </w:tc>
        <w:tc>
          <w:tcPr>
            <w:tcW w:w="1686" w:type="dxa"/>
            <w:noWrap w:val="0"/>
            <w:vAlign w:val="center"/>
          </w:tcPr>
          <w:p w14:paraId="649B09D0">
            <w:pPr>
              <w:snapToGrid w:val="0"/>
              <w:spacing w:line="400" w:lineRule="exact"/>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lang w:val="en-US" w:eastAsia="zh-CN"/>
              </w:rPr>
              <w:t>17226900.00</w:t>
            </w:r>
          </w:p>
        </w:tc>
        <w:tc>
          <w:tcPr>
            <w:tcW w:w="1473" w:type="dxa"/>
            <w:noWrap w:val="0"/>
            <w:vAlign w:val="center"/>
          </w:tcPr>
          <w:p w14:paraId="53DAADC0">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szCs w:val="24"/>
                <w:highlight w:val="none"/>
                <w:u w:val="single"/>
              </w:rPr>
              <w:t xml:space="preserve">   </w:t>
            </w:r>
            <w:r>
              <w:rPr>
                <w:rFonts w:hint="eastAsia" w:asciiTheme="minorEastAsia" w:hAnsiTheme="minorEastAsia" w:eastAsiaTheme="minorEastAsia" w:cstheme="minorEastAsia"/>
                <w:color w:val="auto"/>
                <w:szCs w:val="24"/>
                <w:highlight w:val="none"/>
              </w:rPr>
              <w:t>%</w:t>
            </w:r>
          </w:p>
        </w:tc>
        <w:tc>
          <w:tcPr>
            <w:tcW w:w="1690" w:type="dxa"/>
            <w:noWrap w:val="0"/>
            <w:vAlign w:val="center"/>
          </w:tcPr>
          <w:p w14:paraId="3A540B51">
            <w:pPr>
              <w:spacing w:line="360" w:lineRule="auto"/>
              <w:jc w:val="center"/>
              <w:rPr>
                <w:rFonts w:hint="eastAsia" w:asciiTheme="minorEastAsia" w:hAnsiTheme="minorEastAsia" w:eastAsiaTheme="minorEastAsia" w:cstheme="minorEastAsia"/>
                <w:color w:val="auto"/>
                <w:kern w:val="1"/>
                <w:szCs w:val="24"/>
                <w:highlight w:val="none"/>
              </w:rPr>
            </w:pPr>
          </w:p>
        </w:tc>
        <w:tc>
          <w:tcPr>
            <w:tcW w:w="2455" w:type="dxa"/>
            <w:noWrap w:val="0"/>
            <w:vAlign w:val="center"/>
          </w:tcPr>
          <w:p w14:paraId="444550B1">
            <w:pPr>
              <w:numPr>
                <w:ilvl w:val="0"/>
                <w:numId w:val="3"/>
              </w:numPr>
              <w:spacing w:line="360" w:lineRule="auto"/>
              <w:jc w:val="left"/>
              <w:rPr>
                <w:rFonts w:hint="eastAsia" w:asciiTheme="minorEastAsia" w:hAnsiTheme="minorEastAsia" w:eastAsiaTheme="minorEastAsia" w:cstheme="minorEastAsia"/>
                <w:color w:val="auto"/>
                <w:szCs w:val="24"/>
                <w:highlight w:val="none"/>
                <w:lang w:eastAsia="zh-CN"/>
              </w:rPr>
            </w:pPr>
            <w:r>
              <w:rPr>
                <w:rFonts w:hint="eastAsia" w:asciiTheme="minorEastAsia" w:hAnsiTheme="minorEastAsia" w:eastAsiaTheme="minorEastAsia" w:cstheme="minorEastAsia"/>
                <w:color w:val="auto"/>
                <w:szCs w:val="24"/>
                <w:highlight w:val="none"/>
                <w:lang w:eastAsia="zh-CN"/>
              </w:rPr>
              <w:t>建安工程费报价=</w:t>
            </w:r>
            <w:r>
              <w:rPr>
                <w:rFonts w:hint="eastAsia" w:asciiTheme="minorEastAsia" w:hAnsiTheme="minorEastAsia" w:eastAsiaTheme="minorEastAsia" w:cstheme="minorEastAsia"/>
                <w:color w:val="auto"/>
                <w:szCs w:val="24"/>
                <w:highlight w:val="none"/>
                <w:lang w:val="en-US" w:eastAsia="zh-CN"/>
              </w:rPr>
              <w:t>17226900.00</w:t>
            </w:r>
            <w:r>
              <w:rPr>
                <w:rFonts w:hint="eastAsia" w:asciiTheme="minorEastAsia" w:hAnsiTheme="minorEastAsia" w:eastAsiaTheme="minorEastAsia" w:cstheme="minorEastAsia"/>
                <w:color w:val="auto"/>
                <w:szCs w:val="24"/>
                <w:highlight w:val="none"/>
                <w:lang w:eastAsia="zh-CN"/>
              </w:rPr>
              <w:t>x(1-建安工程费投标下浮率)；</w:t>
            </w:r>
          </w:p>
          <w:p w14:paraId="7288CC09">
            <w:pPr>
              <w:pStyle w:val="11"/>
              <w:numPr>
                <w:ilvl w:val="0"/>
                <w:numId w:val="0"/>
              </w:numPr>
              <w:jc w:val="left"/>
              <w:rPr>
                <w:rFonts w:hint="eastAsia"/>
                <w:color w:val="auto"/>
                <w:highlight w:val="none"/>
                <w:lang w:val="zh-CN" w:eastAsia="zh-CN"/>
              </w:rPr>
            </w:pPr>
            <w:r>
              <w:rPr>
                <w:rFonts w:hint="eastAsia" w:asciiTheme="minorEastAsia" w:hAnsiTheme="minorEastAsia" w:eastAsiaTheme="minorEastAsia" w:cstheme="minorEastAsia"/>
                <w:color w:val="auto"/>
                <w:kern w:val="2"/>
                <w:sz w:val="24"/>
                <w:szCs w:val="24"/>
                <w:highlight w:val="none"/>
                <w:lang w:val="en-US" w:eastAsia="zh-CN" w:bidi="ar-SA"/>
              </w:rPr>
              <w:t>2.</w:t>
            </w:r>
            <w:r>
              <w:rPr>
                <w:rFonts w:hint="eastAsia" w:asciiTheme="minorEastAsia" w:hAnsiTheme="minorEastAsia" w:eastAsiaTheme="minorEastAsia" w:cstheme="minorEastAsia"/>
                <w:color w:val="auto"/>
                <w:kern w:val="2"/>
                <w:sz w:val="24"/>
                <w:szCs w:val="24"/>
                <w:highlight w:val="none"/>
                <w:lang w:val="zh-CN" w:eastAsia="zh-CN" w:bidi="ar-SA"/>
              </w:rPr>
              <w:t>投标人应分别报投标下浮率和建安工程费。</w:t>
            </w:r>
          </w:p>
        </w:tc>
      </w:tr>
      <w:tr w14:paraId="513B36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76" w:hRule="atLeast"/>
          <w:jc w:val="center"/>
        </w:trPr>
        <w:tc>
          <w:tcPr>
            <w:tcW w:w="668" w:type="dxa"/>
            <w:noWrap w:val="0"/>
            <w:vAlign w:val="center"/>
          </w:tcPr>
          <w:p w14:paraId="4F427575">
            <w:pPr>
              <w:spacing w:line="360" w:lineRule="auto"/>
              <w:jc w:val="center"/>
              <w:rPr>
                <w:rFonts w:hint="eastAsia" w:asciiTheme="minorEastAsia" w:hAnsiTheme="minorEastAsia" w:eastAsiaTheme="minorEastAsia" w:cstheme="minorEastAsia"/>
                <w:color w:val="auto"/>
                <w:kern w:val="1"/>
                <w:szCs w:val="24"/>
                <w:highlight w:val="none"/>
                <w:lang w:val="en-US" w:eastAsia="zh-CN"/>
              </w:rPr>
            </w:pPr>
            <w:r>
              <w:rPr>
                <w:rFonts w:hint="eastAsia" w:asciiTheme="minorEastAsia" w:hAnsiTheme="minorEastAsia" w:eastAsiaTheme="minorEastAsia" w:cstheme="minorEastAsia"/>
                <w:color w:val="auto"/>
                <w:kern w:val="1"/>
                <w:szCs w:val="24"/>
                <w:highlight w:val="none"/>
                <w:lang w:val="en-US" w:eastAsia="zh-CN"/>
              </w:rPr>
              <w:t>3</w:t>
            </w:r>
          </w:p>
        </w:tc>
        <w:tc>
          <w:tcPr>
            <w:tcW w:w="1883" w:type="dxa"/>
            <w:noWrap w:val="0"/>
            <w:vAlign w:val="center"/>
          </w:tcPr>
          <w:p w14:paraId="26B386C5">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lang w:val="en-US" w:eastAsia="zh-CN"/>
              </w:rPr>
              <w:t>建设场地征用及清理费</w:t>
            </w:r>
          </w:p>
        </w:tc>
        <w:tc>
          <w:tcPr>
            <w:tcW w:w="1686" w:type="dxa"/>
            <w:noWrap w:val="0"/>
            <w:vAlign w:val="center"/>
          </w:tcPr>
          <w:p w14:paraId="43204D2E">
            <w:pPr>
              <w:snapToGrid w:val="0"/>
              <w:spacing w:line="400" w:lineRule="exact"/>
              <w:jc w:val="center"/>
              <w:rPr>
                <w:rFonts w:hint="eastAsia" w:asciiTheme="minorEastAsia" w:hAnsiTheme="minorEastAsia" w:eastAsiaTheme="minorEastAsia" w:cstheme="minorEastAsia"/>
                <w:color w:val="auto"/>
                <w:kern w:val="1"/>
                <w:szCs w:val="24"/>
                <w:highlight w:val="none"/>
                <w:lang w:val="en-US" w:eastAsia="zh-CN"/>
              </w:rPr>
            </w:pPr>
            <w:r>
              <w:rPr>
                <w:rFonts w:hint="eastAsia" w:asciiTheme="minorEastAsia" w:hAnsiTheme="minorEastAsia" w:eastAsiaTheme="minorEastAsia" w:cstheme="minorEastAsia"/>
                <w:color w:val="auto"/>
                <w:kern w:val="1"/>
                <w:szCs w:val="24"/>
                <w:highlight w:val="none"/>
                <w:lang w:val="en-US" w:eastAsia="zh-CN"/>
              </w:rPr>
              <w:t>2612800.00</w:t>
            </w:r>
          </w:p>
        </w:tc>
        <w:tc>
          <w:tcPr>
            <w:tcW w:w="1473" w:type="dxa"/>
            <w:noWrap w:val="0"/>
            <w:vAlign w:val="center"/>
          </w:tcPr>
          <w:p w14:paraId="30F3FA59">
            <w:pPr>
              <w:spacing w:line="360" w:lineRule="auto"/>
              <w:jc w:val="center"/>
              <w:rPr>
                <w:rFonts w:hint="eastAsia" w:asciiTheme="minorEastAsia" w:hAnsiTheme="minorEastAsia" w:eastAsiaTheme="minorEastAsia" w:cstheme="minorEastAsia"/>
                <w:color w:val="auto"/>
                <w:szCs w:val="24"/>
                <w:highlight w:val="none"/>
                <w:u w:val="single"/>
                <w:lang w:val="en-US" w:eastAsia="zh-CN"/>
              </w:rPr>
            </w:pPr>
            <w:r>
              <w:rPr>
                <w:rFonts w:hint="eastAsia" w:asciiTheme="minorEastAsia" w:hAnsiTheme="minorEastAsia" w:eastAsiaTheme="minorEastAsia" w:cstheme="minorEastAsia"/>
                <w:color w:val="auto"/>
                <w:szCs w:val="24"/>
                <w:highlight w:val="none"/>
                <w:u w:val="single"/>
                <w:lang w:val="en-US" w:eastAsia="zh-CN"/>
              </w:rPr>
              <w:t>/</w:t>
            </w:r>
          </w:p>
        </w:tc>
        <w:tc>
          <w:tcPr>
            <w:tcW w:w="1690" w:type="dxa"/>
            <w:noWrap w:val="0"/>
            <w:vAlign w:val="center"/>
          </w:tcPr>
          <w:p w14:paraId="6232E184">
            <w:pPr>
              <w:spacing w:line="360" w:lineRule="auto"/>
              <w:jc w:val="center"/>
              <w:rPr>
                <w:rFonts w:hint="eastAsia" w:asciiTheme="minorEastAsia" w:hAnsiTheme="minorEastAsia" w:eastAsiaTheme="minorEastAsia" w:cstheme="minorEastAsia"/>
                <w:color w:val="auto"/>
                <w:kern w:val="1"/>
                <w:szCs w:val="24"/>
                <w:highlight w:val="none"/>
              </w:rPr>
            </w:pPr>
          </w:p>
        </w:tc>
        <w:tc>
          <w:tcPr>
            <w:tcW w:w="2455" w:type="dxa"/>
            <w:noWrap w:val="0"/>
            <w:vAlign w:val="center"/>
          </w:tcPr>
          <w:p w14:paraId="070ABAA6">
            <w:pPr>
              <w:pStyle w:val="11"/>
              <w:numPr>
                <w:ilvl w:val="0"/>
                <w:numId w:val="0"/>
              </w:numPr>
              <w:jc w:val="left"/>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kern w:val="2"/>
                <w:sz w:val="24"/>
                <w:szCs w:val="24"/>
                <w:highlight w:val="none"/>
                <w:lang w:val="en-US" w:eastAsia="zh-CN" w:bidi="ar-SA"/>
              </w:rPr>
              <w:t>统一报价（以实际发生为准）</w:t>
            </w:r>
          </w:p>
        </w:tc>
      </w:tr>
      <w:tr w14:paraId="39DF71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7" w:hRule="atLeast"/>
          <w:jc w:val="center"/>
        </w:trPr>
        <w:tc>
          <w:tcPr>
            <w:tcW w:w="2551" w:type="dxa"/>
            <w:gridSpan w:val="2"/>
            <w:noWrap w:val="0"/>
            <w:vAlign w:val="center"/>
          </w:tcPr>
          <w:p w14:paraId="41BF1055">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合计</w:t>
            </w:r>
          </w:p>
        </w:tc>
        <w:tc>
          <w:tcPr>
            <w:tcW w:w="1686" w:type="dxa"/>
            <w:noWrap w:val="0"/>
            <w:vAlign w:val="center"/>
          </w:tcPr>
          <w:p w14:paraId="41F47CCF">
            <w:pPr>
              <w:spacing w:line="360" w:lineRule="auto"/>
              <w:jc w:val="center"/>
              <w:rPr>
                <w:rFonts w:hint="eastAsia" w:asciiTheme="minorEastAsia" w:hAnsiTheme="minorEastAsia" w:eastAsiaTheme="minorEastAsia" w:cstheme="minorEastAsia"/>
                <w:color w:val="auto"/>
                <w:kern w:val="1"/>
                <w:szCs w:val="24"/>
                <w:highlight w:val="none"/>
                <w:lang w:val="en-US" w:eastAsia="zh-CN"/>
              </w:rPr>
            </w:pPr>
            <w:r>
              <w:rPr>
                <w:rFonts w:hint="eastAsia" w:asciiTheme="minorEastAsia" w:hAnsiTheme="minorEastAsia" w:eastAsiaTheme="minorEastAsia" w:cstheme="minorEastAsia"/>
                <w:color w:val="auto"/>
                <w:kern w:val="1"/>
                <w:szCs w:val="24"/>
                <w:highlight w:val="none"/>
                <w:lang w:val="en-US" w:eastAsia="zh-CN"/>
              </w:rPr>
              <w:t>/</w:t>
            </w:r>
          </w:p>
        </w:tc>
        <w:tc>
          <w:tcPr>
            <w:tcW w:w="1473" w:type="dxa"/>
            <w:noWrap w:val="0"/>
            <w:vAlign w:val="center"/>
          </w:tcPr>
          <w:p w14:paraId="20FF6CB3">
            <w:pPr>
              <w:spacing w:line="360" w:lineRule="auto"/>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kern w:val="1"/>
                <w:szCs w:val="24"/>
                <w:highlight w:val="none"/>
              </w:rPr>
              <w:t>/</w:t>
            </w:r>
          </w:p>
        </w:tc>
        <w:tc>
          <w:tcPr>
            <w:tcW w:w="1690" w:type="dxa"/>
            <w:noWrap w:val="0"/>
            <w:vAlign w:val="center"/>
          </w:tcPr>
          <w:p w14:paraId="2514262B">
            <w:pPr>
              <w:spacing w:line="360" w:lineRule="auto"/>
              <w:jc w:val="right"/>
              <w:rPr>
                <w:rFonts w:hint="eastAsia" w:asciiTheme="minorEastAsia" w:hAnsiTheme="minorEastAsia" w:eastAsiaTheme="minorEastAsia" w:cstheme="minorEastAsia"/>
                <w:color w:val="auto"/>
                <w:szCs w:val="24"/>
                <w:highlight w:val="none"/>
              </w:rPr>
            </w:pPr>
          </w:p>
        </w:tc>
        <w:tc>
          <w:tcPr>
            <w:tcW w:w="2455" w:type="dxa"/>
            <w:noWrap w:val="0"/>
            <w:vAlign w:val="center"/>
          </w:tcPr>
          <w:p w14:paraId="6B06896B">
            <w:pPr>
              <w:spacing w:line="360" w:lineRule="auto"/>
              <w:jc w:val="center"/>
              <w:rPr>
                <w:rFonts w:hint="eastAsia" w:asciiTheme="minorEastAsia" w:hAnsiTheme="minorEastAsia" w:eastAsiaTheme="minorEastAsia" w:cstheme="minorEastAsia"/>
                <w:color w:val="auto"/>
                <w:kern w:val="1"/>
                <w:szCs w:val="24"/>
                <w:highlight w:val="none"/>
              </w:rPr>
            </w:pPr>
            <w:r>
              <w:rPr>
                <w:rFonts w:hint="eastAsia" w:asciiTheme="minorEastAsia" w:hAnsiTheme="minorEastAsia" w:eastAsiaTheme="minorEastAsia" w:cstheme="minorEastAsia"/>
                <w:color w:val="auto"/>
                <w:kern w:val="1"/>
                <w:szCs w:val="24"/>
                <w:highlight w:val="none"/>
              </w:rPr>
              <w:t>/</w:t>
            </w:r>
          </w:p>
        </w:tc>
      </w:tr>
    </w:tbl>
    <w:p w14:paraId="34B35DB3">
      <w:pPr>
        <w:rPr>
          <w:rFonts w:hint="eastAsia" w:asciiTheme="minorEastAsia" w:hAnsiTheme="minorEastAsia" w:eastAsiaTheme="minorEastAsia" w:cstheme="minorEastAsia"/>
          <w:color w:val="auto"/>
          <w:szCs w:val="24"/>
          <w:highlight w:val="none"/>
        </w:rPr>
      </w:pPr>
    </w:p>
    <w:p w14:paraId="6EBCCA7D">
      <w:pPr>
        <w:tabs>
          <w:tab w:val="left" w:pos="3808"/>
        </w:tabs>
        <w:spacing w:line="360" w:lineRule="auto"/>
        <w:ind w:firstLine="482" w:firstLineChars="20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备注：投标报价及报价下浮率均保留至小数点后两位，建安工程费投标报价=计算基数×（1-下浮率）。</w:t>
      </w:r>
    </w:p>
    <w:p w14:paraId="4513C41C">
      <w:pPr>
        <w:wordWrap w:val="0"/>
        <w:adjustRightInd w:val="0"/>
        <w:snapToGrid w:val="0"/>
        <w:spacing w:line="276" w:lineRule="auto"/>
        <w:jc w:val="both"/>
        <w:rPr>
          <w:rFonts w:hint="eastAsia" w:asciiTheme="minorEastAsia" w:hAnsiTheme="minorEastAsia" w:eastAsiaTheme="minorEastAsia" w:cstheme="minorEastAsia"/>
          <w:snapToGrid w:val="0"/>
          <w:color w:val="auto"/>
          <w:kern w:val="0"/>
          <w:szCs w:val="24"/>
          <w:highlight w:val="none"/>
        </w:rPr>
      </w:pPr>
    </w:p>
    <w:p w14:paraId="3128CEBE">
      <w:pPr>
        <w:pStyle w:val="5"/>
        <w:rPr>
          <w:rFonts w:hint="eastAsia" w:asciiTheme="minorEastAsia" w:hAnsiTheme="minorEastAsia" w:eastAsiaTheme="minorEastAsia" w:cstheme="minorEastAsia"/>
          <w:color w:val="auto"/>
          <w:highlight w:val="none"/>
        </w:rPr>
      </w:pPr>
    </w:p>
    <w:p w14:paraId="3D584134">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47344320">
      <w:pPr>
        <w:wordWrap w:val="0"/>
        <w:adjustRightInd w:val="0"/>
        <w:snapToGrid w:val="0"/>
        <w:spacing w:line="276" w:lineRule="auto"/>
        <w:jc w:val="right"/>
        <w:rPr>
          <w:rFonts w:hint="eastAsia" w:ascii="宋体" w:hAnsi="宋体" w:eastAsia="宋体" w:cs="宋体"/>
          <w:snapToGrid w:val="0"/>
          <w:color w:val="auto"/>
          <w:kern w:val="0"/>
          <w:sz w:val="24"/>
          <w:szCs w:val="24"/>
          <w:highlight w:val="none"/>
        </w:rPr>
      </w:pPr>
    </w:p>
    <w:p w14:paraId="01FE23D3">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706C5E3D">
      <w:pPr>
        <w:wordWrap w:val="0"/>
        <w:adjustRightInd w:val="0"/>
        <w:snapToGrid w:val="0"/>
        <w:spacing w:line="276" w:lineRule="auto"/>
        <w:ind w:firstLine="480" w:firstLineChars="200"/>
        <w:jc w:val="right"/>
        <w:rPr>
          <w:rFonts w:hint="eastAsia" w:ascii="宋体" w:hAnsi="宋体" w:eastAsia="宋体" w:cs="宋体"/>
          <w:snapToGrid w:val="0"/>
          <w:color w:val="auto"/>
          <w:kern w:val="0"/>
          <w:sz w:val="24"/>
          <w:szCs w:val="24"/>
          <w:highlight w:val="none"/>
        </w:rPr>
      </w:pPr>
    </w:p>
    <w:p w14:paraId="15C1A24F">
      <w:pPr>
        <w:spacing w:line="276" w:lineRule="auto"/>
        <w:rPr>
          <w:rFonts w:hint="eastAsia" w:asciiTheme="minorEastAsia" w:hAnsiTheme="minorEastAsia" w:eastAsiaTheme="minorEastAsia" w:cstheme="minorEastAsia"/>
          <w:color w:val="auto"/>
          <w:szCs w:val="24"/>
          <w:highlight w:val="none"/>
        </w:rPr>
        <w:sectPr>
          <w:endnotePr>
            <w:numFmt w:val="decimal"/>
          </w:endnotePr>
          <w:pgSz w:w="11906" w:h="16838"/>
          <w:pgMar w:top="1701" w:right="1335" w:bottom="1417" w:left="1531" w:header="850" w:footer="992" w:gutter="0"/>
          <w:pgNumType w:fmt="decimal"/>
          <w:cols w:space="720" w:num="1"/>
          <w:docGrid w:linePitch="327" w:charSpace="0"/>
        </w:sect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p>
    <w:p w14:paraId="0007DCE7">
      <w:pPr>
        <w:pStyle w:val="3"/>
        <w:spacing w:before="120"/>
        <w:rPr>
          <w:rStyle w:val="52"/>
          <w:rFonts w:hint="eastAsia" w:asciiTheme="minorEastAsia" w:hAnsiTheme="minorEastAsia" w:eastAsiaTheme="minorEastAsia" w:cstheme="minorEastAsia"/>
          <w:color w:val="auto"/>
          <w:sz w:val="24"/>
          <w:szCs w:val="24"/>
          <w:highlight w:val="none"/>
        </w:rPr>
      </w:pPr>
      <w:bookmarkStart w:id="362" w:name="_Toc20987"/>
      <w:bookmarkStart w:id="363" w:name="_Toc28529"/>
      <w:bookmarkStart w:id="364" w:name="_Toc25686"/>
      <w:bookmarkStart w:id="365" w:name="_Toc919"/>
      <w:bookmarkStart w:id="366" w:name="_Toc32555"/>
      <w:bookmarkStart w:id="367" w:name="_Toc1017"/>
      <w:bookmarkStart w:id="368" w:name="_Toc21928"/>
      <w:r>
        <w:rPr>
          <w:rStyle w:val="52"/>
          <w:rFonts w:hint="eastAsia" w:asciiTheme="minorEastAsia" w:hAnsiTheme="minorEastAsia" w:eastAsiaTheme="minorEastAsia" w:cstheme="minorEastAsia"/>
          <w:color w:val="auto"/>
          <w:sz w:val="24"/>
          <w:szCs w:val="24"/>
          <w:highlight w:val="none"/>
        </w:rPr>
        <w:t>格式三 各项</w:t>
      </w:r>
      <w:r>
        <w:rPr>
          <w:rFonts w:hint="eastAsia" w:asciiTheme="minorEastAsia" w:hAnsiTheme="minorEastAsia" w:eastAsiaTheme="minorEastAsia" w:cstheme="minorEastAsia"/>
          <w:b/>
          <w:bCs/>
          <w:color w:val="auto"/>
          <w:szCs w:val="24"/>
          <w:highlight w:val="none"/>
        </w:rPr>
        <w:t>承诺</w:t>
      </w:r>
      <w:r>
        <w:rPr>
          <w:rStyle w:val="52"/>
          <w:rFonts w:hint="eastAsia" w:asciiTheme="minorEastAsia" w:hAnsiTheme="minorEastAsia" w:eastAsiaTheme="minorEastAsia" w:cstheme="minorEastAsia"/>
          <w:color w:val="auto"/>
          <w:sz w:val="24"/>
          <w:szCs w:val="24"/>
          <w:highlight w:val="none"/>
        </w:rPr>
        <w:t>一览表</w:t>
      </w:r>
      <w:bookmarkEnd w:id="360"/>
      <w:bookmarkEnd w:id="361"/>
      <w:bookmarkEnd w:id="362"/>
      <w:bookmarkEnd w:id="363"/>
      <w:bookmarkEnd w:id="364"/>
      <w:bookmarkEnd w:id="365"/>
    </w:p>
    <w:bookmarkEnd w:id="366"/>
    <w:bookmarkEnd w:id="367"/>
    <w:bookmarkEnd w:id="368"/>
    <w:p w14:paraId="093C0D5F">
      <w:pPr>
        <w:spacing w:line="480" w:lineRule="auto"/>
        <w:jc w:val="center"/>
        <w:rPr>
          <w:rFonts w:hint="eastAsia" w:asciiTheme="minorEastAsia" w:hAnsiTheme="minorEastAsia" w:eastAsiaTheme="minorEastAsia" w:cstheme="minorEastAsia"/>
          <w:b/>
          <w:bCs/>
          <w:color w:val="auto"/>
          <w:szCs w:val="24"/>
          <w:highlight w:val="none"/>
        </w:rPr>
      </w:pPr>
      <w:bookmarkStart w:id="369" w:name="_Toc30877"/>
      <w:bookmarkStart w:id="370" w:name="_Toc39136365"/>
      <w:bookmarkStart w:id="371" w:name="_Toc21521"/>
      <w:bookmarkStart w:id="372" w:name="_Toc20729"/>
      <w:bookmarkStart w:id="373" w:name="_Toc16438"/>
      <w:bookmarkStart w:id="374" w:name="_Toc31113"/>
      <w:bookmarkStart w:id="375" w:name="_Toc15279"/>
      <w:bookmarkStart w:id="376" w:name="_Toc18136"/>
      <w:r>
        <w:rPr>
          <w:rFonts w:hint="eastAsia" w:asciiTheme="minorEastAsia" w:hAnsiTheme="minorEastAsia" w:eastAsiaTheme="minorEastAsia" w:cstheme="minorEastAsia"/>
          <w:b/>
          <w:bCs/>
          <w:color w:val="auto"/>
          <w:szCs w:val="24"/>
          <w:highlight w:val="none"/>
        </w:rPr>
        <w:t>各项承诺一览表</w:t>
      </w:r>
      <w:bookmarkEnd w:id="369"/>
      <w:bookmarkEnd w:id="370"/>
      <w:bookmarkEnd w:id="371"/>
      <w:bookmarkEnd w:id="372"/>
    </w:p>
    <w:bookmarkEnd w:id="373"/>
    <w:bookmarkEnd w:id="374"/>
    <w:bookmarkEnd w:id="375"/>
    <w:bookmarkEnd w:id="376"/>
    <w:tbl>
      <w:tblPr>
        <w:tblStyle w:val="22"/>
        <w:tblW w:w="99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617"/>
        <w:gridCol w:w="1133"/>
        <w:gridCol w:w="3166"/>
        <w:gridCol w:w="5022"/>
      </w:tblGrid>
      <w:tr w14:paraId="26CD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top"/>
          </w:tcPr>
          <w:p w14:paraId="4681F1BC">
            <w:pPr>
              <w:pStyle w:val="27"/>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序号</w:t>
            </w:r>
          </w:p>
        </w:tc>
        <w:tc>
          <w:tcPr>
            <w:tcW w:w="1133" w:type="dxa"/>
            <w:noWrap w:val="0"/>
            <w:vAlign w:val="top"/>
          </w:tcPr>
          <w:p w14:paraId="0762CBED">
            <w:pPr>
              <w:pStyle w:val="27"/>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承诺标题</w:t>
            </w:r>
          </w:p>
        </w:tc>
        <w:tc>
          <w:tcPr>
            <w:tcW w:w="3166" w:type="dxa"/>
            <w:noWrap w:val="0"/>
            <w:vAlign w:val="top"/>
          </w:tcPr>
          <w:p w14:paraId="619FC01B">
            <w:pPr>
              <w:pStyle w:val="27"/>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承诺内容</w:t>
            </w:r>
          </w:p>
        </w:tc>
        <w:tc>
          <w:tcPr>
            <w:tcW w:w="5022" w:type="dxa"/>
            <w:tcBorders>
              <w:bottom w:val="single" w:color="auto" w:sz="4" w:space="0"/>
            </w:tcBorders>
            <w:noWrap w:val="0"/>
            <w:vAlign w:val="top"/>
          </w:tcPr>
          <w:p w14:paraId="6C03CB21">
            <w:pPr>
              <w:pStyle w:val="27"/>
              <w:spacing w:line="380" w:lineRule="exact"/>
              <w:jc w:val="center"/>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color w:val="auto"/>
                <w:sz w:val="21"/>
                <w:szCs w:val="21"/>
                <w:highlight w:val="none"/>
              </w:rPr>
              <w:t>违约承诺</w:t>
            </w:r>
          </w:p>
        </w:tc>
      </w:tr>
      <w:tr w14:paraId="757EC4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7873B132">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w:t>
            </w:r>
          </w:p>
        </w:tc>
        <w:tc>
          <w:tcPr>
            <w:tcW w:w="1133" w:type="dxa"/>
            <w:noWrap w:val="0"/>
            <w:vAlign w:val="center"/>
          </w:tcPr>
          <w:p w14:paraId="6EB62FDC">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对招标文件条款自愿接受承诺书</w:t>
            </w:r>
          </w:p>
        </w:tc>
        <w:tc>
          <w:tcPr>
            <w:tcW w:w="3166" w:type="dxa"/>
            <w:noWrap w:val="0"/>
            <w:vAlign w:val="center"/>
          </w:tcPr>
          <w:p w14:paraId="6BDDBF98">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我方保证接受招标文件的所有条款，响应招标文件的</w:t>
            </w:r>
            <w:bookmarkStart w:id="377" w:name="_Hlt66510765"/>
            <w:bookmarkEnd w:id="377"/>
            <w:r>
              <w:rPr>
                <w:rFonts w:hint="eastAsia" w:asciiTheme="minorEastAsia" w:hAnsiTheme="minorEastAsia" w:eastAsiaTheme="minorEastAsia" w:cstheme="minorEastAsia"/>
                <w:color w:val="auto"/>
                <w:sz w:val="21"/>
                <w:szCs w:val="21"/>
                <w:highlight w:val="none"/>
              </w:rPr>
              <w:t>所有要求，并同意招标文件为施工承包合同的组成部分</w:t>
            </w:r>
          </w:p>
        </w:tc>
        <w:tc>
          <w:tcPr>
            <w:tcW w:w="5022" w:type="dxa"/>
            <w:tcBorders>
              <w:tr2bl w:val="single" w:color="auto" w:sz="4" w:space="0"/>
            </w:tcBorders>
            <w:noWrap w:val="0"/>
            <w:vAlign w:val="center"/>
          </w:tcPr>
          <w:p w14:paraId="0BFA614F">
            <w:pPr>
              <w:pStyle w:val="54"/>
              <w:spacing w:line="380" w:lineRule="exact"/>
              <w:ind w:firstLine="420"/>
              <w:rPr>
                <w:rFonts w:hint="eastAsia" w:asciiTheme="minorEastAsia" w:hAnsiTheme="minorEastAsia" w:eastAsiaTheme="minorEastAsia" w:cstheme="minorEastAsia"/>
                <w:color w:val="auto"/>
                <w:sz w:val="21"/>
                <w:szCs w:val="21"/>
                <w:highlight w:val="none"/>
              </w:rPr>
            </w:pPr>
          </w:p>
        </w:tc>
      </w:tr>
      <w:tr w14:paraId="6544D5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32B35583">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2</w:t>
            </w:r>
          </w:p>
        </w:tc>
        <w:tc>
          <w:tcPr>
            <w:tcW w:w="1133" w:type="dxa"/>
            <w:noWrap w:val="0"/>
            <w:vAlign w:val="center"/>
          </w:tcPr>
          <w:p w14:paraId="2AEF7FEB">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履约保证金承诺书</w:t>
            </w:r>
          </w:p>
        </w:tc>
        <w:tc>
          <w:tcPr>
            <w:tcW w:w="3166" w:type="dxa"/>
            <w:noWrap w:val="0"/>
            <w:vAlign w:val="center"/>
          </w:tcPr>
          <w:p w14:paraId="3614067A">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我方保证按时缴纳全部履约保证金</w:t>
            </w:r>
            <w:bookmarkStart w:id="378" w:name="_Hlt104711307"/>
            <w:bookmarkEnd w:id="378"/>
          </w:p>
        </w:tc>
        <w:tc>
          <w:tcPr>
            <w:tcW w:w="5022" w:type="dxa"/>
            <w:noWrap w:val="0"/>
            <w:vAlign w:val="center"/>
          </w:tcPr>
          <w:p w14:paraId="1568AA32">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在施工过程中，如由于我方自身的资金、技术、质量、非不可抗力等原因给招标人造成损失时，或未能按招标文件所承诺的各项承诺完成时，我方同意扣除全部履约保证金，并承担由此引起的所有责任。</w:t>
            </w:r>
          </w:p>
        </w:tc>
      </w:tr>
      <w:tr w14:paraId="75244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420" w:hRule="atLeast"/>
          <w:jc w:val="center"/>
        </w:trPr>
        <w:tc>
          <w:tcPr>
            <w:tcW w:w="617" w:type="dxa"/>
            <w:noWrap w:val="0"/>
            <w:vAlign w:val="center"/>
          </w:tcPr>
          <w:p w14:paraId="586B3537">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3</w:t>
            </w:r>
          </w:p>
        </w:tc>
        <w:tc>
          <w:tcPr>
            <w:tcW w:w="1133" w:type="dxa"/>
            <w:noWrap w:val="0"/>
            <w:vAlign w:val="center"/>
          </w:tcPr>
          <w:p w14:paraId="0061C6AD">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工期、进度承诺书</w:t>
            </w:r>
          </w:p>
        </w:tc>
        <w:tc>
          <w:tcPr>
            <w:tcW w:w="3166" w:type="dxa"/>
            <w:noWrap w:val="0"/>
            <w:vAlign w:val="center"/>
          </w:tcPr>
          <w:p w14:paraId="4D719B9D">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我方保证在</w:t>
            </w:r>
            <w:r>
              <w:rPr>
                <w:rFonts w:hint="eastAsia" w:asciiTheme="minorEastAsia" w:hAnsiTheme="minorEastAsia" w:eastAsiaTheme="minorEastAsia" w:cstheme="minorEastAsia"/>
                <w:color w:val="auto"/>
                <w:sz w:val="21"/>
                <w:szCs w:val="21"/>
                <w:highlight w:val="none"/>
                <w:u w:val="single"/>
                <w:lang w:val="en-US" w:eastAsia="zh-CN"/>
              </w:rPr>
              <w:t>140</w:t>
            </w:r>
            <w:r>
              <w:rPr>
                <w:rFonts w:hint="eastAsia" w:asciiTheme="minorEastAsia" w:hAnsiTheme="minorEastAsia" w:eastAsiaTheme="minorEastAsia" w:cstheme="minorEastAsia"/>
                <w:color w:val="auto"/>
                <w:sz w:val="21"/>
                <w:szCs w:val="21"/>
                <w:highlight w:val="none"/>
              </w:rPr>
              <w:t>日历天内（其中：</w:t>
            </w:r>
            <w:r>
              <w:rPr>
                <w:rFonts w:hint="eastAsia" w:asciiTheme="minorEastAsia" w:hAnsiTheme="minorEastAsia" w:eastAsiaTheme="minorEastAsia" w:cstheme="minorEastAsia"/>
                <w:color w:val="auto"/>
                <w:sz w:val="21"/>
                <w:szCs w:val="21"/>
                <w:highlight w:val="none"/>
                <w:lang w:val="en-US" w:eastAsia="zh-CN"/>
              </w:rPr>
              <w:t>勘察、</w:t>
            </w:r>
            <w:r>
              <w:rPr>
                <w:rFonts w:hint="eastAsia" w:asciiTheme="minorEastAsia" w:hAnsiTheme="minorEastAsia" w:eastAsiaTheme="minorEastAsia" w:cstheme="minorEastAsia"/>
                <w:color w:val="auto"/>
                <w:sz w:val="21"/>
                <w:szCs w:val="21"/>
                <w:highlight w:val="none"/>
              </w:rPr>
              <w:t>设计工期为：</w:t>
            </w:r>
            <w:r>
              <w:rPr>
                <w:rFonts w:hint="eastAsia" w:asciiTheme="minorEastAsia" w:hAnsiTheme="minorEastAsia" w:eastAsiaTheme="minorEastAsia" w:cstheme="minorEastAsia"/>
                <w:color w:val="auto"/>
                <w:sz w:val="21"/>
                <w:szCs w:val="21"/>
                <w:highlight w:val="none"/>
                <w:u w:val="single"/>
                <w:lang w:val="en-US" w:eastAsia="zh-CN"/>
              </w:rPr>
              <w:t>20</w:t>
            </w:r>
            <w:r>
              <w:rPr>
                <w:rFonts w:hint="eastAsia" w:asciiTheme="minorEastAsia" w:hAnsiTheme="minorEastAsia" w:eastAsiaTheme="minorEastAsia" w:cstheme="minorEastAsia"/>
                <w:color w:val="auto"/>
                <w:sz w:val="21"/>
                <w:szCs w:val="21"/>
                <w:highlight w:val="none"/>
              </w:rPr>
              <w:t>日历天；施工工期为：</w:t>
            </w:r>
            <w:r>
              <w:rPr>
                <w:rFonts w:hint="eastAsia" w:asciiTheme="minorEastAsia" w:hAnsiTheme="minorEastAsia" w:eastAsiaTheme="minorEastAsia" w:cstheme="minorEastAsia"/>
                <w:color w:val="auto"/>
                <w:sz w:val="21"/>
                <w:szCs w:val="21"/>
                <w:highlight w:val="none"/>
                <w:u w:val="single"/>
                <w:lang w:val="en-US" w:eastAsia="zh-CN"/>
              </w:rPr>
              <w:t>120</w:t>
            </w:r>
            <w:r>
              <w:rPr>
                <w:rFonts w:hint="eastAsia" w:asciiTheme="minorEastAsia" w:hAnsiTheme="minorEastAsia" w:eastAsiaTheme="minorEastAsia" w:cstheme="minorEastAsia"/>
                <w:color w:val="auto"/>
                <w:sz w:val="21"/>
                <w:szCs w:val="21"/>
                <w:highlight w:val="none"/>
              </w:rPr>
              <w:t>日历天内）完成工程设计、施工并通过竣工验收。</w:t>
            </w:r>
          </w:p>
          <w:p w14:paraId="67F1A7A6">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我方保证各分部、分项工程的施工进度按我方投标文件中的施工进度计划完成施工任务。</w:t>
            </w:r>
          </w:p>
        </w:tc>
        <w:tc>
          <w:tcPr>
            <w:tcW w:w="5022" w:type="dxa"/>
            <w:noWrap w:val="0"/>
            <w:vAlign w:val="center"/>
          </w:tcPr>
          <w:p w14:paraId="4C68DDD8">
            <w:pPr>
              <w:pStyle w:val="9"/>
              <w:spacing w:line="360" w:lineRule="exact"/>
              <w:ind w:firstLine="240" w:firstLine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若因我方原因，没有按期完成设计任务、工程没有按期竣工时，我方在逾期第壹天起每天分别按设计、施工合同价款的1.5</w:t>
            </w:r>
            <w:r>
              <w:rPr>
                <w:rFonts w:hint="eastAsia" w:asciiTheme="minorEastAsia" w:hAnsiTheme="minorEastAsia" w:eastAsiaTheme="minorEastAsia" w:cstheme="minorEastAsia"/>
                <w:color w:val="auto"/>
                <w:szCs w:val="22"/>
                <w:highlight w:val="none"/>
              </w:rPr>
              <w:t>‰向</w:t>
            </w:r>
            <w:r>
              <w:rPr>
                <w:rFonts w:hint="eastAsia" w:asciiTheme="minorEastAsia" w:hAnsiTheme="minorEastAsia" w:eastAsiaTheme="minorEastAsia" w:cstheme="minorEastAsia"/>
                <w:color w:val="auto"/>
                <w:highlight w:val="none"/>
              </w:rPr>
              <w:t>招标人缴纳逾期违约金，分别累计最高不超过设计、施工合同价款的10%向招标人缴纳逾期违约金。</w:t>
            </w:r>
          </w:p>
          <w:p w14:paraId="0AD8CB05">
            <w:pPr>
              <w:pStyle w:val="9"/>
              <w:spacing w:line="360" w:lineRule="exact"/>
              <w:ind w:firstLine="240" w:firstLineChars="10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highlight w:val="none"/>
              </w:rPr>
              <w:t xml:space="preserve">   若因我方原因，各分部、分项工程的施工进度未能按我方投标文件中的施工进度计划完成施工任务，延期达到30日历天，招标人有权终止合同。我方愿意承担所有由此引起的责任及经济损失。</w:t>
            </w:r>
          </w:p>
        </w:tc>
      </w:tr>
      <w:tr w14:paraId="6C805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170" w:hRule="atLeast"/>
          <w:jc w:val="center"/>
        </w:trPr>
        <w:tc>
          <w:tcPr>
            <w:tcW w:w="617" w:type="dxa"/>
            <w:noWrap w:val="0"/>
            <w:vAlign w:val="center"/>
          </w:tcPr>
          <w:p w14:paraId="14636468">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4</w:t>
            </w:r>
          </w:p>
        </w:tc>
        <w:tc>
          <w:tcPr>
            <w:tcW w:w="1133" w:type="dxa"/>
            <w:noWrap w:val="0"/>
            <w:vAlign w:val="center"/>
          </w:tcPr>
          <w:p w14:paraId="30607364">
            <w:pPr>
              <w:pStyle w:val="54"/>
              <w:spacing w:line="380" w:lineRule="exact"/>
              <w:ind w:firstLine="0" w:firstLineChars="0"/>
              <w:rPr>
                <w:rFonts w:hint="eastAsia" w:asciiTheme="minorEastAsia" w:hAnsiTheme="minorEastAsia" w:eastAsiaTheme="minorEastAsia" w:cstheme="minorEastAsia"/>
                <w:color w:val="auto"/>
                <w:sz w:val="21"/>
                <w:szCs w:val="21"/>
                <w:highlight w:val="none"/>
              </w:rPr>
            </w:pPr>
            <w:bookmarkStart w:id="379" w:name="_Hlt98038044"/>
            <w:r>
              <w:rPr>
                <w:rFonts w:hint="eastAsia" w:asciiTheme="minorEastAsia" w:hAnsiTheme="minorEastAsia" w:eastAsiaTheme="minorEastAsia" w:cstheme="minorEastAsia"/>
                <w:color w:val="auto"/>
                <w:sz w:val="21"/>
                <w:szCs w:val="21"/>
                <w:highlight w:val="none"/>
              </w:rPr>
              <w:t>安全、文明施工承诺</w:t>
            </w:r>
            <w:bookmarkEnd w:id="379"/>
            <w:r>
              <w:rPr>
                <w:rFonts w:hint="eastAsia" w:asciiTheme="minorEastAsia" w:hAnsiTheme="minorEastAsia" w:eastAsiaTheme="minorEastAsia" w:cstheme="minorEastAsia"/>
                <w:color w:val="auto"/>
                <w:sz w:val="21"/>
                <w:szCs w:val="21"/>
                <w:highlight w:val="none"/>
              </w:rPr>
              <w:t>书</w:t>
            </w:r>
          </w:p>
        </w:tc>
        <w:tc>
          <w:tcPr>
            <w:tcW w:w="3166" w:type="dxa"/>
            <w:noWrap w:val="0"/>
            <w:vAlign w:val="center"/>
          </w:tcPr>
          <w:p w14:paraId="2051DAA9">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我方保证在施工期间严格遵守国家、省、市有关安全、文明施工规定，确保施工安全和第三者的安全，根据施工现场情况保证绿色施工安全防护措施费投入。</w:t>
            </w:r>
          </w:p>
        </w:tc>
        <w:tc>
          <w:tcPr>
            <w:tcW w:w="5022" w:type="dxa"/>
            <w:noWrap w:val="0"/>
            <w:vAlign w:val="center"/>
          </w:tcPr>
          <w:p w14:paraId="2E7794A0">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若因我方原因，在施工期间发生安全事故，造成施工人员或第三者的伤亡，我方愿意承担由此造成的一切经济损失和法律责任。</w:t>
            </w:r>
          </w:p>
          <w:p w14:paraId="1AC256D0">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若我方在施工中发生一般事故及以上等级生产安全事故，可扣除相当于所有“绿色施工安全防护措施费”的管理费。</w:t>
            </w:r>
          </w:p>
        </w:tc>
      </w:tr>
      <w:tr w14:paraId="70C44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530" w:hRule="atLeast"/>
          <w:jc w:val="center"/>
        </w:trPr>
        <w:tc>
          <w:tcPr>
            <w:tcW w:w="617" w:type="dxa"/>
            <w:noWrap w:val="0"/>
            <w:vAlign w:val="center"/>
          </w:tcPr>
          <w:p w14:paraId="780516AC">
            <w:pPr>
              <w:pStyle w:val="41"/>
              <w:wordWrap w:val="0"/>
              <w:adjustRightInd w:val="0"/>
              <w:snapToGrid w:val="0"/>
              <w:spacing w:line="380" w:lineRule="exact"/>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snapToGrid w:val="0"/>
                <w:color w:val="auto"/>
                <w:kern w:val="0"/>
                <w:szCs w:val="21"/>
                <w:highlight w:val="none"/>
              </w:rPr>
              <w:t>5</w:t>
            </w:r>
          </w:p>
        </w:tc>
        <w:tc>
          <w:tcPr>
            <w:tcW w:w="1133" w:type="dxa"/>
            <w:noWrap w:val="0"/>
            <w:vAlign w:val="center"/>
          </w:tcPr>
          <w:p w14:paraId="524C1113">
            <w:pPr>
              <w:pStyle w:val="54"/>
              <w:wordWrap w:val="0"/>
              <w:adjustRightInd w:val="0"/>
              <w:snapToGrid w:val="0"/>
              <w:spacing w:line="380" w:lineRule="exact"/>
              <w:ind w:firstLine="0" w:firstLineChars="0"/>
              <w:jc w:val="center"/>
              <w:rPr>
                <w:rFonts w:hint="eastAsia" w:asciiTheme="minorEastAsia" w:hAnsiTheme="minorEastAsia" w:eastAsiaTheme="minorEastAsia" w:cstheme="minorEastAsia"/>
                <w:snapToGrid w:val="0"/>
                <w:color w:val="auto"/>
                <w:kern w:val="0"/>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项目经理</w:t>
            </w:r>
          </w:p>
          <w:p w14:paraId="46436360">
            <w:pPr>
              <w:pStyle w:val="54"/>
              <w:wordWrap w:val="0"/>
              <w:adjustRightInd w:val="0"/>
              <w:snapToGrid w:val="0"/>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任职承诺</w:t>
            </w:r>
          </w:p>
        </w:tc>
        <w:tc>
          <w:tcPr>
            <w:tcW w:w="3166" w:type="dxa"/>
            <w:noWrap w:val="0"/>
            <w:vAlign w:val="center"/>
          </w:tcPr>
          <w:p w14:paraId="79F21B97">
            <w:pPr>
              <w:pStyle w:val="54"/>
              <w:wordWrap w:val="0"/>
              <w:adjustRightInd w:val="0"/>
              <w:snapToGrid w:val="0"/>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我方拟派项目经理现阶段没有担任任何在施（包括已中标或已签订合同未开工、已开工未竣工、已建成未竣工）建设工程项目的项目经理。</w:t>
            </w:r>
          </w:p>
        </w:tc>
        <w:tc>
          <w:tcPr>
            <w:tcW w:w="5022" w:type="dxa"/>
            <w:noWrap w:val="0"/>
            <w:vAlign w:val="center"/>
          </w:tcPr>
          <w:p w14:paraId="0EEA0A91">
            <w:pPr>
              <w:pStyle w:val="54"/>
              <w:wordWrap w:val="0"/>
              <w:adjustRightInd w:val="0"/>
              <w:snapToGrid w:val="0"/>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kern w:val="0"/>
                <w:sz w:val="21"/>
                <w:szCs w:val="21"/>
                <w:highlight w:val="none"/>
              </w:rPr>
              <w:t>如果我方拟派项目经理在本工程招标投标活动期间有担任其他任何在施（包括已中标或已签订合同未开工、已开工未竣工、已建成未竣工）建设工程项目的项目经理，我方接受招标人或其授权的招标代理机构或其组建的评标委员会依据招标文件作出的相应处理以及有关监督部门作出的行政处罚，并承担由此引起的一切法律后果。</w:t>
            </w:r>
          </w:p>
        </w:tc>
      </w:tr>
      <w:tr w14:paraId="51B6C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0" w:hRule="atLeast"/>
          <w:jc w:val="center"/>
        </w:trPr>
        <w:tc>
          <w:tcPr>
            <w:tcW w:w="617" w:type="dxa"/>
            <w:noWrap w:val="0"/>
            <w:vAlign w:val="center"/>
          </w:tcPr>
          <w:p w14:paraId="023A9D09">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6</w:t>
            </w:r>
          </w:p>
        </w:tc>
        <w:tc>
          <w:tcPr>
            <w:tcW w:w="1133" w:type="dxa"/>
            <w:noWrap w:val="0"/>
            <w:vAlign w:val="center"/>
          </w:tcPr>
          <w:p w14:paraId="1944E38F">
            <w:pPr>
              <w:pStyle w:val="54"/>
              <w:spacing w:line="380" w:lineRule="exact"/>
              <w:ind w:firstLine="0" w:firstLineChars="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质量承诺书</w:t>
            </w:r>
          </w:p>
        </w:tc>
        <w:tc>
          <w:tcPr>
            <w:tcW w:w="3166" w:type="dxa"/>
            <w:noWrap w:val="0"/>
            <w:vAlign w:val="center"/>
          </w:tcPr>
          <w:p w14:paraId="4FF6D8C2">
            <w:pPr>
              <w:pStyle w:val="27"/>
              <w:spacing w:line="380" w:lineRule="exact"/>
              <w:ind w:firstLine="5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我方保证按照现行的国家和广东省的有关施工技术规范及现行标准，达</w:t>
            </w:r>
            <w:bookmarkStart w:id="380" w:name="_Hlt112573700"/>
            <w:bookmarkEnd w:id="380"/>
            <w:r>
              <w:rPr>
                <w:rFonts w:hint="eastAsia" w:asciiTheme="minorEastAsia" w:hAnsiTheme="minorEastAsia" w:eastAsiaTheme="minorEastAsia" w:cstheme="minorEastAsia"/>
                <w:color w:val="auto"/>
                <w:sz w:val="21"/>
                <w:szCs w:val="21"/>
                <w:highlight w:val="none"/>
              </w:rPr>
              <w:t>到合格标准。</w:t>
            </w:r>
          </w:p>
          <w:p w14:paraId="13AA7B53">
            <w:pPr>
              <w:pStyle w:val="27"/>
              <w:spacing w:line="380" w:lineRule="exact"/>
              <w:ind w:firstLine="560"/>
              <w:rPr>
                <w:rFonts w:hint="eastAsia" w:asciiTheme="minorEastAsia" w:hAnsiTheme="minorEastAsia" w:eastAsiaTheme="minorEastAsia" w:cstheme="minorEastAsia"/>
                <w:color w:val="auto"/>
                <w:sz w:val="21"/>
                <w:szCs w:val="21"/>
                <w:highlight w:val="none"/>
              </w:rPr>
            </w:pPr>
          </w:p>
        </w:tc>
        <w:tc>
          <w:tcPr>
            <w:tcW w:w="5022" w:type="dxa"/>
            <w:noWrap w:val="0"/>
            <w:vAlign w:val="center"/>
          </w:tcPr>
          <w:p w14:paraId="00D973F1">
            <w:pPr>
              <w:pStyle w:val="54"/>
              <w:spacing w:line="380" w:lineRule="exact"/>
              <w:ind w:firstLine="41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若因我方原因，工程在竣工验收或分部分项工程验收时没有达到合格标准</w:t>
            </w:r>
            <w:r>
              <w:rPr>
                <w:rFonts w:hint="eastAsia" w:asciiTheme="minorEastAsia" w:hAnsiTheme="minorEastAsia" w:eastAsiaTheme="minorEastAsia" w:cstheme="minorEastAsia"/>
                <w:color w:val="auto"/>
                <w:sz w:val="21"/>
                <w:szCs w:val="21"/>
                <w:highlight w:val="none"/>
              </w:rPr>
              <w:t>，</w:t>
            </w:r>
            <w:r>
              <w:rPr>
                <w:rFonts w:hint="eastAsia" w:asciiTheme="minorEastAsia" w:hAnsiTheme="minorEastAsia" w:eastAsiaTheme="minorEastAsia" w:cstheme="minorEastAsia"/>
                <w:color w:val="auto"/>
                <w:spacing w:val="-2"/>
                <w:sz w:val="21"/>
                <w:szCs w:val="21"/>
                <w:highlight w:val="none"/>
              </w:rPr>
              <w:t>我方每次（每分部每分项次）验收检查时按</w:t>
            </w:r>
            <w:r>
              <w:rPr>
                <w:rFonts w:hint="eastAsia" w:asciiTheme="minorEastAsia" w:hAnsiTheme="minorEastAsia" w:eastAsiaTheme="minorEastAsia" w:cstheme="minorEastAsia"/>
                <w:color w:val="auto"/>
                <w:sz w:val="21"/>
                <w:szCs w:val="21"/>
                <w:highlight w:val="none"/>
              </w:rPr>
              <w:t>合同价款的</w:t>
            </w:r>
            <w:r>
              <w:rPr>
                <w:rFonts w:hint="eastAsia" w:asciiTheme="minorEastAsia" w:hAnsiTheme="minorEastAsia" w:eastAsiaTheme="minorEastAsia" w:cstheme="minorEastAsia"/>
                <w:color w:val="auto"/>
                <w:sz w:val="21"/>
                <w:szCs w:val="21"/>
                <w:highlight w:val="none"/>
                <w:u w:val="single"/>
              </w:rPr>
              <w:t>1％</w:t>
            </w:r>
            <w:r>
              <w:rPr>
                <w:rFonts w:hint="eastAsia" w:asciiTheme="minorEastAsia" w:hAnsiTheme="minorEastAsia" w:eastAsiaTheme="minorEastAsia" w:cstheme="minorEastAsia"/>
                <w:color w:val="auto"/>
                <w:sz w:val="21"/>
                <w:szCs w:val="21"/>
                <w:highlight w:val="none"/>
              </w:rPr>
              <w:t>向招标人缴纳质量违约金。并达到合格标准为止，同时承担所有的责任及经济损失。</w:t>
            </w:r>
          </w:p>
          <w:p w14:paraId="7CAA5EFF">
            <w:pPr>
              <w:pStyle w:val="54"/>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在建设或监理</w:t>
            </w:r>
            <w:r>
              <w:rPr>
                <w:rFonts w:hint="eastAsia" w:asciiTheme="minorEastAsia" w:hAnsiTheme="minorEastAsia" w:eastAsiaTheme="minorEastAsia" w:cstheme="minorEastAsia"/>
                <w:color w:val="auto"/>
                <w:sz w:val="21"/>
                <w:szCs w:val="24"/>
                <w:highlight w:val="none"/>
                <w:lang w:eastAsia="zh-CN"/>
              </w:rPr>
              <w:t>单位</w:t>
            </w:r>
            <w:r>
              <w:rPr>
                <w:rFonts w:hint="eastAsia" w:asciiTheme="minorEastAsia" w:hAnsiTheme="minorEastAsia" w:eastAsiaTheme="minorEastAsia" w:cstheme="minorEastAsia"/>
                <w:color w:val="auto"/>
                <w:sz w:val="21"/>
                <w:szCs w:val="24"/>
                <w:highlight w:val="none"/>
              </w:rPr>
              <w:t>组织的质量检查中，一次一个分项工程实测或其他项、程序不合格不符合要求的，一次向建设单位交纳质量违约金¥1000元/次项，分部工程不合格的一次、一个分部向建设（委托）单位交纳违约金¥2000元/次、项；</w:t>
            </w:r>
          </w:p>
          <w:p w14:paraId="2E4118B1">
            <w:pPr>
              <w:pStyle w:val="54"/>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在省、市监管部门抽查、巡查、专项、随机检查中，一次一个分项工程实测或其他项、程序不合格不符合要求的，一次向建设（委托）单位交纳质量违约金¥2000元/次项，分部工程不合格的一次、一个分部向建设（委托）单位交纳违约金¥5000元/次、项；</w:t>
            </w:r>
          </w:p>
          <w:p w14:paraId="18E8E3D9">
            <w:pPr>
              <w:pStyle w:val="56"/>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未能在限期内完成质量安全隐患整改的，每逾期一天，向建设单位交纳罚金¥1000元；</w:t>
            </w:r>
          </w:p>
          <w:p w14:paraId="09866128">
            <w:pPr>
              <w:pStyle w:val="56"/>
              <w:spacing w:line="40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未按规定委派专业人员参加检验批、分部分项工程验收，不及时签署验收记录的，一次向建设（委托）单位交纳违约金¥2000元/次、项；</w:t>
            </w:r>
          </w:p>
          <w:p w14:paraId="153FC5C1">
            <w:pPr>
              <w:pStyle w:val="54"/>
              <w:spacing w:line="380" w:lineRule="exact"/>
              <w:ind w:firstLine="420"/>
              <w:rPr>
                <w:rFonts w:hint="eastAsia" w:asciiTheme="minorEastAsia" w:hAnsiTheme="minorEastAsia" w:eastAsiaTheme="minorEastAsia" w:cstheme="minorEastAsia"/>
                <w:color w:val="auto"/>
                <w:sz w:val="21"/>
                <w:szCs w:val="24"/>
                <w:highlight w:val="none"/>
              </w:rPr>
            </w:pPr>
            <w:r>
              <w:rPr>
                <w:rFonts w:hint="eastAsia" w:asciiTheme="minorEastAsia" w:hAnsiTheme="minorEastAsia" w:eastAsiaTheme="minorEastAsia" w:cstheme="minorEastAsia"/>
                <w:color w:val="auto"/>
                <w:sz w:val="21"/>
                <w:szCs w:val="24"/>
                <w:highlight w:val="none"/>
              </w:rPr>
              <w:t>不按规定委派相关人员参加项目竣工验收的，一次向建设单位交纳违约金¥50000元/项，不签署意见的交纳违约金¥50000元。</w:t>
            </w:r>
          </w:p>
        </w:tc>
      </w:tr>
      <w:tr w14:paraId="6DDFA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090" w:hRule="atLeast"/>
          <w:jc w:val="center"/>
        </w:trPr>
        <w:tc>
          <w:tcPr>
            <w:tcW w:w="617" w:type="dxa"/>
            <w:noWrap w:val="0"/>
            <w:vAlign w:val="center"/>
          </w:tcPr>
          <w:p w14:paraId="06E5F1B6">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7</w:t>
            </w:r>
          </w:p>
        </w:tc>
        <w:tc>
          <w:tcPr>
            <w:tcW w:w="1133" w:type="dxa"/>
            <w:noWrap w:val="0"/>
            <w:vAlign w:val="center"/>
          </w:tcPr>
          <w:p w14:paraId="79BBA3F7">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账户承诺</w:t>
            </w:r>
          </w:p>
        </w:tc>
        <w:tc>
          <w:tcPr>
            <w:tcW w:w="3166" w:type="dxa"/>
            <w:noWrap w:val="0"/>
            <w:vAlign w:val="center"/>
          </w:tcPr>
          <w:p w14:paraId="3151AD12">
            <w:pPr>
              <w:pStyle w:val="27"/>
              <w:spacing w:line="380" w:lineRule="exact"/>
              <w:ind w:firstLine="56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我方保证招标人的资金随时可划入合同中规</w:t>
            </w:r>
            <w:bookmarkStart w:id="381" w:name="_Hlt127094672"/>
            <w:bookmarkEnd w:id="381"/>
            <w:r>
              <w:rPr>
                <w:rFonts w:hint="eastAsia" w:asciiTheme="minorEastAsia" w:hAnsiTheme="minorEastAsia" w:eastAsiaTheme="minorEastAsia" w:cstheme="minorEastAsia"/>
                <w:color w:val="auto"/>
                <w:spacing w:val="-2"/>
                <w:sz w:val="21"/>
                <w:szCs w:val="21"/>
                <w:highlight w:val="none"/>
              </w:rPr>
              <w:t>定的我方</w:t>
            </w:r>
            <w:r>
              <w:rPr>
                <w:rFonts w:hint="eastAsia" w:asciiTheme="minorEastAsia" w:hAnsiTheme="minorEastAsia" w:eastAsiaTheme="minorEastAsia" w:cstheme="minorEastAsia"/>
                <w:color w:val="auto"/>
                <w:sz w:val="21"/>
                <w:szCs w:val="21"/>
                <w:highlight w:val="none"/>
              </w:rPr>
              <w:t>账</w:t>
            </w:r>
            <w:r>
              <w:rPr>
                <w:rFonts w:hint="eastAsia" w:asciiTheme="minorEastAsia" w:hAnsiTheme="minorEastAsia" w:eastAsiaTheme="minorEastAsia" w:cstheme="minorEastAsia"/>
                <w:color w:val="auto"/>
                <w:spacing w:val="-2"/>
                <w:sz w:val="21"/>
                <w:szCs w:val="21"/>
                <w:highlight w:val="none"/>
              </w:rPr>
              <w:t>户。</w:t>
            </w:r>
          </w:p>
        </w:tc>
        <w:tc>
          <w:tcPr>
            <w:tcW w:w="5022" w:type="dxa"/>
            <w:noWrap w:val="0"/>
            <w:vAlign w:val="center"/>
          </w:tcPr>
          <w:p w14:paraId="3464764D">
            <w:pPr>
              <w:pStyle w:val="54"/>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若因我方原因造成招标人的资金无法划入合同中规定的我方</w:t>
            </w:r>
            <w:r>
              <w:rPr>
                <w:rFonts w:hint="eastAsia" w:asciiTheme="minorEastAsia" w:hAnsiTheme="minorEastAsia" w:eastAsiaTheme="minorEastAsia" w:cstheme="minorEastAsia"/>
                <w:color w:val="auto"/>
                <w:sz w:val="21"/>
                <w:szCs w:val="21"/>
                <w:highlight w:val="none"/>
              </w:rPr>
              <w:t>账</w:t>
            </w:r>
            <w:r>
              <w:rPr>
                <w:rFonts w:hint="eastAsia" w:asciiTheme="minorEastAsia" w:hAnsiTheme="minorEastAsia" w:eastAsiaTheme="minorEastAsia" w:cstheme="minorEastAsia"/>
                <w:color w:val="auto"/>
                <w:spacing w:val="-2"/>
                <w:sz w:val="21"/>
                <w:szCs w:val="21"/>
                <w:highlight w:val="none"/>
              </w:rPr>
              <w:t>户，如时间达到30日历天，招标人有权终止合同。我方承担由此造成的所有责任及经济损失。</w:t>
            </w:r>
          </w:p>
        </w:tc>
      </w:tr>
      <w:tr w14:paraId="0B2E0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310A16BF">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8</w:t>
            </w:r>
          </w:p>
        </w:tc>
        <w:tc>
          <w:tcPr>
            <w:tcW w:w="1133" w:type="dxa"/>
            <w:noWrap w:val="0"/>
            <w:vAlign w:val="center"/>
          </w:tcPr>
          <w:p w14:paraId="7D1D8DEB">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工程的配合服务承诺</w:t>
            </w:r>
          </w:p>
        </w:tc>
        <w:tc>
          <w:tcPr>
            <w:tcW w:w="3166" w:type="dxa"/>
            <w:noWrap w:val="0"/>
            <w:vAlign w:val="center"/>
          </w:tcPr>
          <w:p w14:paraId="7793620E">
            <w:pPr>
              <w:pStyle w:val="27"/>
              <w:spacing w:line="380" w:lineRule="exact"/>
              <w:ind w:firstLine="56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我方服从业主管理，保证配合与工程承包范围内相关的其他标段（工种、分项）工程施工单位的工程施工，不提出额外增加费用的要求。</w:t>
            </w:r>
          </w:p>
        </w:tc>
        <w:tc>
          <w:tcPr>
            <w:tcW w:w="5022" w:type="dxa"/>
            <w:noWrap w:val="0"/>
            <w:vAlign w:val="center"/>
          </w:tcPr>
          <w:p w14:paraId="3F12A5B3">
            <w:pPr>
              <w:pStyle w:val="54"/>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若因我方未及时配合与工程承包范围内相关的其他标段（工种、分项）工程施工单位的工程施工，给招标人或其他施工单位造成损失的，我方承担所有的责任及经济损失。</w:t>
            </w:r>
          </w:p>
        </w:tc>
      </w:tr>
      <w:tr w14:paraId="66B06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29" w:hRule="atLeast"/>
          <w:jc w:val="center"/>
        </w:trPr>
        <w:tc>
          <w:tcPr>
            <w:tcW w:w="617" w:type="dxa"/>
            <w:noWrap w:val="0"/>
            <w:vAlign w:val="center"/>
          </w:tcPr>
          <w:p w14:paraId="2B158F4D">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9</w:t>
            </w:r>
          </w:p>
        </w:tc>
        <w:tc>
          <w:tcPr>
            <w:tcW w:w="1133" w:type="dxa"/>
            <w:noWrap w:val="0"/>
            <w:vAlign w:val="center"/>
          </w:tcPr>
          <w:p w14:paraId="5DE4C425">
            <w:pPr>
              <w:pStyle w:val="58"/>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中标人员承诺</w:t>
            </w:r>
          </w:p>
        </w:tc>
        <w:tc>
          <w:tcPr>
            <w:tcW w:w="3166" w:type="dxa"/>
            <w:noWrap w:val="0"/>
            <w:vAlign w:val="center"/>
          </w:tcPr>
          <w:p w14:paraId="1F830FC9">
            <w:pPr>
              <w:pStyle w:val="58"/>
              <w:spacing w:line="300" w:lineRule="exact"/>
              <w:ind w:firstLine="412" w:firstLineChars="20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我方保证投标文件中所拟派的中标人员全部配合施工现场管理施工。</w:t>
            </w:r>
          </w:p>
        </w:tc>
        <w:tc>
          <w:tcPr>
            <w:tcW w:w="5022" w:type="dxa"/>
            <w:noWrap w:val="0"/>
            <w:vAlign w:val="center"/>
          </w:tcPr>
          <w:p w14:paraId="7BBF04AE">
            <w:pPr>
              <w:pStyle w:val="59"/>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设计单位未能在招标人通知的时间内（提前一天通知，紧急情况随时通知）参加设计交底、处理有关设计问题、参加必要部位隐蔽验收和竣工验收等工作，每人次交纳违约金</w:t>
            </w:r>
            <w:r>
              <w:rPr>
                <w:rFonts w:hint="eastAsia" w:asciiTheme="minorEastAsia" w:hAnsiTheme="minorEastAsia" w:eastAsiaTheme="minorEastAsia" w:cstheme="minorEastAsia"/>
                <w:color w:val="auto"/>
                <w:sz w:val="21"/>
                <w:highlight w:val="none"/>
              </w:rPr>
              <w:t>¥</w:t>
            </w:r>
            <w:r>
              <w:rPr>
                <w:rFonts w:hint="eastAsia" w:asciiTheme="minorEastAsia" w:hAnsiTheme="minorEastAsia" w:eastAsiaTheme="minorEastAsia" w:cstheme="minorEastAsia"/>
                <w:snapToGrid w:val="0"/>
                <w:color w:val="auto"/>
                <w:sz w:val="21"/>
                <w:szCs w:val="21"/>
                <w:highlight w:val="none"/>
              </w:rPr>
              <w:t>1000元。</w:t>
            </w:r>
          </w:p>
          <w:p w14:paraId="3CF45FA2">
            <w:pPr>
              <w:pStyle w:val="59"/>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驻韶办公的项目负责人（即投标文件所拟派的项目负责人）必须负责本项目设计全过程（包括施工图设计审查、施工图设计修编、预算跟踪服务、图纸会审和技术交底）。项目负责人未准时参加上述环节工作的，每缺席一次交纳违约金</w:t>
            </w:r>
            <w:r>
              <w:rPr>
                <w:rFonts w:hint="eastAsia" w:asciiTheme="minorEastAsia" w:hAnsiTheme="minorEastAsia" w:eastAsiaTheme="minorEastAsia" w:cstheme="minorEastAsia"/>
                <w:color w:val="auto"/>
                <w:sz w:val="21"/>
                <w:highlight w:val="none"/>
              </w:rPr>
              <w:t>¥</w:t>
            </w:r>
            <w:r>
              <w:rPr>
                <w:rFonts w:hint="eastAsia" w:asciiTheme="minorEastAsia" w:hAnsiTheme="minorEastAsia" w:eastAsiaTheme="minorEastAsia" w:cstheme="minorEastAsia"/>
                <w:snapToGrid w:val="0"/>
                <w:color w:val="auto"/>
                <w:sz w:val="21"/>
                <w:szCs w:val="21"/>
                <w:highlight w:val="none"/>
              </w:rPr>
              <w:t>5000元（以招标人发出的违约通知为准）。</w:t>
            </w:r>
          </w:p>
          <w:p w14:paraId="3B9D4F28">
            <w:pPr>
              <w:pStyle w:val="59"/>
              <w:spacing w:line="300" w:lineRule="exact"/>
              <w:ind w:left="0" w:leftChars="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snapToGrid w:val="0"/>
                <w:color w:val="auto"/>
                <w:sz w:val="21"/>
                <w:szCs w:val="21"/>
                <w:highlight w:val="none"/>
              </w:rPr>
              <w:t>设计单位应委派1名参与并熟悉本项目设计任务，有现场处理经验的设计代表常驻项目现场。中标人应为派驻现场的设计工作人员提供工作、生活及交通等方面的便利条件及准备必要的劳动保护装备。在正常施工阶段，每月应保证最少20天在现场。未经招标人书面许可，缺少1天向建设单位每人每天支付违约金¥2000元/天。</w:t>
            </w:r>
          </w:p>
        </w:tc>
      </w:tr>
      <w:tr w14:paraId="0FD01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49" w:hRule="atLeast"/>
          <w:jc w:val="center"/>
        </w:trPr>
        <w:tc>
          <w:tcPr>
            <w:tcW w:w="617" w:type="dxa"/>
            <w:noWrap w:val="0"/>
            <w:vAlign w:val="center"/>
          </w:tcPr>
          <w:p w14:paraId="08F4029D">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10</w:t>
            </w:r>
          </w:p>
        </w:tc>
        <w:tc>
          <w:tcPr>
            <w:tcW w:w="1133" w:type="dxa"/>
            <w:noWrap w:val="0"/>
            <w:vAlign w:val="center"/>
          </w:tcPr>
          <w:p w14:paraId="62927DD0">
            <w:pPr>
              <w:pStyle w:val="54"/>
              <w:spacing w:line="380" w:lineRule="exact"/>
              <w:ind w:firstLine="210" w:firstLineChars="10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项目管理班子人员承诺</w:t>
            </w:r>
          </w:p>
        </w:tc>
        <w:tc>
          <w:tcPr>
            <w:tcW w:w="3166" w:type="dxa"/>
            <w:noWrap w:val="0"/>
            <w:vAlign w:val="center"/>
          </w:tcPr>
          <w:p w14:paraId="561FDC74">
            <w:pPr>
              <w:pStyle w:val="27"/>
              <w:spacing w:line="380" w:lineRule="exact"/>
              <w:ind w:firstLine="560"/>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我方保证投标文件中所拟派的项目经理、技术负责人、施工员、质量员、安全员等工程管理人员全部在施工现场管理施工</w:t>
            </w:r>
          </w:p>
        </w:tc>
        <w:tc>
          <w:tcPr>
            <w:tcW w:w="5022" w:type="dxa"/>
            <w:noWrap w:val="0"/>
            <w:vAlign w:val="center"/>
          </w:tcPr>
          <w:p w14:paraId="16D0B7A0">
            <w:pPr>
              <w:pStyle w:val="54"/>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承诺施工期间如左所叙施工现场管理人员按要求每日办理签到手续，如未经招标人同意未办理签到，向建设单位每人每天支付违约金</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pacing w:val="-2"/>
                <w:sz w:val="21"/>
                <w:szCs w:val="21"/>
                <w:highlight w:val="none"/>
              </w:rPr>
              <w:t>3000元（项目经理未签到每天支付违约金</w:t>
            </w:r>
            <w:r>
              <w:rPr>
                <w:rFonts w:hint="eastAsia" w:asciiTheme="minorEastAsia" w:hAnsiTheme="minorEastAsia" w:eastAsiaTheme="minorEastAsia" w:cstheme="minorEastAsia"/>
                <w:color w:val="auto"/>
                <w:sz w:val="21"/>
                <w:szCs w:val="24"/>
                <w:highlight w:val="none"/>
              </w:rPr>
              <w:t>¥</w:t>
            </w:r>
            <w:r>
              <w:rPr>
                <w:rFonts w:hint="eastAsia" w:asciiTheme="minorEastAsia" w:hAnsiTheme="minorEastAsia" w:eastAsiaTheme="minorEastAsia" w:cstheme="minorEastAsia"/>
                <w:color w:val="auto"/>
                <w:spacing w:val="-2"/>
                <w:sz w:val="21"/>
                <w:szCs w:val="21"/>
                <w:highlight w:val="none"/>
              </w:rPr>
              <w:t>3000元）；</w:t>
            </w:r>
          </w:p>
          <w:p w14:paraId="4669FDC2">
            <w:pPr>
              <w:pStyle w:val="54"/>
              <w:spacing w:line="380" w:lineRule="exact"/>
              <w:ind w:firstLine="412"/>
              <w:rPr>
                <w:rFonts w:hint="eastAsia" w:asciiTheme="minorEastAsia" w:hAnsiTheme="minorEastAsia" w:eastAsiaTheme="minorEastAsia" w:cstheme="minorEastAsia"/>
                <w:color w:val="auto"/>
                <w:spacing w:val="-2"/>
                <w:sz w:val="21"/>
                <w:szCs w:val="21"/>
                <w:highlight w:val="none"/>
              </w:rPr>
            </w:pPr>
            <w:r>
              <w:rPr>
                <w:rFonts w:hint="eastAsia" w:asciiTheme="minorEastAsia" w:hAnsiTheme="minorEastAsia" w:eastAsiaTheme="minorEastAsia" w:cstheme="minorEastAsia"/>
                <w:color w:val="auto"/>
                <w:spacing w:val="-2"/>
                <w:sz w:val="21"/>
                <w:szCs w:val="21"/>
                <w:highlight w:val="none"/>
              </w:rPr>
              <w:t>若我方的投标文件中所拟派的如左所述任何一个管理人员未经招标人或招标人同意擅自离岗，在一个月内达到10次/人，或项目经理、技术负责人在施工过程中每月驻场少于22天的，招标人有权终止合同。我方承担由此造成的所有责任及经济损失。</w:t>
            </w:r>
          </w:p>
        </w:tc>
      </w:tr>
      <w:tr w14:paraId="39846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90" w:hRule="atLeast"/>
          <w:jc w:val="center"/>
        </w:trPr>
        <w:tc>
          <w:tcPr>
            <w:tcW w:w="617" w:type="dxa"/>
            <w:noWrap w:val="0"/>
            <w:vAlign w:val="center"/>
          </w:tcPr>
          <w:p w14:paraId="31FACB85">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11</w:t>
            </w:r>
          </w:p>
        </w:tc>
        <w:tc>
          <w:tcPr>
            <w:tcW w:w="1133" w:type="dxa"/>
            <w:noWrap w:val="0"/>
            <w:vAlign w:val="center"/>
          </w:tcPr>
          <w:p w14:paraId="190A70B9">
            <w:pPr>
              <w:pStyle w:val="54"/>
              <w:spacing w:line="380" w:lineRule="exact"/>
              <w:ind w:firstLine="210" w:firstLineChars="10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对支付农民工工资的承诺</w:t>
            </w:r>
          </w:p>
        </w:tc>
        <w:tc>
          <w:tcPr>
            <w:tcW w:w="3166" w:type="dxa"/>
            <w:noWrap w:val="0"/>
            <w:vAlign w:val="center"/>
          </w:tcPr>
          <w:p w14:paraId="557D18AD">
            <w:pPr>
              <w:pStyle w:val="54"/>
              <w:spacing w:line="380" w:lineRule="exact"/>
              <w:ind w:firstLine="206"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如我方中标，我方无条件同意按照用工合同支付</w:t>
            </w:r>
            <w:r>
              <w:rPr>
                <w:rFonts w:hint="eastAsia" w:asciiTheme="minorEastAsia" w:hAnsiTheme="minorEastAsia" w:eastAsiaTheme="minorEastAsia" w:cstheme="minorEastAsia"/>
                <w:color w:val="auto"/>
                <w:sz w:val="21"/>
                <w:szCs w:val="21"/>
                <w:highlight w:val="none"/>
              </w:rPr>
              <w:t>农民工工资。</w:t>
            </w:r>
          </w:p>
        </w:tc>
        <w:tc>
          <w:tcPr>
            <w:tcW w:w="5022" w:type="dxa"/>
            <w:noWrap w:val="0"/>
            <w:vAlign w:val="center"/>
          </w:tcPr>
          <w:p w14:paraId="0F7AD973">
            <w:pPr>
              <w:pStyle w:val="54"/>
              <w:spacing w:line="380" w:lineRule="exact"/>
              <w:ind w:firstLine="412"/>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如我方中标，我方无条件同意按照用工合同支付</w:t>
            </w:r>
            <w:r>
              <w:rPr>
                <w:rFonts w:hint="eastAsia" w:asciiTheme="minorEastAsia" w:hAnsiTheme="minorEastAsia" w:eastAsiaTheme="minorEastAsia" w:cstheme="minorEastAsia"/>
                <w:color w:val="auto"/>
                <w:sz w:val="21"/>
                <w:szCs w:val="21"/>
                <w:highlight w:val="none"/>
              </w:rPr>
              <w:t>农民工工资。否则，招标人有权终止合同，扣除履约保证金，并由招标人先行垫付农民工被拖欠的工资，数额以未结清的工程数为限。</w:t>
            </w:r>
          </w:p>
        </w:tc>
      </w:tr>
      <w:tr w14:paraId="31F16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30" w:hRule="atLeast"/>
          <w:jc w:val="center"/>
        </w:trPr>
        <w:tc>
          <w:tcPr>
            <w:tcW w:w="617" w:type="dxa"/>
            <w:noWrap w:val="0"/>
            <w:vAlign w:val="center"/>
          </w:tcPr>
          <w:p w14:paraId="30C8C13D">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12</w:t>
            </w:r>
          </w:p>
        </w:tc>
        <w:tc>
          <w:tcPr>
            <w:tcW w:w="1133" w:type="dxa"/>
            <w:noWrap w:val="0"/>
            <w:vAlign w:val="center"/>
          </w:tcPr>
          <w:p w14:paraId="2DC4EF97">
            <w:pPr>
              <w:pStyle w:val="54"/>
              <w:spacing w:line="380" w:lineRule="exact"/>
              <w:ind w:firstLine="210" w:firstLineChars="10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施工组织设计承诺</w:t>
            </w:r>
          </w:p>
        </w:tc>
        <w:tc>
          <w:tcPr>
            <w:tcW w:w="3166" w:type="dxa"/>
            <w:noWrap w:val="0"/>
            <w:vAlign w:val="center"/>
          </w:tcPr>
          <w:p w14:paraId="508665FF">
            <w:pPr>
              <w:pStyle w:val="54"/>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我方保证施工组织设计按照国家省市有关规定进行编写。</w:t>
            </w:r>
          </w:p>
        </w:tc>
        <w:tc>
          <w:tcPr>
            <w:tcW w:w="5022" w:type="dxa"/>
            <w:noWrap w:val="0"/>
            <w:vAlign w:val="center"/>
          </w:tcPr>
          <w:p w14:paraId="68068A1A">
            <w:pPr>
              <w:pStyle w:val="54"/>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如我方的施工组织设计未根据招标项目情况按照国家省市有关规定进行编写的，扣除全部履约保证金。</w:t>
            </w:r>
          </w:p>
        </w:tc>
      </w:tr>
      <w:tr w14:paraId="0BA61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045" w:hRule="atLeast"/>
          <w:jc w:val="center"/>
        </w:trPr>
        <w:tc>
          <w:tcPr>
            <w:tcW w:w="617" w:type="dxa"/>
            <w:noWrap w:val="0"/>
            <w:vAlign w:val="center"/>
          </w:tcPr>
          <w:p w14:paraId="3A004192">
            <w:pPr>
              <w:pStyle w:val="60"/>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13</w:t>
            </w:r>
          </w:p>
        </w:tc>
        <w:tc>
          <w:tcPr>
            <w:tcW w:w="1133" w:type="dxa"/>
            <w:noWrap w:val="0"/>
            <w:vAlign w:val="center"/>
          </w:tcPr>
          <w:p w14:paraId="690B5163">
            <w:pPr>
              <w:pStyle w:val="60"/>
              <w:spacing w:line="30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设计承诺</w:t>
            </w:r>
          </w:p>
        </w:tc>
        <w:tc>
          <w:tcPr>
            <w:tcW w:w="3166" w:type="dxa"/>
            <w:noWrap w:val="0"/>
            <w:vAlign w:val="center"/>
          </w:tcPr>
          <w:p w14:paraId="20C9247B">
            <w:pPr>
              <w:pStyle w:val="61"/>
              <w:spacing w:line="300" w:lineRule="exact"/>
              <w:ind w:left="0" w:leftChars="0" w:firstLine="41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如我方中标，我方保证按设计规范及有关法律法规进行设计，并准时提供设计文件和施工图预算，相应设计文件经审图机构审查通过</w:t>
            </w:r>
            <w:r>
              <w:rPr>
                <w:rFonts w:hint="eastAsia" w:asciiTheme="minorEastAsia" w:hAnsiTheme="minorEastAsia" w:eastAsiaTheme="minorEastAsia" w:cstheme="minorEastAsia"/>
                <w:color w:val="auto"/>
                <w:sz w:val="21"/>
                <w:szCs w:val="21"/>
                <w:highlight w:val="none"/>
              </w:rPr>
              <w:t>。</w:t>
            </w:r>
          </w:p>
        </w:tc>
        <w:tc>
          <w:tcPr>
            <w:tcW w:w="5022" w:type="dxa"/>
            <w:noWrap w:val="0"/>
            <w:vAlign w:val="center"/>
          </w:tcPr>
          <w:p w14:paraId="68762CE2">
            <w:pPr>
              <w:pStyle w:val="61"/>
              <w:spacing w:line="300" w:lineRule="exact"/>
              <w:ind w:left="0" w:leftChars="0" w:firstLine="412"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pacing w:val="-2"/>
                <w:sz w:val="21"/>
                <w:szCs w:val="21"/>
                <w:highlight w:val="none"/>
              </w:rPr>
              <w:t>如我方中标，未能按招标文件要求提供设计文件和施工图预算</w:t>
            </w:r>
            <w:r>
              <w:rPr>
                <w:rFonts w:hint="eastAsia" w:asciiTheme="minorEastAsia" w:hAnsiTheme="minorEastAsia" w:eastAsiaTheme="minorEastAsia" w:cstheme="minorEastAsia"/>
                <w:color w:val="auto"/>
                <w:sz w:val="21"/>
                <w:szCs w:val="21"/>
                <w:highlight w:val="none"/>
              </w:rPr>
              <w:t>，招标人有权终止合同，扣除设计费的10%作为违约罚款，并由招标人另行委托相应资质的单位进行设计，其费用由中标人支付，施工工期不予顺延且不另外计取赶工措施费。</w:t>
            </w:r>
          </w:p>
          <w:p w14:paraId="103951CC">
            <w:pPr>
              <w:pStyle w:val="61"/>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由于设计单位设计工作错误造成工程设计质量事故，根据责任情况，按招标文件及合同相应违约条款的约定处理。负责采取补救措施。</w:t>
            </w:r>
          </w:p>
          <w:p w14:paraId="507DE2CF">
            <w:pPr>
              <w:pStyle w:val="61"/>
              <w:spacing w:line="300" w:lineRule="exact"/>
              <w:ind w:left="0" w:leftChars="0" w:firstLine="420" w:firstLineChars="200"/>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施工期间</w:t>
            </w:r>
            <w:r>
              <w:rPr>
                <w:rFonts w:hint="eastAsia" w:asciiTheme="minorEastAsia" w:hAnsiTheme="minorEastAsia" w:eastAsiaTheme="minorEastAsia" w:cstheme="minorEastAsia"/>
                <w:bCs/>
                <w:snapToGrid w:val="0"/>
                <w:color w:val="auto"/>
                <w:sz w:val="21"/>
                <w:szCs w:val="21"/>
                <w:highlight w:val="none"/>
              </w:rPr>
              <w:t>除招标人要求或特殊地质原因外，</w:t>
            </w:r>
            <w:r>
              <w:rPr>
                <w:rFonts w:hint="eastAsia" w:asciiTheme="minorEastAsia" w:hAnsiTheme="minorEastAsia" w:eastAsiaTheme="minorEastAsia" w:cstheme="minorEastAsia"/>
                <w:snapToGrid w:val="0"/>
                <w:color w:val="auto"/>
                <w:sz w:val="21"/>
                <w:szCs w:val="21"/>
                <w:highlight w:val="none"/>
              </w:rPr>
              <w:t>因设计质量和深度不够的原因引起的工程返工或需要设计变更引起工程造价增加的，每次扣减设计合同价款中设计费的2％，扣完为止。</w:t>
            </w:r>
          </w:p>
          <w:p w14:paraId="06AF348E">
            <w:pPr>
              <w:pStyle w:val="61"/>
              <w:spacing w:line="300" w:lineRule="exact"/>
              <w:ind w:left="0" w:leftChars="0" w:firstLine="420" w:firstLineChars="2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因设计单位自身原因造成工程结算超施工招标中标价的，扣除应付设计合同价款中的余款。</w:t>
            </w:r>
          </w:p>
        </w:tc>
      </w:tr>
      <w:tr w14:paraId="18B81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50" w:hRule="atLeast"/>
          <w:jc w:val="center"/>
        </w:trPr>
        <w:tc>
          <w:tcPr>
            <w:tcW w:w="617" w:type="dxa"/>
            <w:noWrap w:val="0"/>
            <w:vAlign w:val="center"/>
          </w:tcPr>
          <w:p w14:paraId="2CC7BA78">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14</w:t>
            </w:r>
          </w:p>
        </w:tc>
        <w:tc>
          <w:tcPr>
            <w:tcW w:w="1133" w:type="dxa"/>
            <w:noWrap w:val="0"/>
            <w:vAlign w:val="center"/>
          </w:tcPr>
          <w:p w14:paraId="4452E39E">
            <w:pPr>
              <w:pStyle w:val="54"/>
              <w:spacing w:line="38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综合服务能力承诺</w:t>
            </w:r>
          </w:p>
        </w:tc>
        <w:tc>
          <w:tcPr>
            <w:tcW w:w="3166" w:type="dxa"/>
            <w:noWrap w:val="0"/>
            <w:vAlign w:val="center"/>
          </w:tcPr>
          <w:p w14:paraId="469333C9">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我方保证中标后，自行解决施工中遇到的各种外部问题，协调周边企业、村民关系，并承担由此产生</w:t>
            </w:r>
            <w:r>
              <w:rPr>
                <w:rFonts w:hint="eastAsia" w:asciiTheme="minorEastAsia" w:hAnsiTheme="minorEastAsia" w:eastAsiaTheme="minorEastAsia" w:cstheme="minorEastAsia"/>
                <w:color w:val="auto"/>
                <w:sz w:val="21"/>
                <w:szCs w:val="21"/>
                <w:highlight w:val="none"/>
                <w:lang w:eastAsia="zh-CN"/>
              </w:rPr>
              <w:t>的所有责任</w:t>
            </w:r>
            <w:r>
              <w:rPr>
                <w:rFonts w:hint="eastAsia" w:asciiTheme="minorEastAsia" w:hAnsiTheme="minorEastAsia" w:eastAsiaTheme="minorEastAsia" w:cstheme="minorEastAsia"/>
                <w:color w:val="auto"/>
                <w:sz w:val="21"/>
                <w:szCs w:val="21"/>
                <w:highlight w:val="none"/>
              </w:rPr>
              <w:t>及损失。</w:t>
            </w:r>
          </w:p>
        </w:tc>
        <w:tc>
          <w:tcPr>
            <w:tcW w:w="5022" w:type="dxa"/>
            <w:noWrap w:val="0"/>
            <w:vAlign w:val="center"/>
          </w:tcPr>
          <w:p w14:paraId="65F2FB92">
            <w:pPr>
              <w:pStyle w:val="54"/>
              <w:spacing w:line="380" w:lineRule="exact"/>
              <w:ind w:firstLine="42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若我方未能按招标文件所承诺的各项承诺完成时，我方同意按比例扣除相应履约保证金，并承担由此引起的所有责任。</w:t>
            </w:r>
          </w:p>
        </w:tc>
      </w:tr>
      <w:tr w14:paraId="5499A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810" w:hRule="atLeast"/>
          <w:jc w:val="center"/>
        </w:trPr>
        <w:tc>
          <w:tcPr>
            <w:tcW w:w="617" w:type="dxa"/>
            <w:noWrap w:val="0"/>
            <w:vAlign w:val="center"/>
          </w:tcPr>
          <w:p w14:paraId="5FAF6A75">
            <w:pPr>
              <w:pStyle w:val="27"/>
              <w:spacing w:line="380" w:lineRule="exact"/>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15</w:t>
            </w:r>
          </w:p>
        </w:tc>
        <w:tc>
          <w:tcPr>
            <w:tcW w:w="1133" w:type="dxa"/>
            <w:noWrap w:val="0"/>
            <w:vAlign w:val="center"/>
          </w:tcPr>
          <w:p w14:paraId="0E1CDFE2">
            <w:pPr>
              <w:pStyle w:val="54"/>
              <w:spacing w:line="380" w:lineRule="exact"/>
              <w:ind w:firstLine="210" w:firstLineChars="10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廉政承诺</w:t>
            </w:r>
          </w:p>
        </w:tc>
        <w:tc>
          <w:tcPr>
            <w:tcW w:w="3166" w:type="dxa"/>
            <w:noWrap w:val="0"/>
            <w:vAlign w:val="center"/>
          </w:tcPr>
          <w:p w14:paraId="2AE4CE01">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如我方中标，我方将严格执行国家、广东省、韶关市有关工程建设廉政的有关法律法规及双方签订的廉政合同。</w:t>
            </w:r>
          </w:p>
        </w:tc>
        <w:tc>
          <w:tcPr>
            <w:tcW w:w="5022" w:type="dxa"/>
            <w:noWrap w:val="0"/>
            <w:vAlign w:val="center"/>
          </w:tcPr>
          <w:p w14:paraId="663FD5D8">
            <w:pPr>
              <w:pStyle w:val="54"/>
              <w:spacing w:line="38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违反国家、广东省、韶关市有关工程建设廉政的有关法律法规及双方签订的廉政合同，受到相关主管部门的通报或查处，招标人可按规定对我方进行处罚，情节严重时招标人可终止合同，我方承担由此造成的所有责任和经济损失。</w:t>
            </w:r>
          </w:p>
        </w:tc>
      </w:tr>
      <w:tr w14:paraId="19CF4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904" w:hRule="atLeast"/>
          <w:jc w:val="center"/>
        </w:trPr>
        <w:tc>
          <w:tcPr>
            <w:tcW w:w="617" w:type="dxa"/>
            <w:noWrap w:val="0"/>
            <w:vAlign w:val="center"/>
          </w:tcPr>
          <w:p w14:paraId="3F92BDAC">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16</w:t>
            </w:r>
          </w:p>
        </w:tc>
        <w:tc>
          <w:tcPr>
            <w:tcW w:w="1133" w:type="dxa"/>
            <w:noWrap w:val="0"/>
            <w:vAlign w:val="center"/>
          </w:tcPr>
          <w:p w14:paraId="5162706A">
            <w:pPr>
              <w:pStyle w:val="54"/>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投标文件</w:t>
            </w:r>
          </w:p>
          <w:p w14:paraId="41422C10">
            <w:pPr>
              <w:pStyle w:val="54"/>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信息公开承诺</w:t>
            </w:r>
          </w:p>
        </w:tc>
        <w:tc>
          <w:tcPr>
            <w:tcW w:w="3166" w:type="dxa"/>
            <w:noWrap w:val="0"/>
            <w:vAlign w:val="center"/>
          </w:tcPr>
          <w:p w14:paraId="500AC3A7">
            <w:pPr>
              <w:pStyle w:val="54"/>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我方提供完整的电子文件。如</w:t>
            </w:r>
            <w:r>
              <w:rPr>
                <w:rFonts w:hint="eastAsia" w:asciiTheme="minorEastAsia" w:hAnsiTheme="minorEastAsia" w:eastAsiaTheme="minorEastAsia" w:cstheme="minorEastAsia"/>
                <w:color w:val="auto"/>
                <w:sz w:val="21"/>
                <w:szCs w:val="21"/>
                <w:highlight w:val="none"/>
                <w:lang w:eastAsia="zh-CN"/>
              </w:rPr>
              <w:t>果</w:t>
            </w:r>
            <w:r>
              <w:rPr>
                <w:rFonts w:hint="eastAsia" w:asciiTheme="minorEastAsia" w:hAnsiTheme="minorEastAsia" w:eastAsiaTheme="minorEastAsia" w:cstheme="minorEastAsia"/>
                <w:color w:val="auto"/>
                <w:sz w:val="21"/>
                <w:szCs w:val="21"/>
                <w:highlight w:val="none"/>
              </w:rPr>
              <w:t>我方成为本项目中标候选人，我方同意并授权招标人</w:t>
            </w:r>
            <w:r>
              <w:rPr>
                <w:rFonts w:hint="eastAsia" w:asciiTheme="minorEastAsia" w:hAnsiTheme="minorEastAsia" w:eastAsiaTheme="minorEastAsia" w:cstheme="minorEastAsia"/>
                <w:color w:val="auto"/>
                <w:sz w:val="21"/>
                <w:szCs w:val="21"/>
                <w:highlight w:val="none"/>
                <w:lang w:eastAsia="zh-CN"/>
              </w:rPr>
              <w:t>在评标结果公示期内公开</w:t>
            </w:r>
            <w:r>
              <w:rPr>
                <w:rFonts w:hint="eastAsia" w:asciiTheme="minorEastAsia" w:hAnsiTheme="minorEastAsia" w:eastAsiaTheme="minorEastAsia" w:cstheme="minorEastAsia"/>
                <w:color w:val="auto"/>
                <w:sz w:val="21"/>
                <w:szCs w:val="21"/>
                <w:highlight w:val="none"/>
              </w:rPr>
              <w:t>我方商务部分的</w:t>
            </w:r>
            <w:r>
              <w:rPr>
                <w:rFonts w:hint="eastAsia" w:asciiTheme="minorEastAsia" w:hAnsiTheme="minorEastAsia" w:eastAsiaTheme="minorEastAsia" w:cstheme="minorEastAsia"/>
                <w:color w:val="auto"/>
                <w:sz w:val="21"/>
                <w:szCs w:val="21"/>
                <w:highlight w:val="none"/>
                <w:lang w:eastAsia="zh-CN"/>
              </w:rPr>
              <w:t>全部</w:t>
            </w:r>
            <w:r>
              <w:rPr>
                <w:rFonts w:hint="eastAsia" w:asciiTheme="minorEastAsia" w:hAnsiTheme="minorEastAsia" w:eastAsiaTheme="minorEastAsia" w:cstheme="minorEastAsia"/>
                <w:color w:val="auto"/>
                <w:sz w:val="21"/>
                <w:szCs w:val="21"/>
                <w:highlight w:val="none"/>
              </w:rPr>
              <w:t>内容。</w:t>
            </w:r>
          </w:p>
        </w:tc>
        <w:tc>
          <w:tcPr>
            <w:tcW w:w="5022" w:type="dxa"/>
            <w:noWrap w:val="0"/>
            <w:vAlign w:val="center"/>
            <mc:AlternateContent>
              <mc:Choice Requires="wpsCustomData">
                <wpsCustomData:diagonals>
                  <wpsCustomData:diagonal from="20000" to="0">
                    <wpsCustomData:border w:val="single" w:color="auto" w:sz="4" w:space="0"/>
                  </wpsCustomData:diagonal>
                </wpsCustomData:diagonals>
              </mc:Choice>
            </mc:AlternateContent>
          </w:tcPr>
          <w:p w14:paraId="3D55A9B2">
            <w:pPr>
              <w:pStyle w:val="54"/>
              <w:snapToGrid w:val="0"/>
              <w:spacing w:line="240" w:lineRule="auto"/>
              <w:ind w:left="0" w:leftChars="0" w:firstLine="0" w:firstLineChars="0"/>
              <mc:AlternateContent>
                <mc:Choice Requires="wpsCustomData">
                  <wpsCustomData:diagonalParaType/>
                </mc:Choice>
              </mc:AlternateContent>
              <w:rPr>
                <w:rFonts w:hint="eastAsia" w:asciiTheme="minorEastAsia" w:hAnsiTheme="minorEastAsia" w:eastAsiaTheme="minorEastAsia" w:cstheme="minorEastAsia"/>
                <w:color w:val="auto"/>
                <w:sz w:val="21"/>
                <w:szCs w:val="21"/>
                <w:highlight w:val="none"/>
              </w:rPr>
            </w:pPr>
          </w:p>
          <w:p w14:paraId="0A7F2629">
            <w:pPr>
              <w:pStyle w:val="54"/>
              <w:snapToGrid w:val="0"/>
              <w:spacing w:line="400" w:lineRule="exact"/>
              <w:ind w:left="0" w:leftChars="0" w:firstLine="0" w:firstLineChars="0"/>
              <w:rPr>
                <w:rFonts w:hint="eastAsia" w:asciiTheme="minorEastAsia" w:hAnsiTheme="minorEastAsia" w:eastAsiaTheme="minorEastAsia" w:cstheme="minorEastAsia"/>
                <w:color w:val="auto"/>
                <w:sz w:val="21"/>
                <w:szCs w:val="21"/>
                <w:highlight w:val="none"/>
              </w:rPr>
            </w:pPr>
          </w:p>
        </w:tc>
      </w:tr>
      <w:tr w14:paraId="07E379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1" w:hRule="atLeast"/>
          <w:jc w:val="center"/>
        </w:trPr>
        <w:tc>
          <w:tcPr>
            <w:tcW w:w="617" w:type="dxa"/>
            <w:noWrap w:val="0"/>
            <w:vAlign w:val="center"/>
          </w:tcPr>
          <w:p w14:paraId="650F0671">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17</w:t>
            </w:r>
          </w:p>
        </w:tc>
        <w:tc>
          <w:tcPr>
            <w:tcW w:w="1133" w:type="dxa"/>
            <w:noWrap w:val="0"/>
            <w:vAlign w:val="center"/>
          </w:tcPr>
          <w:p w14:paraId="27709494">
            <w:pPr>
              <w:pStyle w:val="54"/>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质量安全受检承诺</w:t>
            </w:r>
          </w:p>
        </w:tc>
        <w:tc>
          <w:tcPr>
            <w:tcW w:w="3166" w:type="dxa"/>
            <w:noWrap w:val="0"/>
            <w:vAlign w:val="center"/>
          </w:tcPr>
          <w:p w14:paraId="1874ED85">
            <w:pPr>
              <w:pStyle w:val="54"/>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若我方中标，我方承诺本项目在建设过程中，设计及施工的质量安全等相关实施内容按照业主单位、发包单位的相关管理规定和质量安全考核要求，随时接受业主单位、发包单位自行或委托的第三方的监督检查及考核，我方保证无条件配合。</w:t>
            </w:r>
          </w:p>
        </w:tc>
        <w:tc>
          <w:tcPr>
            <w:tcW w:w="5022" w:type="dxa"/>
            <w:noWrap w:val="0"/>
            <w:vAlign w:val="center"/>
          </w:tcPr>
          <w:p w14:paraId="4A5239BF">
            <w:pPr>
              <w:pStyle w:val="54"/>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如我方不配合或未通过相关的监督检查及考核，我方承诺接受业主单位、发包单位的相关管理规定和处罚，并承担相应的责任。</w:t>
            </w:r>
          </w:p>
        </w:tc>
      </w:tr>
      <w:tr w14:paraId="3FB1F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346" w:hRule="atLeast"/>
          <w:jc w:val="center"/>
        </w:trPr>
        <w:tc>
          <w:tcPr>
            <w:tcW w:w="617" w:type="dxa"/>
            <w:noWrap w:val="0"/>
            <w:vAlign w:val="center"/>
          </w:tcPr>
          <w:p w14:paraId="6C9BD5CE">
            <w:pPr>
              <w:pStyle w:val="7"/>
              <w:spacing w:line="380" w:lineRule="exact"/>
              <w:jc w:val="center"/>
              <w:rPr>
                <w:rFonts w:hint="eastAsia" w:asciiTheme="minorEastAsia" w:hAnsiTheme="minorEastAsia" w:eastAsiaTheme="minorEastAsia" w:cstheme="minorEastAsia"/>
                <w:color w:val="auto"/>
                <w:sz w:val="24"/>
                <w:szCs w:val="21"/>
                <w:highlight w:val="none"/>
                <w:lang w:val="en-US" w:eastAsia="zh-CN"/>
              </w:rPr>
            </w:pPr>
            <w:r>
              <w:rPr>
                <w:rFonts w:hint="eastAsia" w:asciiTheme="minorEastAsia" w:hAnsiTheme="minorEastAsia" w:eastAsiaTheme="minorEastAsia" w:cstheme="minorEastAsia"/>
                <w:color w:val="auto"/>
                <w:sz w:val="24"/>
                <w:szCs w:val="21"/>
                <w:highlight w:val="none"/>
                <w:lang w:val="en-US" w:eastAsia="zh-CN"/>
              </w:rPr>
              <w:t>18</w:t>
            </w:r>
          </w:p>
        </w:tc>
        <w:tc>
          <w:tcPr>
            <w:tcW w:w="1133" w:type="dxa"/>
            <w:noWrap w:val="0"/>
            <w:vAlign w:val="center"/>
          </w:tcPr>
          <w:p w14:paraId="69EB4293">
            <w:pPr>
              <w:pStyle w:val="54"/>
              <w:snapToGrid w:val="0"/>
              <w:spacing w:line="400" w:lineRule="exact"/>
              <w:ind w:firstLine="0" w:firstLineChars="0"/>
              <w:jc w:val="center"/>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对工程预付款的使用承诺</w:t>
            </w:r>
          </w:p>
        </w:tc>
        <w:tc>
          <w:tcPr>
            <w:tcW w:w="3166" w:type="dxa"/>
            <w:noWrap w:val="0"/>
            <w:vAlign w:val="center"/>
          </w:tcPr>
          <w:p w14:paraId="72D87B1A">
            <w:pPr>
              <w:pStyle w:val="54"/>
              <w:snapToGrid w:val="0"/>
              <w:spacing w:line="400" w:lineRule="exact"/>
              <w:ind w:firstLine="420"/>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我方保证工程预付款用于主要建筑材料的备料及支付工人工资。</w:t>
            </w:r>
          </w:p>
        </w:tc>
        <w:tc>
          <w:tcPr>
            <w:tcW w:w="5022" w:type="dxa"/>
            <w:noWrap w:val="0"/>
            <w:vAlign w:val="center"/>
          </w:tcPr>
          <w:p w14:paraId="2C61D731">
            <w:pPr>
              <w:pStyle w:val="54"/>
              <w:snapToGrid w:val="0"/>
              <w:spacing w:line="400" w:lineRule="exact"/>
              <w:ind w:firstLine="420"/>
              <w:jc w:val="left"/>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highlight w:val="none"/>
              </w:rPr>
              <w:pict>
                <v:line id="直线 18" o:spid="_x0000_s1030" o:spt="20" style="position:absolute;left:0pt;flip:y;margin-left:1.2pt;margin-top:3.95pt;height:64.25pt;width:240.6pt;z-index:251663360;mso-width-relative:page;mso-height-relative:page;" filled="f" stroked="t" coordsize="21600,21600" o:gfxdata="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EE8N8HVAAAABwEAAA8AAAAAAAAAAQAgAAAAIgAAAGRycy9kb3ducmV2LnhtbFBLAQIUABQA&#10;AAAIAIdO4kDSQgNq8wEAAOsDAAAOAAAAAAAAAAEAIAAAACQBAABkcnMvZTJvRG9jLnhtbFBLBQYA&#10;AAAABgAGAFkBAACJBQAAAAA=&#10;">
                  <v:path arrowok="t"/>
                  <v:fill on="f" focussize="0,0"/>
                  <v:stroke color="#000000" joinstyle="round"/>
                  <v:imagedata o:title=""/>
                  <o:lock v:ext="edit" aspectratio="f"/>
                </v:line>
              </w:pict>
            </w:r>
          </w:p>
        </w:tc>
      </w:tr>
    </w:tbl>
    <w:p w14:paraId="41FD830C">
      <w:pPr>
        <w:pStyle w:val="62"/>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注：所有违约金均从中标人的进度款中扣除，最终结算以扣除违约金总数后的金额为准。</w:t>
      </w:r>
    </w:p>
    <w:p w14:paraId="0021C141">
      <w:pPr>
        <w:pStyle w:val="27"/>
        <w:spacing w:line="400" w:lineRule="exact"/>
        <w:jc w:val="left"/>
        <w:rPr>
          <w:rFonts w:hint="eastAsia" w:asciiTheme="minorEastAsia" w:hAnsiTheme="minorEastAsia" w:eastAsiaTheme="minorEastAsia" w:cstheme="minorEastAsia"/>
          <w:color w:val="auto"/>
          <w:szCs w:val="24"/>
          <w:highlight w:val="none"/>
        </w:rPr>
      </w:pPr>
    </w:p>
    <w:p w14:paraId="5FC7E220">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投标人：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（盖单位章）</w:t>
      </w:r>
    </w:p>
    <w:p w14:paraId="234937B0">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p>
    <w:p w14:paraId="05AC622E">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法定代表人或其委托代理人：</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（签字或盖章）</w:t>
      </w:r>
    </w:p>
    <w:p w14:paraId="40895191">
      <w:pPr>
        <w:pStyle w:val="12"/>
        <w:wordWrap w:val="0"/>
        <w:adjustRightInd w:val="0"/>
        <w:snapToGrid w:val="0"/>
        <w:spacing w:line="420" w:lineRule="exact"/>
        <w:ind w:firstLine="480" w:firstLineChars="200"/>
        <w:jc w:val="right"/>
        <w:rPr>
          <w:rFonts w:hint="eastAsia" w:ascii="宋体" w:hAnsi="宋体" w:eastAsia="宋体" w:cs="宋体"/>
          <w:snapToGrid w:val="0"/>
          <w:color w:val="auto"/>
          <w:kern w:val="0"/>
          <w:sz w:val="24"/>
          <w:szCs w:val="24"/>
          <w:highlight w:val="none"/>
        </w:rPr>
      </w:pPr>
      <w:r>
        <w:rPr>
          <w:rFonts w:hint="eastAsia" w:ascii="宋体" w:hAnsi="宋体" w:eastAsia="宋体" w:cs="宋体"/>
          <w:snapToGrid w:val="0"/>
          <w:color w:val="auto"/>
          <w:kern w:val="0"/>
          <w:sz w:val="24"/>
          <w:szCs w:val="24"/>
          <w:highlight w:val="none"/>
        </w:rPr>
        <w:t xml:space="preserve">                     </w:t>
      </w:r>
    </w:p>
    <w:p w14:paraId="384DC2F6">
      <w:pPr>
        <w:widowControl/>
        <w:jc w:val="right"/>
        <w:rPr>
          <w:rFonts w:hint="eastAsia" w:asciiTheme="minorEastAsia" w:hAnsiTheme="minorEastAsia" w:eastAsiaTheme="minorEastAsia" w:cstheme="minorEastAsia"/>
          <w:b/>
          <w:bCs/>
          <w:snapToGrid w:val="0"/>
          <w:color w:val="auto"/>
          <w:kern w:val="0"/>
          <w:szCs w:val="24"/>
          <w:highlight w:val="none"/>
        </w:rPr>
      </w:pPr>
      <w:r>
        <w:rPr>
          <w:rFonts w:hint="eastAsia" w:ascii="宋体" w:hAnsi="宋体" w:eastAsia="宋体" w:cs="宋体"/>
          <w:snapToGrid w:val="0"/>
          <w:color w:val="auto"/>
          <w:kern w:val="0"/>
          <w:sz w:val="24"/>
          <w:szCs w:val="24"/>
          <w:highlight w:val="none"/>
        </w:rPr>
        <w:t xml:space="preserve">        </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年</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月</w:t>
      </w:r>
      <w:r>
        <w:rPr>
          <w:rFonts w:hint="eastAsia" w:ascii="宋体" w:hAnsi="宋体" w:eastAsia="宋体" w:cs="宋体"/>
          <w:snapToGrid w:val="0"/>
          <w:color w:val="auto"/>
          <w:kern w:val="0"/>
          <w:sz w:val="24"/>
          <w:szCs w:val="24"/>
          <w:highlight w:val="none"/>
          <w:u w:val="single"/>
        </w:rPr>
        <w:t xml:space="preserve">    </w:t>
      </w:r>
      <w:r>
        <w:rPr>
          <w:rFonts w:hint="eastAsia" w:ascii="宋体" w:hAnsi="宋体" w:eastAsia="宋体" w:cs="宋体"/>
          <w:snapToGrid w:val="0"/>
          <w:color w:val="auto"/>
          <w:kern w:val="0"/>
          <w:sz w:val="24"/>
          <w:szCs w:val="24"/>
          <w:highlight w:val="none"/>
        </w:rPr>
        <w:t>日</w:t>
      </w:r>
      <w:r>
        <w:rPr>
          <w:rFonts w:hint="eastAsia" w:asciiTheme="minorEastAsia" w:hAnsiTheme="minorEastAsia" w:eastAsiaTheme="minorEastAsia" w:cstheme="minorEastAsia"/>
          <w:b/>
          <w:bCs/>
          <w:snapToGrid w:val="0"/>
          <w:color w:val="auto"/>
          <w:kern w:val="0"/>
          <w:szCs w:val="24"/>
          <w:highlight w:val="none"/>
        </w:rPr>
        <w:br w:type="page"/>
      </w:r>
    </w:p>
    <w:p w14:paraId="5E7CDF46">
      <w:pPr>
        <w:pStyle w:val="3"/>
        <w:spacing w:before="120"/>
        <w:rPr>
          <w:rFonts w:hint="eastAsia" w:asciiTheme="minorEastAsia" w:hAnsiTheme="minorEastAsia" w:eastAsiaTheme="minorEastAsia" w:cstheme="minorEastAsia"/>
          <w:b/>
          <w:bCs/>
          <w:color w:val="auto"/>
          <w:szCs w:val="24"/>
          <w:highlight w:val="none"/>
        </w:rPr>
      </w:pPr>
      <w:bookmarkStart w:id="382" w:name="_Toc30764"/>
      <w:bookmarkStart w:id="383" w:name="_Toc6896"/>
      <w:bookmarkStart w:id="384" w:name="_Toc19430"/>
      <w:bookmarkStart w:id="385" w:name="_Toc30463"/>
      <w:bookmarkStart w:id="386" w:name="_Toc10981"/>
      <w:r>
        <w:rPr>
          <w:rFonts w:hint="eastAsia" w:asciiTheme="minorEastAsia" w:hAnsiTheme="minorEastAsia" w:eastAsiaTheme="minorEastAsia" w:cstheme="minorEastAsia"/>
          <w:b/>
          <w:bCs/>
          <w:color w:val="auto"/>
          <w:szCs w:val="24"/>
          <w:highlight w:val="none"/>
        </w:rPr>
        <w:t>格式四 授权委托书</w:t>
      </w:r>
      <w:bookmarkEnd w:id="382"/>
      <w:bookmarkEnd w:id="383"/>
      <w:bookmarkEnd w:id="384"/>
      <w:bookmarkEnd w:id="385"/>
      <w:bookmarkEnd w:id="386"/>
    </w:p>
    <w:p w14:paraId="636CC32C">
      <w:pPr>
        <w:wordWrap w:val="0"/>
        <w:adjustRightInd w:val="0"/>
        <w:snapToGrid w:val="0"/>
        <w:spacing w:line="440" w:lineRule="exact"/>
        <w:rPr>
          <w:rFonts w:hint="eastAsia" w:asciiTheme="minorEastAsia" w:hAnsiTheme="minorEastAsia" w:eastAsiaTheme="minorEastAsia" w:cstheme="minorEastAsia"/>
          <w:b/>
          <w:bCs/>
          <w:snapToGrid w:val="0"/>
          <w:color w:val="auto"/>
          <w:kern w:val="0"/>
          <w:szCs w:val="24"/>
          <w:highlight w:val="none"/>
        </w:rPr>
      </w:pPr>
    </w:p>
    <w:p w14:paraId="17368C82">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授权委托书</w:t>
      </w:r>
    </w:p>
    <w:p w14:paraId="753673AD">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6ABA47D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本人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（投标人名称）的法定代表人，现委托</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（姓名）为我方代理人。代理人根据授权，以我方名义签署、澄清、说明、补正、递交、撤回、修改</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（项目名称）投标文件、签订合同和处理有关事宜，其法律后果由我方承担。</w:t>
      </w:r>
    </w:p>
    <w:p w14:paraId="52FE65CF">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委托期限：至</w:t>
      </w:r>
      <w:r>
        <w:rPr>
          <w:rFonts w:hint="eastAsia" w:asciiTheme="minorEastAsia" w:hAnsiTheme="minorEastAsia" w:eastAsiaTheme="minorEastAsia" w:cstheme="minorEastAsia"/>
          <w:snapToGrid w:val="0"/>
          <w:color w:val="auto"/>
          <w:kern w:val="0"/>
          <w:szCs w:val="24"/>
          <w:highlight w:val="none"/>
          <w:u w:val="single"/>
        </w:rPr>
        <w:t xml:space="preserve">     年   月   日</w:t>
      </w:r>
      <w:r>
        <w:rPr>
          <w:rFonts w:hint="eastAsia" w:asciiTheme="minorEastAsia" w:hAnsiTheme="minorEastAsia" w:eastAsiaTheme="minorEastAsia" w:cstheme="minorEastAsia"/>
          <w:i/>
          <w:iCs/>
          <w:snapToGrid w:val="0"/>
          <w:color w:val="auto"/>
          <w:kern w:val="0"/>
          <w:szCs w:val="24"/>
          <w:highlight w:val="none"/>
          <w:u w:val="single"/>
        </w:rPr>
        <w:t>（不得短于招标文件规定的投标有效期）</w:t>
      </w:r>
      <w:r>
        <w:rPr>
          <w:rFonts w:hint="eastAsia" w:asciiTheme="minorEastAsia" w:hAnsiTheme="minorEastAsia" w:eastAsiaTheme="minorEastAsia" w:cstheme="minorEastAsia"/>
          <w:snapToGrid w:val="0"/>
          <w:color w:val="auto"/>
          <w:kern w:val="0"/>
          <w:szCs w:val="24"/>
          <w:highlight w:val="none"/>
        </w:rPr>
        <w:t xml:space="preserve"> 。</w:t>
      </w:r>
    </w:p>
    <w:p w14:paraId="4B8C532A">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代理人无转委托权。</w:t>
      </w:r>
    </w:p>
    <w:p w14:paraId="4E3E898C">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25296F59">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258FA73F">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  标  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1BE292EA">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47CABEAA">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04856C78">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p>
    <w:p w14:paraId="7A81B9C1">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2E702817">
      <w:pPr>
        <w:wordWrap w:val="0"/>
        <w:adjustRightInd w:val="0"/>
        <w:snapToGrid w:val="0"/>
        <w:spacing w:line="440" w:lineRule="exact"/>
        <w:ind w:firstLine="480" w:firstLineChars="200"/>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18B61606">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7D6F1DED">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63DB4935">
      <w:pPr>
        <w:wordWrap w:val="0"/>
        <w:adjustRightInd w:val="0"/>
        <w:snapToGrid w:val="0"/>
        <w:spacing w:line="440" w:lineRule="exact"/>
        <w:ind w:firstLine="480" w:firstLineChars="200"/>
        <w:rPr>
          <w:rFonts w:hint="eastAsia" w:asciiTheme="minorEastAsia" w:hAnsiTheme="minorEastAsia" w:eastAsiaTheme="minorEastAsia" w:cstheme="minorEastAsia"/>
          <w:snapToGrid w:val="0"/>
          <w:color w:val="auto"/>
          <w:kern w:val="0"/>
          <w:szCs w:val="24"/>
          <w:highlight w:val="none"/>
        </w:rPr>
      </w:pPr>
    </w:p>
    <w:p w14:paraId="74969544">
      <w:pPr>
        <w:wordWrap w:val="0"/>
        <w:adjustRightInd w:val="0"/>
        <w:snapToGrid w:val="0"/>
        <w:ind w:firstLine="5520" w:firstLineChars="23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u w:val="single"/>
        </w:rPr>
        <w:pict>
          <v:shape id="_x0000_s1028" o:spid="_x0000_s1028" o:spt="176" type="#_x0000_t176" style="position:absolute;left:0pt;margin-left:115.5pt;margin-top:2.6pt;height:124.75pt;width:251.25pt;z-index:251662336;mso-width-relative:page;mso-height-relative:page;" coordsize="21600,21600" o:gfxdata="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">
            <v:path/>
            <v:fill focussize="0,0"/>
            <v:stroke joinstyle="miter"/>
            <v:imagedata o:title=""/>
            <o:lock v:ext="edit"/>
            <v:textbox>
              <w:txbxContent>
                <w:p w14:paraId="27A92D20">
                  <w:pPr>
                    <w:jc w:val="center"/>
                    <w:rPr>
                      <w:rFonts w:hint="default"/>
                      <w:szCs w:val="21"/>
                    </w:rPr>
                  </w:pPr>
                </w:p>
                <w:p w14:paraId="2F07BCC0">
                  <w:pPr>
                    <w:jc w:val="center"/>
                    <w:rPr>
                      <w:rFonts w:hint="default"/>
                      <w:szCs w:val="21"/>
                    </w:rPr>
                  </w:pPr>
                </w:p>
                <w:p w14:paraId="06D01878">
                  <w:pPr>
                    <w:jc w:val="center"/>
                    <w:rPr>
                      <w:rFonts w:hint="default"/>
                      <w:szCs w:val="21"/>
                    </w:rPr>
                  </w:pPr>
                </w:p>
                <w:p w14:paraId="306CF8BF">
                  <w:pPr>
                    <w:jc w:val="center"/>
                    <w:rPr>
                      <w:rFonts w:hint="default"/>
                      <w:szCs w:val="21"/>
                    </w:rPr>
                  </w:pPr>
                  <w:r>
                    <w:rPr>
                      <w:szCs w:val="21"/>
                    </w:rPr>
                    <w:t>委托代理人身份证彩色扫描件正、反面</w:t>
                  </w:r>
                </w:p>
              </w:txbxContent>
            </v:textbox>
          </v:shape>
        </w:pict>
      </w:r>
    </w:p>
    <w:p w14:paraId="21E4B832">
      <w:pPr>
        <w:pStyle w:val="8"/>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437AC7D4">
      <w:pPr>
        <w:rPr>
          <w:rFonts w:hint="eastAsia" w:asciiTheme="minorEastAsia" w:hAnsiTheme="minorEastAsia" w:eastAsiaTheme="minorEastAsia" w:cstheme="minorEastAsia"/>
          <w:color w:val="auto"/>
          <w:szCs w:val="24"/>
          <w:highlight w:val="none"/>
        </w:rPr>
      </w:pPr>
    </w:p>
    <w:p w14:paraId="1B125840">
      <w:pPr>
        <w:wordWrap w:val="0"/>
        <w:adjustRightInd w:val="0"/>
        <w:snapToGrid w:val="0"/>
        <w:rPr>
          <w:rFonts w:hint="eastAsia" w:asciiTheme="minorEastAsia" w:hAnsiTheme="minorEastAsia" w:eastAsiaTheme="minorEastAsia" w:cstheme="minorEastAsia"/>
          <w:snapToGrid w:val="0"/>
          <w:color w:val="auto"/>
          <w:kern w:val="0"/>
          <w:szCs w:val="24"/>
          <w:highlight w:val="none"/>
        </w:rPr>
        <w:sectPr>
          <w:headerReference r:id="rId8" w:type="default"/>
          <w:footerReference r:id="rId9" w:type="default"/>
          <w:endnotePr>
            <w:numFmt w:val="decimal"/>
          </w:endnotePr>
          <w:pgSz w:w="11906" w:h="16838"/>
          <w:pgMar w:top="1701" w:right="1531" w:bottom="1417" w:left="1531" w:header="850" w:footer="737" w:gutter="0"/>
          <w:pgNumType w:fmt="decimal"/>
          <w:cols w:space="720" w:num="1"/>
          <w:docGrid w:linePitch="327" w:charSpace="0"/>
        </w:sectPr>
      </w:pPr>
    </w:p>
    <w:p w14:paraId="45CFF942">
      <w:pPr>
        <w:pStyle w:val="3"/>
        <w:spacing w:before="120"/>
        <w:rPr>
          <w:rFonts w:hint="eastAsia" w:asciiTheme="minorEastAsia" w:hAnsiTheme="minorEastAsia" w:eastAsiaTheme="minorEastAsia" w:cstheme="minorEastAsia"/>
          <w:b/>
          <w:bCs/>
          <w:color w:val="auto"/>
          <w:szCs w:val="24"/>
          <w:highlight w:val="none"/>
        </w:rPr>
      </w:pPr>
      <w:bookmarkStart w:id="387" w:name="_Toc12031"/>
      <w:bookmarkStart w:id="388" w:name="_Toc24718"/>
      <w:r>
        <w:rPr>
          <w:rFonts w:hint="eastAsia" w:asciiTheme="minorEastAsia" w:hAnsiTheme="minorEastAsia" w:eastAsiaTheme="minorEastAsia" w:cstheme="minorEastAsia"/>
          <w:b/>
          <w:bCs/>
          <w:color w:val="auto"/>
          <w:szCs w:val="24"/>
          <w:highlight w:val="none"/>
        </w:rPr>
        <w:t>格式五 法定代表人身份证明</w:t>
      </w:r>
      <w:bookmarkEnd w:id="387"/>
      <w:bookmarkEnd w:id="388"/>
    </w:p>
    <w:p w14:paraId="0C6DC1CE">
      <w:pPr>
        <w:wordWrap w:val="0"/>
        <w:adjustRightInd w:val="0"/>
        <w:snapToGrid w:val="0"/>
        <w:spacing w:line="440" w:lineRule="exact"/>
        <w:rPr>
          <w:rFonts w:hint="eastAsia" w:asciiTheme="minorEastAsia" w:hAnsiTheme="minorEastAsia" w:eastAsiaTheme="minorEastAsia" w:cstheme="minorEastAsia"/>
          <w:b/>
          <w:snapToGrid w:val="0"/>
          <w:color w:val="auto"/>
          <w:kern w:val="0"/>
          <w:szCs w:val="24"/>
          <w:highlight w:val="none"/>
        </w:rPr>
      </w:pPr>
    </w:p>
    <w:p w14:paraId="4A6EE80F">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法定代表人身份证明</w:t>
      </w:r>
    </w:p>
    <w:p w14:paraId="705A3346">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318459D1">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投标人名称：</w:t>
      </w:r>
      <w:r>
        <w:rPr>
          <w:rFonts w:hint="eastAsia" w:asciiTheme="minorEastAsia" w:hAnsiTheme="minorEastAsia" w:eastAsiaTheme="minorEastAsia" w:cstheme="minorEastAsia"/>
          <w:snapToGrid w:val="0"/>
          <w:color w:val="auto"/>
          <w:kern w:val="0"/>
          <w:szCs w:val="24"/>
          <w:highlight w:val="none"/>
          <w:u w:val="single"/>
        </w:rPr>
        <w:t xml:space="preserve">                  </w:t>
      </w:r>
    </w:p>
    <w:p w14:paraId="3E179437">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u w:val="single"/>
        </w:rPr>
      </w:pPr>
      <w:r>
        <w:rPr>
          <w:rFonts w:hint="eastAsia" w:asciiTheme="minorEastAsia" w:hAnsiTheme="minorEastAsia" w:eastAsiaTheme="minorEastAsia" w:cstheme="minorEastAsia"/>
          <w:snapToGrid w:val="0"/>
          <w:color w:val="auto"/>
          <w:kern w:val="0"/>
          <w:szCs w:val="24"/>
          <w:highlight w:val="none"/>
        </w:rPr>
        <w:t>姓名：</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性别：</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年龄：</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职务：</w:t>
      </w:r>
      <w:r>
        <w:rPr>
          <w:rFonts w:hint="eastAsia" w:asciiTheme="minorEastAsia" w:hAnsiTheme="minorEastAsia" w:eastAsiaTheme="minorEastAsia" w:cstheme="minorEastAsia"/>
          <w:snapToGrid w:val="0"/>
          <w:color w:val="auto"/>
          <w:kern w:val="0"/>
          <w:szCs w:val="24"/>
          <w:highlight w:val="none"/>
          <w:u w:val="single"/>
        </w:rPr>
        <w:t xml:space="preserve">           </w:t>
      </w:r>
    </w:p>
    <w:p w14:paraId="52FEF51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系</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（投标人名称）的法定代表人。</w:t>
      </w:r>
    </w:p>
    <w:p w14:paraId="0A454E9C">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特此证明。</w:t>
      </w:r>
    </w:p>
    <w:p w14:paraId="56F41C02">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30F21E2B">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p>
    <w:p w14:paraId="50C69F8E">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3DEACD08">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46C24B8A">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012DAD50">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09309739">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1641429C">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 xml:space="preserve">日       </w:t>
      </w:r>
    </w:p>
    <w:p w14:paraId="36FC1ABB">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576F2DA8">
      <w:pPr>
        <w:wordWrap w:val="0"/>
        <w:adjustRightInd w:val="0"/>
        <w:snapToGrid w:val="0"/>
        <w:spacing w:line="440" w:lineRule="exact"/>
        <w:ind w:firstLine="720" w:firstLineChars="300"/>
        <w:rPr>
          <w:rFonts w:hint="eastAsia" w:asciiTheme="minorEastAsia" w:hAnsiTheme="minorEastAsia" w:eastAsiaTheme="minorEastAsia" w:cstheme="minorEastAsia"/>
          <w:i/>
          <w:iCs/>
          <w:snapToGrid w:val="0"/>
          <w:color w:val="auto"/>
          <w:kern w:val="0"/>
          <w:szCs w:val="24"/>
          <w:highlight w:val="none"/>
        </w:rPr>
      </w:pPr>
    </w:p>
    <w:p w14:paraId="58EFA702">
      <w:pPr>
        <w:wordWrap w:val="0"/>
        <w:adjustRightInd w:val="0"/>
        <w:snapToGrid w:val="0"/>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pict>
          <v:shape id="_x0000_s1027" o:spid="_x0000_s1027" o:spt="176" type="#_x0000_t176" style="position:absolute;left:0pt;margin-left:127.5pt;margin-top:1.6pt;height:124.75pt;width:222.45pt;z-index:251661312;mso-width-relative:page;mso-height-relative:page;" coordsize="21600,21600" o:gfxdata="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HhXUptgAAAAJAQAADwAAAAAAAAABACAAAAAiAAAAZHJzL2Rvd25y&#10;ZXYueG1sUEsBAhQAFAAAAAgAh07iQEz7asY3AgAAbAQAAA4AAAAAAAAAAQAgAAAAJwEAAGRycy9l&#10;Mm9Eb2MueG1sUEsFBgAAAAAGAAYAWQEAANAFAAAAAA==&#10;">
            <v:path/>
            <v:fill focussize="0,0"/>
            <v:stroke joinstyle="miter"/>
            <v:imagedata o:title=""/>
            <o:lock v:ext="edit"/>
            <v:textbox>
              <w:txbxContent>
                <w:p w14:paraId="60FAF0B4">
                  <w:pPr>
                    <w:jc w:val="center"/>
                    <w:rPr>
                      <w:rFonts w:hint="default"/>
                      <w:szCs w:val="21"/>
                    </w:rPr>
                  </w:pPr>
                </w:p>
                <w:p w14:paraId="790543D0">
                  <w:pPr>
                    <w:jc w:val="center"/>
                    <w:rPr>
                      <w:rFonts w:hint="default"/>
                      <w:szCs w:val="21"/>
                    </w:rPr>
                  </w:pPr>
                </w:p>
                <w:p w14:paraId="57E7D84C">
                  <w:pPr>
                    <w:jc w:val="center"/>
                    <w:rPr>
                      <w:rFonts w:hint="default"/>
                      <w:szCs w:val="21"/>
                    </w:rPr>
                  </w:pPr>
                </w:p>
                <w:p w14:paraId="5818FC7B">
                  <w:pPr>
                    <w:jc w:val="center"/>
                    <w:rPr>
                      <w:rFonts w:hint="default"/>
                      <w:szCs w:val="21"/>
                    </w:rPr>
                  </w:pPr>
                  <w:r>
                    <w:rPr>
                      <w:szCs w:val="21"/>
                    </w:rPr>
                    <w:t>法定代表人身份证彩色扫描件正、反面</w:t>
                  </w:r>
                </w:p>
              </w:txbxContent>
            </v:textbox>
          </v:shape>
        </w:pict>
      </w:r>
    </w:p>
    <w:p w14:paraId="51271395">
      <w:pPr>
        <w:tabs>
          <w:tab w:val="left" w:pos="654"/>
          <w:tab w:val="left" w:pos="1734"/>
          <w:tab w:val="left" w:pos="2814"/>
          <w:tab w:val="left" w:pos="3894"/>
          <w:tab w:val="left" w:pos="5334"/>
          <w:tab w:val="left" w:pos="6414"/>
          <w:tab w:val="left" w:pos="7254"/>
          <w:tab w:val="left" w:pos="8574"/>
          <w:tab w:val="left" w:pos="9654"/>
        </w:tabs>
        <w:wordWrap w:val="0"/>
        <w:adjustRightInd w:val="0"/>
        <w:snapToGrid w:val="0"/>
        <w:rPr>
          <w:rFonts w:hint="eastAsia" w:asciiTheme="minorEastAsia" w:hAnsiTheme="minorEastAsia" w:eastAsiaTheme="minorEastAsia" w:cstheme="minorEastAsia"/>
          <w:snapToGrid w:val="0"/>
          <w:color w:val="auto"/>
          <w:kern w:val="0"/>
          <w:szCs w:val="24"/>
          <w:highlight w:val="none"/>
        </w:rPr>
      </w:pPr>
    </w:p>
    <w:p w14:paraId="6CA5255B">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0872B46B">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pPr>
    </w:p>
    <w:p w14:paraId="7C512AB2">
      <w:pPr>
        <w:wordWrap w:val="0"/>
        <w:adjustRightInd w:val="0"/>
        <w:snapToGrid w:val="0"/>
        <w:spacing w:line="480" w:lineRule="exact"/>
        <w:jc w:val="center"/>
        <w:rPr>
          <w:rFonts w:hint="eastAsia" w:asciiTheme="minorEastAsia" w:hAnsiTheme="minorEastAsia" w:eastAsiaTheme="minorEastAsia" w:cstheme="minorEastAsia"/>
          <w:b/>
          <w:snapToGrid w:val="0"/>
          <w:color w:val="auto"/>
          <w:kern w:val="0"/>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6775DBAA">
      <w:pPr>
        <w:pStyle w:val="3"/>
        <w:spacing w:before="120"/>
        <w:rPr>
          <w:rFonts w:hint="eastAsia" w:asciiTheme="minorEastAsia" w:hAnsiTheme="minorEastAsia" w:eastAsiaTheme="minorEastAsia" w:cstheme="minorEastAsia"/>
          <w:b/>
          <w:bCs/>
          <w:color w:val="auto"/>
          <w:szCs w:val="24"/>
          <w:highlight w:val="none"/>
        </w:rPr>
      </w:pPr>
      <w:bookmarkStart w:id="389" w:name="_Toc26395"/>
      <w:bookmarkStart w:id="390" w:name="_Toc30665"/>
      <w:bookmarkStart w:id="391" w:name="_Toc26875"/>
      <w:bookmarkStart w:id="392" w:name="_Toc11006"/>
      <w:bookmarkStart w:id="393" w:name="_Toc16430"/>
      <w:r>
        <w:rPr>
          <w:rFonts w:hint="eastAsia" w:asciiTheme="minorEastAsia" w:hAnsiTheme="minorEastAsia" w:eastAsiaTheme="minorEastAsia" w:cstheme="minorEastAsia"/>
          <w:b/>
          <w:bCs/>
          <w:color w:val="auto"/>
          <w:szCs w:val="24"/>
          <w:highlight w:val="none"/>
        </w:rPr>
        <w:t>格式六 联合体协议书</w:t>
      </w:r>
      <w:bookmarkEnd w:id="389"/>
      <w:bookmarkEnd w:id="390"/>
      <w:bookmarkEnd w:id="391"/>
      <w:bookmarkEnd w:id="392"/>
      <w:bookmarkEnd w:id="393"/>
    </w:p>
    <w:p w14:paraId="659A3B3D">
      <w:pPr>
        <w:pStyle w:val="40"/>
        <w:widowControl w:val="0"/>
        <w:wordWrap w:val="0"/>
        <w:adjustRightInd w:val="0"/>
        <w:snapToGrid w:val="0"/>
        <w:spacing w:before="240" w:after="240" w:line="44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联合体协议书</w:t>
      </w:r>
    </w:p>
    <w:p w14:paraId="6AF03E96">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350C9CC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229AAA76">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6C40DE93">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57542D44">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50B7514B">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3BA11C0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p>
    <w:p w14:paraId="725CD818">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法定代表人：</w:t>
      </w:r>
      <w:r>
        <w:rPr>
          <w:rFonts w:hint="eastAsia" w:asciiTheme="minorEastAsia" w:hAnsiTheme="minorEastAsia" w:eastAsiaTheme="minorEastAsia" w:cstheme="minorEastAsia"/>
          <w:snapToGrid w:val="0"/>
          <w:color w:val="auto"/>
          <w:sz w:val="24"/>
          <w:szCs w:val="24"/>
          <w:highlight w:val="none"/>
          <w:u w:val="single"/>
        </w:rPr>
        <w:t xml:space="preserve">                                                  </w:t>
      </w:r>
    </w:p>
    <w:p w14:paraId="0C8F25C9">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u w:val="single"/>
        </w:rPr>
      </w:pPr>
      <w:r>
        <w:rPr>
          <w:rFonts w:hint="eastAsia" w:asciiTheme="minorEastAsia" w:hAnsiTheme="minorEastAsia" w:eastAsiaTheme="minorEastAsia" w:cstheme="minorEastAsia"/>
          <w:snapToGrid w:val="0"/>
          <w:color w:val="auto"/>
          <w:sz w:val="24"/>
          <w:szCs w:val="24"/>
          <w:highlight w:val="none"/>
        </w:rPr>
        <w:t>法定住所：</w:t>
      </w:r>
      <w:r>
        <w:rPr>
          <w:rFonts w:hint="eastAsia" w:asciiTheme="minorEastAsia" w:hAnsiTheme="minorEastAsia" w:eastAsiaTheme="minorEastAsia" w:cstheme="minorEastAsia"/>
          <w:snapToGrid w:val="0"/>
          <w:color w:val="auto"/>
          <w:sz w:val="24"/>
          <w:szCs w:val="24"/>
          <w:highlight w:val="none"/>
          <w:u w:val="single"/>
        </w:rPr>
        <w:t xml:space="preserve">                                                    </w:t>
      </w:r>
    </w:p>
    <w:p w14:paraId="1A970EC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0AB55EEC">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A83F071">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w:t>
      </w:r>
    </w:p>
    <w:p w14:paraId="4788665F">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上述各成员单位经过友好协商，自愿组成联合体，共同参加</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（项目名称）（以下简称“本项目”）的投标并争取赢得本项目EPC总承包合同（以下简称合同）。现就联合体投标事宜订立如下协议：</w:t>
      </w:r>
    </w:p>
    <w:p w14:paraId="2F9CE932">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1．</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（某成员单位名称）为联合体牵头人。</w:t>
      </w:r>
    </w:p>
    <w:p w14:paraId="444D1B67">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2．在本项目投标阶段，联合体牵头人合法代表联合体各成员负责本项目投标文件编制活动，代表联合体提交和接收相关的资料、信息及指示，并处理与投标和中标有关的一切事务；联合体中标后，联合体牵头人负责合同订立和合同实施阶段的主办、组织和协调工作。</w:t>
      </w:r>
    </w:p>
    <w:p w14:paraId="12D5CB95">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3．联合体将严格按照招标文件的各项要求，递交投标文件，履行投标义务和中标后的合同，共同承担合同规定的一切义务和责任，联合体各成员单位按照内部职责的部分，承担各自所负的责任和风险，并向招标人承担相关责任。</w:t>
      </w:r>
    </w:p>
    <w:p w14:paraId="5B540E6B">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4．联合体各成员单位内部的职责分工如下：</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w:t>
      </w:r>
    </w:p>
    <w:p w14:paraId="555E212C">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5．投标工作和联合体在中标后工程实施过程中的有关费用按各自承担的工作量分摊。</w:t>
      </w:r>
    </w:p>
    <w:p w14:paraId="72CAB242">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6．联合体中标后，本联合体协议是合同的附件，对联合体各成员单位有合同约束力。</w:t>
      </w:r>
    </w:p>
    <w:p w14:paraId="09B5C8DA">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7．本协议书自签署之日起生效，联合体未中标或者中标时合同履行完毕后自动失效。</w:t>
      </w:r>
    </w:p>
    <w:p w14:paraId="3ACD4860">
      <w:pPr>
        <w:pStyle w:val="40"/>
        <w:widowControl w:val="0"/>
        <w:wordWrap w:val="0"/>
        <w:adjustRightInd w:val="0"/>
        <w:snapToGrid w:val="0"/>
        <w:spacing w:line="440" w:lineRule="exact"/>
        <w:ind w:firstLine="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8．本协议书一式</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份，联合体成员和招标人各执一份。</w:t>
      </w:r>
    </w:p>
    <w:p w14:paraId="5FA6F53B">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152792FF">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28F7A230">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牵头人名称：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653F5791">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w:t>
      </w:r>
    </w:p>
    <w:p w14:paraId="657186D2">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2BF340DC">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7029B791">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成员二名称：</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（盖单位章）</w:t>
      </w:r>
    </w:p>
    <w:p w14:paraId="53B2FCC3">
      <w:pPr>
        <w:pStyle w:val="40"/>
        <w:widowControl w:val="0"/>
        <w:wordWrap w:val="0"/>
        <w:adjustRightInd w:val="0"/>
        <w:snapToGrid w:val="0"/>
        <w:spacing w:line="440" w:lineRule="exact"/>
        <w:ind w:firstLine="0"/>
        <w:jc w:val="both"/>
        <w:rPr>
          <w:rFonts w:hint="eastAsia" w:asciiTheme="minorEastAsia" w:hAnsiTheme="minorEastAsia" w:eastAsiaTheme="minorEastAsia" w:cstheme="minorEastAsia"/>
          <w:snapToGrid w:val="0"/>
          <w:color w:val="auto"/>
          <w:sz w:val="24"/>
          <w:szCs w:val="24"/>
          <w:highlight w:val="none"/>
        </w:rPr>
      </w:pPr>
    </w:p>
    <w:p w14:paraId="7E83BABB">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法定代表人或其委托代理人：</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（签字或盖章）</w:t>
      </w:r>
    </w:p>
    <w:p w14:paraId="15B1D8BC">
      <w:pPr>
        <w:pStyle w:val="40"/>
        <w:widowControl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rPr>
      </w:pPr>
    </w:p>
    <w:p w14:paraId="62ADB7EC">
      <w:pPr>
        <w:pStyle w:val="40"/>
        <w:widowControl w:val="0"/>
        <w:wordWrap w:val="0"/>
        <w:adjustRightInd w:val="0"/>
        <w:snapToGrid w:val="0"/>
        <w:spacing w:line="440" w:lineRule="exact"/>
        <w:ind w:firstLine="3840" w:firstLineChars="1600"/>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 xml:space="preserve"> ……</w:t>
      </w:r>
    </w:p>
    <w:p w14:paraId="02D9A8BE">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06B67A7D">
      <w:pPr>
        <w:pStyle w:val="40"/>
        <w:widowControl w:val="0"/>
        <w:wordWrap w:val="0"/>
        <w:adjustRightInd w:val="0"/>
        <w:snapToGrid w:val="0"/>
        <w:spacing w:line="440" w:lineRule="exact"/>
        <w:jc w:val="right"/>
        <w:rPr>
          <w:rFonts w:hint="eastAsia" w:asciiTheme="minorEastAsia" w:hAnsiTheme="minorEastAsia" w:eastAsiaTheme="minorEastAsia" w:cstheme="minorEastAsia"/>
          <w:snapToGrid w:val="0"/>
          <w:color w:val="auto"/>
          <w:sz w:val="24"/>
          <w:szCs w:val="24"/>
          <w:highlight w:val="none"/>
          <w:lang w:val="en-US" w:eastAsia="zh-CN"/>
        </w:rPr>
      </w:pP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年</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rPr>
        <w:t>月</w:t>
      </w:r>
      <w:r>
        <w:rPr>
          <w:rFonts w:hint="eastAsia" w:asciiTheme="minorEastAsia" w:hAnsiTheme="minorEastAsia" w:eastAsiaTheme="minorEastAsia" w:cstheme="minorEastAsia"/>
          <w:snapToGrid w:val="0"/>
          <w:color w:val="auto"/>
          <w:sz w:val="24"/>
          <w:szCs w:val="24"/>
          <w:highlight w:val="none"/>
          <w:u w:val="single"/>
        </w:rPr>
        <w:t xml:space="preserve">    </w:t>
      </w:r>
      <w:r>
        <w:rPr>
          <w:rFonts w:hint="eastAsia" w:asciiTheme="minorEastAsia" w:hAnsiTheme="minorEastAsia" w:eastAsiaTheme="minorEastAsia" w:cstheme="minorEastAsia"/>
          <w:snapToGrid w:val="0"/>
          <w:color w:val="auto"/>
          <w:sz w:val="24"/>
          <w:szCs w:val="24"/>
          <w:highlight w:val="none"/>
          <w:u w:val="single"/>
          <w:lang w:eastAsia="zh-CN"/>
        </w:rPr>
        <w:t>日</w:t>
      </w:r>
    </w:p>
    <w:p w14:paraId="6F3BF667">
      <w:pPr>
        <w:pStyle w:val="40"/>
        <w:widowControl w:val="0"/>
        <w:wordWrap w:val="0"/>
        <w:adjustRightInd w:val="0"/>
        <w:snapToGrid w:val="0"/>
        <w:spacing w:line="440" w:lineRule="exact"/>
        <w:jc w:val="center"/>
        <w:rPr>
          <w:rFonts w:hint="eastAsia" w:asciiTheme="minorEastAsia" w:hAnsiTheme="minorEastAsia" w:eastAsiaTheme="minorEastAsia" w:cstheme="minorEastAsia"/>
          <w:snapToGrid w:val="0"/>
          <w:color w:val="auto"/>
          <w:sz w:val="24"/>
          <w:szCs w:val="24"/>
          <w:highlight w:val="none"/>
        </w:rPr>
      </w:pPr>
    </w:p>
    <w:p w14:paraId="717D0FD0">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667A51B2">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5EBF4041">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p>
    <w:p w14:paraId="4F4C81F4">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snapToGrid w:val="0"/>
          <w:color w:val="auto"/>
          <w:sz w:val="24"/>
          <w:szCs w:val="24"/>
          <w:highlight w:val="none"/>
        </w:rPr>
        <w:t>说明：《联合体协议书》由委托代理人签字或盖章的，应附法定代表人签字或盖章的授权委托书。</w:t>
      </w:r>
    </w:p>
    <w:p w14:paraId="0E488C91">
      <w:pPr>
        <w:pStyle w:val="40"/>
        <w:widowControl w:val="0"/>
        <w:wordWrap w:val="0"/>
        <w:adjustRightInd w:val="0"/>
        <w:snapToGrid w:val="0"/>
        <w:spacing w:line="440" w:lineRule="exact"/>
        <w:rPr>
          <w:rFonts w:hint="eastAsia" w:asciiTheme="minorEastAsia" w:hAnsiTheme="minorEastAsia" w:eastAsiaTheme="minorEastAsia" w:cstheme="minorEastAsia"/>
          <w:snapToGrid w:val="0"/>
          <w:color w:val="auto"/>
          <w:sz w:val="24"/>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7898248E">
      <w:pPr>
        <w:pStyle w:val="3"/>
        <w:spacing w:before="120"/>
        <w:rPr>
          <w:rFonts w:hint="eastAsia" w:asciiTheme="minorEastAsia" w:hAnsiTheme="minorEastAsia" w:eastAsiaTheme="minorEastAsia" w:cstheme="minorEastAsia"/>
          <w:b/>
          <w:bCs/>
          <w:color w:val="auto"/>
          <w:szCs w:val="24"/>
          <w:highlight w:val="none"/>
        </w:rPr>
      </w:pPr>
      <w:bookmarkStart w:id="394" w:name="_Toc13094"/>
      <w:bookmarkStart w:id="395" w:name="_Toc31264"/>
      <w:r>
        <w:rPr>
          <w:rFonts w:hint="eastAsia" w:asciiTheme="minorEastAsia" w:hAnsiTheme="minorEastAsia" w:eastAsiaTheme="minorEastAsia" w:cstheme="minorEastAsia"/>
          <w:b/>
          <w:bCs/>
          <w:color w:val="auto"/>
          <w:szCs w:val="24"/>
          <w:highlight w:val="none"/>
        </w:rPr>
        <w:t>格式七 投标人基本情况表</w:t>
      </w:r>
      <w:bookmarkEnd w:id="394"/>
      <w:bookmarkEnd w:id="395"/>
    </w:p>
    <w:p w14:paraId="56C926DA">
      <w:pPr>
        <w:pStyle w:val="40"/>
        <w:widowControl w:val="0"/>
        <w:wordWrap w:val="0"/>
        <w:adjustRightInd w:val="0"/>
        <w:snapToGrid w:val="0"/>
        <w:spacing w:before="260" w:after="260" w:line="400" w:lineRule="exact"/>
        <w:ind w:firstLine="0"/>
        <w:jc w:val="center"/>
        <w:rPr>
          <w:rFonts w:hint="eastAsia" w:asciiTheme="minorEastAsia" w:hAnsiTheme="minorEastAsia" w:eastAsiaTheme="minorEastAsia" w:cstheme="minorEastAsia"/>
          <w:snapToGrid w:val="0"/>
          <w:color w:val="auto"/>
          <w:sz w:val="24"/>
          <w:szCs w:val="24"/>
          <w:highlight w:val="none"/>
        </w:rPr>
      </w:pPr>
      <w:r>
        <w:rPr>
          <w:rFonts w:hint="eastAsia" w:asciiTheme="minorEastAsia" w:hAnsiTheme="minorEastAsia" w:eastAsiaTheme="minorEastAsia" w:cstheme="minorEastAsia"/>
          <w:b/>
          <w:snapToGrid w:val="0"/>
          <w:color w:val="auto"/>
          <w:sz w:val="24"/>
          <w:szCs w:val="24"/>
          <w:highlight w:val="none"/>
        </w:rPr>
        <w:t>投标人基本情况表</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40"/>
        <w:gridCol w:w="1541"/>
        <w:gridCol w:w="1140"/>
        <w:gridCol w:w="833"/>
        <w:gridCol w:w="460"/>
        <w:gridCol w:w="832"/>
        <w:gridCol w:w="269"/>
        <w:gridCol w:w="735"/>
        <w:gridCol w:w="1470"/>
      </w:tblGrid>
      <w:tr w14:paraId="1B59B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729D2D7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投标人名称</w:t>
            </w:r>
          </w:p>
        </w:tc>
        <w:tc>
          <w:tcPr>
            <w:tcW w:w="7280" w:type="dxa"/>
            <w:gridSpan w:val="8"/>
            <w:noWrap/>
            <w:vAlign w:val="center"/>
          </w:tcPr>
          <w:p w14:paraId="7B20122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0391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76DB53BE">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注册地址</w:t>
            </w:r>
          </w:p>
        </w:tc>
        <w:tc>
          <w:tcPr>
            <w:tcW w:w="3514" w:type="dxa"/>
            <w:gridSpan w:val="3"/>
            <w:noWrap/>
            <w:vAlign w:val="center"/>
          </w:tcPr>
          <w:p w14:paraId="1C29847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6AB1B0B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邮政编码</w:t>
            </w:r>
          </w:p>
        </w:tc>
        <w:tc>
          <w:tcPr>
            <w:tcW w:w="2474" w:type="dxa"/>
            <w:gridSpan w:val="3"/>
            <w:noWrap/>
            <w:vAlign w:val="center"/>
          </w:tcPr>
          <w:p w14:paraId="45CC2405">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6A827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restart"/>
            <w:noWrap/>
            <w:vAlign w:val="center"/>
          </w:tcPr>
          <w:p w14:paraId="65F6876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联系方式</w:t>
            </w:r>
          </w:p>
        </w:tc>
        <w:tc>
          <w:tcPr>
            <w:tcW w:w="1541" w:type="dxa"/>
            <w:noWrap/>
            <w:vAlign w:val="center"/>
          </w:tcPr>
          <w:p w14:paraId="67BF659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联系人</w:t>
            </w:r>
          </w:p>
        </w:tc>
        <w:tc>
          <w:tcPr>
            <w:tcW w:w="1973" w:type="dxa"/>
            <w:gridSpan w:val="2"/>
            <w:noWrap/>
            <w:vAlign w:val="center"/>
          </w:tcPr>
          <w:p w14:paraId="1080457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159A059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  话</w:t>
            </w:r>
          </w:p>
        </w:tc>
        <w:tc>
          <w:tcPr>
            <w:tcW w:w="2474" w:type="dxa"/>
            <w:gridSpan w:val="3"/>
            <w:noWrap/>
            <w:vAlign w:val="center"/>
          </w:tcPr>
          <w:p w14:paraId="095C66D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0EAAE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vMerge w:val="continue"/>
            <w:noWrap/>
            <w:vAlign w:val="center"/>
          </w:tcPr>
          <w:p w14:paraId="2F2CA8E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541" w:type="dxa"/>
            <w:noWrap/>
            <w:vAlign w:val="center"/>
          </w:tcPr>
          <w:p w14:paraId="16AF686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传  真</w:t>
            </w:r>
          </w:p>
        </w:tc>
        <w:tc>
          <w:tcPr>
            <w:tcW w:w="1973" w:type="dxa"/>
            <w:gridSpan w:val="2"/>
            <w:noWrap/>
            <w:vAlign w:val="center"/>
          </w:tcPr>
          <w:p w14:paraId="09C52EE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2" w:type="dxa"/>
            <w:gridSpan w:val="2"/>
            <w:noWrap/>
            <w:vAlign w:val="center"/>
          </w:tcPr>
          <w:p w14:paraId="62A0E9C8">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电子邮箱</w:t>
            </w:r>
          </w:p>
        </w:tc>
        <w:tc>
          <w:tcPr>
            <w:tcW w:w="2474" w:type="dxa"/>
            <w:gridSpan w:val="3"/>
            <w:noWrap/>
            <w:vAlign w:val="center"/>
          </w:tcPr>
          <w:p w14:paraId="182D15D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1ED8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3C9FA1C5">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单位性质</w:t>
            </w:r>
          </w:p>
        </w:tc>
        <w:tc>
          <w:tcPr>
            <w:tcW w:w="7280" w:type="dxa"/>
            <w:gridSpan w:val="8"/>
            <w:noWrap/>
            <w:vAlign w:val="center"/>
          </w:tcPr>
          <w:p w14:paraId="17BDDF1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0B0B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6DD7F5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法定代表人</w:t>
            </w:r>
          </w:p>
        </w:tc>
        <w:tc>
          <w:tcPr>
            <w:tcW w:w="1541" w:type="dxa"/>
            <w:noWrap/>
            <w:vAlign w:val="center"/>
          </w:tcPr>
          <w:p w14:paraId="1DCE4EB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姓名</w:t>
            </w:r>
          </w:p>
        </w:tc>
        <w:tc>
          <w:tcPr>
            <w:tcW w:w="1140" w:type="dxa"/>
            <w:noWrap/>
            <w:vAlign w:val="center"/>
          </w:tcPr>
          <w:p w14:paraId="6A4B7C6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noWrap/>
            <w:vAlign w:val="center"/>
          </w:tcPr>
          <w:p w14:paraId="0BB10F2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技术职称</w:t>
            </w:r>
          </w:p>
        </w:tc>
        <w:tc>
          <w:tcPr>
            <w:tcW w:w="1101" w:type="dxa"/>
            <w:gridSpan w:val="2"/>
            <w:noWrap/>
            <w:vAlign w:val="center"/>
          </w:tcPr>
          <w:p w14:paraId="4DF6E8D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735" w:type="dxa"/>
            <w:noWrap/>
            <w:vAlign w:val="center"/>
          </w:tcPr>
          <w:p w14:paraId="6BBDF0F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电话</w:t>
            </w:r>
          </w:p>
        </w:tc>
        <w:tc>
          <w:tcPr>
            <w:tcW w:w="1470" w:type="dxa"/>
            <w:noWrap/>
            <w:vAlign w:val="center"/>
          </w:tcPr>
          <w:p w14:paraId="473B27CE">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3D88A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520D2AC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成立时间</w:t>
            </w:r>
          </w:p>
        </w:tc>
        <w:tc>
          <w:tcPr>
            <w:tcW w:w="2681" w:type="dxa"/>
            <w:gridSpan w:val="2"/>
            <w:noWrap/>
            <w:vAlign w:val="center"/>
          </w:tcPr>
          <w:p w14:paraId="61CF126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4599" w:type="dxa"/>
            <w:gridSpan w:val="6"/>
            <w:noWrap/>
            <w:vAlign w:val="center"/>
          </w:tcPr>
          <w:p w14:paraId="0E262A38">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员工总人数（个）：</w:t>
            </w:r>
          </w:p>
        </w:tc>
      </w:tr>
      <w:tr w14:paraId="5F0F8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exact"/>
          <w:jc w:val="center"/>
        </w:trPr>
        <w:tc>
          <w:tcPr>
            <w:tcW w:w="1540" w:type="dxa"/>
            <w:noWrap/>
            <w:vAlign w:val="center"/>
          </w:tcPr>
          <w:p w14:paraId="0259775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企业资质</w:t>
            </w:r>
          </w:p>
          <w:p w14:paraId="6D49C124">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类型和等级</w:t>
            </w:r>
          </w:p>
        </w:tc>
        <w:tc>
          <w:tcPr>
            <w:tcW w:w="2681" w:type="dxa"/>
            <w:gridSpan w:val="2"/>
            <w:noWrap/>
            <w:vAlign w:val="center"/>
          </w:tcPr>
          <w:p w14:paraId="61CFE77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restart"/>
            <w:noWrap/>
            <w:vAlign w:val="center"/>
          </w:tcPr>
          <w:p w14:paraId="584ED2D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其中</w:t>
            </w:r>
          </w:p>
        </w:tc>
        <w:tc>
          <w:tcPr>
            <w:tcW w:w="1836" w:type="dxa"/>
            <w:gridSpan w:val="3"/>
            <w:noWrap/>
            <w:vAlign w:val="center"/>
          </w:tcPr>
          <w:p w14:paraId="75EE32D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项目经理</w:t>
            </w:r>
          </w:p>
        </w:tc>
        <w:tc>
          <w:tcPr>
            <w:tcW w:w="1470" w:type="dxa"/>
            <w:noWrap/>
            <w:vAlign w:val="center"/>
          </w:tcPr>
          <w:p w14:paraId="7C99BDC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0660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1475142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营业执照号</w:t>
            </w:r>
          </w:p>
        </w:tc>
        <w:tc>
          <w:tcPr>
            <w:tcW w:w="2681" w:type="dxa"/>
            <w:gridSpan w:val="2"/>
            <w:noWrap/>
            <w:vAlign w:val="center"/>
          </w:tcPr>
          <w:p w14:paraId="12CD0E9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15A1E9F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4EA2038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高级职称人员</w:t>
            </w:r>
          </w:p>
        </w:tc>
        <w:tc>
          <w:tcPr>
            <w:tcW w:w="1470" w:type="dxa"/>
            <w:noWrap/>
            <w:vAlign w:val="center"/>
          </w:tcPr>
          <w:p w14:paraId="65827DF1">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46690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exact"/>
          <w:jc w:val="center"/>
        </w:trPr>
        <w:tc>
          <w:tcPr>
            <w:tcW w:w="1540" w:type="dxa"/>
            <w:noWrap/>
            <w:vAlign w:val="center"/>
          </w:tcPr>
          <w:p w14:paraId="1763F1A9">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注册资金</w:t>
            </w:r>
          </w:p>
        </w:tc>
        <w:tc>
          <w:tcPr>
            <w:tcW w:w="2681" w:type="dxa"/>
            <w:gridSpan w:val="2"/>
            <w:noWrap/>
            <w:vAlign w:val="center"/>
          </w:tcPr>
          <w:p w14:paraId="0A5BDC9E">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4FAAAA4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05FE251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中级职称人员</w:t>
            </w:r>
          </w:p>
        </w:tc>
        <w:tc>
          <w:tcPr>
            <w:tcW w:w="1470" w:type="dxa"/>
            <w:noWrap/>
            <w:vAlign w:val="center"/>
          </w:tcPr>
          <w:p w14:paraId="2710AF8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145FC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40" w:type="dxa"/>
            <w:noWrap/>
            <w:vAlign w:val="center"/>
          </w:tcPr>
          <w:p w14:paraId="0956D755">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6C13D9E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开户银行</w:t>
            </w:r>
          </w:p>
        </w:tc>
        <w:tc>
          <w:tcPr>
            <w:tcW w:w="2681" w:type="dxa"/>
            <w:gridSpan w:val="2"/>
            <w:noWrap/>
            <w:vAlign w:val="center"/>
          </w:tcPr>
          <w:p w14:paraId="37BCD70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452A8073">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4E423876">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初级职称人员</w:t>
            </w:r>
          </w:p>
        </w:tc>
        <w:tc>
          <w:tcPr>
            <w:tcW w:w="1470" w:type="dxa"/>
            <w:noWrap/>
            <w:vAlign w:val="center"/>
          </w:tcPr>
          <w:p w14:paraId="1B0D16F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052000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exact"/>
          <w:jc w:val="center"/>
        </w:trPr>
        <w:tc>
          <w:tcPr>
            <w:tcW w:w="1540" w:type="dxa"/>
            <w:noWrap/>
            <w:vAlign w:val="center"/>
          </w:tcPr>
          <w:p w14:paraId="06852AFB">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基本账户</w:t>
            </w:r>
          </w:p>
          <w:p w14:paraId="5B7A9907">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银行账号</w:t>
            </w:r>
          </w:p>
        </w:tc>
        <w:tc>
          <w:tcPr>
            <w:tcW w:w="2681" w:type="dxa"/>
            <w:gridSpan w:val="2"/>
            <w:noWrap/>
            <w:vAlign w:val="center"/>
          </w:tcPr>
          <w:p w14:paraId="3500D5FA">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293" w:type="dxa"/>
            <w:gridSpan w:val="2"/>
            <w:vMerge w:val="continue"/>
            <w:noWrap/>
            <w:vAlign w:val="center"/>
          </w:tcPr>
          <w:p w14:paraId="0C8AF771">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c>
          <w:tcPr>
            <w:tcW w:w="1836" w:type="dxa"/>
            <w:gridSpan w:val="3"/>
            <w:noWrap/>
            <w:vAlign w:val="center"/>
          </w:tcPr>
          <w:p w14:paraId="1DC17C2C">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技术员</w:t>
            </w:r>
          </w:p>
        </w:tc>
        <w:tc>
          <w:tcPr>
            <w:tcW w:w="1470" w:type="dxa"/>
            <w:noWrap/>
            <w:vAlign w:val="center"/>
          </w:tcPr>
          <w:p w14:paraId="52FF4D9F">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r w14:paraId="424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4" w:hRule="exact"/>
          <w:jc w:val="center"/>
        </w:trPr>
        <w:tc>
          <w:tcPr>
            <w:tcW w:w="1540" w:type="dxa"/>
            <w:noWrap/>
            <w:vAlign w:val="center"/>
          </w:tcPr>
          <w:p w14:paraId="013DEF38">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经营范围</w:t>
            </w:r>
          </w:p>
        </w:tc>
        <w:tc>
          <w:tcPr>
            <w:tcW w:w="7280" w:type="dxa"/>
            <w:gridSpan w:val="8"/>
            <w:noWrap/>
            <w:vAlign w:val="center"/>
          </w:tcPr>
          <w:p w14:paraId="445060E9">
            <w:pPr>
              <w:pStyle w:val="36"/>
              <w:wordWrap w:val="0"/>
              <w:adjustRightInd w:val="0"/>
              <w:snapToGrid w:val="0"/>
              <w:jc w:val="left"/>
              <w:rPr>
                <w:rFonts w:hint="eastAsia" w:asciiTheme="minorEastAsia" w:hAnsiTheme="minorEastAsia" w:eastAsiaTheme="minorEastAsia" w:cstheme="minorEastAsia"/>
                <w:snapToGrid w:val="0"/>
                <w:color w:val="auto"/>
                <w:kern w:val="0"/>
                <w:sz w:val="24"/>
                <w:highlight w:val="none"/>
              </w:rPr>
            </w:pPr>
          </w:p>
        </w:tc>
      </w:tr>
      <w:tr w14:paraId="796D1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1" w:hRule="atLeast"/>
          <w:jc w:val="center"/>
        </w:trPr>
        <w:tc>
          <w:tcPr>
            <w:tcW w:w="1540" w:type="dxa"/>
            <w:noWrap/>
            <w:vAlign w:val="center"/>
          </w:tcPr>
          <w:p w14:paraId="303FDBA2">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关联企业情况</w:t>
            </w:r>
          </w:p>
        </w:tc>
        <w:tc>
          <w:tcPr>
            <w:tcW w:w="7280" w:type="dxa"/>
            <w:gridSpan w:val="8"/>
            <w:noWrap/>
            <w:vAlign w:val="center"/>
          </w:tcPr>
          <w:p w14:paraId="1ED15FF3">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包括但不限于与投标人存在以下关系的不同单位：</w:t>
            </w:r>
          </w:p>
          <w:p w14:paraId="4F5C538B">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1．法定代表人为同一人的。</w:t>
            </w:r>
          </w:p>
          <w:p w14:paraId="04718449">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2．存在控股、管理关系的。</w:t>
            </w:r>
          </w:p>
          <w:p w14:paraId="7956E574">
            <w:pPr>
              <w:pStyle w:val="36"/>
              <w:wordWrap w:val="0"/>
              <w:adjustRightInd w:val="0"/>
              <w:snapToGrid w:val="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3．主要人员相互任职的。</w:t>
            </w:r>
          </w:p>
        </w:tc>
      </w:tr>
      <w:tr w14:paraId="3EEF4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540" w:type="dxa"/>
            <w:noWrap/>
            <w:vAlign w:val="center"/>
          </w:tcPr>
          <w:p w14:paraId="43DFC1C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备注</w:t>
            </w:r>
          </w:p>
        </w:tc>
        <w:tc>
          <w:tcPr>
            <w:tcW w:w="7280" w:type="dxa"/>
            <w:gridSpan w:val="8"/>
            <w:noWrap/>
            <w:vAlign w:val="center"/>
          </w:tcPr>
          <w:p w14:paraId="055A0A20">
            <w:pPr>
              <w:pStyle w:val="36"/>
              <w:wordWrap w:val="0"/>
              <w:adjustRightInd w:val="0"/>
              <w:snapToGrid w:val="0"/>
              <w:jc w:val="center"/>
              <w:rPr>
                <w:rFonts w:hint="eastAsia" w:asciiTheme="minorEastAsia" w:hAnsiTheme="minorEastAsia" w:eastAsiaTheme="minorEastAsia" w:cstheme="minorEastAsia"/>
                <w:snapToGrid w:val="0"/>
                <w:color w:val="auto"/>
                <w:kern w:val="0"/>
                <w:sz w:val="24"/>
                <w:highlight w:val="none"/>
              </w:rPr>
            </w:pPr>
          </w:p>
        </w:tc>
      </w:tr>
    </w:tbl>
    <w:p w14:paraId="6C436437">
      <w:pPr>
        <w:pStyle w:val="36"/>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 w:val="24"/>
          <w:highlight w:val="none"/>
        </w:rPr>
      </w:pPr>
      <w:r>
        <w:rPr>
          <w:rFonts w:hint="eastAsia" w:asciiTheme="minorEastAsia" w:hAnsiTheme="minorEastAsia" w:eastAsiaTheme="minorEastAsia" w:cstheme="minorEastAsia"/>
          <w:snapToGrid w:val="0"/>
          <w:color w:val="auto"/>
          <w:kern w:val="0"/>
          <w:sz w:val="24"/>
          <w:highlight w:val="none"/>
        </w:rPr>
        <w:t>说明：</w:t>
      </w:r>
    </w:p>
    <w:bookmarkEnd w:id="338"/>
    <w:bookmarkEnd w:id="339"/>
    <w:bookmarkEnd w:id="340"/>
    <w:bookmarkEnd w:id="341"/>
    <w:bookmarkEnd w:id="342"/>
    <w:p w14:paraId="35ABEFC9">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bookmarkStart w:id="396" w:name="_Toc1659"/>
      <w:bookmarkStart w:id="397" w:name="_Toc48547015"/>
      <w:bookmarkStart w:id="398" w:name="_Toc210101349"/>
      <w:bookmarkStart w:id="399" w:name="_Toc118541763"/>
      <w:bookmarkStart w:id="400" w:name="_Toc535300004"/>
      <w:bookmarkStart w:id="401" w:name="_Toc534641863"/>
      <w:r>
        <w:rPr>
          <w:rFonts w:hint="eastAsia" w:asciiTheme="minorEastAsia" w:hAnsiTheme="minorEastAsia" w:eastAsiaTheme="minorEastAsia" w:cstheme="minorEastAsia"/>
          <w:snapToGrid w:val="0"/>
          <w:color w:val="auto"/>
          <w:sz w:val="21"/>
          <w:szCs w:val="21"/>
          <w:highlight w:val="none"/>
        </w:rPr>
        <w:t>1．《投标人基本情况表》后应附以下资料：</w:t>
      </w:r>
    </w:p>
    <w:p w14:paraId="26B81E82">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（1）企业营业执照、资质证书、安全生产许可证的复印件</w:t>
      </w:r>
      <w:r>
        <w:rPr>
          <w:rFonts w:hint="eastAsia" w:asciiTheme="minorEastAsia" w:hAnsiTheme="minorEastAsia" w:eastAsiaTheme="minorEastAsia" w:cstheme="minorEastAsia"/>
          <w:b/>
          <w:bCs/>
          <w:snapToGrid w:val="0"/>
          <w:color w:val="auto"/>
          <w:sz w:val="21"/>
          <w:szCs w:val="21"/>
          <w:highlight w:val="none"/>
        </w:rPr>
        <w:t>（因推行电子证照，企业的营业执照、资质证书等可以提供电子证照。如中标后，投标单位安全生产许可证发生被暂扣情形，需双方另行协商）；</w:t>
      </w:r>
    </w:p>
    <w:p w14:paraId="2F4AA6E8">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（2）外省建筑企业须提供“进粤企业和人员诚信信息登记平台”企业信息情况打印页。</w:t>
      </w:r>
    </w:p>
    <w:p w14:paraId="63464F66">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pPr>
      <w:r>
        <w:rPr>
          <w:rFonts w:hint="eastAsia" w:asciiTheme="minorEastAsia" w:hAnsiTheme="minorEastAsia" w:eastAsiaTheme="minorEastAsia" w:cstheme="minorEastAsia"/>
          <w:snapToGrid w:val="0"/>
          <w:color w:val="auto"/>
          <w:sz w:val="21"/>
          <w:szCs w:val="21"/>
          <w:highlight w:val="none"/>
        </w:rPr>
        <w:t>2．联合体投标的，联合体成员单位均应填写《投标人基本情况表》并提供以上所需资料。</w:t>
      </w:r>
    </w:p>
    <w:p w14:paraId="55B6FC3C">
      <w:pPr>
        <w:pStyle w:val="40"/>
        <w:widowControl w:val="0"/>
        <w:wordWrap w:val="0"/>
        <w:adjustRightInd w:val="0"/>
        <w:snapToGrid w:val="0"/>
        <w:spacing w:line="400" w:lineRule="exact"/>
        <w:rPr>
          <w:rFonts w:hint="eastAsia" w:asciiTheme="minorEastAsia" w:hAnsiTheme="minorEastAsia" w:eastAsiaTheme="minorEastAsia" w:cstheme="minorEastAsia"/>
          <w:snapToGrid w:val="0"/>
          <w:color w:val="auto"/>
          <w:sz w:val="21"/>
          <w:szCs w:val="21"/>
          <w:highlight w:val="none"/>
        </w:rPr>
        <w:sectPr>
          <w:endnotePr>
            <w:numFmt w:val="decimal"/>
          </w:endnotePr>
          <w:pgSz w:w="11906" w:h="16838"/>
          <w:pgMar w:top="1221" w:right="1531" w:bottom="1417" w:left="1531" w:header="850" w:footer="992" w:gutter="0"/>
          <w:pgNumType w:fmt="decimal"/>
          <w:cols w:space="720" w:num="1"/>
          <w:docGrid w:linePitch="327" w:charSpace="0"/>
        </w:sectPr>
      </w:pPr>
      <w:r>
        <w:rPr>
          <w:rFonts w:hint="eastAsia" w:asciiTheme="minorEastAsia" w:hAnsiTheme="minorEastAsia" w:eastAsiaTheme="minorEastAsia" w:cstheme="minorEastAsia"/>
          <w:snapToGrid w:val="0"/>
          <w:color w:val="auto"/>
          <w:sz w:val="21"/>
          <w:szCs w:val="21"/>
          <w:highlight w:val="none"/>
        </w:rPr>
        <w:t>3.《法人和非法人组织公共信用信息报告》打印件（在“信用中国”网站企业查询界面中下载）。</w:t>
      </w:r>
    </w:p>
    <w:p w14:paraId="0D113F6E">
      <w:pPr>
        <w:pStyle w:val="3"/>
        <w:spacing w:before="120"/>
        <w:rPr>
          <w:rFonts w:hint="eastAsia" w:asciiTheme="minorEastAsia" w:hAnsiTheme="minorEastAsia" w:eastAsiaTheme="minorEastAsia" w:cstheme="minorEastAsia"/>
          <w:b/>
          <w:bCs/>
          <w:color w:val="auto"/>
          <w:szCs w:val="24"/>
          <w:highlight w:val="none"/>
        </w:rPr>
      </w:pPr>
      <w:bookmarkStart w:id="402" w:name="_Toc8762"/>
      <w:r>
        <w:rPr>
          <w:rFonts w:hint="eastAsia" w:asciiTheme="minorEastAsia" w:hAnsiTheme="minorEastAsia" w:eastAsiaTheme="minorEastAsia" w:cstheme="minorEastAsia"/>
          <w:b/>
          <w:bCs/>
          <w:color w:val="auto"/>
          <w:szCs w:val="24"/>
          <w:highlight w:val="none"/>
        </w:rPr>
        <w:t>格式八 项目经理简历表</w:t>
      </w:r>
      <w:bookmarkEnd w:id="396"/>
      <w:bookmarkEnd w:id="402"/>
    </w:p>
    <w:p w14:paraId="342A2938">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EC76F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12F035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41A7B3A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095359D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1EC5ECF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E771E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0A98DAE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1C8D49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72F824C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17AE74C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5F79603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2985D92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7A4CC3B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7F9D3DF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D17CF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757A46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2550ED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5D0AB17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50CEEEB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01E50CC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44D5196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以项目经理身份参与过的主要业绩（已完工项目）</w:t>
            </w:r>
          </w:p>
        </w:tc>
      </w:tr>
      <w:tr w14:paraId="42059CC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67BD06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E44B09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BCEE6D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474BEF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094C72D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7849DD5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7423B5A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D41E4A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08A6C7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87DDA9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334600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A50201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28B7B9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03A129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F8CCF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FB405A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9FB4F7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60F91F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724A4EF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F40BE7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B9C451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6C2B50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5552531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B7BE3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219E5A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B56814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7C9E94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03AAC8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4B58A1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51C04F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D2B078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3A7917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5C4DC29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74912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40323B02">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项目经理简历表</w:t>
      </w:r>
    </w:p>
    <w:p w14:paraId="59BE61B0">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295F2BD4">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368FC698">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项目经理：</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38E24A18">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0B615E8B">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43520476">
      <w:pPr>
        <w:pStyle w:val="5"/>
        <w:rPr>
          <w:rFonts w:hint="eastAsia"/>
          <w:color w:val="auto"/>
          <w:highlight w:val="none"/>
        </w:rPr>
      </w:pPr>
    </w:p>
    <w:p w14:paraId="16EECF79">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说明：《项目经理简历表》后应附拟派项目经理以下资料：</w:t>
      </w:r>
    </w:p>
    <w:p w14:paraId="2DB6E29A">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1．身份证彩色扫描件；</w:t>
      </w:r>
    </w:p>
    <w:p w14:paraId="5F3F0FE2">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2．建造师电子注册证书（在使用有效期内的有效电子证书）彩色扫描件；</w:t>
      </w:r>
    </w:p>
    <w:p w14:paraId="5D8DE692">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3．B类安全生产考核合格证书彩色扫描件或广东省建筑施工企业管理人员安全生产考核系统考核合格信息彩色扫描件；</w:t>
      </w:r>
    </w:p>
    <w:p w14:paraId="26B31B16">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4．在本单位缴纳社保的证明（</w:t>
      </w:r>
      <w:r>
        <w:rPr>
          <w:rFonts w:hint="eastAsia"/>
          <w:snapToGrid w:val="0"/>
          <w:color w:val="auto"/>
          <w:kern w:val="0"/>
          <w:szCs w:val="28"/>
          <w:highlight w:val="none"/>
        </w:rPr>
        <w:t>其中须有202</w:t>
      </w:r>
      <w:r>
        <w:rPr>
          <w:rFonts w:hint="eastAsia"/>
          <w:snapToGrid w:val="0"/>
          <w:color w:val="auto"/>
          <w:kern w:val="0"/>
          <w:szCs w:val="28"/>
          <w:highlight w:val="none"/>
          <w:lang w:val="en-US" w:eastAsia="zh-CN"/>
        </w:rPr>
        <w:t>5</w:t>
      </w:r>
      <w:r>
        <w:rPr>
          <w:rFonts w:hint="eastAsia"/>
          <w:snapToGrid w:val="0"/>
          <w:color w:val="auto"/>
          <w:kern w:val="0"/>
          <w:szCs w:val="28"/>
          <w:highlight w:val="none"/>
        </w:rPr>
        <w:t>年</w:t>
      </w:r>
      <w:r>
        <w:rPr>
          <w:rFonts w:hint="eastAsia"/>
          <w:snapToGrid w:val="0"/>
          <w:color w:val="auto"/>
          <w:kern w:val="0"/>
          <w:szCs w:val="28"/>
          <w:highlight w:val="none"/>
          <w:lang w:val="en-US" w:eastAsia="zh-CN"/>
        </w:rPr>
        <w:t>10</w:t>
      </w:r>
      <w:r>
        <w:rPr>
          <w:rFonts w:hint="eastAsia"/>
          <w:snapToGrid w:val="0"/>
          <w:color w:val="auto"/>
          <w:kern w:val="0"/>
          <w:szCs w:val="28"/>
          <w:highlight w:val="none"/>
        </w:rPr>
        <w:t>月</w:t>
      </w:r>
      <w:r>
        <w:rPr>
          <w:rFonts w:hint="eastAsia" w:asciiTheme="minorEastAsia" w:hAnsiTheme="minorEastAsia" w:eastAsiaTheme="minorEastAsia" w:cstheme="minorEastAsia"/>
          <w:snapToGrid w:val="0"/>
          <w:color w:val="auto"/>
          <w:kern w:val="0"/>
          <w:szCs w:val="24"/>
          <w:highlight w:val="none"/>
        </w:rPr>
        <w:t>）彩色扫描件；拟派项目经理为退休返聘人员无法提供社保证明的，提供退休证和劳动合同彩色扫描件。</w:t>
      </w:r>
    </w:p>
    <w:p w14:paraId="25393FCA">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p>
    <w:p w14:paraId="6002EA95">
      <w:pPr>
        <w:pStyle w:val="3"/>
        <w:spacing w:before="120"/>
        <w:rPr>
          <w:rFonts w:hint="eastAsia" w:asciiTheme="minorEastAsia" w:hAnsiTheme="minorEastAsia" w:eastAsiaTheme="minorEastAsia" w:cstheme="minorEastAsia"/>
          <w:b/>
          <w:bCs/>
          <w:color w:val="auto"/>
          <w:szCs w:val="24"/>
          <w:highlight w:val="none"/>
        </w:rPr>
      </w:pPr>
      <w:bookmarkStart w:id="403" w:name="_Toc17547"/>
      <w:r>
        <w:rPr>
          <w:rFonts w:hint="eastAsia" w:asciiTheme="minorEastAsia" w:hAnsiTheme="minorEastAsia" w:eastAsiaTheme="minorEastAsia" w:cstheme="minorEastAsia"/>
          <w:b/>
          <w:bCs/>
          <w:color w:val="auto"/>
          <w:szCs w:val="24"/>
          <w:highlight w:val="none"/>
        </w:rPr>
        <w:t>格式九 项目经理任职声明</w:t>
      </w:r>
      <w:bookmarkEnd w:id="403"/>
    </w:p>
    <w:p w14:paraId="03447F2A">
      <w:pPr>
        <w:wordWrap w:val="0"/>
        <w:adjustRightInd w:val="0"/>
        <w:snapToGrid w:val="0"/>
        <w:spacing w:line="440" w:lineRule="exact"/>
        <w:jc w:val="left"/>
        <w:rPr>
          <w:rFonts w:hint="eastAsia" w:asciiTheme="minorEastAsia" w:hAnsiTheme="minorEastAsia" w:eastAsiaTheme="minorEastAsia" w:cstheme="minorEastAsia"/>
          <w:b/>
          <w:snapToGrid w:val="0"/>
          <w:color w:val="auto"/>
          <w:kern w:val="0"/>
          <w:szCs w:val="24"/>
          <w:highlight w:val="none"/>
        </w:rPr>
      </w:pPr>
    </w:p>
    <w:p w14:paraId="0FD4D4E3">
      <w:pPr>
        <w:wordWrap w:val="0"/>
        <w:adjustRightInd w:val="0"/>
        <w:snapToGrid w:val="0"/>
        <w:spacing w:before="260" w:after="260"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项目经理任职声明</w:t>
      </w:r>
    </w:p>
    <w:p w14:paraId="65BEABBD">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p>
    <w:p w14:paraId="05B800F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bookmarkStart w:id="404" w:name="_Toc21599"/>
      <w:r>
        <w:rPr>
          <w:rFonts w:hint="eastAsia" w:asciiTheme="minorEastAsia" w:hAnsiTheme="minorEastAsia" w:eastAsiaTheme="minorEastAsia" w:cstheme="minorEastAsia"/>
          <w:snapToGrid w:val="0"/>
          <w:color w:val="auto"/>
          <w:kern w:val="0"/>
          <w:szCs w:val="24"/>
          <w:highlight w:val="none"/>
        </w:rPr>
        <w:t>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（招标人名称）：</w:t>
      </w:r>
    </w:p>
    <w:p w14:paraId="252A21C4">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我方在此声明，我方拟派往</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（项目名称）的项目经理</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（项目经理姓名）现阶段没有担任任何在施（包括已中标未开工、已开工未竣工）建设工程项目的项目经理。</w:t>
      </w:r>
    </w:p>
    <w:p w14:paraId="5CA01D94">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我方保证上述信息的真实和准确，并愿意承担因我方就此弄虚作假所引起的一切法律后果。</w:t>
      </w:r>
    </w:p>
    <w:p w14:paraId="2162EFA6">
      <w:pPr>
        <w:wordWrap w:val="0"/>
        <w:adjustRightInd w:val="0"/>
        <w:snapToGrid w:val="0"/>
        <w:spacing w:line="440" w:lineRule="exact"/>
        <w:ind w:firstLine="48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081B7980">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特此承诺　　</w:t>
      </w:r>
    </w:p>
    <w:p w14:paraId="08AA6649">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637463F5">
      <w:pPr>
        <w:wordWrap w:val="0"/>
        <w:adjustRightInd w:val="0"/>
        <w:snapToGrid w:val="0"/>
        <w:spacing w:line="44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w:t>
      </w:r>
    </w:p>
    <w:p w14:paraId="599BCFED">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投标人：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（盖单位章）</w:t>
      </w:r>
    </w:p>
    <w:p w14:paraId="183111B3">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398B353A">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648D0F2D">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法定代表人或其委托代理人：</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（签字或盖章）</w:t>
      </w:r>
    </w:p>
    <w:p w14:paraId="2AB26DB4">
      <w:pPr>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Cs w:val="24"/>
          <w:highlight w:val="none"/>
        </w:rPr>
      </w:pPr>
    </w:p>
    <w:p w14:paraId="36AE6601">
      <w:pPr>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年</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月</w:t>
      </w:r>
      <w:r>
        <w:rPr>
          <w:rFonts w:hint="eastAsia" w:asciiTheme="minorEastAsia" w:hAnsiTheme="minorEastAsia" w:eastAsiaTheme="minorEastAsia" w:cstheme="minorEastAsia"/>
          <w:snapToGrid w:val="0"/>
          <w:color w:val="auto"/>
          <w:kern w:val="0"/>
          <w:szCs w:val="24"/>
          <w:highlight w:val="none"/>
          <w:u w:val="single"/>
        </w:rPr>
        <w:t xml:space="preserve">        </w:t>
      </w:r>
      <w:r>
        <w:rPr>
          <w:rFonts w:hint="eastAsia" w:asciiTheme="minorEastAsia" w:hAnsiTheme="minorEastAsia" w:eastAsiaTheme="minorEastAsia" w:cstheme="minorEastAsia"/>
          <w:snapToGrid w:val="0"/>
          <w:color w:val="auto"/>
          <w:kern w:val="0"/>
          <w:szCs w:val="24"/>
          <w:highlight w:val="none"/>
        </w:rPr>
        <w:t>日</w:t>
      </w:r>
    </w:p>
    <w:p w14:paraId="216895C9">
      <w:pPr>
        <w:pStyle w:val="3"/>
        <w:spacing w:before="120"/>
        <w:rPr>
          <w:rFonts w:hint="eastAsia" w:asciiTheme="minorEastAsia" w:hAnsiTheme="minorEastAsia" w:eastAsiaTheme="minorEastAsia" w:cstheme="minorEastAsia"/>
          <w:b/>
          <w:bCs/>
          <w:color w:val="auto"/>
          <w:szCs w:val="24"/>
          <w:highlight w:val="none"/>
        </w:rPr>
      </w:pPr>
    </w:p>
    <w:p w14:paraId="79817CD1">
      <w:pPr>
        <w:pStyle w:val="3"/>
        <w:spacing w:before="120"/>
        <w:rPr>
          <w:rFonts w:hint="eastAsia" w:asciiTheme="minorEastAsia" w:hAnsiTheme="minorEastAsia" w:eastAsiaTheme="minorEastAsia" w:cstheme="minorEastAsia"/>
          <w:b/>
          <w:bCs/>
          <w:color w:val="auto"/>
          <w:szCs w:val="24"/>
          <w:highlight w:val="none"/>
        </w:rPr>
      </w:pPr>
    </w:p>
    <w:p w14:paraId="2465646F">
      <w:pPr>
        <w:pStyle w:val="3"/>
        <w:spacing w:before="120"/>
        <w:rPr>
          <w:rFonts w:hint="eastAsia" w:asciiTheme="minorEastAsia" w:hAnsiTheme="minorEastAsia" w:eastAsiaTheme="minorEastAsia" w:cstheme="minorEastAsia"/>
          <w:b/>
          <w:bCs/>
          <w:color w:val="auto"/>
          <w:szCs w:val="24"/>
          <w:highlight w:val="none"/>
        </w:rPr>
      </w:pPr>
    </w:p>
    <w:p w14:paraId="14CBB21F">
      <w:pPr>
        <w:pStyle w:val="3"/>
        <w:spacing w:before="120"/>
        <w:rPr>
          <w:rFonts w:hint="eastAsia" w:asciiTheme="minorEastAsia" w:hAnsiTheme="minorEastAsia" w:eastAsiaTheme="minorEastAsia" w:cstheme="minorEastAsia"/>
          <w:b/>
          <w:bCs/>
          <w:color w:val="auto"/>
          <w:szCs w:val="24"/>
          <w:highlight w:val="none"/>
        </w:rPr>
      </w:pPr>
    </w:p>
    <w:p w14:paraId="772CD138">
      <w:pPr>
        <w:pStyle w:val="3"/>
        <w:spacing w:before="120"/>
        <w:rPr>
          <w:rFonts w:hint="eastAsia" w:asciiTheme="minorEastAsia" w:hAnsiTheme="minorEastAsia" w:eastAsiaTheme="minorEastAsia" w:cstheme="minorEastAsia"/>
          <w:b/>
          <w:bCs/>
          <w:color w:val="auto"/>
          <w:szCs w:val="24"/>
          <w:highlight w:val="none"/>
        </w:rPr>
      </w:pPr>
    </w:p>
    <w:p w14:paraId="641F8A87">
      <w:pPr>
        <w:pStyle w:val="3"/>
        <w:spacing w:before="120"/>
        <w:rPr>
          <w:rFonts w:hint="eastAsia" w:asciiTheme="minorEastAsia" w:hAnsiTheme="minorEastAsia" w:eastAsiaTheme="minorEastAsia" w:cstheme="minorEastAsia"/>
          <w:b/>
          <w:bCs/>
          <w:color w:val="auto"/>
          <w:szCs w:val="24"/>
          <w:highlight w:val="none"/>
        </w:rPr>
      </w:pPr>
    </w:p>
    <w:p w14:paraId="0FB672FD">
      <w:pPr>
        <w:pStyle w:val="3"/>
        <w:spacing w:before="120"/>
        <w:rPr>
          <w:rFonts w:hint="eastAsia" w:asciiTheme="minorEastAsia" w:hAnsiTheme="minorEastAsia" w:eastAsiaTheme="minorEastAsia" w:cstheme="minorEastAsia"/>
          <w:b/>
          <w:bCs/>
          <w:color w:val="auto"/>
          <w:szCs w:val="24"/>
          <w:highlight w:val="none"/>
        </w:rPr>
      </w:pPr>
    </w:p>
    <w:p w14:paraId="48C7ECB3">
      <w:pPr>
        <w:pStyle w:val="3"/>
        <w:spacing w:before="120"/>
        <w:rPr>
          <w:rFonts w:hint="eastAsia" w:asciiTheme="minorEastAsia" w:hAnsiTheme="minorEastAsia" w:eastAsiaTheme="minorEastAsia" w:cstheme="minorEastAsia"/>
          <w:b/>
          <w:bCs/>
          <w:color w:val="auto"/>
          <w:szCs w:val="24"/>
          <w:highlight w:val="none"/>
        </w:rPr>
      </w:pPr>
    </w:p>
    <w:p w14:paraId="61D27F6A">
      <w:pPr>
        <w:pStyle w:val="3"/>
        <w:spacing w:before="120"/>
        <w:rPr>
          <w:rFonts w:hint="eastAsia" w:asciiTheme="minorEastAsia" w:hAnsiTheme="minorEastAsia" w:eastAsiaTheme="minorEastAsia" w:cstheme="minorEastAsia"/>
          <w:b/>
          <w:bCs/>
          <w:color w:val="auto"/>
          <w:szCs w:val="24"/>
          <w:highlight w:val="none"/>
        </w:rPr>
      </w:pPr>
    </w:p>
    <w:p w14:paraId="708759BD">
      <w:pPr>
        <w:pStyle w:val="3"/>
        <w:spacing w:before="120"/>
        <w:rPr>
          <w:rFonts w:hint="eastAsia" w:asciiTheme="minorEastAsia" w:hAnsiTheme="minorEastAsia" w:eastAsiaTheme="minorEastAsia" w:cstheme="minorEastAsia"/>
          <w:b/>
          <w:bCs/>
          <w:color w:val="auto"/>
          <w:szCs w:val="24"/>
          <w:highlight w:val="none"/>
        </w:rPr>
      </w:pPr>
      <w:bookmarkStart w:id="405" w:name="_Toc15458"/>
      <w:r>
        <w:rPr>
          <w:rFonts w:hint="eastAsia" w:asciiTheme="minorEastAsia" w:hAnsiTheme="minorEastAsia" w:eastAsiaTheme="minorEastAsia" w:cstheme="minorEastAsia"/>
          <w:b/>
          <w:bCs/>
          <w:color w:val="auto"/>
          <w:szCs w:val="24"/>
          <w:highlight w:val="none"/>
        </w:rPr>
        <w:t>格式十 项目技术负责人简历表</w:t>
      </w:r>
      <w:bookmarkEnd w:id="404"/>
      <w:bookmarkEnd w:id="405"/>
    </w:p>
    <w:p w14:paraId="1264D3B1">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1EC3445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6B14611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4F1817E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7034AE2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154C60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6C1B53F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0F6C064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FF3EDC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089BFD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3A276C6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646A120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5D86055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05730D6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6E50E99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5B0704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1E7F61C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624839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6BCB7DC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516CAEE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792945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5F766CD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以项目技术负责人身份参与过的主要业绩（已完工项目）</w:t>
            </w:r>
          </w:p>
        </w:tc>
      </w:tr>
      <w:tr w14:paraId="5A235E2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0969A7D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78E765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0337CB3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47A090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5A3C7D8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54E9461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73937F1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233809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1DAAE45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45C48A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DEBD1C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0861B5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B4177B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8E074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1F75C1C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7BD6D44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8CF6E4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2E83957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DBA2E2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4301CEE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C62D0A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6293691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F180E0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0D89B7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CBB0E0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208EE0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186D09C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75D6A5B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98979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734500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302DF66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A81AC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FFEA50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6EF1F7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0F70C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FBB7C3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E688A0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27B1FE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18D5B3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4C9BCCC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5B86F2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26D3DD6A">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项目技术负责人简历表</w:t>
      </w:r>
    </w:p>
    <w:p w14:paraId="20752566">
      <w:pPr>
        <w:pStyle w:val="41"/>
        <w:wordWrap w:val="0"/>
        <w:adjustRightInd w:val="0"/>
        <w:snapToGrid w:val="0"/>
        <w:spacing w:line="440" w:lineRule="exact"/>
        <w:jc w:val="both"/>
        <w:rPr>
          <w:rFonts w:hint="eastAsia" w:asciiTheme="minorEastAsia" w:hAnsiTheme="minorEastAsia" w:eastAsiaTheme="minorEastAsia" w:cstheme="minorEastAsia"/>
          <w:snapToGrid w:val="0"/>
          <w:color w:val="auto"/>
          <w:kern w:val="0"/>
          <w:sz w:val="24"/>
          <w:szCs w:val="24"/>
          <w:highlight w:val="none"/>
        </w:rPr>
      </w:pPr>
    </w:p>
    <w:p w14:paraId="1E606AC6">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58B64F5A">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项目技术负责人：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2063F298">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142A1A9D">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5A7ADCFA">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1AF5E4D7">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p>
    <w:p w14:paraId="3F8F32AF">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286157C3">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说明：《项目技术负责人简历表》后应附拟派项目技术负责人以下资料：</w:t>
      </w:r>
    </w:p>
    <w:p w14:paraId="4F36E60B">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1．身份证彩色扫描件；</w:t>
      </w:r>
    </w:p>
    <w:p w14:paraId="65345647">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2．职称证彩色扫描件；</w:t>
      </w:r>
    </w:p>
    <w:p w14:paraId="099D685F">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szCs w:val="24"/>
          <w:highlight w:val="none"/>
        </w:rPr>
        <w:sectPr>
          <w:endnotePr>
            <w:numFmt w:val="decimal"/>
          </w:endnotePr>
          <w:pgSz w:w="11906" w:h="16838"/>
          <w:pgMar w:top="1701" w:right="1531" w:bottom="1417" w:left="1531" w:header="850" w:footer="992" w:gutter="0"/>
          <w:pgNumType w:fmt="decimal"/>
          <w:cols w:space="720" w:num="1"/>
          <w:docGrid w:linePitch="327" w:charSpace="0"/>
        </w:sectPr>
      </w:pPr>
      <w:r>
        <w:rPr>
          <w:rFonts w:hint="eastAsia" w:asciiTheme="minorEastAsia" w:hAnsiTheme="minorEastAsia" w:eastAsiaTheme="minorEastAsia" w:cstheme="minorEastAsia"/>
          <w:snapToGrid w:val="0"/>
          <w:color w:val="auto"/>
          <w:kern w:val="0"/>
          <w:szCs w:val="24"/>
          <w:highlight w:val="none"/>
        </w:rPr>
        <w:t>3．在本单位缴纳社保的证明（</w:t>
      </w:r>
      <w:r>
        <w:rPr>
          <w:rFonts w:hint="eastAsia"/>
          <w:snapToGrid w:val="0"/>
          <w:color w:val="auto"/>
          <w:kern w:val="0"/>
          <w:szCs w:val="28"/>
          <w:highlight w:val="none"/>
        </w:rPr>
        <w:t>其中须有202</w:t>
      </w:r>
      <w:r>
        <w:rPr>
          <w:rFonts w:hint="eastAsia"/>
          <w:snapToGrid w:val="0"/>
          <w:color w:val="auto"/>
          <w:kern w:val="0"/>
          <w:szCs w:val="28"/>
          <w:highlight w:val="none"/>
          <w:lang w:val="en-US" w:eastAsia="zh-CN"/>
        </w:rPr>
        <w:t>5</w:t>
      </w:r>
      <w:r>
        <w:rPr>
          <w:rFonts w:hint="eastAsia"/>
          <w:snapToGrid w:val="0"/>
          <w:color w:val="auto"/>
          <w:kern w:val="0"/>
          <w:szCs w:val="28"/>
          <w:highlight w:val="none"/>
        </w:rPr>
        <w:t>年</w:t>
      </w:r>
      <w:r>
        <w:rPr>
          <w:rFonts w:hint="eastAsia"/>
          <w:snapToGrid w:val="0"/>
          <w:color w:val="auto"/>
          <w:kern w:val="0"/>
          <w:szCs w:val="28"/>
          <w:highlight w:val="none"/>
          <w:lang w:val="en-US" w:eastAsia="zh-CN"/>
        </w:rPr>
        <w:t>10</w:t>
      </w:r>
      <w:r>
        <w:rPr>
          <w:rFonts w:hint="eastAsia"/>
          <w:snapToGrid w:val="0"/>
          <w:color w:val="auto"/>
          <w:kern w:val="0"/>
          <w:szCs w:val="28"/>
          <w:highlight w:val="none"/>
        </w:rPr>
        <w:t>月</w:t>
      </w:r>
      <w:r>
        <w:rPr>
          <w:rFonts w:hint="eastAsia" w:asciiTheme="minorEastAsia" w:hAnsiTheme="minorEastAsia" w:eastAsiaTheme="minorEastAsia" w:cstheme="minorEastAsia"/>
          <w:snapToGrid w:val="0"/>
          <w:color w:val="auto"/>
          <w:kern w:val="0"/>
          <w:szCs w:val="24"/>
          <w:highlight w:val="none"/>
        </w:rPr>
        <w:t>）彩色扫描件；拟派技术负责人为退休返聘人员无法提供社保证明的，提供退休证和劳动合同彩色扫描件。</w:t>
      </w:r>
    </w:p>
    <w:p w14:paraId="1534A20B">
      <w:pPr>
        <w:pStyle w:val="3"/>
        <w:spacing w:before="120"/>
        <w:rPr>
          <w:rFonts w:hint="eastAsia" w:asciiTheme="minorEastAsia" w:hAnsiTheme="minorEastAsia" w:eastAsiaTheme="minorEastAsia" w:cstheme="minorEastAsia"/>
          <w:b/>
          <w:bCs/>
          <w:color w:val="auto"/>
          <w:szCs w:val="24"/>
          <w:highlight w:val="none"/>
        </w:rPr>
      </w:pPr>
      <w:bookmarkStart w:id="406" w:name="_Toc31518"/>
      <w:bookmarkStart w:id="407" w:name="_Toc28717"/>
      <w:r>
        <w:rPr>
          <w:rFonts w:hint="eastAsia" w:asciiTheme="minorEastAsia" w:hAnsiTheme="minorEastAsia" w:eastAsiaTheme="minorEastAsia" w:cstheme="minorEastAsia"/>
          <w:b/>
          <w:bCs/>
          <w:color w:val="auto"/>
          <w:szCs w:val="24"/>
          <w:highlight w:val="none"/>
        </w:rPr>
        <w:t>格式十一 项目设计负责人简历表</w:t>
      </w:r>
      <w:bookmarkEnd w:id="406"/>
      <w:bookmarkEnd w:id="407"/>
    </w:p>
    <w:p w14:paraId="7BFFB637">
      <w:pPr>
        <w:wordWrap w:val="0"/>
        <w:adjustRightInd w:val="0"/>
        <w:snapToGrid w:val="0"/>
        <w:spacing w:line="440" w:lineRule="exact"/>
        <w:jc w:val="left"/>
        <w:rPr>
          <w:rFonts w:hint="eastAsia" w:asciiTheme="minorEastAsia" w:hAnsiTheme="minorEastAsia" w:eastAsiaTheme="minorEastAsia" w:cstheme="minorEastAsia"/>
          <w:b/>
          <w:bCs/>
          <w:snapToGrid w:val="0"/>
          <w:color w:val="auto"/>
          <w:kern w:val="0"/>
          <w:szCs w:val="24"/>
          <w:highlight w:val="none"/>
        </w:rPr>
      </w:pPr>
    </w:p>
    <w:tbl>
      <w:tblPr>
        <w:tblStyle w:val="22"/>
        <w:tblpPr w:leftFromText="180" w:rightFromText="180" w:vertAnchor="text" w:horzAnchor="page" w:tblpX="1490" w:tblpY="692"/>
        <w:tblOverlap w:val="never"/>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75"/>
        <w:gridCol w:w="963"/>
        <w:gridCol w:w="584"/>
        <w:gridCol w:w="648"/>
        <w:gridCol w:w="1294"/>
        <w:gridCol w:w="1946"/>
        <w:gridCol w:w="27"/>
        <w:gridCol w:w="1706"/>
        <w:gridCol w:w="1327"/>
      </w:tblGrid>
      <w:tr w14:paraId="3AE6E2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5DB2E4D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   名</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01F422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3B8E80C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  别</w:t>
            </w:r>
          </w:p>
        </w:tc>
        <w:tc>
          <w:tcPr>
            <w:tcW w:w="1946" w:type="dxa"/>
            <w:tcBorders>
              <w:top w:val="single" w:color="auto" w:sz="6" w:space="0"/>
              <w:left w:val="single" w:color="auto" w:sz="6" w:space="0"/>
              <w:bottom w:val="single" w:color="auto" w:sz="6" w:space="0"/>
              <w:right w:val="single" w:color="auto" w:sz="6" w:space="0"/>
            </w:tcBorders>
            <w:noWrap/>
            <w:vAlign w:val="center"/>
          </w:tcPr>
          <w:p w14:paraId="06CE8D2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4E0AFFC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   龄</w:t>
            </w:r>
          </w:p>
        </w:tc>
        <w:tc>
          <w:tcPr>
            <w:tcW w:w="1327" w:type="dxa"/>
            <w:tcBorders>
              <w:top w:val="single" w:color="auto" w:sz="6" w:space="0"/>
              <w:left w:val="single" w:color="auto" w:sz="6" w:space="0"/>
              <w:bottom w:val="single" w:color="auto" w:sz="6" w:space="0"/>
              <w:right w:val="single" w:color="auto" w:sz="6" w:space="0"/>
            </w:tcBorders>
            <w:noWrap/>
            <w:vAlign w:val="center"/>
          </w:tcPr>
          <w:p w14:paraId="2E6BBFC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5157AE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2DE75C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务</w:t>
            </w:r>
          </w:p>
        </w:tc>
        <w:tc>
          <w:tcPr>
            <w:tcW w:w="1232" w:type="dxa"/>
            <w:gridSpan w:val="2"/>
            <w:tcBorders>
              <w:top w:val="single" w:color="auto" w:sz="6" w:space="0"/>
              <w:left w:val="single" w:color="auto" w:sz="6" w:space="0"/>
              <w:bottom w:val="single" w:color="auto" w:sz="6" w:space="0"/>
              <w:right w:val="single" w:color="auto" w:sz="6" w:space="0"/>
            </w:tcBorders>
            <w:noWrap/>
            <w:vAlign w:val="center"/>
          </w:tcPr>
          <w:p w14:paraId="25F48F8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294" w:type="dxa"/>
            <w:tcBorders>
              <w:top w:val="single" w:color="auto" w:sz="6" w:space="0"/>
              <w:left w:val="single" w:color="auto" w:sz="6" w:space="0"/>
              <w:bottom w:val="single" w:color="auto" w:sz="6" w:space="0"/>
              <w:right w:val="single" w:color="auto" w:sz="6" w:space="0"/>
            </w:tcBorders>
            <w:noWrap/>
            <w:vAlign w:val="center"/>
          </w:tcPr>
          <w:p w14:paraId="22FD364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  称</w:t>
            </w:r>
          </w:p>
        </w:tc>
        <w:tc>
          <w:tcPr>
            <w:tcW w:w="1946" w:type="dxa"/>
            <w:tcBorders>
              <w:top w:val="single" w:color="auto" w:sz="6" w:space="0"/>
              <w:left w:val="single" w:color="auto" w:sz="6" w:space="0"/>
              <w:bottom w:val="single" w:color="auto" w:sz="6" w:space="0"/>
              <w:right w:val="single" w:color="auto" w:sz="6" w:space="0"/>
            </w:tcBorders>
            <w:noWrap/>
            <w:vAlign w:val="center"/>
          </w:tcPr>
          <w:p w14:paraId="1B6D8C6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33" w:type="dxa"/>
            <w:gridSpan w:val="2"/>
            <w:tcBorders>
              <w:top w:val="single" w:color="auto" w:sz="6" w:space="0"/>
              <w:left w:val="single" w:color="auto" w:sz="6" w:space="0"/>
              <w:bottom w:val="single" w:color="auto" w:sz="6" w:space="0"/>
              <w:right w:val="single" w:color="auto" w:sz="6" w:space="0"/>
            </w:tcBorders>
            <w:noWrap/>
            <w:vAlign w:val="center"/>
          </w:tcPr>
          <w:p w14:paraId="52DCEA6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学   历</w:t>
            </w:r>
          </w:p>
        </w:tc>
        <w:tc>
          <w:tcPr>
            <w:tcW w:w="1327" w:type="dxa"/>
            <w:tcBorders>
              <w:top w:val="single" w:color="auto" w:sz="6" w:space="0"/>
              <w:left w:val="single" w:color="auto" w:sz="6" w:space="0"/>
              <w:bottom w:val="single" w:color="auto" w:sz="6" w:space="0"/>
              <w:right w:val="single" w:color="auto" w:sz="6" w:space="0"/>
            </w:tcBorders>
            <w:noWrap/>
            <w:vAlign w:val="center"/>
          </w:tcPr>
          <w:p w14:paraId="36C8F0E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2FED94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1738" w:type="dxa"/>
            <w:gridSpan w:val="2"/>
            <w:tcBorders>
              <w:top w:val="single" w:color="auto" w:sz="6" w:space="0"/>
              <w:left w:val="single" w:color="auto" w:sz="6" w:space="0"/>
              <w:bottom w:val="single" w:color="auto" w:sz="6" w:space="0"/>
              <w:right w:val="single" w:color="auto" w:sz="6" w:space="0"/>
            </w:tcBorders>
            <w:noWrap/>
            <w:vAlign w:val="center"/>
          </w:tcPr>
          <w:p w14:paraId="06F50BB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参加工作时间</w:t>
            </w:r>
          </w:p>
        </w:tc>
        <w:tc>
          <w:tcPr>
            <w:tcW w:w="2526" w:type="dxa"/>
            <w:gridSpan w:val="3"/>
            <w:tcBorders>
              <w:top w:val="single" w:color="auto" w:sz="6" w:space="0"/>
              <w:left w:val="single" w:color="auto" w:sz="6" w:space="0"/>
              <w:bottom w:val="single" w:color="auto" w:sz="6" w:space="0"/>
              <w:right w:val="single" w:color="auto" w:sz="6" w:space="0"/>
            </w:tcBorders>
            <w:noWrap/>
            <w:vAlign w:val="center"/>
          </w:tcPr>
          <w:p w14:paraId="72D1911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3679" w:type="dxa"/>
            <w:gridSpan w:val="3"/>
            <w:tcBorders>
              <w:top w:val="single" w:color="auto" w:sz="6" w:space="0"/>
              <w:left w:val="single" w:color="auto" w:sz="6" w:space="0"/>
              <w:bottom w:val="single" w:color="auto" w:sz="6" w:space="0"/>
              <w:right w:val="single" w:color="auto" w:sz="6" w:space="0"/>
            </w:tcBorders>
            <w:noWrap/>
            <w:vAlign w:val="center"/>
          </w:tcPr>
          <w:p w14:paraId="49B046C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从事工程建设项目管理工作年限</w:t>
            </w:r>
          </w:p>
        </w:tc>
        <w:tc>
          <w:tcPr>
            <w:tcW w:w="1327" w:type="dxa"/>
            <w:tcBorders>
              <w:top w:val="single" w:color="auto" w:sz="6" w:space="0"/>
              <w:left w:val="single" w:color="auto" w:sz="6" w:space="0"/>
              <w:bottom w:val="single" w:color="auto" w:sz="6" w:space="0"/>
              <w:right w:val="single" w:color="auto" w:sz="6" w:space="0"/>
            </w:tcBorders>
            <w:noWrap/>
            <w:vAlign w:val="center"/>
          </w:tcPr>
          <w:p w14:paraId="63D556E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BC10EE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9270" w:type="dxa"/>
            <w:gridSpan w:val="9"/>
            <w:tcBorders>
              <w:top w:val="single" w:color="auto" w:sz="6" w:space="0"/>
              <w:left w:val="single" w:color="auto" w:sz="6" w:space="0"/>
              <w:bottom w:val="single" w:color="auto" w:sz="6" w:space="0"/>
              <w:right w:val="single" w:color="auto" w:sz="6" w:space="0"/>
            </w:tcBorders>
            <w:noWrap/>
            <w:vAlign w:val="center"/>
          </w:tcPr>
          <w:p w14:paraId="05F0EA9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以项目设计负责人身份参与过的主要业绩（已完工项目）</w:t>
            </w:r>
          </w:p>
        </w:tc>
      </w:tr>
      <w:tr w14:paraId="3A52A80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77AD18F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458A5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项目名称</w:t>
            </w: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49DD8D1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建设单位</w:t>
            </w: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78BE9D8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建设内容和规模</w:t>
            </w:r>
          </w:p>
        </w:tc>
        <w:tc>
          <w:tcPr>
            <w:tcW w:w="1706" w:type="dxa"/>
            <w:tcBorders>
              <w:top w:val="single" w:color="auto" w:sz="6" w:space="0"/>
              <w:left w:val="single" w:color="auto" w:sz="6" w:space="0"/>
              <w:bottom w:val="single" w:color="auto" w:sz="6" w:space="0"/>
              <w:right w:val="single" w:color="auto" w:sz="6" w:space="0"/>
            </w:tcBorders>
            <w:noWrap/>
            <w:vAlign w:val="center"/>
          </w:tcPr>
          <w:p w14:paraId="5A22F7B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开、竣工日期</w:t>
            </w:r>
          </w:p>
        </w:tc>
        <w:tc>
          <w:tcPr>
            <w:tcW w:w="1327" w:type="dxa"/>
            <w:tcBorders>
              <w:top w:val="single" w:color="auto" w:sz="6" w:space="0"/>
              <w:left w:val="single" w:color="auto" w:sz="6" w:space="0"/>
              <w:bottom w:val="single" w:color="auto" w:sz="6" w:space="0"/>
              <w:right w:val="single" w:color="auto" w:sz="6" w:space="0"/>
            </w:tcBorders>
            <w:noWrap/>
            <w:vAlign w:val="center"/>
          </w:tcPr>
          <w:p w14:paraId="2671EFF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质量等级</w:t>
            </w:r>
          </w:p>
        </w:tc>
      </w:tr>
      <w:tr w14:paraId="0ED98C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741589F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354EA1B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60E1D3F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00C7B7C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6519A08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0094BFA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0D24181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5CB33F1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23460E1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FF88AE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3CB2BBC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2F717FD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35699F4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F7E11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134A37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7D5C38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7F4B075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10D1E6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00480F6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68CE487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1813697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4DC129A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63FF59A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15BFF20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1035291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0B8D20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23353AC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07ED23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exact"/>
        </w:trPr>
        <w:tc>
          <w:tcPr>
            <w:tcW w:w="775" w:type="dxa"/>
            <w:tcBorders>
              <w:top w:val="single" w:color="auto" w:sz="6" w:space="0"/>
              <w:left w:val="single" w:color="auto" w:sz="6" w:space="0"/>
              <w:bottom w:val="single" w:color="auto" w:sz="6" w:space="0"/>
              <w:right w:val="single" w:color="auto" w:sz="4" w:space="0"/>
            </w:tcBorders>
            <w:noWrap/>
            <w:vAlign w:val="center"/>
          </w:tcPr>
          <w:p w14:paraId="361032B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7" w:type="dxa"/>
            <w:gridSpan w:val="2"/>
            <w:tcBorders>
              <w:top w:val="single" w:color="auto" w:sz="6" w:space="0"/>
              <w:left w:val="single" w:color="auto" w:sz="4" w:space="0"/>
              <w:bottom w:val="single" w:color="auto" w:sz="6" w:space="0"/>
              <w:right w:val="single" w:color="auto" w:sz="6" w:space="0"/>
            </w:tcBorders>
            <w:noWrap/>
            <w:vAlign w:val="center"/>
          </w:tcPr>
          <w:p w14:paraId="0E04C05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42" w:type="dxa"/>
            <w:gridSpan w:val="2"/>
            <w:tcBorders>
              <w:top w:val="single" w:color="auto" w:sz="6" w:space="0"/>
              <w:left w:val="single" w:color="auto" w:sz="6" w:space="0"/>
              <w:bottom w:val="single" w:color="auto" w:sz="6" w:space="0"/>
              <w:right w:val="single" w:color="auto" w:sz="6" w:space="0"/>
            </w:tcBorders>
            <w:noWrap/>
            <w:vAlign w:val="center"/>
          </w:tcPr>
          <w:p w14:paraId="5B1F6AB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973" w:type="dxa"/>
            <w:gridSpan w:val="2"/>
            <w:tcBorders>
              <w:top w:val="single" w:color="auto" w:sz="6" w:space="0"/>
              <w:left w:val="single" w:color="auto" w:sz="6" w:space="0"/>
              <w:bottom w:val="single" w:color="auto" w:sz="6" w:space="0"/>
              <w:right w:val="single" w:color="auto" w:sz="6" w:space="0"/>
            </w:tcBorders>
            <w:noWrap/>
            <w:vAlign w:val="center"/>
          </w:tcPr>
          <w:p w14:paraId="45A7C5D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706" w:type="dxa"/>
            <w:tcBorders>
              <w:top w:val="single" w:color="auto" w:sz="6" w:space="0"/>
              <w:left w:val="single" w:color="auto" w:sz="6" w:space="0"/>
              <w:bottom w:val="single" w:color="auto" w:sz="6" w:space="0"/>
              <w:right w:val="single" w:color="auto" w:sz="6" w:space="0"/>
            </w:tcBorders>
            <w:noWrap/>
            <w:vAlign w:val="center"/>
          </w:tcPr>
          <w:p w14:paraId="1C6DEBC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327" w:type="dxa"/>
            <w:tcBorders>
              <w:top w:val="single" w:color="auto" w:sz="6" w:space="0"/>
              <w:left w:val="single" w:color="auto" w:sz="6" w:space="0"/>
              <w:bottom w:val="single" w:color="auto" w:sz="6" w:space="0"/>
              <w:right w:val="single" w:color="auto" w:sz="6" w:space="0"/>
            </w:tcBorders>
            <w:noWrap/>
            <w:vAlign w:val="center"/>
          </w:tcPr>
          <w:p w14:paraId="5420C23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bl>
    <w:p w14:paraId="6D555B99">
      <w:pPr>
        <w:wordWrap w:val="0"/>
        <w:adjustRightInd w:val="0"/>
        <w:snapToGrid w:val="0"/>
        <w:spacing w:line="440" w:lineRule="exact"/>
        <w:jc w:val="center"/>
        <w:rPr>
          <w:rFonts w:hint="eastAsia" w:asciiTheme="minorEastAsia" w:hAnsiTheme="minorEastAsia" w:eastAsiaTheme="minorEastAsia" w:cstheme="minorEastAsia"/>
          <w:b/>
          <w:bCs/>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项目设计负责人简历表</w:t>
      </w:r>
    </w:p>
    <w:p w14:paraId="3C7A88B4">
      <w:pPr>
        <w:wordWrap w:val="0"/>
        <w:adjustRightInd w:val="0"/>
        <w:snapToGrid w:val="0"/>
        <w:spacing w:line="440" w:lineRule="exact"/>
        <w:ind w:firstLine="570"/>
        <w:rPr>
          <w:rFonts w:hint="eastAsia" w:asciiTheme="minorEastAsia" w:hAnsiTheme="minorEastAsia" w:eastAsiaTheme="minorEastAsia" w:cstheme="minorEastAsia"/>
          <w:snapToGrid w:val="0"/>
          <w:color w:val="auto"/>
          <w:kern w:val="0"/>
          <w:szCs w:val="24"/>
          <w:highlight w:val="none"/>
        </w:rPr>
      </w:pPr>
    </w:p>
    <w:p w14:paraId="016F3DED">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60B3E719">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项目</w:t>
      </w:r>
      <w:r>
        <w:rPr>
          <w:rFonts w:hint="eastAsia" w:asciiTheme="minorEastAsia" w:hAnsiTheme="minorEastAsia" w:eastAsiaTheme="minorEastAsia" w:cstheme="minorEastAsia"/>
          <w:snapToGrid w:val="0"/>
          <w:color w:val="auto"/>
          <w:kern w:val="0"/>
          <w:sz w:val="24"/>
          <w:szCs w:val="24"/>
          <w:highlight w:val="none"/>
          <w:lang w:val="en-US" w:eastAsia="zh-CN"/>
        </w:rPr>
        <w:t>设计</w:t>
      </w:r>
      <w:r>
        <w:rPr>
          <w:rFonts w:hint="eastAsia" w:asciiTheme="minorEastAsia" w:hAnsiTheme="minorEastAsia" w:eastAsiaTheme="minorEastAsia" w:cstheme="minorEastAsia"/>
          <w:snapToGrid w:val="0"/>
          <w:color w:val="auto"/>
          <w:kern w:val="0"/>
          <w:sz w:val="24"/>
          <w:szCs w:val="24"/>
          <w:highlight w:val="none"/>
        </w:rPr>
        <w:t>负责人：</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（签字）</w:t>
      </w:r>
    </w:p>
    <w:p w14:paraId="0FF581E3">
      <w:pPr>
        <w:pStyle w:val="41"/>
        <w:wordWrap w:val="0"/>
        <w:adjustRightInd w:val="0"/>
        <w:snapToGrid w:val="0"/>
        <w:spacing w:line="440" w:lineRule="exact"/>
        <w:jc w:val="right"/>
        <w:rPr>
          <w:rFonts w:hint="eastAsia" w:asciiTheme="minorEastAsia" w:hAnsiTheme="minorEastAsia" w:eastAsiaTheme="minorEastAsia" w:cstheme="minorEastAsia"/>
          <w:snapToGrid w:val="0"/>
          <w:color w:val="auto"/>
          <w:kern w:val="0"/>
          <w:sz w:val="24"/>
          <w:szCs w:val="24"/>
          <w:highlight w:val="none"/>
        </w:rPr>
      </w:pPr>
    </w:p>
    <w:p w14:paraId="308ECCD6">
      <w:pPr>
        <w:pStyle w:val="41"/>
        <w:wordWrap w:val="0"/>
        <w:adjustRightInd w:val="0"/>
        <w:snapToGrid w:val="0"/>
        <w:spacing w:line="440" w:lineRule="exact"/>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 xml:space="preserve">                                                 </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年</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月</w:t>
      </w:r>
      <w:r>
        <w:rPr>
          <w:rFonts w:hint="eastAsia" w:asciiTheme="minorEastAsia" w:hAnsiTheme="minorEastAsia" w:eastAsiaTheme="minorEastAsia" w:cstheme="minorEastAsia"/>
          <w:snapToGrid w:val="0"/>
          <w:color w:val="auto"/>
          <w:kern w:val="0"/>
          <w:sz w:val="24"/>
          <w:szCs w:val="24"/>
          <w:highlight w:val="none"/>
          <w:u w:val="single"/>
        </w:rPr>
        <w:t xml:space="preserve">     </w:t>
      </w:r>
      <w:r>
        <w:rPr>
          <w:rFonts w:hint="eastAsia" w:asciiTheme="minorEastAsia" w:hAnsiTheme="minorEastAsia" w:eastAsiaTheme="minorEastAsia" w:cstheme="minorEastAsia"/>
          <w:snapToGrid w:val="0"/>
          <w:color w:val="auto"/>
          <w:kern w:val="0"/>
          <w:sz w:val="24"/>
          <w:szCs w:val="24"/>
          <w:highlight w:val="none"/>
        </w:rPr>
        <w:t>日</w:t>
      </w:r>
    </w:p>
    <w:p w14:paraId="5C3B9502">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381D1FB9">
      <w:pPr>
        <w:wordWrap w:val="0"/>
        <w:adjustRightInd w:val="0"/>
        <w:snapToGrid w:val="0"/>
        <w:spacing w:line="400" w:lineRule="exact"/>
        <w:ind w:firstLine="570"/>
        <w:rPr>
          <w:rFonts w:hint="eastAsia" w:asciiTheme="minorEastAsia" w:hAnsiTheme="minorEastAsia" w:eastAsiaTheme="minorEastAsia" w:cstheme="minorEastAsia"/>
          <w:snapToGrid w:val="0"/>
          <w:color w:val="auto"/>
          <w:kern w:val="0"/>
          <w:szCs w:val="24"/>
          <w:highlight w:val="none"/>
        </w:rPr>
      </w:pPr>
    </w:p>
    <w:p w14:paraId="03F3E2E3">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说明：《项目设计负责人简历表》后应附拟派项目设计负责人以下资料：</w:t>
      </w:r>
    </w:p>
    <w:p w14:paraId="39A01655">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1．身份证彩色扫描件；</w:t>
      </w:r>
    </w:p>
    <w:p w14:paraId="14D6763A">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 xml:space="preserve">    2．职称证彩色扫描件；</w:t>
      </w:r>
    </w:p>
    <w:p w14:paraId="6E36075C">
      <w:pPr>
        <w:wordWrap w:val="0"/>
        <w:adjustRightInd w:val="0"/>
        <w:snapToGrid w:val="0"/>
        <w:spacing w:line="400" w:lineRule="exact"/>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3．在本单位缴纳社保的证明（</w:t>
      </w:r>
      <w:r>
        <w:rPr>
          <w:rFonts w:hint="eastAsia"/>
          <w:snapToGrid w:val="0"/>
          <w:color w:val="auto"/>
          <w:kern w:val="0"/>
          <w:szCs w:val="28"/>
          <w:highlight w:val="none"/>
        </w:rPr>
        <w:t>其中须有202</w:t>
      </w:r>
      <w:r>
        <w:rPr>
          <w:rFonts w:hint="eastAsia"/>
          <w:snapToGrid w:val="0"/>
          <w:color w:val="auto"/>
          <w:kern w:val="0"/>
          <w:szCs w:val="28"/>
          <w:highlight w:val="none"/>
          <w:lang w:val="en-US" w:eastAsia="zh-CN"/>
        </w:rPr>
        <w:t>5</w:t>
      </w:r>
      <w:r>
        <w:rPr>
          <w:rFonts w:hint="eastAsia"/>
          <w:snapToGrid w:val="0"/>
          <w:color w:val="auto"/>
          <w:kern w:val="0"/>
          <w:szCs w:val="28"/>
          <w:highlight w:val="none"/>
        </w:rPr>
        <w:t>年</w:t>
      </w:r>
      <w:r>
        <w:rPr>
          <w:rFonts w:hint="eastAsia"/>
          <w:snapToGrid w:val="0"/>
          <w:color w:val="auto"/>
          <w:kern w:val="0"/>
          <w:szCs w:val="28"/>
          <w:highlight w:val="none"/>
          <w:lang w:val="en-US" w:eastAsia="zh-CN"/>
        </w:rPr>
        <w:t>10</w:t>
      </w:r>
      <w:r>
        <w:rPr>
          <w:rFonts w:hint="eastAsia"/>
          <w:snapToGrid w:val="0"/>
          <w:color w:val="auto"/>
          <w:kern w:val="0"/>
          <w:szCs w:val="28"/>
          <w:highlight w:val="none"/>
        </w:rPr>
        <w:t>月</w:t>
      </w:r>
      <w:r>
        <w:rPr>
          <w:rFonts w:hint="eastAsia" w:asciiTheme="minorEastAsia" w:hAnsiTheme="minorEastAsia" w:eastAsiaTheme="minorEastAsia" w:cstheme="minorEastAsia"/>
          <w:snapToGrid w:val="0"/>
          <w:color w:val="auto"/>
          <w:kern w:val="0"/>
          <w:szCs w:val="24"/>
          <w:highlight w:val="none"/>
        </w:rPr>
        <w:t>）彩色扫描件；拟派设计负责人为退休返聘人员无法提供社保证明的，提供退休证和劳动合同彩色扫描件。</w:t>
      </w:r>
      <w:bookmarkEnd w:id="397"/>
      <w:bookmarkEnd w:id="398"/>
      <w:bookmarkEnd w:id="399"/>
      <w:bookmarkEnd w:id="400"/>
      <w:bookmarkEnd w:id="401"/>
    </w:p>
    <w:p w14:paraId="387652B5">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4．“进粤企业和人员诚信信息登记平台”个人信息情况截图。（适用于省外建筑企业）。</w:t>
      </w:r>
    </w:p>
    <w:p w14:paraId="689871AF">
      <w:pPr>
        <w:pStyle w:val="3"/>
        <w:spacing w:before="120"/>
        <w:rPr>
          <w:rFonts w:hint="eastAsia" w:asciiTheme="minorEastAsia" w:hAnsiTheme="minorEastAsia" w:eastAsiaTheme="minorEastAsia" w:cstheme="minorEastAsia"/>
          <w:bCs/>
          <w:snapToGrid w:val="0"/>
          <w:color w:val="auto"/>
          <w:szCs w:val="24"/>
          <w:highlight w:val="none"/>
        </w:rPr>
      </w:pPr>
      <w:r>
        <w:rPr>
          <w:rFonts w:hint="eastAsia" w:asciiTheme="minorEastAsia" w:hAnsiTheme="minorEastAsia" w:eastAsiaTheme="minorEastAsia" w:cstheme="minorEastAsia"/>
          <w:bCs/>
          <w:color w:val="auto"/>
          <w:szCs w:val="24"/>
          <w:highlight w:val="none"/>
        </w:rPr>
        <w:br w:type="page"/>
      </w:r>
      <w:bookmarkStart w:id="408" w:name="_Toc10080"/>
      <w:bookmarkStart w:id="409" w:name="_Toc7110"/>
      <w:bookmarkStart w:id="410" w:name="_Toc8264"/>
      <w:r>
        <w:rPr>
          <w:rFonts w:hint="eastAsia" w:asciiTheme="minorEastAsia" w:hAnsiTheme="minorEastAsia" w:eastAsiaTheme="minorEastAsia" w:cstheme="minorEastAsia"/>
          <w:b/>
          <w:snapToGrid w:val="0"/>
          <w:color w:val="auto"/>
          <w:szCs w:val="24"/>
          <w:highlight w:val="none"/>
        </w:rPr>
        <w:t>格式十二 项目管理机构组成表</w:t>
      </w:r>
      <w:bookmarkEnd w:id="408"/>
      <w:bookmarkEnd w:id="409"/>
    </w:p>
    <w:p w14:paraId="3C3FD20D">
      <w:pPr>
        <w:wordWrap w:val="0"/>
        <w:adjustRightInd w:val="0"/>
        <w:snapToGrid w:val="0"/>
        <w:spacing w:before="260" w:after="260" w:line="440" w:lineRule="exact"/>
        <w:jc w:val="center"/>
        <w:rPr>
          <w:rFonts w:hint="eastAsia" w:asciiTheme="minorEastAsia" w:hAnsiTheme="minorEastAsia" w:eastAsiaTheme="minorEastAsia" w:cstheme="minorEastAsia"/>
          <w:b/>
          <w:snapToGrid w:val="0"/>
          <w:color w:val="auto"/>
          <w:kern w:val="0"/>
          <w:szCs w:val="24"/>
          <w:highlight w:val="none"/>
        </w:rPr>
      </w:pPr>
      <w:r>
        <w:rPr>
          <w:rFonts w:hint="eastAsia" w:asciiTheme="minorEastAsia" w:hAnsiTheme="minorEastAsia" w:eastAsiaTheme="minorEastAsia" w:cstheme="minorEastAsia"/>
          <w:b/>
          <w:snapToGrid w:val="0"/>
          <w:color w:val="auto"/>
          <w:kern w:val="0"/>
          <w:szCs w:val="24"/>
          <w:highlight w:val="none"/>
        </w:rPr>
        <w:t>项目管理机构组成表</w:t>
      </w:r>
    </w:p>
    <w:tbl>
      <w:tblPr>
        <w:tblStyle w:val="22"/>
        <w:tblW w:w="8957"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0" w:type="dxa"/>
          <w:bottom w:w="0" w:type="dxa"/>
          <w:right w:w="0" w:type="dxa"/>
        </w:tblCellMar>
      </w:tblPr>
      <w:tblGrid>
        <w:gridCol w:w="744"/>
        <w:gridCol w:w="1424"/>
        <w:gridCol w:w="1358"/>
        <w:gridCol w:w="902"/>
        <w:gridCol w:w="819"/>
        <w:gridCol w:w="1541"/>
        <w:gridCol w:w="2169"/>
      </w:tblGrid>
      <w:tr w14:paraId="30D719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10" w:hRule="atLeast"/>
        </w:trPr>
        <w:tc>
          <w:tcPr>
            <w:tcW w:w="744" w:type="dxa"/>
            <w:tcBorders>
              <w:top w:val="single" w:color="auto" w:sz="6" w:space="0"/>
              <w:left w:val="single" w:color="auto" w:sz="6" w:space="0"/>
              <w:bottom w:val="single" w:color="auto" w:sz="6" w:space="0"/>
              <w:right w:val="single" w:color="auto" w:sz="6" w:space="0"/>
            </w:tcBorders>
            <w:noWrap/>
            <w:vAlign w:val="center"/>
          </w:tcPr>
          <w:p w14:paraId="2C3DCC6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序号</w:t>
            </w:r>
          </w:p>
        </w:tc>
        <w:tc>
          <w:tcPr>
            <w:tcW w:w="1424" w:type="dxa"/>
            <w:tcBorders>
              <w:top w:val="single" w:color="auto" w:sz="6" w:space="0"/>
              <w:left w:val="single" w:color="auto" w:sz="6" w:space="0"/>
              <w:bottom w:val="single" w:color="auto" w:sz="6" w:space="0"/>
              <w:right w:val="single" w:color="auto" w:sz="6" w:space="0"/>
            </w:tcBorders>
            <w:noWrap/>
            <w:vAlign w:val="center"/>
          </w:tcPr>
          <w:p w14:paraId="0B1B36C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职务</w:t>
            </w:r>
          </w:p>
        </w:tc>
        <w:tc>
          <w:tcPr>
            <w:tcW w:w="1358" w:type="dxa"/>
            <w:tcBorders>
              <w:top w:val="single" w:color="auto" w:sz="6" w:space="0"/>
              <w:left w:val="single" w:color="auto" w:sz="6" w:space="0"/>
              <w:bottom w:val="single" w:color="auto" w:sz="6" w:space="0"/>
              <w:right w:val="single" w:color="auto" w:sz="6" w:space="0"/>
            </w:tcBorders>
            <w:noWrap/>
            <w:vAlign w:val="center"/>
          </w:tcPr>
          <w:p w14:paraId="446B1C9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姓名</w:t>
            </w:r>
          </w:p>
        </w:tc>
        <w:tc>
          <w:tcPr>
            <w:tcW w:w="902" w:type="dxa"/>
            <w:tcBorders>
              <w:top w:val="single" w:color="auto" w:sz="6" w:space="0"/>
              <w:left w:val="single" w:color="auto" w:sz="6" w:space="0"/>
              <w:bottom w:val="single" w:color="auto" w:sz="6" w:space="0"/>
              <w:right w:val="single" w:color="auto" w:sz="6" w:space="0"/>
            </w:tcBorders>
            <w:noWrap/>
            <w:vAlign w:val="center"/>
          </w:tcPr>
          <w:p w14:paraId="5BE0970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性别</w:t>
            </w:r>
          </w:p>
        </w:tc>
        <w:tc>
          <w:tcPr>
            <w:tcW w:w="819" w:type="dxa"/>
            <w:tcBorders>
              <w:top w:val="single" w:color="auto" w:sz="6" w:space="0"/>
              <w:left w:val="single" w:color="auto" w:sz="6" w:space="0"/>
              <w:bottom w:val="single" w:color="auto" w:sz="6" w:space="0"/>
              <w:right w:val="single" w:color="auto" w:sz="6" w:space="0"/>
            </w:tcBorders>
            <w:noWrap/>
            <w:vAlign w:val="center"/>
          </w:tcPr>
          <w:p w14:paraId="7AB40BB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年龄</w:t>
            </w:r>
          </w:p>
        </w:tc>
        <w:tc>
          <w:tcPr>
            <w:tcW w:w="1541" w:type="dxa"/>
            <w:tcBorders>
              <w:top w:val="single" w:color="auto" w:sz="6" w:space="0"/>
              <w:left w:val="single" w:color="auto" w:sz="6" w:space="0"/>
              <w:bottom w:val="single" w:color="auto" w:sz="6" w:space="0"/>
              <w:right w:val="single" w:color="auto" w:sz="6" w:space="0"/>
            </w:tcBorders>
            <w:noWrap/>
            <w:vAlign w:val="center"/>
          </w:tcPr>
          <w:p w14:paraId="2650D62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职称</w:t>
            </w:r>
          </w:p>
        </w:tc>
        <w:tc>
          <w:tcPr>
            <w:tcW w:w="2169" w:type="dxa"/>
            <w:tcBorders>
              <w:top w:val="single" w:color="auto" w:sz="6" w:space="0"/>
              <w:left w:val="single" w:color="auto" w:sz="6" w:space="0"/>
              <w:bottom w:val="single" w:color="auto" w:sz="6" w:space="0"/>
              <w:right w:val="single" w:color="auto" w:sz="6" w:space="0"/>
            </w:tcBorders>
            <w:noWrap/>
            <w:vAlign w:val="center"/>
          </w:tcPr>
          <w:p w14:paraId="0845D13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备注</w:t>
            </w:r>
          </w:p>
        </w:tc>
      </w:tr>
      <w:tr w14:paraId="091F190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02" w:hRule="exact"/>
        </w:trPr>
        <w:tc>
          <w:tcPr>
            <w:tcW w:w="744" w:type="dxa"/>
            <w:tcBorders>
              <w:top w:val="single" w:color="auto" w:sz="6" w:space="0"/>
              <w:left w:val="single" w:color="auto" w:sz="6" w:space="0"/>
              <w:right w:val="single" w:color="auto" w:sz="6" w:space="0"/>
            </w:tcBorders>
            <w:noWrap/>
            <w:vAlign w:val="center"/>
          </w:tcPr>
          <w:p w14:paraId="4A8A1B7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w:t>
            </w:r>
          </w:p>
        </w:tc>
        <w:tc>
          <w:tcPr>
            <w:tcW w:w="1424" w:type="dxa"/>
            <w:tcBorders>
              <w:top w:val="single" w:color="auto" w:sz="6" w:space="0"/>
              <w:left w:val="single" w:color="auto" w:sz="6" w:space="0"/>
              <w:right w:val="single" w:color="auto" w:sz="6" w:space="0"/>
            </w:tcBorders>
            <w:noWrap/>
            <w:vAlign w:val="center"/>
          </w:tcPr>
          <w:p w14:paraId="238FC79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项目经理</w:t>
            </w:r>
          </w:p>
        </w:tc>
        <w:tc>
          <w:tcPr>
            <w:tcW w:w="1358" w:type="dxa"/>
            <w:tcBorders>
              <w:top w:val="single" w:color="auto" w:sz="6" w:space="0"/>
              <w:left w:val="single" w:color="auto" w:sz="6" w:space="0"/>
              <w:bottom w:val="single" w:color="auto" w:sz="6" w:space="0"/>
              <w:right w:val="single" w:color="auto" w:sz="6" w:space="0"/>
            </w:tcBorders>
            <w:noWrap/>
            <w:vAlign w:val="center"/>
          </w:tcPr>
          <w:p w14:paraId="59EA6CB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4FDEB41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E2C19C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0617E3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2BD202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3ECFCE8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1046684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w:t>
            </w:r>
          </w:p>
        </w:tc>
        <w:tc>
          <w:tcPr>
            <w:tcW w:w="1424" w:type="dxa"/>
            <w:tcBorders>
              <w:top w:val="single" w:color="auto" w:sz="6" w:space="0"/>
              <w:left w:val="single" w:color="auto" w:sz="6" w:space="0"/>
              <w:right w:val="single" w:color="auto" w:sz="6" w:space="0"/>
            </w:tcBorders>
            <w:noWrap/>
            <w:vAlign w:val="center"/>
          </w:tcPr>
          <w:p w14:paraId="3227A27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项目技术</w:t>
            </w:r>
          </w:p>
          <w:p w14:paraId="64DF77A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13295A9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E35B36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7FB0DB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B05C3B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9EE720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6FC255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673" w:hRule="exact"/>
        </w:trPr>
        <w:tc>
          <w:tcPr>
            <w:tcW w:w="744" w:type="dxa"/>
            <w:tcBorders>
              <w:top w:val="single" w:color="auto" w:sz="6" w:space="0"/>
              <w:left w:val="single" w:color="auto" w:sz="6" w:space="0"/>
              <w:right w:val="single" w:color="auto" w:sz="6" w:space="0"/>
            </w:tcBorders>
            <w:noWrap/>
            <w:vAlign w:val="center"/>
          </w:tcPr>
          <w:p w14:paraId="014ADDB2">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3</w:t>
            </w:r>
          </w:p>
        </w:tc>
        <w:tc>
          <w:tcPr>
            <w:tcW w:w="1424" w:type="dxa"/>
            <w:tcBorders>
              <w:top w:val="single" w:color="auto" w:sz="6" w:space="0"/>
              <w:left w:val="single" w:color="auto" w:sz="6" w:space="0"/>
              <w:right w:val="single" w:color="auto" w:sz="6" w:space="0"/>
            </w:tcBorders>
            <w:noWrap/>
            <w:vAlign w:val="center"/>
          </w:tcPr>
          <w:p w14:paraId="1BF3A2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项目设计</w:t>
            </w:r>
          </w:p>
          <w:p w14:paraId="40F7FC3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负责人</w:t>
            </w:r>
          </w:p>
        </w:tc>
        <w:tc>
          <w:tcPr>
            <w:tcW w:w="1358" w:type="dxa"/>
            <w:tcBorders>
              <w:top w:val="single" w:color="auto" w:sz="6" w:space="0"/>
              <w:left w:val="single" w:color="auto" w:sz="6" w:space="0"/>
              <w:bottom w:val="single" w:color="auto" w:sz="6" w:space="0"/>
              <w:right w:val="single" w:color="auto" w:sz="6" w:space="0"/>
            </w:tcBorders>
            <w:noWrap/>
            <w:vAlign w:val="center"/>
          </w:tcPr>
          <w:p w14:paraId="01ED7A8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77F533A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27464A6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2BACFFA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204E73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6709B4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5B42BE2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4</w:t>
            </w:r>
          </w:p>
        </w:tc>
        <w:tc>
          <w:tcPr>
            <w:tcW w:w="1424" w:type="dxa"/>
            <w:tcBorders>
              <w:top w:val="single" w:color="auto" w:sz="6" w:space="0"/>
              <w:left w:val="single" w:color="auto" w:sz="6" w:space="0"/>
              <w:bottom w:val="single" w:color="auto" w:sz="6" w:space="0"/>
              <w:right w:val="single" w:color="auto" w:sz="6" w:space="0"/>
            </w:tcBorders>
            <w:noWrap/>
            <w:vAlign w:val="center"/>
          </w:tcPr>
          <w:p w14:paraId="0BD00E5C">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专职安全员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39C42198">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55B0C34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4A0B17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63EAE85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0F526C9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70F73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5BAB99C4">
            <w:pPr>
              <w:wordWrap w:val="0"/>
              <w:adjustRightInd w:val="0"/>
              <w:snapToGrid w:val="0"/>
              <w:ind w:firstLine="360" w:firstLineChars="15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5</w:t>
            </w:r>
          </w:p>
        </w:tc>
        <w:tc>
          <w:tcPr>
            <w:tcW w:w="1424" w:type="dxa"/>
            <w:tcBorders>
              <w:top w:val="single" w:color="auto" w:sz="6" w:space="0"/>
              <w:left w:val="single" w:color="auto" w:sz="6" w:space="0"/>
              <w:bottom w:val="single" w:color="auto" w:sz="6" w:space="0"/>
              <w:right w:val="single" w:color="auto" w:sz="6" w:space="0"/>
            </w:tcBorders>
            <w:noWrap/>
            <w:vAlign w:val="center"/>
          </w:tcPr>
          <w:p w14:paraId="0C8136C4">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施工员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72AF7D9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34A589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57B88E7">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79F0C6A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766475BF">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DE34A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78589520">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6</w:t>
            </w:r>
          </w:p>
        </w:tc>
        <w:tc>
          <w:tcPr>
            <w:tcW w:w="1424" w:type="dxa"/>
            <w:tcBorders>
              <w:top w:val="single" w:color="auto" w:sz="6" w:space="0"/>
              <w:left w:val="single" w:color="auto" w:sz="6" w:space="0"/>
              <w:bottom w:val="single" w:color="auto" w:sz="6" w:space="0"/>
              <w:right w:val="single" w:color="auto" w:sz="6" w:space="0"/>
            </w:tcBorders>
            <w:noWrap/>
            <w:vAlign w:val="center"/>
          </w:tcPr>
          <w:p w14:paraId="142EE72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质量员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75C28E1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EFCDC11">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66A28DC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1F0940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4BA05E7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45DAD2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3C83424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7</w:t>
            </w:r>
          </w:p>
        </w:tc>
        <w:tc>
          <w:tcPr>
            <w:tcW w:w="1424" w:type="dxa"/>
            <w:tcBorders>
              <w:top w:val="single" w:color="auto" w:sz="6" w:space="0"/>
              <w:left w:val="single" w:color="auto" w:sz="6" w:space="0"/>
              <w:bottom w:val="single" w:color="auto" w:sz="6" w:space="0"/>
              <w:right w:val="single" w:color="auto" w:sz="6" w:space="0"/>
            </w:tcBorders>
            <w:noWrap/>
            <w:vAlign w:val="center"/>
          </w:tcPr>
          <w:p w14:paraId="1F859CF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材料员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43C7C6B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3152F3AB">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1FF4678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37F18BD9">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39C0FA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2697C5A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13"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5E7669B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8</w:t>
            </w:r>
          </w:p>
        </w:tc>
        <w:tc>
          <w:tcPr>
            <w:tcW w:w="1424" w:type="dxa"/>
            <w:tcBorders>
              <w:top w:val="single" w:color="auto" w:sz="6" w:space="0"/>
              <w:left w:val="single" w:color="auto" w:sz="6" w:space="0"/>
              <w:bottom w:val="single" w:color="auto" w:sz="6" w:space="0"/>
              <w:right w:val="single" w:color="auto" w:sz="6" w:space="0"/>
            </w:tcBorders>
            <w:noWrap/>
            <w:vAlign w:val="center"/>
          </w:tcPr>
          <w:p w14:paraId="001758DE">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资料员</w:t>
            </w:r>
          </w:p>
        </w:tc>
        <w:tc>
          <w:tcPr>
            <w:tcW w:w="1358" w:type="dxa"/>
            <w:tcBorders>
              <w:top w:val="single" w:color="auto" w:sz="6" w:space="0"/>
              <w:left w:val="single" w:color="auto" w:sz="6" w:space="0"/>
              <w:bottom w:val="single" w:color="auto" w:sz="6" w:space="0"/>
              <w:right w:val="single" w:color="auto" w:sz="6" w:space="0"/>
            </w:tcBorders>
            <w:noWrap/>
            <w:vAlign w:val="center"/>
          </w:tcPr>
          <w:p w14:paraId="6690F383">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F79D4E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019661F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25D2C2E5">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352BB57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tr w14:paraId="606450B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0" w:type="dxa"/>
            <w:bottom w:w="0" w:type="dxa"/>
            <w:right w:w="0" w:type="dxa"/>
          </w:tblCellMar>
        </w:tblPrEx>
        <w:trPr>
          <w:trHeight w:val="526" w:hRule="exact"/>
        </w:trPr>
        <w:tc>
          <w:tcPr>
            <w:tcW w:w="744" w:type="dxa"/>
            <w:tcBorders>
              <w:top w:val="single" w:color="auto" w:sz="6" w:space="0"/>
              <w:left w:val="single" w:color="auto" w:sz="6" w:space="0"/>
              <w:bottom w:val="single" w:color="auto" w:sz="6" w:space="0"/>
              <w:right w:val="single" w:color="auto" w:sz="6" w:space="0"/>
            </w:tcBorders>
            <w:noWrap/>
            <w:vAlign w:val="center"/>
          </w:tcPr>
          <w:p w14:paraId="61B77D7D">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424" w:type="dxa"/>
            <w:tcBorders>
              <w:top w:val="single" w:color="auto" w:sz="6" w:space="0"/>
              <w:left w:val="single" w:color="auto" w:sz="6" w:space="0"/>
              <w:bottom w:val="single" w:color="auto" w:sz="6" w:space="0"/>
              <w:right w:val="single" w:color="auto" w:sz="6" w:space="0"/>
            </w:tcBorders>
            <w:noWrap/>
            <w:vAlign w:val="center"/>
          </w:tcPr>
          <w:p w14:paraId="659647E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p>
        </w:tc>
        <w:tc>
          <w:tcPr>
            <w:tcW w:w="1358" w:type="dxa"/>
            <w:tcBorders>
              <w:top w:val="single" w:color="auto" w:sz="6" w:space="0"/>
              <w:left w:val="single" w:color="auto" w:sz="6" w:space="0"/>
              <w:bottom w:val="single" w:color="auto" w:sz="6" w:space="0"/>
              <w:right w:val="single" w:color="auto" w:sz="6" w:space="0"/>
            </w:tcBorders>
            <w:noWrap/>
            <w:vAlign w:val="center"/>
          </w:tcPr>
          <w:p w14:paraId="16C2972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902" w:type="dxa"/>
            <w:tcBorders>
              <w:top w:val="single" w:color="auto" w:sz="6" w:space="0"/>
              <w:left w:val="single" w:color="auto" w:sz="6" w:space="0"/>
              <w:bottom w:val="single" w:color="auto" w:sz="6" w:space="0"/>
              <w:right w:val="single" w:color="auto" w:sz="6" w:space="0"/>
            </w:tcBorders>
            <w:noWrap/>
            <w:vAlign w:val="center"/>
          </w:tcPr>
          <w:p w14:paraId="61780ED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819" w:type="dxa"/>
            <w:tcBorders>
              <w:top w:val="single" w:color="auto" w:sz="6" w:space="0"/>
              <w:left w:val="single" w:color="auto" w:sz="6" w:space="0"/>
              <w:bottom w:val="single" w:color="auto" w:sz="6" w:space="0"/>
              <w:right w:val="single" w:color="auto" w:sz="6" w:space="0"/>
            </w:tcBorders>
            <w:noWrap/>
            <w:vAlign w:val="center"/>
          </w:tcPr>
          <w:p w14:paraId="416DF11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1541" w:type="dxa"/>
            <w:tcBorders>
              <w:top w:val="single" w:color="auto" w:sz="6" w:space="0"/>
              <w:left w:val="single" w:color="auto" w:sz="6" w:space="0"/>
              <w:bottom w:val="single" w:color="auto" w:sz="6" w:space="0"/>
              <w:right w:val="single" w:color="auto" w:sz="6" w:space="0"/>
            </w:tcBorders>
            <w:noWrap/>
            <w:vAlign w:val="center"/>
          </w:tcPr>
          <w:p w14:paraId="4228F65A">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c>
          <w:tcPr>
            <w:tcW w:w="2169" w:type="dxa"/>
            <w:tcBorders>
              <w:top w:val="single" w:color="auto" w:sz="6" w:space="0"/>
              <w:left w:val="single" w:color="auto" w:sz="6" w:space="0"/>
              <w:bottom w:val="single" w:color="auto" w:sz="6" w:space="0"/>
              <w:right w:val="single" w:color="auto" w:sz="6" w:space="0"/>
            </w:tcBorders>
            <w:noWrap/>
            <w:vAlign w:val="center"/>
          </w:tcPr>
          <w:p w14:paraId="574D3C76">
            <w:pPr>
              <w:wordWrap w:val="0"/>
              <w:adjustRightInd w:val="0"/>
              <w:snapToGrid w:val="0"/>
              <w:jc w:val="center"/>
              <w:rPr>
                <w:rFonts w:hint="eastAsia" w:asciiTheme="minorEastAsia" w:hAnsiTheme="minorEastAsia" w:eastAsiaTheme="minorEastAsia" w:cstheme="minorEastAsia"/>
                <w:snapToGrid w:val="0"/>
                <w:color w:val="auto"/>
                <w:kern w:val="0"/>
                <w:szCs w:val="24"/>
                <w:highlight w:val="none"/>
              </w:rPr>
            </w:pPr>
          </w:p>
        </w:tc>
      </w:tr>
      <w:bookmarkEnd w:id="410"/>
    </w:tbl>
    <w:p w14:paraId="31A6ED5A">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bookmarkStart w:id="411" w:name="_Toc8648"/>
      <w:bookmarkStart w:id="412" w:name="_Toc36804690"/>
      <w:bookmarkStart w:id="413" w:name="_Toc25577"/>
    </w:p>
    <w:p w14:paraId="77C04613">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说明：</w:t>
      </w:r>
    </w:p>
    <w:p w14:paraId="7DAE745F">
      <w:pPr>
        <w:wordWrap w:val="0"/>
        <w:adjustRightInd w:val="0"/>
        <w:snapToGrid w:val="0"/>
        <w:spacing w:line="400" w:lineRule="exact"/>
        <w:ind w:firstLine="480" w:firstLineChars="200"/>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1．《项目管理机构组成表》后应附表中拟派人员（项目经理、项目技术负责人、项目设计负责人除外）以下资料：</w:t>
      </w:r>
    </w:p>
    <w:p w14:paraId="0BA70B56">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（1）身份证彩色扫描件；</w:t>
      </w:r>
    </w:p>
    <w:p w14:paraId="44C889FE">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（2）专职安全员须提供C类安全生产考核合格证书彩色扫描件或“广东省建筑施工企业管理人员安全生产考核系统”考核合格信息打印页；</w:t>
      </w:r>
    </w:p>
    <w:p w14:paraId="507F7BD9">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3</w:t>
      </w:r>
      <w:r>
        <w:rPr>
          <w:rFonts w:hint="eastAsia" w:asciiTheme="minorEastAsia" w:hAnsiTheme="minorEastAsia" w:eastAsiaTheme="minorEastAsia" w:cstheme="minorEastAsia"/>
          <w:snapToGrid w:val="0"/>
          <w:color w:val="auto"/>
          <w:kern w:val="0"/>
          <w:szCs w:val="24"/>
          <w:highlight w:val="none"/>
        </w:rPr>
        <w:t>）在本单位缴纳社保的证明（</w:t>
      </w:r>
      <w:r>
        <w:rPr>
          <w:rFonts w:hint="eastAsia"/>
          <w:snapToGrid w:val="0"/>
          <w:color w:val="auto"/>
          <w:kern w:val="0"/>
          <w:szCs w:val="28"/>
          <w:highlight w:val="none"/>
        </w:rPr>
        <w:t>其中须有202</w:t>
      </w:r>
      <w:r>
        <w:rPr>
          <w:rFonts w:hint="eastAsia"/>
          <w:snapToGrid w:val="0"/>
          <w:color w:val="auto"/>
          <w:kern w:val="0"/>
          <w:szCs w:val="28"/>
          <w:highlight w:val="none"/>
          <w:lang w:val="en-US" w:eastAsia="zh-CN"/>
        </w:rPr>
        <w:t>5</w:t>
      </w:r>
      <w:r>
        <w:rPr>
          <w:rFonts w:hint="eastAsia"/>
          <w:snapToGrid w:val="0"/>
          <w:color w:val="auto"/>
          <w:kern w:val="0"/>
          <w:szCs w:val="28"/>
          <w:highlight w:val="none"/>
        </w:rPr>
        <w:t>年</w:t>
      </w:r>
      <w:r>
        <w:rPr>
          <w:rFonts w:hint="eastAsia"/>
          <w:snapToGrid w:val="0"/>
          <w:color w:val="auto"/>
          <w:kern w:val="0"/>
          <w:szCs w:val="28"/>
          <w:highlight w:val="none"/>
          <w:lang w:val="en-US" w:eastAsia="zh-CN"/>
        </w:rPr>
        <w:t>10</w:t>
      </w:r>
      <w:r>
        <w:rPr>
          <w:rFonts w:hint="eastAsia"/>
          <w:snapToGrid w:val="0"/>
          <w:color w:val="auto"/>
          <w:kern w:val="0"/>
          <w:szCs w:val="28"/>
          <w:highlight w:val="none"/>
        </w:rPr>
        <w:t>月</w:t>
      </w:r>
      <w:r>
        <w:rPr>
          <w:rFonts w:hint="eastAsia" w:asciiTheme="minorEastAsia" w:hAnsiTheme="minorEastAsia" w:eastAsiaTheme="minorEastAsia" w:cstheme="minorEastAsia"/>
          <w:snapToGrid w:val="0"/>
          <w:color w:val="auto"/>
          <w:kern w:val="0"/>
          <w:szCs w:val="24"/>
          <w:highlight w:val="none"/>
        </w:rPr>
        <w:t>）彩色扫描件；拟派人员为退休返聘人员无法提供社保证明的，提供退休证和劳动合同彩色扫描件；</w:t>
      </w:r>
    </w:p>
    <w:p w14:paraId="121CAE7F">
      <w:pPr>
        <w:wordWrap w:val="0"/>
        <w:adjustRightInd w:val="0"/>
        <w:snapToGrid w:val="0"/>
        <w:spacing w:line="400" w:lineRule="exact"/>
        <w:rPr>
          <w:rFonts w:hint="eastAsia" w:asciiTheme="minorEastAsia" w:hAnsiTheme="minorEastAsia" w:eastAsiaTheme="minorEastAsia" w:cstheme="minorEastAsia"/>
          <w:snapToGrid w:val="0"/>
          <w:color w:val="auto"/>
          <w:kern w:val="0"/>
          <w:szCs w:val="24"/>
          <w:highlight w:val="none"/>
        </w:rPr>
      </w:pPr>
      <w:r>
        <w:rPr>
          <w:rFonts w:hint="eastAsia" w:asciiTheme="minorEastAsia" w:hAnsiTheme="minorEastAsia" w:eastAsiaTheme="minorEastAsia" w:cstheme="minorEastAsia"/>
          <w:snapToGrid w:val="0"/>
          <w:color w:val="auto"/>
          <w:kern w:val="0"/>
          <w:szCs w:val="24"/>
          <w:highlight w:val="none"/>
        </w:rPr>
        <w:t>（</w:t>
      </w:r>
      <w:r>
        <w:rPr>
          <w:rFonts w:hint="eastAsia" w:asciiTheme="minorEastAsia" w:hAnsiTheme="minorEastAsia" w:eastAsiaTheme="minorEastAsia" w:cstheme="minorEastAsia"/>
          <w:snapToGrid w:val="0"/>
          <w:color w:val="auto"/>
          <w:kern w:val="0"/>
          <w:szCs w:val="24"/>
          <w:highlight w:val="none"/>
          <w:lang w:val="en-US" w:eastAsia="zh-CN"/>
        </w:rPr>
        <w:t>4</w:t>
      </w:r>
      <w:r>
        <w:rPr>
          <w:rFonts w:hint="eastAsia" w:asciiTheme="minorEastAsia" w:hAnsiTheme="minorEastAsia" w:eastAsiaTheme="minorEastAsia" w:cstheme="minorEastAsia"/>
          <w:snapToGrid w:val="0"/>
          <w:color w:val="auto"/>
          <w:kern w:val="0"/>
          <w:szCs w:val="24"/>
          <w:highlight w:val="none"/>
        </w:rPr>
        <w:t>）“进粤企业和人员诚信信息登记平台”个人信息情况截图。（适用于省外建筑企业）。</w:t>
      </w:r>
    </w:p>
    <w:p w14:paraId="7088CF1F">
      <w:pPr>
        <w:wordWrap w:val="0"/>
        <w:adjustRightInd w:val="0"/>
        <w:snapToGrid w:val="0"/>
        <w:spacing w:line="400" w:lineRule="exac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snapToGrid w:val="0"/>
          <w:color w:val="auto"/>
          <w:kern w:val="0"/>
          <w:szCs w:val="24"/>
          <w:highlight w:val="none"/>
        </w:rPr>
        <w:t xml:space="preserve">    2．联合体投标的，《项目管理机构组成表》应包括联合体成员单位参与项目管理机构的人员，并提供以上所需资料。</w:t>
      </w:r>
    </w:p>
    <w:p w14:paraId="69A88C31">
      <w:pPr>
        <w:pStyle w:val="3"/>
        <w:spacing w:before="136"/>
        <w:rPr>
          <w:rFonts w:hint="eastAsia" w:asciiTheme="minorEastAsia" w:hAnsiTheme="minorEastAsia" w:eastAsiaTheme="minorEastAsia" w:cstheme="minorEastAsia"/>
          <w:b/>
          <w:bCs/>
          <w:color w:val="auto"/>
          <w:szCs w:val="24"/>
          <w:highlight w:val="none"/>
        </w:rPr>
      </w:pPr>
    </w:p>
    <w:p w14:paraId="1AA34168">
      <w:pPr>
        <w:pStyle w:val="3"/>
        <w:spacing w:before="136"/>
        <w:rPr>
          <w:rFonts w:hint="eastAsia" w:asciiTheme="minorEastAsia" w:hAnsiTheme="minorEastAsia" w:eastAsiaTheme="minorEastAsia" w:cstheme="minorEastAsia"/>
          <w:b/>
          <w:bCs/>
          <w:color w:val="auto"/>
          <w:szCs w:val="24"/>
          <w:highlight w:val="none"/>
        </w:rPr>
      </w:pPr>
    </w:p>
    <w:p w14:paraId="3D955C1B">
      <w:pPr>
        <w:rPr>
          <w:rFonts w:hint="eastAsia"/>
          <w:color w:val="auto"/>
          <w:highlight w:val="none"/>
        </w:rPr>
      </w:pPr>
    </w:p>
    <w:p w14:paraId="716332AC">
      <w:pPr>
        <w:rPr>
          <w:rFonts w:hint="eastAsia"/>
          <w:color w:val="auto"/>
          <w:highlight w:val="none"/>
        </w:rPr>
      </w:pPr>
    </w:p>
    <w:p w14:paraId="288E216C">
      <w:pPr>
        <w:pStyle w:val="3"/>
        <w:spacing w:before="136"/>
        <w:rPr>
          <w:rFonts w:hint="eastAsia" w:asciiTheme="minorEastAsia" w:hAnsiTheme="minorEastAsia" w:eastAsiaTheme="minorEastAsia" w:cstheme="minorEastAsia"/>
          <w:color w:val="auto"/>
          <w:szCs w:val="24"/>
          <w:highlight w:val="none"/>
        </w:rPr>
      </w:pPr>
      <w:bookmarkStart w:id="414" w:name="_Toc14649"/>
      <w:r>
        <w:rPr>
          <w:rFonts w:hint="eastAsia" w:asciiTheme="minorEastAsia" w:hAnsiTheme="minorEastAsia" w:eastAsiaTheme="minorEastAsia" w:cstheme="minorEastAsia"/>
          <w:b/>
          <w:bCs/>
          <w:color w:val="auto"/>
          <w:szCs w:val="24"/>
          <w:highlight w:val="none"/>
        </w:rPr>
        <w:t>格式十三 原件一览表</w:t>
      </w:r>
      <w:bookmarkEnd w:id="411"/>
      <w:bookmarkEnd w:id="412"/>
      <w:bookmarkEnd w:id="413"/>
      <w:bookmarkEnd w:id="414"/>
    </w:p>
    <w:tbl>
      <w:tblPr>
        <w:tblStyle w:val="22"/>
        <w:tblpPr w:leftFromText="180" w:rightFromText="180" w:vertAnchor="text" w:horzAnchor="page" w:tblpX="1664" w:tblpY="438"/>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 w:type="dxa"/>
          <w:bottom w:w="0" w:type="dxa"/>
          <w:right w:w="10" w:type="dxa"/>
        </w:tblCellMar>
      </w:tblPr>
      <w:tblGrid>
        <w:gridCol w:w="700"/>
        <w:gridCol w:w="1505"/>
        <w:gridCol w:w="623"/>
        <w:gridCol w:w="1369"/>
        <w:gridCol w:w="1623"/>
        <w:gridCol w:w="753"/>
        <w:gridCol w:w="957"/>
        <w:gridCol w:w="1570"/>
      </w:tblGrid>
      <w:tr w14:paraId="5DE16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510" w:hRule="atLeast"/>
        </w:trPr>
        <w:tc>
          <w:tcPr>
            <w:tcW w:w="9100" w:type="dxa"/>
            <w:gridSpan w:val="8"/>
            <w:noWrap/>
            <w:tcMar>
              <w:left w:w="108" w:type="dxa"/>
              <w:right w:w="108" w:type="dxa"/>
            </w:tcMar>
            <w:vAlign w:val="center"/>
          </w:tcPr>
          <w:p w14:paraId="66DB970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color w:val="auto"/>
                <w:szCs w:val="24"/>
                <w:highlight w:val="none"/>
              </w:rPr>
              <w:t>原件一览表</w:t>
            </w:r>
          </w:p>
        </w:tc>
      </w:tr>
      <w:tr w14:paraId="6AA27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4FC5012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工程名称</w:t>
            </w:r>
          </w:p>
        </w:tc>
        <w:tc>
          <w:tcPr>
            <w:tcW w:w="6272" w:type="dxa"/>
            <w:gridSpan w:val="5"/>
            <w:noWrap/>
            <w:tcMar>
              <w:left w:w="108" w:type="dxa"/>
              <w:right w:w="108" w:type="dxa"/>
            </w:tcMar>
            <w:vAlign w:val="center"/>
          </w:tcPr>
          <w:p w14:paraId="533039CD">
            <w:pPr>
              <w:jc w:val="center"/>
              <w:rPr>
                <w:rFonts w:hint="eastAsia" w:asciiTheme="minorEastAsia" w:hAnsiTheme="minorEastAsia" w:eastAsiaTheme="minorEastAsia" w:cstheme="minorEastAsia"/>
                <w:color w:val="auto"/>
                <w:szCs w:val="24"/>
                <w:highlight w:val="none"/>
              </w:rPr>
            </w:pPr>
          </w:p>
        </w:tc>
      </w:tr>
      <w:tr w14:paraId="4A376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7210A67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投标人名称                （请务必填写单位全称）</w:t>
            </w:r>
          </w:p>
        </w:tc>
        <w:tc>
          <w:tcPr>
            <w:tcW w:w="6272" w:type="dxa"/>
            <w:gridSpan w:val="5"/>
            <w:noWrap/>
            <w:tcMar>
              <w:left w:w="108" w:type="dxa"/>
              <w:right w:w="108" w:type="dxa"/>
            </w:tcMar>
            <w:vAlign w:val="center"/>
          </w:tcPr>
          <w:p w14:paraId="6405368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3037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2828" w:type="dxa"/>
            <w:gridSpan w:val="3"/>
            <w:noWrap/>
            <w:tcMar>
              <w:left w:w="108" w:type="dxa"/>
              <w:right w:w="108" w:type="dxa"/>
            </w:tcMar>
            <w:vAlign w:val="center"/>
          </w:tcPr>
          <w:p w14:paraId="116F1E9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投标人法定代表人或其</w:t>
            </w:r>
          </w:p>
          <w:p w14:paraId="708FA5DF">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委托代理人签名</w:t>
            </w:r>
          </w:p>
        </w:tc>
        <w:tc>
          <w:tcPr>
            <w:tcW w:w="2992" w:type="dxa"/>
            <w:gridSpan w:val="2"/>
            <w:noWrap/>
            <w:tcMar>
              <w:left w:w="108" w:type="dxa"/>
              <w:right w:w="108" w:type="dxa"/>
            </w:tcMar>
            <w:vAlign w:val="center"/>
          </w:tcPr>
          <w:p w14:paraId="061BCC3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c>
          <w:tcPr>
            <w:tcW w:w="753" w:type="dxa"/>
            <w:noWrap/>
            <w:tcMar>
              <w:left w:w="108" w:type="dxa"/>
              <w:right w:w="108" w:type="dxa"/>
            </w:tcMar>
            <w:vAlign w:val="center"/>
          </w:tcPr>
          <w:p w14:paraId="2EC7027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手机号码</w:t>
            </w:r>
          </w:p>
        </w:tc>
        <w:tc>
          <w:tcPr>
            <w:tcW w:w="2527" w:type="dxa"/>
            <w:gridSpan w:val="2"/>
            <w:noWrap/>
            <w:tcMar>
              <w:left w:w="108" w:type="dxa"/>
              <w:right w:w="108" w:type="dxa"/>
            </w:tcMar>
            <w:vAlign w:val="center"/>
          </w:tcPr>
          <w:p w14:paraId="53544C2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49133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9100" w:type="dxa"/>
            <w:gridSpan w:val="8"/>
            <w:noWrap/>
            <w:tcMar>
              <w:left w:w="108" w:type="dxa"/>
              <w:right w:w="108" w:type="dxa"/>
            </w:tcMar>
            <w:vAlign w:val="center"/>
          </w:tcPr>
          <w:p w14:paraId="2800686A">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递交的证明材料原件如下：</w:t>
            </w:r>
          </w:p>
        </w:tc>
      </w:tr>
      <w:tr w14:paraId="1633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441CDCD3">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序号</w:t>
            </w:r>
          </w:p>
        </w:tc>
        <w:tc>
          <w:tcPr>
            <w:tcW w:w="5120" w:type="dxa"/>
            <w:gridSpan w:val="4"/>
            <w:noWrap/>
            <w:tcMar>
              <w:left w:w="108" w:type="dxa"/>
              <w:right w:w="108" w:type="dxa"/>
            </w:tcMar>
            <w:vAlign w:val="center"/>
          </w:tcPr>
          <w:p w14:paraId="4D87A2C7">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证明材料原件名称</w:t>
            </w:r>
          </w:p>
        </w:tc>
        <w:tc>
          <w:tcPr>
            <w:tcW w:w="1710" w:type="dxa"/>
            <w:gridSpan w:val="2"/>
            <w:noWrap/>
            <w:tcMar>
              <w:left w:w="108" w:type="dxa"/>
              <w:right w:w="108" w:type="dxa"/>
            </w:tcMar>
            <w:vAlign w:val="center"/>
          </w:tcPr>
          <w:p w14:paraId="2FFAF84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单位</w:t>
            </w:r>
          </w:p>
        </w:tc>
        <w:tc>
          <w:tcPr>
            <w:tcW w:w="1570" w:type="dxa"/>
            <w:noWrap/>
            <w:tcMar>
              <w:left w:w="108" w:type="dxa"/>
              <w:right w:w="108" w:type="dxa"/>
            </w:tcMar>
            <w:vAlign w:val="center"/>
          </w:tcPr>
          <w:p w14:paraId="275224E8">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数量</w:t>
            </w:r>
          </w:p>
        </w:tc>
      </w:tr>
      <w:tr w14:paraId="0A6D7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4853ED2E">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w:t>
            </w:r>
          </w:p>
        </w:tc>
        <w:tc>
          <w:tcPr>
            <w:tcW w:w="5120" w:type="dxa"/>
            <w:gridSpan w:val="4"/>
            <w:noWrap/>
            <w:tcMar>
              <w:left w:w="108" w:type="dxa"/>
              <w:right w:w="108" w:type="dxa"/>
            </w:tcMar>
            <w:vAlign w:val="center"/>
          </w:tcPr>
          <w:p w14:paraId="413CF069">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7563D34D">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72556405">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73908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68C07C02">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2</w:t>
            </w:r>
          </w:p>
        </w:tc>
        <w:tc>
          <w:tcPr>
            <w:tcW w:w="5120" w:type="dxa"/>
            <w:gridSpan w:val="4"/>
            <w:noWrap/>
            <w:tcMar>
              <w:left w:w="108" w:type="dxa"/>
              <w:right w:w="108" w:type="dxa"/>
            </w:tcMar>
            <w:vAlign w:val="center"/>
          </w:tcPr>
          <w:p w14:paraId="4F5C2078">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776BAEEA">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2E96AC65">
            <w:pPr>
              <w:jc w:val="center"/>
              <w:rPr>
                <w:rFonts w:hint="eastAsia" w:asciiTheme="minorEastAsia" w:hAnsiTheme="minorEastAsia" w:eastAsiaTheme="minorEastAsia" w:cstheme="minorEastAsia"/>
                <w:color w:val="auto"/>
                <w:szCs w:val="24"/>
                <w:highlight w:val="none"/>
              </w:rPr>
            </w:pPr>
          </w:p>
        </w:tc>
      </w:tr>
      <w:tr w14:paraId="317FEF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3389824D">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3</w:t>
            </w:r>
          </w:p>
        </w:tc>
        <w:tc>
          <w:tcPr>
            <w:tcW w:w="5120" w:type="dxa"/>
            <w:gridSpan w:val="4"/>
            <w:noWrap/>
            <w:tcMar>
              <w:left w:w="108" w:type="dxa"/>
              <w:right w:w="108" w:type="dxa"/>
            </w:tcMar>
            <w:vAlign w:val="center"/>
          </w:tcPr>
          <w:p w14:paraId="772FC89E">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06CE033C">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3A555C66">
            <w:pPr>
              <w:jc w:val="center"/>
              <w:rPr>
                <w:rFonts w:hint="eastAsia" w:asciiTheme="minorEastAsia" w:hAnsiTheme="minorEastAsia" w:eastAsiaTheme="minorEastAsia" w:cstheme="minorEastAsia"/>
                <w:color w:val="auto"/>
                <w:szCs w:val="24"/>
                <w:highlight w:val="none"/>
              </w:rPr>
            </w:pPr>
          </w:p>
        </w:tc>
      </w:tr>
      <w:tr w14:paraId="1356B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805" w:hRule="atLeast"/>
        </w:trPr>
        <w:tc>
          <w:tcPr>
            <w:tcW w:w="700" w:type="dxa"/>
            <w:noWrap/>
            <w:tcMar>
              <w:left w:w="108" w:type="dxa"/>
              <w:right w:w="108" w:type="dxa"/>
            </w:tcMar>
            <w:vAlign w:val="center"/>
          </w:tcPr>
          <w:p w14:paraId="42B3E6A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w:t>
            </w:r>
          </w:p>
        </w:tc>
        <w:tc>
          <w:tcPr>
            <w:tcW w:w="5120" w:type="dxa"/>
            <w:gridSpan w:val="4"/>
            <w:noWrap/>
            <w:tcMar>
              <w:left w:w="108" w:type="dxa"/>
              <w:right w:w="108" w:type="dxa"/>
            </w:tcMar>
            <w:vAlign w:val="center"/>
          </w:tcPr>
          <w:p w14:paraId="1CBA6A30">
            <w:pPr>
              <w:jc w:val="center"/>
              <w:rPr>
                <w:rFonts w:hint="eastAsia" w:asciiTheme="minorEastAsia" w:hAnsiTheme="minorEastAsia" w:eastAsiaTheme="minorEastAsia" w:cstheme="minorEastAsia"/>
                <w:color w:val="auto"/>
                <w:szCs w:val="24"/>
                <w:highlight w:val="none"/>
              </w:rPr>
            </w:pPr>
          </w:p>
        </w:tc>
        <w:tc>
          <w:tcPr>
            <w:tcW w:w="1710" w:type="dxa"/>
            <w:gridSpan w:val="2"/>
            <w:noWrap/>
            <w:tcMar>
              <w:left w:w="108" w:type="dxa"/>
              <w:right w:w="108" w:type="dxa"/>
            </w:tcMar>
            <w:vAlign w:val="center"/>
          </w:tcPr>
          <w:p w14:paraId="441F86DA">
            <w:pPr>
              <w:jc w:val="center"/>
              <w:rPr>
                <w:rFonts w:hint="eastAsia" w:asciiTheme="minorEastAsia" w:hAnsiTheme="minorEastAsia" w:eastAsiaTheme="minorEastAsia" w:cstheme="minorEastAsia"/>
                <w:color w:val="auto"/>
                <w:szCs w:val="24"/>
                <w:highlight w:val="none"/>
              </w:rPr>
            </w:pPr>
          </w:p>
        </w:tc>
        <w:tc>
          <w:tcPr>
            <w:tcW w:w="1570" w:type="dxa"/>
            <w:noWrap/>
            <w:tcMar>
              <w:left w:w="108" w:type="dxa"/>
              <w:right w:w="108" w:type="dxa"/>
            </w:tcMar>
            <w:vAlign w:val="center"/>
          </w:tcPr>
          <w:p w14:paraId="12B986F1">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w:t>
            </w:r>
          </w:p>
        </w:tc>
      </w:tr>
      <w:tr w14:paraId="5F6CA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928" w:hRule="atLeast"/>
        </w:trPr>
        <w:tc>
          <w:tcPr>
            <w:tcW w:w="700" w:type="dxa"/>
            <w:noWrap/>
            <w:tcMar>
              <w:left w:w="108" w:type="dxa"/>
              <w:right w:w="108" w:type="dxa"/>
            </w:tcMar>
            <w:vAlign w:val="center"/>
          </w:tcPr>
          <w:p w14:paraId="39EEEF39">
            <w:pPr>
              <w:ind w:left="8" w:hanging="94"/>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注意：</w:t>
            </w:r>
          </w:p>
        </w:tc>
        <w:tc>
          <w:tcPr>
            <w:tcW w:w="8400" w:type="dxa"/>
            <w:gridSpan w:val="7"/>
            <w:noWrap/>
            <w:tcMar>
              <w:left w:w="108" w:type="dxa"/>
              <w:right w:w="108" w:type="dxa"/>
            </w:tcMar>
            <w:vAlign w:val="center"/>
          </w:tcPr>
          <w:p w14:paraId="120E70EA">
            <w:pPr>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该表一式两份，两份表格投标人均需如实填写各项内容，两份表格的填写内容应一致。一份贴于装纳原件的文件袋（箱），一份在递交文件袋（箱）时由招标代理机构、投标人签字后交招标代理机构。招标代理机构仅代签收装纳原件的文件袋（箱），而不对文件袋（箱）中资料的数量、内容及真实性负责。</w:t>
            </w:r>
          </w:p>
        </w:tc>
      </w:tr>
      <w:tr w14:paraId="5B508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715" w:hRule="atLeast"/>
        </w:trPr>
        <w:tc>
          <w:tcPr>
            <w:tcW w:w="2205" w:type="dxa"/>
            <w:gridSpan w:val="2"/>
            <w:noWrap/>
            <w:tcMar>
              <w:left w:w="108" w:type="dxa"/>
              <w:right w:w="108" w:type="dxa"/>
            </w:tcMar>
            <w:vAlign w:val="center"/>
          </w:tcPr>
          <w:p w14:paraId="6F792730">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接收原件经办人（招标代理）：</w:t>
            </w:r>
          </w:p>
        </w:tc>
        <w:tc>
          <w:tcPr>
            <w:tcW w:w="1992" w:type="dxa"/>
            <w:gridSpan w:val="2"/>
            <w:noWrap/>
            <w:tcMar>
              <w:left w:w="108" w:type="dxa"/>
              <w:right w:w="108" w:type="dxa"/>
            </w:tcMar>
            <w:vAlign w:val="center"/>
          </w:tcPr>
          <w:p w14:paraId="6620DAAC">
            <w:pPr>
              <w:jc w:val="center"/>
              <w:rPr>
                <w:rFonts w:hint="eastAsia" w:asciiTheme="minorEastAsia" w:hAnsiTheme="minorEastAsia" w:eastAsiaTheme="minorEastAsia" w:cstheme="minorEastAsia"/>
                <w:color w:val="auto"/>
                <w:szCs w:val="24"/>
                <w:highlight w:val="none"/>
              </w:rPr>
            </w:pPr>
          </w:p>
        </w:tc>
        <w:tc>
          <w:tcPr>
            <w:tcW w:w="1623" w:type="dxa"/>
            <w:noWrap/>
            <w:tcMar>
              <w:left w:w="108" w:type="dxa"/>
              <w:right w:w="108" w:type="dxa"/>
            </w:tcMar>
            <w:vAlign w:val="center"/>
          </w:tcPr>
          <w:p w14:paraId="5D888EFC">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接收时间：</w:t>
            </w:r>
          </w:p>
        </w:tc>
        <w:tc>
          <w:tcPr>
            <w:tcW w:w="3280" w:type="dxa"/>
            <w:gridSpan w:val="3"/>
            <w:noWrap/>
            <w:tcMar>
              <w:left w:w="108" w:type="dxa"/>
              <w:right w:w="108" w:type="dxa"/>
            </w:tcMar>
            <w:vAlign w:val="center"/>
          </w:tcPr>
          <w:p w14:paraId="69832008">
            <w:pPr>
              <w:ind w:firstLine="720" w:firstLineChars="3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年   月   日   时  分</w:t>
            </w:r>
          </w:p>
        </w:tc>
      </w:tr>
      <w:tr w14:paraId="1F927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1089" w:hRule="atLeast"/>
        </w:trPr>
        <w:tc>
          <w:tcPr>
            <w:tcW w:w="2205" w:type="dxa"/>
            <w:gridSpan w:val="2"/>
            <w:noWrap/>
            <w:tcMar>
              <w:left w:w="108" w:type="dxa"/>
              <w:right w:w="108" w:type="dxa"/>
            </w:tcMar>
            <w:vAlign w:val="center"/>
          </w:tcPr>
          <w:p w14:paraId="5C0CF7C9">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退还原件接收人（投标人）：</w:t>
            </w:r>
          </w:p>
        </w:tc>
        <w:tc>
          <w:tcPr>
            <w:tcW w:w="1992" w:type="dxa"/>
            <w:gridSpan w:val="2"/>
            <w:noWrap/>
            <w:tcMar>
              <w:left w:w="108" w:type="dxa"/>
              <w:right w:w="108" w:type="dxa"/>
            </w:tcMar>
            <w:vAlign w:val="center"/>
          </w:tcPr>
          <w:p w14:paraId="53A64A51">
            <w:pPr>
              <w:jc w:val="center"/>
              <w:rPr>
                <w:rFonts w:hint="eastAsia" w:asciiTheme="minorEastAsia" w:hAnsiTheme="minorEastAsia" w:eastAsiaTheme="minorEastAsia" w:cstheme="minorEastAsia"/>
                <w:color w:val="auto"/>
                <w:szCs w:val="24"/>
                <w:highlight w:val="none"/>
              </w:rPr>
            </w:pPr>
          </w:p>
        </w:tc>
        <w:tc>
          <w:tcPr>
            <w:tcW w:w="1623" w:type="dxa"/>
            <w:noWrap/>
            <w:tcMar>
              <w:left w:w="108" w:type="dxa"/>
              <w:right w:w="108" w:type="dxa"/>
            </w:tcMar>
            <w:vAlign w:val="center"/>
          </w:tcPr>
          <w:p w14:paraId="313AA954">
            <w:pPr>
              <w:jc w:val="center"/>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退还时间：</w:t>
            </w:r>
          </w:p>
        </w:tc>
        <w:tc>
          <w:tcPr>
            <w:tcW w:w="3280" w:type="dxa"/>
            <w:gridSpan w:val="3"/>
            <w:noWrap/>
            <w:tcMar>
              <w:left w:w="108" w:type="dxa"/>
              <w:right w:w="108" w:type="dxa"/>
            </w:tcMar>
            <w:vAlign w:val="center"/>
          </w:tcPr>
          <w:p w14:paraId="4D13F4C9">
            <w:pPr>
              <w:ind w:firstLine="720" w:firstLineChars="300"/>
              <w:jc w:val="lef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年   月   日   时   分</w:t>
            </w:r>
          </w:p>
        </w:tc>
      </w:tr>
    </w:tbl>
    <w:p w14:paraId="03F2CCF0">
      <w:pPr>
        <w:snapToGrid w:val="0"/>
        <w:spacing w:line="440" w:lineRule="exact"/>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b/>
          <w:snapToGrid w:val="0"/>
          <w:color w:val="auto"/>
          <w:highlight w:val="none"/>
        </w:rPr>
        <w:br w:type="page"/>
      </w:r>
    </w:p>
    <w:p w14:paraId="319368F2">
      <w:pPr>
        <w:pStyle w:val="40"/>
        <w:widowControl w:val="0"/>
        <w:wordWrap w:val="0"/>
        <w:adjustRightInd w:val="0"/>
        <w:snapToGrid w:val="0"/>
        <w:spacing w:line="360" w:lineRule="auto"/>
        <w:rPr>
          <w:rFonts w:hint="eastAsia" w:eastAsia="宋体"/>
          <w:snapToGrid w:val="0"/>
          <w:color w:val="auto"/>
          <w:sz w:val="21"/>
          <w:szCs w:val="28"/>
          <w:highlight w:val="none"/>
          <w:lang w:eastAsia="zh-CN"/>
        </w:rPr>
      </w:pPr>
      <w:r>
        <w:rPr>
          <w:rStyle w:val="65"/>
          <w:rFonts w:hint="eastAsia" w:ascii="宋体" w:hAnsi="宋体" w:eastAsia="宋体" w:cs="宋体"/>
          <w:b/>
          <w:bCs/>
          <w:color w:val="auto"/>
          <w:sz w:val="21"/>
          <w:szCs w:val="21"/>
          <w:highlight w:val="none"/>
        </w:rPr>
        <w:t>建造师查询页（有效期）</w:t>
      </w:r>
    </w:p>
    <w:p w14:paraId="04B1FDF4">
      <w:pPr>
        <w:pStyle w:val="54"/>
        <w:spacing w:line="440" w:lineRule="exact"/>
        <w:ind w:firstLine="0" w:firstLineChars="0"/>
        <w:rPr>
          <w:rFonts w:hint="eastAsia" w:asciiTheme="minorEastAsia" w:hAnsiTheme="minorEastAsia" w:eastAsiaTheme="minorEastAsia" w:cstheme="minorEastAsia"/>
          <w:color w:val="auto"/>
          <w:szCs w:val="32"/>
          <w:highlight w:val="none"/>
        </w:rPr>
      </w:pPr>
      <w:r>
        <w:rPr>
          <w:snapToGrid w:val="0"/>
          <w:color w:val="auto"/>
          <w:sz w:val="21"/>
          <w:highlight w:val="none"/>
        </w:rPr>
        <w:drawing>
          <wp:anchor distT="0" distB="0" distL="114300" distR="114300" simplePos="0" relativeHeight="251664384" behindDoc="0" locked="0" layoutInCell="1" allowOverlap="1">
            <wp:simplePos x="0" y="0"/>
            <wp:positionH relativeFrom="column">
              <wp:posOffset>165735</wp:posOffset>
            </wp:positionH>
            <wp:positionV relativeFrom="paragraph">
              <wp:posOffset>12700</wp:posOffset>
            </wp:positionV>
            <wp:extent cx="5767070" cy="8064500"/>
            <wp:effectExtent l="0" t="0" r="8890" b="12700"/>
            <wp:wrapNone/>
            <wp:docPr id="1" name="图片 1" descr="32d7491b2f9802d8de0f2607fe015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32d7491b2f9802d8de0f2607fe015bb"/>
                    <pic:cNvPicPr>
                      <a:picLocks noChangeAspect="1"/>
                    </pic:cNvPicPr>
                  </pic:nvPicPr>
                  <pic:blipFill>
                    <a:blip r:embed="rId13"/>
                    <a:stretch>
                      <a:fillRect/>
                    </a:stretch>
                  </pic:blipFill>
                  <pic:spPr>
                    <a:xfrm>
                      <a:off x="0" y="0"/>
                      <a:ext cx="5767070" cy="8064500"/>
                    </a:xfrm>
                    <a:prstGeom prst="rect">
                      <a:avLst/>
                    </a:prstGeom>
                    <a:noFill/>
                    <a:ln>
                      <a:noFill/>
                    </a:ln>
                  </pic:spPr>
                </pic:pic>
              </a:graphicData>
            </a:graphic>
          </wp:anchor>
        </w:drawing>
      </w:r>
    </w:p>
    <w:p w14:paraId="432D93B5">
      <w:pPr>
        <w:pStyle w:val="2"/>
        <w:jc w:val="center"/>
        <w:rPr>
          <w:rFonts w:hint="eastAsia" w:asciiTheme="minorEastAsia" w:hAnsiTheme="minorEastAsia" w:eastAsiaTheme="minorEastAsia" w:cstheme="minorEastAsia"/>
          <w:b/>
          <w:color w:val="auto"/>
          <w:kern w:val="44"/>
          <w:sz w:val="36"/>
          <w:szCs w:val="36"/>
          <w:highlight w:val="none"/>
        </w:rPr>
      </w:pPr>
      <w:bookmarkStart w:id="415" w:name="_Toc466640622"/>
      <w:bookmarkStart w:id="416" w:name="_Toc3242"/>
      <w:bookmarkStart w:id="417" w:name="_Toc19434"/>
      <w:bookmarkStart w:id="418" w:name="_Toc3894"/>
      <w:bookmarkStart w:id="419" w:name="_Toc1879"/>
      <w:bookmarkStart w:id="420" w:name="_Toc9802"/>
      <w:bookmarkStart w:id="421" w:name="_Toc11532"/>
      <w:bookmarkStart w:id="422" w:name="_Toc26594"/>
      <w:bookmarkStart w:id="423" w:name="_Toc13641"/>
      <w:bookmarkStart w:id="424" w:name="_Toc420"/>
    </w:p>
    <w:p w14:paraId="231C3962">
      <w:pPr>
        <w:pStyle w:val="2"/>
        <w:jc w:val="center"/>
        <w:rPr>
          <w:rFonts w:hint="eastAsia" w:asciiTheme="minorEastAsia" w:hAnsiTheme="minorEastAsia" w:eastAsiaTheme="minorEastAsia" w:cstheme="minorEastAsia"/>
          <w:b/>
          <w:color w:val="auto"/>
          <w:kern w:val="44"/>
          <w:sz w:val="36"/>
          <w:szCs w:val="36"/>
          <w:highlight w:val="none"/>
        </w:rPr>
      </w:pPr>
    </w:p>
    <w:p w14:paraId="5CADF2A8">
      <w:pPr>
        <w:pStyle w:val="2"/>
        <w:jc w:val="center"/>
        <w:rPr>
          <w:rFonts w:hint="eastAsia" w:asciiTheme="minorEastAsia" w:hAnsiTheme="minorEastAsia" w:eastAsiaTheme="minorEastAsia" w:cstheme="minorEastAsia"/>
          <w:b/>
          <w:color w:val="auto"/>
          <w:kern w:val="44"/>
          <w:sz w:val="36"/>
          <w:szCs w:val="36"/>
          <w:highlight w:val="none"/>
        </w:rPr>
      </w:pPr>
    </w:p>
    <w:p w14:paraId="37C209CF">
      <w:pPr>
        <w:pStyle w:val="2"/>
        <w:jc w:val="center"/>
        <w:rPr>
          <w:rFonts w:hint="eastAsia" w:asciiTheme="minorEastAsia" w:hAnsiTheme="minorEastAsia" w:eastAsiaTheme="minorEastAsia" w:cstheme="minorEastAsia"/>
          <w:b/>
          <w:color w:val="auto"/>
          <w:kern w:val="44"/>
          <w:sz w:val="36"/>
          <w:szCs w:val="36"/>
          <w:highlight w:val="none"/>
        </w:rPr>
      </w:pPr>
    </w:p>
    <w:p w14:paraId="4C708150">
      <w:pPr>
        <w:pStyle w:val="2"/>
        <w:jc w:val="center"/>
        <w:rPr>
          <w:rFonts w:hint="eastAsia" w:asciiTheme="minorEastAsia" w:hAnsiTheme="minorEastAsia" w:eastAsiaTheme="minorEastAsia" w:cstheme="minorEastAsia"/>
          <w:b/>
          <w:color w:val="auto"/>
          <w:kern w:val="44"/>
          <w:sz w:val="36"/>
          <w:szCs w:val="36"/>
          <w:highlight w:val="none"/>
        </w:rPr>
      </w:pPr>
    </w:p>
    <w:p w14:paraId="46C536CB">
      <w:pPr>
        <w:pStyle w:val="2"/>
        <w:jc w:val="center"/>
        <w:rPr>
          <w:rFonts w:hint="eastAsia" w:asciiTheme="minorEastAsia" w:hAnsiTheme="minorEastAsia" w:eastAsiaTheme="minorEastAsia" w:cstheme="minorEastAsia"/>
          <w:b/>
          <w:color w:val="auto"/>
          <w:kern w:val="44"/>
          <w:sz w:val="36"/>
          <w:szCs w:val="36"/>
          <w:highlight w:val="none"/>
        </w:rPr>
      </w:pPr>
    </w:p>
    <w:p w14:paraId="03FBF0D0">
      <w:pPr>
        <w:pStyle w:val="2"/>
        <w:jc w:val="center"/>
        <w:rPr>
          <w:rFonts w:hint="eastAsia" w:asciiTheme="minorEastAsia" w:hAnsiTheme="minorEastAsia" w:eastAsiaTheme="minorEastAsia" w:cstheme="minorEastAsia"/>
          <w:b/>
          <w:color w:val="auto"/>
          <w:kern w:val="44"/>
          <w:sz w:val="36"/>
          <w:szCs w:val="36"/>
          <w:highlight w:val="none"/>
        </w:rPr>
      </w:pPr>
    </w:p>
    <w:p w14:paraId="76CDB9DE">
      <w:pPr>
        <w:pStyle w:val="2"/>
        <w:jc w:val="center"/>
        <w:rPr>
          <w:rFonts w:hint="eastAsia" w:asciiTheme="minorEastAsia" w:hAnsiTheme="minorEastAsia" w:eastAsiaTheme="minorEastAsia" w:cstheme="minorEastAsia"/>
          <w:b/>
          <w:color w:val="auto"/>
          <w:kern w:val="44"/>
          <w:sz w:val="36"/>
          <w:szCs w:val="36"/>
          <w:highlight w:val="none"/>
        </w:rPr>
      </w:pPr>
    </w:p>
    <w:p w14:paraId="22E00F43">
      <w:pPr>
        <w:pStyle w:val="2"/>
        <w:jc w:val="center"/>
        <w:rPr>
          <w:rFonts w:hint="eastAsia" w:asciiTheme="minorEastAsia" w:hAnsiTheme="minorEastAsia" w:eastAsiaTheme="minorEastAsia" w:cstheme="minorEastAsia"/>
          <w:b/>
          <w:color w:val="auto"/>
          <w:kern w:val="44"/>
          <w:sz w:val="36"/>
          <w:szCs w:val="36"/>
          <w:highlight w:val="none"/>
        </w:rPr>
      </w:pPr>
    </w:p>
    <w:p w14:paraId="5A448401">
      <w:pPr>
        <w:pStyle w:val="2"/>
        <w:jc w:val="center"/>
        <w:rPr>
          <w:rFonts w:hint="eastAsia" w:asciiTheme="minorEastAsia" w:hAnsiTheme="minorEastAsia" w:eastAsiaTheme="minorEastAsia" w:cstheme="minorEastAsia"/>
          <w:b/>
          <w:color w:val="auto"/>
          <w:kern w:val="44"/>
          <w:sz w:val="36"/>
          <w:szCs w:val="36"/>
          <w:highlight w:val="none"/>
        </w:rPr>
      </w:pPr>
    </w:p>
    <w:p w14:paraId="4F0774D8">
      <w:pPr>
        <w:pStyle w:val="2"/>
        <w:jc w:val="center"/>
        <w:rPr>
          <w:rFonts w:hint="eastAsia" w:asciiTheme="minorEastAsia" w:hAnsiTheme="minorEastAsia" w:eastAsiaTheme="minorEastAsia" w:cstheme="minorEastAsia"/>
          <w:b/>
          <w:color w:val="auto"/>
          <w:kern w:val="44"/>
          <w:sz w:val="36"/>
          <w:szCs w:val="36"/>
          <w:highlight w:val="none"/>
        </w:rPr>
      </w:pPr>
    </w:p>
    <w:p w14:paraId="3F95E31E">
      <w:pPr>
        <w:pStyle w:val="2"/>
        <w:jc w:val="center"/>
        <w:rPr>
          <w:rFonts w:hint="eastAsia" w:asciiTheme="minorEastAsia" w:hAnsiTheme="minorEastAsia" w:eastAsiaTheme="minorEastAsia" w:cstheme="minorEastAsia"/>
          <w:b/>
          <w:color w:val="auto"/>
          <w:kern w:val="44"/>
          <w:sz w:val="36"/>
          <w:szCs w:val="36"/>
          <w:highlight w:val="none"/>
        </w:rPr>
      </w:pPr>
    </w:p>
    <w:p w14:paraId="5BB0A614">
      <w:pPr>
        <w:pStyle w:val="2"/>
        <w:jc w:val="center"/>
        <w:rPr>
          <w:rFonts w:hint="eastAsia" w:asciiTheme="minorEastAsia" w:hAnsiTheme="minorEastAsia" w:eastAsiaTheme="minorEastAsia" w:cstheme="minorEastAsia"/>
          <w:b/>
          <w:color w:val="auto"/>
          <w:kern w:val="44"/>
          <w:sz w:val="36"/>
          <w:szCs w:val="36"/>
          <w:highlight w:val="none"/>
        </w:rPr>
      </w:pPr>
    </w:p>
    <w:p w14:paraId="5DFCAB85">
      <w:pPr>
        <w:pStyle w:val="2"/>
        <w:jc w:val="center"/>
        <w:rPr>
          <w:rFonts w:hint="eastAsia" w:asciiTheme="minorEastAsia" w:hAnsiTheme="minorEastAsia" w:eastAsiaTheme="minorEastAsia" w:cstheme="minorEastAsia"/>
          <w:b/>
          <w:color w:val="auto"/>
          <w:kern w:val="44"/>
          <w:sz w:val="36"/>
          <w:szCs w:val="36"/>
          <w:highlight w:val="none"/>
        </w:rPr>
      </w:pPr>
    </w:p>
    <w:p w14:paraId="78076CBD">
      <w:pPr>
        <w:pStyle w:val="2"/>
        <w:jc w:val="center"/>
        <w:rPr>
          <w:rFonts w:hint="eastAsia" w:asciiTheme="minorEastAsia" w:hAnsiTheme="minorEastAsia" w:eastAsiaTheme="minorEastAsia" w:cstheme="minorEastAsia"/>
          <w:b/>
          <w:color w:val="auto"/>
          <w:kern w:val="44"/>
          <w:sz w:val="36"/>
          <w:szCs w:val="36"/>
          <w:highlight w:val="none"/>
        </w:rPr>
      </w:pPr>
    </w:p>
    <w:p w14:paraId="2D0A27E4">
      <w:pPr>
        <w:pStyle w:val="2"/>
        <w:jc w:val="center"/>
        <w:rPr>
          <w:rFonts w:hint="eastAsia" w:asciiTheme="minorEastAsia" w:hAnsiTheme="minorEastAsia" w:eastAsiaTheme="minorEastAsia" w:cstheme="minorEastAsia"/>
          <w:b/>
          <w:color w:val="auto"/>
          <w:kern w:val="44"/>
          <w:sz w:val="36"/>
          <w:szCs w:val="36"/>
          <w:highlight w:val="none"/>
        </w:rPr>
      </w:pPr>
    </w:p>
    <w:p w14:paraId="228CC732">
      <w:pPr>
        <w:pStyle w:val="2"/>
        <w:jc w:val="center"/>
        <w:rPr>
          <w:rFonts w:hint="eastAsia" w:asciiTheme="minorEastAsia" w:hAnsiTheme="minorEastAsia" w:eastAsiaTheme="minorEastAsia" w:cstheme="minorEastAsia"/>
          <w:b/>
          <w:color w:val="auto"/>
          <w:kern w:val="44"/>
          <w:sz w:val="36"/>
          <w:szCs w:val="36"/>
          <w:highlight w:val="none"/>
        </w:rPr>
      </w:pPr>
    </w:p>
    <w:p w14:paraId="62907BC8">
      <w:pPr>
        <w:pStyle w:val="2"/>
        <w:jc w:val="center"/>
        <w:rPr>
          <w:rFonts w:hint="eastAsia" w:asciiTheme="minorEastAsia" w:hAnsiTheme="minorEastAsia" w:eastAsiaTheme="minorEastAsia" w:cstheme="minorEastAsia"/>
          <w:b/>
          <w:color w:val="auto"/>
          <w:kern w:val="44"/>
          <w:sz w:val="36"/>
          <w:szCs w:val="36"/>
          <w:highlight w:val="none"/>
        </w:rPr>
      </w:pPr>
    </w:p>
    <w:p w14:paraId="775AF2BA">
      <w:pPr>
        <w:pStyle w:val="2"/>
        <w:jc w:val="center"/>
        <w:rPr>
          <w:rFonts w:hint="eastAsia" w:asciiTheme="minorEastAsia" w:hAnsiTheme="minorEastAsia" w:eastAsiaTheme="minorEastAsia" w:cstheme="minorEastAsia"/>
          <w:b/>
          <w:color w:val="auto"/>
          <w:kern w:val="44"/>
          <w:sz w:val="36"/>
          <w:szCs w:val="36"/>
          <w:highlight w:val="none"/>
        </w:rPr>
      </w:pPr>
    </w:p>
    <w:p w14:paraId="7A5CFA4F">
      <w:pPr>
        <w:pStyle w:val="2"/>
        <w:jc w:val="center"/>
        <w:rPr>
          <w:rFonts w:hint="eastAsia" w:asciiTheme="minorEastAsia" w:hAnsiTheme="minorEastAsia" w:eastAsiaTheme="minorEastAsia" w:cstheme="minorEastAsia"/>
          <w:b/>
          <w:color w:val="auto"/>
          <w:kern w:val="44"/>
          <w:sz w:val="36"/>
          <w:szCs w:val="36"/>
          <w:highlight w:val="none"/>
        </w:rPr>
      </w:pPr>
    </w:p>
    <w:p w14:paraId="1E96B7E4">
      <w:pPr>
        <w:pStyle w:val="2"/>
        <w:jc w:val="center"/>
        <w:rPr>
          <w:rFonts w:hint="eastAsia" w:asciiTheme="minorEastAsia" w:hAnsiTheme="minorEastAsia" w:eastAsiaTheme="minorEastAsia" w:cstheme="minorEastAsia"/>
          <w:b/>
          <w:color w:val="auto"/>
          <w:kern w:val="44"/>
          <w:sz w:val="36"/>
          <w:szCs w:val="36"/>
          <w:highlight w:val="none"/>
        </w:rPr>
      </w:pPr>
    </w:p>
    <w:p w14:paraId="79747895">
      <w:pPr>
        <w:pStyle w:val="2"/>
        <w:jc w:val="center"/>
        <w:rPr>
          <w:rFonts w:hint="eastAsia" w:asciiTheme="minorEastAsia" w:hAnsiTheme="minorEastAsia" w:eastAsiaTheme="minorEastAsia" w:cstheme="minorEastAsia"/>
          <w:b/>
          <w:color w:val="auto"/>
          <w:kern w:val="44"/>
          <w:sz w:val="36"/>
          <w:szCs w:val="36"/>
          <w:highlight w:val="none"/>
        </w:rPr>
      </w:pPr>
    </w:p>
    <w:p w14:paraId="55BFF15B">
      <w:pPr>
        <w:pStyle w:val="2"/>
        <w:jc w:val="center"/>
        <w:rPr>
          <w:rFonts w:hint="eastAsia" w:asciiTheme="minorEastAsia" w:hAnsiTheme="minorEastAsia" w:eastAsiaTheme="minorEastAsia" w:cstheme="minorEastAsia"/>
          <w:b/>
          <w:color w:val="auto"/>
          <w:kern w:val="44"/>
          <w:sz w:val="36"/>
          <w:szCs w:val="36"/>
          <w:highlight w:val="none"/>
        </w:rPr>
      </w:pPr>
    </w:p>
    <w:p w14:paraId="2CBAC3BB">
      <w:pPr>
        <w:pStyle w:val="2"/>
        <w:jc w:val="center"/>
        <w:rPr>
          <w:rFonts w:hint="eastAsia" w:asciiTheme="minorEastAsia" w:hAnsiTheme="minorEastAsia" w:eastAsiaTheme="minorEastAsia" w:cstheme="minorEastAsia"/>
          <w:b/>
          <w:color w:val="auto"/>
          <w:kern w:val="44"/>
          <w:sz w:val="36"/>
          <w:szCs w:val="36"/>
          <w:highlight w:val="none"/>
        </w:rPr>
      </w:pPr>
    </w:p>
    <w:p w14:paraId="0F9B6584">
      <w:pPr>
        <w:pStyle w:val="2"/>
        <w:jc w:val="center"/>
        <w:rPr>
          <w:rFonts w:hint="eastAsia" w:asciiTheme="minorEastAsia" w:hAnsiTheme="minorEastAsia" w:eastAsiaTheme="minorEastAsia" w:cstheme="minorEastAsia"/>
          <w:b/>
          <w:color w:val="auto"/>
          <w:kern w:val="44"/>
          <w:sz w:val="36"/>
          <w:szCs w:val="36"/>
          <w:highlight w:val="none"/>
        </w:rPr>
      </w:pPr>
    </w:p>
    <w:p w14:paraId="53105DA1">
      <w:pPr>
        <w:pStyle w:val="2"/>
        <w:jc w:val="center"/>
        <w:rPr>
          <w:rFonts w:hint="eastAsia" w:asciiTheme="minorEastAsia" w:hAnsiTheme="minorEastAsia" w:eastAsiaTheme="minorEastAsia" w:cstheme="minorEastAsia"/>
          <w:b/>
          <w:color w:val="auto"/>
          <w:kern w:val="44"/>
          <w:sz w:val="36"/>
          <w:szCs w:val="36"/>
          <w:highlight w:val="none"/>
        </w:rPr>
      </w:pPr>
    </w:p>
    <w:p w14:paraId="169EEA28">
      <w:pPr>
        <w:pStyle w:val="2"/>
        <w:jc w:val="center"/>
        <w:rPr>
          <w:rFonts w:hint="eastAsia" w:asciiTheme="minorEastAsia" w:hAnsiTheme="minorEastAsia" w:eastAsiaTheme="minorEastAsia" w:cstheme="minorEastAsia"/>
          <w:b/>
          <w:color w:val="auto"/>
          <w:kern w:val="44"/>
          <w:sz w:val="36"/>
          <w:szCs w:val="36"/>
          <w:highlight w:val="none"/>
        </w:rPr>
      </w:pPr>
      <w:r>
        <w:rPr>
          <w:rFonts w:hint="eastAsia" w:asciiTheme="minorEastAsia" w:hAnsiTheme="minorEastAsia" w:eastAsiaTheme="minorEastAsia" w:cstheme="minorEastAsia"/>
          <w:b/>
          <w:color w:val="auto"/>
          <w:kern w:val="44"/>
          <w:sz w:val="36"/>
          <w:szCs w:val="36"/>
          <w:highlight w:val="none"/>
        </w:rPr>
        <w:t>第</w:t>
      </w:r>
      <w:r>
        <w:rPr>
          <w:rFonts w:hint="eastAsia" w:asciiTheme="minorEastAsia" w:hAnsiTheme="minorEastAsia" w:eastAsiaTheme="minorEastAsia" w:cstheme="minorEastAsia"/>
          <w:b/>
          <w:color w:val="auto"/>
          <w:kern w:val="44"/>
          <w:sz w:val="36"/>
          <w:szCs w:val="36"/>
          <w:highlight w:val="none"/>
          <w:lang w:val="en-US" w:eastAsia="zh-CN"/>
        </w:rPr>
        <w:t>六</w:t>
      </w:r>
      <w:r>
        <w:rPr>
          <w:rFonts w:hint="eastAsia" w:asciiTheme="minorEastAsia" w:hAnsiTheme="minorEastAsia" w:eastAsiaTheme="minorEastAsia" w:cstheme="minorEastAsia"/>
          <w:b/>
          <w:color w:val="auto"/>
          <w:kern w:val="44"/>
          <w:sz w:val="36"/>
          <w:szCs w:val="36"/>
          <w:highlight w:val="none"/>
        </w:rPr>
        <w:t xml:space="preserve">章  </w:t>
      </w:r>
      <w:bookmarkEnd w:id="322"/>
      <w:bookmarkEnd w:id="323"/>
      <w:bookmarkEnd w:id="324"/>
      <w:bookmarkEnd w:id="325"/>
      <w:bookmarkEnd w:id="415"/>
      <w:r>
        <w:rPr>
          <w:rFonts w:hint="eastAsia" w:asciiTheme="minorEastAsia" w:hAnsiTheme="minorEastAsia" w:eastAsiaTheme="minorEastAsia" w:cstheme="minorEastAsia"/>
          <w:b/>
          <w:color w:val="auto"/>
          <w:kern w:val="44"/>
          <w:sz w:val="36"/>
          <w:szCs w:val="36"/>
          <w:highlight w:val="none"/>
        </w:rPr>
        <w:t>建设工程合同</w:t>
      </w:r>
      <w:bookmarkEnd w:id="416"/>
      <w:bookmarkEnd w:id="417"/>
      <w:bookmarkEnd w:id="418"/>
      <w:bookmarkEnd w:id="419"/>
      <w:bookmarkEnd w:id="420"/>
      <w:bookmarkEnd w:id="421"/>
      <w:bookmarkEnd w:id="422"/>
      <w:bookmarkEnd w:id="423"/>
      <w:bookmarkEnd w:id="424"/>
    </w:p>
    <w:p w14:paraId="216DBD0F">
      <w:pPr>
        <w:rPr>
          <w:rFonts w:hint="eastAsia" w:asciiTheme="minorEastAsia" w:hAnsiTheme="minorEastAsia" w:eastAsiaTheme="minorEastAsia" w:cstheme="minorEastAsia"/>
          <w:color w:val="auto"/>
          <w:highlight w:val="none"/>
        </w:rPr>
      </w:pPr>
    </w:p>
    <w:bookmarkEnd w:id="326"/>
    <w:bookmarkEnd w:id="327"/>
    <w:p w14:paraId="12C1B7AC">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 略。总承包合同参照住房城乡建设部、国家工商行政管理总局制定的《建设项目工程总承包合同（示范文本）》GF-2020-0216。</w:t>
      </w:r>
    </w:p>
    <w:p w14:paraId="29ED3A7F">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施工合同按广东省建设厅《广东省建设工程标准施工合同》范本（2009）执行。</w:t>
      </w:r>
    </w:p>
    <w:p w14:paraId="7DB5BA2F">
      <w:pPr>
        <w:spacing w:line="360" w:lineRule="auto"/>
        <w:ind w:firstLine="480" w:firstLineChars="20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 xml:space="preserve">设计合同按住房城乡建设部、国家工商行政管理总局制定《建设工程设计合同示范文本（市政公用工程）》（GF-2015-0209）、《建设工程设计合同示范文本（专业建设工程）》（GF-2015-0210）执行。 </w:t>
      </w:r>
    </w:p>
    <w:p w14:paraId="2C967AC0">
      <w:pPr>
        <w:spacing w:line="420" w:lineRule="atLeast"/>
        <w:ind w:firstLine="480" w:firstLineChars="200"/>
        <w:rPr>
          <w:rFonts w:hint="eastAsia" w:asciiTheme="minorEastAsia" w:hAnsiTheme="minorEastAsia" w:eastAsiaTheme="minorEastAsia" w:cstheme="minorEastAsia"/>
          <w:color w:val="auto"/>
          <w:highlight w:val="none"/>
        </w:rPr>
      </w:pPr>
    </w:p>
    <w:p w14:paraId="33FCAC64">
      <w:pPr>
        <w:spacing w:line="420" w:lineRule="atLeast"/>
        <w:ind w:firstLine="480" w:firstLineChars="200"/>
        <w:rPr>
          <w:rFonts w:hint="eastAsia" w:asciiTheme="minorEastAsia" w:hAnsiTheme="minorEastAsia" w:eastAsiaTheme="minorEastAsia" w:cstheme="minorEastAsia"/>
          <w:color w:val="auto"/>
          <w:highlight w:val="none"/>
        </w:rPr>
      </w:pPr>
    </w:p>
    <w:p w14:paraId="5A60D8C7">
      <w:pPr>
        <w:rPr>
          <w:rFonts w:hint="eastAsia" w:asciiTheme="minorEastAsia" w:hAnsiTheme="minorEastAsia" w:eastAsiaTheme="minorEastAsia" w:cstheme="minorEastAsia"/>
          <w:color w:val="auto"/>
          <w:highlight w:val="none"/>
        </w:rPr>
      </w:pPr>
    </w:p>
    <w:sectPr>
      <w:headerReference r:id="rId10" w:type="default"/>
      <w:footerReference r:id="rId11" w:type="default"/>
      <w:endnotePr>
        <w:numFmt w:val="decimal"/>
      </w:endnotePr>
      <w:pgSz w:w="11907" w:h="16840"/>
      <w:pgMar w:top="1134" w:right="1134" w:bottom="1021" w:left="1418" w:header="567" w:footer="510" w:gutter="0"/>
      <w:pgNumType w:fmt="decimal"/>
      <w:cols w:space="720" w:num="1"/>
      <w:docGrid w:type="lines"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roman"/>
    <w:pitch w:val="default"/>
    <w:sig w:usb0="E0002EFF" w:usb1="C000785B" w:usb2="00000009" w:usb3="00000000" w:csb0="400001FF" w:csb1="FFFF0000"/>
  </w:font>
  <w:font w:name="宋体">
    <w:panose1 w:val="02010600030101010101"/>
    <w:charset w:val="7F"/>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Bodoni MT">
    <w:panose1 w:val="02070603080606020203"/>
    <w:charset w:val="00"/>
    <w:family w:val="roman"/>
    <w:pitch w:val="default"/>
    <w:sig w:usb0="00000003" w:usb1="00000000" w:usb2="00000000" w:usb3="00000000" w:csb0="2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C9B18">
    <w:pPr>
      <w:pStyle w:val="63"/>
      <w:tabs>
        <w:tab w:val="left" w:pos="4803"/>
        <w:tab w:val="clear" w:pos="4153"/>
      </w:tabs>
    </w:pPr>
    <w:r>
      <w:rPr>
        <w:rFonts w:hint="eastAsia"/>
      </w:rPr>
      <w:tab/>
    </w:r>
  </w:p>
  <w:p w14:paraId="120816E0">
    <w:pPr>
      <w:pStyle w:val="6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9C9FC2">
    <w:pPr>
      <w:pStyle w:val="63"/>
      <w:tabs>
        <w:tab w:val="left" w:pos="4803"/>
        <w:tab w:val="clear" w:pos="4153"/>
      </w:tabs>
    </w:pPr>
    <w:r>
      <w:rPr>
        <w:rFonts w:hint="eastAsia"/>
      </w:rPr>
      <w:tab/>
    </w:r>
  </w:p>
  <w:p w14:paraId="4F9AD4C2">
    <w:pPr>
      <w:pStyle w:val="6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CF3D5">
    <w:pPr>
      <w:pStyle w:val="63"/>
      <w:tabs>
        <w:tab w:val="left" w:pos="4803"/>
        <w:tab w:val="clear" w:pos="4153"/>
      </w:tabs>
    </w:pPr>
    <w:r>
      <w:rPr>
        <w:rFonts w:hint="eastAsia"/>
      </w:rPr>
      <w:tab/>
    </w:r>
  </w:p>
  <w:p w14:paraId="2C46BB85">
    <w:pPr>
      <w:pStyle w:val="6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C7DA68">
    <w:pPr>
      <w:pStyle w:val="63"/>
      <w:tabs>
        <w:tab w:val="left" w:pos="4803"/>
        <w:tab w:val="clear" w:pos="4153"/>
      </w:tabs>
    </w:pPr>
    <w:r>
      <w:rPr>
        <w:rFonts w:hint="eastAsia"/>
      </w:rPr>
      <w:tab/>
    </w:r>
  </w:p>
  <w:p w14:paraId="3138FA5A">
    <w:pPr>
      <w:pStyle w:val="6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AC6651">
    <w:pPr>
      <w:pStyle w:val="63"/>
      <w:tabs>
        <w:tab w:val="left" w:pos="4803"/>
        <w:tab w:val="clear" w:pos="4153"/>
      </w:tabs>
    </w:pPr>
    <w:r>
      <w:rPr>
        <w:sz w:val="18"/>
      </w:rPr>
      <w:pict>
        <v:shape id="_x0000_s2053" o:spid="_x0000_s2053"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14:paraId="4A00E3FB">
                <w:pPr>
                  <w:pStyle w:val="14"/>
                </w:pPr>
                <w:r>
                  <w:fldChar w:fldCharType="begin"/>
                </w:r>
                <w:r>
                  <w:instrText xml:space="preserve"> PAGE  \* MERGEFORMAT </w:instrText>
                </w:r>
                <w:r>
                  <w:fldChar w:fldCharType="separate"/>
                </w:r>
                <w:r>
                  <w:t>１</w:t>
                </w:r>
                <w:r>
                  <w:fldChar w:fldCharType="end"/>
                </w:r>
              </w:p>
            </w:txbxContent>
          </v:textbox>
        </v:shape>
      </w:pict>
    </w:r>
    <w:r>
      <w:rPr>
        <w:rFonts w:hint="eastAsia"/>
      </w:rPr>
      <w:tab/>
    </w:r>
  </w:p>
  <w:p w14:paraId="6D52208A">
    <w:pPr>
      <w:pStyle w:val="63"/>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BF5DF9">
    <w:pPr>
      <w:pStyle w:val="63"/>
      <w:tabs>
        <w:tab w:val="left" w:pos="4803"/>
        <w:tab w:val="clear" w:pos="4153"/>
      </w:tabs>
    </w:pPr>
    <w:r>
      <w:pict>
        <v:shape id="文本框 1036" o:spid="_x0000_s2050"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14:paraId="61F4ADEE">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６４</w:t>
                </w:r>
                <w:r>
                  <w:rPr>
                    <w:rFonts w:hint="default"/>
                  </w:rPr>
                  <w:fldChar w:fldCharType="end"/>
                </w:r>
              </w:p>
            </w:txbxContent>
          </v:textbox>
        </v:shape>
      </w:pict>
    </w:r>
    <w:r>
      <w:rPr>
        <w:rFonts w:hint="eastAsia"/>
      </w:rPr>
      <w:tab/>
    </w:r>
  </w:p>
  <w:p w14:paraId="2539D025">
    <w:pPr>
      <w:pStyle w:val="63"/>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407F1E">
    <w:pPr>
      <w:pStyle w:val="14"/>
      <w:jc w:val="center"/>
      <w:rPr>
        <w:rFonts w:hint="default"/>
        <w:szCs w:val="24"/>
      </w:rPr>
    </w:pPr>
    <w:r>
      <w:rPr>
        <w:rFonts w:hint="default"/>
      </w:rPr>
      <w:pict>
        <v:shape id="文本框 1034" o:spid="_x0000_s2049"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14:paraId="5D6611F6">
                <w:pPr>
                  <w:pStyle w:val="14"/>
                  <w:rPr>
                    <w:rFonts w:hint="default"/>
                  </w:rPr>
                </w:pPr>
                <w:r>
                  <w:rPr>
                    <w:rFonts w:hint="default"/>
                  </w:rPr>
                  <w:fldChar w:fldCharType="begin"/>
                </w:r>
                <w:r>
                  <w:rPr>
                    <w:rFonts w:hint="default"/>
                  </w:rPr>
                  <w:instrText xml:space="preserve"> PAGE  \* MERGEFORMAT </w:instrText>
                </w:r>
                <w:r>
                  <w:rPr>
                    <w:rFonts w:hint="default"/>
                  </w:rPr>
                  <w:fldChar w:fldCharType="separate"/>
                </w:r>
                <w:r>
                  <w:rPr>
                    <w:rFonts w:hint="default"/>
                  </w:rPr>
                  <w:t>７６</w:t>
                </w:r>
                <w:r>
                  <w:rPr>
                    <w:rFonts w:hint="default"/>
                  </w:rPr>
                  <w:fldChar w:fldCharType="end"/>
                </w:r>
              </w:p>
            </w:txbxContent>
          </v:textbox>
        </v:shape>
      </w:pic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2A3025">
    <w:pPr>
      <w:jc w:val="center"/>
      <w:rPr>
        <w:rFonts w:hint="default"/>
        <w:szCs w:val="21"/>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C5999">
    <w:pPr>
      <w:pStyle w:val="15"/>
      <w:pBdr>
        <w:bottom w:val="none" w:color="auto" w:sz="0" w:space="0"/>
      </w:pBdr>
      <w:rPr>
        <w:rFonts w:hint="default"/>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FABDD9F"/>
    <w:multiLevelType w:val="singleLevel"/>
    <w:tmpl w:val="CFABDD9F"/>
    <w:lvl w:ilvl="0" w:tentative="0">
      <w:start w:val="1"/>
      <w:numFmt w:val="decimal"/>
      <w:suff w:val="nothing"/>
      <w:lvlText w:val="（%1）"/>
      <w:lvlJc w:val="left"/>
    </w:lvl>
  </w:abstractNum>
  <w:abstractNum w:abstractNumId="1">
    <w:nsid w:val="D8A443F2"/>
    <w:multiLevelType w:val="singleLevel"/>
    <w:tmpl w:val="D8A443F2"/>
    <w:lvl w:ilvl="0" w:tentative="0">
      <w:start w:val="1"/>
      <w:numFmt w:val="decimal"/>
      <w:lvlText w:val="%1."/>
      <w:lvlJc w:val="left"/>
      <w:pPr>
        <w:tabs>
          <w:tab w:val="left" w:pos="312"/>
        </w:tabs>
      </w:pPr>
    </w:lvl>
  </w:abstractNum>
  <w:abstractNum w:abstractNumId="2">
    <w:nsid w:val="0239520A"/>
    <w:multiLevelType w:val="singleLevel"/>
    <w:tmpl w:val="0239520A"/>
    <w:lvl w:ilvl="0" w:tentative="0">
      <w:start w:val="1"/>
      <w:numFmt w:val="decimal"/>
      <w:suff w:val="nothing"/>
      <w:lvlText w:val="%1、"/>
      <w:lvlJc w:val="left"/>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MmE3ZTc3ODM0YjBmY2JlNGFjNDhlZGU2MDkxNmY0Y2YifQ=="/>
  </w:docVars>
  <w:rsids>
    <w:rsidRoot w:val="4C5944B1"/>
    <w:rsid w:val="000F7646"/>
    <w:rsid w:val="0011514B"/>
    <w:rsid w:val="001E0850"/>
    <w:rsid w:val="00281ECB"/>
    <w:rsid w:val="002F176F"/>
    <w:rsid w:val="003A1942"/>
    <w:rsid w:val="003E2709"/>
    <w:rsid w:val="005E6BB8"/>
    <w:rsid w:val="0064163D"/>
    <w:rsid w:val="007C3F91"/>
    <w:rsid w:val="008C4168"/>
    <w:rsid w:val="00901845"/>
    <w:rsid w:val="00936991"/>
    <w:rsid w:val="00943625"/>
    <w:rsid w:val="00954357"/>
    <w:rsid w:val="00954A54"/>
    <w:rsid w:val="00A322B9"/>
    <w:rsid w:val="00A80EA7"/>
    <w:rsid w:val="00AF685C"/>
    <w:rsid w:val="00B16179"/>
    <w:rsid w:val="00B37196"/>
    <w:rsid w:val="00C04E0C"/>
    <w:rsid w:val="00CB07F4"/>
    <w:rsid w:val="00CD4D5B"/>
    <w:rsid w:val="00D561CD"/>
    <w:rsid w:val="00DA5A23"/>
    <w:rsid w:val="00E76514"/>
    <w:rsid w:val="00ED4B12"/>
    <w:rsid w:val="00F50CDF"/>
    <w:rsid w:val="00FE1942"/>
    <w:rsid w:val="012F2443"/>
    <w:rsid w:val="01323CE1"/>
    <w:rsid w:val="016A5229"/>
    <w:rsid w:val="01944054"/>
    <w:rsid w:val="019E2B21"/>
    <w:rsid w:val="01B7046D"/>
    <w:rsid w:val="01D230AA"/>
    <w:rsid w:val="02665093"/>
    <w:rsid w:val="029D1A19"/>
    <w:rsid w:val="02A429BD"/>
    <w:rsid w:val="0318711B"/>
    <w:rsid w:val="03413A39"/>
    <w:rsid w:val="03724869"/>
    <w:rsid w:val="03B46352"/>
    <w:rsid w:val="041722C4"/>
    <w:rsid w:val="04360B53"/>
    <w:rsid w:val="04C5488E"/>
    <w:rsid w:val="052D0A47"/>
    <w:rsid w:val="05AF4437"/>
    <w:rsid w:val="05BD348C"/>
    <w:rsid w:val="06622C7D"/>
    <w:rsid w:val="0694486B"/>
    <w:rsid w:val="078E5270"/>
    <w:rsid w:val="07C83357"/>
    <w:rsid w:val="08915791"/>
    <w:rsid w:val="089963F4"/>
    <w:rsid w:val="08C47915"/>
    <w:rsid w:val="09047592"/>
    <w:rsid w:val="092752BD"/>
    <w:rsid w:val="0994100B"/>
    <w:rsid w:val="0A5B114D"/>
    <w:rsid w:val="0AA572D2"/>
    <w:rsid w:val="0AD7112E"/>
    <w:rsid w:val="0B3C389E"/>
    <w:rsid w:val="0B5D7BAD"/>
    <w:rsid w:val="0B633415"/>
    <w:rsid w:val="0B8C04F9"/>
    <w:rsid w:val="0BEC1978"/>
    <w:rsid w:val="0C3721AC"/>
    <w:rsid w:val="0C711B61"/>
    <w:rsid w:val="0CC53C5B"/>
    <w:rsid w:val="0D3D5EE8"/>
    <w:rsid w:val="0D5374B9"/>
    <w:rsid w:val="0D734E53"/>
    <w:rsid w:val="0DC7755F"/>
    <w:rsid w:val="0DDF6F9F"/>
    <w:rsid w:val="0DF73507"/>
    <w:rsid w:val="0E323572"/>
    <w:rsid w:val="0E532A37"/>
    <w:rsid w:val="0EBB3568"/>
    <w:rsid w:val="0F0A0D37"/>
    <w:rsid w:val="0F114F36"/>
    <w:rsid w:val="0F122CCC"/>
    <w:rsid w:val="0F87344A"/>
    <w:rsid w:val="0F930041"/>
    <w:rsid w:val="0F9348B2"/>
    <w:rsid w:val="0FB24E29"/>
    <w:rsid w:val="101C0036"/>
    <w:rsid w:val="106317C1"/>
    <w:rsid w:val="109438D7"/>
    <w:rsid w:val="10BD6F35"/>
    <w:rsid w:val="111923AE"/>
    <w:rsid w:val="118C4D48"/>
    <w:rsid w:val="11CA4BA4"/>
    <w:rsid w:val="122A5805"/>
    <w:rsid w:val="129C6B7B"/>
    <w:rsid w:val="13156E63"/>
    <w:rsid w:val="13160D6D"/>
    <w:rsid w:val="13D27BED"/>
    <w:rsid w:val="13D44784"/>
    <w:rsid w:val="14217850"/>
    <w:rsid w:val="143C0CA7"/>
    <w:rsid w:val="14C33176"/>
    <w:rsid w:val="14EC447B"/>
    <w:rsid w:val="154E2175"/>
    <w:rsid w:val="159450E2"/>
    <w:rsid w:val="15D1725F"/>
    <w:rsid w:val="1606331B"/>
    <w:rsid w:val="16490D07"/>
    <w:rsid w:val="16A62140"/>
    <w:rsid w:val="171E6442"/>
    <w:rsid w:val="182757CA"/>
    <w:rsid w:val="18495740"/>
    <w:rsid w:val="18745ADE"/>
    <w:rsid w:val="18822A00"/>
    <w:rsid w:val="18890233"/>
    <w:rsid w:val="189839F1"/>
    <w:rsid w:val="18CA5813"/>
    <w:rsid w:val="18E15979"/>
    <w:rsid w:val="19002378"/>
    <w:rsid w:val="199A279A"/>
    <w:rsid w:val="19B1359D"/>
    <w:rsid w:val="1A3B37AF"/>
    <w:rsid w:val="1A803388"/>
    <w:rsid w:val="1A937147"/>
    <w:rsid w:val="1A98475D"/>
    <w:rsid w:val="1AA650CC"/>
    <w:rsid w:val="1AE9320B"/>
    <w:rsid w:val="1B07123D"/>
    <w:rsid w:val="1B8316E7"/>
    <w:rsid w:val="1BC03F6C"/>
    <w:rsid w:val="1BC11A92"/>
    <w:rsid w:val="1BC62A56"/>
    <w:rsid w:val="1BD31F10"/>
    <w:rsid w:val="1BF75DAD"/>
    <w:rsid w:val="1C6061C5"/>
    <w:rsid w:val="1C8F393E"/>
    <w:rsid w:val="1CAE2016"/>
    <w:rsid w:val="1CDE71ED"/>
    <w:rsid w:val="1DC85359"/>
    <w:rsid w:val="1DD17DF6"/>
    <w:rsid w:val="1DD27D51"/>
    <w:rsid w:val="1E0B5246"/>
    <w:rsid w:val="1E37603B"/>
    <w:rsid w:val="1E480248"/>
    <w:rsid w:val="1E5310C7"/>
    <w:rsid w:val="1E787E3F"/>
    <w:rsid w:val="1EAA5FC0"/>
    <w:rsid w:val="1EBF050A"/>
    <w:rsid w:val="1F0E1492"/>
    <w:rsid w:val="1F132604"/>
    <w:rsid w:val="1F9951FF"/>
    <w:rsid w:val="20315438"/>
    <w:rsid w:val="20650669"/>
    <w:rsid w:val="20B144DF"/>
    <w:rsid w:val="20B971DB"/>
    <w:rsid w:val="20D64231"/>
    <w:rsid w:val="20D858B3"/>
    <w:rsid w:val="218C669E"/>
    <w:rsid w:val="21933ED0"/>
    <w:rsid w:val="21B7325D"/>
    <w:rsid w:val="221F7512"/>
    <w:rsid w:val="22325486"/>
    <w:rsid w:val="225418B2"/>
    <w:rsid w:val="22AF27BA"/>
    <w:rsid w:val="22C97BAA"/>
    <w:rsid w:val="231B77CA"/>
    <w:rsid w:val="23A1327F"/>
    <w:rsid w:val="23BE3486"/>
    <w:rsid w:val="24083164"/>
    <w:rsid w:val="24F44686"/>
    <w:rsid w:val="25665B84"/>
    <w:rsid w:val="2578303A"/>
    <w:rsid w:val="257D5076"/>
    <w:rsid w:val="25E707F7"/>
    <w:rsid w:val="266F2816"/>
    <w:rsid w:val="268F110A"/>
    <w:rsid w:val="27745DC1"/>
    <w:rsid w:val="28335AC5"/>
    <w:rsid w:val="28471B63"/>
    <w:rsid w:val="28C332ED"/>
    <w:rsid w:val="28CA1F8E"/>
    <w:rsid w:val="29471828"/>
    <w:rsid w:val="2A355B25"/>
    <w:rsid w:val="2A3B7436"/>
    <w:rsid w:val="2A7F1496"/>
    <w:rsid w:val="2A994305"/>
    <w:rsid w:val="2ABC315B"/>
    <w:rsid w:val="2AEA4B61"/>
    <w:rsid w:val="2AF5107C"/>
    <w:rsid w:val="2B64763B"/>
    <w:rsid w:val="2BC41856"/>
    <w:rsid w:val="2C6C5134"/>
    <w:rsid w:val="2C7F39CF"/>
    <w:rsid w:val="2D0A3299"/>
    <w:rsid w:val="2D67695C"/>
    <w:rsid w:val="2E19750B"/>
    <w:rsid w:val="2E222864"/>
    <w:rsid w:val="2E24211B"/>
    <w:rsid w:val="2E444588"/>
    <w:rsid w:val="2E4F0E88"/>
    <w:rsid w:val="2E5A3DAC"/>
    <w:rsid w:val="2EAE5EA6"/>
    <w:rsid w:val="2F34284F"/>
    <w:rsid w:val="2F364819"/>
    <w:rsid w:val="2F407445"/>
    <w:rsid w:val="2F7E7F6E"/>
    <w:rsid w:val="2F8530AA"/>
    <w:rsid w:val="2FF10740"/>
    <w:rsid w:val="300D424E"/>
    <w:rsid w:val="30AB5338"/>
    <w:rsid w:val="30C20279"/>
    <w:rsid w:val="31B859B9"/>
    <w:rsid w:val="31BA7718"/>
    <w:rsid w:val="322C1F03"/>
    <w:rsid w:val="32333292"/>
    <w:rsid w:val="3280102D"/>
    <w:rsid w:val="32EA1265"/>
    <w:rsid w:val="33044C2E"/>
    <w:rsid w:val="331F7891"/>
    <w:rsid w:val="33784CD4"/>
    <w:rsid w:val="341047F2"/>
    <w:rsid w:val="3421711A"/>
    <w:rsid w:val="34474459"/>
    <w:rsid w:val="349E076A"/>
    <w:rsid w:val="34A55F9D"/>
    <w:rsid w:val="34AB28E5"/>
    <w:rsid w:val="35374178"/>
    <w:rsid w:val="359C73A0"/>
    <w:rsid w:val="35DE1766"/>
    <w:rsid w:val="360F7B72"/>
    <w:rsid w:val="365437D6"/>
    <w:rsid w:val="367479D5"/>
    <w:rsid w:val="369E4A52"/>
    <w:rsid w:val="3748158D"/>
    <w:rsid w:val="374D56D0"/>
    <w:rsid w:val="37EC30AA"/>
    <w:rsid w:val="37ED2BA2"/>
    <w:rsid w:val="3821774E"/>
    <w:rsid w:val="38991E3A"/>
    <w:rsid w:val="38A37C93"/>
    <w:rsid w:val="38B44A00"/>
    <w:rsid w:val="38F444E4"/>
    <w:rsid w:val="392E0065"/>
    <w:rsid w:val="394909FA"/>
    <w:rsid w:val="395F1BB0"/>
    <w:rsid w:val="397321C6"/>
    <w:rsid w:val="3A0C36D3"/>
    <w:rsid w:val="3A2160C5"/>
    <w:rsid w:val="3AAF722D"/>
    <w:rsid w:val="3AB42A96"/>
    <w:rsid w:val="3AD959D6"/>
    <w:rsid w:val="3AEA4709"/>
    <w:rsid w:val="3B4122A9"/>
    <w:rsid w:val="3B497682"/>
    <w:rsid w:val="3B8A6E91"/>
    <w:rsid w:val="3D204801"/>
    <w:rsid w:val="3D361E88"/>
    <w:rsid w:val="3DD922FB"/>
    <w:rsid w:val="3DE935A3"/>
    <w:rsid w:val="3E06185A"/>
    <w:rsid w:val="3E0D42F0"/>
    <w:rsid w:val="3E5326EF"/>
    <w:rsid w:val="3E646581"/>
    <w:rsid w:val="3E6C6EAB"/>
    <w:rsid w:val="3E742C68"/>
    <w:rsid w:val="3F4D1488"/>
    <w:rsid w:val="3FB672B0"/>
    <w:rsid w:val="3FBA2948"/>
    <w:rsid w:val="3FEA0D08"/>
    <w:rsid w:val="41897609"/>
    <w:rsid w:val="419D277C"/>
    <w:rsid w:val="41B80A7C"/>
    <w:rsid w:val="41EB7F7E"/>
    <w:rsid w:val="4223594E"/>
    <w:rsid w:val="42FE6FA4"/>
    <w:rsid w:val="43AA2C88"/>
    <w:rsid w:val="442C7B41"/>
    <w:rsid w:val="4434569B"/>
    <w:rsid w:val="44384D79"/>
    <w:rsid w:val="44FC2F53"/>
    <w:rsid w:val="45392515"/>
    <w:rsid w:val="45417DD5"/>
    <w:rsid w:val="45575091"/>
    <w:rsid w:val="45A206F4"/>
    <w:rsid w:val="46054EDE"/>
    <w:rsid w:val="46144D30"/>
    <w:rsid w:val="46A47203"/>
    <w:rsid w:val="46C40504"/>
    <w:rsid w:val="46DE70D4"/>
    <w:rsid w:val="47A9386C"/>
    <w:rsid w:val="47EA7AF7"/>
    <w:rsid w:val="47EF15C4"/>
    <w:rsid w:val="47F14E76"/>
    <w:rsid w:val="484418FD"/>
    <w:rsid w:val="487429ED"/>
    <w:rsid w:val="48D01A82"/>
    <w:rsid w:val="48D52AE9"/>
    <w:rsid w:val="48D6451F"/>
    <w:rsid w:val="49543DC1"/>
    <w:rsid w:val="495E6E4F"/>
    <w:rsid w:val="49635DB3"/>
    <w:rsid w:val="497004D0"/>
    <w:rsid w:val="49B47DF2"/>
    <w:rsid w:val="4A18520E"/>
    <w:rsid w:val="4A6309D2"/>
    <w:rsid w:val="4AB12B4E"/>
    <w:rsid w:val="4BCA3049"/>
    <w:rsid w:val="4BDA43E6"/>
    <w:rsid w:val="4BEF7DD1"/>
    <w:rsid w:val="4C1E4213"/>
    <w:rsid w:val="4C3E47FC"/>
    <w:rsid w:val="4C5944B1"/>
    <w:rsid w:val="4CCE5535"/>
    <w:rsid w:val="4D1F6494"/>
    <w:rsid w:val="4DA13BFE"/>
    <w:rsid w:val="4E116276"/>
    <w:rsid w:val="4E19088C"/>
    <w:rsid w:val="4E267A1C"/>
    <w:rsid w:val="4E74636C"/>
    <w:rsid w:val="4EF66F58"/>
    <w:rsid w:val="4F220299"/>
    <w:rsid w:val="4F227AD6"/>
    <w:rsid w:val="4F6F4F28"/>
    <w:rsid w:val="4FFB23BC"/>
    <w:rsid w:val="50041972"/>
    <w:rsid w:val="501E6ED7"/>
    <w:rsid w:val="503C1418"/>
    <w:rsid w:val="507408A5"/>
    <w:rsid w:val="508A67B9"/>
    <w:rsid w:val="510D60A7"/>
    <w:rsid w:val="51AC406F"/>
    <w:rsid w:val="52181704"/>
    <w:rsid w:val="52CB5771"/>
    <w:rsid w:val="531F3A56"/>
    <w:rsid w:val="539505C3"/>
    <w:rsid w:val="53D855EF"/>
    <w:rsid w:val="54161C73"/>
    <w:rsid w:val="544B707A"/>
    <w:rsid w:val="54596730"/>
    <w:rsid w:val="54A454D1"/>
    <w:rsid w:val="54B41E40"/>
    <w:rsid w:val="55434CEA"/>
    <w:rsid w:val="55985036"/>
    <w:rsid w:val="55FE3948"/>
    <w:rsid w:val="56290384"/>
    <w:rsid w:val="56384123"/>
    <w:rsid w:val="569E48CE"/>
    <w:rsid w:val="56B14C4B"/>
    <w:rsid w:val="56B20706"/>
    <w:rsid w:val="56F73FDE"/>
    <w:rsid w:val="571903F8"/>
    <w:rsid w:val="575660D3"/>
    <w:rsid w:val="57D91936"/>
    <w:rsid w:val="57E502DB"/>
    <w:rsid w:val="5873398F"/>
    <w:rsid w:val="58785F50"/>
    <w:rsid w:val="58A75590"/>
    <w:rsid w:val="58DC5518"/>
    <w:rsid w:val="590B1FC3"/>
    <w:rsid w:val="594C0407"/>
    <w:rsid w:val="59682F71"/>
    <w:rsid w:val="59DD570D"/>
    <w:rsid w:val="5A0031AA"/>
    <w:rsid w:val="5A9B2ED2"/>
    <w:rsid w:val="5AC26C59"/>
    <w:rsid w:val="5AD21A31"/>
    <w:rsid w:val="5AE34FA5"/>
    <w:rsid w:val="5B1D63D9"/>
    <w:rsid w:val="5B4377F2"/>
    <w:rsid w:val="5BA30291"/>
    <w:rsid w:val="5BA32F4B"/>
    <w:rsid w:val="5C207B33"/>
    <w:rsid w:val="5C3B6476"/>
    <w:rsid w:val="5C6B34A4"/>
    <w:rsid w:val="5D147AC9"/>
    <w:rsid w:val="5D700646"/>
    <w:rsid w:val="5DF05E3F"/>
    <w:rsid w:val="5E062D59"/>
    <w:rsid w:val="5E29270A"/>
    <w:rsid w:val="5E8048B9"/>
    <w:rsid w:val="5F217E4A"/>
    <w:rsid w:val="5F864BC4"/>
    <w:rsid w:val="5FD924D3"/>
    <w:rsid w:val="5FE64BF0"/>
    <w:rsid w:val="61021EFD"/>
    <w:rsid w:val="6130064C"/>
    <w:rsid w:val="61373E63"/>
    <w:rsid w:val="61AD08C4"/>
    <w:rsid w:val="62211BC3"/>
    <w:rsid w:val="62AD76C0"/>
    <w:rsid w:val="62C507C9"/>
    <w:rsid w:val="62D11B87"/>
    <w:rsid w:val="62E21FE6"/>
    <w:rsid w:val="62F12229"/>
    <w:rsid w:val="631321A0"/>
    <w:rsid w:val="631A52DC"/>
    <w:rsid w:val="63422A85"/>
    <w:rsid w:val="637728D4"/>
    <w:rsid w:val="6390559E"/>
    <w:rsid w:val="63A05300"/>
    <w:rsid w:val="63A70453"/>
    <w:rsid w:val="63B53257"/>
    <w:rsid w:val="646A5DEF"/>
    <w:rsid w:val="649B244D"/>
    <w:rsid w:val="65515618"/>
    <w:rsid w:val="65624D19"/>
    <w:rsid w:val="658E6FFE"/>
    <w:rsid w:val="65D5198E"/>
    <w:rsid w:val="65F80991"/>
    <w:rsid w:val="660D737A"/>
    <w:rsid w:val="67464E73"/>
    <w:rsid w:val="676E3ED8"/>
    <w:rsid w:val="682D3D04"/>
    <w:rsid w:val="68437083"/>
    <w:rsid w:val="68634AB1"/>
    <w:rsid w:val="68725BBA"/>
    <w:rsid w:val="688A4CB2"/>
    <w:rsid w:val="68DE4FFE"/>
    <w:rsid w:val="6949691B"/>
    <w:rsid w:val="69E93B36"/>
    <w:rsid w:val="69F5538A"/>
    <w:rsid w:val="6AC65D4A"/>
    <w:rsid w:val="6B282560"/>
    <w:rsid w:val="6BB1415A"/>
    <w:rsid w:val="6BBB4750"/>
    <w:rsid w:val="6C3F4006"/>
    <w:rsid w:val="6C4F72C1"/>
    <w:rsid w:val="6C946959"/>
    <w:rsid w:val="6CBE13CE"/>
    <w:rsid w:val="6CC66CB1"/>
    <w:rsid w:val="6CEB1A97"/>
    <w:rsid w:val="6DFD5F26"/>
    <w:rsid w:val="6E105C5A"/>
    <w:rsid w:val="6E290AC9"/>
    <w:rsid w:val="6E9817AB"/>
    <w:rsid w:val="6F63625D"/>
    <w:rsid w:val="6FDE7692"/>
    <w:rsid w:val="70311913"/>
    <w:rsid w:val="705838E8"/>
    <w:rsid w:val="70633D9B"/>
    <w:rsid w:val="70D867D7"/>
    <w:rsid w:val="71765B16"/>
    <w:rsid w:val="71CB4244"/>
    <w:rsid w:val="72987FCC"/>
    <w:rsid w:val="732E6215"/>
    <w:rsid w:val="73610869"/>
    <w:rsid w:val="73B9469D"/>
    <w:rsid w:val="73C05122"/>
    <w:rsid w:val="74176B51"/>
    <w:rsid w:val="74485A21"/>
    <w:rsid w:val="75623F7A"/>
    <w:rsid w:val="75950E53"/>
    <w:rsid w:val="764364A0"/>
    <w:rsid w:val="76831851"/>
    <w:rsid w:val="76C10199"/>
    <w:rsid w:val="76EA0007"/>
    <w:rsid w:val="77130569"/>
    <w:rsid w:val="775742CE"/>
    <w:rsid w:val="77784870"/>
    <w:rsid w:val="777C2A1F"/>
    <w:rsid w:val="77FC724F"/>
    <w:rsid w:val="782F7887"/>
    <w:rsid w:val="785D5870"/>
    <w:rsid w:val="78A23952"/>
    <w:rsid w:val="78A31478"/>
    <w:rsid w:val="78FE2050"/>
    <w:rsid w:val="79216FB6"/>
    <w:rsid w:val="799F60E4"/>
    <w:rsid w:val="79F859C9"/>
    <w:rsid w:val="7A067F11"/>
    <w:rsid w:val="7A401675"/>
    <w:rsid w:val="7A48677B"/>
    <w:rsid w:val="7A603412"/>
    <w:rsid w:val="7AB20E73"/>
    <w:rsid w:val="7B0E3456"/>
    <w:rsid w:val="7B0E3521"/>
    <w:rsid w:val="7BB63A0E"/>
    <w:rsid w:val="7BEC339E"/>
    <w:rsid w:val="7C046E2D"/>
    <w:rsid w:val="7C857813"/>
    <w:rsid w:val="7CAB5E13"/>
    <w:rsid w:val="7CBE4AD3"/>
    <w:rsid w:val="7CF60710"/>
    <w:rsid w:val="7D3E79C1"/>
    <w:rsid w:val="7D6531A0"/>
    <w:rsid w:val="7D8F1407"/>
    <w:rsid w:val="7E762BF0"/>
    <w:rsid w:val="7EDE145C"/>
    <w:rsid w:val="7EF75D51"/>
    <w:rsid w:val="7F231565"/>
    <w:rsid w:val="7F5F1A44"/>
    <w:rsid w:val="7F631961"/>
    <w:rsid w:val="7FCA5830"/>
    <w:rsid w:val="7FFD3982"/>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hint="eastAsia" w:ascii="宋体" w:hAnsi="等线" w:eastAsia="等线" w:cs="Times New Roman"/>
      <w:kern w:val="2"/>
      <w:sz w:val="24"/>
      <w:lang w:val="en-US" w:eastAsia="zh-CN" w:bidi="ar-SA"/>
    </w:rPr>
  </w:style>
  <w:style w:type="paragraph" w:styleId="2">
    <w:name w:val="heading 1"/>
    <w:basedOn w:val="1"/>
    <w:next w:val="1"/>
    <w:autoRedefine/>
    <w:qFormat/>
    <w:uiPriority w:val="0"/>
    <w:pPr>
      <w:autoSpaceDE w:val="0"/>
      <w:autoSpaceDN w:val="0"/>
      <w:adjustRightInd w:val="0"/>
      <w:jc w:val="left"/>
      <w:outlineLvl w:val="0"/>
    </w:pPr>
    <w:rPr>
      <w:kern w:val="0"/>
      <w:sz w:val="30"/>
    </w:rPr>
  </w:style>
  <w:style w:type="paragraph" w:styleId="3">
    <w:name w:val="heading 2"/>
    <w:basedOn w:val="1"/>
    <w:next w:val="1"/>
    <w:link w:val="65"/>
    <w:autoRedefine/>
    <w:qFormat/>
    <w:uiPriority w:val="0"/>
    <w:pPr>
      <w:autoSpaceDE w:val="0"/>
      <w:autoSpaceDN w:val="0"/>
      <w:adjustRightInd w:val="0"/>
      <w:jc w:val="left"/>
      <w:outlineLvl w:val="1"/>
    </w:pPr>
    <w:rPr>
      <w:kern w:val="0"/>
    </w:rPr>
  </w:style>
  <w:style w:type="paragraph" w:styleId="4">
    <w:name w:val="heading 3"/>
    <w:basedOn w:val="1"/>
    <w:next w:val="1"/>
    <w:link w:val="43"/>
    <w:autoRedefine/>
    <w:qFormat/>
    <w:uiPriority w:val="0"/>
    <w:pPr>
      <w:keepNext/>
      <w:keepLines/>
      <w:outlineLvl w:val="2"/>
    </w:pPr>
    <w:rPr>
      <w:rFonts w:hint="default" w:ascii="Times New Roman" w:hAnsi="Times New Roman" w:eastAsia="宋体"/>
      <w:b/>
    </w:rPr>
  </w:style>
  <w:style w:type="paragraph" w:styleId="5">
    <w:name w:val="heading 4"/>
    <w:basedOn w:val="1"/>
    <w:next w:val="1"/>
    <w:autoRedefine/>
    <w:qFormat/>
    <w:uiPriority w:val="0"/>
    <w:pPr>
      <w:keepNext/>
      <w:keepLines/>
      <w:spacing w:line="372" w:lineRule="auto"/>
      <w:outlineLvl w:val="3"/>
    </w:pPr>
    <w:rPr>
      <w:rFonts w:ascii="Arial" w:hAnsi="Arial" w:eastAsia="黑体"/>
      <w:b/>
      <w:sz w:val="28"/>
    </w:rPr>
  </w:style>
  <w:style w:type="character" w:default="1" w:styleId="23">
    <w:name w:val="Default Paragraph Font"/>
    <w:autoRedefine/>
    <w:semiHidden/>
    <w:unhideWhenUsed/>
    <w:qFormat/>
    <w:uiPriority w:val="1"/>
  </w:style>
  <w:style w:type="table" w:default="1" w:styleId="22">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widowControl/>
      <w:ind w:firstLine="420"/>
      <w:jc w:val="left"/>
    </w:pPr>
    <w:rPr>
      <w:kern w:val="0"/>
      <w:sz w:val="20"/>
    </w:rPr>
  </w:style>
  <w:style w:type="paragraph" w:styleId="7">
    <w:name w:val="annotation text"/>
    <w:basedOn w:val="1"/>
    <w:autoRedefine/>
    <w:qFormat/>
    <w:uiPriority w:val="0"/>
    <w:pPr>
      <w:jc w:val="left"/>
    </w:pPr>
    <w:rPr>
      <w:rFonts w:hint="default" w:ascii="Times New Roman" w:hAnsi="Times New Roman" w:eastAsia="宋体"/>
      <w:sz w:val="21"/>
    </w:rPr>
  </w:style>
  <w:style w:type="paragraph" w:styleId="8">
    <w:name w:val="Body Text"/>
    <w:basedOn w:val="1"/>
    <w:next w:val="1"/>
    <w:autoRedefine/>
    <w:qFormat/>
    <w:uiPriority w:val="0"/>
  </w:style>
  <w:style w:type="paragraph" w:styleId="9">
    <w:name w:val="Body Text Indent"/>
    <w:basedOn w:val="1"/>
    <w:autoRedefine/>
    <w:qFormat/>
    <w:uiPriority w:val="0"/>
    <w:pPr>
      <w:ind w:firstLine="560" w:firstLineChars="200"/>
    </w:pPr>
  </w:style>
  <w:style w:type="paragraph" w:styleId="10">
    <w:name w:val="toc 3"/>
    <w:basedOn w:val="1"/>
    <w:next w:val="1"/>
    <w:autoRedefine/>
    <w:qFormat/>
    <w:uiPriority w:val="39"/>
    <w:pPr>
      <w:ind w:left="840" w:leftChars="400"/>
    </w:pPr>
  </w:style>
  <w:style w:type="paragraph" w:styleId="11">
    <w:name w:val="Plain Text"/>
    <w:basedOn w:val="1"/>
    <w:next w:val="1"/>
    <w:autoRedefine/>
    <w:qFormat/>
    <w:uiPriority w:val="0"/>
    <w:rPr>
      <w:rFonts w:ascii="宋体" w:hAnsi="Courier New" w:eastAsia="楷体_GB2312"/>
      <w:kern w:val="0"/>
      <w:sz w:val="20"/>
      <w:szCs w:val="24"/>
    </w:rPr>
  </w:style>
  <w:style w:type="paragraph" w:styleId="12">
    <w:name w:val="Body Text Indent 2"/>
    <w:basedOn w:val="1"/>
    <w:autoRedefine/>
    <w:qFormat/>
    <w:uiPriority w:val="0"/>
    <w:pPr>
      <w:spacing w:line="480" w:lineRule="auto"/>
      <w:ind w:firstLine="561"/>
    </w:pPr>
  </w:style>
  <w:style w:type="paragraph" w:styleId="13">
    <w:name w:val="Balloon Text"/>
    <w:basedOn w:val="1"/>
    <w:link w:val="64"/>
    <w:autoRedefine/>
    <w:qFormat/>
    <w:uiPriority w:val="0"/>
    <w:rPr>
      <w:sz w:val="18"/>
      <w:szCs w:val="18"/>
    </w:rPr>
  </w:style>
  <w:style w:type="paragraph" w:styleId="14">
    <w:name w:val="footer"/>
    <w:basedOn w:val="1"/>
    <w:autoRedefine/>
    <w:qFormat/>
    <w:uiPriority w:val="0"/>
    <w:pPr>
      <w:tabs>
        <w:tab w:val="center" w:pos="4153"/>
        <w:tab w:val="right" w:pos="8306"/>
      </w:tabs>
      <w:snapToGrid w:val="0"/>
      <w:jc w:val="left"/>
    </w:pPr>
    <w:rPr>
      <w:sz w:val="18"/>
    </w:rPr>
  </w:style>
  <w:style w:type="paragraph" w:styleId="15">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rFonts w:ascii="Times New Roman" w:hAnsi="Times New Roman"/>
      <w:sz w:val="18"/>
    </w:rPr>
  </w:style>
  <w:style w:type="paragraph" w:styleId="16">
    <w:name w:val="toc 1"/>
    <w:basedOn w:val="17"/>
    <w:next w:val="1"/>
    <w:autoRedefine/>
    <w:qFormat/>
    <w:uiPriority w:val="39"/>
  </w:style>
  <w:style w:type="paragraph" w:styleId="17">
    <w:name w:val="index 1"/>
    <w:basedOn w:val="1"/>
    <w:next w:val="1"/>
    <w:autoRedefine/>
    <w:unhideWhenUsed/>
    <w:qFormat/>
    <w:uiPriority w:val="0"/>
  </w:style>
  <w:style w:type="paragraph" w:styleId="18">
    <w:name w:val="toc 2"/>
    <w:basedOn w:val="1"/>
    <w:next w:val="1"/>
    <w:autoRedefine/>
    <w:qFormat/>
    <w:uiPriority w:val="39"/>
    <w:pPr>
      <w:ind w:left="420" w:leftChars="200"/>
    </w:pPr>
  </w:style>
  <w:style w:type="paragraph" w:styleId="19">
    <w:name w:val="Body Text 2"/>
    <w:basedOn w:val="1"/>
    <w:next w:val="8"/>
    <w:autoRedefine/>
    <w:qFormat/>
    <w:uiPriority w:val="0"/>
    <w:pPr>
      <w:spacing w:line="500" w:lineRule="exact"/>
    </w:pPr>
  </w:style>
  <w:style w:type="paragraph" w:styleId="20">
    <w:name w:val="Normal (Web)"/>
    <w:basedOn w:val="1"/>
    <w:autoRedefine/>
    <w:qFormat/>
    <w:uiPriority w:val="0"/>
    <w:pPr>
      <w:widowControl/>
      <w:spacing w:beforeAutospacing="1" w:afterAutospacing="1"/>
      <w:jc w:val="left"/>
    </w:pPr>
    <w:rPr>
      <w:rFonts w:hAnsi="宋体" w:cs="宋体"/>
      <w:color w:val="000000"/>
      <w:kern w:val="0"/>
      <w:szCs w:val="24"/>
    </w:rPr>
  </w:style>
  <w:style w:type="paragraph" w:styleId="21">
    <w:name w:val="Body Text First Indent 2"/>
    <w:basedOn w:val="9"/>
    <w:autoRedefine/>
    <w:qFormat/>
    <w:uiPriority w:val="0"/>
    <w:pPr>
      <w:tabs>
        <w:tab w:val="left" w:pos="0"/>
      </w:tabs>
      <w:ind w:firstLine="420"/>
    </w:pPr>
  </w:style>
  <w:style w:type="character" w:styleId="24">
    <w:name w:val="Strong"/>
    <w:basedOn w:val="23"/>
    <w:autoRedefine/>
    <w:qFormat/>
    <w:uiPriority w:val="0"/>
    <w:rPr>
      <w:b/>
    </w:rPr>
  </w:style>
  <w:style w:type="paragraph" w:customStyle="1" w:styleId="25">
    <w:name w:val="正文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26">
    <w:name w:val="正文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7">
    <w:name w:val="正文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28">
    <w:name w:val="标题 1 New"/>
    <w:basedOn w:val="27"/>
    <w:next w:val="27"/>
    <w:autoRedefine/>
    <w:qFormat/>
    <w:uiPriority w:val="0"/>
    <w:pPr>
      <w:autoSpaceDE w:val="0"/>
      <w:autoSpaceDN w:val="0"/>
      <w:adjustRightInd w:val="0"/>
      <w:jc w:val="left"/>
      <w:outlineLvl w:val="0"/>
    </w:pPr>
    <w:rPr>
      <w:kern w:val="0"/>
      <w:sz w:val="30"/>
    </w:rPr>
  </w:style>
  <w:style w:type="paragraph" w:customStyle="1" w:styleId="29">
    <w:name w:val="标题 2 New New"/>
    <w:basedOn w:val="27"/>
    <w:next w:val="27"/>
    <w:autoRedefine/>
    <w:qFormat/>
    <w:uiPriority w:val="0"/>
    <w:pPr>
      <w:autoSpaceDE w:val="0"/>
      <w:autoSpaceDN w:val="0"/>
      <w:adjustRightInd w:val="0"/>
      <w:jc w:val="left"/>
      <w:outlineLvl w:val="1"/>
    </w:pPr>
    <w:rPr>
      <w:kern w:val="0"/>
    </w:rPr>
  </w:style>
  <w:style w:type="paragraph" w:customStyle="1" w:styleId="30">
    <w:name w:val="正文 New New New"/>
    <w:autoRedefine/>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1">
    <w:name w:val="Normal Indent1"/>
    <w:basedOn w:val="1"/>
    <w:autoRedefine/>
    <w:qFormat/>
    <w:uiPriority w:val="0"/>
    <w:pPr>
      <w:widowControl/>
      <w:spacing w:line="360" w:lineRule="auto"/>
      <w:ind w:firstLine="420"/>
      <w:jc w:val="left"/>
    </w:pPr>
    <w:rPr>
      <w:rFonts w:hAnsi="Times New Roman"/>
      <w:kern w:val="0"/>
      <w:sz w:val="20"/>
    </w:rPr>
  </w:style>
  <w:style w:type="paragraph" w:customStyle="1" w:styleId="32">
    <w:name w:val="正文缩进1"/>
    <w:basedOn w:val="1"/>
    <w:autoRedefine/>
    <w:qFormat/>
    <w:uiPriority w:val="0"/>
    <w:pPr>
      <w:widowControl/>
      <w:spacing w:line="360" w:lineRule="auto"/>
      <w:ind w:firstLine="420"/>
      <w:jc w:val="left"/>
    </w:pPr>
    <w:rPr>
      <w:rFonts w:hAnsi="Times New Roman"/>
      <w:kern w:val="0"/>
      <w:sz w:val="20"/>
    </w:rPr>
  </w:style>
  <w:style w:type="paragraph" w:customStyle="1" w:styleId="33">
    <w:name w:val="样式 宋体 行距: 1.5 倍行距"/>
    <w:basedOn w:val="34"/>
    <w:next w:val="1"/>
    <w:autoRedefine/>
    <w:qFormat/>
    <w:uiPriority w:val="0"/>
    <w:pPr>
      <w:jc w:val="center"/>
    </w:pPr>
    <w:rPr>
      <w:rFonts w:ascii="Times New Roman" w:hAnsi="Times New Roman" w:cs="Times New Roman"/>
      <w:b/>
    </w:rPr>
  </w:style>
  <w:style w:type="paragraph" w:customStyle="1" w:styleId="34">
    <w:name w:val="正文 New New New New New New New New New New New New New New New New New New New New New New New New New New New New New New New New New New New New New New New New New New New New New New New New New New New New New New New New New New New New New New Ne"/>
    <w:next w:val="33"/>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35">
    <w:name w:val="正文 New New New New New New New New New New New New New New New New New New New New New New New New New New New New New New New New New New New New New New New New New New New New New New New New New New New New New New New New New New New New New New Ne1"/>
    <w:next w:val="33"/>
    <w:autoRedefine/>
    <w:qFormat/>
    <w:uiPriority w:val="0"/>
    <w:pPr>
      <w:widowControl w:val="0"/>
      <w:jc w:val="both"/>
    </w:pPr>
    <w:rPr>
      <w:rFonts w:ascii="Calibri" w:hAnsi="Calibri" w:eastAsia="宋体" w:cs="黑体"/>
      <w:kern w:val="2"/>
      <w:sz w:val="21"/>
      <w:szCs w:val="24"/>
      <w:lang w:val="en-US" w:eastAsia="zh-CN" w:bidi="ar-SA"/>
    </w:rPr>
  </w:style>
  <w:style w:type="paragraph" w:customStyle="1" w:styleId="36">
    <w:name w:val="正文 New New New New New New New New New New New New New New New New New New New New New New New New New New New New New New New New New New New New New New New New New New New New New New"/>
    <w:autoRedefine/>
    <w:qFormat/>
    <w:uiPriority w:val="0"/>
    <w:pPr>
      <w:widowControl w:val="0"/>
      <w:jc w:val="both"/>
    </w:pPr>
    <w:rPr>
      <w:rFonts w:ascii="Bodoni MT" w:hAnsi="Bodoni MT" w:eastAsia="宋体" w:cs="Bodoni MT"/>
      <w:kern w:val="2"/>
      <w:sz w:val="21"/>
      <w:szCs w:val="24"/>
      <w:lang w:val="en-US" w:eastAsia="zh-CN" w:bidi="ar-SA"/>
    </w:rPr>
  </w:style>
  <w:style w:type="paragraph" w:customStyle="1" w:styleId="37">
    <w:name w:val="正文文本缩进 New New"/>
    <w:basedOn w:val="27"/>
    <w:autoRedefine/>
    <w:qFormat/>
    <w:uiPriority w:val="0"/>
    <w:pPr>
      <w:ind w:firstLine="560" w:firstLineChars="200"/>
    </w:pPr>
  </w:style>
  <w:style w:type="paragraph" w:customStyle="1" w:styleId="38">
    <w:name w:val="正文文本缩进 3 New"/>
    <w:basedOn w:val="27"/>
    <w:autoRedefine/>
    <w:qFormat/>
    <w:uiPriority w:val="0"/>
    <w:pPr>
      <w:ind w:firstLine="560"/>
    </w:pPr>
    <w:rPr>
      <w:color w:val="FF0000"/>
    </w:rPr>
  </w:style>
  <w:style w:type="paragraph" w:customStyle="1" w:styleId="39">
    <w:name w:val="标题 3 New New New"/>
    <w:basedOn w:val="40"/>
    <w:next w:val="40"/>
    <w:autoRedefine/>
    <w:qFormat/>
    <w:uiPriority w:val="0"/>
    <w:pPr>
      <w:keepNext/>
      <w:keepLines/>
      <w:jc w:val="center"/>
      <w:outlineLvl w:val="2"/>
    </w:pPr>
    <w:rPr>
      <w:sz w:val="24"/>
    </w:rPr>
  </w:style>
  <w:style w:type="paragraph" w:customStyle="1" w:styleId="40">
    <w:name w:val="正文缩进 New"/>
    <w:basedOn w:val="41"/>
    <w:autoRedefine/>
    <w:qFormat/>
    <w:uiPriority w:val="0"/>
    <w:pPr>
      <w:widowControl/>
      <w:ind w:firstLine="420"/>
      <w:jc w:val="left"/>
    </w:pPr>
    <w:rPr>
      <w:kern w:val="0"/>
      <w:sz w:val="20"/>
    </w:rPr>
  </w:style>
  <w:style w:type="paragraph" w:customStyle="1" w:styleId="41">
    <w:name w:val="正文 New New New New New New New New New New New New New New New New New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42">
    <w:name w:val="正文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character" w:customStyle="1" w:styleId="43">
    <w:name w:val="标题 3 Char"/>
    <w:link w:val="4"/>
    <w:autoRedefine/>
    <w:qFormat/>
    <w:uiPriority w:val="0"/>
    <w:rPr>
      <w:rFonts w:hint="default" w:ascii="Times New Roman" w:hAnsi="Times New Roman" w:eastAsia="宋体"/>
      <w:b/>
    </w:rPr>
  </w:style>
  <w:style w:type="character" w:customStyle="1" w:styleId="44">
    <w:name w:val="NormalCharacter"/>
    <w:autoRedefine/>
    <w:semiHidden/>
    <w:qFormat/>
    <w:uiPriority w:val="0"/>
    <w:rPr>
      <w:rFonts w:ascii="宋体"/>
      <w:kern w:val="2"/>
      <w:sz w:val="24"/>
      <w:lang w:val="en-US" w:eastAsia="zh-CN" w:bidi="ar-SA"/>
    </w:rPr>
  </w:style>
  <w:style w:type="paragraph" w:customStyle="1" w:styleId="45">
    <w:name w:val="标题 2 New New New"/>
    <w:basedOn w:val="46"/>
    <w:next w:val="46"/>
    <w:autoRedefine/>
    <w:qFormat/>
    <w:uiPriority w:val="0"/>
    <w:pPr>
      <w:autoSpaceDE w:val="0"/>
      <w:autoSpaceDN w:val="0"/>
      <w:adjustRightInd w:val="0"/>
      <w:jc w:val="left"/>
      <w:outlineLvl w:val="1"/>
    </w:pPr>
  </w:style>
  <w:style w:type="paragraph" w:customStyle="1" w:styleId="46">
    <w:name w:val="正文 New New New New New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47">
    <w:name w:val="普通(网站) New"/>
    <w:basedOn w:val="48"/>
    <w:autoRedefine/>
    <w:qFormat/>
    <w:uiPriority w:val="0"/>
    <w:rPr>
      <w:sz w:val="24"/>
    </w:rPr>
  </w:style>
  <w:style w:type="paragraph" w:customStyle="1" w:styleId="48">
    <w:name w:val="正文 New New New New New New New New New New New New New New New New New New New New New New"/>
    <w:autoRedefine/>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49">
    <w:name w:val="正文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0">
    <w:name w:val="正文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1">
    <w:name w:val="正文_0"/>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52">
    <w:name w:val="YJ22 Char"/>
    <w:link w:val="53"/>
    <w:autoRedefine/>
    <w:qFormat/>
    <w:uiPriority w:val="0"/>
    <w:rPr>
      <w:rFonts w:ascii="Times New Roman" w:hAnsi="宋体"/>
      <w:b/>
      <w:kern w:val="0"/>
      <w:sz w:val="20"/>
    </w:rPr>
  </w:style>
  <w:style w:type="paragraph" w:customStyle="1" w:styleId="53">
    <w:name w:val="YJ22"/>
    <w:basedOn w:val="27"/>
    <w:next w:val="27"/>
    <w:link w:val="52"/>
    <w:autoRedefine/>
    <w:qFormat/>
    <w:uiPriority w:val="0"/>
    <w:pPr>
      <w:autoSpaceDE w:val="0"/>
      <w:autoSpaceDN w:val="0"/>
      <w:adjustRightInd w:val="0"/>
      <w:jc w:val="left"/>
      <w:outlineLvl w:val="1"/>
    </w:pPr>
    <w:rPr>
      <w:rFonts w:ascii="Times New Roman" w:hAnsi="宋体"/>
      <w:b/>
      <w:kern w:val="0"/>
      <w:sz w:val="20"/>
    </w:rPr>
  </w:style>
  <w:style w:type="paragraph" w:customStyle="1" w:styleId="54">
    <w:name w:val="正文文本缩进 New"/>
    <w:basedOn w:val="55"/>
    <w:autoRedefine/>
    <w:qFormat/>
    <w:uiPriority w:val="0"/>
    <w:pPr>
      <w:ind w:firstLine="560" w:firstLineChars="200"/>
    </w:pPr>
  </w:style>
  <w:style w:type="paragraph" w:customStyle="1" w:styleId="55">
    <w:name w:val="正文 New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6">
    <w:name w:val="正文文本缩进 New New New New"/>
    <w:basedOn w:val="57"/>
    <w:autoRedefine/>
    <w:qFormat/>
    <w:uiPriority w:val="0"/>
    <w:pPr>
      <w:ind w:firstLine="560" w:firstLineChars="200"/>
    </w:pPr>
    <w:rPr>
      <w:szCs w:val="28"/>
    </w:rPr>
  </w:style>
  <w:style w:type="paragraph" w:customStyle="1" w:styleId="57">
    <w:name w:val="正文 New New New New New New New New New New New New New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szCs w:val="24"/>
      <w:lang w:val="en-US" w:eastAsia="zh-CN" w:bidi="ar-SA"/>
    </w:rPr>
  </w:style>
  <w:style w:type="paragraph" w:customStyle="1" w:styleId="58">
    <w:name w:val="正文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59">
    <w:name w:val="正文文本缩进 New New New New New New New"/>
    <w:basedOn w:val="58"/>
    <w:autoRedefine/>
    <w:qFormat/>
    <w:uiPriority w:val="0"/>
    <w:pPr>
      <w:ind w:left="420" w:leftChars="200"/>
    </w:pPr>
    <w:rPr>
      <w:szCs w:val="24"/>
    </w:rPr>
  </w:style>
  <w:style w:type="paragraph" w:customStyle="1" w:styleId="60">
    <w:name w:val="正文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1">
    <w:name w:val="正文文本缩进 New New New New New New New New"/>
    <w:basedOn w:val="60"/>
    <w:autoRedefine/>
    <w:qFormat/>
    <w:uiPriority w:val="0"/>
    <w:pPr>
      <w:ind w:left="420" w:leftChars="200"/>
    </w:pPr>
    <w:rPr>
      <w:szCs w:val="24"/>
    </w:rPr>
  </w:style>
  <w:style w:type="paragraph" w:customStyle="1" w:styleId="62">
    <w:name w:val="正文 New New New New New New New New New New New New New New New New New New New New New"/>
    <w:autoRedefine/>
    <w:qFormat/>
    <w:uiPriority w:val="0"/>
    <w:pPr>
      <w:widowControl w:val="0"/>
      <w:spacing w:line="360" w:lineRule="auto"/>
      <w:jc w:val="both"/>
    </w:pPr>
    <w:rPr>
      <w:rFonts w:ascii="宋体" w:hAnsi="Times New Roman" w:eastAsia="宋体" w:cs="Times New Roman"/>
      <w:kern w:val="2"/>
      <w:sz w:val="24"/>
      <w:lang w:val="en-US" w:eastAsia="zh-CN" w:bidi="ar-SA"/>
    </w:rPr>
  </w:style>
  <w:style w:type="paragraph" w:customStyle="1" w:styleId="63">
    <w:name w:val="页脚 New"/>
    <w:basedOn w:val="27"/>
    <w:autoRedefine/>
    <w:qFormat/>
    <w:uiPriority w:val="0"/>
    <w:pPr>
      <w:widowControl/>
      <w:tabs>
        <w:tab w:val="center" w:pos="4153"/>
        <w:tab w:val="right" w:pos="8306"/>
      </w:tabs>
      <w:snapToGrid w:val="0"/>
      <w:jc w:val="left"/>
    </w:pPr>
    <w:rPr>
      <w:kern w:val="0"/>
      <w:sz w:val="18"/>
    </w:rPr>
  </w:style>
  <w:style w:type="character" w:customStyle="1" w:styleId="64">
    <w:name w:val="批注框文本 Char"/>
    <w:basedOn w:val="23"/>
    <w:link w:val="13"/>
    <w:autoRedefine/>
    <w:qFormat/>
    <w:uiPriority w:val="0"/>
    <w:rPr>
      <w:rFonts w:ascii="宋体" w:hAnsi="等线" w:eastAsia="等线" w:cs="Times New Roman"/>
      <w:kern w:val="2"/>
      <w:sz w:val="18"/>
      <w:szCs w:val="18"/>
    </w:rPr>
  </w:style>
  <w:style w:type="character" w:customStyle="1" w:styleId="65">
    <w:name w:val="标题 2 Char"/>
    <w:link w:val="3"/>
    <w:autoRedefine/>
    <w:qFormat/>
    <w:uiPriority w:val="0"/>
    <w:rPr>
      <w:kern w:val="0"/>
    </w:rPr>
  </w:style>
  <w:style w:type="paragraph" w:customStyle="1" w:styleId="66">
    <w:name w:val="Default"/>
    <w:next w:val="67"/>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7">
    <w:name w:val="6'"/>
    <w:basedOn w:val="1"/>
    <w:next w:val="68"/>
    <w:autoRedefine/>
    <w:qFormat/>
    <w:uiPriority w:val="0"/>
    <w:pPr>
      <w:autoSpaceDE w:val="0"/>
      <w:autoSpaceDN w:val="0"/>
      <w:adjustRightInd w:val="0"/>
      <w:snapToGrid w:val="0"/>
      <w:spacing w:line="320" w:lineRule="exact"/>
      <w:jc w:val="center"/>
      <w:textAlignment w:val="baseline"/>
    </w:pPr>
    <w:rPr>
      <w:spacing w:val="20"/>
      <w:kern w:val="28"/>
      <w:szCs w:val="20"/>
    </w:rPr>
  </w:style>
  <w:style w:type="paragraph" w:customStyle="1" w:styleId="68">
    <w:name w:val="AOHead3"/>
    <w:basedOn w:val="1"/>
    <w:next w:val="1"/>
    <w:autoRedefine/>
    <w:qFormat/>
    <w:uiPriority w:val="0"/>
    <w:pPr>
      <w:widowControl/>
      <w:autoSpaceDE/>
      <w:autoSpaceDN/>
      <w:spacing w:before="0" w:after="0" w:line="360" w:lineRule="auto"/>
      <w:ind w:left="1260" w:firstLine="0"/>
      <w:jc w:val="both"/>
      <w:outlineLvl w:val="2"/>
    </w:pPr>
    <w:rPr>
      <w:rFonts w:ascii="宋体" w:hAnsi="Times New Roman" w:eastAsia="宋体" w:cs="Times New Roman"/>
      <w:color w:val="0000FF"/>
      <w:sz w:val="24"/>
    </w:rPr>
  </w:style>
  <w:style w:type="paragraph" w:customStyle="1" w:styleId="69">
    <w:name w:val="正文 New New New New New New New New New New New New New New"/>
    <w:autoRedefine/>
    <w:qFormat/>
    <w:uiPriority w:val="0"/>
    <w:pPr>
      <w:widowControl w:val="0"/>
      <w:jc w:val="both"/>
    </w:pPr>
    <w:rPr>
      <w:rFonts w:ascii="Times New Roman" w:hAnsi="Times New Roman" w:eastAsia="楷体_GB2312" w:cs="Times New Roman"/>
      <w:kern w:val="2"/>
      <w:sz w:val="21"/>
      <w:lang w:val="en-US" w:eastAsia="zh-CN" w:bidi="ar-SA"/>
    </w:rPr>
  </w:style>
  <w:style w:type="paragraph" w:customStyle="1" w:styleId="70">
    <w:name w:val="正文文本缩进 31"/>
    <w:basedOn w:val="1"/>
    <w:autoRedefine/>
    <w:qFormat/>
    <w:uiPriority w:val="0"/>
    <w:pPr>
      <w:ind w:firstLine="570"/>
    </w:pPr>
    <w:rPr>
      <w:color w:val="0000FF"/>
      <w:kern w:val="0"/>
      <w:sz w:val="24"/>
      <w:u w:val="single"/>
    </w:rPr>
  </w:style>
  <w:style w:type="paragraph" w:customStyle="1" w:styleId="71">
    <w:name w:val="AnnotationText"/>
    <w:basedOn w:val="1"/>
    <w:qFormat/>
    <w:uiPriority w:val="0"/>
    <w:pPr>
      <w:spacing w:line="360" w:lineRule="atLeast"/>
      <w:jc w:val="left"/>
      <w:textAlignment w:val="baseline"/>
    </w:pPr>
    <w:rPr>
      <w:rFonts w:hAnsi="Times New Roman" w:cs="Times New Roman"/>
      <w:color w:val="auto"/>
    </w:rPr>
  </w:style>
  <w:style w:type="paragraph" w:customStyle="1" w:styleId="72">
    <w:name w:val="Table Text"/>
    <w:basedOn w:val="1"/>
    <w:semiHidden/>
    <w:qFormat/>
    <w:uiPriority w:val="0"/>
    <w:rPr>
      <w:rFonts w:ascii="宋体" w:hAnsi="宋体" w:eastAsia="宋体" w:cs="宋体"/>
      <w:sz w:val="21"/>
      <w:szCs w:val="21"/>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header" Target="header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053" textRotate="1"/>
    <customShpInfo spid="_x0000_s2050"/>
    <customShpInfo spid="_x0000_s2049"/>
    <customShpInfo spid="_x0000_s1030"/>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83</Pages>
  <Words>38086</Words>
  <Characters>41011</Characters>
  <Lines>731</Lines>
  <Paragraphs>205</Paragraphs>
  <TotalTime>5</TotalTime>
  <ScaleCrop>false</ScaleCrop>
  <LinksUpToDate>false</LinksUpToDate>
  <CharactersWithSpaces>41432</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2023-11-10T02:36:00Z</dcterms:created>
  <dc:creator>Chen~小璇</dc:creator>
  <cp:lastModifiedBy>A～斯特</cp:lastModifiedBy>
  <cp:lastPrinted>2025-11-10T08:34:00Z</cp:lastPrinted>
  <dcterms:modified xsi:type="dcterms:W3CDTF">2025-11-13T08:12:37Z</dcterms:modified>
  <cp:revision>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F8C0C499CCDE48ADAE0B85793CB5FE1E_11</vt:lpwstr>
  </property>
  <property fmtid="{D5CDD505-2E9C-101B-9397-08002B2CF9AE}" pid="4" name="KSOTemplateDocerSaveRecord">
    <vt:lpwstr>eyJoZGlkIjoiMmE3ZTc3ODM0YjBmY2JlNGFjNDhlZGU2MDkxNmY0Y2YiLCJ1c2VySWQiOiIyOTEzNzUxMTYifQ==</vt:lpwstr>
  </property>
</Properties>
</file>