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BCB68C">
      <w:pPr>
        <w:tabs>
          <w:tab w:val="left" w:pos="900"/>
          <w:tab w:val="left" w:pos="1080"/>
        </w:tabs>
        <w:jc w:val="center"/>
        <w:rPr>
          <w:rFonts w:hint="eastAsia" w:ascii="黑体" w:hAnsi="Times New Roman" w:eastAsia="黑体" w:cs="Times New Roman"/>
          <w:color w:val="auto"/>
          <w:sz w:val="44"/>
          <w:szCs w:val="44"/>
        </w:rPr>
      </w:pPr>
      <w:r>
        <w:rPr>
          <w:rFonts w:hint="eastAsia" w:ascii="黑体" w:hAnsi="Times New Roman" w:eastAsia="黑体" w:cs="Times New Roman"/>
          <w:color w:val="auto"/>
          <w:sz w:val="44"/>
          <w:szCs w:val="44"/>
          <w:lang w:val="en-US" w:eastAsia="zh-CN"/>
        </w:rPr>
        <w:t>清单</w:t>
      </w:r>
      <w:r>
        <w:rPr>
          <w:rFonts w:hint="eastAsia" w:ascii="黑体" w:hAnsi="Times New Roman" w:eastAsia="黑体" w:cs="Times New Roman"/>
          <w:color w:val="auto"/>
          <w:sz w:val="44"/>
          <w:szCs w:val="44"/>
          <w:lang w:eastAsia="zh-CN"/>
        </w:rPr>
        <w:t>编制</w:t>
      </w:r>
      <w:r>
        <w:rPr>
          <w:rFonts w:hint="eastAsia" w:ascii="黑体" w:hAnsi="Times New Roman" w:eastAsia="黑体" w:cs="Times New Roman"/>
          <w:color w:val="auto"/>
          <w:sz w:val="44"/>
          <w:szCs w:val="44"/>
        </w:rPr>
        <w:t>说明</w:t>
      </w:r>
    </w:p>
    <w:p w14:paraId="3960C4EF">
      <w:pPr>
        <w:pStyle w:val="4"/>
        <w:rPr>
          <w:color w:val="auto"/>
        </w:rPr>
      </w:pPr>
    </w:p>
    <w:p w14:paraId="03CB97BC">
      <w:pPr>
        <w:keepNext w:val="0"/>
        <w:keepLines w:val="0"/>
        <w:pageBreakBefore w:val="0"/>
        <w:widowControl w:val="0"/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snapToGrid/>
        <w:spacing w:line="540" w:lineRule="exact"/>
        <w:ind w:firstLine="643" w:firstLineChars="200"/>
        <w:rPr>
          <w:rFonts w:hint="eastAsia" w:ascii="仿宋_GB2312" w:hAnsi="Times New Roman" w:eastAsia="仿宋_GB2312"/>
          <w:b/>
          <w:bCs/>
          <w:snapToGrid w:val="0"/>
          <w:color w:val="auto"/>
          <w:kern w:val="0"/>
          <w:sz w:val="32"/>
          <w:szCs w:val="24"/>
        </w:rPr>
      </w:pPr>
      <w:r>
        <w:rPr>
          <w:rFonts w:hint="eastAsia" w:ascii="仿宋_GB2312" w:hAnsi="Times New Roman" w:eastAsia="仿宋_GB2312"/>
          <w:b/>
          <w:bCs/>
          <w:snapToGrid w:val="0"/>
          <w:color w:val="auto"/>
          <w:kern w:val="0"/>
          <w:sz w:val="32"/>
          <w:szCs w:val="24"/>
        </w:rPr>
        <w:t>一、项目概况</w:t>
      </w:r>
      <w:bookmarkStart w:id="0" w:name="_GoBack"/>
      <w:bookmarkEnd w:id="0"/>
    </w:p>
    <w:p w14:paraId="0F75F342">
      <w:pPr>
        <w:keepNext w:val="0"/>
        <w:keepLines w:val="0"/>
        <w:pageBreakBefore w:val="0"/>
        <w:widowControl w:val="0"/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snapToGrid/>
        <w:spacing w:line="540" w:lineRule="exact"/>
        <w:ind w:firstLine="640" w:firstLineChars="200"/>
        <w:rPr>
          <w:rFonts w:ascii="仿宋_GB2312" w:hAnsi="Times New Roman" w:eastAsia="仿宋_GB2312"/>
          <w:snapToGrid w:val="0"/>
          <w:color w:val="auto"/>
          <w:kern w:val="0"/>
          <w:sz w:val="32"/>
          <w:szCs w:val="24"/>
        </w:rPr>
      </w:pPr>
      <w:r>
        <w:rPr>
          <w:rFonts w:hint="eastAsia" w:ascii="仿宋_GB2312" w:hAnsi="Times New Roman" w:eastAsia="仿宋_GB2312"/>
          <w:snapToGrid w:val="0"/>
          <w:color w:val="auto"/>
          <w:kern w:val="0"/>
          <w:sz w:val="32"/>
          <w:szCs w:val="24"/>
        </w:rPr>
        <w:t>（一）项目内容</w:t>
      </w:r>
    </w:p>
    <w:p w14:paraId="3137497C">
      <w:pPr>
        <w:tabs>
          <w:tab w:val="left" w:pos="900"/>
          <w:tab w:val="left" w:pos="1080"/>
        </w:tabs>
        <w:spacing w:line="520" w:lineRule="exact"/>
        <w:ind w:firstLine="640" w:firstLineChars="200"/>
        <w:rPr>
          <w:rFonts w:hint="eastAsia" w:ascii="仿宋_GB2312" w:hAnsi="Times New Roman" w:eastAsia="仿宋_GB2312"/>
          <w:snapToGrid w:val="0"/>
          <w:color w:val="auto"/>
          <w:kern w:val="0"/>
          <w:sz w:val="32"/>
          <w:szCs w:val="24"/>
          <w:highlight w:val="none"/>
          <w:lang w:val="en-US" w:eastAsia="zh-CN"/>
        </w:rPr>
      </w:pPr>
      <w:r>
        <w:rPr>
          <w:rFonts w:hint="eastAsia" w:ascii="仿宋_GB2312" w:hAnsi="Times New Roman" w:eastAsia="仿宋_GB2312"/>
          <w:snapToGrid w:val="0"/>
          <w:color w:val="auto"/>
          <w:kern w:val="0"/>
          <w:sz w:val="32"/>
          <w:szCs w:val="24"/>
          <w:highlight w:val="none"/>
        </w:rPr>
        <w:t>主要建设内容为：</w:t>
      </w:r>
      <w:r>
        <w:rPr>
          <w:rFonts w:hint="eastAsia" w:ascii="仿宋_GB2312" w:hAnsi="Times New Roman" w:eastAsia="仿宋_GB2312"/>
          <w:snapToGrid w:val="0"/>
          <w:color w:val="auto"/>
          <w:kern w:val="0"/>
          <w:sz w:val="32"/>
          <w:szCs w:val="24"/>
          <w:highlight w:val="none"/>
          <w:lang w:val="en-US" w:eastAsia="zh-CN"/>
        </w:rPr>
        <w:t>工程由高坪电站尾水渠修复加固和新建高坪引水洞组成。其中高坪电站尾水渠修复加固93m;新建高坪引水洞全长约 7.72km，其中隧洞长7.50km，渡槽长191m，引渠长 24.66m。</w:t>
      </w:r>
    </w:p>
    <w:p w14:paraId="3BD20893">
      <w:pPr>
        <w:keepNext w:val="0"/>
        <w:keepLines w:val="0"/>
        <w:pageBreakBefore w:val="0"/>
        <w:widowControl w:val="0"/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snapToGrid/>
        <w:spacing w:line="540" w:lineRule="exact"/>
        <w:ind w:firstLine="640" w:firstLineChars="200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（二）实施地点：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lang w:eastAsia="zh-CN"/>
        </w:rPr>
        <w:t>仁化县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。</w:t>
      </w:r>
    </w:p>
    <w:p w14:paraId="0DF12597">
      <w:pPr>
        <w:keepNext w:val="0"/>
        <w:keepLines w:val="0"/>
        <w:pageBreakBefore w:val="0"/>
        <w:widowControl w:val="0"/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snapToGrid/>
        <w:spacing w:line="540" w:lineRule="exact"/>
        <w:ind w:firstLine="640" w:firstLineChars="200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（三）实施单位</w:t>
      </w:r>
    </w:p>
    <w:p w14:paraId="0F3D96A5">
      <w:pPr>
        <w:keepNext w:val="0"/>
        <w:keepLines w:val="0"/>
        <w:pageBreakBefore w:val="0"/>
        <w:widowControl w:val="0"/>
        <w:tabs>
          <w:tab w:val="left" w:pos="1080"/>
        </w:tabs>
        <w:kinsoku/>
        <w:wordWrap/>
        <w:overflowPunct/>
        <w:topLinePunct w:val="0"/>
        <w:autoSpaceDE/>
        <w:autoSpaceDN/>
        <w:bidi w:val="0"/>
        <w:snapToGrid/>
        <w:spacing w:before="156" w:beforeLines="50" w:line="540" w:lineRule="exact"/>
        <w:ind w:firstLine="640" w:firstLineChars="200"/>
        <w:outlineLvl w:val="0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、建设单位：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lang w:eastAsia="zh-CN"/>
        </w:rPr>
        <w:t>仁化县水利工程建设管理中心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；</w:t>
      </w:r>
    </w:p>
    <w:p w14:paraId="218CCBD1">
      <w:pPr>
        <w:tabs>
          <w:tab w:val="left" w:pos="900"/>
          <w:tab w:val="left" w:pos="1080"/>
        </w:tabs>
        <w:spacing w:line="520" w:lineRule="exact"/>
        <w:ind w:firstLine="636" w:firstLineChars="199"/>
        <w:rPr>
          <w:rFonts w:hint="eastAsia" w:ascii="Times New Roman" w:hAnsi="Times New Roman" w:eastAsia="仿宋_GB2312" w:cs="Times New Roman"/>
          <w:snapToGrid w:val="0"/>
          <w:color w:val="auto"/>
          <w:kern w:val="0"/>
          <w:sz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、设计单位：</w:t>
      </w:r>
      <w:r>
        <w:rPr>
          <w:rFonts w:hint="eastAsia" w:ascii="Times New Roman" w:hAnsi="Times New Roman" w:eastAsia="仿宋_GB2312" w:cs="Times New Roman"/>
          <w:snapToGrid w:val="0"/>
          <w:color w:val="auto"/>
          <w:kern w:val="0"/>
          <w:sz w:val="32"/>
          <w:highlight w:val="none"/>
          <w:lang w:val="en-US" w:eastAsia="zh-CN"/>
        </w:rPr>
        <w:t>中国水利水电第十四工程局有限公司、</w:t>
      </w:r>
    </w:p>
    <w:p w14:paraId="5708A28B">
      <w:pPr>
        <w:tabs>
          <w:tab w:val="left" w:pos="900"/>
          <w:tab w:val="left" w:pos="1080"/>
        </w:tabs>
        <w:spacing w:line="520" w:lineRule="exact"/>
        <w:ind w:firstLine="636" w:firstLineChars="199"/>
        <w:rPr>
          <w:rFonts w:hint="eastAsia" w:ascii="Times New Roman" w:hAnsi="Times New Roman" w:eastAsia="仿宋_GB2312" w:cs="Times New Roman"/>
          <w:snapToGrid w:val="0"/>
          <w:color w:val="auto"/>
          <w:kern w:val="0"/>
          <w:sz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snapToGrid w:val="0"/>
          <w:color w:val="auto"/>
          <w:kern w:val="0"/>
          <w:sz w:val="32"/>
          <w:highlight w:val="none"/>
          <w:lang w:val="en-US" w:eastAsia="zh-CN"/>
        </w:rPr>
        <w:t>广东省水科勘测设计院有限公司</w:t>
      </w:r>
      <w:r>
        <w:rPr>
          <w:rFonts w:hint="eastAsia" w:ascii="Times New Roman" w:hAnsi="Times New Roman" w:eastAsia="仿宋_GB2312" w:cs="Times New Roman"/>
          <w:snapToGrid w:val="0"/>
          <w:color w:val="auto"/>
          <w:kern w:val="0"/>
          <w:sz w:val="32"/>
          <w:highlight w:val="none"/>
          <w:lang w:eastAsia="zh-CN"/>
        </w:rPr>
        <w:t>。</w:t>
      </w:r>
    </w:p>
    <w:p w14:paraId="5354AC75">
      <w:pPr>
        <w:tabs>
          <w:tab w:val="left" w:pos="900"/>
          <w:tab w:val="left" w:pos="1080"/>
        </w:tabs>
        <w:spacing w:line="520" w:lineRule="exact"/>
        <w:ind w:firstLine="639" w:firstLineChars="199"/>
        <w:rPr>
          <w:rFonts w:hint="eastAsia" w:ascii="Times New Roman" w:hAnsi="Times New Roman" w:eastAsia="仿宋_GB2312" w:cs="Times New Roman"/>
          <w:b/>
          <w:bCs/>
          <w:snapToGrid w:val="0"/>
          <w:color w:val="auto"/>
          <w:kern w:val="0"/>
          <w:sz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snapToGrid w:val="0"/>
          <w:color w:val="auto"/>
          <w:kern w:val="0"/>
          <w:sz w:val="32"/>
          <w:highlight w:val="none"/>
          <w:lang w:val="en-US" w:eastAsia="zh-CN"/>
        </w:rPr>
        <w:t>二、编制依据</w:t>
      </w:r>
    </w:p>
    <w:p w14:paraId="70CE3EE6">
      <w:pPr>
        <w:tabs>
          <w:tab w:val="left" w:pos="900"/>
          <w:tab w:val="left" w:pos="1080"/>
        </w:tabs>
        <w:spacing w:line="520" w:lineRule="exact"/>
        <w:ind w:firstLine="636" w:firstLineChars="199"/>
        <w:rPr>
          <w:rFonts w:hint="eastAsia" w:ascii="Times New Roman" w:hAnsi="Times New Roman" w:eastAsia="仿宋_GB2312" w:cs="Times New Roman"/>
          <w:snapToGrid w:val="0"/>
          <w:color w:val="auto"/>
          <w:kern w:val="0"/>
          <w:sz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 w:val="0"/>
          <w:color w:val="auto"/>
          <w:kern w:val="0"/>
          <w:sz w:val="32"/>
          <w:highlight w:val="none"/>
          <w:lang w:val="en-US" w:eastAsia="zh-CN"/>
        </w:rPr>
        <w:t>（一）送审资料</w:t>
      </w:r>
    </w:p>
    <w:p w14:paraId="7903697D">
      <w:pPr>
        <w:tabs>
          <w:tab w:val="left" w:pos="900"/>
          <w:tab w:val="left" w:pos="1080"/>
        </w:tabs>
        <w:spacing w:line="520" w:lineRule="exact"/>
        <w:ind w:firstLine="640" w:firstLineChars="20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1、仁发改和政数投审【2024】49号</w:t>
      </w:r>
    </w:p>
    <w:p w14:paraId="496CC107">
      <w:pPr>
        <w:tabs>
          <w:tab w:val="left" w:pos="900"/>
          <w:tab w:val="left" w:pos="1080"/>
        </w:tabs>
        <w:spacing w:line="520" w:lineRule="exact"/>
        <w:ind w:firstLine="640" w:firstLineChars="20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2、仁发改和政数投审【2025】32号</w:t>
      </w:r>
    </w:p>
    <w:p w14:paraId="27577F1D">
      <w:pPr>
        <w:tabs>
          <w:tab w:val="left" w:pos="900"/>
          <w:tab w:val="left" w:pos="1080"/>
        </w:tabs>
        <w:spacing w:line="520" w:lineRule="exact"/>
        <w:ind w:firstLine="640" w:firstLineChars="200"/>
        <w:rPr>
          <w:rFonts w:hint="default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3、仁水批【2025】37号</w:t>
      </w:r>
    </w:p>
    <w:p w14:paraId="66CEDDF3">
      <w:pPr>
        <w:tabs>
          <w:tab w:val="left" w:pos="900"/>
          <w:tab w:val="left" w:pos="1080"/>
        </w:tabs>
        <w:spacing w:line="520" w:lineRule="exact"/>
        <w:ind w:firstLine="640" w:firstLineChars="20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4、招标设计图册。</w:t>
      </w:r>
    </w:p>
    <w:p w14:paraId="32423231">
      <w:pPr>
        <w:tabs>
          <w:tab w:val="left" w:pos="900"/>
          <w:tab w:val="left" w:pos="1080"/>
        </w:tabs>
        <w:spacing w:line="520" w:lineRule="exact"/>
        <w:ind w:firstLine="640" w:firstLineChars="20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5、</w:t>
      </w:r>
      <w:r>
        <w:rPr>
          <w:rFonts w:hint="eastAsia" w:ascii="Times New Roman" w:hAnsi="Times New Roman" w:eastAsia="仿宋_GB2312" w:cs="Times New Roman"/>
          <w:snapToGrid w:val="0"/>
          <w:color w:val="auto"/>
          <w:kern w:val="0"/>
          <w:sz w:val="32"/>
          <w:highlight w:val="none"/>
          <w:lang w:val="en-US" w:eastAsia="zh-CN"/>
        </w:rPr>
        <w:t>中国水利水电第十四工程局有限公司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编制的招标控制价及工程量计算书。</w:t>
      </w:r>
    </w:p>
    <w:p w14:paraId="526BA08A">
      <w:pPr>
        <w:tabs>
          <w:tab w:val="left" w:pos="900"/>
          <w:tab w:val="left" w:pos="1080"/>
        </w:tabs>
        <w:spacing w:line="520" w:lineRule="exact"/>
        <w:ind w:firstLine="640" w:firstLineChars="20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5、建设单位出具的《关于对广东省仁化县县域自来水引调水工程招标控制价的说明（二）》（2026年1月4日）</w:t>
      </w:r>
    </w:p>
    <w:p w14:paraId="4B49E167">
      <w:pPr>
        <w:tabs>
          <w:tab w:val="left" w:pos="900"/>
          <w:tab w:val="left" w:pos="1080"/>
        </w:tabs>
        <w:spacing w:line="520" w:lineRule="exact"/>
        <w:ind w:firstLine="640" w:firstLineChars="20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（二）执行规范及定额</w:t>
      </w:r>
    </w:p>
    <w:p w14:paraId="27D648F9">
      <w:pPr>
        <w:tabs>
          <w:tab w:val="left" w:pos="900"/>
          <w:tab w:val="left" w:pos="1080"/>
        </w:tabs>
        <w:spacing w:line="520" w:lineRule="exact"/>
        <w:ind w:firstLine="640" w:firstLineChars="200"/>
        <w:rPr>
          <w:rFonts w:hint="eastAsia" w:ascii="仿宋_GB2312" w:hAnsi="??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1、《水利工程工程量清单计价规范》（GB50501-2007）</w:t>
      </w:r>
      <w:r>
        <w:rPr>
          <w:rFonts w:hint="eastAsia" w:ascii="仿宋_GB2312" w:hAnsi="??" w:eastAsia="仿宋_GB2312"/>
          <w:color w:val="auto"/>
          <w:sz w:val="32"/>
          <w:szCs w:val="32"/>
          <w:highlight w:val="none"/>
          <w:lang w:eastAsia="zh-CN"/>
        </w:rPr>
        <w:t>。</w:t>
      </w:r>
    </w:p>
    <w:p w14:paraId="1C4BE257">
      <w:pPr>
        <w:tabs>
          <w:tab w:val="left" w:pos="900"/>
          <w:tab w:val="left" w:pos="1080"/>
        </w:tabs>
        <w:spacing w:line="520" w:lineRule="exact"/>
        <w:ind w:firstLine="640" w:firstLineChars="20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2、广东省水利厅粤水建管〔2017〕37号文发布的《广东省水利水电工程设计概（估）算编制规定》。</w:t>
      </w:r>
    </w:p>
    <w:p w14:paraId="2BD26E6F">
      <w:pPr>
        <w:tabs>
          <w:tab w:val="left" w:pos="900"/>
          <w:tab w:val="left" w:pos="1080"/>
        </w:tabs>
        <w:spacing w:line="520" w:lineRule="exact"/>
        <w:ind w:firstLine="640" w:firstLineChars="20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3、建筑工程：采用广东省水利厅粤水建管〔2017〕37号文发布的《广东省水利水电建筑工程预算定额》。</w:t>
      </w:r>
    </w:p>
    <w:p w14:paraId="0B052541">
      <w:pPr>
        <w:tabs>
          <w:tab w:val="left" w:pos="900"/>
          <w:tab w:val="left" w:pos="1080"/>
        </w:tabs>
        <w:spacing w:line="520" w:lineRule="exact"/>
        <w:ind w:firstLine="640" w:firstLineChars="20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4、设备安装工程：采用广东省水利厅粤水建管〔2017〕37号文发布的《广东省水利水电设备安装工程预算定额》。</w:t>
      </w:r>
    </w:p>
    <w:p w14:paraId="79A07C37">
      <w:pPr>
        <w:tabs>
          <w:tab w:val="left" w:pos="900"/>
          <w:tab w:val="left" w:pos="1080"/>
        </w:tabs>
        <w:spacing w:line="520" w:lineRule="exact"/>
        <w:ind w:firstLine="640" w:firstLineChars="20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5、施工机械台班费定额：采用广东省水利厅粤水建管〔2017〕37号文发布的《广东省水利水电建筑工程施工机械台班费定额》。</w:t>
      </w:r>
    </w:p>
    <w:p w14:paraId="6E652259">
      <w:pPr>
        <w:tabs>
          <w:tab w:val="left" w:pos="900"/>
          <w:tab w:val="left" w:pos="1080"/>
        </w:tabs>
        <w:spacing w:line="520" w:lineRule="exact"/>
        <w:ind w:firstLine="640" w:firstLineChars="20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6、《水利水电工程设计工程量计算规定》（SL328-2005）。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 w14:paraId="63BA67EA">
      <w:pPr>
        <w:keepNext w:val="0"/>
        <w:keepLines w:val="0"/>
        <w:pageBreakBefore w:val="0"/>
        <w:widowControl w:val="0"/>
        <w:tabs>
          <w:tab w:val="left" w:pos="900"/>
          <w:tab w:val="left" w:pos="1080"/>
        </w:tabs>
        <w:kinsoku/>
        <w:wordWrap/>
        <w:overflowPunct/>
        <w:topLinePunct w:val="0"/>
        <w:bidi w:val="0"/>
        <w:spacing w:line="520" w:lineRule="exact"/>
        <w:ind w:firstLine="643" w:firstLineChars="200"/>
        <w:rPr>
          <w:rFonts w:hint="eastAsia" w:ascii="仿宋_GB2312" w:hAnsi="宋体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三、其他说明</w:t>
      </w:r>
    </w:p>
    <w:p w14:paraId="0FC9E8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32"/>
          <w:szCs w:val="24"/>
          <w:highlight w:val="none"/>
          <w:lang w:val="en-US" w:eastAsia="zh-CN"/>
        </w:rPr>
        <w:t>1、根据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建设单位出具的《关于对广东省仁化县县域自来水引调水工程招标控制价的说明》（2025年11月21日），部分工程内容暂按如下计算：</w:t>
      </w:r>
    </w:p>
    <w:p w14:paraId="3DDC38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1.1、隧洞前段0+000~ 2+692段位于保护区内，根据生态影响评价要求，该段不能使用钻爆法施工，Ⅳ和Ⅴ类围岩采用悬臂式掘进机开挖，长度2092m；Ⅲ类围岩及硬度60MPa以上的围岩暂按水磨石钻机开挖，长度600m。实施前，将进一步勘察分析围岩类别并通过比选论证确定合理的施工工艺,结算时按实际发生结算。</w:t>
      </w:r>
    </w:p>
    <w:p w14:paraId="22E9C4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1.2、由于水土保持、环境保护专项设计图纸待完善，监测、噪声防治、固体废料处理、降尘措施、施工人群卫生检疫等费用暂不计算，其他工程量及做法暂按送审计算,结算时按实际发生结算。</w:t>
      </w:r>
    </w:p>
    <w:p w14:paraId="01B3E2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1.3、因项目工期较短，施工条件复杂，现场用地限制，不宜采用搅拌场，本项目采用商品混凝土。施工仓库工程量暂按500m2、施工板房工程量暂按3380m2计算；</w:t>
      </w:r>
    </w:p>
    <w:p w14:paraId="33C7F0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1.4、施工营地（板房）暂按3380m2计算，施工仓库暂按500m2计算，结算时按实际量计算；</w:t>
      </w:r>
    </w:p>
    <w:p w14:paraId="6E04E9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1.5、土石方、拆除废料弃运运距：高坪电站尾水渠修复工程暂按8.4km计算；渡槽工程暂按5.8km计算；其他工程全部暂按6.5km计算，结算时按实际发生结算。</w:t>
      </w:r>
    </w:p>
    <w:p w14:paraId="395322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2、</w:t>
      </w:r>
      <w:r>
        <w:rPr>
          <w:rFonts w:hint="eastAsia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32"/>
          <w:szCs w:val="24"/>
          <w:highlight w:val="none"/>
          <w:lang w:val="en-US" w:eastAsia="zh-CN"/>
        </w:rPr>
        <w:t>根据建设单位出具的《关于对广东省仁化县县域自来水引调水工程招标控制价的说明（二）》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（2026年1月4日），部分工程内容暂按如下计算：</w:t>
      </w:r>
    </w:p>
    <w:p w14:paraId="3AA85D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2.1、本项目临时道路施工浆砌石挡墙时，隧洞尚未进行开挖，无开挖石料可利用，按外购块石计算。</w:t>
      </w:r>
    </w:p>
    <w:p w14:paraId="503D44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default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2.2、场外施工临时道路部分原状道路实际情况不能满足通车要求，长度约3.98km，需要重新修整才能保证施工车辆安全通行，考虑场外施工临时道路局部修整暂估价155万元，结算时按实际发生结算。</w:t>
      </w:r>
    </w:p>
    <w:p w14:paraId="63F410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2.3、设备部分设置暂估价</w:t>
      </w:r>
    </w:p>
    <w:p w14:paraId="671AB7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综合考量项目实际状况,临时工程中电力设备：变压器、配电箱、柴油发电机组与空压机等费用暂按询价截图设备原值计取，结算时按相关规定折旧计算。</w:t>
      </w:r>
    </w:p>
    <w:p w14:paraId="7EAC53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2.4、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钢筋工程综合单价应根据《广东省水利水电建筑工程预算定额》：如设计资料不明确时，定额钢筋含量1.02改为1.06。</w:t>
      </w:r>
    </w:p>
    <w:p w14:paraId="08B635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2.5、开挖石方按补充设计图纸标注岩石级别进行调整计算。</w:t>
      </w:r>
    </w:p>
    <w:p w14:paraId="33CF83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2.6、超挖超填工程量及做法暂按补充设计图纸进行计算。</w:t>
      </w:r>
    </w:p>
    <w:p w14:paraId="1967CD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2.7、本项目考虑预留金按（分部分项工程费+措施项目费+设备费）*5%计算，预留金投标时按给定金额统一报价，但并不属于承包人所有，也不必然发生，只能按照发包人(建设单位)的指示使用，其最终结算费用应以实际发生为准，其余额仍归发包人(建设单位)所有。该费用用于施工中可能发生的费用、工程变更、合同约定调整因素出现时的工程价款调整以及发生的索赔、现场签证、政策性调整，结算时按实际施工工作量，按招标文件、合同约定进行结算。</w:t>
      </w:r>
    </w:p>
    <w:p w14:paraId="7187C1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zh-CN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3、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zh-CN" w:eastAsia="zh-CN"/>
        </w:rPr>
        <w:t>本工程工程量根据设计图暂定计算；</w:t>
      </w:r>
    </w:p>
    <w:p w14:paraId="172AA6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zh-CN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4、以上暂按暂定的计算项目，结算时按实际发生工程量及招标文件、施工合同，相关文件约定进行结算；</w:t>
      </w:r>
    </w:p>
    <w:p w14:paraId="7F2E0B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5、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zh-CN" w:eastAsia="zh-CN"/>
        </w:rPr>
        <w:t>未详细说明项目按设计图册及图纸有关说明。</w:t>
      </w:r>
    </w:p>
    <w:p w14:paraId="46CE3E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rPr>
          <w:rFonts w:hint="default" w:ascii="仿宋" w:hAnsi="仿宋" w:eastAsia="仿宋" w:cs="仿宋"/>
          <w:snapToGrid w:val="0"/>
          <w:color w:val="auto"/>
          <w:w w:val="1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6、</w:t>
      </w:r>
      <w:r>
        <w:rPr>
          <w:rFonts w:hint="default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本工程办理结算审核时，需提供项目施工前、施工中、施工后的图像资料（由建设单位、监理单位、施工单位等项目参与单位共同签名盖章确认，含隐蔽工程验收记录）。</w:t>
      </w:r>
    </w:p>
    <w:sectPr>
      <w:pgSz w:w="11906" w:h="16838"/>
      <w:pgMar w:top="850" w:right="1417" w:bottom="45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YThiOGEwMzMyNzdhMzdhNTkyNmYzYmFhZWZlZmEifQ=="/>
  </w:docVars>
  <w:rsids>
    <w:rsidRoot w:val="713E16E8"/>
    <w:rsid w:val="001F303E"/>
    <w:rsid w:val="00625E51"/>
    <w:rsid w:val="00727D14"/>
    <w:rsid w:val="007C05EF"/>
    <w:rsid w:val="00B948B3"/>
    <w:rsid w:val="024711DF"/>
    <w:rsid w:val="02EA137D"/>
    <w:rsid w:val="03824055"/>
    <w:rsid w:val="03C3286F"/>
    <w:rsid w:val="064619F9"/>
    <w:rsid w:val="09482291"/>
    <w:rsid w:val="09B518C3"/>
    <w:rsid w:val="0BEC343E"/>
    <w:rsid w:val="0CB82A52"/>
    <w:rsid w:val="0D080F7F"/>
    <w:rsid w:val="0D556B2E"/>
    <w:rsid w:val="0DA8159E"/>
    <w:rsid w:val="0DAE56FB"/>
    <w:rsid w:val="10074FA7"/>
    <w:rsid w:val="10216B64"/>
    <w:rsid w:val="117009AE"/>
    <w:rsid w:val="13F21F56"/>
    <w:rsid w:val="14876E6C"/>
    <w:rsid w:val="15120EDC"/>
    <w:rsid w:val="151B1C30"/>
    <w:rsid w:val="1529426A"/>
    <w:rsid w:val="15E95B7F"/>
    <w:rsid w:val="17F43F68"/>
    <w:rsid w:val="18805A8F"/>
    <w:rsid w:val="19D60334"/>
    <w:rsid w:val="19FB43A5"/>
    <w:rsid w:val="1A0C2973"/>
    <w:rsid w:val="1B5D6177"/>
    <w:rsid w:val="1B9A461E"/>
    <w:rsid w:val="21C60A5C"/>
    <w:rsid w:val="220209AB"/>
    <w:rsid w:val="221C5F55"/>
    <w:rsid w:val="23844E57"/>
    <w:rsid w:val="25E0500F"/>
    <w:rsid w:val="262F4618"/>
    <w:rsid w:val="27617BEF"/>
    <w:rsid w:val="29446030"/>
    <w:rsid w:val="2A2715DD"/>
    <w:rsid w:val="2CA2633B"/>
    <w:rsid w:val="2CC36E16"/>
    <w:rsid w:val="2CC36E42"/>
    <w:rsid w:val="2D480837"/>
    <w:rsid w:val="2D8D6895"/>
    <w:rsid w:val="2DA37DF5"/>
    <w:rsid w:val="2E1054B0"/>
    <w:rsid w:val="2ECF76CF"/>
    <w:rsid w:val="2FB52BC1"/>
    <w:rsid w:val="3030697B"/>
    <w:rsid w:val="307D0CDB"/>
    <w:rsid w:val="319E09A5"/>
    <w:rsid w:val="330870A4"/>
    <w:rsid w:val="348F2DD7"/>
    <w:rsid w:val="35491EDE"/>
    <w:rsid w:val="354A0F31"/>
    <w:rsid w:val="358C6356"/>
    <w:rsid w:val="35F00533"/>
    <w:rsid w:val="35F41BFC"/>
    <w:rsid w:val="36444FCA"/>
    <w:rsid w:val="37CF76C8"/>
    <w:rsid w:val="398D0612"/>
    <w:rsid w:val="3AFA683F"/>
    <w:rsid w:val="3BA92C34"/>
    <w:rsid w:val="3C6665E9"/>
    <w:rsid w:val="3C9E39FD"/>
    <w:rsid w:val="3D933A31"/>
    <w:rsid w:val="3D9D2CCD"/>
    <w:rsid w:val="3DA03F39"/>
    <w:rsid w:val="3E2F4E72"/>
    <w:rsid w:val="3F7A63C2"/>
    <w:rsid w:val="402E1D3F"/>
    <w:rsid w:val="41BD737C"/>
    <w:rsid w:val="42696DA2"/>
    <w:rsid w:val="42B272E8"/>
    <w:rsid w:val="43B94141"/>
    <w:rsid w:val="442F268D"/>
    <w:rsid w:val="47414799"/>
    <w:rsid w:val="482B1701"/>
    <w:rsid w:val="48CB5453"/>
    <w:rsid w:val="48DF7117"/>
    <w:rsid w:val="4AA406F0"/>
    <w:rsid w:val="4B122A41"/>
    <w:rsid w:val="4B1B5FB8"/>
    <w:rsid w:val="4BA34B8C"/>
    <w:rsid w:val="4CDF47AB"/>
    <w:rsid w:val="4CF47616"/>
    <w:rsid w:val="4D0B3AFD"/>
    <w:rsid w:val="4F77691C"/>
    <w:rsid w:val="515733E7"/>
    <w:rsid w:val="553E6087"/>
    <w:rsid w:val="55D2123A"/>
    <w:rsid w:val="581043D4"/>
    <w:rsid w:val="58AF5D1C"/>
    <w:rsid w:val="58EF1411"/>
    <w:rsid w:val="595C57B0"/>
    <w:rsid w:val="5A1D0D2B"/>
    <w:rsid w:val="5DAA666C"/>
    <w:rsid w:val="5E4C66DB"/>
    <w:rsid w:val="5EEB5943"/>
    <w:rsid w:val="5FAE14AC"/>
    <w:rsid w:val="61640A02"/>
    <w:rsid w:val="62001E71"/>
    <w:rsid w:val="633D3BE3"/>
    <w:rsid w:val="636B027A"/>
    <w:rsid w:val="639500A7"/>
    <w:rsid w:val="640C1262"/>
    <w:rsid w:val="6448234D"/>
    <w:rsid w:val="64FB3E4B"/>
    <w:rsid w:val="65746D3E"/>
    <w:rsid w:val="671963D7"/>
    <w:rsid w:val="6783229F"/>
    <w:rsid w:val="68B536B2"/>
    <w:rsid w:val="68C618BF"/>
    <w:rsid w:val="68C867C5"/>
    <w:rsid w:val="69285A6D"/>
    <w:rsid w:val="6A6275A1"/>
    <w:rsid w:val="6B656390"/>
    <w:rsid w:val="6CB23E94"/>
    <w:rsid w:val="6D461FF8"/>
    <w:rsid w:val="6E01324F"/>
    <w:rsid w:val="6E5713B9"/>
    <w:rsid w:val="6F6614F5"/>
    <w:rsid w:val="6FE4229B"/>
    <w:rsid w:val="701C5676"/>
    <w:rsid w:val="709920C2"/>
    <w:rsid w:val="70E00799"/>
    <w:rsid w:val="713E16E8"/>
    <w:rsid w:val="71CB7143"/>
    <w:rsid w:val="72C5513F"/>
    <w:rsid w:val="75606BF7"/>
    <w:rsid w:val="7567426F"/>
    <w:rsid w:val="77682AC6"/>
    <w:rsid w:val="77F87F89"/>
    <w:rsid w:val="78935C36"/>
    <w:rsid w:val="79CA2E50"/>
    <w:rsid w:val="7A4169D3"/>
    <w:rsid w:val="7A58338F"/>
    <w:rsid w:val="7AE53606"/>
    <w:rsid w:val="7CF131F1"/>
    <w:rsid w:val="7D53138D"/>
    <w:rsid w:val="7DAB6B5B"/>
    <w:rsid w:val="7E2761AA"/>
    <w:rsid w:val="7FF51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</w:style>
  <w:style w:type="paragraph" w:styleId="3">
    <w:name w:val="Body Text Indent"/>
    <w:basedOn w:val="1"/>
    <w:qFormat/>
    <w:uiPriority w:val="0"/>
    <w:pPr>
      <w:ind w:firstLine="560" w:firstLineChars="200"/>
    </w:pPr>
    <w:rPr>
      <w:rFonts w:eastAsia="宋体"/>
      <w:sz w:val="28"/>
    </w:rPr>
  </w:style>
  <w:style w:type="paragraph" w:styleId="4">
    <w:name w:val="annotation text"/>
    <w:basedOn w:val="1"/>
    <w:qFormat/>
    <w:uiPriority w:val="0"/>
    <w:pPr>
      <w:adjustRightInd w:val="0"/>
      <w:spacing w:line="360" w:lineRule="atLeast"/>
      <w:jc w:val="left"/>
      <w:textAlignment w:val="baseline"/>
    </w:pPr>
    <w:rPr>
      <w:rFonts w:ascii="宋体"/>
      <w:kern w:val="0"/>
      <w:sz w:val="24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0">
    <w:name w:val="页眉 Char"/>
    <w:basedOn w:val="9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9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1764</Words>
  <Characters>1933</Characters>
  <Lines>8</Lines>
  <Paragraphs>2</Paragraphs>
  <TotalTime>0</TotalTime>
  <ScaleCrop>false</ScaleCrop>
  <LinksUpToDate>false</LinksUpToDate>
  <CharactersWithSpaces>1940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2020-03-21T03:06:00Z</dcterms:created>
  <dc:creator>七苇。</dc:creator>
  <cp:lastModifiedBy>芳</cp:lastModifiedBy>
  <cp:lastPrinted>2024-05-28T08:20:00Z</cp:lastPrinted>
  <dcterms:modified xsi:type="dcterms:W3CDTF">2026-01-06T07:05:56Z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862C0E470A974CEDA063F5F1F32DD759_13</vt:lpwstr>
  </property>
  <property fmtid="{D5CDD505-2E9C-101B-9397-08002B2CF9AE}" pid="4" name="KSOTemplateDocerSaveRecord">
    <vt:lpwstr>eyJoZGlkIjoiOWYwY2Q3MGY4ZDMyZGY4MTU0MzQxNGZhNDViMzY4OTQiLCJ1c2VySWQiOiI1MjAzMzA5NjEifQ==</vt:lpwstr>
  </property>
</Properties>
</file>