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5DA9E">
      <w:pPr>
        <w:pStyle w:val="28"/>
        <w:wordWrap w:val="0"/>
        <w:adjustRightInd w:val="0"/>
        <w:snapToGrid w:val="0"/>
        <w:spacing w:line="360" w:lineRule="auto"/>
        <w:jc w:val="center"/>
        <w:rPr>
          <w:rFonts w:hint="eastAsia" w:eastAsia="宋体"/>
          <w:snapToGrid w:val="0"/>
          <w:color w:val="000000" w:themeColor="text1"/>
          <w:kern w:val="0"/>
          <w:sz w:val="44"/>
          <w:szCs w:val="44"/>
          <w:highlight w:val="none"/>
          <w:u w:val="single"/>
          <w14:textFill>
            <w14:solidFill>
              <w14:schemeClr w14:val="tx1"/>
            </w14:solidFill>
          </w14:textFill>
        </w:rPr>
      </w:pPr>
      <w:r>
        <w:rPr>
          <w:rFonts w:hint="eastAsia" w:eastAsia="宋体"/>
          <w:b/>
          <w:snapToGrid w:val="0"/>
          <w:color w:val="000000" w:themeColor="text1"/>
          <w:kern w:val="0"/>
          <w:sz w:val="44"/>
          <w:szCs w:val="44"/>
          <w:highlight w:val="none"/>
          <w:lang w:eastAsia="zh-CN"/>
          <w14:textFill>
            <w14:solidFill>
              <w14:schemeClr w14:val="tx1"/>
            </w14:solidFill>
          </w14:textFill>
        </w:rPr>
        <w:t>翁源产业园区产城融合基础设施配套项目（标准厂房）施工监理</w:t>
      </w:r>
    </w:p>
    <w:p w14:paraId="1A027CC3">
      <w:pPr>
        <w:pStyle w:val="28"/>
        <w:wordWrap w:val="0"/>
        <w:adjustRightInd w:val="0"/>
        <w:snapToGrid w:val="0"/>
        <w:spacing w:line="360" w:lineRule="auto"/>
        <w:rPr>
          <w:rFonts w:hint="eastAsia" w:eastAsia="宋体"/>
          <w:snapToGrid w:val="0"/>
          <w:color w:val="000000" w:themeColor="text1"/>
          <w:kern w:val="0"/>
          <w:sz w:val="36"/>
          <w:highlight w:val="none"/>
          <w:u w:val="single"/>
          <w14:textFill>
            <w14:solidFill>
              <w14:schemeClr w14:val="tx1"/>
            </w14:solidFill>
          </w14:textFill>
        </w:rPr>
      </w:pPr>
    </w:p>
    <w:p w14:paraId="24121D77">
      <w:pPr>
        <w:pStyle w:val="28"/>
        <w:wordWrap w:val="0"/>
        <w:adjustRightInd w:val="0"/>
        <w:snapToGrid w:val="0"/>
        <w:spacing w:line="360" w:lineRule="auto"/>
        <w:rPr>
          <w:rFonts w:hint="eastAsia" w:eastAsia="宋体"/>
          <w:snapToGrid w:val="0"/>
          <w:color w:val="000000" w:themeColor="text1"/>
          <w:kern w:val="0"/>
          <w:sz w:val="36"/>
          <w:highlight w:val="none"/>
          <w:u w:val="single"/>
          <w14:textFill>
            <w14:solidFill>
              <w14:schemeClr w14:val="tx1"/>
            </w14:solidFill>
          </w14:textFill>
        </w:rPr>
      </w:pPr>
    </w:p>
    <w:p w14:paraId="099266EB">
      <w:pPr>
        <w:pStyle w:val="28"/>
        <w:wordWrap w:val="0"/>
        <w:adjustRightInd w:val="0"/>
        <w:snapToGrid w:val="0"/>
        <w:spacing w:line="360" w:lineRule="auto"/>
        <w:rPr>
          <w:rFonts w:hint="eastAsia" w:eastAsia="宋体"/>
          <w:snapToGrid w:val="0"/>
          <w:color w:val="000000" w:themeColor="text1"/>
          <w:kern w:val="0"/>
          <w:sz w:val="36"/>
          <w:highlight w:val="none"/>
          <w:u w:val="single"/>
          <w14:textFill>
            <w14:solidFill>
              <w14:schemeClr w14:val="tx1"/>
            </w14:solidFill>
          </w14:textFill>
        </w:rPr>
      </w:pPr>
    </w:p>
    <w:p w14:paraId="68D53431">
      <w:pPr>
        <w:pStyle w:val="28"/>
        <w:wordWrap w:val="0"/>
        <w:adjustRightInd w:val="0"/>
        <w:snapToGrid w:val="0"/>
        <w:spacing w:line="360" w:lineRule="auto"/>
        <w:jc w:val="center"/>
        <w:rPr>
          <w:rFonts w:hint="eastAsia"/>
          <w:b/>
          <w:bCs/>
          <w:snapToGrid w:val="0"/>
          <w:color w:val="000000" w:themeColor="text1"/>
          <w:kern w:val="0"/>
          <w:sz w:val="48"/>
          <w:szCs w:val="48"/>
          <w:highlight w:val="none"/>
          <w14:textFill>
            <w14:solidFill>
              <w14:schemeClr w14:val="tx1"/>
            </w14:solidFill>
          </w14:textFill>
        </w:rPr>
      </w:pPr>
      <w:r>
        <w:rPr>
          <w:rFonts w:hint="eastAsia" w:eastAsia="宋体"/>
          <w:b/>
          <w:bCs/>
          <w:snapToGrid w:val="0"/>
          <w:color w:val="000000" w:themeColor="text1"/>
          <w:kern w:val="0"/>
          <w:sz w:val="72"/>
          <w:szCs w:val="72"/>
          <w:highlight w:val="none"/>
          <w14:shadow w14:blurRad="50800" w14:dist="38100" w14:dir="2700000" w14:sx="100000" w14:sy="100000" w14:kx="0" w14:ky="0" w14:algn="tl">
            <w14:srgbClr w14:val="000000">
              <w14:alpha w14:val="60000"/>
            </w14:srgbClr>
          </w14:shadow>
          <w14:textFill>
            <w14:solidFill>
              <w14:schemeClr w14:val="tx1"/>
            </w14:solidFill>
          </w14:textFill>
        </w:rPr>
        <w:t>招标文件</w:t>
      </w:r>
    </w:p>
    <w:p w14:paraId="5AF844A5">
      <w:pPr>
        <w:wordWrap w:val="0"/>
        <w:adjustRightInd w:val="0"/>
        <w:snapToGrid w:val="0"/>
        <w:jc w:val="center"/>
        <w:rPr>
          <w:rFonts w:hint="eastAsia" w:ascii="Times New Roman"/>
          <w:b/>
          <w:bCs/>
          <w:snapToGrid w:val="0"/>
          <w:color w:val="000000" w:themeColor="text1"/>
          <w:kern w:val="0"/>
          <w:sz w:val="48"/>
          <w:szCs w:val="48"/>
          <w:highlight w:val="none"/>
          <w14:textFill>
            <w14:solidFill>
              <w14:schemeClr w14:val="tx1"/>
            </w14:solidFill>
          </w14:textFill>
        </w:rPr>
      </w:pPr>
    </w:p>
    <w:p w14:paraId="76C8AFEA">
      <w:pPr>
        <w:wordWrap w:val="0"/>
        <w:adjustRightInd w:val="0"/>
        <w:snapToGrid w:val="0"/>
        <w:jc w:val="center"/>
        <w:rPr>
          <w:rFonts w:hint="eastAsia" w:ascii="Times New Roman"/>
          <w:b/>
          <w:bCs/>
          <w:snapToGrid w:val="0"/>
          <w:color w:val="000000" w:themeColor="text1"/>
          <w:kern w:val="0"/>
          <w:sz w:val="48"/>
          <w:szCs w:val="48"/>
          <w:highlight w:val="none"/>
          <w14:textFill>
            <w14:solidFill>
              <w14:schemeClr w14:val="tx1"/>
            </w14:solidFill>
          </w14:textFill>
        </w:rPr>
      </w:pPr>
    </w:p>
    <w:tbl>
      <w:tblPr>
        <w:tblStyle w:val="19"/>
        <w:tblW w:w="0" w:type="auto"/>
        <w:tblInd w:w="-100" w:type="dxa"/>
        <w:tblLayout w:type="fixed"/>
        <w:tblCellMar>
          <w:top w:w="0" w:type="dxa"/>
          <w:left w:w="0" w:type="dxa"/>
          <w:bottom w:w="0" w:type="dxa"/>
          <w:right w:w="0" w:type="dxa"/>
        </w:tblCellMar>
      </w:tblPr>
      <w:tblGrid>
        <w:gridCol w:w="4708"/>
        <w:gridCol w:w="5020"/>
      </w:tblGrid>
      <w:tr w14:paraId="3657CB14">
        <w:tblPrEx>
          <w:tblCellMar>
            <w:top w:w="0" w:type="dxa"/>
            <w:left w:w="0" w:type="dxa"/>
            <w:bottom w:w="0" w:type="dxa"/>
            <w:right w:w="0" w:type="dxa"/>
          </w:tblCellMar>
        </w:tblPrEx>
        <w:trPr>
          <w:trHeight w:val="929" w:hRule="atLeast"/>
        </w:trPr>
        <w:tc>
          <w:tcPr>
            <w:tcW w:w="4708" w:type="dxa"/>
            <w:noWrap w:val="0"/>
            <w:vAlign w:val="center"/>
          </w:tcPr>
          <w:p w14:paraId="652F5E25">
            <w:pPr>
              <w:pStyle w:val="29"/>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w:t>
            </w:r>
            <w:r>
              <w:rPr>
                <w:rFonts w:ascii="Times New Roman"/>
                <w:snapToGrid w:val="0"/>
                <w:color w:val="000000" w:themeColor="text1"/>
                <w:kern w:val="0"/>
                <w:sz w:val="28"/>
                <w:highlight w:val="none"/>
                <w14:textFill>
                  <w14:solidFill>
                    <w14:schemeClr w14:val="tx1"/>
                  </w14:solidFill>
                </w14:textFill>
              </w:rPr>
              <w:t xml:space="preserve"> </w:t>
            </w:r>
            <w:r>
              <w:rPr>
                <w:rFonts w:hint="eastAsia" w:ascii="Times New Roman"/>
                <w:snapToGrid w:val="0"/>
                <w:color w:val="000000" w:themeColor="text1"/>
                <w:kern w:val="0"/>
                <w:sz w:val="28"/>
                <w:highlight w:val="none"/>
                <w14:textFill>
                  <w14:solidFill>
                    <w14:schemeClr w14:val="tx1"/>
                  </w14:solidFill>
                </w14:textFill>
              </w:rPr>
              <w:t xml:space="preserve">    标</w:t>
            </w:r>
            <w:r>
              <w:rPr>
                <w:rFonts w:ascii="Times New Roman"/>
                <w:snapToGrid w:val="0"/>
                <w:color w:val="000000" w:themeColor="text1"/>
                <w:kern w:val="0"/>
                <w:sz w:val="28"/>
                <w:highlight w:val="none"/>
                <w14:textFill>
                  <w14:solidFill>
                    <w14:schemeClr w14:val="tx1"/>
                  </w14:solidFill>
                </w14:textFill>
              </w:rPr>
              <w:t xml:space="preserve"> </w:t>
            </w:r>
            <w:r>
              <w:rPr>
                <w:rFonts w:hint="eastAsia" w:ascii="Times New Roman"/>
                <w:snapToGrid w:val="0"/>
                <w:color w:val="000000" w:themeColor="text1"/>
                <w:kern w:val="0"/>
                <w:sz w:val="28"/>
                <w:highlight w:val="none"/>
                <w14:textFill>
                  <w14:solidFill>
                    <w14:schemeClr w14:val="tx1"/>
                  </w14:solidFill>
                </w14:textFill>
              </w:rPr>
              <w:t xml:space="preserve">    人（盖单位章）：</w:t>
            </w:r>
          </w:p>
        </w:tc>
        <w:tc>
          <w:tcPr>
            <w:tcW w:w="5020" w:type="dxa"/>
            <w:noWrap w:val="0"/>
            <w:vAlign w:val="center"/>
          </w:tcPr>
          <w:p w14:paraId="46E2CC5D">
            <w:pPr>
              <w:pStyle w:val="29"/>
              <w:wordWrap w:val="0"/>
              <w:adjustRightInd w:val="0"/>
              <w:snapToGrid w:val="0"/>
              <w:spacing w:line="240" w:lineRule="auto"/>
              <w:rPr>
                <w:rFonts w:hint="eastAsia" w:ascii="Times New Roman" w:eastAsia="宋体"/>
                <w:snapToGrid w:val="0"/>
                <w:color w:val="000000" w:themeColor="text1"/>
                <w:kern w:val="0"/>
                <w:sz w:val="28"/>
                <w:szCs w:val="28"/>
                <w:highlight w:val="none"/>
                <w:lang w:eastAsia="zh-CN"/>
                <w14:textFill>
                  <w14:solidFill>
                    <w14:schemeClr w14:val="tx1"/>
                  </w14:solidFill>
                </w14:textFill>
              </w:rPr>
            </w:pPr>
            <w:r>
              <w:rPr>
                <w:rFonts w:hint="eastAsia" w:hAnsi="宋体"/>
                <w:color w:val="000000" w:themeColor="text1"/>
                <w:sz w:val="28"/>
                <w:szCs w:val="28"/>
                <w:highlight w:val="none"/>
                <w:lang w:eastAsia="zh-CN"/>
                <w14:textFill>
                  <w14:solidFill>
                    <w14:schemeClr w14:val="tx1"/>
                  </w14:solidFill>
                </w14:textFill>
              </w:rPr>
              <w:t>翁源县公共资产管理中心</w:t>
            </w:r>
          </w:p>
        </w:tc>
      </w:tr>
      <w:tr w14:paraId="76C00E05">
        <w:tblPrEx>
          <w:tblCellMar>
            <w:top w:w="0" w:type="dxa"/>
            <w:left w:w="0" w:type="dxa"/>
            <w:bottom w:w="0" w:type="dxa"/>
            <w:right w:w="0" w:type="dxa"/>
          </w:tblCellMar>
        </w:tblPrEx>
        <w:trPr>
          <w:trHeight w:val="943" w:hRule="atLeast"/>
        </w:trPr>
        <w:tc>
          <w:tcPr>
            <w:tcW w:w="4708" w:type="dxa"/>
            <w:noWrap w:val="0"/>
            <w:vAlign w:val="center"/>
          </w:tcPr>
          <w:p w14:paraId="67D98F0F">
            <w:pPr>
              <w:pStyle w:val="29"/>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招标人工作领导小组负责人（签字）：</w:t>
            </w:r>
          </w:p>
        </w:tc>
        <w:tc>
          <w:tcPr>
            <w:tcW w:w="5020" w:type="dxa"/>
            <w:noWrap w:val="0"/>
            <w:vAlign w:val="center"/>
          </w:tcPr>
          <w:p w14:paraId="5450FFAE">
            <w:pPr>
              <w:pStyle w:val="29"/>
              <w:wordWrap w:val="0"/>
              <w:adjustRightInd w:val="0"/>
              <w:snapToGrid w:val="0"/>
              <w:spacing w:line="240" w:lineRule="auto"/>
              <w:rPr>
                <w:rFonts w:hint="eastAsia" w:ascii="Times New Roman"/>
                <w:snapToGrid w:val="0"/>
                <w:color w:val="000000" w:themeColor="text1"/>
                <w:kern w:val="0"/>
                <w:sz w:val="28"/>
                <w:szCs w:val="28"/>
                <w:highlight w:val="none"/>
                <w14:textFill>
                  <w14:solidFill>
                    <w14:schemeClr w14:val="tx1"/>
                  </w14:solidFill>
                </w14:textFill>
              </w:rPr>
            </w:pPr>
          </w:p>
        </w:tc>
      </w:tr>
      <w:tr w14:paraId="04EB56FF">
        <w:tblPrEx>
          <w:tblCellMar>
            <w:top w:w="0" w:type="dxa"/>
            <w:left w:w="0" w:type="dxa"/>
            <w:bottom w:w="0" w:type="dxa"/>
            <w:right w:w="0" w:type="dxa"/>
          </w:tblCellMar>
        </w:tblPrEx>
        <w:trPr>
          <w:trHeight w:val="1065" w:hRule="atLeast"/>
        </w:trPr>
        <w:tc>
          <w:tcPr>
            <w:tcW w:w="4708" w:type="dxa"/>
            <w:noWrap w:val="0"/>
            <w:vAlign w:val="center"/>
          </w:tcPr>
          <w:p w14:paraId="7ED9F643">
            <w:pPr>
              <w:pStyle w:val="29"/>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 标 代 理 机 构 （盖单位章）：</w:t>
            </w:r>
          </w:p>
        </w:tc>
        <w:tc>
          <w:tcPr>
            <w:tcW w:w="5020" w:type="dxa"/>
            <w:noWrap w:val="0"/>
            <w:vAlign w:val="center"/>
          </w:tcPr>
          <w:p w14:paraId="4DA122F5">
            <w:pPr>
              <w:pStyle w:val="29"/>
              <w:wordWrap w:val="0"/>
              <w:adjustRightInd w:val="0"/>
              <w:snapToGrid w:val="0"/>
              <w:spacing w:line="240" w:lineRule="auto"/>
              <w:rPr>
                <w:rFonts w:hint="eastAsia" w:ascii="Times New Roman" w:eastAsia="宋体"/>
                <w:snapToGrid w:val="0"/>
                <w:color w:val="000000" w:themeColor="text1"/>
                <w:kern w:val="0"/>
                <w:sz w:val="28"/>
                <w:szCs w:val="28"/>
                <w:highlight w:val="none"/>
                <w:lang w:eastAsia="zh-CN"/>
                <w14:textFill>
                  <w14:solidFill>
                    <w14:schemeClr w14:val="tx1"/>
                  </w14:solidFill>
                </w14:textFill>
              </w:rPr>
            </w:pPr>
            <w:r>
              <w:rPr>
                <w:rFonts w:hint="eastAsia" w:ascii="Times New Roman"/>
                <w:snapToGrid w:val="0"/>
                <w:color w:val="000000" w:themeColor="text1"/>
                <w:kern w:val="0"/>
                <w:sz w:val="28"/>
                <w:szCs w:val="28"/>
                <w:highlight w:val="none"/>
                <w:lang w:eastAsia="zh-CN"/>
                <w14:textFill>
                  <w14:solidFill>
                    <w14:schemeClr w14:val="tx1"/>
                  </w14:solidFill>
                </w14:textFill>
              </w:rPr>
              <w:t>广州穗峰建设工程监理有限公司</w:t>
            </w:r>
          </w:p>
        </w:tc>
      </w:tr>
      <w:tr w14:paraId="385F361B">
        <w:tblPrEx>
          <w:tblCellMar>
            <w:top w:w="0" w:type="dxa"/>
            <w:left w:w="0" w:type="dxa"/>
            <w:bottom w:w="0" w:type="dxa"/>
            <w:right w:w="0" w:type="dxa"/>
          </w:tblCellMar>
        </w:tblPrEx>
        <w:trPr>
          <w:trHeight w:val="935" w:hRule="atLeast"/>
        </w:trPr>
        <w:tc>
          <w:tcPr>
            <w:tcW w:w="4708" w:type="dxa"/>
            <w:noWrap w:val="0"/>
            <w:vAlign w:val="center"/>
          </w:tcPr>
          <w:p w14:paraId="626B0624">
            <w:pPr>
              <w:pStyle w:val="29"/>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招标文件编制人（签字）：</w:t>
            </w:r>
          </w:p>
        </w:tc>
        <w:tc>
          <w:tcPr>
            <w:tcW w:w="5020" w:type="dxa"/>
            <w:noWrap w:val="0"/>
            <w:vAlign w:val="center"/>
          </w:tcPr>
          <w:p w14:paraId="7709D5F1">
            <w:pPr>
              <w:pStyle w:val="29"/>
              <w:wordWrap w:val="0"/>
              <w:adjustRightInd w:val="0"/>
              <w:snapToGrid w:val="0"/>
              <w:spacing w:line="240" w:lineRule="auto"/>
              <w:rPr>
                <w:rFonts w:hint="eastAsia" w:ascii="Times New Roman"/>
                <w:snapToGrid w:val="0"/>
                <w:color w:val="000000" w:themeColor="text1"/>
                <w:kern w:val="0"/>
                <w:sz w:val="28"/>
                <w:szCs w:val="28"/>
                <w:highlight w:val="none"/>
                <w14:textFill>
                  <w14:solidFill>
                    <w14:schemeClr w14:val="tx1"/>
                  </w14:solidFill>
                </w14:textFill>
              </w:rPr>
            </w:pPr>
          </w:p>
        </w:tc>
      </w:tr>
      <w:tr w14:paraId="5B3CEEDE">
        <w:tblPrEx>
          <w:tblCellMar>
            <w:top w:w="0" w:type="dxa"/>
            <w:left w:w="0" w:type="dxa"/>
            <w:bottom w:w="0" w:type="dxa"/>
            <w:right w:w="0" w:type="dxa"/>
          </w:tblCellMar>
        </w:tblPrEx>
        <w:trPr>
          <w:trHeight w:val="1010" w:hRule="atLeast"/>
        </w:trPr>
        <w:tc>
          <w:tcPr>
            <w:tcW w:w="4708" w:type="dxa"/>
            <w:noWrap w:val="0"/>
            <w:vAlign w:val="center"/>
          </w:tcPr>
          <w:p w14:paraId="090BCE47">
            <w:pPr>
              <w:pStyle w:val="29"/>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招标代理机构项目负责人（签字）：</w:t>
            </w:r>
          </w:p>
        </w:tc>
        <w:tc>
          <w:tcPr>
            <w:tcW w:w="5020" w:type="dxa"/>
            <w:noWrap w:val="0"/>
            <w:vAlign w:val="center"/>
          </w:tcPr>
          <w:p w14:paraId="5F3691C7">
            <w:pPr>
              <w:pStyle w:val="29"/>
              <w:wordWrap w:val="0"/>
              <w:adjustRightInd w:val="0"/>
              <w:snapToGrid w:val="0"/>
              <w:spacing w:line="240" w:lineRule="auto"/>
              <w:rPr>
                <w:rFonts w:hint="eastAsia" w:ascii="Times New Roman"/>
                <w:snapToGrid w:val="0"/>
                <w:color w:val="000000" w:themeColor="text1"/>
                <w:kern w:val="0"/>
                <w:sz w:val="28"/>
                <w:szCs w:val="28"/>
                <w:highlight w:val="none"/>
                <w14:textFill>
                  <w14:solidFill>
                    <w14:schemeClr w14:val="tx1"/>
                  </w14:solidFill>
                </w14:textFill>
              </w:rPr>
            </w:pPr>
          </w:p>
        </w:tc>
      </w:tr>
      <w:tr w14:paraId="490DFECC">
        <w:tblPrEx>
          <w:tblCellMar>
            <w:top w:w="0" w:type="dxa"/>
            <w:left w:w="0" w:type="dxa"/>
            <w:bottom w:w="0" w:type="dxa"/>
            <w:right w:w="0" w:type="dxa"/>
          </w:tblCellMar>
        </w:tblPrEx>
        <w:trPr>
          <w:trHeight w:val="892" w:hRule="atLeast"/>
        </w:trPr>
        <w:tc>
          <w:tcPr>
            <w:tcW w:w="4708" w:type="dxa"/>
            <w:noWrap w:val="0"/>
            <w:vAlign w:val="center"/>
          </w:tcPr>
          <w:p w14:paraId="26C7C495">
            <w:pPr>
              <w:pStyle w:val="29"/>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招标文件编制日期：</w:t>
            </w:r>
          </w:p>
        </w:tc>
        <w:tc>
          <w:tcPr>
            <w:tcW w:w="5020" w:type="dxa"/>
            <w:noWrap w:val="0"/>
            <w:vAlign w:val="center"/>
          </w:tcPr>
          <w:p w14:paraId="4334049F">
            <w:pPr>
              <w:pStyle w:val="29"/>
              <w:wordWrap w:val="0"/>
              <w:adjustRightInd w:val="0"/>
              <w:snapToGrid w:val="0"/>
              <w:spacing w:line="240" w:lineRule="auto"/>
              <w:ind w:firstLine="280" w:firstLineChars="100"/>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202</w:t>
            </w:r>
            <w:r>
              <w:rPr>
                <w:rFonts w:hint="eastAsia" w:ascii="Times New Roman"/>
                <w:snapToGrid w:val="0"/>
                <w:color w:val="000000" w:themeColor="text1"/>
                <w:kern w:val="0"/>
                <w:sz w:val="28"/>
                <w:highlight w:val="none"/>
                <w:lang w:val="en-US" w:eastAsia="zh-CN"/>
                <w14:textFill>
                  <w14:solidFill>
                    <w14:schemeClr w14:val="tx1"/>
                  </w14:solidFill>
                </w14:textFill>
              </w:rPr>
              <w:t>5</w:t>
            </w:r>
            <w:r>
              <w:rPr>
                <w:rFonts w:hint="eastAsia" w:ascii="Times New Roman"/>
                <w:snapToGrid w:val="0"/>
                <w:color w:val="000000" w:themeColor="text1"/>
                <w:kern w:val="0"/>
                <w:sz w:val="28"/>
                <w:highlight w:val="none"/>
                <w14:textFill>
                  <w14:solidFill>
                    <w14:schemeClr w14:val="tx1"/>
                  </w14:solidFill>
                </w14:textFill>
              </w:rPr>
              <w:t>年</w:t>
            </w:r>
            <w:r>
              <w:rPr>
                <w:rFonts w:hint="eastAsia" w:ascii="Times New Roman"/>
                <w:snapToGrid w:val="0"/>
                <w:color w:val="000000" w:themeColor="text1"/>
                <w:kern w:val="0"/>
                <w:sz w:val="28"/>
                <w:highlight w:val="none"/>
                <w:lang w:val="en-US" w:eastAsia="zh-CN"/>
                <w14:textFill>
                  <w14:solidFill>
                    <w14:schemeClr w14:val="tx1"/>
                  </w14:solidFill>
                </w14:textFill>
              </w:rPr>
              <w:t>12</w:t>
            </w:r>
            <w:r>
              <w:rPr>
                <w:rFonts w:hint="eastAsia" w:ascii="Times New Roman"/>
                <w:snapToGrid w:val="0"/>
                <w:color w:val="000000" w:themeColor="text1"/>
                <w:kern w:val="0"/>
                <w:sz w:val="28"/>
                <w:highlight w:val="none"/>
                <w14:textFill>
                  <w14:solidFill>
                    <w14:schemeClr w14:val="tx1"/>
                  </w14:solidFill>
                </w14:textFill>
              </w:rPr>
              <w:t>月</w:t>
            </w:r>
          </w:p>
        </w:tc>
      </w:tr>
    </w:tbl>
    <w:p w14:paraId="7EEE6259">
      <w:pPr>
        <w:rPr>
          <w:color w:val="000000" w:themeColor="text1"/>
          <w:highlight w:val="none"/>
          <w14:textFill>
            <w14:solidFill>
              <w14:schemeClr w14:val="tx1"/>
            </w14:solidFill>
          </w14:textFill>
        </w:rPr>
        <w:sectPr>
          <w:footerReference r:id="rId5" w:type="default"/>
          <w:endnotePr>
            <w:numFmt w:val="decimal"/>
          </w:endnotePr>
          <w:pgSz w:w="11906" w:h="16838"/>
          <w:pgMar w:top="1440" w:right="1080" w:bottom="1440" w:left="1080" w:header="850" w:footer="992" w:gutter="0"/>
          <w:pgNumType w:fmt="decimal" w:start="0"/>
          <w:cols w:space="0" w:num="1"/>
          <w:docGrid w:linePitch="327" w:charSpace="0"/>
        </w:sectPr>
      </w:pPr>
    </w:p>
    <w:p w14:paraId="67B8E997">
      <w:pPr>
        <w:pStyle w:val="6"/>
        <w:rPr>
          <w:color w:val="000000" w:themeColor="text1"/>
          <w:highlight w:val="none"/>
          <w14:textFill>
            <w14:solidFill>
              <w14:schemeClr w14:val="tx1"/>
            </w14:solidFill>
          </w14:textFill>
        </w:rPr>
        <w:sectPr>
          <w:endnotePr>
            <w:numFmt w:val="decimal"/>
          </w:endnotePr>
          <w:pgSz w:w="11906" w:h="16838"/>
          <w:pgMar w:top="1440" w:right="1080" w:bottom="1440" w:left="1080" w:header="850" w:footer="992" w:gutter="0"/>
          <w:pgNumType w:fmt="decimal" w:start="0"/>
          <w:cols w:space="0" w:num="1"/>
          <w:docGrid w:linePitch="327" w:charSpace="0"/>
        </w:sectPr>
      </w:pPr>
    </w:p>
    <w:sdt>
      <w:sdtPr>
        <w:rPr>
          <w:rFonts w:hAnsi="宋体"/>
          <w:b/>
          <w:bCs/>
          <w:color w:val="000000" w:themeColor="text1"/>
          <w:sz w:val="36"/>
          <w:szCs w:val="32"/>
          <w:highlight w:val="none"/>
          <w14:textFill>
            <w14:solidFill>
              <w14:schemeClr w14:val="tx1"/>
            </w14:solidFill>
          </w14:textFill>
        </w:rPr>
        <w:id w:val="147460104"/>
        <w15:color w:val="DBDBDB"/>
        <w:docPartObj>
          <w:docPartGallery w:val="Table of Contents"/>
          <w:docPartUnique/>
        </w:docPartObj>
      </w:sdtPr>
      <w:sdtEndPr>
        <w:rPr>
          <w:rFonts w:hint="eastAsia" w:hAnsi="宋体" w:cs="宋体"/>
          <w:b/>
          <w:bCs/>
          <w:color w:val="000000" w:themeColor="text1"/>
          <w:sz w:val="24"/>
          <w:szCs w:val="24"/>
          <w:highlight w:val="none"/>
          <w14:textFill>
            <w14:solidFill>
              <w14:schemeClr w14:val="tx1"/>
            </w14:solidFill>
          </w14:textFill>
        </w:rPr>
      </w:sdtEndPr>
      <w:sdtContent>
        <w:p w14:paraId="510547FF">
          <w:pPr>
            <w:spacing w:line="240" w:lineRule="auto"/>
            <w:jc w:val="center"/>
            <w:rPr>
              <w:b/>
              <w:bCs/>
              <w:color w:val="000000" w:themeColor="text1"/>
              <w:sz w:val="44"/>
              <w:szCs w:val="32"/>
              <w:highlight w:val="none"/>
              <w14:textFill>
                <w14:solidFill>
                  <w14:schemeClr w14:val="tx1"/>
                </w14:solidFill>
              </w14:textFill>
            </w:rPr>
          </w:pPr>
          <w:r>
            <w:rPr>
              <w:rFonts w:hAnsi="宋体"/>
              <w:b/>
              <w:bCs/>
              <w:color w:val="000000" w:themeColor="text1"/>
              <w:sz w:val="36"/>
              <w:szCs w:val="32"/>
              <w:highlight w:val="none"/>
              <w14:textFill>
                <w14:solidFill>
                  <w14:schemeClr w14:val="tx1"/>
                </w14:solidFill>
              </w14:textFill>
            </w:rPr>
            <w:t>目</w:t>
          </w:r>
          <w:r>
            <w:rPr>
              <w:rFonts w:hint="eastAsia" w:hAnsi="宋体"/>
              <w:b/>
              <w:bCs/>
              <w:color w:val="000000" w:themeColor="text1"/>
              <w:sz w:val="36"/>
              <w:szCs w:val="32"/>
              <w:highlight w:val="none"/>
              <w14:textFill>
                <w14:solidFill>
                  <w14:schemeClr w14:val="tx1"/>
                </w14:solidFill>
              </w14:textFill>
            </w:rPr>
            <w:t xml:space="preserve">  </w:t>
          </w:r>
          <w:r>
            <w:rPr>
              <w:rFonts w:hAnsi="宋体"/>
              <w:b/>
              <w:bCs/>
              <w:color w:val="000000" w:themeColor="text1"/>
              <w:sz w:val="36"/>
              <w:szCs w:val="32"/>
              <w:highlight w:val="none"/>
              <w14:textFill>
                <w14:solidFill>
                  <w14:schemeClr w14:val="tx1"/>
                </w14:solidFill>
              </w14:textFill>
            </w:rPr>
            <w:t>录</w:t>
          </w:r>
        </w:p>
        <w:p w14:paraId="22EFC7FF">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TOC \o "1-3" \h \u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_Toc23893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szCs w:val="22"/>
              <w:highlight w:val="none"/>
              <w14:textFill>
                <w14:solidFill>
                  <w14:schemeClr w14:val="tx1"/>
                </w14:solidFill>
              </w14:textFill>
            </w:rPr>
            <w:t>第一章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A62B6D3">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_Toc16398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第一节 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3D24AD8">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_Toc29035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第二节 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D9AF028">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_Toc4136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color w:val="000000" w:themeColor="text1"/>
              <w:highlight w:val="none"/>
              <w14:textFill>
                <w14:solidFill>
                  <w14:schemeClr w14:val="tx1"/>
                </w14:solidFill>
              </w14:textFill>
            </w:rPr>
            <w:t>第三节 投标人须知正文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D8FDCFC">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_Toc7461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snapToGrid w:val="0"/>
              <w:color w:val="000000" w:themeColor="text1"/>
              <w:kern w:val="0"/>
              <w:highlight w:val="none"/>
              <w14:textFill>
                <w14:solidFill>
                  <w14:schemeClr w14:val="tx1"/>
                </w14:solidFill>
              </w14:textFill>
            </w:rPr>
            <w:t>1．项目概况、招标范围和标段划分、投标费用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4903125">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_Toc30087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2．投标人资格要求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A85F54C">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_Toc32129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3．获取招标文件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8E92E64">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_Toc17567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17F27D2">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_Toc23254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5．服务标准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F9D2685">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_Toc31598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6．现场踏勘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583B3C5">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_Toc15900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7．招标文件的提问和答疑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4BACCBD">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_Toc24094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8．最高投标限价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66D9C3C">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_Toc1446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9．投标报价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2603F1F">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_Toc31067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10．投标文件的编制要求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A597A10">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_Toc7300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11．电子投标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96040FA">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_Toc16547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12. 投标文件的提交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8E1BCEE">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_Toc21031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13．投标有效期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BD4F6A3">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_Toc28643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14．开标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185D655">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_Toc31748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15．评标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949DA85">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_Toc6456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16．推荐中标候选人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EDFF198">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_Toc27582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17．中标候选人公示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63B9BD5">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_Toc12424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第四节 否决投标条件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BFFE88B">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_Toc27524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1．资格评审环节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F8CB7D5">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_Toc9012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2．形式评审环节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B214BA9">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_Toc29737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3．响应性评审环节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B9BCD85">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_Toc17259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89C34B3">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_Toc20659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2"/>
              <w:highlight w:val="none"/>
              <w14:textFill>
                <w14:solidFill>
                  <w14:schemeClr w14:val="tx1"/>
                </w14:solidFill>
              </w14:textFill>
            </w:rPr>
            <w:t>第二章 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F676CC1">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_Toc13161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6D6AD9A">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_Toc14474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2．中标结果公示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1E00F21">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_Toc31370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3．履约保证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384EF2B">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_Toc29907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4．合同订立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50D865C">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_Toc26572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5．放弃中标的处理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3D5D4B6">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_Toc16723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6．分包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4A3C649">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_Toc21917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7．诚信登记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0A5DF77">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_Toc19858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8．监理服务期限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65310EA">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_Toc16618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9．项目监理机构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2C9BB13">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_Toc10280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10．安全防护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1838A92">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_Toc30151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11．接受监督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5133159">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_Toc27988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12．监理档案移交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A5FBAA7">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_Toc26146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13</w:t>
          </w:r>
          <w:r>
            <w:rPr>
              <w:rFonts w:hint="eastAsia" w:hAnsi="宋体" w:cs="宋体"/>
              <w:snapToGrid w:val="0"/>
              <w:color w:val="000000" w:themeColor="text1"/>
              <w:kern w:val="0"/>
              <w:szCs w:val="24"/>
              <w:highlight w:val="none"/>
              <w14:textFill>
                <w14:solidFill>
                  <w14:schemeClr w14:val="tx1"/>
                </w14:solidFill>
              </w14:textFill>
            </w:rPr>
            <w:t>．不良行为处理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4CC89D3">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_Toc6980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kern w:val="0"/>
              <w:szCs w:val="24"/>
              <w:highlight w:val="none"/>
              <w14:textFill>
                <w14:solidFill>
                  <w14:schemeClr w14:val="tx1"/>
                </w14:solidFill>
              </w14:textFill>
            </w:rPr>
            <w:t>14</w:t>
          </w:r>
          <w:r>
            <w:rPr>
              <w:rFonts w:hint="eastAsia" w:ascii="宋体" w:hAnsi="宋体" w:cs="宋体"/>
              <w:snapToGrid w:val="0"/>
              <w:color w:val="000000" w:themeColor="text1"/>
              <w:kern w:val="0"/>
              <w:szCs w:val="24"/>
              <w:highlight w:val="none"/>
              <w14:textFill>
                <w14:solidFill>
                  <w14:schemeClr w14:val="tx1"/>
                </w14:solidFill>
              </w14:textFill>
            </w:rPr>
            <w:t>．</w:t>
          </w:r>
          <w:r>
            <w:rPr>
              <w:rFonts w:hint="eastAsia" w:ascii="宋体" w:hAnsi="宋体" w:cs="宋体"/>
              <w:bCs/>
              <w:snapToGrid w:val="0"/>
              <w:color w:val="000000" w:themeColor="text1"/>
              <w:kern w:val="0"/>
              <w:szCs w:val="24"/>
              <w:highlight w:val="none"/>
              <w14:textFill>
                <w14:solidFill>
                  <w14:schemeClr w14:val="tx1"/>
                </w14:solidFill>
              </w14:textFill>
            </w:rPr>
            <w:t>信用评价条款内容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0AA8457">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_Toc9067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32"/>
              <w:highlight w:val="none"/>
              <w14:textFill>
                <w14:solidFill>
                  <w14:schemeClr w14:val="tx1"/>
                </w14:solidFill>
              </w14:textFill>
            </w:rPr>
            <w:t>第三章 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157074D">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_Toc31250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szCs w:val="22"/>
              <w:highlight w:val="none"/>
              <w14:textFill>
                <w14:solidFill>
                  <w14:schemeClr w14:val="tx1"/>
                </w14:solidFill>
              </w14:textFill>
            </w:rPr>
            <w:t>第四章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B84703E">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_Toc12313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szCs w:val="22"/>
              <w:highlight w:val="none"/>
              <w14:textFill>
                <w14:solidFill>
                  <w14:schemeClr w14:val="tx1"/>
                </w14:solidFill>
              </w14:textFill>
            </w:rPr>
            <w:t>第五章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E4787DD">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_Toc26178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1F52278">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_Toc7039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格式二 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1E0B233">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_Toc4943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格式三 各项承诺一览表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F056C7D">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_Toc18742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088726D">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_Toc25514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D65E903">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_Toc25408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格式六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1C79F13">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_Toc11609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格式七  总监理工程师任职声明（适用于无任职项目）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636A1E2">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_Toc4974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格式八 总监理工程师任职声明（适用于有任职项目）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3D37FD7">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_Toc30529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格式九 总监理工程师任职项目情况表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53721D0">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_Toc8192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w:t>
          </w:r>
          <w:r>
            <w:rPr>
              <w:rFonts w:hint="eastAsia" w:hAnsi="宋体" w:cs="宋体"/>
              <w:bCs/>
              <w:snapToGrid w:val="0"/>
              <w:color w:val="000000" w:themeColor="text1"/>
              <w:kern w:val="0"/>
              <w:szCs w:val="24"/>
              <w:highlight w:val="none"/>
              <w14:textFill>
                <w14:solidFill>
                  <w14:schemeClr w14:val="tx1"/>
                </w14:solidFill>
              </w14:textFill>
            </w:rPr>
            <w:t>十 项目监理机构组成人员汇总表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6AC80AA">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_Toc9678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highlight w:val="none"/>
              <w14:textFill>
                <w14:solidFill>
                  <w14:schemeClr w14:val="tx1"/>
                </w14:solidFill>
              </w14:textFill>
            </w:rPr>
            <w:t>格式十一  总监理工程师简历表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AC00FF1">
          <w:pPr>
            <w:pStyle w:val="17"/>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_Toc24119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highlight w:val="none"/>
              <w14:textFill>
                <w14:solidFill>
                  <w14:schemeClr w14:val="tx1"/>
                </w14:solidFill>
              </w14:textFill>
            </w:rPr>
            <w:t>格式十二  其他拟派人员简历表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05AE3DC">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_Toc12936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color w:val="000000" w:themeColor="text1"/>
              <w:kern w:val="44"/>
              <w:szCs w:val="22"/>
              <w:highlight w:val="none"/>
              <w14:textFill>
                <w14:solidFill>
                  <w14:schemeClr w14:val="tx1"/>
                </w14:solidFill>
              </w14:textFill>
            </w:rPr>
            <w:t>第六章 建设工程监理合同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D63ED05">
          <w:pPr>
            <w:keepNext w:val="0"/>
            <w:keepLines w:val="0"/>
            <w:pageBreakBefore w:val="0"/>
            <w:widowControl w:val="0"/>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end"/>
          </w:r>
        </w:p>
      </w:sdtContent>
    </w:sdt>
    <w:p w14:paraId="60786F34">
      <w:pPr>
        <w:rPr>
          <w:rFonts w:hint="eastAsia" w:ascii="Times New Roman"/>
          <w:b/>
          <w:snapToGrid w:val="0"/>
          <w:color w:val="000000" w:themeColor="text1"/>
          <w:sz w:val="32"/>
          <w:szCs w:val="22"/>
          <w:highlight w:val="none"/>
          <w14:textFill>
            <w14:solidFill>
              <w14:schemeClr w14:val="tx1"/>
            </w14:solidFill>
          </w14:textFill>
        </w:rPr>
      </w:pPr>
      <w:r>
        <w:rPr>
          <w:rFonts w:hint="eastAsia" w:ascii="Times New Roman"/>
          <w:b/>
          <w:snapToGrid w:val="0"/>
          <w:color w:val="000000" w:themeColor="text1"/>
          <w:sz w:val="32"/>
          <w:szCs w:val="22"/>
          <w:highlight w:val="none"/>
          <w14:textFill>
            <w14:solidFill>
              <w14:schemeClr w14:val="tx1"/>
            </w14:solidFill>
          </w14:textFill>
        </w:rPr>
        <w:br w:type="page"/>
      </w:r>
    </w:p>
    <w:p w14:paraId="6925CF9B">
      <w:pPr>
        <w:pStyle w:val="2"/>
        <w:keepNext w:val="0"/>
        <w:keepLines w:val="0"/>
        <w:pageBreakBefore w:val="0"/>
        <w:widowControl w:val="0"/>
        <w:kinsoku/>
        <w:wordWrap w:val="0"/>
        <w:overflowPunct/>
        <w:topLinePunct w:val="0"/>
        <w:autoSpaceDE/>
        <w:autoSpaceDN/>
        <w:bidi w:val="0"/>
        <w:snapToGrid w:val="0"/>
        <w:spacing w:line="360" w:lineRule="exact"/>
        <w:jc w:val="center"/>
        <w:rPr>
          <w:rFonts w:ascii="Times New Roman"/>
          <w:b/>
          <w:snapToGrid w:val="0"/>
          <w:color w:val="000000" w:themeColor="text1"/>
          <w:sz w:val="32"/>
          <w:szCs w:val="22"/>
          <w:highlight w:val="none"/>
          <w14:textFill>
            <w14:solidFill>
              <w14:schemeClr w14:val="tx1"/>
            </w14:solidFill>
          </w14:textFill>
        </w:rPr>
      </w:pPr>
      <w:bookmarkStart w:id="0" w:name="_Toc23893"/>
      <w:r>
        <w:rPr>
          <w:rFonts w:hint="eastAsia" w:ascii="Times New Roman"/>
          <w:b/>
          <w:snapToGrid w:val="0"/>
          <w:color w:val="000000" w:themeColor="text1"/>
          <w:sz w:val="32"/>
          <w:szCs w:val="22"/>
          <w:highlight w:val="none"/>
          <w14:textFill>
            <w14:solidFill>
              <w14:schemeClr w14:val="tx1"/>
            </w14:solidFill>
          </w14:textFill>
        </w:rPr>
        <w:t>第一章 投标人须知</w:t>
      </w:r>
      <w:bookmarkEnd w:id="0"/>
    </w:p>
    <w:p w14:paraId="6D32A40B">
      <w:pPr>
        <w:pStyle w:val="3"/>
        <w:keepNext w:val="0"/>
        <w:keepLines w:val="0"/>
        <w:pageBreakBefore w:val="0"/>
        <w:widowControl w:val="0"/>
        <w:kinsoku/>
        <w:wordWrap w:val="0"/>
        <w:overflowPunct/>
        <w:topLinePunct w:val="0"/>
        <w:autoSpaceDE/>
        <w:autoSpaceDN/>
        <w:bidi w:val="0"/>
        <w:snapToGrid w:val="0"/>
        <w:spacing w:before="260" w:after="260" w:line="360" w:lineRule="exact"/>
        <w:jc w:val="both"/>
        <w:rPr>
          <w:rFonts w:ascii="Times New Roman"/>
          <w:b/>
          <w:snapToGrid w:val="0"/>
          <w:color w:val="000000" w:themeColor="text1"/>
          <w:highlight w:val="none"/>
          <w14:textFill>
            <w14:solidFill>
              <w14:schemeClr w14:val="tx1"/>
            </w14:solidFill>
          </w14:textFill>
        </w:rPr>
      </w:pPr>
      <w:bookmarkStart w:id="1" w:name="_Hlt127175444"/>
      <w:bookmarkEnd w:id="1"/>
      <w:bookmarkStart w:id="2" w:name="_Toc16398"/>
      <w:bookmarkStart w:id="3" w:name="_Toc4883"/>
      <w:bookmarkStart w:id="4" w:name="_Hlt120077520"/>
      <w:r>
        <w:rPr>
          <w:rFonts w:hint="eastAsia" w:ascii="Times New Roman"/>
          <w:b/>
          <w:snapToGrid w:val="0"/>
          <w:color w:val="000000" w:themeColor="text1"/>
          <w:highlight w:val="none"/>
          <w14:textFill>
            <w14:solidFill>
              <w14:schemeClr w14:val="tx1"/>
            </w14:solidFill>
          </w14:textFill>
        </w:rPr>
        <w:t>第一节 投标人须知前附表</w:t>
      </w:r>
      <w:bookmarkEnd w:id="2"/>
      <w:bookmarkEnd w:id="3"/>
    </w:p>
    <w:tbl>
      <w:tblPr>
        <w:tblStyle w:val="19"/>
        <w:tblW w:w="9635"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7189"/>
      </w:tblGrid>
      <w:tr w14:paraId="7B337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23CB9DC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473AE0E4">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内容</w:t>
            </w:r>
          </w:p>
        </w:tc>
        <w:tc>
          <w:tcPr>
            <w:tcW w:w="7189" w:type="dxa"/>
            <w:tcBorders>
              <w:top w:val="single" w:color="auto" w:sz="4" w:space="0"/>
              <w:left w:val="single" w:color="auto" w:sz="4" w:space="0"/>
              <w:bottom w:val="single" w:color="auto" w:sz="4" w:space="0"/>
              <w:right w:val="single" w:color="auto" w:sz="4" w:space="0"/>
            </w:tcBorders>
            <w:vAlign w:val="center"/>
          </w:tcPr>
          <w:p w14:paraId="4927F882">
            <w:pPr>
              <w:keepNext w:val="0"/>
              <w:keepLines w:val="0"/>
              <w:pageBreakBefore w:val="0"/>
              <w:widowControl w:val="0"/>
              <w:tabs>
                <w:tab w:val="left" w:pos="1180"/>
              </w:tabs>
              <w:kinsoku/>
              <w:wordWrap w:val="0"/>
              <w:overflowPunct/>
              <w:topLinePunct w:val="0"/>
              <w:autoSpaceDE/>
              <w:autoSpaceDN/>
              <w:bidi w:val="0"/>
              <w:adjustRightInd w:val="0"/>
              <w:snapToGrid w:val="0"/>
              <w:spacing w:line="36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说明与要求</w:t>
            </w:r>
          </w:p>
        </w:tc>
      </w:tr>
      <w:tr w14:paraId="1E32A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0" w:hRule="exact"/>
        </w:trPr>
        <w:tc>
          <w:tcPr>
            <w:tcW w:w="721" w:type="dxa"/>
            <w:tcBorders>
              <w:top w:val="single" w:color="auto" w:sz="4" w:space="0"/>
              <w:left w:val="single" w:color="auto" w:sz="4" w:space="0"/>
              <w:bottom w:val="single" w:color="auto" w:sz="4" w:space="0"/>
              <w:right w:val="single" w:color="auto" w:sz="4" w:space="0"/>
            </w:tcBorders>
            <w:vAlign w:val="center"/>
          </w:tcPr>
          <w:p w14:paraId="3A50EA26">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087DB9B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项目名称</w:t>
            </w:r>
          </w:p>
        </w:tc>
        <w:tc>
          <w:tcPr>
            <w:tcW w:w="7189" w:type="dxa"/>
            <w:tcBorders>
              <w:top w:val="single" w:color="auto" w:sz="4" w:space="0"/>
              <w:left w:val="single" w:color="auto" w:sz="4" w:space="0"/>
              <w:bottom w:val="single" w:color="auto" w:sz="4" w:space="0"/>
              <w:right w:val="single" w:color="auto" w:sz="4" w:space="0"/>
            </w:tcBorders>
            <w:vAlign w:val="center"/>
          </w:tcPr>
          <w:p w14:paraId="56F77614">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翁源产业园区产城融合基础设施配套项目（标准厂房）施工监理</w:t>
            </w:r>
          </w:p>
        </w:tc>
      </w:tr>
      <w:tr w14:paraId="30A9F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762D11C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p>
        </w:tc>
        <w:tc>
          <w:tcPr>
            <w:tcW w:w="1725" w:type="dxa"/>
            <w:tcBorders>
              <w:top w:val="single" w:color="auto" w:sz="4" w:space="0"/>
              <w:left w:val="single" w:color="auto" w:sz="4" w:space="0"/>
              <w:bottom w:val="single" w:color="auto" w:sz="4" w:space="0"/>
              <w:right w:val="single" w:color="auto" w:sz="4" w:space="0"/>
            </w:tcBorders>
            <w:vAlign w:val="center"/>
          </w:tcPr>
          <w:p w14:paraId="2329A0A9">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项目业主</w:t>
            </w:r>
          </w:p>
        </w:tc>
        <w:tc>
          <w:tcPr>
            <w:tcW w:w="7189" w:type="dxa"/>
            <w:tcBorders>
              <w:top w:val="single" w:color="auto" w:sz="4" w:space="0"/>
              <w:left w:val="single" w:color="auto" w:sz="4" w:space="0"/>
              <w:bottom w:val="single" w:color="auto" w:sz="4" w:space="0"/>
              <w:right w:val="single" w:color="auto" w:sz="4" w:space="0"/>
            </w:tcBorders>
            <w:vAlign w:val="center"/>
          </w:tcPr>
          <w:p w14:paraId="1C8915D2">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Ansi="宋体" w:cs="宋体"/>
                <w:snapToGrid w:val="0"/>
                <w:color w:val="000000" w:themeColor="text1"/>
                <w:kern w:val="0"/>
                <w:szCs w:val="24"/>
                <w:highlight w:val="none"/>
                <w:lang w:val="en-US" w:eastAsia="zh-CN"/>
                <w14:textFill>
                  <w14:solidFill>
                    <w14:schemeClr w14:val="tx1"/>
                  </w14:solidFill>
                </w14:textFill>
              </w:rPr>
              <w:t>广东翁源经济开发区管理委员会</w:t>
            </w:r>
          </w:p>
        </w:tc>
      </w:tr>
      <w:tr w14:paraId="61C07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5888332B">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w:t>
            </w:r>
          </w:p>
        </w:tc>
        <w:tc>
          <w:tcPr>
            <w:tcW w:w="1725" w:type="dxa"/>
            <w:tcBorders>
              <w:top w:val="single" w:color="auto" w:sz="4" w:space="0"/>
              <w:left w:val="single" w:color="auto" w:sz="4" w:space="0"/>
              <w:bottom w:val="single" w:color="auto" w:sz="4" w:space="0"/>
              <w:right w:val="single" w:color="auto" w:sz="4" w:space="0"/>
            </w:tcBorders>
            <w:vAlign w:val="center"/>
          </w:tcPr>
          <w:p w14:paraId="7037987A">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项目批准部门</w:t>
            </w:r>
          </w:p>
        </w:tc>
        <w:tc>
          <w:tcPr>
            <w:tcW w:w="7189" w:type="dxa"/>
            <w:tcBorders>
              <w:top w:val="single" w:color="auto" w:sz="4" w:space="0"/>
              <w:left w:val="single" w:color="auto" w:sz="4" w:space="0"/>
              <w:bottom w:val="single" w:color="auto" w:sz="4" w:space="0"/>
              <w:right w:val="single" w:color="auto" w:sz="4" w:space="0"/>
            </w:tcBorders>
            <w:vAlign w:val="center"/>
          </w:tcPr>
          <w:p w14:paraId="20AA014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翁源县发展和改革局</w:t>
            </w:r>
          </w:p>
        </w:tc>
      </w:tr>
      <w:tr w14:paraId="1E092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76E36976">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w:t>
            </w:r>
          </w:p>
        </w:tc>
        <w:tc>
          <w:tcPr>
            <w:tcW w:w="1725" w:type="dxa"/>
            <w:tcBorders>
              <w:top w:val="single" w:color="auto" w:sz="4" w:space="0"/>
              <w:left w:val="single" w:color="auto" w:sz="4" w:space="0"/>
              <w:bottom w:val="single" w:color="auto" w:sz="4" w:space="0"/>
              <w:right w:val="single" w:color="auto" w:sz="4" w:space="0"/>
            </w:tcBorders>
            <w:vAlign w:val="center"/>
          </w:tcPr>
          <w:p w14:paraId="50B43D8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项目批准文号</w:t>
            </w:r>
          </w:p>
        </w:tc>
        <w:tc>
          <w:tcPr>
            <w:tcW w:w="7189" w:type="dxa"/>
            <w:tcBorders>
              <w:top w:val="single" w:color="auto" w:sz="4" w:space="0"/>
              <w:left w:val="single" w:color="auto" w:sz="4" w:space="0"/>
              <w:bottom w:val="single" w:color="auto" w:sz="4" w:space="0"/>
              <w:right w:val="single" w:color="auto" w:sz="4" w:space="0"/>
            </w:tcBorders>
            <w:vAlign w:val="center"/>
          </w:tcPr>
          <w:p w14:paraId="5B1E2EEC">
            <w:pPr>
              <w:pStyle w:val="31"/>
              <w:keepNext w:val="0"/>
              <w:keepLines w:val="0"/>
              <w:pageBreakBefore w:val="0"/>
              <w:widowControl w:val="0"/>
              <w:kinsoku/>
              <w:overflowPunct/>
              <w:topLinePunct w:val="0"/>
              <w:autoSpaceDE/>
              <w:autoSpaceDN/>
              <w:bidi w:val="0"/>
              <w:spacing w:line="360" w:lineRule="exact"/>
              <w:ind w:firstLine="480" w:firstLineChars="2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翁发改投审〔2021〕13号、翁发改投审〔2025〕61号</w:t>
            </w:r>
          </w:p>
        </w:tc>
      </w:tr>
      <w:tr w14:paraId="3BC83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4D830DB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w:t>
            </w:r>
          </w:p>
        </w:tc>
        <w:tc>
          <w:tcPr>
            <w:tcW w:w="1725" w:type="dxa"/>
            <w:tcBorders>
              <w:top w:val="single" w:color="auto" w:sz="4" w:space="0"/>
              <w:left w:val="single" w:color="auto" w:sz="4" w:space="0"/>
              <w:bottom w:val="single" w:color="auto" w:sz="4" w:space="0"/>
              <w:right w:val="single" w:color="auto" w:sz="4" w:space="0"/>
            </w:tcBorders>
            <w:vAlign w:val="center"/>
          </w:tcPr>
          <w:p w14:paraId="383E88E3">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项目代码</w:t>
            </w:r>
          </w:p>
        </w:tc>
        <w:tc>
          <w:tcPr>
            <w:tcW w:w="7189" w:type="dxa"/>
            <w:tcBorders>
              <w:top w:val="single" w:color="auto" w:sz="4" w:space="0"/>
              <w:left w:val="single" w:color="auto" w:sz="4" w:space="0"/>
              <w:bottom w:val="single" w:color="auto" w:sz="4" w:space="0"/>
              <w:right w:val="single" w:color="auto" w:sz="4" w:space="0"/>
            </w:tcBorders>
            <w:vAlign w:val="center"/>
          </w:tcPr>
          <w:p w14:paraId="5F601B41">
            <w:pPr>
              <w:pStyle w:val="31"/>
              <w:keepNext w:val="0"/>
              <w:keepLines w:val="0"/>
              <w:pageBreakBefore w:val="0"/>
              <w:widowControl w:val="0"/>
              <w:kinsoku/>
              <w:overflowPunct/>
              <w:topLinePunct w:val="0"/>
              <w:autoSpaceDE/>
              <w:autoSpaceDN/>
              <w:bidi w:val="0"/>
              <w:spacing w:line="360" w:lineRule="exact"/>
              <w:ind w:firstLine="480" w:firstLineChars="2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2110-440229-04-01-834756</w:t>
            </w:r>
          </w:p>
        </w:tc>
      </w:tr>
      <w:tr w14:paraId="44FAB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5" w:hRule="exact"/>
        </w:trPr>
        <w:tc>
          <w:tcPr>
            <w:tcW w:w="721" w:type="dxa"/>
            <w:tcBorders>
              <w:top w:val="single" w:color="auto" w:sz="4" w:space="0"/>
              <w:left w:val="single" w:color="auto" w:sz="4" w:space="0"/>
              <w:bottom w:val="single" w:color="auto" w:sz="4" w:space="0"/>
              <w:right w:val="single" w:color="auto" w:sz="4" w:space="0"/>
            </w:tcBorders>
            <w:vAlign w:val="center"/>
          </w:tcPr>
          <w:p w14:paraId="77CB88BF">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w:t>
            </w:r>
          </w:p>
        </w:tc>
        <w:tc>
          <w:tcPr>
            <w:tcW w:w="1725" w:type="dxa"/>
            <w:tcBorders>
              <w:top w:val="single" w:color="auto" w:sz="4" w:space="0"/>
              <w:left w:val="single" w:color="auto" w:sz="4" w:space="0"/>
              <w:bottom w:val="single" w:color="auto" w:sz="4" w:space="0"/>
              <w:right w:val="single" w:color="auto" w:sz="4" w:space="0"/>
            </w:tcBorders>
            <w:vAlign w:val="center"/>
          </w:tcPr>
          <w:p w14:paraId="050B9EE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资金来源</w:t>
            </w:r>
          </w:p>
          <w:p w14:paraId="0F87E6FD">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及出资比例</w:t>
            </w:r>
          </w:p>
        </w:tc>
        <w:tc>
          <w:tcPr>
            <w:tcW w:w="7189" w:type="dxa"/>
            <w:tcBorders>
              <w:top w:val="single" w:color="auto" w:sz="4" w:space="0"/>
              <w:left w:val="single" w:color="auto" w:sz="4" w:space="0"/>
              <w:bottom w:val="single" w:color="auto" w:sz="4" w:space="0"/>
              <w:right w:val="single" w:color="auto" w:sz="4" w:space="0"/>
            </w:tcBorders>
            <w:vAlign w:val="center"/>
          </w:tcPr>
          <w:p w14:paraId="0929128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lang w:val="en-US" w:eastAsia="zh-CN"/>
                <w14:textFill>
                  <w14:solidFill>
                    <w14:schemeClr w14:val="tx1"/>
                  </w14:solidFill>
                </w14:textFill>
              </w:rPr>
              <w:t>专项债券和县级统筹资金解决</w:t>
            </w:r>
            <w:r>
              <w:rPr>
                <w:rFonts w:hint="eastAsia" w:hAnsi="宋体" w:cs="宋体"/>
                <w:color w:val="000000" w:themeColor="text1"/>
                <w:kern w:val="0"/>
                <w:szCs w:val="24"/>
                <w:highlight w:val="none"/>
                <w14:textFill>
                  <w14:solidFill>
                    <w14:schemeClr w14:val="tx1"/>
                  </w14:solidFill>
                </w14:textFill>
              </w:rPr>
              <w:t>，100%</w:t>
            </w:r>
          </w:p>
        </w:tc>
      </w:tr>
      <w:tr w14:paraId="0DD52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5E33F70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w:t>
            </w:r>
          </w:p>
        </w:tc>
        <w:tc>
          <w:tcPr>
            <w:tcW w:w="1725" w:type="dxa"/>
            <w:tcBorders>
              <w:top w:val="single" w:color="auto" w:sz="4" w:space="0"/>
              <w:left w:val="single" w:color="auto" w:sz="4" w:space="0"/>
              <w:bottom w:val="single" w:color="auto" w:sz="4" w:space="0"/>
              <w:right w:val="single" w:color="auto" w:sz="4" w:space="0"/>
            </w:tcBorders>
            <w:vAlign w:val="center"/>
          </w:tcPr>
          <w:p w14:paraId="23636C33">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tc>
        <w:tc>
          <w:tcPr>
            <w:tcW w:w="7189" w:type="dxa"/>
            <w:tcBorders>
              <w:top w:val="single" w:color="auto" w:sz="4" w:space="0"/>
              <w:left w:val="single" w:color="auto" w:sz="4" w:space="0"/>
              <w:bottom w:val="single" w:color="auto" w:sz="4" w:space="0"/>
              <w:right w:val="single" w:color="auto" w:sz="4" w:space="0"/>
            </w:tcBorders>
            <w:vAlign w:val="center"/>
          </w:tcPr>
          <w:p w14:paraId="03BDF7A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lang w:eastAsia="zh-CN"/>
                <w14:textFill>
                  <w14:solidFill>
                    <w14:schemeClr w14:val="tx1"/>
                  </w14:solidFill>
                </w14:textFill>
              </w:rPr>
              <w:t>翁源县公共资产管理中心</w:t>
            </w:r>
            <w:r>
              <w:rPr>
                <w:rFonts w:hint="eastAsia" w:hAnsi="宋体" w:cs="宋体"/>
                <w:snapToGrid w:val="0"/>
                <w:color w:val="000000" w:themeColor="text1"/>
                <w:kern w:val="0"/>
                <w:szCs w:val="24"/>
                <w:highlight w:val="none"/>
                <w14:textFill>
                  <w14:solidFill>
                    <w14:schemeClr w14:val="tx1"/>
                  </w14:solidFill>
                </w14:textFill>
              </w:rPr>
              <w:t xml:space="preserve"> </w:t>
            </w:r>
          </w:p>
        </w:tc>
      </w:tr>
      <w:tr w14:paraId="3C538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689F140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w:t>
            </w:r>
          </w:p>
        </w:tc>
        <w:tc>
          <w:tcPr>
            <w:tcW w:w="1725" w:type="dxa"/>
            <w:tcBorders>
              <w:top w:val="single" w:color="auto" w:sz="4" w:space="0"/>
              <w:left w:val="single" w:color="auto" w:sz="4" w:space="0"/>
              <w:bottom w:val="single" w:color="auto" w:sz="4" w:space="0"/>
              <w:right w:val="single" w:color="auto" w:sz="4" w:space="0"/>
            </w:tcBorders>
            <w:vAlign w:val="center"/>
          </w:tcPr>
          <w:p w14:paraId="769C33DA">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tc>
        <w:tc>
          <w:tcPr>
            <w:tcW w:w="7189" w:type="dxa"/>
            <w:tcBorders>
              <w:top w:val="single" w:color="auto" w:sz="4" w:space="0"/>
              <w:left w:val="single" w:color="auto" w:sz="4" w:space="0"/>
              <w:bottom w:val="single" w:color="auto" w:sz="4" w:space="0"/>
              <w:right w:val="single" w:color="auto" w:sz="4" w:space="0"/>
            </w:tcBorders>
            <w:vAlign w:val="center"/>
          </w:tcPr>
          <w:p w14:paraId="502637B8">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广州穗峰建设工程监理有限公司</w:t>
            </w:r>
            <w:r>
              <w:rPr>
                <w:rFonts w:hint="eastAsia" w:hAnsi="宋体" w:cs="宋体"/>
                <w:snapToGrid w:val="0"/>
                <w:color w:val="000000" w:themeColor="text1"/>
                <w:kern w:val="0"/>
                <w:szCs w:val="24"/>
                <w:highlight w:val="none"/>
                <w14:textFill>
                  <w14:solidFill>
                    <w14:schemeClr w14:val="tx1"/>
                  </w14:solidFill>
                </w14:textFill>
              </w:rPr>
              <w:t xml:space="preserve"> </w:t>
            </w:r>
          </w:p>
        </w:tc>
      </w:tr>
      <w:tr w14:paraId="16916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62D2671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w:t>
            </w:r>
          </w:p>
        </w:tc>
        <w:tc>
          <w:tcPr>
            <w:tcW w:w="1725" w:type="dxa"/>
            <w:tcBorders>
              <w:top w:val="single" w:color="auto" w:sz="4" w:space="0"/>
              <w:left w:val="single" w:color="auto" w:sz="4" w:space="0"/>
              <w:bottom w:val="single" w:color="auto" w:sz="4" w:space="0"/>
              <w:right w:val="single" w:color="auto" w:sz="4" w:space="0"/>
            </w:tcBorders>
            <w:vAlign w:val="center"/>
          </w:tcPr>
          <w:p w14:paraId="3B4F631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施工单位</w:t>
            </w:r>
          </w:p>
        </w:tc>
        <w:tc>
          <w:tcPr>
            <w:tcW w:w="7189" w:type="dxa"/>
            <w:tcBorders>
              <w:top w:val="single" w:color="auto" w:sz="4" w:space="0"/>
              <w:left w:val="single" w:color="auto" w:sz="4" w:space="0"/>
              <w:bottom w:val="single" w:color="auto" w:sz="4" w:space="0"/>
              <w:right w:val="single" w:color="auto" w:sz="4" w:space="0"/>
            </w:tcBorders>
            <w:vAlign w:val="center"/>
          </w:tcPr>
          <w:p w14:paraId="74EDF51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待定</w:t>
            </w:r>
          </w:p>
        </w:tc>
      </w:tr>
      <w:tr w14:paraId="398F8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5" w:hRule="exact"/>
        </w:trPr>
        <w:tc>
          <w:tcPr>
            <w:tcW w:w="721" w:type="dxa"/>
            <w:tcBorders>
              <w:top w:val="single" w:color="auto" w:sz="4" w:space="0"/>
              <w:left w:val="single" w:color="auto" w:sz="4" w:space="0"/>
              <w:bottom w:val="single" w:color="auto" w:sz="4" w:space="0"/>
              <w:right w:val="single" w:color="auto" w:sz="4" w:space="0"/>
            </w:tcBorders>
            <w:vAlign w:val="center"/>
          </w:tcPr>
          <w:p w14:paraId="14A626E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w:t>
            </w:r>
          </w:p>
        </w:tc>
        <w:tc>
          <w:tcPr>
            <w:tcW w:w="1725" w:type="dxa"/>
            <w:tcBorders>
              <w:top w:val="single" w:color="auto" w:sz="4" w:space="0"/>
              <w:left w:val="single" w:color="auto" w:sz="4" w:space="0"/>
              <w:bottom w:val="single" w:color="auto" w:sz="4" w:space="0"/>
              <w:right w:val="single" w:color="auto" w:sz="4" w:space="0"/>
            </w:tcBorders>
            <w:vAlign w:val="center"/>
          </w:tcPr>
          <w:p w14:paraId="39E3EE1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建设地点</w:t>
            </w:r>
          </w:p>
        </w:tc>
        <w:tc>
          <w:tcPr>
            <w:tcW w:w="7189" w:type="dxa"/>
            <w:tcBorders>
              <w:top w:val="single" w:color="auto" w:sz="4" w:space="0"/>
              <w:left w:val="single" w:color="auto" w:sz="4" w:space="0"/>
              <w:bottom w:val="single" w:color="auto" w:sz="4" w:space="0"/>
              <w:right w:val="single" w:color="auto" w:sz="4" w:space="0"/>
            </w:tcBorders>
            <w:vAlign w:val="center"/>
          </w:tcPr>
          <w:p w14:paraId="4DD574D0">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lang w:val="en-US" w:eastAsia="zh-CN"/>
                <w14:textFill>
                  <w14:solidFill>
                    <w14:schemeClr w14:val="tx1"/>
                  </w14:solidFill>
                </w14:textFill>
              </w:rPr>
              <w:t>韶关市翁源县创新原料药科技产业园</w:t>
            </w:r>
          </w:p>
        </w:tc>
      </w:tr>
      <w:tr w14:paraId="08A5B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49" w:hRule="exact"/>
        </w:trPr>
        <w:tc>
          <w:tcPr>
            <w:tcW w:w="721" w:type="dxa"/>
            <w:tcBorders>
              <w:top w:val="single" w:color="auto" w:sz="4" w:space="0"/>
              <w:left w:val="single" w:color="auto" w:sz="4" w:space="0"/>
              <w:bottom w:val="single" w:color="auto" w:sz="4" w:space="0"/>
              <w:right w:val="single" w:color="auto" w:sz="4" w:space="0"/>
            </w:tcBorders>
            <w:vAlign w:val="center"/>
          </w:tcPr>
          <w:p w14:paraId="187C311A">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w:t>
            </w:r>
          </w:p>
        </w:tc>
        <w:tc>
          <w:tcPr>
            <w:tcW w:w="1725" w:type="dxa"/>
            <w:tcBorders>
              <w:top w:val="single" w:color="auto" w:sz="4" w:space="0"/>
              <w:left w:val="single" w:color="auto" w:sz="4" w:space="0"/>
              <w:bottom w:val="single" w:color="auto" w:sz="4" w:space="0"/>
              <w:right w:val="single" w:color="auto" w:sz="4" w:space="0"/>
            </w:tcBorders>
            <w:vAlign w:val="center"/>
          </w:tcPr>
          <w:p w14:paraId="435864D8">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建设内容和规模</w:t>
            </w:r>
          </w:p>
        </w:tc>
        <w:tc>
          <w:tcPr>
            <w:tcW w:w="7189" w:type="dxa"/>
            <w:tcBorders>
              <w:top w:val="single" w:color="auto" w:sz="4" w:space="0"/>
              <w:left w:val="single" w:color="auto" w:sz="4" w:space="0"/>
              <w:bottom w:val="single" w:color="auto" w:sz="4" w:space="0"/>
              <w:right w:val="single" w:color="auto" w:sz="4" w:space="0"/>
            </w:tcBorders>
            <w:vAlign w:val="center"/>
          </w:tcPr>
          <w:p w14:paraId="3827CE5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项目用地面积34474平方米，总建筑面积31997.65平方米，建设质检中心、控制室、动力车间、1#车间、2#车间、3#车间、制剂车间、仓库、试剂库、污水处理、甲类储罐及配套建设给排水、电气、道路、围墙、挡土墙及绿化等辅助工程。</w:t>
            </w:r>
          </w:p>
        </w:tc>
      </w:tr>
      <w:tr w14:paraId="23437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95" w:hRule="exact"/>
        </w:trPr>
        <w:tc>
          <w:tcPr>
            <w:tcW w:w="721" w:type="dxa"/>
            <w:tcBorders>
              <w:top w:val="single" w:color="auto" w:sz="4" w:space="0"/>
              <w:left w:val="single" w:color="auto" w:sz="4" w:space="0"/>
              <w:bottom w:val="single" w:color="auto" w:sz="4" w:space="0"/>
              <w:right w:val="single" w:color="auto" w:sz="4" w:space="0"/>
            </w:tcBorders>
            <w:vAlign w:val="center"/>
          </w:tcPr>
          <w:p w14:paraId="4FBFDA0A">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w:t>
            </w:r>
          </w:p>
        </w:tc>
        <w:tc>
          <w:tcPr>
            <w:tcW w:w="1725" w:type="dxa"/>
            <w:tcBorders>
              <w:top w:val="single" w:color="auto" w:sz="4" w:space="0"/>
              <w:left w:val="single" w:color="auto" w:sz="4" w:space="0"/>
              <w:bottom w:val="single" w:color="auto" w:sz="4" w:space="0"/>
              <w:right w:val="single" w:color="auto" w:sz="4" w:space="0"/>
            </w:tcBorders>
            <w:vAlign w:val="center"/>
          </w:tcPr>
          <w:p w14:paraId="57069ACE">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项目总投资</w:t>
            </w:r>
          </w:p>
        </w:tc>
        <w:tc>
          <w:tcPr>
            <w:tcW w:w="7189" w:type="dxa"/>
            <w:tcBorders>
              <w:top w:val="single" w:color="auto" w:sz="4" w:space="0"/>
              <w:left w:val="single" w:color="auto" w:sz="4" w:space="0"/>
              <w:bottom w:val="single" w:color="auto" w:sz="4" w:space="0"/>
              <w:right w:val="single" w:color="auto" w:sz="4" w:space="0"/>
            </w:tcBorders>
            <w:vAlign w:val="center"/>
          </w:tcPr>
          <w:p w14:paraId="0323C4D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项目概算总投资19213.89万元，其中工程费用16048.24万元，工程建设其他费用1173.43万元，土地费用1820.00万元，预备费用172.22万元。</w:t>
            </w:r>
          </w:p>
        </w:tc>
      </w:tr>
      <w:tr w14:paraId="0A70A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13" w:hRule="exact"/>
        </w:trPr>
        <w:tc>
          <w:tcPr>
            <w:tcW w:w="721" w:type="dxa"/>
            <w:tcBorders>
              <w:top w:val="single" w:color="auto" w:sz="4" w:space="0"/>
              <w:left w:val="single" w:color="auto" w:sz="4" w:space="0"/>
              <w:bottom w:val="single" w:color="auto" w:sz="4" w:space="0"/>
              <w:right w:val="single" w:color="auto" w:sz="4" w:space="0"/>
            </w:tcBorders>
            <w:vAlign w:val="center"/>
          </w:tcPr>
          <w:p w14:paraId="768CF9B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w:t>
            </w:r>
          </w:p>
        </w:tc>
        <w:tc>
          <w:tcPr>
            <w:tcW w:w="1725" w:type="dxa"/>
            <w:tcBorders>
              <w:top w:val="single" w:color="auto" w:sz="4" w:space="0"/>
              <w:left w:val="single" w:color="auto" w:sz="4" w:space="0"/>
              <w:bottom w:val="single" w:color="auto" w:sz="4" w:space="0"/>
              <w:right w:val="single" w:color="auto" w:sz="4" w:space="0"/>
            </w:tcBorders>
            <w:vAlign w:val="center"/>
          </w:tcPr>
          <w:p w14:paraId="5FF4978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招标范围</w:t>
            </w:r>
          </w:p>
        </w:tc>
        <w:tc>
          <w:tcPr>
            <w:tcW w:w="7189" w:type="dxa"/>
            <w:tcBorders>
              <w:top w:val="single" w:color="auto" w:sz="4" w:space="0"/>
              <w:left w:val="single" w:color="auto" w:sz="4" w:space="0"/>
              <w:bottom w:val="single" w:color="auto" w:sz="4" w:space="0"/>
              <w:right w:val="single" w:color="auto" w:sz="4" w:space="0"/>
            </w:tcBorders>
            <w:vAlign w:val="center"/>
          </w:tcPr>
          <w:p w14:paraId="4FEB957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项目建设施工阶段监理（</w:t>
            </w:r>
            <w:r>
              <w:rPr>
                <w:rFonts w:hint="eastAsia" w:ascii="宋体" w:hAnsi="宋体" w:eastAsia="宋体" w:cs="宋体"/>
                <w:color w:val="000000" w:themeColor="text1"/>
                <w:sz w:val="24"/>
                <w:szCs w:val="24"/>
                <w:highlight w:val="none"/>
                <w14:textFill>
                  <w14:solidFill>
                    <w14:schemeClr w14:val="tx1"/>
                  </w14:solidFill>
                </w14:textFill>
              </w:rPr>
              <w:t>含施工准备阶段、施工阶段、工程竣工验收及结算阶段和缺陷责任保修期阶段的监理</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hAnsi="宋体" w:cs="宋体"/>
                <w:bCs/>
                <w:snapToGrid w:val="0"/>
                <w:color w:val="000000" w:themeColor="text1"/>
                <w:kern w:val="0"/>
                <w:szCs w:val="24"/>
                <w:highlight w:val="none"/>
                <w14:textFill>
                  <w14:solidFill>
                    <w14:schemeClr w14:val="tx1"/>
                  </w14:solidFill>
                </w14:textFill>
              </w:rPr>
              <w:t>）</w:t>
            </w:r>
          </w:p>
        </w:tc>
      </w:tr>
      <w:tr w14:paraId="5D3D6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4" w:hRule="exact"/>
        </w:trPr>
        <w:tc>
          <w:tcPr>
            <w:tcW w:w="721" w:type="dxa"/>
            <w:tcBorders>
              <w:top w:val="single" w:color="auto" w:sz="4" w:space="0"/>
              <w:left w:val="single" w:color="auto" w:sz="4" w:space="0"/>
              <w:bottom w:val="single" w:color="auto" w:sz="4" w:space="0"/>
              <w:right w:val="single" w:color="auto" w:sz="4" w:space="0"/>
            </w:tcBorders>
            <w:vAlign w:val="center"/>
          </w:tcPr>
          <w:p w14:paraId="7366F0B8">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w:t>
            </w:r>
          </w:p>
        </w:tc>
        <w:tc>
          <w:tcPr>
            <w:tcW w:w="1725" w:type="dxa"/>
            <w:tcBorders>
              <w:top w:val="single" w:color="auto" w:sz="4" w:space="0"/>
              <w:left w:val="single" w:color="auto" w:sz="4" w:space="0"/>
              <w:bottom w:val="single" w:color="auto" w:sz="4" w:space="0"/>
              <w:right w:val="single" w:color="auto" w:sz="4" w:space="0"/>
            </w:tcBorders>
            <w:vAlign w:val="center"/>
          </w:tcPr>
          <w:p w14:paraId="570DFDD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标段划分</w:t>
            </w:r>
          </w:p>
        </w:tc>
        <w:tc>
          <w:tcPr>
            <w:tcW w:w="7189" w:type="dxa"/>
            <w:tcBorders>
              <w:top w:val="single" w:color="auto" w:sz="4" w:space="0"/>
              <w:left w:val="single" w:color="auto" w:sz="4" w:space="0"/>
              <w:bottom w:val="single" w:color="auto" w:sz="4" w:space="0"/>
              <w:right w:val="single" w:color="auto" w:sz="4" w:space="0"/>
            </w:tcBorders>
            <w:vAlign w:val="center"/>
          </w:tcPr>
          <w:p w14:paraId="5C530F9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本招标项目不划分标段。</w:t>
            </w:r>
          </w:p>
        </w:tc>
      </w:tr>
      <w:tr w14:paraId="5251B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1B062C1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15</w:t>
            </w:r>
          </w:p>
        </w:tc>
        <w:tc>
          <w:tcPr>
            <w:tcW w:w="1725" w:type="dxa"/>
            <w:tcBorders>
              <w:top w:val="single" w:color="auto" w:sz="4" w:space="0"/>
              <w:left w:val="single" w:color="auto" w:sz="4" w:space="0"/>
              <w:bottom w:val="single" w:color="auto" w:sz="4" w:space="0"/>
              <w:right w:val="single" w:color="auto" w:sz="4" w:space="0"/>
            </w:tcBorders>
            <w:vAlign w:val="center"/>
          </w:tcPr>
          <w:p w14:paraId="2B9787BE">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投标人资格要求</w:t>
            </w:r>
          </w:p>
        </w:tc>
        <w:tc>
          <w:tcPr>
            <w:tcW w:w="7189" w:type="dxa"/>
            <w:tcBorders>
              <w:top w:val="single" w:color="auto" w:sz="4" w:space="0"/>
              <w:left w:val="single" w:color="auto" w:sz="4" w:space="0"/>
              <w:bottom w:val="single" w:color="auto" w:sz="4" w:space="0"/>
              <w:right w:val="single" w:color="auto" w:sz="4" w:space="0"/>
            </w:tcBorders>
            <w:vAlign w:val="center"/>
          </w:tcPr>
          <w:p w14:paraId="036E0AD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1．本次招标不接受联合体投标。</w:t>
            </w:r>
          </w:p>
          <w:p w14:paraId="3D90B778">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2．资质要求</w:t>
            </w:r>
          </w:p>
          <w:p w14:paraId="5AC871D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 投标人须具备独立法人资格，按国家法律经营。</w:t>
            </w:r>
          </w:p>
          <w:p w14:paraId="66F7FD4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2.2 投标人须具备以下资质之一：</w:t>
            </w:r>
          </w:p>
          <w:p w14:paraId="73BF7384">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（1）工程监理综合资质；</w:t>
            </w:r>
          </w:p>
          <w:p w14:paraId="3EABBF2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（2）房屋建筑工程专业监理</w:t>
            </w:r>
            <w:r>
              <w:rPr>
                <w:rFonts w:hint="eastAsia" w:hAnsi="宋体" w:cs="宋体"/>
                <w:color w:val="000000" w:themeColor="text1"/>
                <w:szCs w:val="24"/>
                <w:highlight w:val="none"/>
                <w:lang w:val="en-US" w:eastAsia="zh-CN"/>
                <w14:textFill>
                  <w14:solidFill>
                    <w14:schemeClr w14:val="tx1"/>
                  </w14:solidFill>
                </w14:textFill>
              </w:rPr>
              <w:t>甲级</w:t>
            </w:r>
            <w:r>
              <w:rPr>
                <w:rFonts w:hint="eastAsia" w:hAnsi="宋体" w:cs="宋体"/>
                <w:color w:val="000000" w:themeColor="text1"/>
                <w:szCs w:val="24"/>
                <w:highlight w:val="none"/>
                <w14:textFill>
                  <w14:solidFill>
                    <w14:schemeClr w14:val="tx1"/>
                  </w14:solidFill>
                </w14:textFill>
              </w:rPr>
              <w:t>资质。</w:t>
            </w:r>
          </w:p>
          <w:p w14:paraId="34C9B61F">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 根据有关文件精神，投标人的相关证书到期的，均按该证书的发证机构相关行业主管部门最新文件执行（如自动顺延或推迟办理延期业务的通知），投标人必须将相关文件附在该证书后面，证明在开标日继续有效。</w:t>
            </w:r>
          </w:p>
          <w:p w14:paraId="60402EC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3．相关人员要求</w:t>
            </w:r>
          </w:p>
          <w:p w14:paraId="23E90B8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 拟派总监理工程师为房屋建筑工程专业注册监理工程师，应持有国家住建部印发的有效注册证书，其担任总监理工程师职务的其他在施（包括已中标未开工、已开工未竣工）建设工程项目不得超过</w:t>
            </w:r>
            <w:r>
              <w:rPr>
                <w:rFonts w:hint="eastAsia" w:hAnsi="宋体" w:cs="宋体"/>
                <w:color w:val="000000" w:themeColor="text1"/>
                <w:szCs w:val="24"/>
                <w:highlight w:val="none"/>
                <w:u w:val="single"/>
                <w14:textFill>
                  <w14:solidFill>
                    <w14:schemeClr w14:val="tx1"/>
                  </w14:solidFill>
                </w14:textFill>
              </w:rPr>
              <w:t xml:space="preserve"> 2 </w:t>
            </w:r>
            <w:r>
              <w:rPr>
                <w:rFonts w:hint="eastAsia" w:hAnsi="宋体" w:cs="宋体"/>
                <w:color w:val="000000" w:themeColor="text1"/>
                <w:szCs w:val="24"/>
                <w:highlight w:val="none"/>
                <w14:textFill>
                  <w14:solidFill>
                    <w14:schemeClr w14:val="tx1"/>
                  </w14:solidFill>
                </w14:textFill>
              </w:rPr>
              <w:t>个。</w:t>
            </w:r>
          </w:p>
          <w:p w14:paraId="1DF402D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5865C6A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3.2 投标人与其拟派往本项目监理机构的所有人员之间必须具备合法、唯一的劳动聘用关系。拟派人员中具备注册执业资格的，其注册单位须与投标人保持一致。</w:t>
            </w:r>
          </w:p>
          <w:p w14:paraId="4045DCA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3.3</w:t>
            </w:r>
            <w:r>
              <w:rPr>
                <w:rFonts w:hint="eastAsia" w:hAnsi="宋体" w:cs="宋体"/>
                <w:color w:val="000000" w:themeColor="text1"/>
                <w:szCs w:val="24"/>
                <w:highlight w:val="none"/>
                <w14:textFill>
                  <w14:solidFill>
                    <w14:schemeClr w14:val="tx1"/>
                  </w14:solidFill>
                </w14:textFill>
              </w:rPr>
              <w:t>关于企业和人员资质、资格有效期均按相关行政主管部门最新的文件执行，投标人可将相关文件附在投标文件中。</w:t>
            </w:r>
          </w:p>
          <w:p w14:paraId="75F64FF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4．禁止投标条款</w:t>
            </w:r>
          </w:p>
          <w:p w14:paraId="514E8EC6">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4.1 投标人不得存在下列情形之一：</w:t>
            </w:r>
          </w:p>
          <w:p w14:paraId="6200BE3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（1）为招标人不具有独立法人资格的附属机构（单位）；</w:t>
            </w:r>
          </w:p>
          <w:p w14:paraId="0F18F17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（2）与招标人存在利害关系且可能影响招标公正性；</w:t>
            </w:r>
          </w:p>
          <w:p w14:paraId="162107E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（3）与本招标项目的其他投标人为同一个单位负责人；</w:t>
            </w:r>
          </w:p>
          <w:p w14:paraId="01E5915E">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（4）与本招标项目的其他投标人存在控股、管理关系；</w:t>
            </w:r>
          </w:p>
          <w:p w14:paraId="3D67AA7C">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（5）为本招标项目的代建人；</w:t>
            </w:r>
          </w:p>
          <w:p w14:paraId="00BDA714">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（6）为本招标项目的招标代理机构；</w:t>
            </w:r>
          </w:p>
          <w:p w14:paraId="334C243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（7）与本招标项目的代建人或招标代理机构同为一个法定代表人；</w:t>
            </w:r>
          </w:p>
          <w:p w14:paraId="0301C2C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（8）与本招标项目的代建人或招标代理机构存在控股或参股关系；</w:t>
            </w:r>
          </w:p>
          <w:p w14:paraId="102ADB62">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（9）与本招标项目的</w:t>
            </w:r>
            <w:r>
              <w:rPr>
                <w:rFonts w:hint="eastAsia" w:hAnsi="宋体" w:cs="宋体"/>
                <w:color w:val="000000" w:themeColor="text1"/>
                <w:szCs w:val="24"/>
                <w:highlight w:val="none"/>
                <w:lang w:eastAsia="zh-CN"/>
                <w14:textFill>
                  <w14:solidFill>
                    <w14:schemeClr w14:val="tx1"/>
                  </w14:solidFill>
                </w14:textFill>
              </w:rPr>
              <w:t>施工单位</w:t>
            </w:r>
            <w:r>
              <w:rPr>
                <w:rFonts w:hint="eastAsia" w:hAnsi="宋体" w:cs="宋体"/>
                <w:color w:val="000000" w:themeColor="text1"/>
                <w:szCs w:val="24"/>
                <w:highlight w:val="none"/>
                <w14:textFill>
                  <w14:solidFill>
                    <w14:schemeClr w14:val="tx1"/>
                  </w14:solidFill>
                </w14:textFill>
              </w:rPr>
              <w:t>以及建筑材料、建筑构配件和设备供应商有隶属关系或者其他利害关系；</w:t>
            </w:r>
          </w:p>
          <w:p w14:paraId="212FB23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（10）被依法暂停或者取消投标资格；</w:t>
            </w:r>
          </w:p>
          <w:p w14:paraId="4794B44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（11）被责令停产停业、暂扣或者吊销许可证、暂扣或者吊销执照；</w:t>
            </w:r>
          </w:p>
          <w:p w14:paraId="7C66785E">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（12）进入清算程序，或被宣告破产，或其他丧失履约能力的情形；</w:t>
            </w:r>
          </w:p>
          <w:p w14:paraId="719F5CF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（13）在最近三年内发生重大监理质量问题（以相关行业主管部门的行政处罚决定或司法机关出具的有关法律文书为准）；</w:t>
            </w:r>
          </w:p>
          <w:p w14:paraId="1EF35C0F">
            <w:pPr>
              <w:keepNext w:val="0"/>
              <w:keepLines w:val="0"/>
              <w:pageBreakBefore w:val="0"/>
              <w:widowControl w:val="0"/>
              <w:kinsoku/>
              <w:wordWrap w:val="0"/>
              <w:overflowPunct/>
              <w:topLinePunct w:val="0"/>
              <w:autoSpaceDE/>
              <w:autoSpaceDN/>
              <w:bidi w:val="0"/>
              <w:adjustRightInd w:val="0"/>
              <w:snapToGrid w:val="0"/>
              <w:spacing w:line="360" w:lineRule="exact"/>
              <w:ind w:firstLine="240" w:firstLineChars="1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sym w:font="Wingdings" w:char="00D8"/>
            </w:r>
            <w:r>
              <w:rPr>
                <w:rFonts w:hint="eastAsia" w:hAnsi="宋体" w:cs="宋体"/>
                <w:color w:val="000000" w:themeColor="text1"/>
                <w:szCs w:val="24"/>
                <w:highlight w:val="none"/>
                <w14:textFill>
                  <w14:solidFill>
                    <w14:schemeClr w14:val="tx1"/>
                  </w14:solidFill>
                </w14:textFill>
              </w:rPr>
              <w:t xml:space="preserve"> （14）</w:t>
            </w:r>
            <w:r>
              <w:rPr>
                <w:rFonts w:hint="eastAsia" w:hAnsi="宋体" w:cs="宋体"/>
                <w:color w:val="000000" w:themeColor="text1"/>
                <w:kern w:val="0"/>
                <w:highlight w:val="none"/>
                <w14:textFill>
                  <w14:solidFill>
                    <w14:schemeClr w14:val="tx1"/>
                  </w14:solidFill>
                </w14:textFill>
              </w:rPr>
              <w:t>被“信用中国”网站（https://www.creditchina.gov.cn）发布的《法人和非法人组织公共信用信息报告》列为严重失信主体名单的</w:t>
            </w:r>
            <w:r>
              <w:rPr>
                <w:rFonts w:hint="eastAsia" w:hAnsi="宋体" w:cs="宋体"/>
                <w:color w:val="000000" w:themeColor="text1"/>
                <w:szCs w:val="24"/>
                <w:highlight w:val="none"/>
                <w14:textFill>
                  <w14:solidFill>
                    <w14:schemeClr w14:val="tx1"/>
                  </w14:solidFill>
                </w14:textFill>
              </w:rPr>
              <w:t>。</w:t>
            </w:r>
          </w:p>
          <w:p w14:paraId="60895D7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4.2 招标人拒绝以下名单中的单位参加本次投标：</w:t>
            </w:r>
          </w:p>
          <w:tbl>
            <w:tblPr>
              <w:tblStyle w:val="19"/>
              <w:tblW w:w="6705"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25"/>
              <w:gridCol w:w="3360"/>
            </w:tblGrid>
            <w:tr w14:paraId="604E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vAlign w:val="center"/>
                </w:tcPr>
                <w:p w14:paraId="7883EB42">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序号</w:t>
                  </w:r>
                </w:p>
              </w:tc>
              <w:tc>
                <w:tcPr>
                  <w:tcW w:w="2625" w:type="dxa"/>
                  <w:vAlign w:val="center"/>
                </w:tcPr>
                <w:p w14:paraId="3757B7C8">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单位名称</w:t>
                  </w:r>
                </w:p>
              </w:tc>
              <w:tc>
                <w:tcPr>
                  <w:tcW w:w="3360" w:type="dxa"/>
                  <w:vAlign w:val="center"/>
                </w:tcPr>
                <w:p w14:paraId="46F41C5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拒绝原因</w:t>
                  </w:r>
                </w:p>
              </w:tc>
            </w:tr>
            <w:tr w14:paraId="0E71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vAlign w:val="center"/>
                </w:tcPr>
                <w:p w14:paraId="79EDB5C8">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1</w:t>
                  </w:r>
                </w:p>
              </w:tc>
              <w:tc>
                <w:tcPr>
                  <w:tcW w:w="2625" w:type="dxa"/>
                  <w:vAlign w:val="center"/>
                </w:tcPr>
                <w:p w14:paraId="55DC1130">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广东翁源经济开发区管理委员会</w:t>
                  </w:r>
                </w:p>
              </w:tc>
              <w:tc>
                <w:tcPr>
                  <w:tcW w:w="3360" w:type="dxa"/>
                  <w:vAlign w:val="center"/>
                </w:tcPr>
                <w:p w14:paraId="408241CB">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为本招标项目的</w:t>
                  </w:r>
                  <w:r>
                    <w:rPr>
                      <w:rFonts w:hint="eastAsia" w:ascii="宋体" w:hAnsi="宋体" w:cs="宋体"/>
                      <w:color w:val="000000" w:themeColor="text1"/>
                      <w:sz w:val="24"/>
                      <w:highlight w:val="none"/>
                      <w:lang w:val="en-US" w:eastAsia="zh-CN"/>
                      <w14:textFill>
                        <w14:solidFill>
                          <w14:schemeClr w14:val="tx1"/>
                        </w14:solidFill>
                      </w14:textFill>
                    </w:rPr>
                    <w:t>业主</w:t>
                  </w:r>
                </w:p>
              </w:tc>
            </w:tr>
            <w:tr w14:paraId="70AE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vAlign w:val="center"/>
                </w:tcPr>
                <w:p w14:paraId="6D7FA8B3">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w:t>
                  </w:r>
                </w:p>
              </w:tc>
              <w:tc>
                <w:tcPr>
                  <w:tcW w:w="2625" w:type="dxa"/>
                  <w:vAlign w:val="center"/>
                </w:tcPr>
                <w:p w14:paraId="55C4A381">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翁源县公共资产管理中心</w:t>
                  </w:r>
                </w:p>
              </w:tc>
              <w:tc>
                <w:tcPr>
                  <w:tcW w:w="3360" w:type="dxa"/>
                  <w:vAlign w:val="center"/>
                </w:tcPr>
                <w:p w14:paraId="506B7C2E">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为本招标项目的招标人</w:t>
                  </w:r>
                </w:p>
              </w:tc>
            </w:tr>
            <w:tr w14:paraId="416A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vAlign w:val="center"/>
                </w:tcPr>
                <w:p w14:paraId="55227F90">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w:t>
                  </w:r>
                </w:p>
              </w:tc>
              <w:tc>
                <w:tcPr>
                  <w:tcW w:w="2625" w:type="dxa"/>
                  <w:vAlign w:val="center"/>
                </w:tcPr>
                <w:p w14:paraId="356CBD05">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广州穗峰建设工程监理有限公司</w:t>
                  </w:r>
                </w:p>
              </w:tc>
              <w:tc>
                <w:tcPr>
                  <w:tcW w:w="3360" w:type="dxa"/>
                  <w:vAlign w:val="center"/>
                </w:tcPr>
                <w:p w14:paraId="482935FC">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为本招标项目的招标代理机构</w:t>
                  </w:r>
                </w:p>
              </w:tc>
            </w:tr>
            <w:tr w14:paraId="2D38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9C24301">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w:t>
                  </w:r>
                </w:p>
              </w:tc>
              <w:tc>
                <w:tcPr>
                  <w:tcW w:w="2625" w:type="dxa"/>
                  <w:vAlign w:val="center"/>
                </w:tcPr>
                <w:p w14:paraId="77B18543">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福建建盛工程管理有限公司</w:t>
                  </w:r>
                </w:p>
              </w:tc>
              <w:tc>
                <w:tcPr>
                  <w:tcW w:w="3360" w:type="dxa"/>
                  <w:vAlign w:val="center"/>
                </w:tcPr>
                <w:p w14:paraId="48EA1F78">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为本项目的可研编制单位</w:t>
                  </w:r>
                </w:p>
              </w:tc>
            </w:tr>
            <w:tr w14:paraId="7323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6E1E5052">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w:t>
                  </w:r>
                </w:p>
              </w:tc>
              <w:tc>
                <w:tcPr>
                  <w:tcW w:w="2625" w:type="dxa"/>
                  <w:vAlign w:val="center"/>
                </w:tcPr>
                <w:p w14:paraId="3871115D">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安徽省医药设计院</w:t>
                  </w:r>
                </w:p>
              </w:tc>
              <w:tc>
                <w:tcPr>
                  <w:tcW w:w="3360" w:type="dxa"/>
                  <w:vAlign w:val="center"/>
                </w:tcPr>
                <w:p w14:paraId="1D308659">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为本招标项目的设计单位</w:t>
                  </w:r>
                </w:p>
              </w:tc>
            </w:tr>
            <w:tr w14:paraId="5EE7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5B185BFA">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6</w:t>
                  </w:r>
                </w:p>
              </w:tc>
              <w:tc>
                <w:tcPr>
                  <w:tcW w:w="2625" w:type="dxa"/>
                  <w:vAlign w:val="center"/>
                </w:tcPr>
                <w:p w14:paraId="1E161276">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深圳市华地岩土工程有限公司</w:t>
                  </w:r>
                </w:p>
              </w:tc>
              <w:tc>
                <w:tcPr>
                  <w:tcW w:w="3360" w:type="dxa"/>
                  <w:vAlign w:val="center"/>
                </w:tcPr>
                <w:p w14:paraId="600A884A">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为本招标项目的</w:t>
                  </w:r>
                  <w:r>
                    <w:rPr>
                      <w:rFonts w:hint="eastAsia" w:ascii="宋体" w:hAnsi="宋体" w:cs="宋体"/>
                      <w:color w:val="000000" w:themeColor="text1"/>
                      <w:sz w:val="24"/>
                      <w:highlight w:val="none"/>
                      <w:lang w:val="en-US" w:eastAsia="zh-CN"/>
                      <w14:textFill>
                        <w14:solidFill>
                          <w14:schemeClr w14:val="tx1"/>
                        </w14:solidFill>
                      </w14:textFill>
                    </w:rPr>
                    <w:t>勘察</w:t>
                  </w:r>
                  <w:r>
                    <w:rPr>
                      <w:rFonts w:hint="eastAsia" w:ascii="宋体" w:hAnsi="宋体" w:cs="宋体"/>
                      <w:color w:val="000000" w:themeColor="text1"/>
                      <w:sz w:val="24"/>
                      <w:highlight w:val="none"/>
                      <w:lang w:eastAsia="zh-CN"/>
                      <w14:textFill>
                        <w14:solidFill>
                          <w14:schemeClr w14:val="tx1"/>
                        </w14:solidFill>
                      </w14:textFill>
                    </w:rPr>
                    <w:t>单位</w:t>
                  </w:r>
                </w:p>
              </w:tc>
            </w:tr>
          </w:tbl>
          <w:p w14:paraId="033AA61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5．其他要求</w:t>
            </w:r>
          </w:p>
          <w:p w14:paraId="4A19780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CDFB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5B6AFED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16</w:t>
            </w:r>
          </w:p>
        </w:tc>
        <w:tc>
          <w:tcPr>
            <w:tcW w:w="1725" w:type="dxa"/>
            <w:tcBorders>
              <w:top w:val="single" w:color="auto" w:sz="4" w:space="0"/>
              <w:left w:val="single" w:color="auto" w:sz="4" w:space="0"/>
              <w:bottom w:val="single" w:color="auto" w:sz="4" w:space="0"/>
              <w:right w:val="single" w:color="auto" w:sz="4" w:space="0"/>
            </w:tcBorders>
            <w:vAlign w:val="center"/>
          </w:tcPr>
          <w:p w14:paraId="7FF520C3">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服务期限</w:t>
            </w:r>
          </w:p>
        </w:tc>
        <w:tc>
          <w:tcPr>
            <w:tcW w:w="7189" w:type="dxa"/>
            <w:tcBorders>
              <w:top w:val="single" w:color="auto" w:sz="4" w:space="0"/>
              <w:left w:val="single" w:color="auto" w:sz="4" w:space="0"/>
              <w:bottom w:val="single" w:color="auto" w:sz="4" w:space="0"/>
              <w:right w:val="single" w:color="auto" w:sz="4" w:space="0"/>
            </w:tcBorders>
            <w:vAlign w:val="center"/>
          </w:tcPr>
          <w:p w14:paraId="6D1A802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监理服务期不少于</w:t>
            </w:r>
            <w:r>
              <w:rPr>
                <w:rFonts w:hint="eastAsia" w:hAnsi="宋体" w:cs="宋体"/>
                <w:snapToGrid w:val="0"/>
                <w:color w:val="000000" w:themeColor="text1"/>
                <w:kern w:val="0"/>
                <w:szCs w:val="24"/>
                <w:highlight w:val="none"/>
                <w:lang w:val="en-US" w:eastAsia="zh-CN"/>
                <w14:textFill>
                  <w14:solidFill>
                    <w14:schemeClr w14:val="tx1"/>
                  </w14:solidFill>
                </w14:textFill>
              </w:rPr>
              <w:t>540</w:t>
            </w:r>
            <w:r>
              <w:rPr>
                <w:rFonts w:hint="eastAsia" w:hAnsi="宋体" w:cs="宋体"/>
                <w:snapToGrid w:val="0"/>
                <w:color w:val="000000" w:themeColor="text1"/>
                <w:kern w:val="0"/>
                <w:szCs w:val="24"/>
                <w:highlight w:val="none"/>
                <w:lang w:eastAsia="zh-CN"/>
                <w14:textFill>
                  <w14:solidFill>
                    <w14:schemeClr w14:val="tx1"/>
                  </w14:solidFill>
                </w14:textFill>
              </w:rPr>
              <w:t>日历天。监理服务期</w:t>
            </w:r>
            <w:r>
              <w:rPr>
                <w:rFonts w:hint="eastAsia" w:hAnsi="宋体" w:cs="宋体"/>
                <w:snapToGrid w:val="0"/>
                <w:color w:val="000000" w:themeColor="text1"/>
                <w:kern w:val="0"/>
                <w:szCs w:val="24"/>
                <w:highlight w:val="none"/>
                <w14:textFill>
                  <w14:solidFill>
                    <w14:schemeClr w14:val="tx1"/>
                  </w14:solidFill>
                </w14:textFill>
              </w:rPr>
              <w:t>从监理合同签订之日起计，至本工程缺陷责任保修期结束且本工程结算金额经政府主管部门审定且双方的责任义务履行完毕时止。</w:t>
            </w:r>
          </w:p>
        </w:tc>
      </w:tr>
      <w:tr w14:paraId="247A5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1" w:hRule="atLeast"/>
        </w:trPr>
        <w:tc>
          <w:tcPr>
            <w:tcW w:w="721" w:type="dxa"/>
            <w:tcBorders>
              <w:top w:val="single" w:color="auto" w:sz="4" w:space="0"/>
              <w:left w:val="single" w:color="auto" w:sz="4" w:space="0"/>
              <w:bottom w:val="single" w:color="auto" w:sz="4" w:space="0"/>
              <w:right w:val="single" w:color="auto" w:sz="4" w:space="0"/>
            </w:tcBorders>
            <w:vAlign w:val="center"/>
          </w:tcPr>
          <w:p w14:paraId="0587E943">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17</w:t>
            </w:r>
          </w:p>
        </w:tc>
        <w:tc>
          <w:tcPr>
            <w:tcW w:w="1725" w:type="dxa"/>
            <w:tcBorders>
              <w:top w:val="single" w:color="auto" w:sz="4" w:space="0"/>
              <w:left w:val="single" w:color="auto" w:sz="4" w:space="0"/>
              <w:bottom w:val="single" w:color="auto" w:sz="4" w:space="0"/>
              <w:right w:val="single" w:color="auto" w:sz="4" w:space="0"/>
            </w:tcBorders>
            <w:vAlign w:val="center"/>
          </w:tcPr>
          <w:p w14:paraId="7534CB1F">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服务标准</w:t>
            </w:r>
          </w:p>
        </w:tc>
        <w:tc>
          <w:tcPr>
            <w:tcW w:w="7189" w:type="dxa"/>
            <w:tcBorders>
              <w:top w:val="single" w:color="auto" w:sz="4" w:space="0"/>
              <w:left w:val="single" w:color="auto" w:sz="4" w:space="0"/>
              <w:bottom w:val="single" w:color="auto" w:sz="4" w:space="0"/>
              <w:right w:val="single" w:color="auto" w:sz="4" w:space="0"/>
            </w:tcBorders>
            <w:vAlign w:val="center"/>
          </w:tcPr>
          <w:p w14:paraId="080FD524">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工程质量达到合格标准。</w:t>
            </w:r>
          </w:p>
        </w:tc>
      </w:tr>
      <w:tr w14:paraId="77C30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1" w:hRule="atLeast"/>
        </w:trPr>
        <w:tc>
          <w:tcPr>
            <w:tcW w:w="721" w:type="dxa"/>
            <w:tcBorders>
              <w:top w:val="single" w:color="auto" w:sz="4" w:space="0"/>
              <w:left w:val="single" w:color="auto" w:sz="4" w:space="0"/>
              <w:bottom w:val="single" w:color="auto" w:sz="4" w:space="0"/>
              <w:right w:val="single" w:color="auto" w:sz="4" w:space="0"/>
            </w:tcBorders>
            <w:vAlign w:val="center"/>
          </w:tcPr>
          <w:p w14:paraId="39F63CE4">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18</w:t>
            </w:r>
          </w:p>
        </w:tc>
        <w:tc>
          <w:tcPr>
            <w:tcW w:w="1725" w:type="dxa"/>
            <w:tcBorders>
              <w:top w:val="single" w:color="auto" w:sz="4" w:space="0"/>
              <w:left w:val="single" w:color="auto" w:sz="4" w:space="0"/>
              <w:bottom w:val="single" w:color="auto" w:sz="4" w:space="0"/>
              <w:right w:val="single" w:color="auto" w:sz="4" w:space="0"/>
            </w:tcBorders>
            <w:vAlign w:val="center"/>
          </w:tcPr>
          <w:p w14:paraId="61B313B1">
            <w:pPr>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房屋建筑工程</w:t>
            </w:r>
          </w:p>
          <w:p w14:paraId="61270D1A">
            <w:pP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绿色建筑标准</w:t>
            </w:r>
          </w:p>
        </w:tc>
        <w:tc>
          <w:tcPr>
            <w:tcW w:w="7189" w:type="dxa"/>
            <w:tcBorders>
              <w:top w:val="single" w:color="auto" w:sz="4" w:space="0"/>
              <w:left w:val="single" w:color="auto" w:sz="4" w:space="0"/>
              <w:bottom w:val="single" w:color="auto" w:sz="4" w:space="0"/>
              <w:right w:val="single" w:color="auto" w:sz="4" w:space="0"/>
            </w:tcBorders>
            <w:vAlign w:val="center"/>
          </w:tcPr>
          <w:p w14:paraId="0EADD006">
            <w:pPr>
              <w:wordWrap w:val="0"/>
              <w:adjustRightInd w:val="0"/>
              <w:snapToGrid w:val="0"/>
              <w:spacing w:line="40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本招标项目纳入绿色建设（一星）实施范围。</w:t>
            </w:r>
          </w:p>
        </w:tc>
      </w:tr>
      <w:tr w14:paraId="2E1C5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721" w:type="dxa"/>
            <w:tcBorders>
              <w:top w:val="single" w:color="auto" w:sz="4" w:space="0"/>
              <w:left w:val="single" w:color="auto" w:sz="4" w:space="0"/>
              <w:bottom w:val="single" w:color="auto" w:sz="4" w:space="0"/>
              <w:right w:val="single" w:color="auto" w:sz="4" w:space="0"/>
            </w:tcBorders>
            <w:vAlign w:val="center"/>
          </w:tcPr>
          <w:p w14:paraId="40287E4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19</w:t>
            </w:r>
          </w:p>
        </w:tc>
        <w:tc>
          <w:tcPr>
            <w:tcW w:w="1725" w:type="dxa"/>
            <w:tcBorders>
              <w:top w:val="single" w:color="auto" w:sz="4" w:space="0"/>
              <w:left w:val="single" w:color="auto" w:sz="4" w:space="0"/>
              <w:bottom w:val="single" w:color="auto" w:sz="4" w:space="0"/>
              <w:right w:val="single" w:color="auto" w:sz="4" w:space="0"/>
            </w:tcBorders>
            <w:vAlign w:val="center"/>
          </w:tcPr>
          <w:p w14:paraId="22642A8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最高投标限价</w:t>
            </w:r>
          </w:p>
        </w:tc>
        <w:tc>
          <w:tcPr>
            <w:tcW w:w="7189" w:type="dxa"/>
            <w:tcBorders>
              <w:top w:val="single" w:color="auto" w:sz="4" w:space="0"/>
              <w:left w:val="single" w:color="auto" w:sz="4" w:space="0"/>
              <w:bottom w:val="single" w:color="auto" w:sz="4" w:space="0"/>
              <w:right w:val="single" w:color="auto" w:sz="4" w:space="0"/>
            </w:tcBorders>
            <w:vAlign w:val="center"/>
          </w:tcPr>
          <w:p w14:paraId="64ADF40E">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详见招标文件“第一章 投标人须知 8 最高投标限价”</w:t>
            </w:r>
          </w:p>
        </w:tc>
      </w:tr>
      <w:tr w14:paraId="7CED1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061A0C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789B50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投标保证金</w:t>
            </w:r>
          </w:p>
        </w:tc>
        <w:tc>
          <w:tcPr>
            <w:tcW w:w="7189" w:type="dxa"/>
            <w:tcBorders>
              <w:top w:val="single" w:color="auto" w:sz="4" w:space="0"/>
              <w:left w:val="single" w:color="auto" w:sz="4" w:space="0"/>
              <w:bottom w:val="single" w:color="auto" w:sz="4" w:space="0"/>
              <w:right w:val="single" w:color="auto" w:sz="4" w:space="0"/>
            </w:tcBorders>
            <w:vAlign w:val="center"/>
          </w:tcPr>
          <w:p w14:paraId="3A268887">
            <w:pPr>
              <w:keepNext w:val="0"/>
              <w:keepLines w:val="0"/>
              <w:pageBreakBefore w:val="0"/>
              <w:widowControl w:val="0"/>
              <w:kinsoku/>
              <w:overflowPunct/>
              <w:topLinePunct w:val="0"/>
              <w:autoSpaceDE/>
              <w:autoSpaceDN/>
              <w:bidi w:val="0"/>
              <w:snapToGrid w:val="0"/>
              <w:spacing w:line="360" w:lineRule="exact"/>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1.投标人须缴纳金额为人民币</w:t>
            </w:r>
            <w:r>
              <w:rPr>
                <w:rFonts w:hint="eastAsia" w:hAnsi="宋体" w:cs="宋体"/>
                <w:color w:val="000000" w:themeColor="text1"/>
                <w:highlight w:val="none"/>
                <w:u w:val="single"/>
                <w:lang w:eastAsia="zh-CN"/>
                <w14:textFill>
                  <w14:solidFill>
                    <w14:schemeClr w14:val="tx1"/>
                  </w14:solidFill>
                </w14:textFill>
              </w:rPr>
              <w:t>10000.00元</w:t>
            </w:r>
            <w:r>
              <w:rPr>
                <w:rFonts w:hint="eastAsia" w:hAnsi="宋体" w:cs="宋体"/>
                <w:color w:val="000000" w:themeColor="text1"/>
                <w:highlight w:val="none"/>
                <w14:textFill>
                  <w14:solidFill>
                    <w14:schemeClr w14:val="tx1"/>
                  </w14:solidFill>
                </w14:textFill>
              </w:rPr>
              <w:t>的投标保证。</w:t>
            </w:r>
          </w:p>
          <w:p w14:paraId="534130FD">
            <w:pPr>
              <w:keepNext w:val="0"/>
              <w:keepLines w:val="0"/>
              <w:pageBreakBefore w:val="0"/>
              <w:widowControl w:val="0"/>
              <w:kinsoku/>
              <w:overflowPunct/>
              <w:topLinePunct w:val="0"/>
              <w:autoSpaceDE/>
              <w:autoSpaceDN/>
              <w:bidi w:val="0"/>
              <w:snapToGrid w:val="0"/>
              <w:spacing w:line="360" w:lineRule="exact"/>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2.投标保证的形式包括投标保证金、投标保证担保、投标保证保险三种，由投标人自主选择。</w:t>
            </w:r>
          </w:p>
          <w:p w14:paraId="3FE27A63">
            <w:pPr>
              <w:keepNext w:val="0"/>
              <w:keepLines w:val="0"/>
              <w:pageBreakBefore w:val="0"/>
              <w:widowControl w:val="0"/>
              <w:kinsoku/>
              <w:overflowPunct/>
              <w:topLinePunct w:val="0"/>
              <w:autoSpaceDE/>
              <w:autoSpaceDN/>
              <w:bidi w:val="0"/>
              <w:snapToGrid w:val="0"/>
              <w:spacing w:line="360" w:lineRule="exact"/>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6786E45E">
            <w:pPr>
              <w:keepNext w:val="0"/>
              <w:keepLines w:val="0"/>
              <w:pageBreakBefore w:val="0"/>
              <w:widowControl w:val="0"/>
              <w:kinsoku/>
              <w:overflowPunct/>
              <w:topLinePunct w:val="0"/>
              <w:autoSpaceDE/>
              <w:autoSpaceDN/>
              <w:bidi w:val="0"/>
              <w:snapToGrid w:val="0"/>
              <w:spacing w:line="360" w:lineRule="exact"/>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3F895184">
            <w:pPr>
              <w:keepNext w:val="0"/>
              <w:keepLines w:val="0"/>
              <w:pageBreakBefore w:val="0"/>
              <w:widowControl w:val="0"/>
              <w:kinsoku/>
              <w:wordWrap w:val="0"/>
              <w:overflowPunct/>
              <w:topLinePunct w:val="0"/>
              <w:autoSpaceDE/>
              <w:autoSpaceDN/>
              <w:bidi w:val="0"/>
              <w:adjustRightInd/>
              <w:snapToGrid w:val="0"/>
              <w:spacing w:line="360" w:lineRule="exact"/>
              <w:ind w:firstLine="480" w:firstLineChars="200"/>
              <w:jc w:val="left"/>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261E0F6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FC01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721" w:type="dxa"/>
            <w:tcBorders>
              <w:top w:val="single" w:color="auto" w:sz="4" w:space="0"/>
              <w:left w:val="single" w:color="auto" w:sz="4" w:space="0"/>
              <w:bottom w:val="single" w:color="auto" w:sz="4" w:space="0"/>
              <w:right w:val="single" w:color="auto" w:sz="4" w:space="0"/>
            </w:tcBorders>
            <w:vAlign w:val="center"/>
          </w:tcPr>
          <w:p w14:paraId="4CB990AE">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2F7B722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投标有效期</w:t>
            </w:r>
          </w:p>
        </w:tc>
        <w:tc>
          <w:tcPr>
            <w:tcW w:w="7189" w:type="dxa"/>
            <w:tcBorders>
              <w:top w:val="single" w:color="auto" w:sz="4" w:space="0"/>
              <w:left w:val="single" w:color="auto" w:sz="4" w:space="0"/>
              <w:bottom w:val="single" w:color="auto" w:sz="4" w:space="0"/>
              <w:right w:val="single" w:color="auto" w:sz="4" w:space="0"/>
            </w:tcBorders>
            <w:vAlign w:val="center"/>
          </w:tcPr>
          <w:p w14:paraId="77B0AC3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本次招标的投标有效期为</w:t>
            </w:r>
            <w:r>
              <w:rPr>
                <w:rFonts w:hint="eastAsia" w:hAnsi="宋体" w:cs="宋体"/>
                <w:snapToGrid w:val="0"/>
                <w:color w:val="000000" w:themeColor="text1"/>
                <w:kern w:val="0"/>
                <w:szCs w:val="24"/>
                <w:highlight w:val="none"/>
                <w:u w:val="single"/>
                <w14:textFill>
                  <w14:solidFill>
                    <w14:schemeClr w14:val="tx1"/>
                  </w14:solidFill>
                </w14:textFill>
              </w:rPr>
              <w:t xml:space="preserve"> 90 </w:t>
            </w:r>
            <w:r>
              <w:rPr>
                <w:rFonts w:hint="eastAsia" w:hAnsi="宋体" w:cs="宋体"/>
                <w:snapToGrid w:val="0"/>
                <w:color w:val="000000" w:themeColor="text1"/>
                <w:kern w:val="0"/>
                <w:szCs w:val="24"/>
                <w:highlight w:val="none"/>
                <w14:textFill>
                  <w14:solidFill>
                    <w14:schemeClr w14:val="tx1"/>
                  </w14:solidFill>
                </w14:textFill>
              </w:rPr>
              <w:t>个日历天。</w:t>
            </w:r>
          </w:p>
        </w:tc>
      </w:tr>
      <w:tr w14:paraId="3526E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79" w:hRule="exact"/>
        </w:trPr>
        <w:tc>
          <w:tcPr>
            <w:tcW w:w="721" w:type="dxa"/>
            <w:tcBorders>
              <w:top w:val="single" w:color="auto" w:sz="4" w:space="0"/>
              <w:left w:val="single" w:color="auto" w:sz="4" w:space="0"/>
              <w:bottom w:val="single" w:color="auto" w:sz="4" w:space="0"/>
              <w:right w:val="single" w:color="auto" w:sz="4" w:space="0"/>
            </w:tcBorders>
            <w:vAlign w:val="center"/>
          </w:tcPr>
          <w:p w14:paraId="7D9A3F7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2</w:t>
            </w:r>
          </w:p>
        </w:tc>
        <w:tc>
          <w:tcPr>
            <w:tcW w:w="1725" w:type="dxa"/>
            <w:tcBorders>
              <w:top w:val="single" w:color="auto" w:sz="4" w:space="0"/>
              <w:left w:val="single" w:color="auto" w:sz="4" w:space="0"/>
              <w:bottom w:val="single" w:color="auto" w:sz="4" w:space="0"/>
              <w:right w:val="single" w:color="auto" w:sz="4" w:space="0"/>
            </w:tcBorders>
            <w:vAlign w:val="center"/>
          </w:tcPr>
          <w:p w14:paraId="441BCE7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w:t>
            </w:r>
          </w:p>
          <w:p w14:paraId="70C7B6FF">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组成</w:t>
            </w:r>
          </w:p>
        </w:tc>
        <w:tc>
          <w:tcPr>
            <w:tcW w:w="7189" w:type="dxa"/>
            <w:tcBorders>
              <w:top w:val="single" w:color="auto" w:sz="4" w:space="0"/>
              <w:left w:val="single" w:color="auto" w:sz="4" w:space="0"/>
              <w:bottom w:val="single" w:color="auto" w:sz="4" w:space="0"/>
              <w:right w:val="single" w:color="auto" w:sz="4" w:space="0"/>
            </w:tcBorders>
            <w:vAlign w:val="center"/>
          </w:tcPr>
          <w:p w14:paraId="597DAC5E">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投标文件包括商务标书、监理大纲两个分册。</w:t>
            </w:r>
          </w:p>
        </w:tc>
      </w:tr>
      <w:tr w14:paraId="0AFF6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721" w:type="dxa"/>
            <w:tcBorders>
              <w:top w:val="single" w:color="auto" w:sz="4" w:space="0"/>
              <w:left w:val="single" w:color="auto" w:sz="4" w:space="0"/>
              <w:bottom w:val="single" w:color="auto" w:sz="4" w:space="0"/>
              <w:right w:val="single" w:color="auto" w:sz="4" w:space="0"/>
            </w:tcBorders>
            <w:vAlign w:val="center"/>
          </w:tcPr>
          <w:p w14:paraId="3849EF7D">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3</w:t>
            </w:r>
          </w:p>
        </w:tc>
        <w:tc>
          <w:tcPr>
            <w:tcW w:w="1725" w:type="dxa"/>
            <w:tcBorders>
              <w:top w:val="single" w:color="auto" w:sz="4" w:space="0"/>
              <w:left w:val="single" w:color="auto" w:sz="4" w:space="0"/>
              <w:bottom w:val="single" w:color="auto" w:sz="4" w:space="0"/>
              <w:right w:val="single" w:color="auto" w:sz="4" w:space="0"/>
            </w:tcBorders>
            <w:vAlign w:val="center"/>
          </w:tcPr>
          <w:p w14:paraId="2CB08CA6">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评标方法</w:t>
            </w:r>
          </w:p>
        </w:tc>
        <w:tc>
          <w:tcPr>
            <w:tcW w:w="7189" w:type="dxa"/>
            <w:tcBorders>
              <w:top w:val="single" w:color="auto" w:sz="4" w:space="0"/>
              <w:left w:val="single" w:color="auto" w:sz="4" w:space="0"/>
              <w:bottom w:val="single" w:color="auto" w:sz="4" w:space="0"/>
              <w:right w:val="single" w:color="auto" w:sz="4" w:space="0"/>
            </w:tcBorders>
            <w:vAlign w:val="center"/>
          </w:tcPr>
          <w:p w14:paraId="6F555CF0">
            <w:pPr>
              <w:keepNext w:val="0"/>
              <w:keepLines w:val="0"/>
              <w:pageBreakBefore w:val="0"/>
              <w:widowControl w:val="0"/>
              <w:kinsoku/>
              <w:wordWrap w:val="0"/>
              <w:overflowPunct/>
              <w:topLinePunct w:val="0"/>
              <w:autoSpaceDE/>
              <w:autoSpaceDN/>
              <w:bidi w:val="0"/>
              <w:adjustRightInd w:val="0"/>
              <w:snapToGrid w:val="0"/>
              <w:spacing w:line="360" w:lineRule="exac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综合评估法</w:t>
            </w:r>
          </w:p>
        </w:tc>
      </w:tr>
      <w:tr w14:paraId="68010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6325AA5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4</w:t>
            </w:r>
          </w:p>
        </w:tc>
        <w:tc>
          <w:tcPr>
            <w:tcW w:w="1725" w:type="dxa"/>
            <w:tcBorders>
              <w:top w:val="single" w:color="auto" w:sz="4" w:space="0"/>
              <w:left w:val="single" w:color="auto" w:sz="4" w:space="0"/>
              <w:bottom w:val="single" w:color="auto" w:sz="4" w:space="0"/>
              <w:right w:val="single" w:color="auto" w:sz="4" w:space="0"/>
            </w:tcBorders>
            <w:vAlign w:val="center"/>
          </w:tcPr>
          <w:p w14:paraId="61DC5E9D">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监理大纲</w:t>
            </w:r>
          </w:p>
          <w:p w14:paraId="0E54C2D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评审方式</w:t>
            </w:r>
          </w:p>
        </w:tc>
        <w:tc>
          <w:tcPr>
            <w:tcW w:w="7189" w:type="dxa"/>
            <w:tcBorders>
              <w:top w:val="single" w:color="auto" w:sz="4" w:space="0"/>
              <w:left w:val="single" w:color="auto" w:sz="4" w:space="0"/>
              <w:bottom w:val="single" w:color="auto" w:sz="4" w:space="0"/>
              <w:right w:val="single" w:color="auto" w:sz="4" w:space="0"/>
            </w:tcBorders>
            <w:vAlign w:val="center"/>
          </w:tcPr>
          <w:p w14:paraId="0F88FFD4">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本次招标监理大纲</w:t>
            </w:r>
            <w:r>
              <w:rPr>
                <w:rFonts w:hint="eastAsia" w:hAnsi="宋体" w:cs="宋体"/>
                <w:snapToGrid w:val="0"/>
                <w:color w:val="000000" w:themeColor="text1"/>
                <w:kern w:val="0"/>
                <w:szCs w:val="24"/>
                <w:highlight w:val="none"/>
                <w:u w:val="single"/>
                <w14:textFill>
                  <w14:solidFill>
                    <w14:schemeClr w14:val="tx1"/>
                  </w14:solidFill>
                </w14:textFill>
              </w:rPr>
              <w:t xml:space="preserve"> 不采用 </w:t>
            </w:r>
            <w:r>
              <w:rPr>
                <w:rFonts w:hint="eastAsia" w:hAnsi="宋体" w:cs="宋体"/>
                <w:snapToGrid w:val="0"/>
                <w:color w:val="000000" w:themeColor="text1"/>
                <w:kern w:val="0"/>
                <w:szCs w:val="24"/>
                <w:highlight w:val="none"/>
                <w14:textFill>
                  <w14:solidFill>
                    <w14:schemeClr w14:val="tx1"/>
                  </w14:solidFill>
                </w14:textFill>
              </w:rPr>
              <w:t>“暗标”方式进行评审。</w:t>
            </w:r>
          </w:p>
        </w:tc>
      </w:tr>
      <w:tr w14:paraId="060FC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86" w:hRule="atLeast"/>
        </w:trPr>
        <w:tc>
          <w:tcPr>
            <w:tcW w:w="721" w:type="dxa"/>
            <w:tcBorders>
              <w:top w:val="single" w:color="auto" w:sz="4" w:space="0"/>
              <w:left w:val="single" w:color="auto" w:sz="4" w:space="0"/>
              <w:bottom w:val="single" w:color="auto" w:sz="4" w:space="0"/>
              <w:right w:val="single" w:color="auto" w:sz="4" w:space="0"/>
            </w:tcBorders>
            <w:vAlign w:val="center"/>
          </w:tcPr>
          <w:p w14:paraId="63FDF489">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5</w:t>
            </w:r>
          </w:p>
        </w:tc>
        <w:tc>
          <w:tcPr>
            <w:tcW w:w="1725" w:type="dxa"/>
            <w:tcBorders>
              <w:top w:val="single" w:color="auto" w:sz="4" w:space="0"/>
              <w:left w:val="single" w:color="auto" w:sz="4" w:space="0"/>
              <w:bottom w:val="single" w:color="auto" w:sz="4" w:space="0"/>
              <w:right w:val="single" w:color="auto" w:sz="4" w:space="0"/>
            </w:tcBorders>
            <w:vAlign w:val="center"/>
          </w:tcPr>
          <w:p w14:paraId="5B5BA04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w:t>
            </w:r>
          </w:p>
        </w:tc>
        <w:tc>
          <w:tcPr>
            <w:tcW w:w="7189" w:type="dxa"/>
            <w:tcBorders>
              <w:top w:val="single" w:color="auto" w:sz="4" w:space="0"/>
              <w:left w:val="single" w:color="auto" w:sz="4" w:space="0"/>
              <w:bottom w:val="single" w:color="auto" w:sz="4" w:space="0"/>
              <w:right w:val="single" w:color="auto" w:sz="4" w:space="0"/>
            </w:tcBorders>
            <w:vAlign w:val="center"/>
          </w:tcPr>
          <w:p w14:paraId="1A03A2C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评标委员会由</w:t>
            </w:r>
            <w:r>
              <w:rPr>
                <w:rFonts w:hint="eastAsia" w:hAnsi="宋体" w:cs="宋体"/>
                <w:snapToGrid w:val="0"/>
                <w:color w:val="000000" w:themeColor="text1"/>
                <w:kern w:val="0"/>
                <w:szCs w:val="24"/>
                <w:highlight w:val="none"/>
                <w:u w:val="single"/>
                <w14:textFill>
                  <w14:solidFill>
                    <w14:schemeClr w14:val="tx1"/>
                  </w14:solidFill>
                </w14:textFill>
              </w:rPr>
              <w:t xml:space="preserve"> 5 </w:t>
            </w:r>
            <w:r>
              <w:rPr>
                <w:rFonts w:hint="eastAsia" w:hAnsi="宋体" w:cs="宋体"/>
                <w:snapToGrid w:val="0"/>
                <w:color w:val="000000" w:themeColor="text1"/>
                <w:kern w:val="0"/>
                <w:szCs w:val="24"/>
                <w:highlight w:val="none"/>
                <w14:textFill>
                  <w14:solidFill>
                    <w14:schemeClr w14:val="tx1"/>
                  </w14:solidFill>
                </w14:textFill>
              </w:rPr>
              <w:t>人组成，其中招标人代表</w:t>
            </w:r>
            <w:r>
              <w:rPr>
                <w:rFonts w:hint="eastAsia" w:hAnsi="宋体" w:cs="宋体"/>
                <w:snapToGrid w:val="0"/>
                <w:color w:val="000000" w:themeColor="text1"/>
                <w:kern w:val="0"/>
                <w:szCs w:val="24"/>
                <w:highlight w:val="none"/>
                <w:u w:val="single"/>
                <w14:textFill>
                  <w14:solidFill>
                    <w14:schemeClr w14:val="tx1"/>
                  </w14:solidFill>
                </w14:textFill>
              </w:rPr>
              <w:t xml:space="preserve"> 0 </w:t>
            </w:r>
            <w:r>
              <w:rPr>
                <w:rFonts w:hint="eastAsia" w:hAnsi="宋体" w:cs="宋体"/>
                <w:snapToGrid w:val="0"/>
                <w:color w:val="000000" w:themeColor="text1"/>
                <w:kern w:val="0"/>
                <w:szCs w:val="24"/>
                <w:highlight w:val="none"/>
                <w14:textFill>
                  <w14:solidFill>
                    <w14:schemeClr w14:val="tx1"/>
                  </w14:solidFill>
                </w14:textFill>
              </w:rPr>
              <w:t>人，专家</w:t>
            </w:r>
            <w:r>
              <w:rPr>
                <w:rFonts w:hint="eastAsia" w:hAnsi="宋体" w:cs="宋体"/>
                <w:snapToGrid w:val="0"/>
                <w:color w:val="000000" w:themeColor="text1"/>
                <w:kern w:val="0"/>
                <w:szCs w:val="24"/>
                <w:highlight w:val="none"/>
                <w:u w:val="single"/>
                <w14:textFill>
                  <w14:solidFill>
                    <w14:schemeClr w14:val="tx1"/>
                  </w14:solidFill>
                </w14:textFill>
              </w:rPr>
              <w:t xml:space="preserve"> 5 </w:t>
            </w:r>
            <w:r>
              <w:rPr>
                <w:rFonts w:hint="eastAsia" w:hAnsi="宋体" w:cs="宋体"/>
                <w:snapToGrid w:val="0"/>
                <w:color w:val="000000" w:themeColor="text1"/>
                <w:kern w:val="0"/>
                <w:szCs w:val="24"/>
                <w:highlight w:val="none"/>
                <w14:textFill>
                  <w14:solidFill>
                    <w14:schemeClr w14:val="tx1"/>
                  </w14:solidFill>
                </w14:textFill>
              </w:rPr>
              <w:t>人。专家从广东省综合评标评审专家库</w:t>
            </w:r>
            <w:r>
              <w:rPr>
                <w:rFonts w:hint="eastAsia" w:hAnsi="宋体" w:cs="宋体"/>
                <w:snapToGrid w:val="0"/>
                <w:color w:val="000000" w:themeColor="text1"/>
                <w:kern w:val="0"/>
                <w:szCs w:val="24"/>
                <w:highlight w:val="none"/>
                <w:lang w:val="en-US" w:eastAsia="zh-CN"/>
                <w14:textFill>
                  <w14:solidFill>
                    <w14:schemeClr w14:val="tx1"/>
                  </w14:solidFill>
                </w14:textFill>
              </w:rPr>
              <w:t>-韶关区域</w:t>
            </w:r>
            <w:r>
              <w:rPr>
                <w:rFonts w:hint="eastAsia" w:hAnsi="宋体" w:cs="宋体"/>
                <w:snapToGrid w:val="0"/>
                <w:color w:val="000000" w:themeColor="text1"/>
                <w:kern w:val="0"/>
                <w:szCs w:val="24"/>
                <w:highlight w:val="none"/>
                <w14:textFill>
                  <w14:solidFill>
                    <w14:schemeClr w14:val="tx1"/>
                  </w14:solidFill>
                </w14:textFill>
              </w:rPr>
              <w:t>中随机抽取，其中技术类专家</w:t>
            </w:r>
            <w:r>
              <w:rPr>
                <w:rFonts w:hint="eastAsia" w:hAnsi="宋体" w:cs="宋体"/>
                <w:snapToGrid w:val="0"/>
                <w:color w:val="000000" w:themeColor="text1"/>
                <w:kern w:val="0"/>
                <w:szCs w:val="24"/>
                <w:highlight w:val="none"/>
                <w:u w:val="single"/>
                <w14:textFill>
                  <w14:solidFill>
                    <w14:schemeClr w14:val="tx1"/>
                  </w14:solidFill>
                </w14:textFill>
              </w:rPr>
              <w:t xml:space="preserve"> 3 </w:t>
            </w:r>
            <w:r>
              <w:rPr>
                <w:rFonts w:hint="eastAsia" w:hAnsi="宋体" w:cs="宋体"/>
                <w:snapToGrid w:val="0"/>
                <w:color w:val="000000" w:themeColor="text1"/>
                <w:kern w:val="0"/>
                <w:szCs w:val="24"/>
                <w:highlight w:val="none"/>
                <w14:textFill>
                  <w14:solidFill>
                    <w14:schemeClr w14:val="tx1"/>
                  </w14:solidFill>
                </w14:textFill>
              </w:rPr>
              <w:t>人，经济类专家</w:t>
            </w:r>
            <w:r>
              <w:rPr>
                <w:rFonts w:hint="eastAsia" w:hAnsi="宋体" w:cs="宋体"/>
                <w:snapToGrid w:val="0"/>
                <w:color w:val="000000" w:themeColor="text1"/>
                <w:kern w:val="0"/>
                <w:szCs w:val="24"/>
                <w:highlight w:val="none"/>
                <w:u w:val="single"/>
                <w14:textFill>
                  <w14:solidFill>
                    <w14:schemeClr w14:val="tx1"/>
                  </w14:solidFill>
                </w14:textFill>
              </w:rPr>
              <w:t xml:space="preserve"> 2 </w:t>
            </w:r>
            <w:r>
              <w:rPr>
                <w:rFonts w:hint="eastAsia" w:hAnsi="宋体" w:cs="宋体"/>
                <w:snapToGrid w:val="0"/>
                <w:color w:val="000000" w:themeColor="text1"/>
                <w:kern w:val="0"/>
                <w:szCs w:val="24"/>
                <w:highlight w:val="none"/>
                <w14:textFill>
                  <w14:solidFill>
                    <w14:schemeClr w14:val="tx1"/>
                  </w14:solidFill>
                </w14:textFill>
              </w:rPr>
              <w:t>人。</w:t>
            </w:r>
          </w:p>
        </w:tc>
      </w:tr>
      <w:tr w14:paraId="0C795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309A2A5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6</w:t>
            </w:r>
          </w:p>
        </w:tc>
        <w:tc>
          <w:tcPr>
            <w:tcW w:w="1725" w:type="dxa"/>
            <w:tcBorders>
              <w:top w:val="single" w:color="auto" w:sz="4" w:space="0"/>
              <w:left w:val="single" w:color="auto" w:sz="4" w:space="0"/>
              <w:bottom w:val="single" w:color="auto" w:sz="4" w:space="0"/>
              <w:right w:val="single" w:color="auto" w:sz="4" w:space="0"/>
            </w:tcBorders>
            <w:vAlign w:val="center"/>
          </w:tcPr>
          <w:p w14:paraId="3B97A7B3">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p w14:paraId="38D4F6D2">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7189" w:type="dxa"/>
            <w:tcBorders>
              <w:top w:val="single" w:color="auto" w:sz="4" w:space="0"/>
              <w:left w:val="single" w:color="auto" w:sz="4" w:space="0"/>
              <w:bottom w:val="single" w:color="auto" w:sz="4" w:space="0"/>
              <w:right w:val="single" w:color="auto" w:sz="4" w:space="0"/>
            </w:tcBorders>
            <w:vAlign w:val="center"/>
          </w:tcPr>
          <w:p w14:paraId="3A8E9377">
            <w:pPr>
              <w:pStyle w:val="32"/>
              <w:keepNext w:val="0"/>
              <w:keepLines w:val="0"/>
              <w:pageBreakBefore w:val="0"/>
              <w:widowControl w:val="0"/>
              <w:kinsoku/>
              <w:overflowPunct/>
              <w:topLinePunct w:val="0"/>
              <w:autoSpaceDE/>
              <w:autoSpaceDN/>
              <w:bidi w:val="0"/>
              <w:spacing w:line="360" w:lineRule="exact"/>
              <w:ind w:firstLine="480" w:firstLineChars="2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单位名称：</w:t>
            </w:r>
            <w:r>
              <w:rPr>
                <w:rFonts w:hint="eastAsia" w:ascii="宋体" w:hAnsi="宋体" w:cs="宋体"/>
                <w:snapToGrid w:val="0"/>
                <w:color w:val="000000" w:themeColor="text1"/>
                <w:kern w:val="0"/>
                <w:sz w:val="24"/>
                <w:highlight w:val="none"/>
                <w:lang w:eastAsia="zh-CN"/>
                <w14:textFill>
                  <w14:solidFill>
                    <w14:schemeClr w14:val="tx1"/>
                  </w14:solidFill>
                </w14:textFill>
              </w:rPr>
              <w:t>翁源县公共资产管理中心</w:t>
            </w:r>
          </w:p>
          <w:p w14:paraId="57C76F5C">
            <w:pPr>
              <w:pStyle w:val="31"/>
              <w:keepNext w:val="0"/>
              <w:keepLines w:val="0"/>
              <w:pageBreakBefore w:val="0"/>
              <w:widowControl w:val="0"/>
              <w:kinsoku/>
              <w:overflowPunct/>
              <w:topLinePunct w:val="0"/>
              <w:autoSpaceDE/>
              <w:autoSpaceDN/>
              <w:bidi w:val="0"/>
              <w:spacing w:line="360" w:lineRule="exact"/>
              <w:ind w:firstLine="480" w:firstLineChars="200"/>
              <w:jc w:val="left"/>
              <w:rPr>
                <w:rFonts w:hint="eastAsia" w:ascii="宋体" w:hAnsi="宋体" w:eastAsia="宋体" w:cs="宋体"/>
                <w:snapToGrid w:val="0"/>
                <w:color w:val="000000" w:themeColor="text1"/>
                <w:kern w:val="0"/>
                <w:sz w:val="24"/>
                <w:highlight w:val="none"/>
                <w:lang w:val="zh-CN" w:eastAsia="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办公地址：</w:t>
            </w:r>
            <w:r>
              <w:rPr>
                <w:rFonts w:hint="eastAsia" w:ascii="宋体" w:hAnsi="宋体" w:cs="宋体"/>
                <w:snapToGrid w:val="0"/>
                <w:color w:val="000000" w:themeColor="text1"/>
                <w:kern w:val="0"/>
                <w:sz w:val="24"/>
                <w:highlight w:val="none"/>
                <w:lang w:eastAsia="zh-CN"/>
                <w14:textFill>
                  <w14:solidFill>
                    <w14:schemeClr w14:val="tx1"/>
                  </w14:solidFill>
                </w14:textFill>
              </w:rPr>
              <w:t>翁源县前进路33号</w:t>
            </w:r>
          </w:p>
          <w:p w14:paraId="223F4EF6">
            <w:pPr>
              <w:pStyle w:val="32"/>
              <w:keepNext w:val="0"/>
              <w:keepLines w:val="0"/>
              <w:pageBreakBefore w:val="0"/>
              <w:widowControl w:val="0"/>
              <w:kinsoku/>
              <w:overflowPunct/>
              <w:topLinePunct w:val="0"/>
              <w:autoSpaceDE/>
              <w:autoSpaceDN/>
              <w:bidi w:val="0"/>
              <w:spacing w:line="360" w:lineRule="exact"/>
              <w:ind w:firstLine="480" w:firstLineChars="2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联系人（部门）：</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曾</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先生</w:t>
            </w:r>
          </w:p>
          <w:p w14:paraId="09E5AB8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联系电话：</w:t>
            </w:r>
            <w:r>
              <w:rPr>
                <w:rFonts w:hint="eastAsia" w:hAnsi="宋体" w:cs="宋体"/>
                <w:snapToGrid w:val="0"/>
                <w:color w:val="000000" w:themeColor="text1"/>
                <w:kern w:val="0"/>
                <w:sz w:val="24"/>
                <w:szCs w:val="24"/>
                <w:highlight w:val="none"/>
                <w:lang w:eastAsia="zh-CN"/>
                <w14:textFill>
                  <w14:solidFill>
                    <w14:schemeClr w14:val="tx1"/>
                  </w14:solidFill>
                </w14:textFill>
              </w:rPr>
              <w:t>0751-2823606</w:t>
            </w:r>
          </w:p>
        </w:tc>
      </w:tr>
      <w:tr w14:paraId="5CE6B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5" w:hRule="atLeast"/>
        </w:trPr>
        <w:tc>
          <w:tcPr>
            <w:tcW w:w="721" w:type="dxa"/>
            <w:tcBorders>
              <w:top w:val="single" w:color="auto" w:sz="4" w:space="0"/>
              <w:left w:val="single" w:color="auto" w:sz="4" w:space="0"/>
              <w:bottom w:val="single" w:color="auto" w:sz="4" w:space="0"/>
              <w:right w:val="single" w:color="auto" w:sz="4" w:space="0"/>
            </w:tcBorders>
            <w:vAlign w:val="center"/>
          </w:tcPr>
          <w:p w14:paraId="33A7F9AB">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7</w:t>
            </w:r>
          </w:p>
        </w:tc>
        <w:tc>
          <w:tcPr>
            <w:tcW w:w="1725" w:type="dxa"/>
            <w:tcBorders>
              <w:top w:val="single" w:color="auto" w:sz="4" w:space="0"/>
              <w:left w:val="single" w:color="auto" w:sz="4" w:space="0"/>
              <w:bottom w:val="single" w:color="auto" w:sz="4" w:space="0"/>
              <w:right w:val="single" w:color="auto" w:sz="4" w:space="0"/>
            </w:tcBorders>
            <w:vAlign w:val="center"/>
          </w:tcPr>
          <w:p w14:paraId="036A814F">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p w14:paraId="4881BED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7189" w:type="dxa"/>
            <w:tcBorders>
              <w:top w:val="single" w:color="auto" w:sz="4" w:space="0"/>
              <w:left w:val="single" w:color="auto" w:sz="4" w:space="0"/>
              <w:bottom w:val="single" w:color="auto" w:sz="4" w:space="0"/>
              <w:right w:val="single" w:color="auto" w:sz="4" w:space="0"/>
            </w:tcBorders>
            <w:vAlign w:val="center"/>
          </w:tcPr>
          <w:p w14:paraId="287000D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default" w:hAnsi="宋体" w:eastAsia="宋体" w:cs="宋体"/>
                <w:snapToGrid w:val="0"/>
                <w:color w:val="000000" w:themeColor="text1"/>
                <w:kern w:val="0"/>
                <w:szCs w:val="24"/>
                <w:highlight w:val="none"/>
                <w:lang w:val="en-US" w:eastAsia="zh-CN"/>
                <w14:textFill>
                  <w14:solidFill>
                    <w14:schemeClr w14:val="tx1"/>
                  </w14:solidFill>
                </w14:textFill>
              </w:rPr>
              <w:t>单位名称：广州穗峰建设工程监理有限公司</w:t>
            </w:r>
          </w:p>
          <w:p w14:paraId="53CE61F9">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default" w:hAnsi="宋体" w:eastAsia="宋体" w:cs="宋体"/>
                <w:snapToGrid w:val="0"/>
                <w:color w:val="000000" w:themeColor="text1"/>
                <w:kern w:val="0"/>
                <w:szCs w:val="24"/>
                <w:highlight w:val="none"/>
                <w:lang w:val="en-US" w:eastAsia="zh-CN"/>
                <w14:textFill>
                  <w14:solidFill>
                    <w14:schemeClr w14:val="tx1"/>
                  </w14:solidFill>
                </w14:textFill>
              </w:rPr>
              <w:t>办公地址：韶关市武江区芙蓉北路29号4楼</w:t>
            </w:r>
          </w:p>
          <w:p w14:paraId="10F29D4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default" w:hAnsi="宋体" w:eastAsia="宋体" w:cs="宋体"/>
                <w:snapToGrid w:val="0"/>
                <w:color w:val="000000" w:themeColor="text1"/>
                <w:kern w:val="0"/>
                <w:szCs w:val="24"/>
                <w:highlight w:val="none"/>
                <w:lang w:val="en-US" w:eastAsia="zh-CN"/>
                <w14:textFill>
                  <w14:solidFill>
                    <w14:schemeClr w14:val="tx1"/>
                  </w14:solidFill>
                </w14:textFill>
              </w:rPr>
              <w:t>联系人(部门)：蒋工、王工</w:t>
            </w:r>
          </w:p>
          <w:p w14:paraId="4A3F3FA8">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default" w:hAnsi="宋体" w:eastAsia="宋体" w:cs="宋体"/>
                <w:snapToGrid w:val="0"/>
                <w:color w:val="000000" w:themeColor="text1"/>
                <w:kern w:val="0"/>
                <w:szCs w:val="24"/>
                <w:highlight w:val="none"/>
                <w:lang w:val="en-US" w:eastAsia="zh-CN"/>
                <w14:textFill>
                  <w14:solidFill>
                    <w14:schemeClr w14:val="tx1"/>
                  </w14:solidFill>
                </w14:textFill>
              </w:rPr>
              <w:t>联系电话：0751-8846118</w:t>
            </w:r>
          </w:p>
        </w:tc>
      </w:tr>
      <w:tr w14:paraId="6ED4D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70" w:hRule="atLeast"/>
        </w:trPr>
        <w:tc>
          <w:tcPr>
            <w:tcW w:w="721" w:type="dxa"/>
            <w:tcBorders>
              <w:top w:val="single" w:color="auto" w:sz="4" w:space="0"/>
              <w:left w:val="single" w:color="auto" w:sz="4" w:space="0"/>
              <w:bottom w:val="single" w:color="auto" w:sz="4" w:space="0"/>
              <w:right w:val="single" w:color="auto" w:sz="4" w:space="0"/>
            </w:tcBorders>
            <w:vAlign w:val="center"/>
          </w:tcPr>
          <w:p w14:paraId="2BF93F89">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8</w:t>
            </w:r>
          </w:p>
        </w:tc>
        <w:tc>
          <w:tcPr>
            <w:tcW w:w="1725" w:type="dxa"/>
            <w:tcBorders>
              <w:top w:val="single" w:color="auto" w:sz="4" w:space="0"/>
              <w:left w:val="single" w:color="auto" w:sz="4" w:space="0"/>
              <w:bottom w:val="single" w:color="auto" w:sz="4" w:space="0"/>
              <w:right w:val="single" w:color="auto" w:sz="4" w:space="0"/>
            </w:tcBorders>
            <w:vAlign w:val="center"/>
          </w:tcPr>
          <w:p w14:paraId="68AA267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交易场所</w:t>
            </w:r>
          </w:p>
          <w:p w14:paraId="07046442">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7189" w:type="dxa"/>
            <w:tcBorders>
              <w:top w:val="single" w:color="auto" w:sz="4" w:space="0"/>
              <w:left w:val="single" w:color="auto" w:sz="4" w:space="0"/>
              <w:bottom w:val="single" w:color="auto" w:sz="4" w:space="0"/>
              <w:right w:val="single" w:color="auto" w:sz="4" w:space="0"/>
            </w:tcBorders>
            <w:vAlign w:val="center"/>
          </w:tcPr>
          <w:p w14:paraId="35CCFCF8">
            <w:pPr>
              <w:keepNext w:val="0"/>
              <w:keepLines w:val="0"/>
              <w:pageBreakBefore w:val="0"/>
              <w:widowControl w:val="0"/>
              <w:kinsoku/>
              <w:overflowPunct/>
              <w:topLinePunct w:val="0"/>
              <w:autoSpaceDE/>
              <w:autoSpaceDN/>
              <w:bidi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单位名称：韶关市公共资源交易中心</w:t>
            </w:r>
          </w:p>
          <w:p w14:paraId="422241AB">
            <w:pPr>
              <w:keepNext w:val="0"/>
              <w:keepLines w:val="0"/>
              <w:pageBreakBefore w:val="0"/>
              <w:widowControl w:val="0"/>
              <w:kinsoku/>
              <w:overflowPunct/>
              <w:topLinePunct w:val="0"/>
              <w:autoSpaceDE/>
              <w:autoSpaceDN/>
              <w:bidi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办公地址：翁源县龙仙镇朝阳路63号韶关市公共资源交易中心翁源分中心</w:t>
            </w:r>
          </w:p>
          <w:p w14:paraId="02F4542F">
            <w:pPr>
              <w:keepNext w:val="0"/>
              <w:keepLines w:val="0"/>
              <w:pageBreakBefore w:val="0"/>
              <w:widowControl w:val="0"/>
              <w:kinsoku/>
              <w:overflowPunct/>
              <w:topLinePunct w:val="0"/>
              <w:autoSpaceDE/>
              <w:autoSpaceDN/>
              <w:bidi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联系人（部门）：工程交易股 </w:t>
            </w:r>
          </w:p>
          <w:p w14:paraId="05495AC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联系电话：0751-2815819</w:t>
            </w:r>
          </w:p>
        </w:tc>
      </w:tr>
      <w:tr w14:paraId="488F8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58" w:hRule="atLeast"/>
        </w:trPr>
        <w:tc>
          <w:tcPr>
            <w:tcW w:w="721" w:type="dxa"/>
            <w:tcBorders>
              <w:top w:val="single" w:color="auto" w:sz="4" w:space="0"/>
              <w:left w:val="single" w:color="auto" w:sz="4" w:space="0"/>
              <w:bottom w:val="single" w:color="auto" w:sz="4" w:space="0"/>
              <w:right w:val="single" w:color="auto" w:sz="4" w:space="0"/>
            </w:tcBorders>
            <w:vAlign w:val="center"/>
          </w:tcPr>
          <w:p w14:paraId="36086C24">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9</w:t>
            </w:r>
          </w:p>
        </w:tc>
        <w:tc>
          <w:tcPr>
            <w:tcW w:w="1725" w:type="dxa"/>
            <w:tcBorders>
              <w:top w:val="single" w:color="auto" w:sz="4" w:space="0"/>
              <w:left w:val="single" w:color="auto" w:sz="4" w:space="0"/>
              <w:bottom w:val="single" w:color="auto" w:sz="4" w:space="0"/>
              <w:right w:val="single" w:color="auto" w:sz="4" w:space="0"/>
            </w:tcBorders>
            <w:vAlign w:val="center"/>
          </w:tcPr>
          <w:p w14:paraId="1242C77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行政监督部门</w:t>
            </w:r>
          </w:p>
          <w:p w14:paraId="56BFD096">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7189" w:type="dxa"/>
            <w:tcBorders>
              <w:top w:val="single" w:color="auto" w:sz="4" w:space="0"/>
              <w:left w:val="single" w:color="auto" w:sz="4" w:space="0"/>
              <w:bottom w:val="single" w:color="auto" w:sz="4" w:space="0"/>
              <w:right w:val="single" w:color="auto" w:sz="4" w:space="0"/>
            </w:tcBorders>
            <w:vAlign w:val="center"/>
          </w:tcPr>
          <w:p w14:paraId="0E1D9134">
            <w:pPr>
              <w:keepNext w:val="0"/>
              <w:keepLines w:val="0"/>
              <w:pageBreakBefore w:val="0"/>
              <w:widowControl w:val="0"/>
              <w:kinsoku/>
              <w:overflowPunct/>
              <w:topLinePunct w:val="0"/>
              <w:autoSpaceDE/>
              <w:autoSpaceDN/>
              <w:bidi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单位名称：翁源县住房和城乡建设管理局</w:t>
            </w:r>
          </w:p>
          <w:p w14:paraId="5A774017">
            <w:pPr>
              <w:keepNext w:val="0"/>
              <w:keepLines w:val="0"/>
              <w:pageBreakBefore w:val="0"/>
              <w:widowControl w:val="0"/>
              <w:kinsoku/>
              <w:overflowPunct/>
              <w:topLinePunct w:val="0"/>
              <w:autoSpaceDE/>
              <w:autoSpaceDN/>
              <w:bidi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办公地址：翁源县龙仙镇朝阳路186号</w:t>
            </w:r>
          </w:p>
          <w:p w14:paraId="14A7D8E8">
            <w:pPr>
              <w:keepNext w:val="0"/>
              <w:keepLines w:val="0"/>
              <w:pageBreakBefore w:val="0"/>
              <w:widowControl w:val="0"/>
              <w:kinsoku/>
              <w:overflowPunct/>
              <w:topLinePunct w:val="0"/>
              <w:autoSpaceDE/>
              <w:autoSpaceDN/>
              <w:bidi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联系人(部门)：建管股</w:t>
            </w:r>
          </w:p>
          <w:p w14:paraId="1454843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联系电话：0751-2870501 </w:t>
            </w:r>
            <w:r>
              <w:rPr>
                <w:rFonts w:hint="eastAsia" w:hAnsi="宋体" w:cs="宋体"/>
                <w:snapToGrid w:val="0"/>
                <w:color w:val="000000" w:themeColor="text1"/>
                <w:kern w:val="0"/>
                <w:szCs w:val="24"/>
                <w:highlight w:val="none"/>
                <w14:textFill>
                  <w14:solidFill>
                    <w14:schemeClr w14:val="tx1"/>
                  </w14:solidFill>
                </w14:textFill>
              </w:rPr>
              <w:t> </w:t>
            </w:r>
          </w:p>
        </w:tc>
      </w:tr>
      <w:bookmarkEnd w:id="4"/>
      <w:tr w14:paraId="391F8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45" w:hRule="atLeast"/>
        </w:trPr>
        <w:tc>
          <w:tcPr>
            <w:tcW w:w="721" w:type="dxa"/>
            <w:tcBorders>
              <w:top w:val="single" w:color="auto" w:sz="4" w:space="0"/>
              <w:left w:val="single" w:color="auto" w:sz="4" w:space="0"/>
              <w:bottom w:val="single" w:color="auto" w:sz="4" w:space="0"/>
              <w:right w:val="single" w:color="auto" w:sz="4" w:space="0"/>
            </w:tcBorders>
            <w:vAlign w:val="center"/>
          </w:tcPr>
          <w:p w14:paraId="6779891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bookmarkStart w:id="5" w:name="_Toc122859103"/>
            <w:bookmarkStart w:id="6" w:name="_Toc122671103"/>
            <w:bookmarkStart w:id="7" w:name="_Toc122769943"/>
            <w:r>
              <w:rPr>
                <w:rFonts w:hint="eastAsia" w:hAnsi="宋体" w:cs="宋体"/>
                <w:snapToGrid w:val="0"/>
                <w:color w:val="000000" w:themeColor="text1"/>
                <w:kern w:val="0"/>
                <w:szCs w:val="24"/>
                <w:highlight w:val="none"/>
                <w:lang w:val="en-US" w:eastAsia="zh-CN"/>
                <w14:textFill>
                  <w14:solidFill>
                    <w14:schemeClr w14:val="tx1"/>
                  </w14:solidFill>
                </w14:textFill>
              </w:rPr>
              <w:t>30</w:t>
            </w:r>
          </w:p>
        </w:tc>
        <w:tc>
          <w:tcPr>
            <w:tcW w:w="1725" w:type="dxa"/>
            <w:tcBorders>
              <w:top w:val="single" w:color="auto" w:sz="4" w:space="0"/>
              <w:left w:val="single" w:color="auto" w:sz="4" w:space="0"/>
              <w:bottom w:val="single" w:color="auto" w:sz="4" w:space="0"/>
              <w:right w:val="single" w:color="auto" w:sz="4" w:space="0"/>
            </w:tcBorders>
            <w:vAlign w:val="center"/>
          </w:tcPr>
          <w:p w14:paraId="1F8B023A">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术语</w:t>
            </w:r>
          </w:p>
        </w:tc>
        <w:tc>
          <w:tcPr>
            <w:tcW w:w="7189" w:type="dxa"/>
            <w:tcBorders>
              <w:top w:val="single" w:color="auto" w:sz="4" w:space="0"/>
              <w:left w:val="single" w:color="auto" w:sz="4" w:space="0"/>
              <w:bottom w:val="single" w:color="auto" w:sz="4" w:space="0"/>
              <w:right w:val="single" w:color="auto" w:sz="4" w:space="0"/>
            </w:tcBorders>
            <w:vAlign w:val="center"/>
          </w:tcPr>
          <w:p w14:paraId="187905E9">
            <w:pPr>
              <w:pStyle w:val="7"/>
              <w:keepNext w:val="0"/>
              <w:keepLines w:val="0"/>
              <w:pageBreakBefore w:val="0"/>
              <w:widowControl w:val="0"/>
              <w:kinsoku/>
              <w:overflowPunct/>
              <w:topLinePunct w:val="0"/>
              <w:autoSpaceDE/>
              <w:autoSpaceDN/>
              <w:bidi w:val="0"/>
              <w:spacing w:line="360" w:lineRule="exact"/>
              <w:ind w:firstLine="480" w:firstLineChars="200"/>
              <w:rPr>
                <w:rFonts w:hint="eastAsia" w:ascii="宋体" w:hAnsi="宋体" w:eastAsia="宋体" w:cs="宋体"/>
                <w:color w:val="000000" w:themeColor="text1"/>
                <w:kern w:val="2"/>
                <w:highlight w:val="none"/>
                <w:lang w:eastAsia="zh-CN"/>
                <w14:textFill>
                  <w14:solidFill>
                    <w14:schemeClr w14:val="tx1"/>
                  </w14:solidFill>
                </w14:textFill>
              </w:rPr>
            </w:pPr>
            <w:r>
              <w:rPr>
                <w:rFonts w:hint="eastAsia" w:ascii="宋体" w:hAnsi="宋体" w:eastAsia="宋体" w:cs="宋体"/>
                <w:color w:val="000000" w:themeColor="text1"/>
                <w:kern w:val="2"/>
                <w:highlight w:val="none"/>
                <w:lang w:eastAsia="zh-CN"/>
                <w14:textFill>
                  <w14:solidFill>
                    <w14:schemeClr w14:val="tx1"/>
                  </w14:solidFill>
                </w14:textFill>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643E106">
            <w:pPr>
              <w:pStyle w:val="7"/>
              <w:keepNext w:val="0"/>
              <w:keepLines w:val="0"/>
              <w:pageBreakBefore w:val="0"/>
              <w:widowControl w:val="0"/>
              <w:kinsoku/>
              <w:overflowPunct/>
              <w:topLinePunct w:val="0"/>
              <w:autoSpaceDE/>
              <w:autoSpaceDN/>
              <w:bidi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2"/>
                <w:highlight w:val="none"/>
                <w:lang w:eastAsia="zh-CN"/>
                <w14:textFill>
                  <w14:solidFill>
                    <w14:schemeClr w14:val="tx1"/>
                  </w14:solidFill>
                </w14:textFill>
              </w:rPr>
              <w:t>2．“相关服务”是指监理人受委托人的委托，按照合同约定，在勘察、设计、保修等阶段提供的服务活动。</w:t>
            </w:r>
          </w:p>
        </w:tc>
      </w:tr>
      <w:bookmarkEnd w:id="5"/>
      <w:bookmarkEnd w:id="6"/>
      <w:bookmarkEnd w:id="7"/>
      <w:tr w14:paraId="5E04D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20" w:hRule="atLeast"/>
        </w:trPr>
        <w:tc>
          <w:tcPr>
            <w:tcW w:w="721" w:type="dxa"/>
            <w:tcBorders>
              <w:top w:val="single" w:color="auto" w:sz="4" w:space="0"/>
              <w:left w:val="single" w:color="auto" w:sz="4" w:space="0"/>
              <w:bottom w:val="single" w:color="auto" w:sz="4" w:space="0"/>
              <w:right w:val="single" w:color="auto" w:sz="4" w:space="0"/>
            </w:tcBorders>
            <w:vAlign w:val="center"/>
          </w:tcPr>
          <w:p w14:paraId="32518216">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w:t>
            </w:r>
            <w:r>
              <w:rPr>
                <w:rFonts w:hint="eastAsia" w:hAnsi="宋体" w:cs="宋体"/>
                <w:snapToGrid w:val="0"/>
                <w:color w:val="000000" w:themeColor="text1"/>
                <w:kern w:val="0"/>
                <w:szCs w:val="24"/>
                <w:highlight w:val="none"/>
                <w:lang w:val="en-US" w:eastAsia="zh-CN"/>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403CCA3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其他费用</w:t>
            </w:r>
          </w:p>
        </w:tc>
        <w:tc>
          <w:tcPr>
            <w:tcW w:w="7189" w:type="dxa"/>
            <w:tcBorders>
              <w:top w:val="single" w:color="auto" w:sz="4" w:space="0"/>
              <w:left w:val="single" w:color="auto" w:sz="4" w:space="0"/>
              <w:bottom w:val="single" w:color="auto" w:sz="4" w:space="0"/>
              <w:right w:val="single" w:color="auto" w:sz="4" w:space="0"/>
            </w:tcBorders>
            <w:vAlign w:val="center"/>
          </w:tcPr>
          <w:p w14:paraId="40B5F053">
            <w:pPr>
              <w:pStyle w:val="7"/>
              <w:keepNext w:val="0"/>
              <w:keepLines w:val="0"/>
              <w:pageBreakBefore w:val="0"/>
              <w:widowControl w:val="0"/>
              <w:kinsoku/>
              <w:overflowPunct/>
              <w:topLinePunct w:val="0"/>
              <w:autoSpaceDE/>
              <w:autoSpaceDN/>
              <w:bidi w:val="0"/>
              <w:spacing w:line="360" w:lineRule="exact"/>
              <w:ind w:firstLine="480" w:firstLineChars="200"/>
              <w:rPr>
                <w:rFonts w:hAnsi="宋体" w:cs="宋体"/>
                <w:snapToGrid w:val="0"/>
                <w:color w:val="000000" w:themeColor="text1"/>
                <w:szCs w:val="24"/>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本项目的招标代理服务费及评标专家酬劳由中标人支付，由投标人在投标报价时综合考虑在内。招标代理服务费参照</w:t>
            </w:r>
            <w:r>
              <w:rPr>
                <w:rFonts w:hint="eastAsia" w:hAnsi="宋体" w:cs="宋体"/>
                <w:color w:val="000000" w:themeColor="text1"/>
                <w:kern w:val="2"/>
                <w:highlight w:val="none"/>
                <w:lang w:eastAsia="zh-CN"/>
                <w14:textFill>
                  <w14:solidFill>
                    <w14:schemeClr w14:val="tx1"/>
                  </w14:solidFill>
                </w14:textFill>
              </w:rPr>
              <w:t>参照《招标代理服务收费管理暂行办法》计价格[2002]1980号文，以最终中标金额为计算基数计算并下浮20%</w:t>
            </w:r>
            <w:r>
              <w:rPr>
                <w:rFonts w:hint="eastAsia" w:hAnsi="宋体" w:cs="宋体"/>
                <w:color w:val="000000" w:themeColor="text1"/>
                <w:kern w:val="2"/>
                <w:highlight w:val="none"/>
                <w14:textFill>
                  <w14:solidFill>
                    <w14:schemeClr w14:val="tx1"/>
                  </w14:solidFill>
                </w14:textFill>
              </w:rPr>
              <w:t>计取。中标人在领取中标通知书前须向招标代理机构一次性支付（评标专家酬劳先由招标代理垫付，以评标结束当日的评标专家酬劳签收表总额为准）。</w:t>
            </w:r>
          </w:p>
        </w:tc>
      </w:tr>
    </w:tbl>
    <w:p w14:paraId="30857AF1">
      <w:pPr>
        <w:pStyle w:val="3"/>
        <w:wordWrap w:val="0"/>
        <w:autoSpaceDE/>
        <w:autoSpaceDN/>
        <w:snapToGrid w:val="0"/>
        <w:spacing w:before="260" w:after="260" w:line="440" w:lineRule="exact"/>
        <w:jc w:val="both"/>
        <w:rPr>
          <w:rFonts w:ascii="Times New Roman"/>
          <w:b/>
          <w:snapToGrid w:val="0"/>
          <w:color w:val="000000" w:themeColor="text1"/>
          <w:highlight w:val="none"/>
          <w14:textFill>
            <w14:solidFill>
              <w14:schemeClr w14:val="tx1"/>
            </w14:solidFill>
          </w14:textFill>
        </w:rPr>
        <w:sectPr>
          <w:footerReference r:id="rId6" w:type="default"/>
          <w:endnotePr>
            <w:numFmt w:val="decimal"/>
          </w:endnotePr>
          <w:pgSz w:w="11906" w:h="16838"/>
          <w:pgMar w:top="1440" w:right="1080" w:bottom="1440" w:left="1080" w:header="850" w:footer="992" w:gutter="0"/>
          <w:pgNumType w:fmt="decimal" w:start="1"/>
          <w:cols w:space="0" w:num="1"/>
          <w:docGrid w:linePitch="327" w:charSpace="0"/>
        </w:sectPr>
      </w:pPr>
    </w:p>
    <w:p w14:paraId="35BA690F">
      <w:pPr>
        <w:pStyle w:val="3"/>
        <w:wordWrap w:val="0"/>
        <w:autoSpaceDE/>
        <w:autoSpaceDN/>
        <w:snapToGrid w:val="0"/>
        <w:spacing w:after="120" w:afterLines="50" w:line="440" w:lineRule="exact"/>
        <w:jc w:val="both"/>
        <w:rPr>
          <w:rFonts w:ascii="Times New Roman"/>
          <w:snapToGrid w:val="0"/>
          <w:color w:val="000000" w:themeColor="text1"/>
          <w:highlight w:val="none"/>
          <w14:textFill>
            <w14:solidFill>
              <w14:schemeClr w14:val="tx1"/>
            </w14:solidFill>
          </w14:textFill>
        </w:rPr>
      </w:pPr>
      <w:bookmarkStart w:id="8" w:name="_Toc714"/>
      <w:bookmarkStart w:id="9" w:name="_Toc29035"/>
      <w:r>
        <w:rPr>
          <w:rFonts w:hint="eastAsia" w:ascii="Times New Roman"/>
          <w:b/>
          <w:snapToGrid w:val="0"/>
          <w:color w:val="000000" w:themeColor="text1"/>
          <w:highlight w:val="none"/>
          <w14:textFill>
            <w14:solidFill>
              <w14:schemeClr w14:val="tx1"/>
            </w14:solidFill>
          </w14:textFill>
        </w:rPr>
        <w:t>第二节 重要事项时间地点一览表</w:t>
      </w:r>
      <w:bookmarkEnd w:id="8"/>
      <w:bookmarkEnd w:id="9"/>
    </w:p>
    <w:tbl>
      <w:tblPr>
        <w:tblStyle w:val="19"/>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11"/>
        <w:gridCol w:w="1472"/>
        <w:gridCol w:w="7296"/>
      </w:tblGrid>
      <w:tr w14:paraId="7DFF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411" w:type="dxa"/>
            <w:shd w:val="clear" w:color="auto" w:fill="FFFFFF"/>
            <w:vAlign w:val="center"/>
          </w:tcPr>
          <w:p w14:paraId="60C699C5">
            <w:pPr>
              <w:pStyle w:val="32"/>
              <w:wordWrap w:val="0"/>
              <w:adjustRightInd w:val="0"/>
              <w:snapToGrid w:val="0"/>
              <w:spacing w:after="260"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1</w:t>
            </w:r>
          </w:p>
        </w:tc>
        <w:tc>
          <w:tcPr>
            <w:tcW w:w="1472" w:type="dxa"/>
            <w:shd w:val="clear" w:color="auto" w:fill="FFFFFF"/>
            <w:vAlign w:val="center"/>
          </w:tcPr>
          <w:p w14:paraId="6BC2BCAE">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招标公告</w:t>
            </w:r>
          </w:p>
          <w:p w14:paraId="7A0FB4AB">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发布时间</w:t>
            </w:r>
          </w:p>
        </w:tc>
        <w:tc>
          <w:tcPr>
            <w:tcW w:w="7296" w:type="dxa"/>
            <w:shd w:val="clear" w:color="auto" w:fill="FFFFFF"/>
            <w:vAlign w:val="center"/>
          </w:tcPr>
          <w:p w14:paraId="55307005">
            <w:pPr>
              <w:pStyle w:val="18"/>
              <w:spacing w:before="0" w:beforeAutospacing="0" w:after="150" w:afterAutospacing="0" w:line="360" w:lineRule="atLeast"/>
              <w:ind w:left="240" w:hanging="240" w:hanging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2025</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17</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lang w:val="en-US" w:eastAsia="zh-CN"/>
                <w14:textFill>
                  <w14:solidFill>
                    <w14:schemeClr w14:val="tx1"/>
                  </w14:solidFill>
                </w14:textFill>
              </w:rPr>
              <w:t>00</w:t>
            </w:r>
            <w:r>
              <w:rPr>
                <w:rFonts w:hint="eastAsia"/>
                <w:color w:val="000000" w:themeColor="text1"/>
                <w:highlight w:val="none"/>
                <w14:textFill>
                  <w14:solidFill>
                    <w14:schemeClr w14:val="tx1"/>
                  </w14:solidFill>
                </w14:textFill>
              </w:rPr>
              <w:t>分</w:t>
            </w:r>
          </w:p>
        </w:tc>
      </w:tr>
      <w:tr w14:paraId="471D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shd w:val="clear" w:color="auto" w:fill="FFFFFF"/>
            <w:vAlign w:val="center"/>
          </w:tcPr>
          <w:p w14:paraId="48177DBB">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472" w:type="dxa"/>
            <w:shd w:val="clear" w:color="auto" w:fill="FFFFFF"/>
            <w:vAlign w:val="center"/>
          </w:tcPr>
          <w:p w14:paraId="3C4D7E8C">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获取招标文件截止时间</w:t>
            </w:r>
          </w:p>
        </w:tc>
        <w:tc>
          <w:tcPr>
            <w:tcW w:w="7296" w:type="dxa"/>
            <w:shd w:val="clear" w:color="auto" w:fill="FFFFFF"/>
            <w:vAlign w:val="center"/>
          </w:tcPr>
          <w:p w14:paraId="397CB202">
            <w:pPr>
              <w:pStyle w:val="18"/>
              <w:spacing w:before="0" w:beforeAutospacing="0" w:after="150" w:afterAutospacing="0" w:line="360" w:lineRule="atLeas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14</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分</w:t>
            </w:r>
          </w:p>
        </w:tc>
      </w:tr>
      <w:tr w14:paraId="04D0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shd w:val="clear" w:color="auto" w:fill="FFFFFF"/>
            <w:vAlign w:val="center"/>
          </w:tcPr>
          <w:p w14:paraId="610D5F64">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472" w:type="dxa"/>
            <w:shd w:val="clear" w:color="auto" w:fill="FFFFFF"/>
            <w:vAlign w:val="center"/>
          </w:tcPr>
          <w:p w14:paraId="1AD9B7EF">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网上提问</w:t>
            </w:r>
          </w:p>
          <w:p w14:paraId="5FDDDDEE">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截止时间</w:t>
            </w:r>
          </w:p>
        </w:tc>
        <w:tc>
          <w:tcPr>
            <w:tcW w:w="7296" w:type="dxa"/>
            <w:shd w:val="clear" w:color="auto" w:fill="FFFFFF"/>
            <w:vAlign w:val="center"/>
          </w:tcPr>
          <w:p w14:paraId="02B33C4E">
            <w:pPr>
              <w:pStyle w:val="18"/>
              <w:spacing w:before="0" w:beforeAutospacing="0" w:after="150" w:afterAutospacing="0" w:line="360" w:lineRule="atLeas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14:textFill>
                  <w14:solidFill>
                    <w14:schemeClr w14:val="tx1"/>
                  </w14:solidFill>
                </w14:textFill>
              </w:rPr>
              <w:t xml:space="preserve">16 </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14:textFill>
                  <w14:solidFill>
                    <w14:schemeClr w14:val="tx1"/>
                  </w14:solidFill>
                </w14:textFill>
              </w:rPr>
              <w:t>00</w:t>
            </w:r>
            <w:r>
              <w:rPr>
                <w:rFonts w:hint="eastAsia"/>
                <w:color w:val="000000" w:themeColor="text1"/>
                <w:highlight w:val="none"/>
                <w14:textFill>
                  <w14:solidFill>
                    <w14:schemeClr w14:val="tx1"/>
                  </w14:solidFill>
                </w14:textFill>
              </w:rPr>
              <w:t>分</w:t>
            </w:r>
          </w:p>
        </w:tc>
      </w:tr>
      <w:tr w14:paraId="5221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411" w:type="dxa"/>
            <w:shd w:val="clear" w:color="auto" w:fill="FFFFFF"/>
            <w:vAlign w:val="center"/>
          </w:tcPr>
          <w:p w14:paraId="3B85203A">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472" w:type="dxa"/>
            <w:shd w:val="clear" w:color="auto" w:fill="FFFFFF"/>
            <w:vAlign w:val="center"/>
          </w:tcPr>
          <w:p w14:paraId="007F0028">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网上答疑</w:t>
            </w:r>
          </w:p>
          <w:p w14:paraId="3B1D83A1">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时间</w:t>
            </w:r>
          </w:p>
        </w:tc>
        <w:tc>
          <w:tcPr>
            <w:tcW w:w="7296" w:type="dxa"/>
            <w:shd w:val="clear" w:color="auto" w:fill="FFFFFF"/>
            <w:vAlign w:val="center"/>
          </w:tcPr>
          <w:p w14:paraId="0EE46CDC">
            <w:pPr>
              <w:pStyle w:val="18"/>
              <w:spacing w:before="0" w:beforeAutospacing="0" w:after="150" w:afterAutospacing="0" w:line="360" w:lineRule="atLeast"/>
              <w:ind w:left="240" w:hanging="240" w:hanging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日</w:t>
            </w:r>
            <w:r>
              <w:rPr>
                <w:rFonts w:hint="eastAsia"/>
                <w:color w:val="000000" w:themeColor="text1"/>
                <w:kern w:val="2"/>
                <w:highlight w:val="none"/>
                <w:u w:val="single"/>
                <w14:textFill>
                  <w14:solidFill>
                    <w14:schemeClr w14:val="tx1"/>
                  </w14:solidFill>
                </w14:textFill>
              </w:rPr>
              <w:t xml:space="preserve">16 </w:t>
            </w:r>
            <w:r>
              <w:rPr>
                <w:rFonts w:hint="eastAsia"/>
                <w:color w:val="000000" w:themeColor="text1"/>
                <w:kern w:val="2"/>
                <w:highlight w:val="none"/>
                <w14:textFill>
                  <w14:solidFill>
                    <w14:schemeClr w14:val="tx1"/>
                  </w14:solidFill>
                </w14:textFill>
              </w:rPr>
              <w:t>时</w:t>
            </w:r>
            <w:r>
              <w:rPr>
                <w:rFonts w:hint="eastAsia"/>
                <w:color w:val="000000" w:themeColor="text1"/>
                <w:kern w:val="2"/>
                <w:highlight w:val="none"/>
                <w:u w:val="single"/>
                <w14:textFill>
                  <w14:solidFill>
                    <w14:schemeClr w14:val="tx1"/>
                  </w14:solidFill>
                </w14:textFill>
              </w:rPr>
              <w:t>30</w:t>
            </w:r>
            <w:r>
              <w:rPr>
                <w:rFonts w:hint="eastAsia"/>
                <w:color w:val="000000" w:themeColor="text1"/>
                <w:kern w:val="2"/>
                <w:highlight w:val="none"/>
                <w14:textFill>
                  <w14:solidFill>
                    <w14:schemeClr w14:val="tx1"/>
                  </w14:solidFill>
                </w14:textFill>
              </w:rPr>
              <w:t>分至</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日</w:t>
            </w:r>
            <w:r>
              <w:rPr>
                <w:rFonts w:hint="eastAsia"/>
                <w:color w:val="000000" w:themeColor="text1"/>
                <w:kern w:val="2"/>
                <w:highlight w:val="none"/>
                <w:u w:val="single"/>
                <w14:textFill>
                  <w14:solidFill>
                    <w14:schemeClr w14:val="tx1"/>
                  </w14:solidFill>
                </w14:textFill>
              </w:rPr>
              <w:t>16</w:t>
            </w:r>
            <w:r>
              <w:rPr>
                <w:rFonts w:hint="eastAsia"/>
                <w:color w:val="000000" w:themeColor="text1"/>
                <w:kern w:val="2"/>
                <w:highlight w:val="none"/>
                <w14:textFill>
                  <w14:solidFill>
                    <w14:schemeClr w14:val="tx1"/>
                  </w14:solidFill>
                </w14:textFill>
              </w:rPr>
              <w:t>时</w:t>
            </w:r>
            <w:r>
              <w:rPr>
                <w:rFonts w:hint="eastAsia"/>
                <w:color w:val="000000" w:themeColor="text1"/>
                <w:kern w:val="2"/>
                <w:highlight w:val="none"/>
                <w:u w:val="single"/>
                <w14:textFill>
                  <w14:solidFill>
                    <w14:schemeClr w14:val="tx1"/>
                  </w14:solidFill>
                </w14:textFill>
              </w:rPr>
              <w:t>00</w:t>
            </w:r>
            <w:r>
              <w:rPr>
                <w:rFonts w:hint="eastAsia"/>
                <w:color w:val="000000" w:themeColor="text1"/>
                <w:kern w:val="2"/>
                <w:highlight w:val="none"/>
                <w14:textFill>
                  <w14:solidFill>
                    <w14:schemeClr w14:val="tx1"/>
                  </w14:solidFill>
                </w14:textFill>
              </w:rPr>
              <w:t>分</w:t>
            </w:r>
          </w:p>
        </w:tc>
      </w:tr>
      <w:tr w14:paraId="1098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20" w:hRule="atLeast"/>
          <w:jc w:val="center"/>
        </w:trPr>
        <w:tc>
          <w:tcPr>
            <w:tcW w:w="411" w:type="dxa"/>
            <w:shd w:val="clear" w:color="auto" w:fill="FFFFFF"/>
            <w:vAlign w:val="center"/>
          </w:tcPr>
          <w:p w14:paraId="625B9A1E">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472" w:type="dxa"/>
            <w:shd w:val="clear" w:color="auto" w:fill="FFFFFF"/>
            <w:vAlign w:val="center"/>
          </w:tcPr>
          <w:p w14:paraId="01BAEE19">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投标保证缴</w:t>
            </w:r>
          </w:p>
          <w:p w14:paraId="78AC1A21">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纳截止时间</w:t>
            </w:r>
          </w:p>
        </w:tc>
        <w:tc>
          <w:tcPr>
            <w:tcW w:w="7296" w:type="dxa"/>
            <w:shd w:val="clear" w:color="auto" w:fill="FFFFFF"/>
            <w:vAlign w:val="center"/>
          </w:tcPr>
          <w:p w14:paraId="567B422F">
            <w:pPr>
              <w:pStyle w:val="18"/>
              <w:spacing w:before="0" w:beforeAutospacing="0" w:after="150" w:afterAutospacing="0" w:line="360" w:lineRule="atLeast"/>
              <w:ind w:firstLine="24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投标保证金到账截止时间：</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分；</w:t>
            </w:r>
          </w:p>
          <w:p w14:paraId="2E6F8E4A">
            <w:pPr>
              <w:pStyle w:val="18"/>
              <w:spacing w:before="0" w:beforeAutospacing="0" w:after="150" w:afterAutospacing="0" w:line="360" w:lineRule="atLeast"/>
              <w:ind w:firstLine="24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投标保证担保办理截止时间：</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分；</w:t>
            </w:r>
          </w:p>
          <w:p w14:paraId="7936C66D">
            <w:pPr>
              <w:pStyle w:val="18"/>
              <w:spacing w:before="0" w:beforeAutospacing="0" w:after="150" w:afterAutospacing="0" w:line="360" w:lineRule="atLeast"/>
              <w:ind w:firstLine="240" w:firstLineChars="100"/>
              <w:rPr>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投标保证保险投保截止时间：</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分</w:t>
            </w:r>
            <w:r>
              <w:rPr>
                <w:rFonts w:hint="eastAsia"/>
                <w:snapToGrid w:val="0"/>
                <w:color w:val="000000" w:themeColor="text1"/>
                <w:highlight w:val="none"/>
                <w14:textFill>
                  <w14:solidFill>
                    <w14:schemeClr w14:val="tx1"/>
                  </w14:solidFill>
                </w14:textFill>
              </w:rPr>
              <w:t>。</w:t>
            </w:r>
          </w:p>
        </w:tc>
      </w:tr>
      <w:tr w14:paraId="2657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1" w:type="dxa"/>
            <w:shd w:val="clear" w:color="auto" w:fill="FFFFFF"/>
            <w:vAlign w:val="center"/>
          </w:tcPr>
          <w:p w14:paraId="20E40634">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472" w:type="dxa"/>
            <w:shd w:val="clear" w:color="auto" w:fill="FFFFFF"/>
            <w:vAlign w:val="center"/>
          </w:tcPr>
          <w:p w14:paraId="06833E62">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电子投标</w:t>
            </w:r>
          </w:p>
          <w:p w14:paraId="6EF623C7">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截止时间</w:t>
            </w:r>
          </w:p>
        </w:tc>
        <w:tc>
          <w:tcPr>
            <w:tcW w:w="7296" w:type="dxa"/>
            <w:shd w:val="clear" w:color="auto" w:fill="FFFFFF"/>
            <w:vAlign w:val="center"/>
          </w:tcPr>
          <w:p w14:paraId="1AA561A7">
            <w:pPr>
              <w:pStyle w:val="18"/>
              <w:spacing w:before="0" w:beforeAutospacing="0" w:after="150" w:afterAutospacing="0" w:line="360" w:lineRule="atLeas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14</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分</w:t>
            </w:r>
          </w:p>
        </w:tc>
      </w:tr>
      <w:tr w14:paraId="6940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77" w:hRule="atLeast"/>
          <w:jc w:val="center"/>
        </w:trPr>
        <w:tc>
          <w:tcPr>
            <w:tcW w:w="411" w:type="dxa"/>
            <w:shd w:val="clear" w:color="auto" w:fill="FFFFFF"/>
            <w:vAlign w:val="center"/>
          </w:tcPr>
          <w:p w14:paraId="10943642">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w:t>
            </w:r>
          </w:p>
        </w:tc>
        <w:tc>
          <w:tcPr>
            <w:tcW w:w="1472" w:type="dxa"/>
            <w:shd w:val="clear" w:color="auto" w:fill="FFFFFF"/>
            <w:vAlign w:val="center"/>
          </w:tcPr>
          <w:p w14:paraId="2856814A">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投标相关资料（如有）</w:t>
            </w:r>
          </w:p>
          <w:p w14:paraId="6707072D">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递交时间</w:t>
            </w:r>
          </w:p>
        </w:tc>
        <w:tc>
          <w:tcPr>
            <w:tcW w:w="7296" w:type="dxa"/>
            <w:shd w:val="clear" w:color="auto" w:fill="FFFFFF"/>
            <w:vAlign w:val="center"/>
          </w:tcPr>
          <w:p w14:paraId="2508DD20">
            <w:pPr>
              <w:pStyle w:val="32"/>
              <w:wordWrap w:val="0"/>
              <w:adjustRightInd w:val="0"/>
              <w:snapToGrid w:val="0"/>
              <w:spacing w:line="400" w:lineRule="exact"/>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分至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423E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77" w:hRule="atLeast"/>
          <w:jc w:val="center"/>
        </w:trPr>
        <w:tc>
          <w:tcPr>
            <w:tcW w:w="411" w:type="dxa"/>
            <w:shd w:val="clear" w:color="auto" w:fill="FFFFFF"/>
            <w:vAlign w:val="center"/>
          </w:tcPr>
          <w:p w14:paraId="638BA0E1">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p>
        </w:tc>
        <w:tc>
          <w:tcPr>
            <w:tcW w:w="1472" w:type="dxa"/>
            <w:shd w:val="clear" w:color="auto" w:fill="FFFFFF"/>
            <w:vAlign w:val="center"/>
          </w:tcPr>
          <w:p w14:paraId="311EBD91">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投标相关资料（如有）</w:t>
            </w:r>
          </w:p>
          <w:p w14:paraId="18A6888A">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递交地点</w:t>
            </w:r>
          </w:p>
        </w:tc>
        <w:tc>
          <w:tcPr>
            <w:tcW w:w="7296" w:type="dxa"/>
            <w:shd w:val="clear" w:color="auto" w:fill="FFFFFF"/>
            <w:vAlign w:val="center"/>
          </w:tcPr>
          <w:p w14:paraId="46AE8CCD">
            <w:pPr>
              <w:pStyle w:val="32"/>
              <w:wordWrap w:val="0"/>
              <w:adjustRightInd w:val="0"/>
              <w:snapToGrid w:val="0"/>
              <w:spacing w:line="400" w:lineRule="exact"/>
              <w:ind w:firstLine="240" w:firstLineChars="1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递交场所：</w:t>
            </w:r>
            <w:r>
              <w:rPr>
                <w:rFonts w:hint="eastAsia" w:ascii="宋体" w:hAnsi="宋体" w:cs="宋体"/>
                <w:color w:val="000000" w:themeColor="text1"/>
                <w:sz w:val="24"/>
                <w:highlight w:val="none"/>
                <w:u w:val="single"/>
                <w14:textFill>
                  <w14:solidFill>
                    <w14:schemeClr w14:val="tx1"/>
                  </w14:solidFill>
                </w14:textFill>
              </w:rPr>
              <w:t>韶关市公共资源交易中心翁源分中心</w:t>
            </w: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翁源县龙仙镇朝阳路63号韶关市公共资源交易中心翁源分中心</w:t>
            </w:r>
            <w:r>
              <w:rPr>
                <w:rFonts w:hint="eastAsia" w:ascii="宋体" w:hAnsi="宋体" w:cs="宋体"/>
                <w:color w:val="000000" w:themeColor="text1"/>
                <w:sz w:val="24"/>
                <w:highlight w:val="none"/>
                <w14:textFill>
                  <w14:solidFill>
                    <w14:schemeClr w14:val="tx1"/>
                  </w14:solidFill>
                </w14:textFill>
              </w:rPr>
              <w:t>，具体房间号以当日现场通知为准。</w:t>
            </w:r>
          </w:p>
        </w:tc>
      </w:tr>
      <w:tr w14:paraId="45FF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11" w:type="dxa"/>
            <w:shd w:val="clear" w:color="auto" w:fill="FFFFFF"/>
            <w:vAlign w:val="center"/>
          </w:tcPr>
          <w:p w14:paraId="06279585">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472" w:type="dxa"/>
            <w:shd w:val="clear" w:color="auto" w:fill="FFFFFF"/>
            <w:vAlign w:val="center"/>
          </w:tcPr>
          <w:p w14:paraId="68E65455">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开标时间</w:t>
            </w:r>
          </w:p>
        </w:tc>
        <w:tc>
          <w:tcPr>
            <w:tcW w:w="7296" w:type="dxa"/>
            <w:shd w:val="clear" w:color="auto" w:fill="FFFFFF"/>
            <w:vAlign w:val="center"/>
          </w:tcPr>
          <w:p w14:paraId="49E86854">
            <w:pPr>
              <w:pStyle w:val="18"/>
              <w:spacing w:before="0" w:beforeAutospacing="0" w:after="150" w:afterAutospacing="0" w:line="360" w:lineRule="atLeas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2026</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14</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分</w:t>
            </w:r>
          </w:p>
        </w:tc>
      </w:tr>
      <w:tr w14:paraId="1978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11" w:type="dxa"/>
            <w:shd w:val="clear" w:color="auto" w:fill="FFFFFF"/>
            <w:vAlign w:val="center"/>
          </w:tcPr>
          <w:p w14:paraId="40A87280">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472" w:type="dxa"/>
            <w:shd w:val="clear" w:color="auto" w:fill="FFFFFF"/>
            <w:vAlign w:val="center"/>
          </w:tcPr>
          <w:p w14:paraId="3EB25A42">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开标地点</w:t>
            </w:r>
          </w:p>
        </w:tc>
        <w:tc>
          <w:tcPr>
            <w:tcW w:w="7296" w:type="dxa"/>
            <w:shd w:val="clear" w:color="auto" w:fill="FFFFFF"/>
            <w:vAlign w:val="center"/>
          </w:tcPr>
          <w:p w14:paraId="14AD92E7">
            <w:pPr>
              <w:pStyle w:val="18"/>
              <w:spacing w:before="0" w:beforeAutospacing="0" w:after="150" w:afterAutospacing="0" w:line="360" w:lineRule="atLeast"/>
              <w:ind w:firstLine="210"/>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开标场所：</w:t>
            </w:r>
            <w:r>
              <w:rPr>
                <w:rFonts w:hint="eastAsia"/>
                <w:color w:val="000000" w:themeColor="text1"/>
                <w:kern w:val="2"/>
                <w:highlight w:val="none"/>
                <w:u w:val="single"/>
                <w14:textFill>
                  <w14:solidFill>
                    <w14:schemeClr w14:val="tx1"/>
                  </w14:solidFill>
                </w14:textFill>
              </w:rPr>
              <w:t>韶关市公共资源交易中心翁源分中心</w:t>
            </w:r>
            <w:r>
              <w:rPr>
                <w:rFonts w:hint="eastAsia"/>
                <w:color w:val="000000" w:themeColor="text1"/>
                <w:kern w:val="2"/>
                <w:highlight w:val="none"/>
                <w14:textFill>
                  <w14:solidFill>
                    <w14:schemeClr w14:val="tx1"/>
                  </w14:solidFill>
                </w14:textFill>
              </w:rPr>
              <w:t>，地址：</w:t>
            </w:r>
            <w:r>
              <w:rPr>
                <w:rFonts w:hint="eastAsia"/>
                <w:color w:val="000000" w:themeColor="text1"/>
                <w:kern w:val="2"/>
                <w:highlight w:val="none"/>
                <w:u w:val="single"/>
                <w14:textFill>
                  <w14:solidFill>
                    <w14:schemeClr w14:val="tx1"/>
                  </w14:solidFill>
                </w14:textFill>
              </w:rPr>
              <w:t>翁源县龙仙镇朝阳路63号韶关市公共资源交易中心翁源分中心</w:t>
            </w:r>
            <w:r>
              <w:rPr>
                <w:rFonts w:hint="eastAsia"/>
                <w:color w:val="000000" w:themeColor="text1"/>
                <w:kern w:val="2"/>
                <w:highlight w:val="none"/>
                <w14:textFill>
                  <w14:solidFill>
                    <w14:schemeClr w14:val="tx1"/>
                  </w14:solidFill>
                </w14:textFill>
              </w:rPr>
              <w:t>，具体房间号以当日现场通知为准。</w:t>
            </w:r>
          </w:p>
        </w:tc>
      </w:tr>
      <w:tr w14:paraId="2C43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50" w:hRule="atLeast"/>
          <w:jc w:val="center"/>
        </w:trPr>
        <w:tc>
          <w:tcPr>
            <w:tcW w:w="411" w:type="dxa"/>
            <w:shd w:val="clear" w:color="auto" w:fill="FFFFFF"/>
            <w:vAlign w:val="center"/>
          </w:tcPr>
          <w:p w14:paraId="6E3E97AF">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472" w:type="dxa"/>
            <w:shd w:val="clear" w:color="auto" w:fill="FFFFFF"/>
            <w:vAlign w:val="center"/>
          </w:tcPr>
          <w:p w14:paraId="5B2BB76D">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w:t>
            </w:r>
          </w:p>
        </w:tc>
        <w:tc>
          <w:tcPr>
            <w:tcW w:w="7296" w:type="dxa"/>
            <w:shd w:val="clear" w:color="auto" w:fill="FFFFFF"/>
            <w:vAlign w:val="center"/>
          </w:tcPr>
          <w:p w14:paraId="5AD2BB58">
            <w:pPr>
              <w:pStyle w:val="32"/>
              <w:wordWrap w:val="0"/>
              <w:adjustRightInd w:val="0"/>
              <w:snapToGrid w:val="0"/>
              <w:spacing w:line="400" w:lineRule="exact"/>
              <w:ind w:firstLine="240" w:firstLineChars="1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BA69B6B">
      <w:pPr>
        <w:pStyle w:val="25"/>
        <w:rPr>
          <w:color w:val="000000" w:themeColor="text1"/>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5284301B">
      <w:pPr>
        <w:pStyle w:val="3"/>
        <w:keepNext w:val="0"/>
        <w:keepLines w:val="0"/>
        <w:pageBreakBefore w:val="0"/>
        <w:kinsoku/>
        <w:overflowPunct/>
        <w:topLinePunct w:val="0"/>
        <w:bidi w:val="0"/>
        <w:spacing w:line="400" w:lineRule="exact"/>
        <w:textAlignment w:val="auto"/>
        <w:rPr>
          <w:b/>
          <w:bCs/>
          <w:color w:val="000000" w:themeColor="text1"/>
          <w:highlight w:val="none"/>
          <w14:textFill>
            <w14:solidFill>
              <w14:schemeClr w14:val="tx1"/>
            </w14:solidFill>
          </w14:textFill>
        </w:rPr>
      </w:pPr>
      <w:bookmarkStart w:id="10" w:name="_Hlt87793819"/>
      <w:bookmarkEnd w:id="10"/>
      <w:bookmarkStart w:id="11" w:name="_Toc29916"/>
      <w:bookmarkStart w:id="12" w:name="_Toc4136"/>
      <w:bookmarkStart w:id="13" w:name="_Hlt69698705"/>
      <w:bookmarkStart w:id="14" w:name="_Hlt69698754"/>
      <w:r>
        <w:rPr>
          <w:rFonts w:hint="eastAsia"/>
          <w:b/>
          <w:bCs/>
          <w:color w:val="000000" w:themeColor="text1"/>
          <w:highlight w:val="none"/>
          <w14:textFill>
            <w14:solidFill>
              <w14:schemeClr w14:val="tx1"/>
            </w14:solidFill>
          </w14:textFill>
        </w:rPr>
        <w:t>第三节 投标人须知</w:t>
      </w:r>
      <w:bookmarkStart w:id="15" w:name="_Hlt69669159"/>
      <w:bookmarkEnd w:id="15"/>
      <w:r>
        <w:rPr>
          <w:rFonts w:hint="eastAsia"/>
          <w:b/>
          <w:bCs/>
          <w:color w:val="000000" w:themeColor="text1"/>
          <w:highlight w:val="none"/>
          <w14:textFill>
            <w14:solidFill>
              <w14:schemeClr w14:val="tx1"/>
            </w14:solidFill>
          </w14:textFill>
        </w:rPr>
        <w:t>正文</w:t>
      </w:r>
      <w:bookmarkEnd w:id="11"/>
      <w:bookmarkEnd w:id="12"/>
    </w:p>
    <w:bookmarkEnd w:id="13"/>
    <w:bookmarkEnd w:id="14"/>
    <w:p w14:paraId="52CC6EE9">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ascii="Times New Roman"/>
          <w:b/>
          <w:snapToGrid w:val="0"/>
          <w:color w:val="000000" w:themeColor="text1"/>
          <w:highlight w:val="none"/>
          <w14:textFill>
            <w14:solidFill>
              <w14:schemeClr w14:val="tx1"/>
            </w14:solidFill>
          </w14:textFill>
        </w:rPr>
      </w:pPr>
      <w:r>
        <w:rPr>
          <w:rFonts w:hint="eastAsia" w:hAnsi="宋体" w:cs="宋体"/>
          <w:snapToGrid w:val="0"/>
          <w:color w:val="000000" w:themeColor="text1"/>
          <w:kern w:val="0"/>
          <w:highlight w:val="none"/>
          <w:u w:val="single"/>
          <w:lang w:eastAsia="zh-CN"/>
          <w14:textFill>
            <w14:solidFill>
              <w14:schemeClr w14:val="tx1"/>
            </w14:solidFill>
          </w14:textFill>
        </w:rPr>
        <w:t>翁源产业园区产城融合基础设施配套项目（标准厂房）施工监理</w:t>
      </w:r>
      <w:r>
        <w:rPr>
          <w:rFonts w:hint="eastAsia" w:hAnsi="宋体" w:cs="宋体"/>
          <w:color w:val="000000" w:themeColor="text1"/>
          <w:kern w:val="0"/>
          <w:szCs w:val="22"/>
          <w:highlight w:val="none"/>
          <w:u w:val="single"/>
          <w14:textFill>
            <w14:solidFill>
              <w14:schemeClr w14:val="tx1"/>
            </w14:solidFill>
          </w14:textFill>
        </w:rPr>
        <w:t>经翁源县发展和改革局</w:t>
      </w:r>
      <w:r>
        <w:rPr>
          <w:rFonts w:ascii="宋体" w:hAnsi="宋体" w:cs="宋体"/>
          <w:color w:val="000000" w:themeColor="text1"/>
          <w:szCs w:val="21"/>
          <w:highlight w:val="none"/>
          <w:u w:val="single"/>
          <w14:textFill>
            <w14:solidFill>
              <w14:schemeClr w14:val="tx1"/>
            </w14:solidFill>
          </w14:textFill>
        </w:rPr>
        <w:t>以</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关于翁源产业园区产城融合基础设施配套项目可行性研究报告的批复</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Calibri"/>
          <w:bCs/>
          <w:color w:val="000000" w:themeColor="text1"/>
          <w:szCs w:val="21"/>
          <w:highlight w:val="none"/>
          <w:u w:val="single"/>
          <w14:textFill>
            <w14:solidFill>
              <w14:schemeClr w14:val="tx1"/>
            </w14:solidFill>
          </w14:textFill>
        </w:rPr>
        <w:t>翁</w:t>
      </w:r>
      <w:r>
        <w:rPr>
          <w:rFonts w:hint="eastAsia" w:ascii="宋体" w:hAnsi="宋体" w:cs="Calibri"/>
          <w:bCs/>
          <w:color w:val="000000" w:themeColor="text1"/>
          <w:szCs w:val="21"/>
          <w:highlight w:val="none"/>
          <w:u w:val="single"/>
          <w14:textFill>
            <w14:solidFill>
              <w14:schemeClr w14:val="tx1"/>
            </w14:solidFill>
          </w14:textFill>
        </w:rPr>
        <w:t>发改投审〔202</w:t>
      </w:r>
      <w:r>
        <w:rPr>
          <w:rFonts w:hint="eastAsia" w:hAnsi="宋体" w:cs="Calibri"/>
          <w:bCs/>
          <w:color w:val="000000" w:themeColor="text1"/>
          <w:szCs w:val="21"/>
          <w:highlight w:val="none"/>
          <w:u w:val="single"/>
          <w:lang w:val="en-US" w:eastAsia="zh-CN"/>
          <w14:textFill>
            <w14:solidFill>
              <w14:schemeClr w14:val="tx1"/>
            </w14:solidFill>
          </w14:textFill>
        </w:rPr>
        <w:t>1</w:t>
      </w:r>
      <w:r>
        <w:rPr>
          <w:rFonts w:hint="eastAsia" w:ascii="宋体" w:hAnsi="宋体" w:cs="Calibri"/>
          <w:bCs/>
          <w:color w:val="000000" w:themeColor="text1"/>
          <w:szCs w:val="21"/>
          <w:highlight w:val="none"/>
          <w:u w:val="single"/>
          <w14:textFill>
            <w14:solidFill>
              <w14:schemeClr w14:val="tx1"/>
            </w14:solidFill>
          </w14:textFill>
        </w:rPr>
        <w:t>〕</w:t>
      </w:r>
      <w:r>
        <w:rPr>
          <w:rFonts w:hint="eastAsia" w:ascii="宋体" w:hAnsi="宋体" w:cs="Calibri"/>
          <w:bCs/>
          <w:color w:val="000000" w:themeColor="text1"/>
          <w:szCs w:val="21"/>
          <w:highlight w:val="none"/>
          <w:u w:val="single"/>
          <w:lang w:val="en-US" w:eastAsia="zh-CN"/>
          <w14:textFill>
            <w14:solidFill>
              <w14:schemeClr w14:val="tx1"/>
            </w14:solidFill>
          </w14:textFill>
        </w:rPr>
        <w:t>1</w:t>
      </w:r>
      <w:r>
        <w:rPr>
          <w:rFonts w:hint="eastAsia" w:hAnsi="宋体" w:cs="Calibri"/>
          <w:bCs/>
          <w:color w:val="000000" w:themeColor="text1"/>
          <w:szCs w:val="21"/>
          <w:highlight w:val="none"/>
          <w:u w:val="single"/>
          <w:lang w:val="en-US" w:eastAsia="zh-CN"/>
          <w14:textFill>
            <w14:solidFill>
              <w14:schemeClr w14:val="tx1"/>
            </w14:solidFill>
          </w14:textFill>
        </w:rPr>
        <w:t>3</w:t>
      </w:r>
      <w:r>
        <w:rPr>
          <w:rFonts w:hint="eastAsia" w:ascii="宋体" w:hAnsi="宋体" w:cs="Calibri"/>
          <w:bCs/>
          <w:color w:val="000000" w:themeColor="text1"/>
          <w:szCs w:val="21"/>
          <w:highlight w:val="none"/>
          <w:u w:val="single"/>
          <w14:textFill>
            <w14:solidFill>
              <w14:schemeClr w14:val="tx1"/>
            </w14:solidFill>
          </w14:textFill>
        </w:rPr>
        <w:t>号</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关于翁源产业园区产城融合基础设施配套项目（标准厂房）初步设计概算的批复</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Calibri"/>
          <w:bCs/>
          <w:color w:val="000000" w:themeColor="text1"/>
          <w:szCs w:val="21"/>
          <w:highlight w:val="none"/>
          <w:u w:val="single"/>
          <w14:textFill>
            <w14:solidFill>
              <w14:schemeClr w14:val="tx1"/>
            </w14:solidFill>
          </w14:textFill>
        </w:rPr>
        <w:t>翁</w:t>
      </w:r>
      <w:r>
        <w:rPr>
          <w:rFonts w:hint="eastAsia" w:ascii="宋体" w:hAnsi="宋体" w:cs="Calibri"/>
          <w:bCs/>
          <w:color w:val="000000" w:themeColor="text1"/>
          <w:szCs w:val="21"/>
          <w:highlight w:val="none"/>
          <w:u w:val="single"/>
          <w14:textFill>
            <w14:solidFill>
              <w14:schemeClr w14:val="tx1"/>
            </w14:solidFill>
          </w14:textFill>
        </w:rPr>
        <w:t>发改投审〔202</w:t>
      </w:r>
      <w:r>
        <w:rPr>
          <w:rFonts w:hint="eastAsia" w:hAnsi="宋体" w:cs="Calibri"/>
          <w:bCs/>
          <w:color w:val="000000" w:themeColor="text1"/>
          <w:szCs w:val="21"/>
          <w:highlight w:val="none"/>
          <w:u w:val="single"/>
          <w:lang w:val="en-US" w:eastAsia="zh-CN"/>
          <w14:textFill>
            <w14:solidFill>
              <w14:schemeClr w14:val="tx1"/>
            </w14:solidFill>
          </w14:textFill>
        </w:rPr>
        <w:t>5</w:t>
      </w:r>
      <w:r>
        <w:rPr>
          <w:rFonts w:hint="eastAsia" w:ascii="宋体" w:hAnsi="宋体" w:cs="Calibri"/>
          <w:bCs/>
          <w:color w:val="000000" w:themeColor="text1"/>
          <w:szCs w:val="21"/>
          <w:highlight w:val="none"/>
          <w:u w:val="single"/>
          <w14:textFill>
            <w14:solidFill>
              <w14:schemeClr w14:val="tx1"/>
            </w14:solidFill>
          </w14:textFill>
        </w:rPr>
        <w:t>〕</w:t>
      </w:r>
      <w:r>
        <w:rPr>
          <w:rFonts w:hint="eastAsia" w:hAnsi="宋体" w:cs="Calibri"/>
          <w:bCs/>
          <w:color w:val="000000" w:themeColor="text1"/>
          <w:szCs w:val="21"/>
          <w:highlight w:val="none"/>
          <w:u w:val="single"/>
          <w:lang w:val="en-US" w:eastAsia="zh-CN"/>
          <w14:textFill>
            <w14:solidFill>
              <w14:schemeClr w14:val="tx1"/>
            </w14:solidFill>
          </w14:textFill>
        </w:rPr>
        <w:t>61</w:t>
      </w:r>
      <w:r>
        <w:rPr>
          <w:rFonts w:hint="eastAsia" w:ascii="宋体" w:hAnsi="宋体" w:cs="Calibri"/>
          <w:bCs/>
          <w:color w:val="000000" w:themeColor="text1"/>
          <w:szCs w:val="21"/>
          <w:highlight w:val="none"/>
          <w:u w:val="single"/>
          <w14:textFill>
            <w14:solidFill>
              <w14:schemeClr w14:val="tx1"/>
            </w14:solidFill>
          </w14:textFill>
        </w:rPr>
        <w:t>号</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kern w:val="0"/>
          <w:szCs w:val="22"/>
          <w:highlight w:val="none"/>
          <w14:textFill>
            <w14:solidFill>
              <w14:schemeClr w14:val="tx1"/>
            </w14:solidFill>
          </w14:textFill>
        </w:rPr>
        <w:t>文批准建设，项目代码为</w:t>
      </w:r>
      <w:r>
        <w:rPr>
          <w:rFonts w:hint="eastAsia" w:hAnsi="宋体" w:cs="宋体"/>
          <w:color w:val="000000" w:themeColor="text1"/>
          <w:kern w:val="0"/>
          <w:szCs w:val="22"/>
          <w:highlight w:val="none"/>
          <w:u w:val="single"/>
          <w:lang w:val="en-US" w:eastAsia="zh-CN"/>
          <w14:textFill>
            <w14:solidFill>
              <w14:schemeClr w14:val="tx1"/>
            </w14:solidFill>
          </w14:textFill>
        </w:rPr>
        <w:t>2110-440229-04-01-834756</w:t>
      </w:r>
      <w:r>
        <w:rPr>
          <w:rFonts w:hint="eastAsia" w:hAnsi="宋体" w:cs="宋体"/>
          <w:color w:val="000000" w:themeColor="text1"/>
          <w:kern w:val="0"/>
          <w:szCs w:val="22"/>
          <w:highlight w:val="none"/>
          <w14:textFill>
            <w14:solidFill>
              <w14:schemeClr w14:val="tx1"/>
            </w14:solidFill>
          </w14:textFill>
        </w:rPr>
        <w:t>。本项目业主为</w:t>
      </w:r>
      <w:r>
        <w:rPr>
          <w:rFonts w:hint="eastAsia" w:hAnsi="宋体" w:cs="宋体"/>
          <w:color w:val="000000" w:themeColor="text1"/>
          <w:kern w:val="0"/>
          <w:szCs w:val="22"/>
          <w:highlight w:val="none"/>
          <w:u w:val="single"/>
          <w:lang w:val="en-US" w:eastAsia="zh-CN"/>
          <w14:textFill>
            <w14:solidFill>
              <w14:schemeClr w14:val="tx1"/>
            </w14:solidFill>
          </w14:textFill>
        </w:rPr>
        <w:t>广东翁源经济开发区管理委员会</w:t>
      </w:r>
      <w:r>
        <w:rPr>
          <w:rFonts w:hint="eastAsia" w:hAnsi="宋体" w:cs="宋体"/>
          <w:color w:val="000000" w:themeColor="text1"/>
          <w:kern w:val="0"/>
          <w:szCs w:val="22"/>
          <w:highlight w:val="none"/>
          <w14:textFill>
            <w14:solidFill>
              <w14:schemeClr w14:val="tx1"/>
            </w14:solidFill>
          </w14:textFill>
        </w:rPr>
        <w:t>，建设资金来</w:t>
      </w:r>
      <w:r>
        <w:rPr>
          <w:rFonts w:hint="eastAsia" w:hAnsi="宋体" w:cs="宋体"/>
          <w:color w:val="000000" w:themeColor="text1"/>
          <w:kern w:val="0"/>
          <w:szCs w:val="22"/>
          <w:highlight w:val="none"/>
          <w:lang w:val="en-US" w:eastAsia="zh-CN"/>
          <w14:textFill>
            <w14:solidFill>
              <w14:schemeClr w14:val="tx1"/>
            </w14:solidFill>
          </w14:textFill>
        </w:rPr>
        <w:t>源：</w:t>
      </w:r>
      <w:r>
        <w:rPr>
          <w:rFonts w:hint="eastAsia" w:hAnsi="宋体" w:cs="宋体"/>
          <w:color w:val="000000" w:themeColor="text1"/>
          <w:kern w:val="0"/>
          <w:szCs w:val="22"/>
          <w:highlight w:val="none"/>
          <w:u w:val="single"/>
          <w:lang w:val="en-US" w:eastAsia="zh-CN"/>
          <w14:textFill>
            <w14:solidFill>
              <w14:schemeClr w14:val="tx1"/>
            </w14:solidFill>
          </w14:textFill>
        </w:rPr>
        <w:t>专项债券和县级统筹资金解决</w:t>
      </w:r>
      <w:r>
        <w:rPr>
          <w:rFonts w:hint="eastAsia" w:hAnsi="宋体" w:cs="宋体"/>
          <w:color w:val="000000" w:themeColor="text1"/>
          <w:kern w:val="0"/>
          <w:szCs w:val="22"/>
          <w:highlight w:val="none"/>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出资比例为</w:t>
      </w:r>
      <w:r>
        <w:rPr>
          <w:rFonts w:hint="eastAsia" w:hAnsi="宋体" w:cs="宋体"/>
          <w:snapToGrid w:val="0"/>
          <w:color w:val="000000" w:themeColor="text1"/>
          <w:kern w:val="0"/>
          <w:highlight w:val="none"/>
          <w:u w:val="single"/>
          <w14:textFill>
            <w14:solidFill>
              <w14:schemeClr w14:val="tx1"/>
            </w14:solidFill>
          </w14:textFill>
        </w:rPr>
        <w:t>100%</w:t>
      </w: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color w:val="000000" w:themeColor="text1"/>
          <w:kern w:val="0"/>
          <w:szCs w:val="22"/>
          <w:highlight w:val="none"/>
          <w14:textFill>
            <w14:solidFill>
              <w14:schemeClr w14:val="tx1"/>
            </w14:solidFill>
          </w14:textFill>
        </w:rPr>
        <w:t>招标人为</w:t>
      </w:r>
      <w:r>
        <w:rPr>
          <w:rFonts w:hint="eastAsia" w:hAnsi="宋体" w:cs="宋体"/>
          <w:color w:val="000000" w:themeColor="text1"/>
          <w:kern w:val="0"/>
          <w:sz w:val="24"/>
          <w:szCs w:val="22"/>
          <w:highlight w:val="none"/>
          <w:u w:val="single"/>
          <w:lang w:eastAsia="zh-CN"/>
          <w14:textFill>
            <w14:solidFill>
              <w14:schemeClr w14:val="tx1"/>
            </w14:solidFill>
          </w14:textFill>
        </w:rPr>
        <w:t>翁源县公共资产管理中心</w:t>
      </w:r>
      <w:r>
        <w:rPr>
          <w:rFonts w:hint="eastAsia" w:hAnsi="宋体" w:cs="宋体"/>
          <w:color w:val="000000" w:themeColor="text1"/>
          <w:kern w:val="0"/>
          <w:szCs w:val="22"/>
          <w:highlight w:val="none"/>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招标代理机构为</w:t>
      </w:r>
      <w:r>
        <w:rPr>
          <w:rFonts w:hint="eastAsia" w:hAnsi="宋体" w:cs="宋体"/>
          <w:snapToGrid w:val="0"/>
          <w:color w:val="000000" w:themeColor="text1"/>
          <w:kern w:val="0"/>
          <w:highlight w:val="none"/>
          <w:u w:val="single"/>
          <w:lang w:eastAsia="zh-CN"/>
          <w14:textFill>
            <w14:solidFill>
              <w14:schemeClr w14:val="tx1"/>
            </w14:solidFill>
          </w14:textFill>
        </w:rPr>
        <w:t>广州穗峰建设工程监理有限公司</w:t>
      </w:r>
      <w:r>
        <w:rPr>
          <w:rFonts w:hint="eastAsia" w:hAnsi="宋体" w:cs="宋体"/>
          <w:snapToGrid w:val="0"/>
          <w:color w:val="000000" w:themeColor="text1"/>
          <w:kern w:val="0"/>
          <w:highlight w:val="none"/>
          <w14:textFill>
            <w14:solidFill>
              <w14:schemeClr w14:val="tx1"/>
            </w14:solidFill>
          </w14:textFill>
        </w:rPr>
        <w:t>。项目已具备招标条件，现对该项目的</w:t>
      </w:r>
      <w:r>
        <w:rPr>
          <w:rFonts w:hint="eastAsia" w:hAnsi="宋体" w:cs="宋体"/>
          <w:snapToGrid w:val="0"/>
          <w:color w:val="000000" w:themeColor="text1"/>
          <w:kern w:val="0"/>
          <w:highlight w:val="none"/>
          <w:u w:val="single"/>
          <w:lang w:eastAsia="zh-CN"/>
          <w14:textFill>
            <w14:solidFill>
              <w14:schemeClr w14:val="tx1"/>
            </w14:solidFill>
          </w14:textFill>
        </w:rPr>
        <w:t>翁源产业园区产城融合基础设施配套项目（标准厂房）施工监理</w:t>
      </w:r>
      <w:r>
        <w:rPr>
          <w:rFonts w:hint="eastAsia" w:hAnsi="宋体" w:cs="宋体"/>
          <w:snapToGrid w:val="0"/>
          <w:color w:val="000000" w:themeColor="text1"/>
          <w:kern w:val="0"/>
          <w:highlight w:val="none"/>
          <w14:textFill>
            <w14:solidFill>
              <w14:schemeClr w14:val="tx1"/>
            </w14:solidFill>
          </w14:textFill>
        </w:rPr>
        <w:t>进行公开招标。</w:t>
      </w:r>
      <w:bookmarkStart w:id="16" w:name="_Hlt109358474"/>
      <w:bookmarkEnd w:id="16"/>
      <w:bookmarkStart w:id="17" w:name="_Hlt87948285"/>
      <w:bookmarkEnd w:id="17"/>
      <w:bookmarkStart w:id="18" w:name="_Hlt119991399"/>
      <w:bookmarkEnd w:id="18"/>
      <w:bookmarkStart w:id="19" w:name="_Hlt74474735"/>
      <w:bookmarkEnd w:id="19"/>
      <w:bookmarkStart w:id="20" w:name="_Hlt78795222"/>
      <w:bookmarkEnd w:id="20"/>
    </w:p>
    <w:p w14:paraId="4EECAB24">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outlineLvl w:val="2"/>
        <w:rPr>
          <w:b/>
          <w:bCs/>
          <w:snapToGrid w:val="0"/>
          <w:color w:val="000000" w:themeColor="text1"/>
          <w:kern w:val="0"/>
          <w:sz w:val="24"/>
          <w:highlight w:val="none"/>
          <w14:textFill>
            <w14:solidFill>
              <w14:schemeClr w14:val="tx1"/>
            </w14:solidFill>
          </w14:textFill>
        </w:rPr>
      </w:pPr>
      <w:bookmarkStart w:id="21" w:name="_Toc7461"/>
      <w:r>
        <w:rPr>
          <w:rFonts w:hint="eastAsia"/>
          <w:b/>
          <w:bCs/>
          <w:snapToGrid w:val="0"/>
          <w:color w:val="000000" w:themeColor="text1"/>
          <w:kern w:val="0"/>
          <w:sz w:val="24"/>
          <w:highlight w:val="none"/>
          <w14:textFill>
            <w14:solidFill>
              <w14:schemeClr w14:val="tx1"/>
            </w14:solidFill>
          </w14:textFill>
        </w:rPr>
        <w:t>1．项目概况、招标范围和标段划分、投标费用</w:t>
      </w:r>
      <w:bookmarkEnd w:id="21"/>
    </w:p>
    <w:p w14:paraId="3364302D">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w:t>
      </w:r>
      <w:r>
        <w:rPr>
          <w:rFonts w:hint="eastAsia" w:ascii="宋体" w:hAnsi="宋体" w:cs="宋体"/>
          <w:snapToGrid w:val="0"/>
          <w:color w:val="000000" w:themeColor="text1"/>
          <w:kern w:val="0"/>
          <w:sz w:val="24"/>
          <w:highlight w:val="none"/>
          <w14:textFill>
            <w14:solidFill>
              <w14:schemeClr w14:val="tx1"/>
            </w14:solidFill>
          </w14:textFill>
        </w:rPr>
        <w:t xml:space="preserve"> 项目概况</w:t>
      </w:r>
    </w:p>
    <w:p w14:paraId="2D3F1B4D">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default"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1.1.1</w:t>
      </w:r>
      <w:r>
        <w:rPr>
          <w:rFonts w:hint="eastAsia" w:ascii="宋体" w:hAnsi="宋体" w:cs="宋体"/>
          <w:snapToGrid w:val="0"/>
          <w:color w:val="000000" w:themeColor="text1"/>
          <w:kern w:val="0"/>
          <w:sz w:val="24"/>
          <w:highlight w:val="none"/>
          <w14:textFill>
            <w14:solidFill>
              <w14:schemeClr w14:val="tx1"/>
            </w14:solidFill>
          </w14:textFill>
        </w:rPr>
        <w:t xml:space="preserve"> 建设地点：</w:t>
      </w:r>
      <w:r>
        <w:rPr>
          <w:rFonts w:hint="eastAsia" w:ascii="宋体" w:hAnsi="宋体" w:eastAsia="宋体" w:cs="宋体"/>
          <w:snapToGrid w:val="0"/>
          <w:color w:val="000000" w:themeColor="text1"/>
          <w:kern w:val="0"/>
          <w:sz w:val="24"/>
          <w:highlight w:val="none"/>
          <w:u w:val="none"/>
          <w:lang w:val="en-US" w:eastAsia="zh-CN"/>
          <w14:textFill>
            <w14:solidFill>
              <w14:schemeClr w14:val="tx1"/>
            </w14:solidFill>
          </w14:textFill>
        </w:rPr>
        <w:t>韶关市翁源县创新原料药科技产业园</w:t>
      </w:r>
      <w:r>
        <w:rPr>
          <w:rFonts w:hint="eastAsia" w:ascii="宋体" w:hAnsi="宋体" w:eastAsia="宋体" w:cs="宋体"/>
          <w:snapToGrid w:val="0"/>
          <w:color w:val="000000" w:themeColor="text1"/>
          <w:kern w:val="0"/>
          <w:sz w:val="24"/>
          <w:highlight w:val="none"/>
          <w:u w:val="none"/>
          <w:lang w:eastAsia="zh-CN"/>
          <w14:textFill>
            <w14:solidFill>
              <w14:schemeClr w14:val="tx1"/>
            </w14:solidFill>
          </w14:textFill>
        </w:rPr>
        <w:t>。</w:t>
      </w:r>
    </w:p>
    <w:p w14:paraId="1625FAEC">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cs="宋体"/>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1.1.2 </w:t>
      </w:r>
      <w:r>
        <w:rPr>
          <w:rFonts w:hint="eastAsia"/>
          <w:snapToGrid w:val="0"/>
          <w:color w:val="000000" w:themeColor="text1"/>
          <w:kern w:val="0"/>
          <w:sz w:val="24"/>
          <w:highlight w:val="none"/>
          <w14:textFill>
            <w14:solidFill>
              <w14:schemeClr w14:val="tx1"/>
            </w14:solidFill>
          </w14:textFill>
        </w:rPr>
        <w:t>建设内容和规模：</w:t>
      </w:r>
      <w:r>
        <w:rPr>
          <w:rFonts w:hint="eastAsia" w:ascii="宋体" w:hAnsi="宋体" w:cs="宋体"/>
          <w:snapToGrid w:val="0"/>
          <w:color w:val="000000" w:themeColor="text1"/>
          <w:kern w:val="0"/>
          <w:sz w:val="24"/>
          <w:highlight w:val="none"/>
          <w:lang w:val="en-US" w:eastAsia="zh-CN"/>
          <w14:textFill>
            <w14:solidFill>
              <w14:schemeClr w14:val="tx1"/>
            </w14:solidFill>
          </w14:textFill>
        </w:rPr>
        <w:t>项目用地面积34474平方米，总建筑面积31997.65平方米，建设质检中心、控制室、动力车间、1#车间、2#车间、3#车间、制剂车间、仓库、试剂库、污水处理、甲类储罐及配套建设给排水、电气、道路、围墙、挡土墙及绿化等辅助工程。</w:t>
      </w:r>
    </w:p>
    <w:p w14:paraId="00D8E67F">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u w:val="singl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1.1.3 </w:t>
      </w:r>
      <w:r>
        <w:rPr>
          <w:rFonts w:hint="eastAsia" w:ascii="宋体" w:hAnsi="宋体" w:cs="宋体"/>
          <w:snapToGrid w:val="0"/>
          <w:color w:val="000000" w:themeColor="text1"/>
          <w:kern w:val="0"/>
          <w:sz w:val="24"/>
          <w:highlight w:val="none"/>
          <w14:textFill>
            <w14:solidFill>
              <w14:schemeClr w14:val="tx1"/>
            </w14:solidFill>
          </w14:textFill>
        </w:rPr>
        <w:t>项目总投资：</w:t>
      </w:r>
      <w:r>
        <w:rPr>
          <w:rFonts w:hint="eastAsia" w:ascii="宋体" w:hAnsi="宋体" w:cs="宋体"/>
          <w:snapToGrid w:val="0"/>
          <w:color w:val="000000" w:themeColor="text1"/>
          <w:kern w:val="0"/>
          <w:sz w:val="24"/>
          <w:highlight w:val="none"/>
          <w:lang w:val="en-US" w:eastAsia="zh-CN"/>
          <w14:textFill>
            <w14:solidFill>
              <w14:schemeClr w14:val="tx1"/>
            </w14:solidFill>
          </w14:textFill>
        </w:rPr>
        <w:t>项目概算总投资19213.89万元，其中工程费用16048.24万元，工程建设其他费用1173.43万元，土地费用1820.00万元，预备费用172.22万元。</w:t>
      </w:r>
    </w:p>
    <w:p w14:paraId="0E9922A3">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 </w:t>
      </w:r>
      <w:r>
        <w:rPr>
          <w:rFonts w:hint="eastAsia" w:ascii="宋体" w:hAnsi="宋体" w:cs="宋体"/>
          <w:snapToGrid w:val="0"/>
          <w:color w:val="000000" w:themeColor="text1"/>
          <w:kern w:val="0"/>
          <w:sz w:val="24"/>
          <w:highlight w:val="none"/>
          <w14:textFill>
            <w14:solidFill>
              <w14:schemeClr w14:val="tx1"/>
            </w14:solidFill>
          </w14:textFill>
        </w:rPr>
        <w:t>招标范围和标段划分</w:t>
      </w:r>
    </w:p>
    <w:p w14:paraId="5F8F23D2">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 xml:space="preserve"> 招标范围</w:t>
      </w:r>
      <w:r>
        <w:rPr>
          <w:rFonts w:hint="eastAsia" w:ascii="宋体" w:hAnsi="宋体" w:cs="宋体"/>
          <w:snapToGrid w:val="0"/>
          <w:color w:val="000000" w:themeColor="text1"/>
          <w:kern w:val="0"/>
          <w:sz w:val="24"/>
          <w:highlight w:val="none"/>
          <w:lang w:eastAsia="zh-CN"/>
          <w14:textFill>
            <w14:solidFill>
              <w14:schemeClr w14:val="tx1"/>
            </w14:solidFill>
          </w14:textFill>
        </w:rPr>
        <w:t>：</w:t>
      </w:r>
      <w:r>
        <w:rPr>
          <w:rFonts w:hint="eastAsia" w:ascii="宋体" w:hAnsi="宋体" w:cs="宋体"/>
          <w:snapToGrid w:val="0"/>
          <w:color w:val="000000" w:themeColor="text1"/>
          <w:kern w:val="0"/>
          <w:sz w:val="24"/>
          <w:highlight w:val="none"/>
          <w14:textFill>
            <w14:solidFill>
              <w14:schemeClr w14:val="tx1"/>
            </w14:solidFill>
          </w14:textFill>
        </w:rPr>
        <w:t>项目建设施工阶段监理（</w:t>
      </w:r>
      <w:r>
        <w:rPr>
          <w:rFonts w:hint="eastAsia" w:ascii="宋体" w:hAnsi="宋体" w:eastAsia="宋体" w:cs="宋体"/>
          <w:color w:val="000000" w:themeColor="text1"/>
          <w:sz w:val="24"/>
          <w:szCs w:val="24"/>
          <w:highlight w:val="none"/>
          <w14:textFill>
            <w14:solidFill>
              <w14:schemeClr w14:val="tx1"/>
            </w14:solidFill>
          </w14:textFill>
        </w:rPr>
        <w:t>含施工准备阶段、施工阶段、工程竣工验收及结算阶段和缺陷责任保修期阶段的监理</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ascii="宋体" w:hAnsi="宋体" w:cs="宋体"/>
          <w:snapToGrid w:val="0"/>
          <w:color w:val="000000" w:themeColor="text1"/>
          <w:kern w:val="0"/>
          <w:sz w:val="24"/>
          <w:highlight w:val="none"/>
          <w14:textFill>
            <w14:solidFill>
              <w14:schemeClr w14:val="tx1"/>
            </w14:solidFill>
          </w14:textFill>
        </w:rPr>
        <w:t>）</w:t>
      </w:r>
    </w:p>
    <w:p w14:paraId="3BE4110B">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1.2.2</w:t>
      </w:r>
      <w:r>
        <w:rPr>
          <w:rFonts w:hint="eastAsia" w:hAnsi="宋体" w:cs="宋体"/>
          <w:snapToGrid w:val="0"/>
          <w:color w:val="000000" w:themeColor="text1"/>
          <w:kern w:val="0"/>
          <w:szCs w:val="24"/>
          <w:highlight w:val="none"/>
          <w14:textFill>
            <w14:solidFill>
              <w14:schemeClr w14:val="tx1"/>
            </w14:solidFill>
          </w14:textFill>
        </w:rPr>
        <w:t xml:space="preserve"> 标段划分：本招标项目不划分标段。</w:t>
      </w:r>
    </w:p>
    <w:p w14:paraId="38839700">
      <w:pPr>
        <w:keepNext w:val="0"/>
        <w:keepLines w:val="0"/>
        <w:pageBreakBefore w:val="0"/>
        <w:kinsoku/>
        <w:wordWrap w:val="0"/>
        <w:overflowPunct/>
        <w:topLinePunct w:val="0"/>
        <w:autoSpaceDE/>
        <w:autoSpaceDN/>
        <w:bidi w:val="0"/>
        <w:adjustRightInd w:val="0"/>
        <w:snapToGrid w:val="0"/>
        <w:spacing w:line="400" w:lineRule="exact"/>
        <w:ind w:firstLine="532" w:firstLineChars="221"/>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1.3</w:t>
      </w:r>
      <w:r>
        <w:rPr>
          <w:rFonts w:hint="eastAsia" w:hAnsi="宋体" w:cs="宋体"/>
          <w:snapToGrid w:val="0"/>
          <w:color w:val="000000" w:themeColor="text1"/>
          <w:kern w:val="0"/>
          <w:szCs w:val="24"/>
          <w:highlight w:val="none"/>
          <w14:textFill>
            <w14:solidFill>
              <w14:schemeClr w14:val="tx1"/>
            </w14:solidFill>
          </w14:textFill>
        </w:rPr>
        <w:t xml:space="preserve"> 投标费用：投标人应承担所有准备和参加投标的相关费用，不论投标结果如何，招标人均无义务和责任承担这些费用。</w:t>
      </w:r>
    </w:p>
    <w:p w14:paraId="2448BA98">
      <w:pPr>
        <w:pStyle w:val="3"/>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22" w:name="_Toc30087"/>
      <w:bookmarkStart w:id="23" w:name="_Toc31795"/>
      <w:r>
        <w:rPr>
          <w:rFonts w:hint="eastAsia" w:hAnsi="宋体" w:cs="宋体"/>
          <w:b/>
          <w:snapToGrid w:val="0"/>
          <w:color w:val="000000" w:themeColor="text1"/>
          <w:szCs w:val="24"/>
          <w:highlight w:val="none"/>
          <w14:textFill>
            <w14:solidFill>
              <w14:schemeClr w14:val="tx1"/>
            </w14:solidFill>
          </w14:textFill>
        </w:rPr>
        <w:t>2．投标人资格要求</w:t>
      </w:r>
      <w:bookmarkEnd w:id="22"/>
      <w:bookmarkEnd w:id="23"/>
      <w:bookmarkStart w:id="24" w:name="_Hlt74496495"/>
      <w:bookmarkEnd w:id="24"/>
    </w:p>
    <w:p w14:paraId="396053B9">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2.1</w:t>
      </w:r>
      <w:r>
        <w:rPr>
          <w:rFonts w:hint="eastAsia" w:ascii="宋体" w:hAnsi="宋体" w:cs="宋体"/>
          <w:snapToGrid w:val="0"/>
          <w:color w:val="000000" w:themeColor="text1"/>
          <w:kern w:val="0"/>
          <w:sz w:val="24"/>
          <w:highlight w:val="none"/>
          <w14:textFill>
            <w14:solidFill>
              <w14:schemeClr w14:val="tx1"/>
            </w14:solidFill>
          </w14:textFill>
        </w:rPr>
        <w:t xml:space="preserve"> 本次招标不接受联合体投标。</w:t>
      </w:r>
    </w:p>
    <w:p w14:paraId="400A4F5A">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w:t>
      </w:r>
      <w:r>
        <w:rPr>
          <w:rFonts w:hint="eastAsia" w:ascii="宋体" w:hAnsi="宋体" w:cs="宋体"/>
          <w:snapToGrid w:val="0"/>
          <w:color w:val="000000" w:themeColor="text1"/>
          <w:kern w:val="0"/>
          <w:sz w:val="24"/>
          <w:highlight w:val="none"/>
          <w14:textFill>
            <w14:solidFill>
              <w14:schemeClr w14:val="tx1"/>
            </w14:solidFill>
          </w14:textFill>
        </w:rPr>
        <w:t xml:space="preserve"> 资格资质要求</w:t>
      </w:r>
    </w:p>
    <w:p w14:paraId="2149145D">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2.2.1</w:t>
      </w:r>
      <w:r>
        <w:rPr>
          <w:rFonts w:hint="eastAsia" w:ascii="宋体" w:hAnsi="宋体" w:cs="宋体"/>
          <w:snapToGrid w:val="0"/>
          <w:color w:val="000000" w:themeColor="text1"/>
          <w:kern w:val="0"/>
          <w:sz w:val="24"/>
          <w:highlight w:val="none"/>
          <w14:textFill>
            <w14:solidFill>
              <w14:schemeClr w14:val="tx1"/>
            </w14:solidFill>
          </w14:textFill>
        </w:rPr>
        <w:t xml:space="preserve"> 投标人须具备独立法人资格，按国家法律经营。</w:t>
      </w:r>
    </w:p>
    <w:p w14:paraId="2302D839">
      <w:pPr>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2.2.2</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投标人须具备以下资质之一：</w:t>
      </w:r>
    </w:p>
    <w:p w14:paraId="6705689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（1）工程监理综合资质；</w:t>
      </w:r>
    </w:p>
    <w:p w14:paraId="7B74DB0E">
      <w:pPr>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（2）房屋建筑工程专业监理</w:t>
      </w:r>
      <w:r>
        <w:rPr>
          <w:rFonts w:hint="eastAsia" w:hAnsi="宋体" w:cs="宋体"/>
          <w:color w:val="000000" w:themeColor="text1"/>
          <w:szCs w:val="24"/>
          <w:highlight w:val="none"/>
          <w:lang w:val="en-US" w:eastAsia="zh-CN"/>
          <w14:textFill>
            <w14:solidFill>
              <w14:schemeClr w14:val="tx1"/>
            </w14:solidFill>
          </w14:textFill>
        </w:rPr>
        <w:t>甲级</w:t>
      </w:r>
      <w:r>
        <w:rPr>
          <w:rFonts w:hint="eastAsia" w:hAnsi="宋体" w:cs="宋体"/>
          <w:color w:val="000000" w:themeColor="text1"/>
          <w:szCs w:val="24"/>
          <w:highlight w:val="none"/>
          <w14:textFill>
            <w14:solidFill>
              <w14:schemeClr w14:val="tx1"/>
            </w14:solidFill>
          </w14:textFill>
        </w:rPr>
        <w:t>资质。</w:t>
      </w:r>
    </w:p>
    <w:p w14:paraId="45398239">
      <w:pPr>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2.2.3</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根据有关文件精神，投标人的相关证书到期的，均按该证书的发证机构相关行业主管部门最新文件执行（如自动顺延或推迟办理延期业务的通知），投标人必须将相关文件附在该证书后面，证明在开标日继续有效。</w:t>
      </w:r>
    </w:p>
    <w:p w14:paraId="71AFAC95">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w:t>
      </w:r>
      <w:r>
        <w:rPr>
          <w:rFonts w:hint="eastAsia" w:ascii="宋体" w:hAnsi="宋体" w:cs="宋体"/>
          <w:snapToGrid w:val="0"/>
          <w:color w:val="000000" w:themeColor="text1"/>
          <w:kern w:val="0"/>
          <w:sz w:val="24"/>
          <w:highlight w:val="none"/>
          <w14:textFill>
            <w14:solidFill>
              <w14:schemeClr w14:val="tx1"/>
            </w14:solidFill>
          </w14:textFill>
        </w:rPr>
        <w:t xml:space="preserve"> 相关人员要求</w:t>
      </w:r>
    </w:p>
    <w:p w14:paraId="0AC23043">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2.3.1</w:t>
      </w:r>
      <w:r>
        <w:rPr>
          <w:rFonts w:hint="eastAsia" w:ascii="宋体" w:hAnsi="宋体" w:cs="宋体"/>
          <w:snapToGrid w:val="0"/>
          <w:color w:val="000000" w:themeColor="text1"/>
          <w:kern w:val="0"/>
          <w:sz w:val="24"/>
          <w:highlight w:val="none"/>
          <w14:textFill>
            <w14:solidFill>
              <w14:schemeClr w14:val="tx1"/>
            </w14:solidFill>
          </w14:textFill>
        </w:rPr>
        <w:t xml:space="preserve"> 投标人拟派总监理工程师为房屋建筑工程专业注册监理工程师，应持有国家住建部印发的有效注册证书，其担任总监理工程师职务的其他在施（包括已中标未开工、已开工未竣工）建设工程项目不得超过</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2 </w:t>
      </w:r>
      <w:r>
        <w:rPr>
          <w:rFonts w:hint="eastAsia" w:ascii="宋体" w:hAnsi="宋体" w:cs="宋体"/>
          <w:snapToGrid w:val="0"/>
          <w:color w:val="000000" w:themeColor="text1"/>
          <w:kern w:val="0"/>
          <w:sz w:val="24"/>
          <w:highlight w:val="none"/>
          <w14:textFill>
            <w14:solidFill>
              <w14:schemeClr w14:val="tx1"/>
            </w14:solidFill>
          </w14:textFill>
        </w:rPr>
        <w:t>个。</w:t>
      </w:r>
    </w:p>
    <w:p w14:paraId="66E945CB">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3E92753E">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2.3.2</w:t>
      </w:r>
      <w:r>
        <w:rPr>
          <w:rFonts w:hint="eastAsia" w:ascii="宋体" w:hAnsi="宋体" w:cs="宋体"/>
          <w:snapToGrid w:val="0"/>
          <w:color w:val="000000" w:themeColor="text1"/>
          <w:kern w:val="0"/>
          <w:sz w:val="24"/>
          <w:highlight w:val="none"/>
          <w14:textFill>
            <w14:solidFill>
              <w14:schemeClr w14:val="tx1"/>
            </w14:solidFill>
          </w14:textFill>
        </w:rPr>
        <w:t xml:space="preserve"> 投标人与其拟派往本项目监理机构的所有人员之间必须具备合法、唯一的劳动聘用关系。拟派人员中具备注册执业资格的，其注册单位须与投标人保持一致。</w:t>
      </w:r>
    </w:p>
    <w:p w14:paraId="4B3B5D40">
      <w:pPr>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w:t>
      </w:r>
      <w:r>
        <w:rPr>
          <w:rFonts w:hint="eastAsia" w:hAnsi="宋体" w:cs="宋体"/>
          <w:b/>
          <w:bCs/>
          <w:snapToGrid w:val="0"/>
          <w:color w:val="000000" w:themeColor="text1"/>
          <w:kern w:val="0"/>
          <w:sz w:val="24"/>
          <w:highlight w:val="none"/>
          <w:lang w:val="en-US" w:eastAsia="zh-CN"/>
          <w14:textFill>
            <w14:solidFill>
              <w14:schemeClr w14:val="tx1"/>
            </w14:solidFill>
          </w14:textFill>
        </w:rPr>
        <w:t>3</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关于企业和人员资质、资格有效期均按相关行政主管部门最新的文件执行，投标人可将相关文件附在投标文件中。</w:t>
      </w:r>
    </w:p>
    <w:p w14:paraId="631A5D99">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w:t>
      </w:r>
      <w:r>
        <w:rPr>
          <w:rFonts w:hint="eastAsia" w:ascii="宋体" w:hAnsi="宋体" w:cs="宋体"/>
          <w:snapToGrid w:val="0"/>
          <w:color w:val="000000" w:themeColor="text1"/>
          <w:kern w:val="0"/>
          <w:sz w:val="24"/>
          <w:highlight w:val="none"/>
          <w14:textFill>
            <w14:solidFill>
              <w14:schemeClr w14:val="tx1"/>
            </w14:solidFill>
          </w14:textFill>
        </w:rPr>
        <w:t xml:space="preserve"> 禁止投标条款</w:t>
      </w:r>
    </w:p>
    <w:p w14:paraId="555885B4">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2.4.1</w:t>
      </w:r>
      <w:r>
        <w:rPr>
          <w:rFonts w:hint="eastAsia" w:ascii="宋体" w:hAnsi="宋体" w:cs="宋体"/>
          <w:snapToGrid w:val="0"/>
          <w:color w:val="000000" w:themeColor="text1"/>
          <w:kern w:val="0"/>
          <w:sz w:val="24"/>
          <w:highlight w:val="none"/>
          <w14:textFill>
            <w14:solidFill>
              <w14:schemeClr w14:val="tx1"/>
            </w14:solidFill>
          </w14:textFill>
        </w:rPr>
        <w:t xml:space="preserve"> 投标人不得存在下列情形之一：</w:t>
      </w:r>
    </w:p>
    <w:p w14:paraId="1C4D78D9">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（1）为招标人不具有独立法人资格的附属机构（单位）；</w:t>
      </w:r>
    </w:p>
    <w:p w14:paraId="0FF8C1DE">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（2）与招标人存在利害关系且可能影响招标公正性；</w:t>
      </w:r>
    </w:p>
    <w:p w14:paraId="2A094E65">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（3）与本招标项目的其他投标人为同一个单位负责人；</w:t>
      </w:r>
    </w:p>
    <w:p w14:paraId="38068CE5">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（4）与本招标项目的其他投标人存在控股、管理关系；</w:t>
      </w:r>
    </w:p>
    <w:p w14:paraId="06C404B5">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（5）为本招标项目的代建人；</w:t>
      </w:r>
    </w:p>
    <w:p w14:paraId="5374378A">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（6）为本招标项目的招标代理机构；</w:t>
      </w:r>
    </w:p>
    <w:p w14:paraId="497192F7">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（7）与本招标项目的代建人或招标代理机构同为一个法定代表人；</w:t>
      </w:r>
    </w:p>
    <w:p w14:paraId="2B9AEE81">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（8）与本招标项目的代建人或招标代理机构存在控股或参股关系；</w:t>
      </w:r>
    </w:p>
    <w:p w14:paraId="404FDB41">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（9）与本招标项目的</w:t>
      </w:r>
      <w:r>
        <w:rPr>
          <w:rFonts w:hint="eastAsia" w:ascii="宋体" w:hAnsi="宋体" w:cs="宋体"/>
          <w:snapToGrid w:val="0"/>
          <w:color w:val="000000" w:themeColor="text1"/>
          <w:kern w:val="0"/>
          <w:sz w:val="24"/>
          <w:highlight w:val="none"/>
          <w:lang w:eastAsia="zh-CN"/>
          <w14:textFill>
            <w14:solidFill>
              <w14:schemeClr w14:val="tx1"/>
            </w14:solidFill>
          </w14:textFill>
        </w:rPr>
        <w:t>施工单位</w:t>
      </w:r>
      <w:r>
        <w:rPr>
          <w:rFonts w:hint="eastAsia" w:ascii="宋体" w:hAnsi="宋体" w:cs="宋体"/>
          <w:snapToGrid w:val="0"/>
          <w:color w:val="000000" w:themeColor="text1"/>
          <w:kern w:val="0"/>
          <w:sz w:val="24"/>
          <w:highlight w:val="none"/>
          <w14:textFill>
            <w14:solidFill>
              <w14:schemeClr w14:val="tx1"/>
            </w14:solidFill>
          </w14:textFill>
        </w:rPr>
        <w:t>以及建筑材料、建筑构配件和设备供应商有隶属关系或者其他利害关系；</w:t>
      </w:r>
    </w:p>
    <w:p w14:paraId="471B0069">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（10）被依法暂停或者取消投标资格；</w:t>
      </w:r>
    </w:p>
    <w:p w14:paraId="0F3DC943">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（11）被责令停产停业、暂扣或者吊销许可证、暂扣或者吊销执照；</w:t>
      </w:r>
    </w:p>
    <w:p w14:paraId="18DBB54B">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（12）进入清算程序，或被宣告破产，或其他丧失履约能力的情形；</w:t>
      </w:r>
    </w:p>
    <w:p w14:paraId="4BAD4850">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（13）在最近三年内发生重大监理质量问题（以相关行业主管部门的行政处罚决定或司法机关出具的有关法律文书为准）；</w:t>
      </w:r>
    </w:p>
    <w:p w14:paraId="478169D0">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（14）</w:t>
      </w:r>
      <w:r>
        <w:rPr>
          <w:rFonts w:hint="eastAsia" w:ascii="宋体" w:hAnsi="宋体" w:cs="宋体"/>
          <w:color w:val="000000" w:themeColor="text1"/>
          <w:kern w:val="0"/>
          <w:sz w:val="24"/>
          <w:highlight w:val="none"/>
          <w14:textFill>
            <w14:solidFill>
              <w14:schemeClr w14:val="tx1"/>
            </w14:solidFill>
          </w14:textFill>
        </w:rPr>
        <w:t>被“信用中国”网站（https://www.creditchina.gov.cn）发布的《法人和非法人组织公共信用信息报告》列为严重失信主体名单的</w:t>
      </w:r>
      <w:r>
        <w:rPr>
          <w:rFonts w:hint="eastAsia" w:ascii="宋体" w:hAnsi="宋体" w:cs="宋体"/>
          <w:snapToGrid w:val="0"/>
          <w:color w:val="000000" w:themeColor="text1"/>
          <w:kern w:val="0"/>
          <w:sz w:val="24"/>
          <w:highlight w:val="none"/>
          <w14:textFill>
            <w14:solidFill>
              <w14:schemeClr w14:val="tx1"/>
            </w14:solidFill>
          </w14:textFill>
        </w:rPr>
        <w:t>。</w:t>
      </w:r>
    </w:p>
    <w:p w14:paraId="6EFD8666">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2.4.2</w:t>
      </w:r>
      <w:r>
        <w:rPr>
          <w:rFonts w:hint="eastAsia" w:ascii="宋体" w:hAnsi="宋体" w:cs="宋体"/>
          <w:snapToGrid w:val="0"/>
          <w:color w:val="000000" w:themeColor="text1"/>
          <w:kern w:val="0"/>
          <w:sz w:val="24"/>
          <w:highlight w:val="none"/>
          <w14:textFill>
            <w14:solidFill>
              <w14:schemeClr w14:val="tx1"/>
            </w14:solidFill>
          </w14:textFill>
        </w:rPr>
        <w:t xml:space="preserve"> 招标人拒绝以下名单中的单位参加本次投标：</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903"/>
        <w:gridCol w:w="4559"/>
      </w:tblGrid>
      <w:tr w14:paraId="7240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vAlign w:val="center"/>
          </w:tcPr>
          <w:p w14:paraId="48DD3389">
            <w:pPr>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序号</w:t>
            </w:r>
          </w:p>
        </w:tc>
        <w:tc>
          <w:tcPr>
            <w:tcW w:w="3903" w:type="dxa"/>
            <w:vAlign w:val="center"/>
          </w:tcPr>
          <w:p w14:paraId="3EB783E3">
            <w:pPr>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单位名称</w:t>
            </w:r>
          </w:p>
        </w:tc>
        <w:tc>
          <w:tcPr>
            <w:tcW w:w="4559" w:type="dxa"/>
            <w:vAlign w:val="center"/>
          </w:tcPr>
          <w:p w14:paraId="3D17FB0D">
            <w:pPr>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拒绝原因</w:t>
            </w:r>
          </w:p>
        </w:tc>
      </w:tr>
      <w:tr w14:paraId="2CD1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vAlign w:val="center"/>
          </w:tcPr>
          <w:p w14:paraId="58A638EF">
            <w:pPr>
              <w:pStyle w:val="3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1</w:t>
            </w:r>
          </w:p>
        </w:tc>
        <w:tc>
          <w:tcPr>
            <w:tcW w:w="3903" w:type="dxa"/>
            <w:vAlign w:val="center"/>
          </w:tcPr>
          <w:p w14:paraId="09040C5D">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广东翁源经济开发区管理委员会</w:t>
            </w:r>
          </w:p>
        </w:tc>
        <w:tc>
          <w:tcPr>
            <w:tcW w:w="4559" w:type="dxa"/>
            <w:vAlign w:val="center"/>
          </w:tcPr>
          <w:p w14:paraId="0C312B5E">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为本招标项目的</w:t>
            </w:r>
            <w:r>
              <w:rPr>
                <w:rFonts w:hint="eastAsia" w:ascii="宋体" w:hAnsi="宋体" w:cs="宋体"/>
                <w:color w:val="000000" w:themeColor="text1"/>
                <w:sz w:val="24"/>
                <w:highlight w:val="none"/>
                <w:lang w:val="en-US" w:eastAsia="zh-CN"/>
                <w14:textFill>
                  <w14:solidFill>
                    <w14:schemeClr w14:val="tx1"/>
                  </w14:solidFill>
                </w14:textFill>
              </w:rPr>
              <w:t>业主</w:t>
            </w:r>
          </w:p>
        </w:tc>
      </w:tr>
      <w:tr w14:paraId="48C4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vAlign w:val="center"/>
          </w:tcPr>
          <w:p w14:paraId="4F8E6466">
            <w:pPr>
              <w:pStyle w:val="3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w:t>
            </w:r>
          </w:p>
        </w:tc>
        <w:tc>
          <w:tcPr>
            <w:tcW w:w="3903" w:type="dxa"/>
            <w:vAlign w:val="center"/>
          </w:tcPr>
          <w:p w14:paraId="29E59DA4">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翁源县公共资产管理中心</w:t>
            </w:r>
          </w:p>
        </w:tc>
        <w:tc>
          <w:tcPr>
            <w:tcW w:w="4559" w:type="dxa"/>
            <w:vAlign w:val="center"/>
          </w:tcPr>
          <w:p w14:paraId="4BB9A011">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为本招标项目的招标人</w:t>
            </w:r>
          </w:p>
        </w:tc>
      </w:tr>
      <w:tr w14:paraId="18F7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vAlign w:val="center"/>
          </w:tcPr>
          <w:p w14:paraId="0D7B4277">
            <w:pPr>
              <w:pStyle w:val="3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w:t>
            </w:r>
          </w:p>
        </w:tc>
        <w:tc>
          <w:tcPr>
            <w:tcW w:w="3903" w:type="dxa"/>
            <w:vAlign w:val="center"/>
          </w:tcPr>
          <w:p w14:paraId="138E4CBA">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广州穗峰建设工程监理有限公司</w:t>
            </w:r>
          </w:p>
        </w:tc>
        <w:tc>
          <w:tcPr>
            <w:tcW w:w="4559" w:type="dxa"/>
            <w:vAlign w:val="center"/>
          </w:tcPr>
          <w:p w14:paraId="57509B1F">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为本招标项目的招标代理机构</w:t>
            </w:r>
          </w:p>
        </w:tc>
      </w:tr>
      <w:tr w14:paraId="2D2E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vAlign w:val="center"/>
          </w:tcPr>
          <w:p w14:paraId="5F5DEF42">
            <w:pPr>
              <w:pStyle w:val="3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w:t>
            </w:r>
          </w:p>
        </w:tc>
        <w:tc>
          <w:tcPr>
            <w:tcW w:w="3903" w:type="dxa"/>
            <w:vAlign w:val="center"/>
          </w:tcPr>
          <w:p w14:paraId="2594092B">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福建建盛工程管理有限公司</w:t>
            </w:r>
          </w:p>
        </w:tc>
        <w:tc>
          <w:tcPr>
            <w:tcW w:w="4559" w:type="dxa"/>
            <w:vAlign w:val="center"/>
          </w:tcPr>
          <w:p w14:paraId="2AF0189A">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为本项目的可研编制单位</w:t>
            </w:r>
          </w:p>
        </w:tc>
      </w:tr>
      <w:tr w14:paraId="175A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vAlign w:val="center"/>
          </w:tcPr>
          <w:p w14:paraId="5F16BB0A">
            <w:pPr>
              <w:pStyle w:val="3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w:t>
            </w:r>
          </w:p>
        </w:tc>
        <w:tc>
          <w:tcPr>
            <w:tcW w:w="3903" w:type="dxa"/>
            <w:vAlign w:val="center"/>
          </w:tcPr>
          <w:p w14:paraId="45A17747">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安徽省医药设计院</w:t>
            </w:r>
          </w:p>
        </w:tc>
        <w:tc>
          <w:tcPr>
            <w:tcW w:w="4559" w:type="dxa"/>
            <w:vAlign w:val="center"/>
          </w:tcPr>
          <w:p w14:paraId="7DC24422">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为本招标项目的设计单位</w:t>
            </w:r>
          </w:p>
        </w:tc>
      </w:tr>
      <w:tr w14:paraId="1B4E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vAlign w:val="center"/>
          </w:tcPr>
          <w:p w14:paraId="39891C87">
            <w:pPr>
              <w:pStyle w:val="32"/>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6</w:t>
            </w:r>
          </w:p>
        </w:tc>
        <w:tc>
          <w:tcPr>
            <w:tcW w:w="3903" w:type="dxa"/>
            <w:vAlign w:val="center"/>
          </w:tcPr>
          <w:p w14:paraId="092EE73D">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深圳市华地岩土工程有限公司</w:t>
            </w:r>
          </w:p>
        </w:tc>
        <w:tc>
          <w:tcPr>
            <w:tcW w:w="4559" w:type="dxa"/>
            <w:vAlign w:val="center"/>
          </w:tcPr>
          <w:p w14:paraId="153A51BD">
            <w:pPr>
              <w:pStyle w:val="32"/>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为本招标项目的</w:t>
            </w:r>
            <w:r>
              <w:rPr>
                <w:rFonts w:hint="eastAsia" w:ascii="宋体" w:hAnsi="宋体" w:cs="宋体"/>
                <w:color w:val="000000" w:themeColor="text1"/>
                <w:sz w:val="24"/>
                <w:highlight w:val="none"/>
                <w:lang w:val="en-US" w:eastAsia="zh-CN"/>
                <w14:textFill>
                  <w14:solidFill>
                    <w14:schemeClr w14:val="tx1"/>
                  </w14:solidFill>
                </w14:textFill>
              </w:rPr>
              <w:t>勘察</w:t>
            </w:r>
            <w:r>
              <w:rPr>
                <w:rFonts w:hint="eastAsia" w:ascii="宋体" w:hAnsi="宋体" w:cs="宋体"/>
                <w:color w:val="000000" w:themeColor="text1"/>
                <w:sz w:val="24"/>
                <w:highlight w:val="none"/>
                <w:lang w:eastAsia="zh-CN"/>
                <w14:textFill>
                  <w14:solidFill>
                    <w14:schemeClr w14:val="tx1"/>
                  </w14:solidFill>
                </w14:textFill>
              </w:rPr>
              <w:t>单位</w:t>
            </w:r>
          </w:p>
        </w:tc>
      </w:tr>
    </w:tbl>
    <w:p w14:paraId="4523E1DA">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2.5</w:t>
      </w:r>
      <w:r>
        <w:rPr>
          <w:rFonts w:hint="eastAsia" w:ascii="宋体" w:hAnsi="宋体" w:cs="宋体"/>
          <w:snapToGrid w:val="0"/>
          <w:color w:val="000000" w:themeColor="text1"/>
          <w:kern w:val="0"/>
          <w:sz w:val="24"/>
          <w:highlight w:val="none"/>
          <w14:textFill>
            <w14:solidFill>
              <w14:schemeClr w14:val="tx1"/>
            </w14:solidFill>
          </w14:textFill>
        </w:rPr>
        <w:t xml:space="preserve"> 其他要求</w:t>
      </w:r>
    </w:p>
    <w:p w14:paraId="70D082D7">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15DAD3EF">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outlineLvl w:val="2"/>
        <w:rPr>
          <w:rFonts w:ascii="宋体" w:hAnsi="宋体" w:cs="宋体"/>
          <w:b/>
          <w:bCs/>
          <w:snapToGrid w:val="0"/>
          <w:color w:val="000000" w:themeColor="text1"/>
          <w:kern w:val="0"/>
          <w:sz w:val="24"/>
          <w:highlight w:val="none"/>
          <w14:textFill>
            <w14:solidFill>
              <w14:schemeClr w14:val="tx1"/>
            </w14:solidFill>
          </w14:textFill>
        </w:rPr>
      </w:pPr>
      <w:bookmarkStart w:id="25" w:name="_Toc32129"/>
      <w:r>
        <w:rPr>
          <w:rFonts w:hint="eastAsia" w:ascii="宋体" w:hAnsi="宋体" w:cs="宋体"/>
          <w:b/>
          <w:bCs/>
          <w:snapToGrid w:val="0"/>
          <w:color w:val="000000" w:themeColor="text1"/>
          <w:kern w:val="0"/>
          <w:sz w:val="24"/>
          <w:highlight w:val="none"/>
          <w14:textFill>
            <w14:solidFill>
              <w14:schemeClr w14:val="tx1"/>
            </w14:solidFill>
          </w14:textFill>
        </w:rPr>
        <w:t>3．获取招标文件</w:t>
      </w:r>
      <w:bookmarkEnd w:id="25"/>
    </w:p>
    <w:p w14:paraId="59052DC8">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3.1 </w:t>
      </w:r>
      <w:r>
        <w:rPr>
          <w:rFonts w:hint="eastAsia" w:ascii="宋体" w:hAnsi="宋体" w:cs="宋体"/>
          <w:color w:val="000000" w:themeColor="text1"/>
          <w:sz w:val="24"/>
          <w:highlight w:val="none"/>
          <w:shd w:val="clear" w:color="auto" w:fill="FFFFFF"/>
          <w14:textFill>
            <w14:solidFill>
              <w14:schemeClr w14:val="tx1"/>
            </w14:solidFill>
          </w14:textFill>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重要事项时间地点一览表”）前完成电子投标。   </w:t>
      </w:r>
    </w:p>
    <w:p w14:paraId="3EB3155D">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629ADDA3">
      <w:pPr>
        <w:pStyle w:val="18"/>
        <w:keepNext w:val="0"/>
        <w:keepLines w:val="0"/>
        <w:pageBreakBefore w:val="0"/>
        <w:kinsoku/>
        <w:overflowPunct/>
        <w:topLinePunct w:val="0"/>
        <w:autoSpaceDE/>
        <w:autoSpaceDN/>
        <w:bidi w:val="0"/>
        <w:spacing w:before="0" w:beforeAutospacing="0" w:after="0" w:afterAutospacing="0" w:line="400" w:lineRule="exact"/>
        <w:ind w:firstLine="480" w:firstLineChars="200"/>
        <w:textAlignment w:val="auto"/>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EE6D475">
      <w:pPr>
        <w:pStyle w:val="18"/>
        <w:keepNext w:val="0"/>
        <w:keepLines w:val="0"/>
        <w:pageBreakBefore w:val="0"/>
        <w:kinsoku/>
        <w:overflowPunct/>
        <w:topLinePunct w:val="0"/>
        <w:autoSpaceDE/>
        <w:autoSpaceDN/>
        <w:bidi w:val="0"/>
        <w:spacing w:before="0" w:beforeAutospacing="0" w:after="0" w:afterAutospacing="0" w:line="400" w:lineRule="exact"/>
        <w:ind w:firstLine="480" w:firstLineChars="200"/>
        <w:textAlignment w:val="auto"/>
        <w:rPr>
          <w:bCs/>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000000" w:themeColor="text1"/>
          <w:highlight w:val="none"/>
          <w14:textFill>
            <w14:solidFill>
              <w14:schemeClr w14:val="tx1"/>
            </w14:solidFill>
          </w14:textFill>
        </w:rPr>
        <w:t xml:space="preserve"> </w:t>
      </w:r>
    </w:p>
    <w:p w14:paraId="021F6908">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已入库企业的有关信息（如单位名称、基本账号、资质、人员等）发生变化的，应及时在建设工程交易系统进行相应变更。投标人未及时变更而造成的损失和后果，由投标人自行承担。</w:t>
      </w:r>
    </w:p>
    <w:p w14:paraId="3FA1A6D6">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 投标保证</w:t>
      </w:r>
    </w:p>
    <w:p w14:paraId="1F87EF3C">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3.3.1 投标人须缴纳金额为人民币</w:t>
      </w:r>
      <w:r>
        <w:rPr>
          <w:rFonts w:hint="eastAsia" w:ascii="宋体" w:hAnsi="宋体" w:cs="宋体"/>
          <w:color w:val="000000" w:themeColor="text1"/>
          <w:sz w:val="24"/>
          <w:highlight w:val="none"/>
          <w:u w:val="single"/>
          <w:shd w:val="clear" w:color="auto" w:fill="FFFFFF"/>
          <w:lang w:eastAsia="zh-CN"/>
          <w14:textFill>
            <w14:solidFill>
              <w14:schemeClr w14:val="tx1"/>
            </w14:solidFill>
          </w14:textFill>
        </w:rPr>
        <w:t>10000.00元</w:t>
      </w:r>
      <w:r>
        <w:rPr>
          <w:rFonts w:hint="eastAsia" w:ascii="宋体" w:hAnsi="宋体" w:cs="宋体"/>
          <w:color w:val="000000" w:themeColor="text1"/>
          <w:sz w:val="24"/>
          <w:highlight w:val="none"/>
          <w:shd w:val="clear" w:color="auto" w:fill="FFFFFF"/>
          <w14:textFill>
            <w14:solidFill>
              <w14:schemeClr w14:val="tx1"/>
            </w14:solidFill>
          </w14:textFill>
        </w:rPr>
        <w:t xml:space="preserve">的投标保证。 </w:t>
      </w:r>
    </w:p>
    <w:p w14:paraId="76E923E0">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3.3.2 投标保证的形式包括投标保证金、投标保证担保、投标保证保险三种，由投标人自主选择。</w:t>
      </w:r>
    </w:p>
    <w:p w14:paraId="1178649C">
      <w:pPr>
        <w:keepNext w:val="0"/>
        <w:keepLines w:val="0"/>
        <w:pageBreakBefore w:val="0"/>
        <w:kinsoku/>
        <w:overflowPunct/>
        <w:topLinePunct w:val="0"/>
        <w:autoSpaceDE/>
        <w:autoSpaceDN/>
        <w:bidi w:val="0"/>
        <w:snapToGrid w:val="0"/>
        <w:spacing w:line="4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599BFA32">
      <w:pPr>
        <w:keepNext w:val="0"/>
        <w:keepLines w:val="0"/>
        <w:pageBreakBefore w:val="0"/>
        <w:kinsoku/>
        <w:overflowPunct/>
        <w:topLinePunct w:val="0"/>
        <w:autoSpaceDE/>
        <w:autoSpaceDN/>
        <w:bidi w:val="0"/>
        <w:snapToGrid w:val="0"/>
        <w:spacing w:line="4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51B47F72">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23D101EB">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000000" w:themeColor="text1"/>
          <w:sz w:val="24"/>
          <w:highlight w:val="none"/>
          <w14:textFill>
            <w14:solidFill>
              <w14:schemeClr w14:val="tx1"/>
            </w14:solidFill>
          </w14:textFill>
        </w:rPr>
        <w:t>延长</w:t>
      </w:r>
      <w:r>
        <w:rPr>
          <w:rFonts w:hint="eastAsia" w:ascii="宋体" w:hAnsi="宋体" w:cs="宋体"/>
          <w:color w:val="000000" w:themeColor="text1"/>
          <w:sz w:val="24"/>
          <w:highlight w:val="none"/>
          <w14:textFill>
            <w14:solidFill>
              <w14:schemeClr w14:val="tx1"/>
            </w14:solidFill>
          </w14:textFill>
        </w:rPr>
        <w:t>不少于20个日历天。</w:t>
      </w:r>
    </w:p>
    <w:p w14:paraId="526A1C86">
      <w:pPr>
        <w:keepNext w:val="0"/>
        <w:keepLines w:val="0"/>
        <w:pageBreakBefore w:val="0"/>
        <w:tabs>
          <w:tab w:val="left" w:pos="7020"/>
        </w:tabs>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3.4</w:t>
      </w:r>
      <w:r>
        <w:rPr>
          <w:rFonts w:hint="eastAsia" w:hAnsi="宋体" w:cs="宋体"/>
          <w:snapToGrid w:val="0"/>
          <w:color w:val="000000" w:themeColor="text1"/>
          <w:kern w:val="0"/>
          <w:highlight w:val="none"/>
          <w14:textFill>
            <w14:solidFill>
              <w14:schemeClr w14:val="tx1"/>
            </w14:solidFill>
          </w14:textFill>
        </w:rPr>
        <w:t xml:space="preserve"> 若投标人因自身原因未能正确完成获取招标文件、电子投标、缴纳投标保证的，其投标无效。</w:t>
      </w:r>
    </w:p>
    <w:p w14:paraId="5D51BE45">
      <w:pPr>
        <w:keepNext w:val="0"/>
        <w:keepLines w:val="0"/>
        <w:pageBreakBefore w:val="0"/>
        <w:tabs>
          <w:tab w:val="left" w:pos="7020"/>
        </w:tabs>
        <w:kinsoku/>
        <w:wordWrap w:val="0"/>
        <w:overflowPunct/>
        <w:topLinePunct w:val="0"/>
        <w:autoSpaceDE/>
        <w:autoSpaceDN/>
        <w:bidi w:val="0"/>
        <w:adjustRightInd w:val="0"/>
        <w:snapToGrid w:val="0"/>
        <w:spacing w:line="400" w:lineRule="exact"/>
        <w:ind w:firstLine="482" w:firstLineChars="200"/>
        <w:textAlignment w:val="auto"/>
        <w:outlineLvl w:val="2"/>
        <w:rPr>
          <w:rFonts w:hAnsi="宋体" w:cs="宋体"/>
          <w:snapToGrid w:val="0"/>
          <w:color w:val="000000" w:themeColor="text1"/>
          <w:kern w:val="0"/>
          <w:highlight w:val="none"/>
          <w14:textFill>
            <w14:solidFill>
              <w14:schemeClr w14:val="tx1"/>
            </w14:solidFill>
          </w14:textFill>
        </w:rPr>
      </w:pPr>
      <w:bookmarkStart w:id="26" w:name="_Toc17567"/>
      <w:r>
        <w:rPr>
          <w:rFonts w:hint="eastAsia" w:hAnsi="宋体" w:cs="宋体"/>
          <w:b/>
          <w:bCs/>
          <w:snapToGrid w:val="0"/>
          <w:color w:val="000000" w:themeColor="text1"/>
          <w:kern w:val="0"/>
          <w:highlight w:val="none"/>
          <w14:textFill>
            <w14:solidFill>
              <w14:schemeClr w14:val="tx1"/>
            </w14:solidFill>
          </w14:textFill>
        </w:rPr>
        <w:t>4．服务期限</w:t>
      </w:r>
      <w:bookmarkEnd w:id="26"/>
    </w:p>
    <w:p w14:paraId="3A5F96AC">
      <w:pPr>
        <w:keepNext w:val="0"/>
        <w:keepLines w:val="0"/>
        <w:pageBreakBefore w:val="0"/>
        <w:tabs>
          <w:tab w:val="left" w:pos="7020"/>
        </w:tabs>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4.1</w:t>
      </w:r>
      <w:r>
        <w:rPr>
          <w:rFonts w:hint="eastAsia" w:hAnsi="宋体" w:cs="宋体"/>
          <w:snapToGrid w:val="0"/>
          <w:color w:val="000000" w:themeColor="text1"/>
          <w:kern w:val="0"/>
          <w:highlight w:val="none"/>
          <w14:textFill>
            <w14:solidFill>
              <w14:schemeClr w14:val="tx1"/>
            </w14:solidFill>
          </w14:textFill>
        </w:rPr>
        <w:t xml:space="preserve"> 监理</w:t>
      </w: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eastAsia="zh-CN"/>
          <w14:textFill>
            <w14:solidFill>
              <w14:schemeClr w14:val="tx1"/>
            </w14:solidFill>
          </w14:textFill>
        </w:rPr>
        <w:t>监理服务期不少于</w:t>
      </w:r>
      <w:r>
        <w:rPr>
          <w:rFonts w:hint="eastAsia" w:hAnsi="宋体" w:cs="宋体"/>
          <w:snapToGrid w:val="0"/>
          <w:color w:val="000000" w:themeColor="text1"/>
          <w:kern w:val="0"/>
          <w:highlight w:val="none"/>
          <w:lang w:val="en-US" w:eastAsia="zh-CN"/>
          <w14:textFill>
            <w14:solidFill>
              <w14:schemeClr w14:val="tx1"/>
            </w14:solidFill>
          </w14:textFill>
        </w:rPr>
        <w:t>540</w:t>
      </w:r>
      <w:r>
        <w:rPr>
          <w:rFonts w:hint="eastAsia" w:hAnsi="宋体" w:cs="宋体"/>
          <w:snapToGrid w:val="0"/>
          <w:color w:val="000000" w:themeColor="text1"/>
          <w:kern w:val="0"/>
          <w:highlight w:val="none"/>
          <w:lang w:eastAsia="zh-CN"/>
          <w14:textFill>
            <w14:solidFill>
              <w14:schemeClr w14:val="tx1"/>
            </w14:solidFill>
          </w14:textFill>
        </w:rPr>
        <w:t>日历天。监理服务期</w:t>
      </w:r>
      <w:r>
        <w:rPr>
          <w:rFonts w:hint="eastAsia" w:hAnsi="宋体" w:cs="宋体"/>
          <w:snapToGrid w:val="0"/>
          <w:color w:val="000000" w:themeColor="text1"/>
          <w:kern w:val="0"/>
          <w:highlight w:val="none"/>
          <w14:textFill>
            <w14:solidFill>
              <w14:schemeClr w14:val="tx1"/>
            </w14:solidFill>
          </w14:textFill>
        </w:rPr>
        <w:t>从监理合同签订之日起计，至本工程缺陷责任保修期结束且本工程结算金额经政府主管部门审定且双方的责任义务履行完毕时止。</w:t>
      </w:r>
    </w:p>
    <w:p w14:paraId="57E57FC3">
      <w:pPr>
        <w:pStyle w:val="3"/>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napToGrid w:val="0"/>
          <w:color w:val="000000" w:themeColor="text1"/>
          <w:highlight w:val="none"/>
          <w14:textFill>
            <w14:solidFill>
              <w14:schemeClr w14:val="tx1"/>
            </w14:solidFill>
          </w14:textFill>
        </w:rPr>
      </w:pPr>
      <w:bookmarkStart w:id="27" w:name="_Toc10746"/>
      <w:bookmarkStart w:id="28" w:name="_Toc23254"/>
      <w:r>
        <w:rPr>
          <w:rFonts w:hint="eastAsia" w:hAnsi="宋体" w:cs="宋体"/>
          <w:b/>
          <w:snapToGrid w:val="0"/>
          <w:color w:val="000000" w:themeColor="text1"/>
          <w:highlight w:val="none"/>
          <w14:textFill>
            <w14:solidFill>
              <w14:schemeClr w14:val="tx1"/>
            </w14:solidFill>
          </w14:textFill>
        </w:rPr>
        <w:t>5．服务标准</w:t>
      </w:r>
      <w:bookmarkEnd w:id="27"/>
      <w:bookmarkEnd w:id="28"/>
    </w:p>
    <w:p w14:paraId="5AE072B9">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5.1</w:t>
      </w:r>
      <w:r>
        <w:rPr>
          <w:rFonts w:hint="eastAsia" w:hAnsi="宋体" w:cs="宋体"/>
          <w:snapToGrid w:val="0"/>
          <w:color w:val="000000" w:themeColor="text1"/>
          <w:kern w:val="0"/>
          <w:highlight w:val="none"/>
          <w14:textFill>
            <w14:solidFill>
              <w14:schemeClr w14:val="tx1"/>
            </w14:solidFill>
          </w14:textFill>
        </w:rPr>
        <w:t xml:space="preserve"> 监理：</w:t>
      </w:r>
      <w:r>
        <w:rPr>
          <w:rFonts w:hint="eastAsia" w:hAnsi="宋体" w:cs="宋体"/>
          <w:color w:val="000000" w:themeColor="text1"/>
          <w:szCs w:val="24"/>
          <w:highlight w:val="none"/>
          <w14:textFill>
            <w14:solidFill>
              <w14:schemeClr w14:val="tx1"/>
            </w14:solidFill>
          </w14:textFill>
        </w:rPr>
        <w:t>工程质量达到合格标准。</w:t>
      </w:r>
    </w:p>
    <w:p w14:paraId="054FE7FA">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5.2 根据韶关市人民政府《关于加快推进全</w:t>
      </w:r>
      <w:r>
        <w:rPr>
          <w:rFonts w:hint="eastAsia" w:hAnsi="宋体" w:cs="宋体"/>
          <w:color w:val="000000" w:themeColor="text1"/>
          <w:szCs w:val="24"/>
          <w:highlight w:val="none"/>
          <w14:textFill>
            <w14:solidFill>
              <w14:schemeClr w14:val="tx1"/>
            </w14:solidFill>
          </w14:textFill>
        </w:rPr>
        <w:t>市绿色建筑发展工作的通知》（韶府办明电〔2013〕277号）有关规定，</w:t>
      </w:r>
      <w:r>
        <w:rPr>
          <w:rFonts w:hint="eastAsia" w:hAnsi="宋体" w:cs="宋体"/>
          <w:color w:val="000000" w:themeColor="text1"/>
          <w:szCs w:val="24"/>
          <w:highlight w:val="none"/>
          <w14:textFill>
            <w14:solidFill>
              <w14:schemeClr w14:val="tx1"/>
            </w14:solidFill>
          </w14:textFill>
        </w:rPr>
        <w:t>本招标项目纳入绿色建设（一星）实施范围。</w:t>
      </w:r>
      <w:r>
        <w:rPr>
          <w:rFonts w:hint="eastAsia" w:hAnsi="宋体" w:cs="宋体"/>
          <w:snapToGrid w:val="0"/>
          <w:color w:val="000000" w:themeColor="text1"/>
          <w:kern w:val="0"/>
          <w:highlight w:val="none"/>
          <w14:textFill>
            <w14:solidFill>
              <w14:schemeClr w14:val="tx1"/>
            </w14:solidFill>
          </w14:textFill>
        </w:rPr>
        <w:t xml:space="preserve"> </w:t>
      </w:r>
    </w:p>
    <w:p w14:paraId="66E065E1">
      <w:pPr>
        <w:pStyle w:val="3"/>
        <w:keepNext w:val="0"/>
        <w:keepLines w:val="0"/>
        <w:pageBreakBefore w:val="0"/>
        <w:kinsoku/>
        <w:wordWrap w:val="0"/>
        <w:overflowPunct/>
        <w:topLinePunct w:val="0"/>
        <w:autoSpaceDE/>
        <w:autoSpaceDN/>
        <w:bidi w:val="0"/>
        <w:snapToGrid w:val="0"/>
        <w:spacing w:line="4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29" w:name="_Toc31598"/>
      <w:bookmarkStart w:id="30" w:name="_Toc32757"/>
      <w:r>
        <w:rPr>
          <w:rFonts w:hint="eastAsia" w:hAnsi="宋体" w:cs="宋体"/>
          <w:b/>
          <w:snapToGrid w:val="0"/>
          <w:color w:val="000000" w:themeColor="text1"/>
          <w:highlight w:val="none"/>
          <w14:textFill>
            <w14:solidFill>
              <w14:schemeClr w14:val="tx1"/>
            </w14:solidFill>
          </w14:textFill>
        </w:rPr>
        <w:t>6．现场踏勘</w:t>
      </w:r>
      <w:bookmarkEnd w:id="29"/>
      <w:bookmarkEnd w:id="30"/>
    </w:p>
    <w:p w14:paraId="0D090578">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6.1</w:t>
      </w:r>
      <w:r>
        <w:rPr>
          <w:rFonts w:hint="eastAsia" w:hAnsi="宋体" w:cs="宋体"/>
          <w:snapToGrid w:val="0"/>
          <w:color w:val="000000" w:themeColor="text1"/>
          <w:kern w:val="0"/>
          <w:highlight w:val="none"/>
          <w14:textFill>
            <w14:solidFill>
              <w14:schemeClr w14:val="tx1"/>
            </w14:solidFill>
          </w14:textFill>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21E55CE9">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6.2</w:t>
      </w:r>
      <w:r>
        <w:rPr>
          <w:rFonts w:hint="eastAsia" w:hAnsi="宋体" w:cs="宋体"/>
          <w:snapToGrid w:val="0"/>
          <w:color w:val="000000" w:themeColor="text1"/>
          <w:kern w:val="0"/>
          <w:highlight w:val="none"/>
          <w14:textFill>
            <w14:solidFill>
              <w14:schemeClr w14:val="tx1"/>
            </w14:solidFill>
          </w14:textFill>
        </w:rPr>
        <w:t xml:space="preserve"> 在现场踏勘过程中，投标人应确保自身安全，投标人如果发生人身伤亡、财物或其他损失，法律法规有规定的按有关规定处理，没有规定的由投标人自行负责。</w:t>
      </w:r>
    </w:p>
    <w:p w14:paraId="70745EA6">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b/>
          <w:snapToGrid w:val="0"/>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6.3</w:t>
      </w:r>
      <w:r>
        <w:rPr>
          <w:rFonts w:hint="eastAsia" w:hAnsi="宋体" w:cs="宋体"/>
          <w:snapToGrid w:val="0"/>
          <w:color w:val="000000" w:themeColor="text1"/>
          <w:kern w:val="0"/>
          <w:highlight w:val="none"/>
          <w14:textFill>
            <w14:solidFill>
              <w14:schemeClr w14:val="tx1"/>
            </w14:solidFill>
          </w14:textFill>
        </w:rPr>
        <w:t xml:space="preserve"> 现场踏勘期间的交通、食宿由投标人自行安排，费用自理。</w:t>
      </w:r>
    </w:p>
    <w:p w14:paraId="31757935">
      <w:pPr>
        <w:pStyle w:val="3"/>
        <w:keepNext w:val="0"/>
        <w:keepLines w:val="0"/>
        <w:pageBreakBefore w:val="0"/>
        <w:kinsoku/>
        <w:wordWrap w:val="0"/>
        <w:overflowPunct/>
        <w:topLinePunct w:val="0"/>
        <w:autoSpaceDE/>
        <w:autoSpaceDN/>
        <w:bidi w:val="0"/>
        <w:snapToGrid w:val="0"/>
        <w:spacing w:line="4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31" w:name="_Toc8198"/>
      <w:bookmarkStart w:id="32" w:name="_Toc15900"/>
      <w:r>
        <w:rPr>
          <w:rFonts w:hint="eastAsia" w:hAnsi="宋体" w:cs="宋体"/>
          <w:b/>
          <w:snapToGrid w:val="0"/>
          <w:color w:val="000000" w:themeColor="text1"/>
          <w:highlight w:val="none"/>
          <w14:textFill>
            <w14:solidFill>
              <w14:schemeClr w14:val="tx1"/>
            </w14:solidFill>
          </w14:textFill>
        </w:rPr>
        <w:t>7．招标文件的提问和答疑</w:t>
      </w:r>
      <w:bookmarkEnd w:id="31"/>
      <w:bookmarkEnd w:id="32"/>
      <w:bookmarkStart w:id="33" w:name="_Hlt74496410"/>
      <w:bookmarkEnd w:id="33"/>
    </w:p>
    <w:p w14:paraId="669C592D">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lang w:bidi="ar"/>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7.1</w:t>
      </w:r>
      <w:r>
        <w:rPr>
          <w:rFonts w:hint="eastAsia" w:hAnsi="宋体" w:cs="宋体"/>
          <w:snapToGrid w:val="0"/>
          <w:color w:val="000000" w:themeColor="text1"/>
          <w:kern w:val="0"/>
          <w:highlight w:val="none"/>
          <w14:textFill>
            <w14:solidFill>
              <w14:schemeClr w14:val="tx1"/>
            </w14:solidFill>
          </w14:textFill>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000000" w:themeColor="text1"/>
          <w:kern w:val="0"/>
          <w:szCs w:val="24"/>
          <w:highlight w:val="none"/>
          <w:lang w:bidi="ar"/>
          <w14:textFill>
            <w14:solidFill>
              <w14:schemeClr w14:val="tx1"/>
            </w14:solidFill>
          </w14:textFill>
        </w:rPr>
        <w:t>。</w:t>
      </w:r>
    </w:p>
    <w:p w14:paraId="525C623C">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7.2 </w:t>
      </w:r>
      <w:r>
        <w:rPr>
          <w:rFonts w:hint="eastAsia" w:hAnsi="宋体" w:cs="宋体"/>
          <w:snapToGrid w:val="0"/>
          <w:color w:val="000000" w:themeColor="text1"/>
          <w:kern w:val="0"/>
          <w:highlight w:val="none"/>
          <w14:textFill>
            <w14:solidFill>
              <w14:schemeClr w14:val="tx1"/>
            </w14:solidFill>
          </w14:textFill>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CFC882A">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7.3</w:t>
      </w:r>
      <w:r>
        <w:rPr>
          <w:rFonts w:hint="eastAsia" w:hAnsi="宋体" w:cs="宋体"/>
          <w:snapToGrid w:val="0"/>
          <w:color w:val="000000" w:themeColor="text1"/>
          <w:kern w:val="0"/>
          <w:highlight w:val="none"/>
          <w14:textFill>
            <w14:solidFill>
              <w14:schemeClr w14:val="tx1"/>
            </w14:solidFill>
          </w14:textFill>
        </w:rPr>
        <w:t xml:space="preserve"> 招标人对招标文件所作的答疑（或修改）公告，构成招标文件的组成部分。</w:t>
      </w:r>
    </w:p>
    <w:p w14:paraId="06A1ACDE">
      <w:pPr>
        <w:pStyle w:val="3"/>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napToGrid w:val="0"/>
          <w:color w:val="000000" w:themeColor="text1"/>
          <w:highlight w:val="none"/>
          <w14:textFill>
            <w14:solidFill>
              <w14:schemeClr w14:val="tx1"/>
            </w14:solidFill>
          </w14:textFill>
        </w:rPr>
      </w:pPr>
      <w:bookmarkStart w:id="34" w:name="_Hlt92513711"/>
      <w:bookmarkEnd w:id="34"/>
      <w:bookmarkStart w:id="35" w:name="_Hlt92513715"/>
      <w:bookmarkEnd w:id="35"/>
      <w:bookmarkStart w:id="36" w:name="_Hlt69699188"/>
      <w:bookmarkEnd w:id="36"/>
      <w:bookmarkStart w:id="37" w:name="_Toc23036"/>
      <w:bookmarkStart w:id="38" w:name="_Toc24094"/>
      <w:r>
        <w:rPr>
          <w:rFonts w:hint="eastAsia" w:hAnsi="宋体" w:cs="宋体"/>
          <w:b/>
          <w:snapToGrid w:val="0"/>
          <w:color w:val="000000" w:themeColor="text1"/>
          <w:highlight w:val="none"/>
          <w14:textFill>
            <w14:solidFill>
              <w14:schemeClr w14:val="tx1"/>
            </w14:solidFill>
          </w14:textFill>
        </w:rPr>
        <w:t>8．最高投标限价</w:t>
      </w:r>
      <w:bookmarkEnd w:id="37"/>
      <w:bookmarkEnd w:id="38"/>
    </w:p>
    <w:p w14:paraId="2C00EC44">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8.1</w:t>
      </w:r>
      <w:r>
        <w:rPr>
          <w:rFonts w:hint="eastAsia" w:hAnsi="宋体" w:cs="宋体"/>
          <w:snapToGrid w:val="0"/>
          <w:color w:val="000000" w:themeColor="text1"/>
          <w:kern w:val="0"/>
          <w:highlight w:val="none"/>
          <w14:textFill>
            <w14:solidFill>
              <w14:schemeClr w14:val="tx1"/>
            </w14:solidFill>
          </w14:textFill>
        </w:rPr>
        <w:t xml:space="preserve"> 本招标项目参考以下依据编制最高投标限价：</w:t>
      </w:r>
    </w:p>
    <w:p w14:paraId="7C677BF2">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项目</w:t>
      </w:r>
      <w:r>
        <w:rPr>
          <w:rFonts w:hint="eastAsia" w:hAnsi="宋体" w:cs="宋体"/>
          <w:snapToGrid w:val="0"/>
          <w:color w:val="000000" w:themeColor="text1"/>
          <w:kern w:val="0"/>
          <w:highlight w:val="none"/>
          <w:u w:val="single"/>
          <w:lang w:val="en-US" w:eastAsia="zh-CN"/>
          <w14:textFill>
            <w14:solidFill>
              <w14:schemeClr w14:val="tx1"/>
            </w14:solidFill>
          </w14:textFill>
        </w:rPr>
        <w:t>概算</w:t>
      </w:r>
      <w:r>
        <w:rPr>
          <w:rFonts w:hint="eastAsia" w:hAnsi="宋体" w:cs="宋体"/>
          <w:snapToGrid w:val="0"/>
          <w:color w:val="000000" w:themeColor="text1"/>
          <w:kern w:val="0"/>
          <w:highlight w:val="none"/>
          <w14:textFill>
            <w14:solidFill>
              <w14:schemeClr w14:val="tx1"/>
            </w14:solidFill>
          </w14:textFill>
        </w:rPr>
        <w:t>总投资；</w:t>
      </w:r>
    </w:p>
    <w:p w14:paraId="291B5D9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（2）《建设工程监理与相关服务收费标准》；</w:t>
      </w:r>
    </w:p>
    <w:p w14:paraId="4EF0175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（3）监理及相关服务内容；</w:t>
      </w:r>
    </w:p>
    <w:p w14:paraId="73711E42">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（4）施工现场情况、工程特点；</w:t>
      </w:r>
    </w:p>
    <w:p w14:paraId="1D80C05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（5）项目所在地市场价格。</w:t>
      </w:r>
    </w:p>
    <w:p w14:paraId="0E7D73B3">
      <w:pPr>
        <w:pStyle w:val="25"/>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 xml:space="preserve">   8.2</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b/>
          <w:bCs/>
          <w:snapToGrid w:val="0"/>
          <w:color w:val="000000" w:themeColor="text1"/>
          <w:kern w:val="0"/>
          <w:sz w:val="24"/>
          <w:highlight w:val="none"/>
          <w:u w:val="none"/>
          <w:lang w:val="en-US" w:eastAsia="zh-CN" w:bidi="ar-SA"/>
          <w14:textFill>
            <w14:solidFill>
              <w14:schemeClr w14:val="tx1"/>
            </w14:solidFill>
          </w14:textFill>
        </w:rPr>
        <w:t>本次招标最高投标限价为人民币（大写）：</w:t>
      </w:r>
      <w:r>
        <w:rPr>
          <w:rFonts w:hint="eastAsia" w:ascii="宋体" w:hAnsi="宋体" w:eastAsia="宋体" w:cs="宋体"/>
          <w:b/>
          <w:bCs/>
          <w:snapToGrid w:val="0"/>
          <w:color w:val="000000" w:themeColor="text1"/>
          <w:kern w:val="0"/>
          <w:sz w:val="24"/>
          <w:highlight w:val="none"/>
          <w:u w:val="single"/>
          <w:lang w:val="en-US" w:eastAsia="zh-CN" w:bidi="ar-SA"/>
          <w14:textFill>
            <w14:solidFill>
              <w14:schemeClr w14:val="tx1"/>
            </w14:solidFill>
          </w14:textFill>
        </w:rPr>
        <w:t>壹佰叁拾陆万贰仟壹佰元整（￥1362100.00元）</w:t>
      </w:r>
      <w:r>
        <w:rPr>
          <w:rFonts w:hint="eastAsia" w:ascii="宋体" w:hAnsi="宋体" w:eastAsia="宋体" w:cs="宋体"/>
          <w:b/>
          <w:bCs/>
          <w:snapToGrid w:val="0"/>
          <w:color w:val="000000" w:themeColor="text1"/>
          <w:kern w:val="0"/>
          <w:sz w:val="24"/>
          <w:highlight w:val="none"/>
          <w:u w:val="none"/>
          <w:lang w:val="en-US" w:eastAsia="zh-CN" w:bidi="ar-SA"/>
          <w14:textFill>
            <w14:solidFill>
              <w14:schemeClr w14:val="tx1"/>
            </w14:solidFill>
          </w14:textFill>
        </w:rPr>
        <w:t>。监理服务费投标取费费率上限为</w:t>
      </w:r>
      <w:r>
        <w:rPr>
          <w:rFonts w:hint="eastAsia" w:ascii="宋体" w:hAnsi="宋体" w:eastAsia="宋体" w:cs="宋体"/>
          <w:b/>
          <w:bCs/>
          <w:snapToGrid w:val="0"/>
          <w:color w:val="000000" w:themeColor="text1"/>
          <w:kern w:val="0"/>
          <w:sz w:val="24"/>
          <w:highlight w:val="none"/>
          <w:u w:val="single"/>
          <w:lang w:val="en-US" w:eastAsia="zh-CN" w:bidi="ar-SA"/>
          <w14:textFill>
            <w14:solidFill>
              <w14:schemeClr w14:val="tx1"/>
            </w14:solidFill>
          </w14:textFill>
        </w:rPr>
        <w:t>0.849%</w:t>
      </w:r>
      <w:r>
        <w:rPr>
          <w:rFonts w:hint="eastAsia" w:ascii="宋体" w:hAnsi="宋体" w:eastAsia="宋体" w:cs="宋体"/>
          <w:b/>
          <w:bCs/>
          <w:snapToGrid w:val="0"/>
          <w:color w:val="000000" w:themeColor="text1"/>
          <w:kern w:val="0"/>
          <w:sz w:val="24"/>
          <w:highlight w:val="none"/>
          <w:u w:val="none"/>
          <w:lang w:val="en-US" w:eastAsia="zh-CN" w:bidi="ar-SA"/>
          <w14:textFill>
            <w14:solidFill>
              <w14:schemeClr w14:val="tx1"/>
            </w14:solidFill>
          </w14:textFill>
        </w:rPr>
        <w:t>。</w:t>
      </w:r>
    </w:p>
    <w:p w14:paraId="0C08338C">
      <w:pPr>
        <w:pStyle w:val="3"/>
        <w:keepNext w:val="0"/>
        <w:keepLines w:val="0"/>
        <w:pageBreakBefore w:val="0"/>
        <w:kinsoku/>
        <w:wordWrap w:val="0"/>
        <w:overflowPunct/>
        <w:topLinePunct w:val="0"/>
        <w:autoSpaceDE/>
        <w:autoSpaceDN/>
        <w:bidi w:val="0"/>
        <w:snapToGrid w:val="0"/>
        <w:spacing w:line="4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39" w:name="_Toc7437"/>
      <w:bookmarkStart w:id="40" w:name="_Toc1446"/>
      <w:r>
        <w:rPr>
          <w:rFonts w:hint="eastAsia" w:hAnsi="宋体" w:cs="宋体"/>
          <w:b/>
          <w:snapToGrid w:val="0"/>
          <w:color w:val="000000" w:themeColor="text1"/>
          <w:highlight w:val="none"/>
          <w14:textFill>
            <w14:solidFill>
              <w14:schemeClr w14:val="tx1"/>
            </w14:solidFill>
          </w14:textFill>
        </w:rPr>
        <w:t>9．投标报价</w:t>
      </w:r>
      <w:bookmarkEnd w:id="39"/>
      <w:bookmarkEnd w:id="40"/>
      <w:bookmarkStart w:id="41" w:name="_Hlt74498519"/>
      <w:bookmarkEnd w:id="41"/>
    </w:p>
    <w:p w14:paraId="29D01F5F">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9.1</w:t>
      </w:r>
      <w:r>
        <w:rPr>
          <w:rFonts w:hint="eastAsia" w:hAnsi="宋体" w:cs="宋体"/>
          <w:snapToGrid w:val="0"/>
          <w:color w:val="000000" w:themeColor="text1"/>
          <w:kern w:val="0"/>
          <w:highlight w:val="none"/>
          <w14:textFill>
            <w14:solidFill>
              <w14:schemeClr w14:val="tx1"/>
            </w14:solidFill>
          </w14:textFill>
        </w:rPr>
        <w:t xml:space="preserve"> 本次招标采用填报</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u w:val="single"/>
          <w14:textFill>
            <w14:solidFill>
              <w14:schemeClr w14:val="tx1"/>
            </w14:solidFill>
          </w14:textFill>
        </w:rPr>
        <w:t xml:space="preserve">投标报价及取费费率 </w:t>
      </w:r>
      <w:r>
        <w:rPr>
          <w:rFonts w:hint="eastAsia" w:ascii="Times New Roman"/>
          <w:snapToGrid w:val="0"/>
          <w:color w:val="000000" w:themeColor="text1"/>
          <w:kern w:val="0"/>
          <w:highlight w:val="none"/>
          <w14:textFill>
            <w14:solidFill>
              <w14:schemeClr w14:val="tx1"/>
            </w14:solidFill>
          </w14:textFill>
        </w:rPr>
        <w:t>的方式进行报价</w:t>
      </w:r>
      <w:r>
        <w:rPr>
          <w:rFonts w:hint="eastAsia" w:hAnsi="宋体" w:cs="宋体"/>
          <w:snapToGrid w:val="0"/>
          <w:color w:val="000000" w:themeColor="text1"/>
          <w:kern w:val="0"/>
          <w:highlight w:val="none"/>
          <w14:textFill>
            <w14:solidFill>
              <w14:schemeClr w14:val="tx1"/>
            </w14:solidFill>
          </w14:textFill>
        </w:rPr>
        <w:t>。</w:t>
      </w:r>
      <w:r>
        <w:rPr>
          <w:rFonts w:ascii="Times New Roman"/>
          <w:snapToGrid w:val="0"/>
          <w:color w:val="000000" w:themeColor="text1"/>
          <w:kern w:val="0"/>
          <w:highlight w:val="none"/>
          <w14:textFill>
            <w14:solidFill>
              <w14:schemeClr w14:val="tx1"/>
            </w14:solidFill>
          </w14:textFill>
        </w:rPr>
        <w:t>投标人应在《投标函》（格式二）中进行报价。</w:t>
      </w:r>
    </w:p>
    <w:p w14:paraId="7BB1FB65">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int="eastAsia" w:hAnsi="宋体" w:cs="宋体"/>
          <w:snapToGrid w:val="0"/>
          <w:color w:val="000000" w:themeColor="text1"/>
          <w:kern w:val="0"/>
          <w:highlight w:val="none"/>
          <w:lang w:eastAsia="zh-CN"/>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9.2</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b/>
          <w:bCs/>
          <w:snapToGrid w:val="0"/>
          <w:color w:val="000000" w:themeColor="text1"/>
          <w:kern w:val="0"/>
          <w:highlight w:val="none"/>
          <w14:textFill>
            <w14:solidFill>
              <w14:schemeClr w14:val="tx1"/>
            </w14:solidFill>
          </w14:textFill>
        </w:rPr>
        <w:t>投标报价均以人民币“元”为单位，并保留两位小数；投标取费费率保留小数点后三位</w:t>
      </w:r>
      <w:r>
        <w:rPr>
          <w:rFonts w:hint="eastAsia" w:hAnsi="宋体" w:cs="宋体"/>
          <w:b/>
          <w:bCs/>
          <w:snapToGrid w:val="0"/>
          <w:color w:val="000000" w:themeColor="text1"/>
          <w:kern w:val="0"/>
          <w:highlight w:val="none"/>
          <w:lang w:eastAsia="zh-CN"/>
          <w14:textFill>
            <w14:solidFill>
              <w14:schemeClr w14:val="tx1"/>
            </w14:solidFill>
          </w14:textFill>
        </w:rPr>
        <w:t>。</w:t>
      </w:r>
    </w:p>
    <w:p w14:paraId="578E2B6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投标取费费率=投标总价÷建安工程费暂定价×100%</w:t>
      </w:r>
    </w:p>
    <w:p w14:paraId="389273DD">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9.3 </w:t>
      </w:r>
      <w:r>
        <w:rPr>
          <w:rFonts w:hint="eastAsia" w:hAnsi="宋体" w:cs="宋体"/>
          <w:snapToGrid w:val="0"/>
          <w:color w:val="000000" w:themeColor="text1"/>
          <w:kern w:val="0"/>
          <w:szCs w:val="24"/>
          <w:highlight w:val="none"/>
          <w14:textFill>
            <w14:solidFill>
              <w14:schemeClr w14:val="tx1"/>
            </w14:solidFill>
          </w14:textFill>
        </w:rPr>
        <w:t>在最高投标限价范围内，投标人自行报价。</w:t>
      </w:r>
      <w:r>
        <w:rPr>
          <w:rFonts w:hint="eastAsia" w:hAnsi="宋体" w:cs="宋体"/>
          <w:snapToGrid w:val="0"/>
          <w:color w:val="000000" w:themeColor="text1"/>
          <w:kern w:val="0"/>
          <w:szCs w:val="24"/>
          <w:highlight w:val="none"/>
          <w14:textFill>
            <w14:solidFill>
              <w14:schemeClr w14:val="tx1"/>
            </w14:solidFill>
          </w14:textFill>
        </w:rPr>
        <w:t>监理服务费结算时以县财政投资评审中心审核后的建安工程费为准。结算价按以下方式结算：监理费=县财政投资评审中心审核后的建安工程费×监理费的中标费率（监理费的中标费率=监理费中标价÷</w:t>
      </w:r>
      <w:r>
        <w:rPr>
          <w:rFonts w:hint="eastAsia" w:hAnsi="宋体" w:cs="宋体"/>
          <w:snapToGrid w:val="0"/>
          <w:color w:val="000000" w:themeColor="text1"/>
          <w:kern w:val="0"/>
          <w:highlight w:val="none"/>
          <w14:textFill>
            <w14:solidFill>
              <w14:schemeClr w14:val="tx1"/>
            </w14:solidFill>
          </w14:textFill>
        </w:rPr>
        <w:t>建安工程费暂定价</w:t>
      </w:r>
      <w:r>
        <w:rPr>
          <w:rFonts w:hint="eastAsia" w:hAnsi="宋体" w:cs="宋体"/>
          <w:snapToGrid w:val="0"/>
          <w:color w:val="000000" w:themeColor="text1"/>
          <w:kern w:val="0"/>
          <w:szCs w:val="24"/>
          <w:highlight w:val="none"/>
          <w14:textFill>
            <w14:solidFill>
              <w14:schemeClr w14:val="tx1"/>
            </w14:solidFill>
          </w14:textFill>
        </w:rPr>
        <w:t>×100%）。</w:t>
      </w:r>
    </w:p>
    <w:p w14:paraId="33B3A55C">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监理服务费的中标费率，四舍五入保留三位小数。本项目的建安工程费暂定价为人民币</w:t>
      </w:r>
      <w:r>
        <w:rPr>
          <w:rFonts w:hint="eastAsia" w:hAnsi="宋体" w:cs="宋体"/>
          <w:snapToGrid w:val="0"/>
          <w:color w:val="000000" w:themeColor="text1"/>
          <w:kern w:val="0"/>
          <w:szCs w:val="24"/>
          <w:highlight w:val="none"/>
          <w:lang w:val="en-US" w:eastAsia="zh-CN"/>
          <w14:textFill>
            <w14:solidFill>
              <w14:schemeClr w14:val="tx1"/>
            </w14:solidFill>
          </w14:textFill>
        </w:rPr>
        <w:t>16048.24万元</w:t>
      </w:r>
      <w:r>
        <w:rPr>
          <w:rFonts w:hint="eastAsia" w:hAnsi="宋体" w:cs="宋体"/>
          <w:snapToGrid w:val="0"/>
          <w:color w:val="000000" w:themeColor="text1"/>
          <w:kern w:val="0"/>
          <w:szCs w:val="24"/>
          <w:highlight w:val="none"/>
          <w14:textFill>
            <w14:solidFill>
              <w14:schemeClr w14:val="tx1"/>
            </w14:solidFill>
          </w14:textFill>
        </w:rPr>
        <w:t>。</w:t>
      </w:r>
    </w:p>
    <w:p w14:paraId="5CAAA2E6">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9.4</w:t>
      </w:r>
      <w:r>
        <w:rPr>
          <w:rFonts w:hint="eastAsia" w:hAnsi="宋体" w:cs="宋体"/>
          <w:snapToGrid w:val="0"/>
          <w:color w:val="000000" w:themeColor="text1"/>
          <w:kern w:val="0"/>
          <w:szCs w:val="24"/>
          <w:highlight w:val="none"/>
          <w14:textFill>
            <w14:solidFill>
              <w14:schemeClr w14:val="tx1"/>
            </w14:solidFill>
          </w14:textFill>
        </w:rPr>
        <w:t xml:space="preserve"> 投标人只允许有一个投标总价。投标总价必须同时用大、小写表示，大、小写报价应保持一致，若不一致，以大写报价为准。</w:t>
      </w:r>
    </w:p>
    <w:p w14:paraId="38E89C06">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9.5</w:t>
      </w:r>
      <w:r>
        <w:rPr>
          <w:rFonts w:hint="eastAsia" w:hAnsi="宋体" w:cs="宋体"/>
          <w:snapToGrid w:val="0"/>
          <w:color w:val="000000" w:themeColor="text1"/>
          <w:kern w:val="0"/>
          <w:szCs w:val="24"/>
          <w:highlight w:val="none"/>
          <w14:textFill>
            <w14:solidFill>
              <w14:schemeClr w14:val="tx1"/>
            </w14:solidFill>
          </w14:textFill>
        </w:rPr>
        <w:t>投标总价应包括国家规定的增值税税金。本次招标增值税税金按</w:t>
      </w:r>
      <w:r>
        <w:rPr>
          <w:rFonts w:hint="eastAsia" w:hAnsi="宋体" w:cs="宋体"/>
          <w:snapToGrid w:val="0"/>
          <w:color w:val="000000" w:themeColor="text1"/>
          <w:kern w:val="0"/>
          <w:szCs w:val="24"/>
          <w:highlight w:val="none"/>
          <w:u w:val="single"/>
          <w14:textFill>
            <w14:solidFill>
              <w14:schemeClr w14:val="tx1"/>
            </w14:solidFill>
          </w14:textFill>
        </w:rPr>
        <w:t xml:space="preserve"> 一般 </w:t>
      </w:r>
      <w:r>
        <w:rPr>
          <w:rFonts w:hint="eastAsia" w:hAnsi="宋体" w:cs="宋体"/>
          <w:snapToGrid w:val="0"/>
          <w:color w:val="000000" w:themeColor="text1"/>
          <w:kern w:val="0"/>
          <w:szCs w:val="24"/>
          <w:highlight w:val="none"/>
          <w14:textFill>
            <w14:solidFill>
              <w14:schemeClr w14:val="tx1"/>
            </w14:solidFill>
          </w14:textFill>
        </w:rPr>
        <w:t>计税方法计算。</w:t>
      </w:r>
    </w:p>
    <w:p w14:paraId="676E75F3">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9.6</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投标总价不得高于最高投标限价，也不得低于成本。</w:t>
      </w:r>
    </w:p>
    <w:p w14:paraId="51278CCD">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b/>
          <w:snapToGrid w:val="0"/>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9.7</w:t>
      </w:r>
      <w:r>
        <w:rPr>
          <w:rFonts w:hint="eastAsia" w:hAnsi="宋体" w:cs="宋体"/>
          <w:snapToGrid w:val="0"/>
          <w:color w:val="000000" w:themeColor="text1"/>
          <w:kern w:val="0"/>
          <w:szCs w:val="24"/>
          <w:highlight w:val="none"/>
          <w14:textFill>
            <w14:solidFill>
              <w14:schemeClr w14:val="tx1"/>
            </w14:solidFill>
          </w14:textFill>
        </w:rPr>
        <w:t xml:space="preserve"> 投标人应充分了解招标项目的总体情况以及影响投标报价的其他要素。</w:t>
      </w:r>
      <w:bookmarkStart w:id="42" w:name="_（十）投标文件的编制、包装、密封"/>
      <w:bookmarkEnd w:id="42"/>
    </w:p>
    <w:p w14:paraId="0583B02D">
      <w:pPr>
        <w:pStyle w:val="3"/>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trike/>
          <w:snapToGrid w:val="0"/>
          <w:color w:val="000000" w:themeColor="text1"/>
          <w:szCs w:val="24"/>
          <w:highlight w:val="none"/>
          <w14:textFill>
            <w14:solidFill>
              <w14:schemeClr w14:val="tx1"/>
            </w14:solidFill>
          </w14:textFill>
        </w:rPr>
      </w:pPr>
      <w:bookmarkStart w:id="43" w:name="_Toc684"/>
      <w:bookmarkStart w:id="44" w:name="_Toc31067"/>
      <w:r>
        <w:rPr>
          <w:rFonts w:hint="eastAsia" w:hAnsi="宋体" w:cs="宋体"/>
          <w:b/>
          <w:snapToGrid w:val="0"/>
          <w:color w:val="000000" w:themeColor="text1"/>
          <w:szCs w:val="24"/>
          <w:highlight w:val="none"/>
          <w14:textFill>
            <w14:solidFill>
              <w14:schemeClr w14:val="tx1"/>
            </w14:solidFill>
          </w14:textFill>
        </w:rPr>
        <w:t>10．投标文件的编制</w:t>
      </w:r>
      <w:bookmarkStart w:id="45" w:name="_Hlt69332370"/>
      <w:bookmarkEnd w:id="45"/>
      <w:bookmarkStart w:id="46" w:name="_Hlt69208262"/>
      <w:bookmarkEnd w:id="46"/>
      <w:r>
        <w:rPr>
          <w:rFonts w:hint="eastAsia" w:hAnsi="宋体" w:cs="宋体"/>
          <w:b/>
          <w:snapToGrid w:val="0"/>
          <w:color w:val="000000" w:themeColor="text1"/>
          <w:szCs w:val="24"/>
          <w:highlight w:val="none"/>
          <w14:textFill>
            <w14:solidFill>
              <w14:schemeClr w14:val="tx1"/>
            </w14:solidFill>
          </w14:textFill>
        </w:rPr>
        <w:t>要求</w:t>
      </w:r>
      <w:bookmarkEnd w:id="43"/>
      <w:bookmarkEnd w:id="44"/>
      <w:bookmarkStart w:id="47" w:name="_Hlt74497202"/>
      <w:bookmarkEnd w:id="47"/>
      <w:bookmarkStart w:id="48" w:name="_Hlt78768224"/>
      <w:bookmarkEnd w:id="48"/>
      <w:bookmarkStart w:id="49" w:name="_Hlt74495594"/>
      <w:bookmarkEnd w:id="49"/>
    </w:p>
    <w:p w14:paraId="06814CC3">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b/>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w:t>
      </w:r>
      <w:r>
        <w:rPr>
          <w:rFonts w:hint="eastAsia" w:hAnsi="宋体" w:cs="宋体"/>
          <w:bCs/>
          <w:snapToGrid w:val="0"/>
          <w:color w:val="000000" w:themeColor="text1"/>
          <w:kern w:val="0"/>
          <w:szCs w:val="24"/>
          <w:highlight w:val="none"/>
          <w14:textFill>
            <w14:solidFill>
              <w14:schemeClr w14:val="tx1"/>
            </w14:solidFill>
          </w14:textFill>
        </w:rPr>
        <w:t xml:space="preserve"> 一般要求</w:t>
      </w:r>
    </w:p>
    <w:p w14:paraId="4A98FB0D">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bookmarkStart w:id="50" w:name="_Hlt74496890"/>
      <w:bookmarkEnd w:id="50"/>
      <w:r>
        <w:rPr>
          <w:rFonts w:hint="eastAsia" w:hAnsi="宋体" w:cs="宋体"/>
          <w:snapToGrid w:val="0"/>
          <w:color w:val="000000" w:themeColor="text1"/>
          <w:kern w:val="0"/>
          <w:szCs w:val="24"/>
          <w:highlight w:val="none"/>
          <w14:textFill>
            <w14:solidFill>
              <w14:schemeClr w14:val="tx1"/>
            </w14:solidFill>
          </w14:textFill>
        </w:rPr>
        <w:t>投标文件应按第五章 投标文件格式规定的内容，投标人提交的投标文件应当使用招标文件所提供的投标文件全部格式。</w:t>
      </w:r>
    </w:p>
    <w:p w14:paraId="0B3B4561">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10.1.1</w:t>
      </w:r>
      <w:r>
        <w:rPr>
          <w:rFonts w:hint="eastAsia" w:hAnsi="宋体" w:cs="宋体"/>
          <w:snapToGrid w:val="0"/>
          <w:color w:val="000000" w:themeColor="text1"/>
          <w:kern w:val="0"/>
          <w:szCs w:val="24"/>
          <w:highlight w:val="none"/>
          <w14:textFill>
            <w14:solidFill>
              <w14:schemeClr w14:val="tx1"/>
            </w14:solidFill>
          </w14:textFill>
        </w:rPr>
        <w:t>投标人必须响应招标文件，并在充分理解招标文件的基础上编制投标文件。因投标文件不符合招标文件的要求而造成的损失和后果，由投标人自行承担。</w:t>
      </w:r>
    </w:p>
    <w:p w14:paraId="4C7D802A">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10.1.2</w:t>
      </w:r>
      <w:r>
        <w:rPr>
          <w:rFonts w:hint="eastAsia" w:hAnsi="宋体" w:cs="宋体"/>
          <w:snapToGrid w:val="0"/>
          <w:color w:val="000000" w:themeColor="text1"/>
          <w:kern w:val="0"/>
          <w:szCs w:val="24"/>
          <w:highlight w:val="none"/>
          <w14:textFill>
            <w14:solidFill>
              <w14:schemeClr w14:val="tx1"/>
            </w14:solidFill>
          </w14:textFill>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7884F718">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w:t>
      </w:r>
      <w:r>
        <w:rPr>
          <w:rFonts w:hint="eastAsia" w:hAnsi="宋体" w:cs="宋体"/>
          <w:snapToGrid w:val="0"/>
          <w:color w:val="000000" w:themeColor="text1"/>
          <w:kern w:val="0"/>
          <w:szCs w:val="24"/>
          <w:highlight w:val="none"/>
          <w14:textFill>
            <w14:solidFill>
              <w14:schemeClr w14:val="tx1"/>
            </w14:solidFill>
          </w14:textFill>
        </w:rPr>
        <w:t xml:space="preserve"> 投标文件需按以下要求签字、盖章：</w:t>
      </w:r>
    </w:p>
    <w:p w14:paraId="4EA4C96B">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10.1.3.1</w:t>
      </w:r>
      <w:r>
        <w:rPr>
          <w:rFonts w:hint="eastAsia" w:hAnsi="宋体" w:cs="宋体"/>
          <w:snapToGrid w:val="0"/>
          <w:color w:val="000000" w:themeColor="text1"/>
          <w:kern w:val="0"/>
          <w:szCs w:val="24"/>
          <w:highlight w:val="none"/>
          <w14:textFill>
            <w14:solidFill>
              <w14:schemeClr w14:val="tx1"/>
            </w14:solidFill>
          </w14:textFill>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1024EE94">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10.1.3.2</w:t>
      </w:r>
      <w:r>
        <w:rPr>
          <w:rFonts w:hint="eastAsia" w:hAnsi="宋体" w:cs="宋体"/>
          <w:snapToGrid w:val="0"/>
          <w:color w:val="000000" w:themeColor="text1"/>
          <w:kern w:val="0"/>
          <w:szCs w:val="24"/>
          <w:highlight w:val="none"/>
          <w14:textFill>
            <w14:solidFill>
              <w14:schemeClr w14:val="tx1"/>
            </w14:solidFill>
          </w14:textFill>
        </w:rPr>
        <w:t xml:space="preserve"> 投标文件封套、封面、组成内容中凡要求录入投标人名称且注明“盖单位章”处盖单位法人公章（电子印章）。</w:t>
      </w:r>
    </w:p>
    <w:p w14:paraId="14027F1E">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10.1.3.3</w:t>
      </w:r>
      <w:r>
        <w:rPr>
          <w:rFonts w:hint="eastAsia" w:hAnsi="宋体" w:cs="宋体"/>
          <w:snapToGrid w:val="0"/>
          <w:color w:val="000000" w:themeColor="text1"/>
          <w:kern w:val="0"/>
          <w:szCs w:val="24"/>
          <w:highlight w:val="none"/>
          <w14:textFill>
            <w14:solidFill>
              <w14:schemeClr w14:val="tx1"/>
            </w14:solidFill>
          </w14:textFill>
        </w:rPr>
        <w:t xml:space="preserve"> 投标文件的签字均为签字人本人亲笔署名或签章（电子印章），其余部分的扫描件无须另行签字、盖章。</w:t>
      </w:r>
    </w:p>
    <w:p w14:paraId="7CF5406B">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10.1.4</w:t>
      </w:r>
      <w:r>
        <w:rPr>
          <w:rFonts w:hint="eastAsia" w:hAnsi="宋体" w:cs="宋体"/>
          <w:snapToGrid w:val="0"/>
          <w:color w:val="000000" w:themeColor="text1"/>
          <w:kern w:val="0"/>
          <w:szCs w:val="24"/>
          <w:highlight w:val="none"/>
          <w14:textFill>
            <w14:solidFill>
              <w14:schemeClr w14:val="tx1"/>
            </w14:solidFill>
          </w14:textFill>
        </w:rPr>
        <w:t xml:space="preserve"> 联合体投标的，除《联合体协议书》外，由联合体牵头人按以上要求签亲笔署名或签章（电子印章）即可。</w:t>
      </w:r>
      <w:r>
        <w:rPr>
          <w:rFonts w:hint="eastAsia" w:hAnsi="宋体" w:cs="宋体"/>
          <w:b/>
          <w:bCs/>
          <w:snapToGrid w:val="0"/>
          <w:color w:val="000000" w:themeColor="text1"/>
          <w:kern w:val="0"/>
          <w:szCs w:val="24"/>
          <w:highlight w:val="none"/>
          <w14:textFill>
            <w14:solidFill>
              <w14:schemeClr w14:val="tx1"/>
            </w14:solidFill>
          </w14:textFill>
        </w:rPr>
        <w:t>（本项目不适用）</w:t>
      </w:r>
    </w:p>
    <w:p w14:paraId="140DE097">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b/>
          <w:snapToGrid w:val="0"/>
          <w:color w:val="000000" w:themeColor="text1"/>
          <w:kern w:val="0"/>
          <w:szCs w:val="24"/>
          <w:highlight w:val="none"/>
          <w14:textFill>
            <w14:solidFill>
              <w14:schemeClr w14:val="tx1"/>
            </w14:solidFill>
          </w14:textFill>
        </w:rPr>
      </w:pPr>
      <w:bookmarkStart w:id="51" w:name="_Toc257031159"/>
      <w:bookmarkStart w:id="52" w:name="_Toc274313880"/>
      <w:r>
        <w:rPr>
          <w:rFonts w:hint="eastAsia" w:hAnsi="宋体" w:cs="宋体"/>
          <w:b/>
          <w:bCs/>
          <w:snapToGrid w:val="0"/>
          <w:color w:val="000000" w:themeColor="text1"/>
          <w:kern w:val="0"/>
          <w:szCs w:val="24"/>
          <w:highlight w:val="none"/>
          <w14:textFill>
            <w14:solidFill>
              <w14:schemeClr w14:val="tx1"/>
            </w14:solidFill>
          </w14:textFill>
        </w:rPr>
        <w:t>10.2</w:t>
      </w:r>
      <w:r>
        <w:rPr>
          <w:rFonts w:hint="eastAsia" w:hAnsi="宋体" w:cs="宋体"/>
          <w:bCs/>
          <w:snapToGrid w:val="0"/>
          <w:color w:val="000000" w:themeColor="text1"/>
          <w:kern w:val="0"/>
          <w:szCs w:val="24"/>
          <w:highlight w:val="none"/>
          <w14:textFill>
            <w14:solidFill>
              <w14:schemeClr w14:val="tx1"/>
            </w14:solidFill>
          </w14:textFill>
        </w:rPr>
        <w:t xml:space="preserve"> 商务标书的编制要求</w:t>
      </w:r>
      <w:bookmarkEnd w:id="51"/>
      <w:bookmarkEnd w:id="52"/>
    </w:p>
    <w:p w14:paraId="519EA294">
      <w:pPr>
        <w:keepNext w:val="0"/>
        <w:keepLines w:val="0"/>
        <w:pageBreakBefore w:val="0"/>
        <w:kinsoku/>
        <w:wordWrap w:val="0"/>
        <w:overflowPunct/>
        <w:topLinePunct w:val="0"/>
        <w:autoSpaceDE/>
        <w:autoSpaceDN/>
        <w:bidi w:val="0"/>
        <w:adjustRightInd w:val="0"/>
        <w:snapToGrid w:val="0"/>
        <w:spacing w:line="400" w:lineRule="exact"/>
        <w:ind w:firstLine="561"/>
        <w:textAlignment w:val="auto"/>
        <w:rPr>
          <w:rFonts w:hAnsi="宋体" w:cs="宋体"/>
          <w:snapToGrid w:val="0"/>
          <w:color w:val="000000" w:themeColor="text1"/>
          <w:kern w:val="0"/>
          <w:szCs w:val="24"/>
          <w:highlight w:val="none"/>
          <w:u w:val="singl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商务标书</w:t>
      </w:r>
      <w:r>
        <w:rPr>
          <w:rFonts w:hint="eastAsia" w:hAnsi="宋体" w:cs="宋体"/>
          <w:snapToGrid w:val="0"/>
          <w:color w:val="000000" w:themeColor="text1"/>
          <w:kern w:val="0"/>
          <w:szCs w:val="24"/>
          <w:highlight w:val="none"/>
          <w14:textFill>
            <w14:solidFill>
              <w14:schemeClr w14:val="tx1"/>
            </w14:solidFill>
          </w14:textFill>
        </w:rPr>
        <w:t>包括但不限于以下内容：</w:t>
      </w:r>
    </w:p>
    <w:p w14:paraId="521EEDA9">
      <w:pPr>
        <w:keepNext w:val="0"/>
        <w:keepLines w:val="0"/>
        <w:pageBreakBefore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（1）封面（格式一）；</w:t>
      </w:r>
    </w:p>
    <w:p w14:paraId="1C709032">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（2）目录；</w:t>
      </w:r>
    </w:p>
    <w:p w14:paraId="265140F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（3）《投标函》（格式二）；</w:t>
      </w:r>
    </w:p>
    <w:p w14:paraId="50B36C6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（4）《各项承诺一览表》（格式三）；</w:t>
      </w:r>
    </w:p>
    <w:p w14:paraId="34DD838C">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（5）《授权委托书》（格式四）；</w:t>
      </w:r>
    </w:p>
    <w:p w14:paraId="262E907C">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（6）《法定代表人身份证明》（格式五）；</w:t>
      </w:r>
    </w:p>
    <w:p w14:paraId="4CED5F7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2A66574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（8）《投标人基本情况表》（格式六）及所附资料；</w:t>
      </w:r>
    </w:p>
    <w:p w14:paraId="648BF226">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（9）《总监理工程师任职声明》（格式七或格式八，由投标人根据拟派总监理工程师任职情况选用）；</w:t>
      </w:r>
    </w:p>
    <w:p w14:paraId="1EEB7ACF">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（10）《总监理工程师任职项目情况表》（格式九）及所附资料；</w:t>
      </w:r>
    </w:p>
    <w:p w14:paraId="66C6947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（11）《项目监理机构组成人员汇总表》（格式十）；</w:t>
      </w:r>
    </w:p>
    <w:p w14:paraId="04BD19B8">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（12）《总监理工程师简历表》（格式十一）及所附资料；</w:t>
      </w:r>
    </w:p>
    <w:p w14:paraId="40E497E3">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（13）《其他拟派人员简历表》（格式十二）及所附资料；</w:t>
      </w:r>
    </w:p>
    <w:p w14:paraId="47DC9B72">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（14）详细评审阶段要求提供的评审资料（详见本节第</w:t>
      </w:r>
      <w:r>
        <w:rPr>
          <w:rFonts w:hint="eastAsia" w:hAnsi="宋体" w:cs="宋体"/>
          <w:b/>
          <w:bCs/>
          <w:snapToGrid w:val="0"/>
          <w:color w:val="000000" w:themeColor="text1"/>
          <w:kern w:val="0"/>
          <w:szCs w:val="24"/>
          <w:highlight w:val="none"/>
          <w14:textFill>
            <w14:solidFill>
              <w14:schemeClr w14:val="tx1"/>
            </w14:solidFill>
          </w14:textFill>
        </w:rPr>
        <w:t>15.5.1</w:t>
      </w:r>
      <w:r>
        <w:rPr>
          <w:rFonts w:hint="eastAsia" w:hAnsi="宋体" w:cs="宋体"/>
          <w:snapToGrid w:val="0"/>
          <w:color w:val="000000" w:themeColor="text1"/>
          <w:kern w:val="0"/>
          <w:szCs w:val="24"/>
          <w:highlight w:val="none"/>
          <w14:textFill>
            <w14:solidFill>
              <w14:schemeClr w14:val="tx1"/>
            </w14:solidFill>
          </w14:textFill>
        </w:rPr>
        <w:t>目）；</w:t>
      </w:r>
    </w:p>
    <w:p w14:paraId="19303639">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lang w:val="en-US" w:eastAsia="zh-CN"/>
          <w14:textFill>
            <w14:solidFill>
              <w14:schemeClr w14:val="tx1"/>
            </w14:solidFill>
          </w14:textFill>
        </w:rPr>
        <w:t>5</w:t>
      </w:r>
      <w:r>
        <w:rPr>
          <w:rFonts w:hint="eastAsia" w:hAnsi="宋体" w:cs="宋体"/>
          <w:snapToGrid w:val="0"/>
          <w:color w:val="000000" w:themeColor="text1"/>
          <w:kern w:val="0"/>
          <w:szCs w:val="24"/>
          <w:highlight w:val="none"/>
          <w14:textFill>
            <w14:solidFill>
              <w14:schemeClr w14:val="tx1"/>
            </w14:solidFill>
          </w14:textFill>
        </w:rPr>
        <w:t>）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06D21937">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10.2.2</w:t>
      </w:r>
      <w:r>
        <w:rPr>
          <w:rFonts w:hint="eastAsia" w:hAnsi="宋体" w:cs="宋体"/>
          <w:snapToGrid w:val="0"/>
          <w:color w:val="000000" w:themeColor="text1"/>
          <w:kern w:val="0"/>
          <w:szCs w:val="24"/>
          <w:highlight w:val="none"/>
          <w14:textFill>
            <w14:solidFill>
              <w14:schemeClr w14:val="tx1"/>
            </w14:solidFill>
          </w14:textFill>
        </w:rPr>
        <w:t xml:space="preserve"> 本节第</w:t>
      </w: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目中所列出的商务标书组成内容中，第（1）至第（1</w:t>
      </w:r>
      <w:r>
        <w:rPr>
          <w:rFonts w:hint="eastAsia" w:hAnsi="宋体" w:cs="宋体"/>
          <w:snapToGrid w:val="0"/>
          <w:color w:val="000000" w:themeColor="text1"/>
          <w:kern w:val="0"/>
          <w:szCs w:val="24"/>
          <w:highlight w:val="none"/>
          <w:lang w:val="en-US" w:eastAsia="zh-CN"/>
          <w14:textFill>
            <w14:solidFill>
              <w14:schemeClr w14:val="tx1"/>
            </w14:solidFill>
          </w14:textFill>
        </w:rPr>
        <w:t>3</w:t>
      </w:r>
      <w:r>
        <w:rPr>
          <w:rFonts w:hint="eastAsia" w:hAnsi="宋体" w:cs="宋体"/>
          <w:snapToGrid w:val="0"/>
          <w:color w:val="000000" w:themeColor="text1"/>
          <w:kern w:val="0"/>
          <w:szCs w:val="24"/>
          <w:highlight w:val="none"/>
          <w14:textFill>
            <w14:solidFill>
              <w14:schemeClr w14:val="tx1"/>
            </w14:solidFill>
          </w14:textFill>
        </w:rPr>
        <w:t>）项所有投标人均应提供。</w:t>
      </w:r>
      <w:r>
        <w:rPr>
          <w:rFonts w:hint="eastAsia" w:hAnsi="宋体" w:cs="宋体"/>
          <w:b/>
          <w:bCs/>
          <w:snapToGrid w:val="0"/>
          <w:color w:val="000000" w:themeColor="text1"/>
          <w:kern w:val="0"/>
          <w:szCs w:val="24"/>
          <w:highlight w:val="none"/>
          <w14:textFill>
            <w14:solidFill>
              <w14:schemeClr w14:val="tx1"/>
            </w14:solidFill>
          </w14:textFill>
        </w:rPr>
        <w:t>但拟派总监理工程师现阶段未担任任何在施建设工程项目总监理工程师的，无需提供第（10）项内容。</w:t>
      </w:r>
    </w:p>
    <w:p w14:paraId="213A5A02">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10.2.3</w:t>
      </w:r>
      <w:r>
        <w:rPr>
          <w:rFonts w:hint="eastAsia" w:hAnsi="宋体" w:cs="宋体"/>
          <w:snapToGrid w:val="0"/>
          <w:color w:val="000000" w:themeColor="text1"/>
          <w:kern w:val="0"/>
          <w:szCs w:val="24"/>
          <w:highlight w:val="none"/>
          <w14:textFill>
            <w14:solidFill>
              <w14:schemeClr w14:val="tx1"/>
            </w14:solidFill>
          </w14:textFill>
        </w:rPr>
        <w:t xml:space="preserve"> 商务标书的组成内容按本节第</w:t>
      </w: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7BD4D3C4">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w:t>
      </w:r>
      <w:r>
        <w:rPr>
          <w:rFonts w:hint="eastAsia" w:hAnsi="宋体" w:cs="宋体"/>
          <w:bCs/>
          <w:snapToGrid w:val="0"/>
          <w:color w:val="000000" w:themeColor="text1"/>
          <w:kern w:val="0"/>
          <w:szCs w:val="24"/>
          <w:highlight w:val="none"/>
          <w14:textFill>
            <w14:solidFill>
              <w14:schemeClr w14:val="tx1"/>
            </w14:solidFill>
          </w14:textFill>
        </w:rPr>
        <w:t xml:space="preserve"> 监理大纲的编制要求</w:t>
      </w:r>
    </w:p>
    <w:p w14:paraId="51A4C11E">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Cs w:val="24"/>
          <w:highlight w:val="none"/>
          <w14:textFill>
            <w14:solidFill>
              <w14:schemeClr w14:val="tx1"/>
            </w14:solidFill>
          </w14:textFill>
        </w:rPr>
        <w:t>10.3.1</w:t>
      </w:r>
      <w:r>
        <w:rPr>
          <w:rFonts w:hint="eastAsia" w:hAnsi="宋体" w:cs="宋体"/>
          <w:bCs/>
          <w:snapToGrid w:val="0"/>
          <w:color w:val="000000" w:themeColor="text1"/>
          <w:kern w:val="0"/>
          <w:szCs w:val="24"/>
          <w:highlight w:val="none"/>
          <w14:textFill>
            <w14:solidFill>
              <w14:schemeClr w14:val="tx1"/>
            </w14:solidFill>
          </w14:textFill>
        </w:rPr>
        <w:t xml:space="preserve"> 监理大纲</w:t>
      </w:r>
      <w:r>
        <w:rPr>
          <w:rFonts w:hint="eastAsia" w:hAnsi="宋体" w:cs="宋体"/>
          <w:snapToGrid w:val="0"/>
          <w:color w:val="000000" w:themeColor="text1"/>
          <w:kern w:val="0"/>
          <w:szCs w:val="24"/>
          <w:highlight w:val="none"/>
          <w14:textFill>
            <w14:solidFill>
              <w14:schemeClr w14:val="tx1"/>
            </w14:solidFill>
          </w14:textFill>
        </w:rPr>
        <w:t>的编制依据包括且不限于</w:t>
      </w:r>
      <w:r>
        <w:rPr>
          <w:rFonts w:hint="eastAsia" w:hAnsi="宋体" w:cs="宋体"/>
          <w:bCs/>
          <w:snapToGrid w:val="0"/>
          <w:color w:val="000000" w:themeColor="text1"/>
          <w:kern w:val="0"/>
          <w:szCs w:val="24"/>
          <w:highlight w:val="none"/>
          <w14:textFill>
            <w14:solidFill>
              <w14:schemeClr w14:val="tx1"/>
            </w14:solidFill>
          </w14:textFill>
        </w:rPr>
        <w:t>：</w:t>
      </w:r>
    </w:p>
    <w:p w14:paraId="39F2DCA0">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（1）招标文件及</w:t>
      </w:r>
      <w:r>
        <w:rPr>
          <w:rFonts w:hint="eastAsia" w:hAnsi="宋体" w:cs="宋体"/>
          <w:snapToGrid w:val="0"/>
          <w:color w:val="000000" w:themeColor="text1"/>
          <w:kern w:val="0"/>
          <w:szCs w:val="24"/>
          <w:highlight w:val="none"/>
          <w14:textFill>
            <w14:solidFill>
              <w14:schemeClr w14:val="tx1"/>
            </w14:solidFill>
          </w14:textFill>
        </w:rPr>
        <w:t>其答疑（或修改）公告；</w:t>
      </w:r>
    </w:p>
    <w:p w14:paraId="7FE6CF64">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（2）施工现场情况、工程特点；</w:t>
      </w:r>
    </w:p>
    <w:p w14:paraId="0106AAEC">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（3）相关法律、法规、规定；</w:t>
      </w:r>
    </w:p>
    <w:p w14:paraId="1C23374C">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750B1A78">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Cs w:val="24"/>
          <w:highlight w:val="none"/>
          <w14:textFill>
            <w14:solidFill>
              <w14:schemeClr w14:val="tx1"/>
            </w14:solidFill>
          </w14:textFill>
        </w:rPr>
        <w:t>10.3.2</w:t>
      </w:r>
      <w:r>
        <w:rPr>
          <w:rFonts w:hint="eastAsia" w:hAnsi="宋体" w:cs="宋体"/>
          <w:bCs/>
          <w:snapToGrid w:val="0"/>
          <w:color w:val="000000" w:themeColor="text1"/>
          <w:kern w:val="0"/>
          <w:szCs w:val="24"/>
          <w:highlight w:val="none"/>
          <w14:textFill>
            <w14:solidFill>
              <w14:schemeClr w14:val="tx1"/>
            </w14:solidFill>
          </w14:textFill>
        </w:rPr>
        <w:t xml:space="preserve"> 监理大纲</w:t>
      </w:r>
      <w:r>
        <w:rPr>
          <w:rFonts w:hint="eastAsia" w:hAnsi="宋体" w:cs="宋体"/>
          <w:snapToGrid w:val="0"/>
          <w:color w:val="000000" w:themeColor="text1"/>
          <w:kern w:val="0"/>
          <w:szCs w:val="24"/>
          <w:highlight w:val="none"/>
          <w14:textFill>
            <w14:solidFill>
              <w14:schemeClr w14:val="tx1"/>
            </w14:solidFill>
          </w14:textFill>
        </w:rPr>
        <w:t>包括但不限于以下内容：</w:t>
      </w:r>
    </w:p>
    <w:p w14:paraId="6889266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（1）封面（格式一）；</w:t>
      </w:r>
    </w:p>
    <w:p w14:paraId="7273BD3F">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（2）目录；</w:t>
      </w:r>
    </w:p>
    <w:p w14:paraId="158A5A6C">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（3）监理工程概况；</w:t>
      </w:r>
    </w:p>
    <w:p w14:paraId="2A4D65FB">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（4）监理及相关服务的范围、内容；</w:t>
      </w:r>
    </w:p>
    <w:p w14:paraId="722D5080">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（5）监理及相关服务的依据、目标；</w:t>
      </w:r>
    </w:p>
    <w:p w14:paraId="56BF9723">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（6）项目监理机构设置（框图）、岗位职责；</w:t>
      </w:r>
    </w:p>
    <w:p w14:paraId="393887D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（7）监理及相关服务的工作程序、方法和制度；</w:t>
      </w:r>
    </w:p>
    <w:p w14:paraId="582FDE7F">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（8）拟投入的监理及相关服务人员；</w:t>
      </w:r>
    </w:p>
    <w:p w14:paraId="0718B321">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（9）质量、进度、造价、安全、绿色施工监理措施；</w:t>
      </w:r>
    </w:p>
    <w:p w14:paraId="7669464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（10）合同、信息管理方案；</w:t>
      </w:r>
    </w:p>
    <w:p w14:paraId="4609062B">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（11）组织协调内容及措施；</w:t>
      </w:r>
    </w:p>
    <w:p w14:paraId="5FC6FA4A">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（12）监理及相关服务的工作重点、难点分析；</w:t>
      </w:r>
    </w:p>
    <w:p w14:paraId="37222DC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（13）对本工程监理及相关服务的合理化建议。</w:t>
      </w:r>
    </w:p>
    <w:p w14:paraId="397E5205">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10.3.3</w:t>
      </w:r>
      <w:r>
        <w:rPr>
          <w:rFonts w:hint="eastAsia" w:hAnsi="宋体" w:cs="宋体"/>
          <w:snapToGrid w:val="0"/>
          <w:color w:val="000000" w:themeColor="text1"/>
          <w:kern w:val="0"/>
          <w:szCs w:val="24"/>
          <w:highlight w:val="none"/>
          <w14:textFill>
            <w14:solidFill>
              <w14:schemeClr w14:val="tx1"/>
            </w14:solidFill>
          </w14:textFill>
        </w:rPr>
        <w:t xml:space="preserve"> 本节第</w:t>
      </w:r>
      <w:r>
        <w:rPr>
          <w:rFonts w:hint="eastAsia" w:hAnsi="宋体" w:cs="宋体"/>
          <w:b/>
          <w:bCs/>
          <w:snapToGrid w:val="0"/>
          <w:color w:val="000000" w:themeColor="text1"/>
          <w:kern w:val="0"/>
          <w:szCs w:val="24"/>
          <w:highlight w:val="none"/>
          <w14:textFill>
            <w14:solidFill>
              <w14:schemeClr w14:val="tx1"/>
            </w14:solidFill>
          </w14:textFill>
        </w:rPr>
        <w:t>10.3.2</w:t>
      </w:r>
      <w:r>
        <w:rPr>
          <w:rFonts w:hint="eastAsia" w:hAnsi="宋体" w:cs="宋体"/>
          <w:snapToGrid w:val="0"/>
          <w:color w:val="000000" w:themeColor="text1"/>
          <w:kern w:val="0"/>
          <w:szCs w:val="24"/>
          <w:highlight w:val="none"/>
          <w14:textFill>
            <w14:solidFill>
              <w14:schemeClr w14:val="tx1"/>
            </w14:solidFill>
          </w14:textFill>
        </w:rPr>
        <w:t>目中所列出的</w:t>
      </w:r>
      <w:r>
        <w:rPr>
          <w:rFonts w:hint="eastAsia" w:hAnsi="宋体" w:cs="宋体"/>
          <w:bCs/>
          <w:snapToGrid w:val="0"/>
          <w:color w:val="000000" w:themeColor="text1"/>
          <w:kern w:val="0"/>
          <w:szCs w:val="24"/>
          <w:highlight w:val="none"/>
          <w14:textFill>
            <w14:solidFill>
              <w14:schemeClr w14:val="tx1"/>
            </w14:solidFill>
          </w14:textFill>
        </w:rPr>
        <w:t>监理大纲</w:t>
      </w:r>
      <w:r>
        <w:rPr>
          <w:rFonts w:hint="eastAsia" w:hAnsi="宋体" w:cs="宋体"/>
          <w:snapToGrid w:val="0"/>
          <w:color w:val="000000" w:themeColor="text1"/>
          <w:kern w:val="0"/>
          <w:szCs w:val="24"/>
          <w:highlight w:val="none"/>
          <w14:textFill>
            <w14:solidFill>
              <w14:schemeClr w14:val="tx1"/>
            </w14:solidFill>
          </w14:textFill>
        </w:rPr>
        <w:t>组成内容，所有投标人均应提供。</w:t>
      </w:r>
    </w:p>
    <w:p w14:paraId="4741A291">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10.3.4</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监理大纲</w:t>
      </w:r>
      <w:r>
        <w:rPr>
          <w:rFonts w:hint="eastAsia" w:hAnsi="宋体" w:cs="宋体"/>
          <w:snapToGrid w:val="0"/>
          <w:color w:val="000000" w:themeColor="text1"/>
          <w:kern w:val="0"/>
          <w:szCs w:val="24"/>
          <w:highlight w:val="none"/>
          <w14:textFill>
            <w14:solidFill>
              <w14:schemeClr w14:val="tx1"/>
            </w14:solidFill>
          </w14:textFill>
        </w:rPr>
        <w:t>的组成内容按本节第</w:t>
      </w:r>
      <w:r>
        <w:rPr>
          <w:rFonts w:hint="eastAsia" w:hAnsi="宋体" w:cs="宋体"/>
          <w:b/>
          <w:bCs/>
          <w:snapToGrid w:val="0"/>
          <w:color w:val="000000" w:themeColor="text1"/>
          <w:kern w:val="0"/>
          <w:szCs w:val="24"/>
          <w:highlight w:val="none"/>
          <w14:textFill>
            <w14:solidFill>
              <w14:schemeClr w14:val="tx1"/>
            </w14:solidFill>
          </w14:textFill>
        </w:rPr>
        <w:t>10.3.2</w:t>
      </w:r>
      <w:r>
        <w:rPr>
          <w:rFonts w:hint="eastAsia" w:hAnsi="宋体" w:cs="宋体"/>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7AABDEC4">
      <w:pPr>
        <w:pStyle w:val="3"/>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53" w:name="_Toc2864"/>
      <w:bookmarkStart w:id="54" w:name="_Toc7300"/>
      <w:r>
        <w:rPr>
          <w:rFonts w:hint="eastAsia" w:hAnsi="宋体" w:cs="宋体"/>
          <w:b/>
          <w:snapToGrid w:val="0"/>
          <w:color w:val="000000" w:themeColor="text1"/>
          <w:szCs w:val="24"/>
          <w:highlight w:val="none"/>
          <w14:textFill>
            <w14:solidFill>
              <w14:schemeClr w14:val="tx1"/>
            </w14:solidFill>
          </w14:textFill>
        </w:rPr>
        <w:t>11．</w:t>
      </w:r>
      <w:bookmarkEnd w:id="53"/>
      <w:r>
        <w:rPr>
          <w:rFonts w:hint="eastAsia" w:hAnsi="宋体" w:cs="宋体"/>
          <w:b/>
          <w:snapToGrid w:val="0"/>
          <w:color w:val="000000" w:themeColor="text1"/>
          <w:szCs w:val="24"/>
          <w:highlight w:val="none"/>
          <w14:textFill>
            <w14:solidFill>
              <w14:schemeClr w14:val="tx1"/>
            </w14:solidFill>
          </w14:textFill>
        </w:rPr>
        <w:t>电子投标</w:t>
      </w:r>
      <w:bookmarkEnd w:id="54"/>
    </w:p>
    <w:p w14:paraId="580C2120">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11.1</w:t>
      </w:r>
      <w:r>
        <w:rPr>
          <w:rFonts w:hint="eastAsia" w:ascii="宋体" w:hAnsi="宋体" w:cs="宋体"/>
          <w:snapToGrid w:val="0"/>
          <w:color w:val="000000" w:themeColor="text1"/>
          <w:kern w:val="0"/>
          <w:sz w:val="24"/>
          <w:highlight w:val="none"/>
          <w14:textFill>
            <w14:solidFill>
              <w14:schemeClr w14:val="tx1"/>
            </w14:solidFill>
          </w14:textFill>
        </w:rPr>
        <w:t>在建设工程交易系统上传加盖了电子印章的投标文件、录入相关信息及标书页码信息，（页码起始从封面开始）并提交投标标书，提交标书为已加密投标文件。具体操作参照</w:t>
      </w:r>
      <w:r>
        <w:rPr>
          <w:rFonts w:hint="eastAsia"/>
          <w:color w:val="000000" w:themeColor="text1"/>
          <w:highlight w:val="none"/>
          <w14:textFill>
            <w14:solidFill>
              <w14:schemeClr w14:val="tx1"/>
            </w14:solidFill>
          </w14:textFill>
        </w:rPr>
        <w:t>《韶关市公共资源建设工程交易系统-投标人操作指南（电子评标）》</w:t>
      </w:r>
      <w:r>
        <w:rPr>
          <w:rFonts w:hint="eastAsia" w:ascii="宋体" w:hAnsi="宋体" w:cs="宋体"/>
          <w:snapToGrid w:val="0"/>
          <w:color w:val="000000" w:themeColor="text1"/>
          <w:kern w:val="0"/>
          <w:sz w:val="24"/>
          <w:highlight w:val="none"/>
          <w14:textFill>
            <w14:solidFill>
              <w14:schemeClr w14:val="tx1"/>
            </w14:solidFill>
          </w14:textFill>
        </w:rPr>
        <w:t>。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0AC9A777">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11.2</w:t>
      </w:r>
      <w:r>
        <w:rPr>
          <w:rFonts w:hint="eastAsia" w:ascii="宋体" w:hAnsi="宋体" w:cs="宋体"/>
          <w:snapToGrid w:val="0"/>
          <w:color w:val="000000" w:themeColor="text1"/>
          <w:kern w:val="0"/>
          <w:sz w:val="24"/>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B101EC3">
      <w:pPr>
        <w:keepNext w:val="0"/>
        <w:keepLines w:val="0"/>
        <w:pageBreakBefore w:val="0"/>
        <w:kinsoku/>
        <w:overflowPunct/>
        <w:topLinePunct w:val="0"/>
        <w:autoSpaceDE/>
        <w:autoSpaceDN/>
        <w:bidi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11.3 </w:t>
      </w:r>
      <w:r>
        <w:rPr>
          <w:rFonts w:hint="eastAsia" w:hAnsi="宋体" w:cs="宋体"/>
          <w:snapToGrid w:val="0"/>
          <w:color w:val="000000" w:themeColor="text1"/>
          <w:kern w:val="0"/>
          <w:szCs w:val="24"/>
          <w:highlight w:val="none"/>
          <w14:textFill>
            <w14:solidFill>
              <w14:schemeClr w14:val="tx1"/>
            </w14:solidFill>
          </w14:textFill>
        </w:rPr>
        <w:t>电子投标解密失败及突发情况的补救</w:t>
      </w:r>
    </w:p>
    <w:p w14:paraId="27227D5E">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11.3.1</w:t>
      </w:r>
      <w:r>
        <w:rPr>
          <w:rFonts w:hint="eastAsia" w:ascii="宋体" w:hAnsi="宋体" w:cs="宋体"/>
          <w:snapToGrid w:val="0"/>
          <w:color w:val="000000" w:themeColor="text1"/>
          <w:kern w:val="0"/>
          <w:sz w:val="24"/>
          <w:highlight w:val="none"/>
          <w14:textFill>
            <w14:solidFill>
              <w14:schemeClr w14:val="tx1"/>
            </w14:solidFill>
          </w14:textFill>
        </w:rPr>
        <w:t xml:space="preserve">按照交易平台关于全流程电子化项目的相关指南进行操作。详见：全国公共资源交易平台（广东省·韶关市）（https://ygp.gdzwfw.gov.cn/ggzy-portal/#/440200/index）【服务指南】栏目发布的最新版操作指引。  </w:t>
      </w:r>
    </w:p>
    <w:p w14:paraId="3E063C99">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11.3.2</w:t>
      </w:r>
      <w:r>
        <w:rPr>
          <w:rFonts w:hint="eastAsia" w:ascii="宋体" w:hAnsi="宋体" w:cs="宋体"/>
          <w:snapToGrid w:val="0"/>
          <w:color w:val="000000" w:themeColor="text1"/>
          <w:kern w:val="0"/>
          <w:sz w:val="24"/>
          <w:highlight w:val="none"/>
          <w14:textFill>
            <w14:solidFill>
              <w14:schemeClr w14:val="tx1"/>
            </w14:solidFill>
          </w14:textFill>
        </w:rPr>
        <w:t>补救方案：</w:t>
      </w:r>
    </w:p>
    <w:p w14:paraId="04CB3EDE">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74E3E8B1">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4C6694">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（3）除发生上述情况外，开标评标均以投标人通过交易平台网上提交的电子投标文件为准。</w:t>
      </w:r>
    </w:p>
    <w:p w14:paraId="2EBCAF3F">
      <w:pPr>
        <w:pStyle w:val="3"/>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55" w:name="_Toc16547"/>
      <w:r>
        <w:rPr>
          <w:rFonts w:hint="eastAsia" w:hAnsi="宋体" w:cs="宋体"/>
          <w:b/>
          <w:snapToGrid w:val="0"/>
          <w:color w:val="000000" w:themeColor="text1"/>
          <w:szCs w:val="24"/>
          <w:highlight w:val="none"/>
          <w14:textFill>
            <w14:solidFill>
              <w14:schemeClr w14:val="tx1"/>
            </w14:solidFill>
          </w14:textFill>
        </w:rPr>
        <w:t>12. 投标文件的提交</w:t>
      </w:r>
      <w:bookmarkEnd w:id="55"/>
    </w:p>
    <w:p w14:paraId="6F4108A8">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在电子投标截止时间前，投标人通过全国公共资源交易平台（广东省·韶关市）提交已加密投标文件。逾期提交的电子投标文件，全国公共资源交易平台（广东省·韶关市）将予以拒收。</w:t>
      </w:r>
    </w:p>
    <w:p w14:paraId="5BD8C0E9">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12.2</w:t>
      </w:r>
      <w:r>
        <w:rPr>
          <w:rFonts w:hint="eastAsia" w:ascii="宋体" w:hAnsi="宋体" w:cs="宋体"/>
          <w:snapToGrid w:val="0"/>
          <w:color w:val="000000" w:themeColor="text1"/>
          <w:kern w:val="0"/>
          <w:sz w:val="24"/>
          <w:highlight w:val="none"/>
          <w14:textFill>
            <w14:solidFill>
              <w14:schemeClr w14:val="tx1"/>
            </w14:solidFill>
          </w14:textFill>
        </w:rPr>
        <w:t>投标文件提交截止时间（同电子投标截止时间）：见本章第二节“重要事项时间地点一览表”。</w:t>
      </w:r>
    </w:p>
    <w:p w14:paraId="1624BC27">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12.3</w:t>
      </w:r>
      <w:r>
        <w:rPr>
          <w:rFonts w:hint="eastAsia" w:ascii="宋体" w:hAnsi="宋体" w:cs="宋体"/>
          <w:snapToGrid w:val="0"/>
          <w:color w:val="000000" w:themeColor="text1"/>
          <w:kern w:val="0"/>
          <w:sz w:val="24"/>
          <w:highlight w:val="none"/>
          <w14:textFill>
            <w14:solidFill>
              <w14:schemeClr w14:val="tx1"/>
            </w14:solidFill>
          </w14:textFill>
        </w:rPr>
        <w:t>代理机构对因不可抗力事件造成的投标文件的损坏、丢失的，不承担责任。</w:t>
      </w:r>
      <w:r>
        <w:rPr>
          <w:rFonts w:hint="eastAsia" w:ascii="宋体" w:hAnsi="宋体" w:cs="宋体"/>
          <w:b/>
          <w:bCs/>
          <w:snapToGrid w:val="0"/>
          <w:color w:val="000000" w:themeColor="text1"/>
          <w:kern w:val="0"/>
          <w:sz w:val="24"/>
          <w:highlight w:val="none"/>
          <w14:textFill>
            <w14:solidFill>
              <w14:schemeClr w14:val="tx1"/>
            </w14:solidFill>
          </w14:textFill>
        </w:rPr>
        <w:t xml:space="preserve">  </w:t>
      </w:r>
    </w:p>
    <w:p w14:paraId="53E36D66">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12.4 </w:t>
      </w:r>
      <w:r>
        <w:rPr>
          <w:rFonts w:hint="eastAsia" w:ascii="宋体" w:hAnsi="宋体" w:cs="宋体"/>
          <w:snapToGrid w:val="0"/>
          <w:color w:val="000000" w:themeColor="text1"/>
          <w:kern w:val="0"/>
          <w:sz w:val="24"/>
          <w:highlight w:val="none"/>
          <w14:textFill>
            <w14:solidFill>
              <w14:schemeClr w14:val="tx1"/>
            </w14:solidFill>
          </w14:textFill>
        </w:rPr>
        <w:t>投标人法定代表人或其委托代理人（以下简称“投标人代表”）应在指定的时间和地点递交以下的资料</w:t>
      </w:r>
      <w:r>
        <w:rPr>
          <w:rFonts w:hint="eastAsia" w:ascii="宋体" w:hAnsi="宋体" w:cs="宋体"/>
          <w:b/>
          <w:bCs/>
          <w:snapToGrid w:val="0"/>
          <w:color w:val="000000" w:themeColor="text1"/>
          <w:kern w:val="0"/>
          <w:sz w:val="24"/>
          <w:highlight w:val="none"/>
          <w14:textFill>
            <w14:solidFill>
              <w14:schemeClr w14:val="tx1"/>
            </w14:solidFill>
          </w14:textFill>
        </w:rPr>
        <w:t>（如有）</w:t>
      </w:r>
      <w:r>
        <w:rPr>
          <w:rFonts w:hint="eastAsia" w:ascii="宋体" w:hAnsi="宋体" w:cs="宋体"/>
          <w:snapToGrid w:val="0"/>
          <w:color w:val="000000" w:themeColor="text1"/>
          <w:kern w:val="0"/>
          <w:sz w:val="24"/>
          <w:highlight w:val="none"/>
          <w14:textFill>
            <w14:solidFill>
              <w14:schemeClr w14:val="tx1"/>
            </w14:solidFill>
          </w14:textFill>
        </w:rPr>
        <w:t>：招标文件要求提交的用于评审的证书、证件、证明原件（附一式</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两 </w:t>
      </w:r>
      <w:r>
        <w:rPr>
          <w:rFonts w:hint="eastAsia" w:ascii="宋体" w:hAnsi="宋体" w:cs="宋体"/>
          <w:snapToGrid w:val="0"/>
          <w:color w:val="000000" w:themeColor="text1"/>
          <w:kern w:val="0"/>
          <w:sz w:val="24"/>
          <w:highlight w:val="none"/>
          <w14:textFill>
            <w14:solidFill>
              <w14:schemeClr w14:val="tx1"/>
            </w14:solidFill>
          </w14:textFill>
        </w:rPr>
        <w:t>份清单）。</w:t>
      </w:r>
    </w:p>
    <w:p w14:paraId="519116BE">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12.5</w:t>
      </w:r>
      <w:r>
        <w:rPr>
          <w:rFonts w:hint="eastAsia" w:ascii="宋体" w:hAnsi="宋体" w:cs="宋体"/>
          <w:snapToGrid w:val="0"/>
          <w:color w:val="000000" w:themeColor="text1"/>
          <w:kern w:val="0"/>
          <w:sz w:val="24"/>
          <w:highlight w:val="none"/>
          <w14:textFill>
            <w14:solidFill>
              <w14:schemeClr w14:val="tx1"/>
            </w14:solidFill>
          </w14:textFill>
        </w:rPr>
        <w:t>出现下述情形之一，属于未成功提交投标文件，按无效投标处理：</w:t>
      </w:r>
    </w:p>
    <w:p w14:paraId="6B5E987E">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（1）至电子投标截止时间时，投标文件未完整上传或未提交投标。</w:t>
      </w:r>
    </w:p>
    <w:p w14:paraId="2E7ABD8C">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（2）投标文件未按投标格式中注明需签字盖章的要求进行签名（含电子签名）和加盖电子印章，或签名（含电子签名）或电子印章不完整的。</w:t>
      </w:r>
    </w:p>
    <w:p w14:paraId="3AD8E674">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（3）解密失败且在规定时间内未重新提交投标文件的；</w:t>
      </w:r>
    </w:p>
    <w:p w14:paraId="64458235">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（4）投标文件损坏或格式不正确的。</w:t>
      </w:r>
    </w:p>
    <w:p w14:paraId="46B884C2">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56" w:name="_Toc21031"/>
      <w:r>
        <w:rPr>
          <w:rFonts w:hint="eastAsia" w:hAnsi="宋体" w:cs="宋体"/>
          <w:b/>
          <w:snapToGrid w:val="0"/>
          <w:color w:val="000000" w:themeColor="text1"/>
          <w:kern w:val="0"/>
          <w:szCs w:val="24"/>
          <w:highlight w:val="none"/>
          <w14:textFill>
            <w14:solidFill>
              <w14:schemeClr w14:val="tx1"/>
            </w14:solidFill>
          </w14:textFill>
        </w:rPr>
        <w:t>13．投标有效期</w:t>
      </w:r>
      <w:bookmarkEnd w:id="56"/>
    </w:p>
    <w:p w14:paraId="73EACF5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本次招标投标有效期为</w:t>
      </w:r>
      <w:r>
        <w:rPr>
          <w:rFonts w:hint="eastAsia" w:hAnsi="宋体" w:cs="宋体"/>
          <w:snapToGrid w:val="0"/>
          <w:color w:val="000000" w:themeColor="text1"/>
          <w:kern w:val="0"/>
          <w:szCs w:val="24"/>
          <w:highlight w:val="none"/>
          <w:u w:val="single"/>
          <w14:textFill>
            <w14:solidFill>
              <w14:schemeClr w14:val="tx1"/>
            </w14:solidFill>
          </w14:textFill>
        </w:rPr>
        <w:t xml:space="preserve">  90  </w:t>
      </w:r>
      <w:r>
        <w:rPr>
          <w:rFonts w:hint="eastAsia" w:hAnsi="宋体" w:cs="宋体"/>
          <w:snapToGrid w:val="0"/>
          <w:color w:val="000000" w:themeColor="text1"/>
          <w:kern w:val="0"/>
          <w:szCs w:val="24"/>
          <w:highlight w:val="none"/>
          <w14:textFill>
            <w14:solidFill>
              <w14:schemeClr w14:val="tx1"/>
            </w14:solidFill>
          </w14:textFill>
        </w:rPr>
        <w:t>个日历天，自招标人或其授权的招标代理机构接收投标人递交的投标文件之日起计。在此期间，投标人不得撤销或修改其投标文件，否则其投标保证不予退还。</w:t>
      </w:r>
    </w:p>
    <w:p w14:paraId="3FA28F7B">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57" w:name="_Toc28643"/>
      <w:r>
        <w:rPr>
          <w:rFonts w:hint="eastAsia" w:hAnsi="宋体" w:cs="宋体"/>
          <w:b/>
          <w:snapToGrid w:val="0"/>
          <w:color w:val="000000" w:themeColor="text1"/>
          <w:kern w:val="0"/>
          <w:szCs w:val="24"/>
          <w:highlight w:val="none"/>
          <w14:textFill>
            <w14:solidFill>
              <w14:schemeClr w14:val="tx1"/>
            </w14:solidFill>
          </w14:textFill>
        </w:rPr>
        <w:t>14．开标</w:t>
      </w:r>
      <w:bookmarkEnd w:id="57"/>
    </w:p>
    <w:p w14:paraId="05340905">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w:t>
      </w:r>
      <w:r>
        <w:rPr>
          <w:rFonts w:hint="eastAsia" w:ascii="宋体" w:hAnsi="宋体" w:cs="宋体"/>
          <w:snapToGrid w:val="0"/>
          <w:color w:val="000000" w:themeColor="text1"/>
          <w:kern w:val="0"/>
          <w:sz w:val="24"/>
          <w:highlight w:val="none"/>
          <w14:textFill>
            <w14:solidFill>
              <w14:schemeClr w14:val="tx1"/>
            </w14:solidFill>
          </w14:textFill>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4341EDFD">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14.1.1</w:t>
      </w:r>
      <w:r>
        <w:rPr>
          <w:rFonts w:hint="eastAsia" w:ascii="宋体" w:hAnsi="宋体" w:cs="宋体"/>
          <w:snapToGrid w:val="0"/>
          <w:color w:val="000000" w:themeColor="text1"/>
          <w:kern w:val="0"/>
          <w:sz w:val="24"/>
          <w:highlight w:val="none"/>
          <w14:textFill>
            <w14:solidFill>
              <w14:schemeClr w14:val="tx1"/>
            </w14:solidFill>
          </w14:textFill>
        </w:rPr>
        <w:t xml:space="preserve"> 开标时间和地点：见本章第二节“重要事项时间地点一览表”。</w:t>
      </w:r>
    </w:p>
    <w:p w14:paraId="748FE5D2">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14.1.2</w:t>
      </w:r>
      <w:r>
        <w:rPr>
          <w:rFonts w:hint="eastAsia" w:ascii="宋体" w:hAnsi="宋体" w:cs="宋体"/>
          <w:snapToGrid w:val="0"/>
          <w:color w:val="000000" w:themeColor="text1"/>
          <w:kern w:val="0"/>
          <w:sz w:val="24"/>
          <w:highlight w:val="none"/>
          <w14:textFill>
            <w14:solidFill>
              <w14:schemeClr w14:val="tx1"/>
            </w14:solidFill>
          </w14:textFill>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23262FEE">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A07D8BE">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14.2</w:t>
      </w:r>
      <w:r>
        <w:rPr>
          <w:rFonts w:hint="eastAsia" w:hAnsi="宋体" w:cs="宋体"/>
          <w:snapToGrid w:val="0"/>
          <w:color w:val="000000" w:themeColor="text1"/>
          <w:kern w:val="0"/>
          <w:szCs w:val="24"/>
          <w:highlight w:val="none"/>
          <w14:textFill>
            <w14:solidFill>
              <w14:schemeClr w14:val="tx1"/>
            </w14:solidFill>
          </w14:textFill>
        </w:rPr>
        <w:t xml:space="preserve"> 开标程序</w:t>
      </w:r>
    </w:p>
    <w:p w14:paraId="78E696B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（1）主持人（招标人代表或招标人授权的招标代理机构人员）宣读开标纪律。</w:t>
      </w:r>
    </w:p>
    <w:p w14:paraId="6C62957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（2）主持人宣布唱标人、记录人、见证人、监督人等有关人员姓名。</w:t>
      </w:r>
    </w:p>
    <w:p w14:paraId="328BCBEA">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（3）招标代理机构在交易场所工作人员见证下对投标人的电子投标信息进行解密，建设工程交易系统自动生成《投标保证缴纳情况表》和《开标一览表》。</w:t>
      </w:r>
    </w:p>
    <w:p w14:paraId="2E3B79C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（4）唱标人检查《投标保证缴纳情况表》中各投标人所缴纳投标保证的金额、有效期是否符合招标文件规定。若不符合规定，该投标人的投标无效。将有关情形在《投标保证缴纳情况表》“备注”栏中注明。</w:t>
      </w:r>
    </w:p>
    <w:p w14:paraId="46F2231C">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（5）唱标人检查《开标一览表》中各投标人的投标总价、质量标准、工期是否符合招标文件规定。若不符合规定，招标代理机构应将有关情形在《开标一览表》“备注”栏中注明。</w:t>
      </w:r>
    </w:p>
    <w:p w14:paraId="245BA993">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（6）投标人代表、招标人代表、唱标人、记录人等有关人员在《投标保证缴纳情况表》以及《开标一览表》上签字确认。</w:t>
      </w:r>
    </w:p>
    <w:p w14:paraId="7E61F3C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（7）主持人宣布有关注意事项后，宣布开标结束。</w:t>
      </w:r>
    </w:p>
    <w:p w14:paraId="3C3C2DB7">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278C71CF">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14.3</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72EAAF6B">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14.4</w:t>
      </w:r>
      <w:r>
        <w:rPr>
          <w:rFonts w:hint="eastAsia" w:hAnsi="宋体" w:cs="宋体"/>
          <w:snapToGrid w:val="0"/>
          <w:color w:val="000000" w:themeColor="text1"/>
          <w:kern w:val="0"/>
          <w:highlight w:val="none"/>
          <w14:textFill>
            <w14:solidFill>
              <w14:schemeClr w14:val="tx1"/>
            </w14:solidFill>
          </w14:textFill>
        </w:rPr>
        <w:t xml:space="preserve"> 招标代理机构将资料原件（如有）、《开标一览表》以及其他有关资料移交评标委员会。</w:t>
      </w:r>
    </w:p>
    <w:p w14:paraId="231845DA">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outlineLvl w:val="2"/>
        <w:rPr>
          <w:rFonts w:hAnsi="宋体" w:cs="宋体"/>
          <w:b/>
          <w:snapToGrid w:val="0"/>
          <w:color w:val="000000" w:themeColor="text1"/>
          <w:kern w:val="0"/>
          <w:highlight w:val="none"/>
          <w14:textFill>
            <w14:solidFill>
              <w14:schemeClr w14:val="tx1"/>
            </w14:solidFill>
          </w14:textFill>
        </w:rPr>
      </w:pPr>
      <w:bookmarkStart w:id="58" w:name="_Hlt127093805"/>
      <w:bookmarkEnd w:id="58"/>
      <w:bookmarkStart w:id="59" w:name="_Toc31748"/>
      <w:r>
        <w:rPr>
          <w:rFonts w:hint="eastAsia" w:hAnsi="宋体" w:cs="宋体"/>
          <w:b/>
          <w:snapToGrid w:val="0"/>
          <w:color w:val="000000" w:themeColor="text1"/>
          <w:kern w:val="0"/>
          <w:highlight w:val="none"/>
          <w14:textFill>
            <w14:solidFill>
              <w14:schemeClr w14:val="tx1"/>
            </w14:solidFill>
          </w14:textFill>
        </w:rPr>
        <w:t>15．评标</w:t>
      </w:r>
      <w:bookmarkEnd w:id="59"/>
    </w:p>
    <w:p w14:paraId="70E11966">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评标分为初步评审和详细评审两个阶段，由评标委员会在有关部门的监督下，严格按照本招标文件指定的评标方法，对投标人的投标文件进行评审。</w:t>
      </w:r>
    </w:p>
    <w:p w14:paraId="077BFA52">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w:t>
      </w:r>
      <w:r>
        <w:rPr>
          <w:rFonts w:hint="eastAsia" w:hAnsi="宋体" w:cs="宋体"/>
          <w:bCs/>
          <w:snapToGrid w:val="0"/>
          <w:color w:val="000000" w:themeColor="text1"/>
          <w:kern w:val="0"/>
          <w:highlight w:val="none"/>
          <w14:textFill>
            <w14:solidFill>
              <w14:schemeClr w14:val="tx1"/>
            </w14:solidFill>
          </w14:textFill>
        </w:rPr>
        <w:t xml:space="preserve"> 评标委员会</w:t>
      </w:r>
    </w:p>
    <w:p w14:paraId="16E8769A">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15.1.1</w:t>
      </w:r>
      <w:r>
        <w:rPr>
          <w:rFonts w:hint="eastAsia" w:hAnsi="宋体" w:cs="宋体"/>
          <w:snapToGrid w:val="0"/>
          <w:color w:val="000000" w:themeColor="text1"/>
          <w:kern w:val="0"/>
          <w:highlight w:val="none"/>
          <w14:textFill>
            <w14:solidFill>
              <w14:schemeClr w14:val="tx1"/>
            </w14:solidFill>
          </w14:textFill>
        </w:rPr>
        <w:t xml:space="preserve"> 评标委员会由</w:t>
      </w:r>
      <w:r>
        <w:rPr>
          <w:rFonts w:hint="eastAsia" w:hAnsi="宋体" w:cs="宋体"/>
          <w:snapToGrid w:val="0"/>
          <w:color w:val="000000" w:themeColor="text1"/>
          <w:kern w:val="0"/>
          <w:highlight w:val="none"/>
          <w:u w:val="single"/>
          <w14:textFill>
            <w14:solidFill>
              <w14:schemeClr w14:val="tx1"/>
            </w14:solidFill>
          </w14:textFill>
        </w:rPr>
        <w:t xml:space="preserve"> 5 </w:t>
      </w:r>
      <w:r>
        <w:rPr>
          <w:rFonts w:hint="eastAsia" w:hAnsi="宋体" w:cs="宋体"/>
          <w:snapToGrid w:val="0"/>
          <w:color w:val="000000" w:themeColor="text1"/>
          <w:kern w:val="0"/>
          <w:highlight w:val="none"/>
          <w14:textFill>
            <w14:solidFill>
              <w14:schemeClr w14:val="tx1"/>
            </w14:solidFill>
          </w14:textFill>
        </w:rPr>
        <w:t>人组成，其中招标人代表</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0</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人，专家</w:t>
      </w:r>
      <w:r>
        <w:rPr>
          <w:rFonts w:hint="eastAsia" w:hAnsi="宋体" w:cs="宋体"/>
          <w:snapToGrid w:val="0"/>
          <w:color w:val="000000" w:themeColor="text1"/>
          <w:kern w:val="0"/>
          <w:highlight w:val="none"/>
          <w:u w:val="single"/>
          <w14:textFill>
            <w14:solidFill>
              <w14:schemeClr w14:val="tx1"/>
            </w14:solidFill>
          </w14:textFill>
        </w:rPr>
        <w:t xml:space="preserve"> 5 </w:t>
      </w:r>
      <w:r>
        <w:rPr>
          <w:rFonts w:hint="eastAsia" w:hAnsi="宋体" w:cs="宋体"/>
          <w:snapToGrid w:val="0"/>
          <w:color w:val="000000" w:themeColor="text1"/>
          <w:kern w:val="0"/>
          <w:highlight w:val="none"/>
          <w14:textFill>
            <w14:solidFill>
              <w14:schemeClr w14:val="tx1"/>
            </w14:solidFill>
          </w14:textFill>
        </w:rPr>
        <w:t>人。专家从广东省综合评标评审专家库</w:t>
      </w:r>
      <w:r>
        <w:rPr>
          <w:rFonts w:hint="eastAsia" w:hAnsi="宋体" w:cs="宋体"/>
          <w:snapToGrid w:val="0"/>
          <w:color w:val="000000" w:themeColor="text1"/>
          <w:kern w:val="0"/>
          <w:highlight w:val="none"/>
          <w:lang w:val="en-US" w:eastAsia="zh-CN"/>
          <w14:textFill>
            <w14:solidFill>
              <w14:schemeClr w14:val="tx1"/>
            </w14:solidFill>
          </w14:textFill>
        </w:rPr>
        <w:t>-韶关区域</w:t>
      </w:r>
      <w:r>
        <w:rPr>
          <w:rFonts w:hint="eastAsia" w:hAnsi="宋体" w:cs="宋体"/>
          <w:snapToGrid w:val="0"/>
          <w:color w:val="000000" w:themeColor="text1"/>
          <w:kern w:val="0"/>
          <w:highlight w:val="none"/>
          <w14:textFill>
            <w14:solidFill>
              <w14:schemeClr w14:val="tx1"/>
            </w14:solidFill>
          </w14:textFill>
        </w:rPr>
        <w:t>中随机抽取，其中技术类专家</w:t>
      </w:r>
      <w:r>
        <w:rPr>
          <w:rFonts w:hint="eastAsia" w:hAnsi="宋体" w:cs="宋体"/>
          <w:snapToGrid w:val="0"/>
          <w:color w:val="000000" w:themeColor="text1"/>
          <w:kern w:val="0"/>
          <w:highlight w:val="none"/>
          <w:u w:val="single"/>
          <w14:textFill>
            <w14:solidFill>
              <w14:schemeClr w14:val="tx1"/>
            </w14:solidFill>
          </w14:textFill>
        </w:rPr>
        <w:t xml:space="preserve">3 </w:t>
      </w:r>
      <w:r>
        <w:rPr>
          <w:rFonts w:hint="eastAsia" w:hAnsi="宋体" w:cs="宋体"/>
          <w:snapToGrid w:val="0"/>
          <w:color w:val="000000" w:themeColor="text1"/>
          <w:kern w:val="0"/>
          <w:highlight w:val="none"/>
          <w14:textFill>
            <w14:solidFill>
              <w14:schemeClr w14:val="tx1"/>
            </w14:solidFill>
          </w14:textFill>
        </w:rPr>
        <w:t>人，经济类专家</w:t>
      </w:r>
      <w:r>
        <w:rPr>
          <w:rFonts w:hint="eastAsia" w:hAnsi="宋体" w:cs="宋体"/>
          <w:snapToGrid w:val="0"/>
          <w:color w:val="000000" w:themeColor="text1"/>
          <w:kern w:val="0"/>
          <w:highlight w:val="none"/>
          <w:u w:val="single"/>
          <w14:textFill>
            <w14:solidFill>
              <w14:schemeClr w14:val="tx1"/>
            </w14:solidFill>
          </w14:textFill>
        </w:rPr>
        <w:t xml:space="preserve"> 2</w:t>
      </w:r>
      <w:r>
        <w:rPr>
          <w:rFonts w:hint="eastAsia" w:hAnsi="宋体" w:cs="宋体"/>
          <w:snapToGrid w:val="0"/>
          <w:color w:val="000000" w:themeColor="text1"/>
          <w:kern w:val="0"/>
          <w:highlight w:val="none"/>
          <w14:textFill>
            <w14:solidFill>
              <w14:schemeClr w14:val="tx1"/>
            </w14:solidFill>
          </w14:textFill>
        </w:rPr>
        <w:t>人。评标委员会设负责人，由评标委员会成员推举产生。评标委员会负责人与评标委员会的其他成员有同等的表决权。</w:t>
      </w:r>
    </w:p>
    <w:p w14:paraId="7C40BECD">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15.1.2</w:t>
      </w:r>
      <w:r>
        <w:rPr>
          <w:rFonts w:hint="eastAsia" w:hAnsi="宋体" w:cs="宋体"/>
          <w:snapToGrid w:val="0"/>
          <w:color w:val="000000" w:themeColor="text1"/>
          <w:kern w:val="0"/>
          <w:highlight w:val="none"/>
          <w14:textFill>
            <w14:solidFill>
              <w14:schemeClr w14:val="tx1"/>
            </w14:solidFill>
          </w14:textFill>
        </w:rPr>
        <w:t xml:space="preserve"> 评标委员会应认真、公正、诚实、廉洁地履行职责。有下列情形之一的，不得担任评标委员会成员：</w:t>
      </w:r>
    </w:p>
    <w:p w14:paraId="2E86AFD2">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（1）投标人或投标人主要负责人的近亲属；</w:t>
      </w:r>
    </w:p>
    <w:p w14:paraId="6055A192">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（2）项目主管部门或者行政监督部门的人员；</w:t>
      </w:r>
    </w:p>
    <w:p w14:paraId="49C6B685">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（3）与投标人有经济利益关系，可能影响对投标公正评审的；</w:t>
      </w:r>
    </w:p>
    <w:p w14:paraId="4B41FEF9">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（4）曾因在招标、评标以及其他与招标投标有关活动中从事违法行为而受过行政处罚或刑事处罚的。</w:t>
      </w:r>
    </w:p>
    <w:p w14:paraId="2C82644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评标委员会成员有以上情形之一的，应主动提出回避。</w:t>
      </w:r>
    </w:p>
    <w:p w14:paraId="246F8476">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15.1.3</w:t>
      </w:r>
      <w:r>
        <w:rPr>
          <w:rFonts w:hint="eastAsia" w:hAnsi="宋体" w:cs="宋体"/>
          <w:snapToGrid w:val="0"/>
          <w:color w:val="000000" w:themeColor="text1"/>
          <w:kern w:val="0"/>
          <w:highlight w:val="none"/>
          <w14:textFill>
            <w14:solidFill>
              <w14:schemeClr w14:val="tx1"/>
            </w14:solidFill>
          </w14:textFill>
        </w:rPr>
        <w:t xml:space="preserve"> 评标全过程实行封闭式管理，在中标结果公布前，禁止评标委员会成员以任何方式私下接触投标人。</w:t>
      </w:r>
    </w:p>
    <w:p w14:paraId="6C3AA9C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过程中，招标文件明确指定采用现场实时查询的信息资料（如“信用中国”信息、诚信综合考评等级信息等），由招标代理机构工作人员在评标委员会成员、交易场所工作人员共同见证下，使用指定设备登录相关发布网站进行下载、打印，并移交评标委员会。完成评标后，相关查询资料应予妥善保存、归档。</w:t>
      </w:r>
    </w:p>
    <w:p w14:paraId="5D244FFA">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15.1.4</w:t>
      </w:r>
      <w:r>
        <w:rPr>
          <w:rFonts w:hint="eastAsia" w:hAnsi="宋体" w:cs="宋体"/>
          <w:snapToGrid w:val="0"/>
          <w:color w:val="000000" w:themeColor="text1"/>
          <w:kern w:val="0"/>
          <w:highlight w:val="none"/>
          <w14:textFill>
            <w14:solidFill>
              <w14:schemeClr w14:val="tx1"/>
            </w14:solidFill>
          </w14:textFill>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1741EF5F">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b/>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15.1.5</w:t>
      </w:r>
      <w:r>
        <w:rPr>
          <w:rFonts w:hint="eastAsia" w:hAnsi="宋体" w:cs="宋体"/>
          <w:snapToGrid w:val="0"/>
          <w:color w:val="000000" w:themeColor="text1"/>
          <w:kern w:val="0"/>
          <w:highlight w:val="none"/>
          <w14:textFill>
            <w14:solidFill>
              <w14:schemeClr w14:val="tx1"/>
            </w14:solidFill>
          </w14:textFill>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B97E501">
      <w:pPr>
        <w:keepNext w:val="0"/>
        <w:keepLines w:val="0"/>
        <w:pageBreakBefore w:val="0"/>
        <w:kinsoku/>
        <w:wordWrap w:val="0"/>
        <w:overflowPunct/>
        <w:topLinePunct w:val="0"/>
        <w:autoSpaceDE/>
        <w:autoSpaceDN/>
        <w:bidi w:val="0"/>
        <w:adjustRightInd w:val="0"/>
        <w:snapToGrid w:val="0"/>
        <w:spacing w:line="400" w:lineRule="exact"/>
        <w:ind w:firstLine="561"/>
        <w:textAlignment w:val="auto"/>
        <w:rPr>
          <w:rFonts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15.2</w:t>
      </w:r>
      <w:r>
        <w:rPr>
          <w:rFonts w:hint="eastAsia" w:hAnsi="宋体" w:cs="宋体"/>
          <w:bCs/>
          <w:snapToGrid w:val="0"/>
          <w:color w:val="000000" w:themeColor="text1"/>
          <w:kern w:val="0"/>
          <w:szCs w:val="22"/>
          <w:highlight w:val="none"/>
          <w14:textFill>
            <w14:solidFill>
              <w14:schemeClr w14:val="tx1"/>
            </w14:solidFill>
          </w14:textFill>
        </w:rPr>
        <w:t xml:space="preserve"> 评标方法</w:t>
      </w:r>
    </w:p>
    <w:p w14:paraId="3FD36C28">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i/>
          <w:iCs/>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根据有关法律、法规的相关规定，结合本招标项目资金来源和规模特点，本次招标采用“综合评估法”进行评标。</w:t>
      </w:r>
    </w:p>
    <w:p w14:paraId="71FDF6AC">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15.3</w:t>
      </w:r>
      <w:r>
        <w:rPr>
          <w:rFonts w:hint="eastAsia" w:hAnsi="宋体" w:cs="宋体"/>
          <w:bCs/>
          <w:snapToGrid w:val="0"/>
          <w:color w:val="000000" w:themeColor="text1"/>
          <w:kern w:val="0"/>
          <w:szCs w:val="22"/>
          <w:highlight w:val="none"/>
          <w14:textFill>
            <w14:solidFill>
              <w14:schemeClr w14:val="tx1"/>
            </w14:solidFill>
          </w14:textFill>
        </w:rPr>
        <w:t xml:space="preserve"> 评审范围：</w:t>
      </w:r>
      <w:r>
        <w:rPr>
          <w:rFonts w:hint="eastAsia" w:hAnsi="宋体" w:cs="宋体"/>
          <w:snapToGrid w:val="0"/>
          <w:color w:val="000000" w:themeColor="text1"/>
          <w:kern w:val="0"/>
          <w:highlight w:val="none"/>
          <w14:textFill>
            <w14:solidFill>
              <w14:schemeClr w14:val="tx1"/>
            </w14:solidFill>
          </w14:textFill>
        </w:rPr>
        <w:t>评标委员会应对所有进入评标投标人的投标文件进行评审。</w:t>
      </w:r>
    </w:p>
    <w:p w14:paraId="1B73D4F1">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w:t>
      </w:r>
      <w:r>
        <w:rPr>
          <w:rFonts w:hint="eastAsia" w:hAnsi="宋体" w:cs="宋体"/>
          <w:snapToGrid w:val="0"/>
          <w:color w:val="000000" w:themeColor="text1"/>
          <w:kern w:val="0"/>
          <w:highlight w:val="none"/>
          <w14:textFill>
            <w14:solidFill>
              <w14:schemeClr w14:val="tx1"/>
            </w14:solidFill>
          </w14:textFill>
        </w:rPr>
        <w:t xml:space="preserve"> 初步评审阶段</w:t>
      </w:r>
    </w:p>
    <w:p w14:paraId="10F7A070">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初步评审阶段分为资格评审、形式评审和响应性评审三个环节。</w:t>
      </w:r>
    </w:p>
    <w:p w14:paraId="42B481F1">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15.4.1</w:t>
      </w:r>
      <w:r>
        <w:rPr>
          <w:rFonts w:hint="eastAsia" w:hAnsi="宋体" w:cs="宋体"/>
          <w:snapToGrid w:val="0"/>
          <w:color w:val="000000" w:themeColor="text1"/>
          <w:kern w:val="0"/>
          <w:highlight w:val="none"/>
          <w14:textFill>
            <w14:solidFill>
              <w14:schemeClr w14:val="tx1"/>
            </w14:solidFill>
          </w14:textFill>
        </w:rPr>
        <w:t xml:space="preserve"> 资格评审环节</w:t>
      </w:r>
    </w:p>
    <w:p w14:paraId="16FED18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资格评审事项包括：</w:t>
      </w:r>
    </w:p>
    <w:p w14:paraId="089AEF38">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（1）投标人是否符合本章第三节第2.4条“禁止投标条款”规定。</w:t>
      </w:r>
    </w:p>
    <w:p w14:paraId="5F05CB8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（2）投标人名称是否与营业执照、资质证书一致。</w:t>
      </w:r>
    </w:p>
    <w:p w14:paraId="236C678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（3）投标人的资质是否符合招标文件规定；其营业执照、资质证书是否合法、有效。</w:t>
      </w:r>
    </w:p>
    <w:p w14:paraId="1528CC1B">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 xml:space="preserve">》内盖章同意或另行出具了书面同意意见。 </w:t>
      </w:r>
    </w:p>
    <w:p w14:paraId="0ADCFD41">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（5）拟委派的总监理</w:t>
      </w:r>
      <w:r>
        <w:rPr>
          <w:rFonts w:hint="eastAsia" w:ascii="Times New Roman"/>
          <w:snapToGrid w:val="0"/>
          <w:color w:val="000000" w:themeColor="text1"/>
          <w:kern w:val="0"/>
          <w:highlight w:val="none"/>
          <w14:textFill>
            <w14:solidFill>
              <w14:schemeClr w14:val="tx1"/>
            </w14:solidFill>
          </w14:textFill>
        </w:rPr>
        <w:t>工程师的注册证书是否为住房和城乡建设主管部门颁发的，注册单位与投标人是否一致，是否在有效期内</w:t>
      </w:r>
      <w:r>
        <w:rPr>
          <w:rFonts w:hint="eastAsia" w:ascii="Times New Roman"/>
          <w:snapToGrid w:val="0"/>
          <w:color w:val="000000" w:themeColor="text1"/>
          <w:kern w:val="0"/>
          <w:highlight w:val="none"/>
          <w:lang w:eastAsia="zh-CN"/>
          <w14:textFill>
            <w14:solidFill>
              <w14:schemeClr w14:val="tx1"/>
            </w14:solidFill>
          </w14:textFill>
        </w:rPr>
        <w:t>。</w:t>
      </w:r>
    </w:p>
    <w:p w14:paraId="27D8F42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（6）投标人为外省建筑企业的，是否按规定在“进粤企业和人员诚信信息登记平台”录入企业及其拟派往人员相关信息并通过数据规范检查。</w:t>
      </w:r>
    </w:p>
    <w:p w14:paraId="2B99BCEA">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15.4.2</w:t>
      </w:r>
      <w:r>
        <w:rPr>
          <w:rFonts w:hint="eastAsia" w:hAnsi="宋体" w:cs="宋体"/>
          <w:snapToGrid w:val="0"/>
          <w:color w:val="000000" w:themeColor="text1"/>
          <w:kern w:val="0"/>
          <w:highlight w:val="none"/>
          <w14:textFill>
            <w14:solidFill>
              <w14:schemeClr w14:val="tx1"/>
            </w14:solidFill>
          </w14:textFill>
        </w:rPr>
        <w:t xml:space="preserve"> 形式评审环节</w:t>
      </w:r>
    </w:p>
    <w:p w14:paraId="2254C15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形式评审事项包括：</w:t>
      </w:r>
    </w:p>
    <w:p w14:paraId="5436BB7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（1）各分册是否按招标文件规定加盖电子印章。</w:t>
      </w:r>
    </w:p>
    <w:p w14:paraId="433FB376">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（2）本节第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”的组成内容（包括该组成内容的所附资料）是否完整、齐全。</w:t>
      </w:r>
    </w:p>
    <w:p w14:paraId="761181E2">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15.4.3</w:t>
      </w:r>
      <w:r>
        <w:rPr>
          <w:rFonts w:hint="eastAsia" w:hAnsi="宋体" w:cs="宋体"/>
          <w:snapToGrid w:val="0"/>
          <w:color w:val="000000" w:themeColor="text1"/>
          <w:kern w:val="0"/>
          <w:highlight w:val="none"/>
          <w14:textFill>
            <w14:solidFill>
              <w14:schemeClr w14:val="tx1"/>
            </w14:solidFill>
          </w14:textFill>
        </w:rPr>
        <w:t xml:space="preserve"> 响应性评审环节</w:t>
      </w:r>
    </w:p>
    <w:p w14:paraId="4EF9DA5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响应性评审事项包括：</w:t>
      </w:r>
    </w:p>
    <w:p w14:paraId="7602E8A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（1）投标有效期、监理及相关服务期限等是否响应招标文件实质性要求；是否擅自修改、遗漏《投标函》《各项承诺一览表》的实质性内容。</w:t>
      </w:r>
    </w:p>
    <w:p w14:paraId="1BCC064A">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（2）投标总价是否唯一；投标总价是否超出最高投标限价。</w:t>
      </w:r>
    </w:p>
    <w:p w14:paraId="3E2FC7B3">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（3）监理大纲中的监理及相关服务的范围、内容、目标是否符合招标文件规定。</w:t>
      </w:r>
    </w:p>
    <w:p w14:paraId="62ACB928">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15.4.4</w:t>
      </w:r>
      <w:r>
        <w:rPr>
          <w:rFonts w:hint="eastAsia" w:hAnsi="宋体" w:cs="宋体"/>
          <w:snapToGrid w:val="0"/>
          <w:color w:val="000000" w:themeColor="text1"/>
          <w:kern w:val="0"/>
          <w:highlight w:val="none"/>
          <w14:textFill>
            <w14:solidFill>
              <w14:schemeClr w14:val="tx1"/>
            </w14:solidFill>
          </w14:textFill>
        </w:rPr>
        <w:t xml:space="preserve"> 否决投标说明</w:t>
      </w:r>
    </w:p>
    <w:p w14:paraId="6816E18D">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初步评审阶段各个环节否决投标的全部条件，在本章第四节“否决投标条件”第</w:t>
      </w:r>
      <w:r>
        <w:rPr>
          <w:rFonts w:hint="eastAsia" w:hAnsi="宋体" w:cs="宋体"/>
          <w:b/>
          <w:bCs/>
          <w:snapToGrid w:val="0"/>
          <w:color w:val="000000" w:themeColor="text1"/>
          <w:kern w:val="0"/>
          <w:highlight w:val="none"/>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条至第</w:t>
      </w:r>
      <w:r>
        <w:rPr>
          <w:rFonts w:hint="eastAsia" w:hAnsi="宋体" w:cs="宋体"/>
          <w:b/>
          <w:bCs/>
          <w:snapToGrid w:val="0"/>
          <w:color w:val="000000" w:themeColor="text1"/>
          <w:kern w:val="0"/>
          <w:highlight w:val="none"/>
          <w14:textFill>
            <w14:solidFill>
              <w14:schemeClr w14:val="tx1"/>
            </w14:solidFill>
          </w14:textFill>
        </w:rPr>
        <w:t>4</w:t>
      </w:r>
      <w:r>
        <w:rPr>
          <w:rFonts w:hint="eastAsia" w:hAnsi="宋体" w:cs="宋体"/>
          <w:snapToGrid w:val="0"/>
          <w:color w:val="000000" w:themeColor="text1"/>
          <w:kern w:val="0"/>
          <w:highlight w:val="none"/>
          <w14:textFill>
            <w14:solidFill>
              <w14:schemeClr w14:val="tx1"/>
            </w14:solidFill>
          </w14:textFill>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60286023">
      <w:pPr>
        <w:keepNext w:val="0"/>
        <w:keepLines w:val="0"/>
        <w:pageBreakBefore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w:t>
      </w:r>
      <w:r>
        <w:rPr>
          <w:rFonts w:hint="eastAsia" w:hAnsi="宋体" w:cs="宋体"/>
          <w:snapToGrid w:val="0"/>
          <w:color w:val="000000" w:themeColor="text1"/>
          <w:kern w:val="0"/>
          <w:highlight w:val="none"/>
          <w14:textFill>
            <w14:solidFill>
              <w14:schemeClr w14:val="tx1"/>
            </w14:solidFill>
          </w14:textFill>
        </w:rPr>
        <w:t xml:space="preserve"> 详细评审</w:t>
      </w:r>
      <w:bookmarkStart w:id="60" w:name="_Hlt121629839"/>
      <w:r>
        <w:rPr>
          <w:rFonts w:hint="eastAsia" w:hAnsi="宋体" w:cs="宋体"/>
          <w:snapToGrid w:val="0"/>
          <w:color w:val="000000" w:themeColor="text1"/>
          <w:kern w:val="0"/>
          <w:highlight w:val="none"/>
          <w14:textFill>
            <w14:solidFill>
              <w14:schemeClr w14:val="tx1"/>
            </w14:solidFill>
          </w14:textFill>
        </w:rPr>
        <w:t>阶段</w:t>
      </w:r>
    </w:p>
    <w:p w14:paraId="14429833">
      <w:pPr>
        <w:keepNext w:val="0"/>
        <w:keepLines w:val="0"/>
        <w:pageBreakBefore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15.5.1</w:t>
      </w:r>
      <w:r>
        <w:rPr>
          <w:rFonts w:hint="eastAsia" w:hAnsi="宋体" w:cs="宋体"/>
          <w:bCs/>
          <w:snapToGrid w:val="0"/>
          <w:color w:val="000000" w:themeColor="text1"/>
          <w:kern w:val="0"/>
          <w:highlight w:val="none"/>
          <w14:textFill>
            <w14:solidFill>
              <w14:schemeClr w14:val="tx1"/>
            </w14:solidFill>
          </w14:textFill>
        </w:rPr>
        <w:t xml:space="preserve"> “综合评估法”评审程序</w:t>
      </w:r>
    </w:p>
    <w:p w14:paraId="0CF81844">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评审内容分为商务、技术和投标报价三大部分，综合得分满分为100分。其中，商务满分为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55</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分，技术满分为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25</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分，投标报价部分满分为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20</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w:t>
      </w:r>
    </w:p>
    <w:p w14:paraId="4B3BAC3D">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除特别注明外，综合得分以及商务、技术、投标报价得分的中间过程计算值和最终值，均按“四舍五入”原则精确到两位小数。</w:t>
      </w:r>
    </w:p>
    <w:p w14:paraId="050F05AF">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（1）商务得分M</w:t>
      </w:r>
      <w:r>
        <w:rPr>
          <w:rFonts w:hint="eastAsia" w:hAnsi="宋体" w:cs="宋体"/>
          <w:snapToGrid w:val="0"/>
          <w:color w:val="000000" w:themeColor="text1"/>
          <w:kern w:val="0"/>
          <w:highlight w:val="none"/>
          <w:vertAlign w:val="subscript"/>
          <w14:textFill>
            <w14:solidFill>
              <w14:schemeClr w14:val="tx1"/>
            </w14:solidFill>
          </w14:textFill>
        </w:rPr>
        <w:t>1</w:t>
      </w:r>
    </w:p>
    <w:p w14:paraId="2772DA1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评标委员会按照《综合评分表》商务部分指定的评分标准对各评分因素进行打分。各评分因素得分之和即为某投标人的商务得分M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w:t>
      </w:r>
    </w:p>
    <w:p w14:paraId="6E4CECC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（2）技术得分M</w:t>
      </w:r>
      <w:r>
        <w:rPr>
          <w:rFonts w:hint="eastAsia" w:hAnsi="宋体" w:cs="宋体"/>
          <w:snapToGrid w:val="0"/>
          <w:color w:val="000000" w:themeColor="text1"/>
          <w:kern w:val="0"/>
          <w:highlight w:val="none"/>
          <w:vertAlign w:val="subscript"/>
          <w14:textFill>
            <w14:solidFill>
              <w14:schemeClr w14:val="tx1"/>
            </w14:solidFill>
          </w14:textFill>
        </w:rPr>
        <w:t>2</w:t>
      </w:r>
    </w:p>
    <w:p w14:paraId="15BBFFD3">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w:t>
      </w:r>
    </w:p>
    <w:p w14:paraId="2B7FD8A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（3）投标报价得分M</w:t>
      </w:r>
      <w:r>
        <w:rPr>
          <w:rFonts w:hint="eastAsia" w:hAnsi="宋体" w:cs="宋体"/>
          <w:snapToGrid w:val="0"/>
          <w:color w:val="000000" w:themeColor="text1"/>
          <w:kern w:val="0"/>
          <w:highlight w:val="none"/>
          <w:vertAlign w:val="subscript"/>
          <w14:textFill>
            <w14:solidFill>
              <w14:schemeClr w14:val="tx1"/>
            </w14:solidFill>
          </w14:textFill>
        </w:rPr>
        <w:t>3</w:t>
      </w:r>
    </w:p>
    <w:p w14:paraId="7869F1CF">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a．评标委员会按照《综合评分表》投标报价部分指定的方法计算评标基准价D。</w:t>
      </w:r>
    </w:p>
    <w:p w14:paraId="409DDA6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b．采用内插法计算某投标人的投标报价得分M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，即当投标人的投标总价等于评标基准价时得满分，每高于评标基准价一个百分点扣</w:t>
      </w:r>
      <w:r>
        <w:rPr>
          <w:rFonts w:hint="eastAsia" w:hAnsi="宋体" w:cs="宋体"/>
          <w:snapToGrid w:val="0"/>
          <w:color w:val="000000" w:themeColor="text1"/>
          <w:kern w:val="0"/>
          <w:highlight w:val="none"/>
          <w:lang w:val="en-US" w:eastAsia="zh-CN"/>
          <w14:textFill>
            <w14:solidFill>
              <w14:schemeClr w14:val="tx1"/>
            </w14:solidFill>
          </w14:textFill>
        </w:rPr>
        <w:t>0.5</w:t>
      </w:r>
      <w:r>
        <w:rPr>
          <w:rFonts w:hint="eastAsia" w:hAnsi="宋体" w:cs="宋体"/>
          <w:snapToGrid w:val="0"/>
          <w:color w:val="000000" w:themeColor="text1"/>
          <w:kern w:val="0"/>
          <w:highlight w:val="none"/>
          <w14:textFill>
            <w14:solidFill>
              <w14:schemeClr w14:val="tx1"/>
            </w14:solidFill>
          </w14:textFill>
        </w:rPr>
        <w:t>分, 每低于评标基准价一个百分点扣</w:t>
      </w:r>
      <w:r>
        <w:rPr>
          <w:rFonts w:hint="eastAsia" w:hAnsi="宋体" w:cs="宋体"/>
          <w:snapToGrid w:val="0"/>
          <w:color w:val="000000" w:themeColor="text1"/>
          <w:kern w:val="0"/>
          <w:highlight w:val="none"/>
          <w:lang w:val="en-US" w:eastAsia="zh-CN"/>
          <w14:textFill>
            <w14:solidFill>
              <w14:schemeClr w14:val="tx1"/>
            </w14:solidFill>
          </w14:textFill>
        </w:rPr>
        <w:t>0.3</w:t>
      </w:r>
      <w:r>
        <w:rPr>
          <w:rFonts w:hint="eastAsia" w:hAnsi="宋体" w:cs="宋体"/>
          <w:snapToGrid w:val="0"/>
          <w:color w:val="000000" w:themeColor="text1"/>
          <w:kern w:val="0"/>
          <w:highlight w:val="none"/>
          <w14:textFill>
            <w14:solidFill>
              <w14:schemeClr w14:val="tx1"/>
            </w14:solidFill>
          </w14:textFill>
        </w:rPr>
        <w:t>分，扣完为止。公式如下：</w:t>
      </w:r>
    </w:p>
    <w:p w14:paraId="466B1256">
      <w:pPr>
        <w:keepNext w:val="0"/>
        <w:keepLines w:val="0"/>
        <w:pageBreakBefore w:val="0"/>
        <w:kinsoku/>
        <w:wordWrap w:val="0"/>
        <w:overflowPunct/>
        <w:topLinePunct w:val="0"/>
        <w:autoSpaceDE/>
        <w:autoSpaceDN/>
        <w:bidi w:val="0"/>
        <w:adjustRightInd w:val="0"/>
        <w:snapToGrid w:val="0"/>
        <w:spacing w:line="400" w:lineRule="exact"/>
        <w:ind w:firstLine="480" w:firstLineChars="200"/>
        <w:jc w:val="center"/>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投标报价满分</w:t>
      </w:r>
      <w:r>
        <w:rPr>
          <w:rFonts w:hint="eastAsia" w:hAnsi="宋体" w:cs="宋体"/>
          <w:snapToGrid w:val="0"/>
          <w:color w:val="000000" w:themeColor="text1"/>
          <w:kern w:val="0"/>
          <w:highlight w:val="none"/>
          <w14:textFill>
            <w14:solidFill>
              <w14:schemeClr w14:val="tx1"/>
            </w14:solidFill>
          </w14:textFill>
        </w:rPr>
        <w:t>－（|Di－D|÷D）×100×E</w:t>
      </w:r>
    </w:p>
    <w:p w14:paraId="07CE05A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式中：D为评标基准价，Di为某投标人的投标总价；</w:t>
      </w:r>
    </w:p>
    <w:p w14:paraId="2FE834C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E为扣分因子。当Di＞D时，E＝</w:t>
      </w:r>
      <w:r>
        <w:rPr>
          <w:rFonts w:hint="eastAsia" w:hAnsi="宋体" w:cs="宋体"/>
          <w:snapToGrid w:val="0"/>
          <w:color w:val="000000" w:themeColor="text1"/>
          <w:kern w:val="0"/>
          <w:highlight w:val="none"/>
          <w:lang w:val="en-US" w:eastAsia="zh-CN"/>
          <w14:textFill>
            <w14:solidFill>
              <w14:schemeClr w14:val="tx1"/>
            </w14:solidFill>
          </w14:textFill>
        </w:rPr>
        <w:t>0.5</w:t>
      </w:r>
      <w:r>
        <w:rPr>
          <w:rFonts w:hint="eastAsia" w:hAnsi="宋体" w:cs="宋体"/>
          <w:snapToGrid w:val="0"/>
          <w:color w:val="000000" w:themeColor="text1"/>
          <w:kern w:val="0"/>
          <w:highlight w:val="none"/>
          <w14:textFill>
            <w14:solidFill>
              <w14:schemeClr w14:val="tx1"/>
            </w14:solidFill>
          </w14:textFill>
        </w:rPr>
        <w:t>；当Di＜D时，E＝0.</w:t>
      </w:r>
      <w:r>
        <w:rPr>
          <w:rFonts w:hint="eastAsia" w:hAnsi="宋体" w:cs="宋体"/>
          <w:snapToGrid w:val="0"/>
          <w:color w:val="000000" w:themeColor="text1"/>
          <w:kern w:val="0"/>
          <w:highlight w:val="none"/>
          <w:lang w:val="en-US" w:eastAsia="zh-CN"/>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w:t>
      </w:r>
    </w:p>
    <w:p w14:paraId="388D995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（4）综合得分M</w:t>
      </w:r>
    </w:p>
    <w:p w14:paraId="32B6B368">
      <w:pPr>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p>
    <w:p w14:paraId="076B6083">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式中：M为综合得分，M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为商务得分，M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为技术得分，M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ascii="Times New Roman"/>
          <w:snapToGrid w:val="0"/>
          <w:color w:val="000000" w:themeColor="text1"/>
          <w:kern w:val="0"/>
          <w:highlight w:val="none"/>
          <w14:textFill>
            <w14:solidFill>
              <w14:schemeClr w14:val="tx1"/>
            </w14:solidFill>
          </w14:textFill>
        </w:rPr>
        <w:t>为投标报价得分。</w:t>
      </w:r>
    </w:p>
    <w:p w14:paraId="11EC3935">
      <w:pPr>
        <w:keepNext w:val="0"/>
        <w:keepLines w:val="0"/>
        <w:pageBreakBefore w:val="0"/>
        <w:kinsoku/>
        <w:wordWrap w:val="0"/>
        <w:overflowPunct/>
        <w:topLinePunct w:val="0"/>
        <w:autoSpaceDE/>
        <w:autoSpaceDN/>
        <w:bidi w:val="0"/>
        <w:adjustRightInd w:val="0"/>
        <w:snapToGrid w:val="0"/>
        <w:spacing w:line="360" w:lineRule="exact"/>
        <w:ind w:firstLine="480" w:firstLineChars="200"/>
        <w:textAlignment w:val="auto"/>
        <w:rPr>
          <w:rFonts w:ascii="Times New Roman"/>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11BDCBD0">
      <w:pPr>
        <w:pStyle w:val="4"/>
        <w:rPr>
          <w:b/>
          <w:bCs/>
          <w:color w:val="000000" w:themeColor="text1"/>
          <w:highlight w:val="none"/>
          <w14:textFill>
            <w14:solidFill>
              <w14:schemeClr w14:val="tx1"/>
            </w14:solidFill>
          </w14:textFill>
        </w:rPr>
      </w:pPr>
      <w:bookmarkStart w:id="61" w:name="_Toc31548"/>
      <w:bookmarkStart w:id="62" w:name="_Toc6276"/>
      <w:r>
        <w:rPr>
          <w:rFonts w:hint="eastAsia"/>
          <w:b/>
          <w:bCs/>
          <w:color w:val="000000" w:themeColor="text1"/>
          <w:highlight w:val="none"/>
          <w:lang w:val="en-US" w:eastAsia="zh-CN"/>
          <w14:textFill>
            <w14:solidFill>
              <w14:schemeClr w14:val="tx1"/>
            </w14:solidFill>
          </w14:textFill>
        </w:rPr>
        <w:t xml:space="preserve"> </w:t>
      </w:r>
      <w:bookmarkStart w:id="63" w:name="_Toc21268"/>
      <w:r>
        <w:rPr>
          <w:rFonts w:hint="eastAsia"/>
          <w:b/>
          <w:bCs/>
          <w:color w:val="000000" w:themeColor="text1"/>
          <w:highlight w:val="none"/>
          <w14:textFill>
            <w14:solidFill>
              <w14:schemeClr w14:val="tx1"/>
            </w14:solidFill>
          </w14:textFill>
        </w:rPr>
        <w:t>表1 综合评分表</w:t>
      </w:r>
      <w:bookmarkEnd w:id="61"/>
      <w:bookmarkEnd w:id="62"/>
      <w:bookmarkEnd w:id="63"/>
    </w:p>
    <w:tbl>
      <w:tblPr>
        <w:tblStyle w:val="19"/>
        <w:tblW w:w="9799" w:type="dxa"/>
        <w:jc w:val="center"/>
        <w:tblLayout w:type="fixed"/>
        <w:tblCellMar>
          <w:top w:w="0" w:type="dxa"/>
          <w:left w:w="10" w:type="dxa"/>
          <w:bottom w:w="0" w:type="dxa"/>
          <w:right w:w="10" w:type="dxa"/>
        </w:tblCellMar>
      </w:tblPr>
      <w:tblGrid>
        <w:gridCol w:w="1222"/>
        <w:gridCol w:w="1238"/>
        <w:gridCol w:w="3238"/>
        <w:gridCol w:w="4101"/>
      </w:tblGrid>
      <w:tr w14:paraId="23BA132C">
        <w:tblPrEx>
          <w:tblCellMar>
            <w:top w:w="0" w:type="dxa"/>
            <w:left w:w="10" w:type="dxa"/>
            <w:bottom w:w="0" w:type="dxa"/>
            <w:right w:w="10" w:type="dxa"/>
          </w:tblCellMar>
        </w:tblPrEx>
        <w:trPr>
          <w:trHeight w:val="509" w:hRule="exact"/>
          <w:jc w:val="center"/>
        </w:trPr>
        <w:tc>
          <w:tcPr>
            <w:tcW w:w="9799" w:type="dxa"/>
            <w:gridSpan w:val="4"/>
            <w:tcBorders>
              <w:top w:val="single" w:color="000000" w:sz="4" w:space="0"/>
              <w:left w:val="single" w:color="000000" w:sz="4" w:space="0"/>
              <w:bottom w:val="single" w:color="000000" w:sz="4" w:space="0"/>
              <w:right w:val="single" w:color="000000" w:sz="4" w:space="0"/>
            </w:tcBorders>
            <w:shd w:val="clear" w:color="000000" w:fill="D7D7D7"/>
            <w:tcMar>
              <w:top w:w="0" w:type="dxa"/>
              <w:left w:w="108" w:type="dxa"/>
              <w:bottom w:w="0" w:type="dxa"/>
              <w:right w:w="108" w:type="dxa"/>
            </w:tcMar>
            <w:vAlign w:val="center"/>
          </w:tcPr>
          <w:p w14:paraId="53251F42">
            <w:pPr>
              <w:keepNext w:val="0"/>
              <w:keepLines w:val="0"/>
              <w:pageBreakBefore w:val="0"/>
              <w:tabs>
                <w:tab w:val="left" w:pos="1354"/>
                <w:tab w:val="left" w:pos="1459"/>
                <w:tab w:val="center" w:pos="3902"/>
                <w:tab w:val="right" w:pos="7805"/>
              </w:tabs>
              <w:kinsoku/>
              <w:overflowPunct/>
              <w:topLinePunct w:val="0"/>
              <w:autoSpaceDE/>
              <w:autoSpaceDN/>
              <w:bidi w:val="0"/>
              <w:spacing w:line="400" w:lineRule="exact"/>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商务部分，满分：</w:t>
            </w:r>
            <w:r>
              <w:rPr>
                <w:rFonts w:hint="eastAsia" w:hAnsi="宋体" w:cs="宋体"/>
                <w:b/>
                <w:bCs/>
                <w:color w:val="000000" w:themeColor="text1"/>
                <w:szCs w:val="24"/>
                <w:highlight w:val="none"/>
                <w:u w:val="single"/>
                <w14:textFill>
                  <w14:solidFill>
                    <w14:schemeClr w14:val="tx1"/>
                  </w14:solidFill>
                </w14:textFill>
              </w:rPr>
              <w:t xml:space="preserve"> </w:t>
            </w:r>
            <w:r>
              <w:rPr>
                <w:rFonts w:hint="eastAsia" w:hAnsi="宋体" w:cs="宋体"/>
                <w:b/>
                <w:bCs/>
                <w:color w:val="000000" w:themeColor="text1"/>
                <w:szCs w:val="24"/>
                <w:highlight w:val="none"/>
                <w:u w:val="single"/>
                <w:lang w:val="en-US" w:eastAsia="zh-CN"/>
                <w14:textFill>
                  <w14:solidFill>
                    <w14:schemeClr w14:val="tx1"/>
                  </w14:solidFill>
                </w14:textFill>
              </w:rPr>
              <w:t>55</w:t>
            </w:r>
            <w:r>
              <w:rPr>
                <w:rFonts w:hint="eastAsia" w:hAnsi="宋体" w:cs="宋体"/>
                <w:b/>
                <w:bCs/>
                <w:color w:val="000000" w:themeColor="text1"/>
                <w:szCs w:val="24"/>
                <w:highlight w:val="none"/>
                <w14:textFill>
                  <w14:solidFill>
                    <w14:schemeClr w14:val="tx1"/>
                  </w14:solidFill>
                </w14:textFill>
              </w:rPr>
              <w:t>分。</w:t>
            </w:r>
          </w:p>
        </w:tc>
      </w:tr>
      <w:tr w14:paraId="18B5BD44">
        <w:tblPrEx>
          <w:tblCellMar>
            <w:top w:w="0" w:type="dxa"/>
            <w:left w:w="10" w:type="dxa"/>
            <w:bottom w:w="0" w:type="dxa"/>
            <w:right w:w="10" w:type="dxa"/>
          </w:tblCellMar>
        </w:tblPrEx>
        <w:trPr>
          <w:trHeight w:val="526" w:hRule="exac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0888CC">
            <w:pPr>
              <w:keepNext w:val="0"/>
              <w:keepLines w:val="0"/>
              <w:pageBreakBefore w:val="0"/>
              <w:tabs>
                <w:tab w:val="left" w:pos="1354"/>
                <w:tab w:val="left" w:pos="1459"/>
                <w:tab w:val="center" w:pos="3902"/>
                <w:tab w:val="right" w:pos="7805"/>
              </w:tabs>
              <w:kinsoku/>
              <w:overflowPunct/>
              <w:topLinePunct w:val="0"/>
              <w:autoSpaceDE/>
              <w:autoSpaceDN/>
              <w:bidi w:val="0"/>
              <w:spacing w:line="400" w:lineRule="exact"/>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评分因素</w:t>
            </w:r>
          </w:p>
        </w:tc>
        <w:tc>
          <w:tcPr>
            <w:tcW w:w="447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11A6CD">
            <w:pPr>
              <w:keepNext w:val="0"/>
              <w:keepLines w:val="0"/>
              <w:pageBreakBefore w:val="0"/>
              <w:tabs>
                <w:tab w:val="left" w:pos="1354"/>
                <w:tab w:val="left" w:pos="1459"/>
                <w:tab w:val="center" w:pos="3902"/>
                <w:tab w:val="right" w:pos="7805"/>
              </w:tabs>
              <w:kinsoku/>
              <w:overflowPunct/>
              <w:topLinePunct w:val="0"/>
              <w:autoSpaceDE/>
              <w:autoSpaceDN/>
              <w:bidi w:val="0"/>
              <w:spacing w:line="400" w:lineRule="exact"/>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评分标准</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6DB5AE">
            <w:pPr>
              <w:keepNext w:val="0"/>
              <w:keepLines w:val="0"/>
              <w:pageBreakBefore w:val="0"/>
              <w:tabs>
                <w:tab w:val="left" w:pos="1354"/>
                <w:tab w:val="left" w:pos="1459"/>
                <w:tab w:val="center" w:pos="3902"/>
                <w:tab w:val="right" w:pos="7805"/>
              </w:tabs>
              <w:kinsoku/>
              <w:overflowPunct/>
              <w:topLinePunct w:val="0"/>
              <w:autoSpaceDE/>
              <w:autoSpaceDN/>
              <w:bidi w:val="0"/>
              <w:spacing w:line="400" w:lineRule="exact"/>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备注</w:t>
            </w:r>
          </w:p>
        </w:tc>
      </w:tr>
      <w:tr w14:paraId="11B59848">
        <w:tblPrEx>
          <w:tblCellMar>
            <w:top w:w="0" w:type="dxa"/>
            <w:left w:w="10" w:type="dxa"/>
            <w:bottom w:w="0" w:type="dxa"/>
            <w:right w:w="10" w:type="dxa"/>
          </w:tblCellMar>
        </w:tblPrEx>
        <w:trPr>
          <w:trHeight w:val="765" w:hRule="atLeast"/>
          <w:jc w:val="center"/>
        </w:trPr>
        <w:tc>
          <w:tcPr>
            <w:tcW w:w="122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A8BDE38">
            <w:pPr>
              <w:pStyle w:val="7"/>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企业</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业绩</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2"/>
                <w:sz w:val="24"/>
                <w:szCs w:val="24"/>
                <w:highlight w:val="none"/>
                <w14:textFill>
                  <w14:solidFill>
                    <w14:schemeClr w14:val="tx1"/>
                  </w14:solidFill>
                </w14:textFill>
              </w:rPr>
              <w:t>分）</w:t>
            </w:r>
          </w:p>
        </w:tc>
        <w:tc>
          <w:tcPr>
            <w:tcW w:w="447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6CD14E">
            <w:pPr>
              <w:pStyle w:val="49"/>
              <w:keepNext w:val="0"/>
              <w:keepLines w:val="0"/>
              <w:pageBreakBefore w:val="0"/>
              <w:kinsoku/>
              <w:overflowPunct/>
              <w:topLinePunct w:val="0"/>
              <w:autoSpaceDE/>
              <w:autoSpaceDN/>
              <w:bidi w:val="0"/>
              <w:spacing w:line="400" w:lineRule="exact"/>
              <w:ind w:left="116" w:right="105"/>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企业近年来(2022年1月1日至今)完成过的同类项目业绩情况：</w:t>
            </w:r>
          </w:p>
          <w:p w14:paraId="17D87A22">
            <w:pPr>
              <w:pStyle w:val="49"/>
              <w:keepNext w:val="0"/>
              <w:keepLines w:val="0"/>
              <w:pageBreakBefore w:val="0"/>
              <w:kinsoku/>
              <w:overflowPunct/>
              <w:topLinePunct w:val="0"/>
              <w:autoSpaceDE/>
              <w:autoSpaceDN/>
              <w:bidi w:val="0"/>
              <w:spacing w:line="400" w:lineRule="exact"/>
              <w:ind w:left="116" w:right="105"/>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 xml:space="preserve">1.完成过同类项目的，每个得2分； </w:t>
            </w:r>
          </w:p>
          <w:p w14:paraId="57AD43F1">
            <w:pPr>
              <w:pStyle w:val="49"/>
              <w:keepNext w:val="0"/>
              <w:keepLines w:val="0"/>
              <w:pageBreakBefore w:val="0"/>
              <w:kinsoku/>
              <w:overflowPunct/>
              <w:topLinePunct w:val="0"/>
              <w:autoSpaceDE/>
              <w:autoSpaceDN/>
              <w:bidi w:val="0"/>
              <w:spacing w:line="400" w:lineRule="exact"/>
              <w:ind w:left="116" w:right="105"/>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2.未完成过同类项目的，不予计分。</w:t>
            </w:r>
          </w:p>
          <w:p w14:paraId="2EBAE530">
            <w:pPr>
              <w:pStyle w:val="49"/>
              <w:keepNext w:val="0"/>
              <w:keepLines w:val="0"/>
              <w:pageBreakBefore w:val="0"/>
              <w:kinsoku/>
              <w:overflowPunct/>
              <w:topLinePunct w:val="0"/>
              <w:autoSpaceDE/>
              <w:autoSpaceDN/>
              <w:bidi w:val="0"/>
              <w:spacing w:line="400" w:lineRule="exact"/>
              <w:ind w:left="116" w:leftChars="0" w:right="105"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3"/>
                <w:sz w:val="24"/>
                <w:szCs w:val="24"/>
                <w:highlight w:val="none"/>
                <w:lang w:val="en-US" w:eastAsia="zh-CN"/>
                <w14:textFill>
                  <w14:solidFill>
                    <w14:schemeClr w14:val="tx1"/>
                  </w14:solidFill>
                </w14:textFill>
              </w:rPr>
              <w:t>注：本项最高得6分。</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3BFE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1.同类项目是指</w:t>
            </w:r>
            <w:r>
              <w:rPr>
                <w:rFonts w:hint="eastAsia" w:ascii="宋体" w:hAnsi="Times New Roman" w:eastAsia="宋体" w:cs="Times New Roman"/>
                <w:color w:val="000000" w:themeColor="text1"/>
                <w:sz w:val="24"/>
                <w:szCs w:val="24"/>
                <w:highlight w:val="none"/>
                <w14:textFill>
                  <w14:solidFill>
                    <w14:schemeClr w14:val="tx1"/>
                  </w14:solidFill>
                </w14:textFill>
              </w:rPr>
              <w:t>单项建安工程造价≥</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9</w:t>
            </w:r>
            <w:r>
              <w:rPr>
                <w:rFonts w:hint="eastAsia" w:ascii="宋体" w:hAnsi="Times New Roman" w:eastAsia="宋体" w:cs="Times New Roman"/>
                <w:color w:val="000000" w:themeColor="text1"/>
                <w:sz w:val="24"/>
                <w:szCs w:val="24"/>
                <w:highlight w:val="none"/>
                <w14:textFill>
                  <w14:solidFill>
                    <w14:schemeClr w14:val="tx1"/>
                  </w14:solidFill>
                </w14:textFill>
              </w:rPr>
              <w:t>000万元的</w:t>
            </w:r>
            <w:r>
              <w:rPr>
                <w:rFonts w:hint="eastAsia" w:ascii="宋体" w:hAnsi="Times New Roman" w:eastAsia="宋体" w:cs="Times New Roman"/>
                <w:color w:val="000000" w:themeColor="text1"/>
                <w:sz w:val="24"/>
                <w:szCs w:val="24"/>
                <w:highlight w:val="none"/>
                <w:lang w:eastAsia="zh-CN"/>
                <w14:textFill>
                  <w14:solidFill>
                    <w14:schemeClr w14:val="tx1"/>
                  </w14:solidFill>
                </w14:textFill>
              </w:rPr>
              <w:t>房屋建筑</w:t>
            </w:r>
            <w:r>
              <w:rPr>
                <w:rFonts w:hint="eastAsia" w:ascii="宋体" w:hAnsi="Times New Roman" w:eastAsia="宋体" w:cs="Times New Roman"/>
                <w:color w:val="000000" w:themeColor="text1"/>
                <w:sz w:val="24"/>
                <w:szCs w:val="24"/>
                <w:highlight w:val="none"/>
                <w14:textFill>
                  <w14:solidFill>
                    <w14:schemeClr w14:val="tx1"/>
                  </w14:solidFill>
                </w14:textFill>
              </w:rPr>
              <w:t>工程</w:t>
            </w:r>
            <w:r>
              <w:rPr>
                <w:rFonts w:hint="eastAsia" w:ascii="宋体" w:hAnsi="Times New Roman" w:eastAsia="宋体" w:cs="Times New Roman"/>
                <w:color w:val="000000" w:themeColor="text1"/>
                <w:sz w:val="24"/>
                <w:szCs w:val="24"/>
                <w:highlight w:val="none"/>
                <w:lang w:eastAsia="zh-CN"/>
                <w14:textFill>
                  <w14:solidFill>
                    <w14:schemeClr w14:val="tx1"/>
                  </w14:solidFill>
                </w14:textFill>
              </w:rPr>
              <w:t>监理</w:t>
            </w:r>
            <w:r>
              <w:rPr>
                <w:rFonts w:hint="eastAsia" w:ascii="宋体" w:hAnsi="Times New Roman" w:eastAsia="宋体" w:cs="Times New Roman"/>
                <w:color w:val="000000" w:themeColor="text1"/>
                <w:sz w:val="24"/>
                <w:szCs w:val="24"/>
                <w:highlight w:val="none"/>
                <w14:textFill>
                  <w14:solidFill>
                    <w14:schemeClr w14:val="tx1"/>
                  </w14:solidFill>
                </w14:textFill>
              </w:rPr>
              <w:t>项目</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w:t>
            </w:r>
          </w:p>
          <w:p w14:paraId="6440B8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2.需提供中标通知书或中选通知书及监理合同关键页和竣工验收证明彩色扫描件。（</w:t>
            </w:r>
            <w:r>
              <w:rPr>
                <w:rFonts w:hint="eastAsia" w:ascii="宋体" w:hAnsi="Times New Roman" w:eastAsia="宋体" w:cs="Times New Roman"/>
                <w:color w:val="000000" w:themeColor="text1"/>
                <w:sz w:val="24"/>
                <w:szCs w:val="24"/>
                <w:highlight w:val="none"/>
                <w14:textFill>
                  <w14:solidFill>
                    <w14:schemeClr w14:val="tx1"/>
                  </w14:solidFill>
                </w14:textFill>
              </w:rPr>
              <w:t>建安</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工程造价及业绩认定时间以竣工验收验收证明文件为准）</w:t>
            </w:r>
          </w:p>
        </w:tc>
      </w:tr>
      <w:tr w14:paraId="68600DF2">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200A1339">
            <w:pPr>
              <w:pStyle w:val="8"/>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企业奖项</w:t>
            </w:r>
          </w:p>
          <w:p w14:paraId="47F3AA6F">
            <w:pPr>
              <w:pStyle w:val="8"/>
              <w:keepNext w:val="0"/>
              <w:keepLines w:val="0"/>
              <w:pageBreakBefore w:val="0"/>
              <w:kinsoku/>
              <w:wordWrap w:val="0"/>
              <w:overflowPunct/>
              <w:topLinePunct w:val="0"/>
              <w:autoSpaceDE/>
              <w:autoSpaceDN/>
              <w:bidi w:val="0"/>
              <w:adjustRightInd w:val="0"/>
              <w:snapToGrid w:val="0"/>
              <w:spacing w:after="0" w:line="400" w:lineRule="exact"/>
              <w:jc w:val="center"/>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（6分）</w:t>
            </w:r>
          </w:p>
        </w:tc>
        <w:tc>
          <w:tcPr>
            <w:tcW w:w="4476"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3FD3C3F1">
            <w:pPr>
              <w:pStyle w:val="49"/>
              <w:keepNext w:val="0"/>
              <w:keepLines w:val="0"/>
              <w:pageBreakBefore w:val="0"/>
              <w:kinsoku/>
              <w:overflowPunct/>
              <w:topLinePunct w:val="0"/>
              <w:autoSpaceDE/>
              <w:autoSpaceDN/>
              <w:bidi w:val="0"/>
              <w:spacing w:line="400" w:lineRule="exact"/>
              <w:ind w:left="116" w:right="105"/>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企业近年来(2022年1月1日至今)</w:t>
            </w: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独立监理过房屋建筑工程监理项目的获奖情况：</w:t>
            </w:r>
          </w:p>
          <w:p w14:paraId="4FA42038">
            <w:pPr>
              <w:pStyle w:val="49"/>
              <w:keepNext w:val="0"/>
              <w:keepLines w:val="0"/>
              <w:pageBreakBefore w:val="0"/>
              <w:kinsoku/>
              <w:overflowPunct/>
              <w:topLinePunct w:val="0"/>
              <w:autoSpaceDE/>
              <w:autoSpaceDN/>
              <w:bidi w:val="0"/>
              <w:spacing w:line="400" w:lineRule="exact"/>
              <w:ind w:left="116" w:right="105"/>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1.获得过国家级奖项的，每提供一项得3分；</w:t>
            </w:r>
          </w:p>
          <w:p w14:paraId="01F465BC">
            <w:pPr>
              <w:pStyle w:val="49"/>
              <w:keepNext w:val="0"/>
              <w:keepLines w:val="0"/>
              <w:pageBreakBefore w:val="0"/>
              <w:kinsoku/>
              <w:overflowPunct/>
              <w:topLinePunct w:val="0"/>
              <w:autoSpaceDE/>
              <w:autoSpaceDN/>
              <w:bidi w:val="0"/>
              <w:spacing w:line="400" w:lineRule="exact"/>
              <w:ind w:left="116" w:right="105"/>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2.获得过省级奖项的，每提供一项得2分；</w:t>
            </w:r>
          </w:p>
          <w:p w14:paraId="5928D793">
            <w:pPr>
              <w:pStyle w:val="49"/>
              <w:keepNext w:val="0"/>
              <w:keepLines w:val="0"/>
              <w:pageBreakBefore w:val="0"/>
              <w:kinsoku/>
              <w:overflowPunct/>
              <w:topLinePunct w:val="0"/>
              <w:autoSpaceDE/>
              <w:autoSpaceDN/>
              <w:bidi w:val="0"/>
              <w:spacing w:line="400" w:lineRule="exact"/>
              <w:ind w:left="116" w:right="105"/>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3.获得过地市级奖项的，每提供一项得1分；</w:t>
            </w:r>
          </w:p>
          <w:p w14:paraId="73F58000">
            <w:pPr>
              <w:pStyle w:val="49"/>
              <w:keepNext w:val="0"/>
              <w:keepLines w:val="0"/>
              <w:pageBreakBefore w:val="0"/>
              <w:kinsoku/>
              <w:overflowPunct/>
              <w:topLinePunct w:val="0"/>
              <w:autoSpaceDE/>
              <w:autoSpaceDN/>
              <w:bidi w:val="0"/>
              <w:spacing w:line="400" w:lineRule="exact"/>
              <w:ind w:left="116" w:right="105"/>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4.其他情形的，不予计分。</w:t>
            </w:r>
          </w:p>
          <w:p w14:paraId="273AF300">
            <w:pPr>
              <w:pStyle w:val="49"/>
              <w:keepNext w:val="0"/>
              <w:keepLines w:val="0"/>
              <w:pageBreakBefore w:val="0"/>
              <w:kinsoku/>
              <w:overflowPunct/>
              <w:topLinePunct w:val="0"/>
              <w:autoSpaceDE/>
              <w:autoSpaceDN/>
              <w:bidi w:val="0"/>
              <w:spacing w:line="400" w:lineRule="exact"/>
              <w:ind w:left="116" w:leftChars="0" w:right="105" w:rightChars="0"/>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highlight w:val="none"/>
                <w:lang w:val="en-US" w:eastAsia="zh-CN"/>
                <w14:textFill>
                  <w14:solidFill>
                    <w14:schemeClr w14:val="tx1"/>
                  </w14:solidFill>
                </w14:textFill>
              </w:rPr>
              <w:t>说明：本项最高得6分。</w:t>
            </w:r>
          </w:p>
        </w:tc>
        <w:tc>
          <w:tcPr>
            <w:tcW w:w="4101"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1DA98BDF">
            <w:pPr>
              <w:keepNext w:val="0"/>
              <w:keepLines w:val="0"/>
              <w:pageBreakBefore w:val="0"/>
              <w:widowControl w:val="0"/>
              <w:kinsoku/>
              <w:wordWrap/>
              <w:overflowPunct/>
              <w:topLinePunct w:val="0"/>
              <w:autoSpaceDE/>
              <w:autoSpaceDN/>
              <w:bidi w:val="0"/>
              <w:adjustRightInd/>
              <w:snapToGrid/>
              <w:spacing w:line="400" w:lineRule="exact"/>
              <w:textAlignment w:val="auto"/>
              <w:rPr>
                <w:b w:val="0"/>
                <w:bCs w:val="0"/>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pacing w:val="14"/>
                <w:sz w:val="24"/>
                <w:szCs w:val="24"/>
                <w:highlight w:val="none"/>
                <w14:textFill>
                  <w14:solidFill>
                    <w14:schemeClr w14:val="tx1"/>
                  </w14:solidFill>
                </w14:textFill>
              </w:rPr>
              <w:t>同一业绩只按最高级别奖项</w:t>
            </w:r>
            <w:r>
              <w:rPr>
                <w:color w:val="000000" w:themeColor="text1"/>
                <w:spacing w:val="16"/>
                <w:sz w:val="24"/>
                <w:szCs w:val="24"/>
                <w:highlight w:val="none"/>
                <w14:textFill>
                  <w14:solidFill>
                    <w14:schemeClr w14:val="tx1"/>
                  </w14:solidFill>
                </w14:textFill>
              </w:rPr>
              <w:t>计分一次，不同业绩按照各自</w:t>
            </w:r>
            <w:r>
              <w:rPr>
                <w:color w:val="000000" w:themeColor="text1"/>
                <w:spacing w:val="12"/>
                <w:sz w:val="24"/>
                <w:szCs w:val="24"/>
                <w:highlight w:val="none"/>
                <w14:textFill>
                  <w14:solidFill>
                    <w14:schemeClr w14:val="tx1"/>
                  </w14:solidFill>
                </w14:textFill>
              </w:rPr>
              <w:t>最高获奖等级的得分累加。</w:t>
            </w:r>
            <w:r>
              <w:rPr>
                <w:rFonts w:hint="eastAsia"/>
                <w:b w:val="0"/>
                <w:bCs w:val="0"/>
                <w:color w:val="000000" w:themeColor="text1"/>
                <w:spacing w:val="2"/>
                <w:sz w:val="24"/>
                <w:szCs w:val="24"/>
                <w:highlight w:val="none"/>
                <w:lang w:val="en-US" w:eastAsia="zh-CN"/>
                <w14:textFill>
                  <w14:solidFill>
                    <w14:schemeClr w14:val="tx1"/>
                  </w14:solidFill>
                </w14:textFill>
              </w:rPr>
              <w:t>类似</w:t>
            </w:r>
            <w:r>
              <w:rPr>
                <w:b w:val="0"/>
                <w:bCs w:val="0"/>
                <w:color w:val="000000" w:themeColor="text1"/>
                <w:spacing w:val="16"/>
                <w:sz w:val="24"/>
                <w:szCs w:val="24"/>
                <w:highlight w:val="none"/>
                <w14:textFill>
                  <w14:solidFill>
                    <w14:schemeClr w14:val="tx1"/>
                  </w14:solidFill>
                </w14:textFill>
              </w:rPr>
              <w:t>项目是指</w:t>
            </w:r>
            <w:r>
              <w:rPr>
                <w:rFonts w:hint="eastAsia"/>
                <w:b w:val="0"/>
                <w:bCs w:val="0"/>
                <w:color w:val="000000" w:themeColor="text1"/>
                <w:spacing w:val="16"/>
                <w:sz w:val="24"/>
                <w:szCs w:val="24"/>
                <w:highlight w:val="none"/>
                <w:lang w:eastAsia="zh-CN"/>
                <w14:textFill>
                  <w14:solidFill>
                    <w14:schemeClr w14:val="tx1"/>
                  </w14:solidFill>
                </w14:textFill>
              </w:rPr>
              <w:t>房屋建筑工程</w:t>
            </w:r>
            <w:r>
              <w:rPr>
                <w:b w:val="0"/>
                <w:bCs w:val="0"/>
                <w:color w:val="000000" w:themeColor="text1"/>
                <w:spacing w:val="16"/>
                <w:sz w:val="24"/>
                <w:szCs w:val="24"/>
                <w:highlight w:val="none"/>
                <w14:textFill>
                  <w14:solidFill>
                    <w14:schemeClr w14:val="tx1"/>
                  </w14:solidFill>
                </w14:textFill>
              </w:rPr>
              <w:t>类</w:t>
            </w:r>
            <w:r>
              <w:rPr>
                <w:b w:val="0"/>
                <w:bCs w:val="0"/>
                <w:color w:val="000000" w:themeColor="text1"/>
                <w:spacing w:val="5"/>
                <w:sz w:val="24"/>
                <w:szCs w:val="24"/>
                <w:highlight w:val="none"/>
                <w14:textFill>
                  <w14:solidFill>
                    <w14:schemeClr w14:val="tx1"/>
                  </w14:solidFill>
                </w14:textFill>
              </w:rPr>
              <w:t>项目。</w:t>
            </w:r>
          </w:p>
          <w:p w14:paraId="1067F3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rFonts w:hint="eastAsia"/>
                <w:color w:val="000000" w:themeColor="text1"/>
                <w:sz w:val="24"/>
                <w:szCs w:val="24"/>
                <w:highlight w:val="none"/>
                <w:lang w:val="en-US" w:eastAsia="zh-CN"/>
                <w14:textFill>
                  <w14:solidFill>
                    <w14:schemeClr w14:val="tx1"/>
                  </w14:solidFill>
                </w14:textFill>
              </w:rPr>
              <w:t>需</w:t>
            </w:r>
            <w:r>
              <w:rPr>
                <w:rFonts w:hint="eastAsia"/>
                <w:color w:val="000000" w:themeColor="text1"/>
                <w:sz w:val="24"/>
                <w:szCs w:val="24"/>
                <w:highlight w:val="none"/>
                <w14:textFill>
                  <w14:solidFill>
                    <w14:schemeClr w14:val="tx1"/>
                  </w14:solidFill>
                </w14:textFill>
              </w:rPr>
              <w:t>提供行政主管部门或</w:t>
            </w:r>
            <w:r>
              <w:rPr>
                <w:rFonts w:hint="eastAsia" w:hAnsi="宋体" w:cs="宋体"/>
                <w:snapToGrid w:val="0"/>
                <w:color w:val="000000" w:themeColor="text1"/>
                <w:kern w:val="0"/>
                <w:sz w:val="24"/>
                <w:szCs w:val="24"/>
                <w:highlight w:val="none"/>
                <w:u w:val="single"/>
                <w14:textFill>
                  <w14:solidFill>
                    <w14:schemeClr w14:val="tx1"/>
                  </w14:solidFill>
                </w14:textFill>
              </w:rPr>
              <w:t>建筑行业</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协会</w:t>
            </w:r>
            <w:r>
              <w:rPr>
                <w:rFonts w:hint="eastAsia"/>
                <w:color w:val="000000" w:themeColor="text1"/>
                <w:sz w:val="24"/>
                <w:szCs w:val="24"/>
                <w:highlight w:val="none"/>
                <w14:textFill>
                  <w14:solidFill>
                    <w14:schemeClr w14:val="tx1"/>
                  </w14:solidFill>
                </w14:textFill>
              </w:rPr>
              <w:t>颁发的单位获奖证书</w:t>
            </w:r>
            <w:r>
              <w:rPr>
                <w:rFonts w:hint="eastAsia"/>
                <w:color w:val="000000" w:themeColor="text1"/>
                <w:sz w:val="24"/>
                <w:szCs w:val="24"/>
                <w:highlight w:val="none"/>
                <w:lang w:val="en-US" w:eastAsia="zh-CN"/>
                <w14:textFill>
                  <w14:solidFill>
                    <w14:schemeClr w14:val="tx1"/>
                  </w14:solidFill>
                </w14:textFill>
              </w:rPr>
              <w:t>或发文材料</w:t>
            </w:r>
            <w:r>
              <w:rPr>
                <w:rFonts w:hint="eastAsia"/>
                <w:color w:val="000000" w:themeColor="text1"/>
                <w:sz w:val="24"/>
                <w:szCs w:val="24"/>
                <w:highlight w:val="none"/>
                <w14:textFill>
                  <w14:solidFill>
                    <w14:schemeClr w14:val="tx1"/>
                  </w14:solidFill>
                </w14:textFill>
              </w:rPr>
              <w:t>彩色扫描件</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若上述获奖证明材料未能体现单位名称</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的，则须另外提供中标通知书或服务合同作为评审依据）。</w:t>
            </w:r>
          </w:p>
          <w:p w14:paraId="6915E81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hAnsi="宋体" w:cs="宋体"/>
                <w:snapToGrid w:val="0"/>
                <w:color w:val="000000" w:themeColor="text1"/>
                <w:kern w:val="0"/>
                <w:sz w:val="24"/>
                <w:szCs w:val="24"/>
                <w:highlight w:val="none"/>
                <w:u w:val="single"/>
                <w14:textFill>
                  <w14:solidFill>
                    <w14:schemeClr w14:val="tx1"/>
                  </w14:solidFill>
                </w14:textFill>
              </w:rPr>
              <w:t>建筑行业</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协会需经民政部门备案，提供中华人民共和国民政部网站全国社会组织信息查询 (</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fldChar w:fldCharType="begin"/>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instrText xml:space="preserve"> HYPERLINK "https://xxgs.chinanpo.mca.gov.cn/gsxt/newList" </w:instrTex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fldChar w:fldCharType="separate"/>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https://xxgs.chinanpo.mca.gov.cn/gsxt/newL</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fldChar w:fldCharType="end"/>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fldChar w:fldCharType="begin"/>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instrText xml:space="preserve"> HYPERLINK "https://xxgs.chinanpo.mca.gov.cn/gsxt/newList" </w:instrTex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fldChar w:fldCharType="separate"/>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ist</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fldChar w:fldCharType="end"/>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 xml:space="preserve"> )备案登记网站截图)。</w:t>
            </w:r>
          </w:p>
          <w:p w14:paraId="6E5284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4.获奖时间以发证或发文时间为准。</w:t>
            </w:r>
          </w:p>
          <w:p w14:paraId="35249D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5.任一奖项有以下情形之一的，该奖项视为无效，不予计分：</w:t>
            </w:r>
          </w:p>
          <w:p w14:paraId="5D7EB3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①奖项不属于指定类别的；</w:t>
            </w:r>
          </w:p>
          <w:p w14:paraId="3C860C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②颁发机构不符合要求的；</w:t>
            </w:r>
          </w:p>
          <w:p w14:paraId="5DB9F4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③获奖时间不符合要求的；</w:t>
            </w:r>
          </w:p>
          <w:p w14:paraId="106622E7">
            <w:pPr>
              <w:pStyle w:val="49"/>
              <w:keepNext w:val="0"/>
              <w:keepLines w:val="0"/>
              <w:pageBreakBefore w:val="0"/>
              <w:kinsoku/>
              <w:overflowPunct/>
              <w:topLinePunct w:val="0"/>
              <w:autoSpaceDE/>
              <w:autoSpaceDN/>
              <w:bidi w:val="0"/>
              <w:spacing w:line="400" w:lineRule="exact"/>
              <w:ind w:right="105" w:rightChars="0"/>
              <w:rPr>
                <w:color w:val="000000" w:themeColor="text1"/>
                <w:sz w:val="24"/>
                <w:szCs w:val="24"/>
                <w:highlight w:val="none"/>
                <w14:textFill>
                  <w14:solidFill>
                    <w14:schemeClr w14:val="tx1"/>
                  </w14:solidFill>
                </w14:textFill>
              </w:rPr>
            </w:pP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④获奖证明材料未能体现单位名称的。</w:t>
            </w:r>
          </w:p>
        </w:tc>
      </w:tr>
      <w:tr w14:paraId="4C62AEA5">
        <w:tblPrEx>
          <w:tblCellMar>
            <w:top w:w="0" w:type="dxa"/>
            <w:left w:w="10" w:type="dxa"/>
            <w:bottom w:w="0" w:type="dxa"/>
            <w:right w:w="10" w:type="dxa"/>
          </w:tblCellMar>
        </w:tblPrEx>
        <w:trPr>
          <w:trHeight w:val="3187" w:hRule="atLeast"/>
          <w:jc w:val="center"/>
        </w:trPr>
        <w:tc>
          <w:tcPr>
            <w:tcW w:w="122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010460">
            <w:pPr>
              <w:pStyle w:val="8"/>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eastAsia="zh-CN"/>
                <w14:textFill>
                  <w14:solidFill>
                    <w14:schemeClr w14:val="tx1"/>
                  </w14:solidFill>
                </w14:textFill>
              </w:rPr>
              <w:t>项目管理机构能力</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14:textFill>
                  <w14:solidFill>
                    <w14:schemeClr w14:val="tx1"/>
                  </w14:solidFill>
                </w14:textFill>
              </w:rPr>
              <w:t>（</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13分</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14:textFill>
                  <w14:solidFill>
                    <w14:schemeClr w14:val="tx1"/>
                  </w14:solidFill>
                </w14:textFill>
              </w:rPr>
              <w:t>）</w:t>
            </w:r>
          </w:p>
        </w:tc>
        <w:tc>
          <w:tcPr>
            <w:tcW w:w="12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ADE2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项目总监综合素质</w:t>
            </w:r>
          </w:p>
          <w:p w14:paraId="59923E77">
            <w:pPr>
              <w:pStyle w:val="7"/>
              <w:keepNext w:val="0"/>
              <w:keepLines w:val="0"/>
              <w:pageBreakBefore w:val="0"/>
              <w:kinsoku/>
              <w:overflowPunct/>
              <w:topLinePunct w:val="0"/>
              <w:autoSpaceDE/>
              <w:autoSpaceDN/>
              <w:bidi w:val="0"/>
              <w:spacing w:line="400" w:lineRule="exact"/>
              <w:rPr>
                <w:rFonts w:hint="eastAsia" w:asciiTheme="minorEastAsia" w:hAnsiTheme="minorEastAsia" w:eastAsiaTheme="minorEastAsia" w:cstheme="minorEastAsia"/>
                <w:b/>
                <w:bCs/>
                <w:color w:val="000000" w:themeColor="text1"/>
                <w:spacing w:val="3"/>
                <w:sz w:val="24"/>
                <w:szCs w:val="24"/>
                <w:highlight w:val="none"/>
                <w:lang w:val="en-US" w:eastAsia="zh-CN"/>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6</w:t>
            </w:r>
            <w:r>
              <w:rPr>
                <w:rFonts w:hint="eastAsia" w:hAnsi="宋体" w:cs="宋体"/>
                <w:color w:val="000000" w:themeColor="text1"/>
                <w:kern w:val="0"/>
                <w:sz w:val="24"/>
                <w:szCs w:val="24"/>
                <w:highlight w:val="none"/>
                <w14:textFill>
                  <w14:solidFill>
                    <w14:schemeClr w14:val="tx1"/>
                  </w14:solidFill>
                </w14:textFill>
              </w:rPr>
              <w:t>分）</w:t>
            </w:r>
          </w:p>
        </w:tc>
        <w:tc>
          <w:tcPr>
            <w:tcW w:w="32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3F0F4E">
            <w:pPr>
              <w:keepNext w:val="0"/>
              <w:keepLines w:val="0"/>
              <w:pageBreakBefore w:val="0"/>
              <w:widowControl/>
              <w:kinsoku/>
              <w:wordWrap/>
              <w:overflowPunct/>
              <w:topLinePunct w:val="0"/>
              <w:autoSpaceDE/>
              <w:autoSpaceDN/>
              <w:bidi w:val="0"/>
              <w:adjustRightInd/>
              <w:snapToGrid w:val="0"/>
              <w:spacing w:line="400" w:lineRule="exact"/>
              <w:textAlignment w:val="auto"/>
              <w:rPr>
                <w:rFonts w:hAnsi="宋体" w:cs="宋体"/>
                <w:color w:val="000000" w:themeColor="text1"/>
                <w:sz w:val="24"/>
                <w:szCs w:val="24"/>
                <w:highlight w:val="none"/>
                <w:u w:val="none"/>
                <w14:textFill>
                  <w14:solidFill>
                    <w14:schemeClr w14:val="tx1"/>
                  </w14:solidFill>
                </w14:textFill>
              </w:rPr>
            </w:pPr>
            <w:r>
              <w:rPr>
                <w:rFonts w:hint="eastAsia" w:hAnsi="宋体" w:cs="宋体"/>
                <w:color w:val="000000" w:themeColor="text1"/>
                <w:sz w:val="24"/>
                <w:szCs w:val="24"/>
                <w:highlight w:val="none"/>
                <w:u w:val="none"/>
                <w14:textFill>
                  <w14:solidFill>
                    <w14:schemeClr w14:val="tx1"/>
                  </w14:solidFill>
                </w14:textFill>
              </w:rPr>
              <w:t>1.综合素质</w:t>
            </w:r>
          </w:p>
          <w:p w14:paraId="52F045B5">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hAnsi="宋体" w:cs="宋体"/>
                <w:snapToGrid w:val="0"/>
                <w:color w:val="000000" w:themeColor="text1"/>
                <w:kern w:val="0"/>
                <w:sz w:val="24"/>
                <w:szCs w:val="24"/>
                <w:highlight w:val="none"/>
                <w:u w:val="none"/>
                <w:lang w:val="en-US" w:eastAsia="zh-CN"/>
                <w14:textFill>
                  <w14:solidFill>
                    <w14:schemeClr w14:val="tx1"/>
                  </w14:solidFill>
                </w14:textFill>
              </w:rPr>
            </w:pPr>
            <w:r>
              <w:rPr>
                <w:rFonts w:hint="eastAsia" w:hAnsi="宋体" w:cs="宋体"/>
                <w:snapToGrid w:val="0"/>
                <w:color w:val="000000" w:themeColor="text1"/>
                <w:kern w:val="0"/>
                <w:sz w:val="24"/>
                <w:szCs w:val="24"/>
                <w:highlight w:val="none"/>
                <w:u w:val="none"/>
                <w14:textFill>
                  <w14:solidFill>
                    <w14:schemeClr w14:val="tx1"/>
                  </w14:solidFill>
                </w14:textFill>
              </w:rPr>
              <w:t>拟委派的总监理工程师具有工程师</w:t>
            </w:r>
            <w:r>
              <w:rPr>
                <w:rFonts w:hint="eastAsia" w:hAnsi="宋体" w:cs="宋体"/>
                <w:snapToGrid w:val="0"/>
                <w:color w:val="000000" w:themeColor="text1"/>
                <w:kern w:val="0"/>
                <w:sz w:val="24"/>
                <w:szCs w:val="24"/>
                <w:highlight w:val="none"/>
                <w:u w:val="none"/>
                <w:lang w:eastAsia="zh-CN"/>
                <w14:textFill>
                  <w14:solidFill>
                    <w14:schemeClr w14:val="tx1"/>
                  </w14:solidFill>
                </w14:textFill>
              </w:rPr>
              <w:t>或以上</w:t>
            </w:r>
            <w:r>
              <w:rPr>
                <w:rFonts w:hint="eastAsia" w:hAnsi="宋体" w:cs="宋体"/>
                <w:snapToGrid w:val="0"/>
                <w:color w:val="000000" w:themeColor="text1"/>
                <w:kern w:val="0"/>
                <w:sz w:val="24"/>
                <w:szCs w:val="24"/>
                <w:highlight w:val="none"/>
                <w:u w:val="none"/>
                <w14:textFill>
                  <w14:solidFill>
                    <w14:schemeClr w14:val="tx1"/>
                  </w14:solidFill>
                </w14:textFill>
              </w:rPr>
              <w:t>职称的</w:t>
            </w:r>
            <w:r>
              <w:rPr>
                <w:rFonts w:hint="eastAsia" w:hAnsi="宋体" w:cs="宋体"/>
                <w:snapToGrid w:val="0"/>
                <w:color w:val="000000" w:themeColor="text1"/>
                <w:kern w:val="0"/>
                <w:sz w:val="24"/>
                <w:szCs w:val="24"/>
                <w:highlight w:val="none"/>
                <w:u w:val="none"/>
                <w:lang w:eastAsia="zh-CN"/>
                <w14:textFill>
                  <w14:solidFill>
                    <w14:schemeClr w14:val="tx1"/>
                  </w14:solidFill>
                </w14:textFill>
              </w:rPr>
              <w:t>，</w:t>
            </w:r>
            <w:r>
              <w:rPr>
                <w:rFonts w:hint="eastAsia" w:hAnsi="宋体" w:cs="宋体"/>
                <w:snapToGrid w:val="0"/>
                <w:color w:val="000000" w:themeColor="text1"/>
                <w:kern w:val="0"/>
                <w:sz w:val="24"/>
                <w:szCs w:val="24"/>
                <w:highlight w:val="none"/>
                <w:u w:val="none"/>
                <w14:textFill>
                  <w14:solidFill>
                    <w14:schemeClr w14:val="tx1"/>
                  </w14:solidFill>
                </w14:textFill>
              </w:rPr>
              <w:t>得</w:t>
            </w:r>
            <w:r>
              <w:rPr>
                <w:rFonts w:hint="eastAsia" w:hAnsi="宋体" w:cs="宋体"/>
                <w:snapToGrid w:val="0"/>
                <w:color w:val="000000" w:themeColor="text1"/>
                <w:kern w:val="0"/>
                <w:sz w:val="24"/>
                <w:szCs w:val="24"/>
                <w:highlight w:val="none"/>
                <w:u w:val="none"/>
                <w:lang w:val="en-US" w:eastAsia="zh-CN"/>
                <w14:textFill>
                  <w14:solidFill>
                    <w14:schemeClr w14:val="tx1"/>
                  </w14:solidFill>
                </w14:textFill>
              </w:rPr>
              <w:t>0.5</w:t>
            </w:r>
            <w:r>
              <w:rPr>
                <w:rFonts w:hint="eastAsia" w:hAnsi="宋体" w:cs="宋体"/>
                <w:snapToGrid w:val="0"/>
                <w:color w:val="000000" w:themeColor="text1"/>
                <w:kern w:val="0"/>
                <w:sz w:val="24"/>
                <w:szCs w:val="24"/>
                <w:highlight w:val="none"/>
                <w:u w:val="none"/>
                <w14:textFill>
                  <w14:solidFill>
                    <w14:schemeClr w14:val="tx1"/>
                  </w14:solidFill>
                </w14:textFill>
              </w:rPr>
              <w:t>分</w:t>
            </w:r>
            <w:r>
              <w:rPr>
                <w:rFonts w:hint="eastAsia" w:hAnsi="宋体" w:cs="宋体"/>
                <w:snapToGrid w:val="0"/>
                <w:color w:val="000000" w:themeColor="text1"/>
                <w:kern w:val="0"/>
                <w:sz w:val="24"/>
                <w:szCs w:val="24"/>
                <w:highlight w:val="none"/>
                <w:u w:val="none"/>
                <w:lang w:val="en-US" w:eastAsia="zh-CN"/>
                <w14:textFill>
                  <w14:solidFill>
                    <w14:schemeClr w14:val="tx1"/>
                  </w14:solidFill>
                </w14:textFill>
              </w:rPr>
              <w:t>；</w:t>
            </w:r>
            <w:r>
              <w:rPr>
                <w:rFonts w:hint="eastAsia" w:hAnsi="宋体" w:cs="宋体"/>
                <w:color w:val="000000" w:themeColor="text1"/>
                <w:sz w:val="24"/>
                <w:szCs w:val="24"/>
                <w:highlight w:val="none"/>
                <w:u w:val="none"/>
                <w14:textFill>
                  <w14:solidFill>
                    <w14:schemeClr w14:val="tx1"/>
                  </w14:solidFill>
                </w14:textFill>
              </w:rPr>
              <w:t>取得注册监理工程师执业资格证书（以</w:t>
            </w:r>
            <w:r>
              <w:rPr>
                <w:rFonts w:hint="eastAsia" w:hAnsi="宋体" w:cs="宋体"/>
                <w:color w:val="000000" w:themeColor="text1"/>
                <w:sz w:val="24"/>
                <w:szCs w:val="24"/>
                <w:highlight w:val="none"/>
                <w:u w:val="none"/>
                <w:lang w:eastAsia="zh-CN"/>
                <w14:textFill>
                  <w14:solidFill>
                    <w14:schemeClr w14:val="tx1"/>
                  </w14:solidFill>
                </w14:textFill>
              </w:rPr>
              <w:t>监理工程师职业资格</w:t>
            </w:r>
            <w:r>
              <w:rPr>
                <w:rFonts w:hint="eastAsia" w:hAnsi="宋体" w:cs="宋体"/>
                <w:color w:val="000000" w:themeColor="text1"/>
                <w:sz w:val="24"/>
                <w:szCs w:val="24"/>
                <w:highlight w:val="none"/>
                <w:u w:val="none"/>
                <w14:textFill>
                  <w14:solidFill>
                    <w14:schemeClr w14:val="tx1"/>
                  </w14:solidFill>
                </w14:textFill>
              </w:rPr>
              <w:t>批准日期为准）满3年的得</w:t>
            </w:r>
            <w:r>
              <w:rPr>
                <w:rFonts w:hint="eastAsia" w:hAnsi="宋体" w:cs="宋体"/>
                <w:color w:val="000000" w:themeColor="text1"/>
                <w:sz w:val="24"/>
                <w:szCs w:val="24"/>
                <w:highlight w:val="none"/>
                <w:u w:val="none"/>
                <w:lang w:val="en-US" w:eastAsia="zh-CN"/>
                <w14:textFill>
                  <w14:solidFill>
                    <w14:schemeClr w14:val="tx1"/>
                  </w14:solidFill>
                </w14:textFill>
              </w:rPr>
              <w:t>0.5</w:t>
            </w:r>
            <w:r>
              <w:rPr>
                <w:rFonts w:hint="eastAsia" w:hAnsi="宋体" w:cs="宋体"/>
                <w:color w:val="000000" w:themeColor="text1"/>
                <w:sz w:val="24"/>
                <w:szCs w:val="24"/>
                <w:highlight w:val="none"/>
                <w:u w:val="none"/>
                <w14:textFill>
                  <w14:solidFill>
                    <w14:schemeClr w14:val="tx1"/>
                  </w14:solidFill>
                </w14:textFill>
              </w:rPr>
              <w:t>分</w:t>
            </w:r>
            <w:r>
              <w:rPr>
                <w:rFonts w:hint="eastAsia" w:hAnsi="宋体" w:cs="宋体"/>
                <w:snapToGrid w:val="0"/>
                <w:color w:val="000000" w:themeColor="text1"/>
                <w:kern w:val="0"/>
                <w:sz w:val="24"/>
                <w:szCs w:val="24"/>
                <w:highlight w:val="none"/>
                <w:u w:val="none"/>
                <w:lang w:eastAsia="zh-CN"/>
                <w14:textFill>
                  <w14:solidFill>
                    <w14:schemeClr w14:val="tx1"/>
                  </w14:solidFill>
                </w14:textFill>
              </w:rPr>
              <w:t>；</w:t>
            </w:r>
            <w:r>
              <w:rPr>
                <w:rFonts w:hint="eastAsia" w:hAnsi="宋体" w:cs="宋体"/>
                <w:snapToGrid w:val="0"/>
                <w:color w:val="000000" w:themeColor="text1"/>
                <w:kern w:val="0"/>
                <w:sz w:val="24"/>
                <w:szCs w:val="24"/>
                <w:highlight w:val="none"/>
                <w:u w:val="none"/>
                <w:lang w:val="en-US" w:eastAsia="zh-CN"/>
                <w14:textFill>
                  <w14:solidFill>
                    <w14:schemeClr w14:val="tx1"/>
                  </w14:solidFill>
                </w14:textFill>
              </w:rPr>
              <w:t>本小项最高得1分。</w:t>
            </w:r>
          </w:p>
          <w:p w14:paraId="3989C4E3">
            <w:pPr>
              <w:keepNext w:val="0"/>
              <w:keepLines w:val="0"/>
              <w:pageBreakBefore w:val="0"/>
              <w:widowControl/>
              <w:kinsoku/>
              <w:wordWrap/>
              <w:overflowPunct/>
              <w:topLinePunct w:val="0"/>
              <w:autoSpaceDE/>
              <w:autoSpaceDN/>
              <w:bidi w:val="0"/>
              <w:adjustRightInd/>
              <w:snapToGrid w:val="0"/>
              <w:spacing w:line="400" w:lineRule="exact"/>
              <w:textAlignment w:val="auto"/>
              <w:rPr>
                <w:rFonts w:hAnsi="宋体" w:cs="宋体"/>
                <w:color w:val="000000" w:themeColor="text1"/>
                <w:sz w:val="24"/>
                <w:szCs w:val="24"/>
                <w:highlight w:val="none"/>
                <w:u w:val="none"/>
                <w14:textFill>
                  <w14:solidFill>
                    <w14:schemeClr w14:val="tx1"/>
                  </w14:solidFill>
                </w14:textFill>
              </w:rPr>
            </w:pPr>
            <w:r>
              <w:rPr>
                <w:rFonts w:hint="eastAsia" w:hAnsi="宋体" w:cs="宋体"/>
                <w:color w:val="000000" w:themeColor="text1"/>
                <w:sz w:val="24"/>
                <w:szCs w:val="24"/>
                <w:highlight w:val="none"/>
                <w:u w:val="none"/>
                <w14:textFill>
                  <w14:solidFill>
                    <w14:schemeClr w14:val="tx1"/>
                  </w14:solidFill>
                </w14:textFill>
              </w:rPr>
              <w:t>2.监理经验</w:t>
            </w:r>
          </w:p>
          <w:p w14:paraId="10DC630D">
            <w:pPr>
              <w:keepNext w:val="0"/>
              <w:keepLines w:val="0"/>
              <w:pageBreakBefore w:val="0"/>
              <w:widowControl/>
              <w:kinsoku/>
              <w:wordWrap/>
              <w:overflowPunct/>
              <w:topLinePunct w:val="0"/>
              <w:autoSpaceDE/>
              <w:autoSpaceDN/>
              <w:bidi w:val="0"/>
              <w:adjustRightInd/>
              <w:snapToGrid w:val="0"/>
              <w:spacing w:line="400" w:lineRule="exact"/>
              <w:textAlignment w:val="auto"/>
              <w:rPr>
                <w:rFonts w:hAnsi="宋体" w:cs="宋体"/>
                <w:color w:val="000000" w:themeColor="text1"/>
                <w:sz w:val="24"/>
                <w:szCs w:val="24"/>
                <w:highlight w:val="none"/>
                <w:u w:val="none"/>
                <w14:textFill>
                  <w14:solidFill>
                    <w14:schemeClr w14:val="tx1"/>
                  </w14:solidFill>
                </w14:textFill>
              </w:rPr>
            </w:pPr>
            <w:r>
              <w:rPr>
                <w:rFonts w:hint="eastAsia" w:hAnsi="宋体" w:cs="宋体"/>
                <w:color w:val="000000" w:themeColor="text1"/>
                <w:sz w:val="24"/>
                <w:szCs w:val="24"/>
                <w:highlight w:val="none"/>
                <w:u w:val="none"/>
                <w14:textFill>
                  <w14:solidFill>
                    <w14:schemeClr w14:val="tx1"/>
                  </w14:solidFill>
                </w14:textFill>
              </w:rPr>
              <w:t>担任项目总监理工程师，监理完成过单项建安工程造价≥</w:t>
            </w:r>
            <w:r>
              <w:rPr>
                <w:rFonts w:hint="eastAsia" w:hAnsi="宋体" w:cs="宋体"/>
                <w:color w:val="000000" w:themeColor="text1"/>
                <w:sz w:val="24"/>
                <w:szCs w:val="24"/>
                <w:highlight w:val="none"/>
                <w:u w:val="none"/>
                <w:lang w:val="en-US" w:eastAsia="zh-CN"/>
                <w14:textFill>
                  <w14:solidFill>
                    <w14:schemeClr w14:val="tx1"/>
                  </w14:solidFill>
                </w14:textFill>
              </w:rPr>
              <w:t>9</w:t>
            </w:r>
            <w:r>
              <w:rPr>
                <w:rFonts w:hint="eastAsia" w:hAnsi="宋体" w:cs="宋体"/>
                <w:color w:val="000000" w:themeColor="text1"/>
                <w:sz w:val="24"/>
                <w:szCs w:val="24"/>
                <w:highlight w:val="none"/>
                <w:u w:val="none"/>
                <w14:textFill>
                  <w14:solidFill>
                    <w14:schemeClr w14:val="tx1"/>
                  </w14:solidFill>
                </w14:textFill>
              </w:rPr>
              <w:t>000万元的</w:t>
            </w:r>
            <w:r>
              <w:rPr>
                <w:rFonts w:hint="eastAsia" w:hAnsi="宋体" w:cs="宋体"/>
                <w:color w:val="000000" w:themeColor="text1"/>
                <w:sz w:val="24"/>
                <w:szCs w:val="24"/>
                <w:highlight w:val="none"/>
                <w:u w:val="none"/>
                <w:lang w:eastAsia="zh-CN"/>
                <w14:textFill>
                  <w14:solidFill>
                    <w14:schemeClr w14:val="tx1"/>
                  </w14:solidFill>
                </w14:textFill>
              </w:rPr>
              <w:t>房屋建筑</w:t>
            </w:r>
            <w:r>
              <w:rPr>
                <w:rFonts w:hint="eastAsia" w:hAnsi="宋体" w:cs="宋体"/>
                <w:color w:val="000000" w:themeColor="text1"/>
                <w:sz w:val="24"/>
                <w:szCs w:val="24"/>
                <w:highlight w:val="none"/>
                <w:u w:val="none"/>
                <w14:textFill>
                  <w14:solidFill>
                    <w14:schemeClr w14:val="tx1"/>
                  </w14:solidFill>
                </w14:textFill>
              </w:rPr>
              <w:t>工程</w:t>
            </w:r>
            <w:r>
              <w:rPr>
                <w:rFonts w:hint="eastAsia" w:hAnsi="宋体" w:cs="宋体"/>
                <w:color w:val="000000" w:themeColor="text1"/>
                <w:sz w:val="24"/>
                <w:szCs w:val="24"/>
                <w:highlight w:val="none"/>
                <w:u w:val="none"/>
                <w:lang w:eastAsia="zh-CN"/>
                <w14:textFill>
                  <w14:solidFill>
                    <w14:schemeClr w14:val="tx1"/>
                  </w14:solidFill>
                </w14:textFill>
              </w:rPr>
              <w:t>监理</w:t>
            </w:r>
            <w:r>
              <w:rPr>
                <w:rFonts w:hint="eastAsia" w:hAnsi="宋体" w:cs="宋体"/>
                <w:color w:val="000000" w:themeColor="text1"/>
                <w:sz w:val="24"/>
                <w:szCs w:val="24"/>
                <w:highlight w:val="none"/>
                <w:u w:val="none"/>
                <w14:textFill>
                  <w14:solidFill>
                    <w14:schemeClr w14:val="tx1"/>
                  </w14:solidFill>
                </w14:textFill>
              </w:rPr>
              <w:t>项目，每个项目</w:t>
            </w:r>
            <w:r>
              <w:rPr>
                <w:rFonts w:hint="eastAsia" w:hAnsi="宋体" w:cs="宋体"/>
                <w:color w:val="000000" w:themeColor="text1"/>
                <w:sz w:val="24"/>
                <w:szCs w:val="24"/>
                <w:highlight w:val="none"/>
                <w:u w:val="none"/>
                <w:lang w:eastAsia="zh-CN"/>
                <w14:textFill>
                  <w14:solidFill>
                    <w14:schemeClr w14:val="tx1"/>
                  </w14:solidFill>
                </w14:textFill>
              </w:rPr>
              <w:t>得</w:t>
            </w:r>
            <w:r>
              <w:rPr>
                <w:rFonts w:hint="eastAsia" w:hAnsi="宋体" w:cs="宋体"/>
                <w:color w:val="000000" w:themeColor="text1"/>
                <w:sz w:val="24"/>
                <w:szCs w:val="24"/>
                <w:highlight w:val="none"/>
                <w:u w:val="none"/>
                <w14:textFill>
                  <w14:solidFill>
                    <w14:schemeClr w14:val="tx1"/>
                  </w14:solidFill>
                </w14:textFill>
              </w:rPr>
              <w:t>2分，最高得</w:t>
            </w:r>
            <w:r>
              <w:rPr>
                <w:rFonts w:hint="eastAsia" w:hAnsi="宋体" w:cs="宋体"/>
                <w:color w:val="000000" w:themeColor="text1"/>
                <w:sz w:val="24"/>
                <w:szCs w:val="24"/>
                <w:highlight w:val="none"/>
                <w:u w:val="none"/>
                <w:lang w:val="en-US" w:eastAsia="zh-CN"/>
                <w14:textFill>
                  <w14:solidFill>
                    <w14:schemeClr w14:val="tx1"/>
                  </w14:solidFill>
                </w14:textFill>
              </w:rPr>
              <w:t>4</w:t>
            </w:r>
            <w:r>
              <w:rPr>
                <w:rFonts w:hint="eastAsia" w:hAnsi="宋体" w:cs="宋体"/>
                <w:color w:val="000000" w:themeColor="text1"/>
                <w:sz w:val="24"/>
                <w:szCs w:val="24"/>
                <w:highlight w:val="none"/>
                <w:u w:val="none"/>
                <w14:textFill>
                  <w14:solidFill>
                    <w14:schemeClr w14:val="tx1"/>
                  </w14:solidFill>
                </w14:textFill>
              </w:rPr>
              <w:t>分。</w:t>
            </w:r>
          </w:p>
          <w:p w14:paraId="289C1E09">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hAnsi="宋体"/>
                <w:snapToGrid w:val="0"/>
                <w:color w:val="000000" w:themeColor="text1"/>
                <w:kern w:val="0"/>
                <w:sz w:val="24"/>
                <w:szCs w:val="24"/>
                <w:highlight w:val="none"/>
                <w:u w:val="none"/>
                <w:lang w:val="en-US" w:eastAsia="zh-CN"/>
                <w14:textFill>
                  <w14:solidFill>
                    <w14:schemeClr w14:val="tx1"/>
                  </w14:solidFill>
                </w14:textFill>
              </w:rPr>
            </w:pPr>
            <w:r>
              <w:rPr>
                <w:rFonts w:hint="eastAsia" w:hAnsi="宋体" w:cs="宋体"/>
                <w:color w:val="000000" w:themeColor="text1"/>
                <w:sz w:val="24"/>
                <w:szCs w:val="24"/>
                <w:highlight w:val="none"/>
                <w:u w:val="none"/>
                <w14:textFill>
                  <w14:solidFill>
                    <w14:schemeClr w14:val="tx1"/>
                  </w14:solidFill>
                </w14:textFill>
              </w:rPr>
              <w:t>3.担任总监理工程师完成</w:t>
            </w:r>
            <w:r>
              <w:rPr>
                <w:rFonts w:hint="eastAsia" w:hAnsi="宋体" w:cs="宋体"/>
                <w:color w:val="000000" w:themeColor="text1"/>
                <w:sz w:val="24"/>
                <w:szCs w:val="24"/>
                <w:highlight w:val="none"/>
                <w:u w:val="none"/>
                <w:lang w:eastAsia="zh-CN"/>
                <w14:textFill>
                  <w14:solidFill>
                    <w14:schemeClr w14:val="tx1"/>
                  </w14:solidFill>
                </w14:textFill>
              </w:rPr>
              <w:t>房屋建筑工程</w:t>
            </w:r>
            <w:r>
              <w:rPr>
                <w:rFonts w:hint="eastAsia" w:hAnsi="宋体" w:cs="宋体"/>
                <w:color w:val="000000" w:themeColor="text1"/>
                <w:sz w:val="24"/>
                <w:szCs w:val="24"/>
                <w:highlight w:val="none"/>
                <w:u w:val="none"/>
                <w14:textFill>
                  <w14:solidFill>
                    <w14:schemeClr w14:val="tx1"/>
                  </w14:solidFill>
                </w14:textFill>
              </w:rPr>
              <w:t>监理项目</w:t>
            </w:r>
            <w:r>
              <w:rPr>
                <w:rFonts w:hint="eastAsia" w:hAnsi="宋体" w:cs="宋体"/>
                <w:color w:val="000000" w:themeColor="text1"/>
                <w:sz w:val="24"/>
                <w:szCs w:val="24"/>
                <w:highlight w:val="none"/>
                <w:u w:val="none"/>
                <w:lang w:eastAsia="zh-CN"/>
                <w14:textFill>
                  <w14:solidFill>
                    <w14:schemeClr w14:val="tx1"/>
                  </w14:solidFill>
                </w14:textFill>
              </w:rPr>
              <w:t>获得过</w:t>
            </w:r>
            <w:r>
              <w:rPr>
                <w:rFonts w:hint="eastAsia" w:hAnsi="宋体" w:cs="宋体"/>
                <w:color w:val="000000" w:themeColor="text1"/>
                <w:sz w:val="24"/>
                <w:szCs w:val="24"/>
                <w:highlight w:val="none"/>
                <w:u w:val="none"/>
                <w14:textFill>
                  <w14:solidFill>
                    <w14:schemeClr w14:val="tx1"/>
                  </w14:solidFill>
                </w14:textFill>
              </w:rPr>
              <w:t>地市级</w:t>
            </w:r>
            <w:r>
              <w:rPr>
                <w:rFonts w:hint="eastAsia" w:hAnsi="宋体" w:cs="宋体"/>
                <w:color w:val="000000" w:themeColor="text1"/>
                <w:sz w:val="24"/>
                <w:szCs w:val="24"/>
                <w:highlight w:val="none"/>
                <w:u w:val="none"/>
                <w:lang w:eastAsia="zh-CN"/>
                <w14:textFill>
                  <w14:solidFill>
                    <w14:schemeClr w14:val="tx1"/>
                  </w14:solidFill>
                </w14:textFill>
              </w:rPr>
              <w:t>或以上奖项的</w:t>
            </w:r>
            <w:r>
              <w:rPr>
                <w:rFonts w:hint="eastAsia" w:hAnsi="宋体" w:cs="宋体"/>
                <w:color w:val="000000" w:themeColor="text1"/>
                <w:sz w:val="24"/>
                <w:szCs w:val="24"/>
                <w:highlight w:val="none"/>
                <w:u w:val="none"/>
                <w14:textFill>
                  <w14:solidFill>
                    <w14:schemeClr w14:val="tx1"/>
                  </w14:solidFill>
                </w14:textFill>
              </w:rPr>
              <w:t>得</w:t>
            </w:r>
            <w:r>
              <w:rPr>
                <w:rFonts w:hint="eastAsia" w:hAnsi="宋体" w:cs="宋体"/>
                <w:color w:val="000000" w:themeColor="text1"/>
                <w:sz w:val="24"/>
                <w:szCs w:val="24"/>
                <w:highlight w:val="none"/>
                <w:u w:val="none"/>
                <w:lang w:val="en-US" w:eastAsia="zh-CN"/>
                <w14:textFill>
                  <w14:solidFill>
                    <w14:schemeClr w14:val="tx1"/>
                  </w14:solidFill>
                </w14:textFill>
              </w:rPr>
              <w:t>1</w:t>
            </w:r>
            <w:r>
              <w:rPr>
                <w:rFonts w:hint="eastAsia" w:hAnsi="宋体" w:cs="宋体"/>
                <w:color w:val="000000" w:themeColor="text1"/>
                <w:sz w:val="24"/>
                <w:szCs w:val="24"/>
                <w:highlight w:val="none"/>
                <w:u w:val="none"/>
                <w14:textFill>
                  <w14:solidFill>
                    <w14:schemeClr w14:val="tx1"/>
                  </w14:solidFill>
                </w14:textFill>
              </w:rPr>
              <w:t>分。</w:t>
            </w:r>
          </w:p>
          <w:p w14:paraId="0A0A5435">
            <w:pPr>
              <w:pStyle w:val="12"/>
              <w:keepNext w:val="0"/>
              <w:keepLines w:val="0"/>
              <w:pageBreakBefore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Theme="minorEastAsia" w:hAnsiTheme="minorEastAsia" w:eastAsiaTheme="minorEastAsia" w:cstheme="minorEastAsia"/>
                <w:b/>
                <w:bCs/>
                <w:color w:val="000000" w:themeColor="text1"/>
                <w:spacing w:val="3"/>
                <w:sz w:val="24"/>
                <w:szCs w:val="24"/>
                <w:highlight w:val="none"/>
                <w:lang w:val="en-US" w:eastAsia="zh-CN"/>
                <w14:textFill>
                  <w14:solidFill>
                    <w14:schemeClr w14:val="tx1"/>
                  </w14:solidFill>
                </w14:textFill>
              </w:rPr>
            </w:pPr>
            <w:r>
              <w:rPr>
                <w:rFonts w:hint="eastAsia" w:hAnsi="宋体"/>
                <w:b/>
                <w:bCs/>
                <w:snapToGrid w:val="0"/>
                <w:color w:val="000000" w:themeColor="text1"/>
                <w:kern w:val="0"/>
                <w:sz w:val="24"/>
                <w:szCs w:val="24"/>
                <w:highlight w:val="none"/>
                <w:lang w:val="en-US" w:eastAsia="zh-CN"/>
                <w14:textFill>
                  <w14:solidFill>
                    <w14:schemeClr w14:val="tx1"/>
                  </w14:solidFill>
                </w14:textFill>
              </w:rPr>
              <w:t>说明：本项最高得6分。</w:t>
            </w:r>
          </w:p>
        </w:tc>
        <w:tc>
          <w:tcPr>
            <w:tcW w:w="41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A63CE9">
            <w:pPr>
              <w:keepNext w:val="0"/>
              <w:keepLines w:val="0"/>
              <w:pageBreakBefore w:val="0"/>
              <w:kinsoku/>
              <w:wordWrap w:val="0"/>
              <w:overflowPunct/>
              <w:topLinePunct w:val="0"/>
              <w:autoSpaceDE/>
              <w:autoSpaceDN/>
              <w:bidi w:val="0"/>
              <w:adjustRightInd w:val="0"/>
              <w:snapToGrid w:val="0"/>
              <w:spacing w:line="400" w:lineRule="exact"/>
              <w:rPr>
                <w:rFonts w:hAnsi="宋体" w:cs="宋体"/>
                <w:snapToGrid w:val="0"/>
                <w:color w:val="000000" w:themeColor="text1"/>
                <w:kern w:val="0"/>
                <w:sz w:val="24"/>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14:textFill>
                  <w14:solidFill>
                    <w14:schemeClr w14:val="tx1"/>
                  </w14:solidFill>
                </w14:textFill>
              </w:rPr>
              <w:t>1.</w:t>
            </w:r>
            <w:r>
              <w:rPr>
                <w:rFonts w:hint="eastAsia" w:hAnsi="宋体" w:cs="宋体"/>
                <w:color w:val="000000" w:themeColor="text1"/>
                <w:sz w:val="24"/>
                <w:szCs w:val="24"/>
                <w:highlight w:val="none"/>
                <w14:textFill>
                  <w14:solidFill>
                    <w14:schemeClr w14:val="tx1"/>
                  </w14:solidFill>
                </w14:textFill>
              </w:rPr>
              <w:t>需附</w:t>
            </w:r>
            <w:r>
              <w:rPr>
                <w:rFonts w:hint="eastAsia" w:hAnsi="宋体" w:cs="宋体"/>
                <w:snapToGrid w:val="0"/>
                <w:color w:val="000000" w:themeColor="text1"/>
                <w:kern w:val="0"/>
                <w:sz w:val="24"/>
                <w:szCs w:val="24"/>
                <w:highlight w:val="none"/>
                <w14:textFill>
                  <w14:solidFill>
                    <w14:schemeClr w14:val="tx1"/>
                  </w14:solidFill>
                </w14:textFill>
              </w:rPr>
              <w:t>注册证书或职称证书彩色扫描件或电子证书。</w:t>
            </w:r>
          </w:p>
          <w:p w14:paraId="39213FC8">
            <w:pPr>
              <w:keepNext w:val="0"/>
              <w:keepLines w:val="0"/>
              <w:pageBreakBefore w:val="0"/>
              <w:kinsoku/>
              <w:wordWrap w:val="0"/>
              <w:overflowPunct/>
              <w:topLinePunct w:val="0"/>
              <w:autoSpaceDE/>
              <w:autoSpaceDN/>
              <w:bidi w:val="0"/>
              <w:adjustRightInd w:val="0"/>
              <w:snapToGrid w:val="0"/>
              <w:spacing w:line="400" w:lineRule="exact"/>
              <w:rPr>
                <w:rFonts w:hAnsi="宋体" w:cs="宋体"/>
                <w:snapToGrid w:val="0"/>
                <w:color w:val="000000" w:themeColor="text1"/>
                <w:kern w:val="0"/>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2.需</w:t>
            </w:r>
            <w:r>
              <w:rPr>
                <w:rFonts w:hint="eastAsia" w:hAnsi="宋体" w:cs="宋体"/>
                <w:color w:val="000000" w:themeColor="text1"/>
                <w:sz w:val="24"/>
                <w:szCs w:val="24"/>
                <w:highlight w:val="none"/>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t>中标通知书或中选通知书及监理合同关键页和竣工验收证明彩色扫描件。</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宋体" w:hAnsi="Times New Roman" w:eastAsia="宋体" w:cs="Times New Roman"/>
                <w:color w:val="000000" w:themeColor="text1"/>
                <w:sz w:val="24"/>
                <w:szCs w:val="24"/>
                <w:highlight w:val="none"/>
                <w14:textFill>
                  <w14:solidFill>
                    <w14:schemeClr w14:val="tx1"/>
                  </w14:solidFill>
                </w14:textFill>
              </w:rPr>
              <w:t>建安</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工程造价以竣工验收证明文件为准）</w:t>
            </w:r>
            <w: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t>。</w:t>
            </w:r>
          </w:p>
          <w:p w14:paraId="372EFE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需</w:t>
            </w:r>
            <w:r>
              <w:rPr>
                <w:rFonts w:hint="eastAsia"/>
                <w:color w:val="000000" w:themeColor="text1"/>
                <w:highlight w:val="none"/>
                <w14:textFill>
                  <w14:solidFill>
                    <w14:schemeClr w14:val="tx1"/>
                  </w14:solidFill>
                </w14:textFill>
              </w:rPr>
              <w:t>提供行政主管部门或</w:t>
            </w:r>
            <w:r>
              <w:rPr>
                <w:rFonts w:hint="eastAsia" w:hAnsi="宋体" w:cs="宋体"/>
                <w:snapToGrid w:val="0"/>
                <w:color w:val="000000" w:themeColor="text1"/>
                <w:kern w:val="0"/>
                <w:sz w:val="24"/>
                <w:szCs w:val="24"/>
                <w:highlight w:val="none"/>
                <w:u w:val="single"/>
                <w14:textFill>
                  <w14:solidFill>
                    <w14:schemeClr w14:val="tx1"/>
                  </w14:solidFill>
                </w14:textFill>
              </w:rPr>
              <w:t>建筑行业协会</w:t>
            </w:r>
            <w:r>
              <w:rPr>
                <w:rFonts w:hint="eastAsia"/>
                <w:color w:val="000000" w:themeColor="text1"/>
                <w:highlight w:val="none"/>
                <w14:textFill>
                  <w14:solidFill>
                    <w14:schemeClr w14:val="tx1"/>
                  </w14:solidFill>
                </w14:textFill>
              </w:rPr>
              <w:t>颁发的单位获奖证书</w:t>
            </w:r>
            <w:r>
              <w:rPr>
                <w:rFonts w:hint="eastAsia"/>
                <w:color w:val="000000" w:themeColor="text1"/>
                <w:highlight w:val="none"/>
                <w:lang w:val="en-US" w:eastAsia="zh-CN"/>
                <w14:textFill>
                  <w14:solidFill>
                    <w14:schemeClr w14:val="tx1"/>
                  </w14:solidFill>
                </w14:textFill>
              </w:rPr>
              <w:t>或发文材料</w:t>
            </w:r>
            <w:r>
              <w:rPr>
                <w:rFonts w:hint="eastAsia"/>
                <w:color w:val="000000" w:themeColor="text1"/>
                <w:highlight w:val="none"/>
                <w14:textFill>
                  <w14:solidFill>
                    <w14:schemeClr w14:val="tx1"/>
                  </w14:solidFill>
                </w14:textFill>
              </w:rPr>
              <w:t>彩色扫描件</w:t>
            </w:r>
            <w:r>
              <w:rPr>
                <w:rFonts w:hint="eastAsia"/>
                <w:color w:val="000000" w:themeColor="text1"/>
                <w:highlight w:val="none"/>
                <w:lang w:eastAsia="zh-CN"/>
                <w14:textFill>
                  <w14:solidFill>
                    <w14:schemeClr w14:val="tx1"/>
                  </w14:solidFill>
                </w14:textFill>
              </w:rPr>
              <w:t>。</w:t>
            </w:r>
          </w:p>
          <w:p w14:paraId="2C2D6A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Times New Roman" w:eastAsia="宋体" w:cs="Times New Roman"/>
                <w:color w:val="000000" w:themeColor="text1"/>
                <w:highlight w:val="none"/>
                <w:lang w:val="en-US" w:eastAsia="zh-CN"/>
                <w14:textFill>
                  <w14:solidFill>
                    <w14:schemeClr w14:val="tx1"/>
                  </w14:solidFill>
                </w14:textFill>
              </w:rPr>
              <w:t>4.</w:t>
            </w:r>
            <w:r>
              <w:rPr>
                <w:rFonts w:hint="eastAsia" w:hAnsi="宋体" w:cs="宋体"/>
                <w:snapToGrid w:val="0"/>
                <w:color w:val="000000" w:themeColor="text1"/>
                <w:kern w:val="0"/>
                <w:sz w:val="24"/>
                <w:szCs w:val="24"/>
                <w:highlight w:val="none"/>
                <w:u w:val="single"/>
                <w14:textFill>
                  <w14:solidFill>
                    <w14:schemeClr w14:val="tx1"/>
                  </w14:solidFill>
                </w14:textFill>
              </w:rPr>
              <w:t>建筑行业</w:t>
            </w:r>
            <w:r>
              <w:rPr>
                <w:rFonts w:hint="eastAsia" w:ascii="宋体" w:hAnsi="Times New Roman" w:eastAsia="宋体" w:cs="Times New Roman"/>
                <w:color w:val="000000" w:themeColor="text1"/>
                <w:highlight w:val="none"/>
                <w:lang w:val="en-US" w:eastAsia="zh-CN"/>
                <w14:textFill>
                  <w14:solidFill>
                    <w14:schemeClr w14:val="tx1"/>
                  </w14:solidFill>
                </w14:textFill>
              </w:rPr>
              <w:t>协会需经民政部门备案，提供中华人民共和国民政部网站全国社会组织信息查询 (</w:t>
            </w:r>
            <w:r>
              <w:rPr>
                <w:rFonts w:hint="eastAsia" w:ascii="宋体" w:hAnsi="Times New Roman" w:eastAsia="宋体" w:cs="Times New Roman"/>
                <w:color w:val="000000" w:themeColor="text1"/>
                <w:highlight w:val="none"/>
                <w:lang w:val="en-US" w:eastAsia="zh-CN"/>
                <w14:textFill>
                  <w14:solidFill>
                    <w14:schemeClr w14:val="tx1"/>
                  </w14:solidFill>
                </w14:textFill>
              </w:rPr>
              <w:fldChar w:fldCharType="begin"/>
            </w:r>
            <w:r>
              <w:rPr>
                <w:rFonts w:hint="eastAsia" w:ascii="宋体" w:hAnsi="Times New Roman" w:eastAsia="宋体" w:cs="Times New Roman"/>
                <w:color w:val="000000" w:themeColor="text1"/>
                <w:highlight w:val="none"/>
                <w:lang w:val="en-US" w:eastAsia="zh-CN"/>
                <w14:textFill>
                  <w14:solidFill>
                    <w14:schemeClr w14:val="tx1"/>
                  </w14:solidFill>
                </w14:textFill>
              </w:rPr>
              <w:instrText xml:space="preserve"> HYPERLINK "https://xxgs.chinanpo.mca.gov.cn/gsxt/newList" </w:instrText>
            </w:r>
            <w:r>
              <w:rPr>
                <w:rFonts w:hint="eastAsia" w:ascii="宋体" w:hAnsi="Times New Roman" w:eastAsia="宋体" w:cs="Times New Roman"/>
                <w:color w:val="000000" w:themeColor="text1"/>
                <w:highlight w:val="none"/>
                <w:lang w:val="en-US" w:eastAsia="zh-CN"/>
                <w14:textFill>
                  <w14:solidFill>
                    <w14:schemeClr w14:val="tx1"/>
                  </w14:solidFill>
                </w14:textFill>
              </w:rPr>
              <w:fldChar w:fldCharType="separate"/>
            </w:r>
            <w:r>
              <w:rPr>
                <w:rFonts w:hint="eastAsia" w:ascii="宋体" w:hAnsi="Times New Roman" w:eastAsia="宋体" w:cs="Times New Roman"/>
                <w:color w:val="000000" w:themeColor="text1"/>
                <w:highlight w:val="none"/>
                <w:lang w:val="en-US" w:eastAsia="zh-CN"/>
                <w14:textFill>
                  <w14:solidFill>
                    <w14:schemeClr w14:val="tx1"/>
                  </w14:solidFill>
                </w14:textFill>
              </w:rPr>
              <w:t>https://xxgs.chinanpo.mca.gov.cn/gsxt/newL</w:t>
            </w:r>
            <w:r>
              <w:rPr>
                <w:rFonts w:hint="eastAsia" w:ascii="宋体" w:hAnsi="Times New Roman" w:eastAsia="宋体" w:cs="Times New Roman"/>
                <w:color w:val="000000" w:themeColor="text1"/>
                <w:highlight w:val="none"/>
                <w:lang w:val="en-US" w:eastAsia="zh-CN"/>
                <w14:textFill>
                  <w14:solidFill>
                    <w14:schemeClr w14:val="tx1"/>
                  </w14:solidFill>
                </w14:textFill>
              </w:rPr>
              <w:fldChar w:fldCharType="end"/>
            </w:r>
            <w:r>
              <w:rPr>
                <w:rFonts w:hint="eastAsia" w:ascii="宋体" w:hAnsi="Times New Roman" w:eastAsia="宋体" w:cs="Times New Roman"/>
                <w:color w:val="000000" w:themeColor="text1"/>
                <w:highlight w:val="none"/>
                <w:lang w:val="en-US" w:eastAsia="zh-CN"/>
                <w14:textFill>
                  <w14:solidFill>
                    <w14:schemeClr w14:val="tx1"/>
                  </w14:solidFill>
                </w14:textFill>
              </w:rPr>
              <w:t xml:space="preserve"> </w:t>
            </w:r>
            <w:r>
              <w:rPr>
                <w:rFonts w:hint="eastAsia" w:ascii="宋体" w:hAnsi="Times New Roman" w:eastAsia="宋体" w:cs="Times New Roman"/>
                <w:color w:val="000000" w:themeColor="text1"/>
                <w:highlight w:val="none"/>
                <w:lang w:val="en-US" w:eastAsia="zh-CN"/>
                <w14:textFill>
                  <w14:solidFill>
                    <w14:schemeClr w14:val="tx1"/>
                  </w14:solidFill>
                </w14:textFill>
              </w:rPr>
              <w:fldChar w:fldCharType="begin"/>
            </w:r>
            <w:r>
              <w:rPr>
                <w:rFonts w:hint="eastAsia" w:ascii="宋体" w:hAnsi="Times New Roman" w:eastAsia="宋体" w:cs="Times New Roman"/>
                <w:color w:val="000000" w:themeColor="text1"/>
                <w:highlight w:val="none"/>
                <w:lang w:val="en-US" w:eastAsia="zh-CN"/>
                <w14:textFill>
                  <w14:solidFill>
                    <w14:schemeClr w14:val="tx1"/>
                  </w14:solidFill>
                </w14:textFill>
              </w:rPr>
              <w:instrText xml:space="preserve"> HYPERLINK "https://xxgs.chinanpo.mca.gov.cn/gsxt/newList" </w:instrText>
            </w:r>
            <w:r>
              <w:rPr>
                <w:rFonts w:hint="eastAsia" w:ascii="宋体" w:hAnsi="Times New Roman" w:eastAsia="宋体" w:cs="Times New Roman"/>
                <w:color w:val="000000" w:themeColor="text1"/>
                <w:highlight w:val="none"/>
                <w:lang w:val="en-US" w:eastAsia="zh-CN"/>
                <w14:textFill>
                  <w14:solidFill>
                    <w14:schemeClr w14:val="tx1"/>
                  </w14:solidFill>
                </w14:textFill>
              </w:rPr>
              <w:fldChar w:fldCharType="separate"/>
            </w:r>
            <w:r>
              <w:rPr>
                <w:rFonts w:hint="eastAsia" w:ascii="宋体" w:hAnsi="Times New Roman" w:eastAsia="宋体" w:cs="Times New Roman"/>
                <w:color w:val="000000" w:themeColor="text1"/>
                <w:highlight w:val="none"/>
                <w:lang w:val="en-US" w:eastAsia="zh-CN"/>
                <w14:textFill>
                  <w14:solidFill>
                    <w14:schemeClr w14:val="tx1"/>
                  </w14:solidFill>
                </w14:textFill>
              </w:rPr>
              <w:t>ist</w:t>
            </w:r>
            <w:r>
              <w:rPr>
                <w:rFonts w:hint="eastAsia" w:ascii="宋体" w:hAnsi="Times New Roman" w:eastAsia="宋体" w:cs="Times New Roman"/>
                <w:color w:val="000000" w:themeColor="text1"/>
                <w:highlight w:val="none"/>
                <w:lang w:val="en-US" w:eastAsia="zh-CN"/>
                <w14:textFill>
                  <w14:solidFill>
                    <w14:schemeClr w14:val="tx1"/>
                  </w14:solidFill>
                </w14:textFill>
              </w:rPr>
              <w:fldChar w:fldCharType="end"/>
            </w:r>
            <w:r>
              <w:rPr>
                <w:rFonts w:hint="eastAsia" w:ascii="宋体" w:hAnsi="Times New Roman" w:eastAsia="宋体" w:cs="Times New Roman"/>
                <w:color w:val="000000" w:themeColor="text1"/>
                <w:highlight w:val="none"/>
                <w:lang w:val="en-US" w:eastAsia="zh-CN"/>
                <w14:textFill>
                  <w14:solidFill>
                    <w14:schemeClr w14:val="tx1"/>
                  </w14:solidFill>
                </w14:textFill>
              </w:rPr>
              <w:t xml:space="preserve"> )备案登记网站截图)。</w:t>
            </w:r>
          </w:p>
        </w:tc>
      </w:tr>
      <w:tr w14:paraId="722DACD3">
        <w:tblPrEx>
          <w:tblCellMar>
            <w:top w:w="0" w:type="dxa"/>
            <w:left w:w="10" w:type="dxa"/>
            <w:bottom w:w="0" w:type="dxa"/>
            <w:right w:w="10" w:type="dxa"/>
          </w:tblCellMar>
        </w:tblPrEx>
        <w:trPr>
          <w:trHeight w:val="3855" w:hRule="atLeast"/>
          <w:jc w:val="center"/>
        </w:trPr>
        <w:tc>
          <w:tcPr>
            <w:tcW w:w="122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FC2E2C">
            <w:pPr>
              <w:pStyle w:val="8"/>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123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1E46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eastAsia="宋体" w:cs="宋体"/>
                <w:color w:val="000000" w:themeColor="text1"/>
                <w:sz w:val="24"/>
                <w:szCs w:val="24"/>
                <w:highlight w:val="none"/>
                <w:lang w:val="zh-TW" w:eastAsia="zh-CN"/>
                <w14:textFill>
                  <w14:solidFill>
                    <w14:schemeClr w14:val="tx1"/>
                  </w14:solidFill>
                </w14:textFill>
              </w:rPr>
            </w:pPr>
            <w:r>
              <w:rPr>
                <w:rFonts w:hint="eastAsia" w:hAnsi="宋体" w:cs="宋体"/>
                <w:color w:val="000000" w:themeColor="text1"/>
                <w:sz w:val="24"/>
                <w:szCs w:val="24"/>
                <w:highlight w:val="none"/>
                <w:lang w:val="zh-TW"/>
                <w14:textFill>
                  <w14:solidFill>
                    <w14:schemeClr w14:val="tx1"/>
                  </w14:solidFill>
                </w14:textFill>
              </w:rPr>
              <w:t>其他</w:t>
            </w:r>
            <w:r>
              <w:rPr>
                <w:rFonts w:hint="eastAsia" w:hAnsi="宋体" w:cs="宋体"/>
                <w:color w:val="000000" w:themeColor="text1"/>
                <w:sz w:val="24"/>
                <w:szCs w:val="24"/>
                <w:highlight w:val="none"/>
                <w:lang w:val="zh-TW" w:eastAsia="zh-TW"/>
                <w14:textFill>
                  <w14:solidFill>
                    <w14:schemeClr w14:val="tx1"/>
                  </w14:solidFill>
                </w14:textFill>
              </w:rPr>
              <w:t>监理人员配备</w:t>
            </w:r>
            <w:r>
              <w:rPr>
                <w:rFonts w:hint="eastAsia" w:hAnsi="宋体" w:cs="宋体"/>
                <w:color w:val="000000" w:themeColor="text1"/>
                <w:sz w:val="24"/>
                <w:szCs w:val="24"/>
                <w:highlight w:val="none"/>
                <w:lang w:val="zh-TW"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7分</w:t>
            </w:r>
            <w:r>
              <w:rPr>
                <w:rFonts w:hint="eastAsia" w:hAnsi="宋体" w:cs="宋体"/>
                <w:color w:val="000000" w:themeColor="text1"/>
                <w:sz w:val="24"/>
                <w:szCs w:val="24"/>
                <w:highlight w:val="none"/>
                <w:lang w:val="zh-TW" w:eastAsia="zh-CN"/>
                <w14:textFill>
                  <w14:solidFill>
                    <w14:schemeClr w14:val="tx1"/>
                  </w14:solidFill>
                </w14:textFill>
              </w:rPr>
              <w:t>）</w:t>
            </w:r>
          </w:p>
          <w:p w14:paraId="4770A2C6">
            <w:pPr>
              <w:pStyle w:val="7"/>
              <w:keepNext w:val="0"/>
              <w:keepLines w:val="0"/>
              <w:pageBreakBefore w:val="0"/>
              <w:kinsoku/>
              <w:overflowPunct/>
              <w:topLinePunct w:val="0"/>
              <w:autoSpaceDE/>
              <w:autoSpaceDN/>
              <w:bidi w:val="0"/>
              <w:spacing w:line="400" w:lineRule="exact"/>
              <w:rPr>
                <w:rFonts w:hint="eastAsia" w:asciiTheme="minorEastAsia" w:hAnsiTheme="minorEastAsia" w:eastAsiaTheme="minorEastAsia" w:cstheme="minorEastAsia"/>
                <w:b/>
                <w:bCs/>
                <w:color w:val="000000" w:themeColor="text1"/>
                <w:spacing w:val="3"/>
                <w:sz w:val="24"/>
                <w:szCs w:val="24"/>
                <w:highlight w:val="none"/>
                <w:lang w:val="en-US" w:eastAsia="zh-CN"/>
                <w14:textFill>
                  <w14:solidFill>
                    <w14:schemeClr w14:val="tx1"/>
                  </w14:solidFill>
                </w14:textFill>
              </w:rPr>
            </w:pPr>
          </w:p>
        </w:tc>
        <w:tc>
          <w:tcPr>
            <w:tcW w:w="32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154C7C">
            <w:pPr>
              <w:keepNext w:val="0"/>
              <w:keepLines w:val="0"/>
              <w:pageBreakBefore w:val="0"/>
              <w:widowControl w:val="0"/>
              <w:kinsoku/>
              <w:wordWrap w:val="0"/>
              <w:overflowPunct/>
              <w:topLinePunct w:val="0"/>
              <w:autoSpaceDE/>
              <w:autoSpaceDN/>
              <w:bidi w:val="0"/>
              <w:adjustRightInd w:val="0"/>
              <w:snapToGrid w:val="0"/>
              <w:spacing w:line="400" w:lineRule="exact"/>
              <w:jc w:val="both"/>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1、拟派人员的数量和专业完全满足表2《项目监理机构其他人员需求表》（以下简称《需求表》）要求的,得1分；不满足《需求表》要求的不得分。</w:t>
            </w:r>
          </w:p>
          <w:p w14:paraId="7D98A9C2">
            <w:pPr>
              <w:pStyle w:val="7"/>
              <w:keepNext w:val="0"/>
              <w:keepLines w:val="0"/>
              <w:pageBreakBefore w:val="0"/>
              <w:kinsoku/>
              <w:overflowPunct/>
              <w:topLinePunct w:val="0"/>
              <w:autoSpaceDE/>
              <w:autoSpaceDN/>
              <w:bidi w:val="0"/>
              <w:spacing w:line="400" w:lineRule="exact"/>
              <w:rPr>
                <w:rFonts w:hint="eastAsia" w:asciiTheme="minorEastAsia" w:hAnsiTheme="minorEastAsia" w:eastAsiaTheme="minorEastAsia" w:cstheme="minorEastAsia"/>
                <w:b/>
                <w:bCs/>
                <w:color w:val="000000" w:themeColor="text1"/>
                <w:spacing w:val="3"/>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b/>
                <w:bCs/>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本项最高得1分。</w:t>
            </w:r>
          </w:p>
        </w:tc>
        <w:tc>
          <w:tcPr>
            <w:tcW w:w="41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6D0382">
            <w:pPr>
              <w:pStyle w:val="8"/>
              <w:keepNext w:val="0"/>
              <w:keepLines w:val="0"/>
              <w:pageBreakBefore w:val="0"/>
              <w:widowControl w:val="0"/>
              <w:kinsoku/>
              <w:wordWrap w:val="0"/>
              <w:overflowPunct/>
              <w:topLinePunct w:val="0"/>
              <w:autoSpaceDE/>
              <w:autoSpaceDN/>
              <w:bidi w:val="0"/>
              <w:adjustRightInd w:val="0"/>
              <w:snapToGrid w:val="0"/>
              <w:spacing w:after="0"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aps w:val="0"/>
                <w:smallCaps w:val="0"/>
                <w:strike w:val="0"/>
                <w:dstrike w:val="0"/>
                <w:snapToGrid w:val="0"/>
                <w:color w:val="000000" w:themeColor="text1"/>
                <w:spacing w:val="0"/>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bidi="ar-SA"/>
                <w14:textFill>
                  <w14:solidFill>
                    <w14:schemeClr w14:val="tx1"/>
                  </w14:solidFill>
                </w14:textFill>
              </w:rPr>
              <w:t>1.须提供相关证书、证明材料彩色扫描件或电子证书</w:t>
            </w:r>
            <w:r>
              <w:rPr>
                <w:rFonts w:hint="eastAsia" w:asciiTheme="minorEastAsia" w:hAnsiTheme="minorEastAsia" w:eastAsiaTheme="minorEastAsia" w:cstheme="minorEastAsia"/>
                <w:b/>
                <w:bCs/>
                <w:caps w:val="0"/>
                <w:smallCaps w:val="0"/>
                <w:strike w:val="0"/>
                <w:dstrike w:val="0"/>
                <w:snapToGrid w:val="0"/>
                <w:color w:val="000000" w:themeColor="text1"/>
                <w:spacing w:val="0"/>
                <w:kern w:val="0"/>
                <w:sz w:val="24"/>
                <w:szCs w:val="24"/>
                <w:highlight w:val="none"/>
                <w:u w:val="none"/>
                <w:lang w:val="en-US" w:eastAsia="zh-CN" w:bidi="ar-SA"/>
                <w14:textFill>
                  <w14:solidFill>
                    <w14:schemeClr w14:val="tx1"/>
                  </w14:solidFill>
                </w14:textFill>
              </w:rPr>
              <w:t>。</w:t>
            </w:r>
          </w:p>
          <w:p w14:paraId="6A80772F">
            <w:pPr>
              <w:pStyle w:val="8"/>
              <w:keepNext w:val="0"/>
              <w:keepLines w:val="0"/>
              <w:pageBreakBefore w:val="0"/>
              <w:widowControl w:val="0"/>
              <w:kinsoku/>
              <w:wordWrap w:val="0"/>
              <w:overflowPunct/>
              <w:topLinePunct w:val="0"/>
              <w:autoSpaceDE/>
              <w:autoSpaceDN/>
              <w:bidi w:val="0"/>
              <w:adjustRightInd w:val="0"/>
              <w:snapToGrid w:val="0"/>
              <w:spacing w:after="0"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bidi="ar-SA"/>
                <w14:textFill>
                  <w14:solidFill>
                    <w14:schemeClr w14:val="tx1"/>
                  </w14:solidFill>
                </w14:textFill>
              </w:rPr>
              <w:t>2.拟派专业监理工程师按照《需求表》“持证要求”栏目提供的证书中，有任意一类符合专业要求的，即视其专业满足要求。</w:t>
            </w:r>
          </w:p>
          <w:p w14:paraId="1FAE52FF">
            <w:pPr>
              <w:pStyle w:val="8"/>
              <w:keepNext w:val="0"/>
              <w:keepLines w:val="0"/>
              <w:pageBreakBefore w:val="0"/>
              <w:widowControl w:val="0"/>
              <w:kinsoku/>
              <w:wordWrap w:val="0"/>
              <w:overflowPunct/>
              <w:topLinePunct w:val="0"/>
              <w:autoSpaceDE/>
              <w:autoSpaceDN/>
              <w:bidi w:val="0"/>
              <w:adjustRightInd w:val="0"/>
              <w:snapToGrid w:val="0"/>
              <w:spacing w:after="0" w:line="400" w:lineRule="exact"/>
              <w:ind w:left="0" w:leftChars="0" w:right="0" w:rightChars="0" w:firstLine="0" w:firstLineChars="0"/>
              <w:jc w:val="both"/>
              <w:textAlignment w:val="auto"/>
              <w:outlineLvl w:val="9"/>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bidi="ar-SA"/>
                <w14:textFill>
                  <w14:solidFill>
                    <w14:schemeClr w14:val="tx1"/>
                  </w14:solidFill>
                </w14:textFill>
              </w:rPr>
              <w:t>3.其他拟派人员的数量或专业不满足《需求表》要求的，视为“不符合要求”。</w:t>
            </w:r>
          </w:p>
        </w:tc>
      </w:tr>
      <w:tr w14:paraId="2C7A168C">
        <w:tblPrEx>
          <w:tblCellMar>
            <w:top w:w="0" w:type="dxa"/>
            <w:left w:w="10" w:type="dxa"/>
            <w:bottom w:w="0" w:type="dxa"/>
            <w:right w:w="10" w:type="dxa"/>
          </w:tblCellMar>
        </w:tblPrEx>
        <w:trPr>
          <w:trHeight w:val="4849" w:hRule="atLeast"/>
          <w:jc w:val="center"/>
        </w:trPr>
        <w:tc>
          <w:tcPr>
            <w:tcW w:w="122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FC7A1C">
            <w:pPr>
              <w:pStyle w:val="8"/>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123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762D80">
            <w:pPr>
              <w:pStyle w:val="49"/>
              <w:keepNext w:val="0"/>
              <w:keepLines w:val="0"/>
              <w:pageBreakBefore w:val="0"/>
              <w:kinsoku/>
              <w:overflowPunct/>
              <w:topLinePunct w:val="0"/>
              <w:autoSpaceDE/>
              <w:autoSpaceDN/>
              <w:bidi w:val="0"/>
              <w:spacing w:line="400" w:lineRule="exact"/>
              <w:ind w:left="116" w:leftChars="0" w:right="105" w:rightChars="0"/>
              <w:rPr>
                <w:rFonts w:hint="eastAsia" w:asciiTheme="minorEastAsia" w:hAnsiTheme="minorEastAsia" w:eastAsiaTheme="minorEastAsia" w:cstheme="minorEastAsia"/>
                <w:b/>
                <w:bCs/>
                <w:color w:val="000000" w:themeColor="text1"/>
                <w:spacing w:val="3"/>
                <w:sz w:val="24"/>
                <w:szCs w:val="24"/>
                <w:highlight w:val="none"/>
                <w:lang w:val="en-US" w:eastAsia="zh-CN"/>
                <w14:textFill>
                  <w14:solidFill>
                    <w14:schemeClr w14:val="tx1"/>
                  </w14:solidFill>
                </w14:textFill>
              </w:rPr>
            </w:pPr>
          </w:p>
        </w:tc>
        <w:tc>
          <w:tcPr>
            <w:tcW w:w="32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3FD0F0">
            <w:pPr>
              <w:pStyle w:val="7"/>
              <w:keepNext w:val="0"/>
              <w:keepLines w:val="0"/>
              <w:pageBreakBefore w:val="0"/>
              <w:widowControl w:val="0"/>
              <w:numPr>
                <w:ilvl w:val="0"/>
                <w:numId w:val="1"/>
              </w:numPr>
              <w:kinsoku/>
              <w:wordWrap/>
              <w:overflowPunct/>
              <w:topLinePunct w:val="0"/>
              <w:autoSpaceDE/>
              <w:autoSpaceDN/>
              <w:bidi w:val="0"/>
              <w:adjustRightInd w:val="0"/>
              <w:snapToGrid/>
              <w:spacing w:line="400" w:lineRule="exact"/>
              <w:textAlignment w:val="baseline"/>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拟配备人员中（总监除外）：</w:t>
            </w:r>
          </w:p>
          <w:p w14:paraId="0657377F">
            <w:pPr>
              <w:keepNext w:val="0"/>
              <w:keepLines w:val="0"/>
              <w:pageBreakBefore w:val="0"/>
              <w:widowControl/>
              <w:numPr>
                <w:ilvl w:val="0"/>
                <w:numId w:val="0"/>
              </w:numPr>
              <w:kinsoku/>
              <w:overflowPunct/>
              <w:topLinePunct w:val="0"/>
              <w:autoSpaceDE/>
              <w:autoSpaceDN/>
              <w:bidi w:val="0"/>
              <w:spacing w:line="400" w:lineRule="exact"/>
              <w:jc w:val="left"/>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①具备注册监理工程师的，每人得2分，最多得2分；</w:t>
            </w:r>
          </w:p>
          <w:p w14:paraId="29B6814F">
            <w:pPr>
              <w:keepNext w:val="0"/>
              <w:keepLines w:val="0"/>
              <w:pageBreakBefore w:val="0"/>
              <w:widowControl/>
              <w:numPr>
                <w:ilvl w:val="0"/>
                <w:numId w:val="0"/>
              </w:numPr>
              <w:kinsoku/>
              <w:overflowPunct/>
              <w:topLinePunct w:val="0"/>
              <w:autoSpaceDE/>
              <w:autoSpaceDN/>
              <w:bidi w:val="0"/>
              <w:spacing w:line="400" w:lineRule="exact"/>
              <w:jc w:val="left"/>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②具备</w:t>
            </w: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工程类</w:t>
            </w: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高级</w:t>
            </w: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工程师</w:t>
            </w: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（或以上）职称的，每人得2分，最多得2分；</w:t>
            </w:r>
          </w:p>
          <w:p w14:paraId="63637C06">
            <w:pPr>
              <w:keepNext w:val="0"/>
              <w:keepLines w:val="0"/>
              <w:pageBreakBefore w:val="0"/>
              <w:widowControl/>
              <w:numPr>
                <w:ilvl w:val="0"/>
                <w:numId w:val="0"/>
              </w:numPr>
              <w:kinsoku/>
              <w:overflowPunct/>
              <w:topLinePunct w:val="0"/>
              <w:autoSpaceDE/>
              <w:autoSpaceDN/>
              <w:bidi w:val="0"/>
              <w:spacing w:line="400" w:lineRule="exact"/>
              <w:jc w:val="left"/>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③</w:t>
            </w: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eastAsia="zh-CN"/>
                <w14:textFill>
                  <w14:solidFill>
                    <w14:schemeClr w14:val="tx1"/>
                  </w14:solidFill>
                </w14:textFill>
              </w:rPr>
              <w:t>配备人员获得过省级或以上工程类科学技术奖励的，每人得</w:t>
            </w: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eastAsia="zh-CN"/>
                <w14:textFill>
                  <w14:solidFill>
                    <w14:schemeClr w14:val="tx1"/>
                  </w14:solidFill>
                </w14:textFill>
              </w:rPr>
              <w:t>分，最高得</w:t>
            </w: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eastAsia="zh-CN"/>
                <w14:textFill>
                  <w14:solidFill>
                    <w14:schemeClr w14:val="tx1"/>
                  </w14:solidFill>
                </w14:textFill>
              </w:rPr>
              <w:t>分。</w:t>
            </w:r>
          </w:p>
          <w:p w14:paraId="5A1835ED">
            <w:pPr>
              <w:keepNext w:val="0"/>
              <w:keepLines w:val="0"/>
              <w:pageBreakBefore w:val="0"/>
              <w:kinsoku/>
              <w:wordWrap w:val="0"/>
              <w:overflowPunct/>
              <w:topLinePunct w:val="0"/>
              <w:autoSpaceDE/>
              <w:autoSpaceDN/>
              <w:bidi w:val="0"/>
              <w:adjustRightInd w:val="0"/>
              <w:snapToGrid w:val="0"/>
              <w:spacing w:line="400" w:lineRule="exact"/>
              <w:rPr>
                <w:rFonts w:hint="eastAsia" w:asciiTheme="minorEastAsia" w:hAnsiTheme="minorEastAsia" w:eastAsiaTheme="minorEastAsia" w:cstheme="minorEastAsia"/>
                <w:b/>
                <w:bCs/>
                <w:color w:val="000000" w:themeColor="text1"/>
                <w:spacing w:val="3"/>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b/>
                <w:bCs/>
                <w:caps w:val="0"/>
                <w:smallCaps w:val="0"/>
                <w:strike w:val="0"/>
                <w:dstrike w:val="0"/>
                <w:snapToGrid w:val="0"/>
                <w:color w:val="000000" w:themeColor="text1"/>
                <w:spacing w:val="0"/>
                <w:kern w:val="0"/>
                <w:sz w:val="24"/>
                <w:szCs w:val="24"/>
                <w:highlight w:val="none"/>
                <w:u w:val="none"/>
                <w:lang w:eastAsia="zh-CN"/>
                <w14:textFill>
                  <w14:solidFill>
                    <w14:schemeClr w14:val="tx1"/>
                  </w14:solidFill>
                </w14:textFill>
              </w:rPr>
              <w:t>本项最高得</w:t>
            </w:r>
            <w:r>
              <w:rPr>
                <w:rFonts w:hint="eastAsia" w:asciiTheme="minorEastAsia" w:hAnsiTheme="minorEastAsia" w:eastAsiaTheme="minorEastAsia" w:cstheme="minorEastAsia"/>
                <w:b/>
                <w:bCs/>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bCs/>
                <w:caps w:val="0"/>
                <w:smallCaps w:val="0"/>
                <w:strike w:val="0"/>
                <w:dstrike w:val="0"/>
                <w:snapToGrid w:val="0"/>
                <w:color w:val="000000" w:themeColor="text1"/>
                <w:spacing w:val="0"/>
                <w:kern w:val="0"/>
                <w:sz w:val="24"/>
                <w:szCs w:val="24"/>
                <w:highlight w:val="none"/>
                <w:u w:val="none"/>
                <w:lang w:eastAsia="zh-CN"/>
                <w14:textFill>
                  <w14:solidFill>
                    <w14:schemeClr w14:val="tx1"/>
                  </w14:solidFill>
                </w14:textFill>
              </w:rPr>
              <w:t>分。</w:t>
            </w:r>
          </w:p>
        </w:tc>
        <w:tc>
          <w:tcPr>
            <w:tcW w:w="41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333784">
            <w:pPr>
              <w:keepNext w:val="0"/>
              <w:keepLines w:val="0"/>
              <w:pageBreakBefore w:val="0"/>
              <w:numPr>
                <w:ilvl w:val="0"/>
                <w:numId w:val="2"/>
              </w:numPr>
              <w:kinsoku/>
              <w:wordWrap w:val="0"/>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napToGrid w:val="0"/>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t>须提供相关证书、证明材料彩色扫描件或电子证书。</w:t>
            </w:r>
          </w:p>
          <w:p w14:paraId="6760B762">
            <w:pPr>
              <w:keepNext w:val="0"/>
              <w:keepLines w:val="0"/>
              <w:pageBreakBefore w:val="0"/>
              <w:numPr>
                <w:ilvl w:val="0"/>
                <w:numId w:val="2"/>
              </w:numPr>
              <w:kinsoku/>
              <w:wordWrap w:val="0"/>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u w:val="none"/>
                <w14:textFill>
                  <w14:solidFill>
                    <w14:schemeClr w14:val="tx1"/>
                  </w14:solidFill>
                </w14:textFill>
              </w:rPr>
              <w:t>科学技术奖励是指国家或省级人民政府科学技术主管部门颁发或授权建筑学会颁发证书为准。</w:t>
            </w:r>
          </w:p>
          <w:p w14:paraId="0E954A27">
            <w:pPr>
              <w:keepNext w:val="0"/>
              <w:keepLines w:val="0"/>
              <w:pageBreakBefore w:val="0"/>
              <w:numPr>
                <w:ilvl w:val="0"/>
                <w:numId w:val="2"/>
              </w:numPr>
              <w:kinsoku/>
              <w:wordWrap w:val="0"/>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t>一人多证的，可重复计分。</w:t>
            </w:r>
          </w:p>
          <w:p w14:paraId="3BADF42B">
            <w:pPr>
              <w:keepNext w:val="0"/>
              <w:keepLines w:val="0"/>
              <w:pageBreakBefore w:val="0"/>
              <w:numPr>
                <w:ilvl w:val="0"/>
                <w:numId w:val="2"/>
              </w:numPr>
              <w:kinsoku/>
              <w:wordWrap w:val="0"/>
              <w:overflowPunct/>
              <w:topLinePunct w:val="0"/>
              <w:autoSpaceDE/>
              <w:autoSpaceDN/>
              <w:bidi w:val="0"/>
              <w:adjustRightInd w:val="0"/>
              <w:snapToGrid w:val="0"/>
              <w:spacing w:line="400" w:lineRule="exact"/>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t>不符合评分标准和备注规定的，不予计分。</w:t>
            </w:r>
          </w:p>
        </w:tc>
      </w:tr>
      <w:tr w14:paraId="69620571">
        <w:tblPrEx>
          <w:tblCellMar>
            <w:top w:w="0" w:type="dxa"/>
            <w:left w:w="10" w:type="dxa"/>
            <w:bottom w:w="0" w:type="dxa"/>
            <w:right w:w="10" w:type="dxa"/>
          </w:tblCellMar>
        </w:tblPrEx>
        <w:trPr>
          <w:trHeight w:val="1956" w:hRule="atLeast"/>
          <w:jc w:val="center"/>
        </w:trPr>
        <w:tc>
          <w:tcPr>
            <w:tcW w:w="1222"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BA6F14C">
            <w:pPr>
              <w:pStyle w:val="8"/>
              <w:keepNext w:val="0"/>
              <w:keepLines w:val="0"/>
              <w:pageBreakBefore w:val="0"/>
              <w:kinsoku/>
              <w:wordWrap w:val="0"/>
              <w:overflowPunct/>
              <w:topLinePunct w:val="0"/>
              <w:autoSpaceDE/>
              <w:autoSpaceDN/>
              <w:bidi w:val="0"/>
              <w:adjustRightInd w:val="0"/>
              <w:snapToGrid w:val="0"/>
              <w:spacing w:after="0" w:line="400" w:lineRule="exact"/>
              <w:rPr>
                <w:rFonts w:hint="eastAsia" w:asciiTheme="minorEastAsia" w:hAnsiTheme="minorEastAsia" w:eastAsiaTheme="minorEastAsia" w:cstheme="minorEastAsia"/>
                <w:strike w:val="0"/>
                <w:dstrike w:val="0"/>
                <w:color w:val="000000" w:themeColor="text1"/>
                <w:kern w:val="21"/>
                <w:sz w:val="24"/>
                <w:szCs w:val="24"/>
                <w:highlight w:val="none"/>
                <w14:textFill>
                  <w14:solidFill>
                    <w14:schemeClr w14:val="tx1"/>
                  </w14:solidFill>
                </w14:textFill>
              </w:rPr>
            </w:pPr>
          </w:p>
          <w:p w14:paraId="7027353D">
            <w:pPr>
              <w:pStyle w:val="8"/>
              <w:keepNext w:val="0"/>
              <w:keepLines w:val="0"/>
              <w:pageBreakBefore w:val="0"/>
              <w:kinsoku/>
              <w:wordWrap w:val="0"/>
              <w:overflowPunct/>
              <w:topLinePunct w:val="0"/>
              <w:autoSpaceDE/>
              <w:autoSpaceDN/>
              <w:bidi w:val="0"/>
              <w:adjustRightInd w:val="0"/>
              <w:snapToGrid w:val="0"/>
              <w:spacing w:after="0" w:line="400" w:lineRule="exact"/>
              <w:jc w:val="center"/>
              <w:rPr>
                <w:color w:val="000000" w:themeColor="text1"/>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u w:val="none"/>
                <w:lang w:eastAsia="zh-CN"/>
                <w14:textFill>
                  <w14:solidFill>
                    <w14:schemeClr w14:val="tx1"/>
                  </w14:solidFill>
                </w14:textFill>
              </w:rPr>
              <w:t>企业综合实力</w:t>
            </w:r>
            <w:r>
              <w:rPr>
                <w:rFonts w:hint="eastAsia" w:asciiTheme="minorEastAsia" w:hAnsiTheme="minorEastAsia" w:eastAsiaTheme="minorEastAsia" w:cstheme="minorEastAsia"/>
                <w:strike w:val="0"/>
                <w:dstrike w:val="0"/>
                <w:color w:val="000000" w:themeColor="text1"/>
                <w:sz w:val="24"/>
                <w:szCs w:val="24"/>
                <w:highlight w:val="none"/>
                <w:u w:val="none"/>
                <w:lang w:val="en-US" w:eastAsia="zh-CN"/>
                <w14:textFill>
                  <w14:solidFill>
                    <w14:schemeClr w14:val="tx1"/>
                  </w14:solidFill>
                </w14:textFill>
              </w:rPr>
              <w:t>(8分）</w:t>
            </w:r>
          </w:p>
        </w:tc>
        <w:tc>
          <w:tcPr>
            <w:tcW w:w="4476"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4DCD8014">
            <w:pPr>
              <w:pStyle w:val="7"/>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baseline"/>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1.至投标截止时间，投标人（须含2024年度）被区、地市级或以上税务行政主管部门评为“A级纳税人”称号，连续3年或以上的得4分，连续2年的得2分，获得过的得1分，不提供不得分。</w:t>
            </w:r>
          </w:p>
          <w:p w14:paraId="38D1DB91">
            <w:pPr>
              <w:pStyle w:val="7"/>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baseline"/>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2.其他情形的，不予计分。</w:t>
            </w:r>
          </w:p>
          <w:p w14:paraId="347452A6">
            <w:pPr>
              <w:pStyle w:val="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textAlignment w:val="baseline"/>
              <w:rPr>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b/>
                <w:bCs/>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本项最高得4分。</w:t>
            </w:r>
          </w:p>
        </w:tc>
        <w:tc>
          <w:tcPr>
            <w:tcW w:w="4101"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058871B1">
            <w:pPr>
              <w:pStyle w:val="8"/>
              <w:keepNext w:val="0"/>
              <w:keepLines w:val="0"/>
              <w:pageBreakBefore w:val="0"/>
              <w:kinsoku/>
              <w:wordWrap w:val="0"/>
              <w:overflowPunct/>
              <w:topLinePunct w:val="0"/>
              <w:autoSpaceDE/>
              <w:autoSpaceDN/>
              <w:bidi w:val="0"/>
              <w:adjustRightInd w:val="0"/>
              <w:snapToGrid w:val="0"/>
              <w:spacing w:after="0" w:line="400" w:lineRule="exact"/>
              <w:textAlignment w:val="auto"/>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t>1.必须提供企业纳税信用A级纳税人相应证书彩色扫描件或电子证书及国家税务总局（或省级电子税务局）网上查询截图，否则不得分。</w:t>
            </w:r>
          </w:p>
          <w:p w14:paraId="1074932B">
            <w:pPr>
              <w:pStyle w:val="8"/>
              <w:keepNext w:val="0"/>
              <w:keepLines w:val="0"/>
              <w:pageBreakBefore w:val="0"/>
              <w:kinsoku/>
              <w:wordWrap w:val="0"/>
              <w:overflowPunct/>
              <w:topLinePunct w:val="0"/>
              <w:autoSpaceDE/>
              <w:autoSpaceDN/>
              <w:bidi w:val="0"/>
              <w:adjustRightInd w:val="0"/>
              <w:snapToGrid w:val="0"/>
              <w:spacing w:after="0" w:line="400" w:lineRule="exact"/>
              <w:textAlignment w:val="auto"/>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t>2.只计算投标人自身（不计算投标人的分公司、子公司及分支机构）</w:t>
            </w:r>
          </w:p>
        </w:tc>
      </w:tr>
      <w:tr w14:paraId="471A3479">
        <w:tblPrEx>
          <w:tblCellMar>
            <w:top w:w="0" w:type="dxa"/>
            <w:left w:w="10" w:type="dxa"/>
            <w:bottom w:w="0" w:type="dxa"/>
            <w:right w:w="10" w:type="dxa"/>
          </w:tblCellMar>
        </w:tblPrEx>
        <w:trPr>
          <w:trHeight w:val="1345" w:hRule="atLeast"/>
          <w:jc w:val="center"/>
        </w:trPr>
        <w:tc>
          <w:tcPr>
            <w:tcW w:w="1222" w:type="dxa"/>
            <w:vMerge w:val="continue"/>
            <w:tcBorders>
              <w:left w:val="single" w:color="000000" w:sz="4" w:space="0"/>
              <w:right w:val="single" w:color="000000" w:sz="4" w:space="0"/>
            </w:tcBorders>
            <w:tcMar>
              <w:top w:w="0" w:type="dxa"/>
              <w:left w:w="108" w:type="dxa"/>
              <w:bottom w:w="0" w:type="dxa"/>
              <w:right w:w="108" w:type="dxa"/>
            </w:tcMar>
            <w:vAlign w:val="top"/>
          </w:tcPr>
          <w:p w14:paraId="7BB02276">
            <w:pPr>
              <w:keepNext w:val="0"/>
              <w:keepLines w:val="0"/>
              <w:pageBreakBefore w:val="0"/>
              <w:kinsoku/>
              <w:wordWrap w:val="0"/>
              <w:overflowPunct/>
              <w:topLinePunct w:val="0"/>
              <w:autoSpaceDE/>
              <w:autoSpaceDN/>
              <w:bidi w:val="0"/>
              <w:adjustRightInd w:val="0"/>
              <w:snapToGrid w:val="0"/>
              <w:spacing w:line="400" w:lineRule="exact"/>
              <w:rPr>
                <w:rFonts w:hAnsi="宋体" w:cs="宋体"/>
                <w:snapToGrid w:val="0"/>
                <w:color w:val="000000" w:themeColor="text1"/>
                <w:kern w:val="0"/>
                <w:szCs w:val="24"/>
                <w:highlight w:val="none"/>
                <w14:textFill>
                  <w14:solidFill>
                    <w14:schemeClr w14:val="tx1"/>
                  </w14:solidFill>
                </w14:textFill>
              </w:rPr>
            </w:pPr>
          </w:p>
        </w:tc>
        <w:tc>
          <w:tcPr>
            <w:tcW w:w="4476" w:type="dxa"/>
            <w:gridSpan w:val="2"/>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54A660">
            <w:pPr>
              <w:keepNext w:val="0"/>
              <w:keepLines w:val="0"/>
              <w:pageBreakBefore w:val="0"/>
              <w:kinsoku/>
              <w:overflowPunct/>
              <w:topLinePunct w:val="0"/>
              <w:autoSpaceDE/>
              <w:autoSpaceDN/>
              <w:bidi w:val="0"/>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近年来(202</w:t>
            </w:r>
            <w: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35"/>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年1</w:t>
            </w:r>
            <w:r>
              <w:rPr>
                <w:rFonts w:hint="eastAsia" w:asciiTheme="minorEastAsia" w:hAnsiTheme="minorEastAsia" w:eastAsiaTheme="minorEastAsia" w:cstheme="minorEastAsia"/>
                <w:color w:val="000000" w:themeColor="text1"/>
                <w:spacing w:val="-3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1日至今</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获得过“高新技术企业”荣誉，且在有效期内的，得</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分，没有则不得分。</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近年来(202</w:t>
            </w:r>
            <w: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35"/>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年1</w:t>
            </w:r>
            <w:r>
              <w:rPr>
                <w:rFonts w:hint="eastAsia" w:asciiTheme="minorEastAsia" w:hAnsiTheme="minorEastAsia" w:eastAsiaTheme="minorEastAsia" w:cstheme="minorEastAsia"/>
                <w:color w:val="000000" w:themeColor="text1"/>
                <w:spacing w:val="-3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1日至今</w:t>
            </w: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获得过</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省级或以上年度</w:t>
            </w:r>
            <w:r>
              <w:rPr>
                <w:rFonts w:hint="eastAsia" w:asciiTheme="minorEastAsia" w:hAnsiTheme="minorEastAsia" w:eastAsiaTheme="minorEastAsia" w:cstheme="minorEastAsia"/>
                <w:color w:val="000000" w:themeColor="text1"/>
                <w:highlight w:val="none"/>
                <w14:textFill>
                  <w14:solidFill>
                    <w14:schemeClr w14:val="tx1"/>
                  </w14:solidFill>
                </w14:textFill>
              </w:rPr>
              <w:t>“品牌工程监理企业”荣誉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证书</w:t>
            </w:r>
            <w:r>
              <w:rPr>
                <w:rFonts w:hint="eastAsia" w:asciiTheme="minorEastAsia" w:hAnsiTheme="minorEastAsia" w:eastAsiaTheme="minorEastAsia" w:cstheme="minorEastAsia"/>
                <w:color w:val="000000" w:themeColor="text1"/>
                <w:highlight w:val="none"/>
                <w14:textFill>
                  <w14:solidFill>
                    <w14:schemeClr w14:val="tx1"/>
                  </w14:solidFill>
                </w14:textFill>
              </w:rPr>
              <w:t>，得</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没有则不得分。</w:t>
            </w:r>
          </w:p>
          <w:p w14:paraId="024C0968">
            <w:pPr>
              <w:keepNext w:val="0"/>
              <w:keepLines w:val="0"/>
              <w:pageBreakBefore w:val="0"/>
              <w:widowControl/>
              <w:kinsoku/>
              <w:overflowPunct/>
              <w:topLinePunct w:val="0"/>
              <w:autoSpaceDE/>
              <w:autoSpaceDN/>
              <w:bidi w:val="0"/>
              <w:snapToGrid w:val="0"/>
              <w:spacing w:line="400" w:lineRule="exact"/>
              <w:rPr>
                <w:rFonts w:hint="default" w:hAnsi="宋体" w:eastAsia="宋体" w:cs="宋体"/>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：本项最高得</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分。</w:t>
            </w:r>
          </w:p>
        </w:tc>
        <w:tc>
          <w:tcPr>
            <w:tcW w:w="4101"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649E21">
            <w:pPr>
              <w:pStyle w:val="8"/>
              <w:keepNext w:val="0"/>
              <w:keepLines w:val="0"/>
              <w:pageBreakBefore w:val="0"/>
              <w:kinsoku/>
              <w:wordWrap w:val="0"/>
              <w:overflowPunct/>
              <w:topLinePunct w:val="0"/>
              <w:autoSpaceDE/>
              <w:autoSpaceDN/>
              <w:bidi w:val="0"/>
              <w:adjustRightInd w:val="0"/>
              <w:snapToGrid w:val="0"/>
              <w:spacing w:after="0" w:line="400" w:lineRule="exact"/>
              <w:textAlignment w:val="auto"/>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t>1.提供高新技术企业证书彩色扫描件及提供“高新技术企业认定管理工作网”（http://www.innocom.gov.cn）网上查询截图。</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br w:type="textWrapping"/>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bidi="ar-SA"/>
                <w14:textFill>
                  <w14:solidFill>
                    <w14:schemeClr w14:val="tx1"/>
                  </w14:solidFill>
                </w14:textFill>
              </w:rPr>
              <w:t>2.提供</w:t>
            </w:r>
            <w:r>
              <w:rPr>
                <w:rFonts w:hint="eastAsia" w:asciiTheme="minorEastAsia" w:hAnsiTheme="minorEastAsia" w:eastAsiaTheme="minorEastAsia" w:cstheme="minorEastAsia"/>
                <w:color w:val="000000" w:themeColor="text1"/>
                <w:highlight w:val="none"/>
                <w14:textFill>
                  <w14:solidFill>
                    <w14:schemeClr w14:val="tx1"/>
                  </w14:solidFill>
                </w14:textFill>
              </w:rPr>
              <w:t>品牌工程监理企业</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荣誉证书彩色扫描件或电子证书。</w:t>
            </w:r>
          </w:p>
        </w:tc>
      </w:tr>
      <w:tr w14:paraId="4FE1DD70">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311AB5">
            <w:pPr>
              <w:pStyle w:val="8"/>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inorEastAsia" w:hAnsiTheme="minorEastAsia" w:eastAsiaTheme="minorEastAsia" w:cstheme="minorEastAsia"/>
                <w:strike w:val="0"/>
                <w:dstrike w:val="0"/>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u w:val="none"/>
                <w:lang w:eastAsia="zh-CN"/>
                <w14:textFill>
                  <w14:solidFill>
                    <w14:schemeClr w14:val="tx1"/>
                  </w14:solidFill>
                </w14:textFill>
              </w:rPr>
              <w:t>企业荣誉</w:t>
            </w:r>
          </w:p>
          <w:p w14:paraId="419B5B23">
            <w:pPr>
              <w:pStyle w:val="8"/>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u w:val="none"/>
                <w:lang w:eastAsia="zh-CN"/>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z w:val="24"/>
                <w:szCs w:val="24"/>
                <w:highlight w:val="none"/>
                <w:u w:val="none"/>
                <w:lang w:val="en-US" w:eastAsia="zh-CN"/>
                <w14:textFill>
                  <w14:solidFill>
                    <w14:schemeClr w14:val="tx1"/>
                  </w14:solidFill>
                </w14:textFill>
              </w:rPr>
              <w:t>5分</w:t>
            </w:r>
            <w:r>
              <w:rPr>
                <w:rFonts w:hint="eastAsia" w:asciiTheme="minorEastAsia" w:hAnsiTheme="minorEastAsia" w:eastAsiaTheme="minorEastAsia" w:cstheme="minorEastAsia"/>
                <w:strike w:val="0"/>
                <w:dstrike w:val="0"/>
                <w:color w:val="000000" w:themeColor="text1"/>
                <w:sz w:val="24"/>
                <w:szCs w:val="24"/>
                <w:highlight w:val="none"/>
                <w:u w:val="none"/>
                <w:lang w:eastAsia="zh-CN"/>
                <w14:textFill>
                  <w14:solidFill>
                    <w14:schemeClr w14:val="tx1"/>
                  </w14:solidFill>
                </w14:textFill>
              </w:rPr>
              <w:t>）</w:t>
            </w:r>
          </w:p>
        </w:tc>
        <w:tc>
          <w:tcPr>
            <w:tcW w:w="44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7DE31AC">
            <w:pPr>
              <w:keepNext w:val="0"/>
              <w:keepLines w:val="0"/>
              <w:pageBreakBefore w:val="0"/>
              <w:widowControl/>
              <w:kinsoku/>
              <w:overflowPunct/>
              <w:topLinePunct w:val="0"/>
              <w:autoSpaceDE/>
              <w:autoSpaceDN/>
              <w:bidi w:val="0"/>
              <w:snapToGrid w:val="0"/>
              <w:spacing w:line="400" w:lineRule="exact"/>
              <w:rPr>
                <w:rFonts w:hint="eastAsia" w:asciiTheme="minorEastAsia" w:hAnsiTheme="minorEastAsia" w:eastAsiaTheme="minorEastAsia" w:cstheme="minorEastAsia"/>
                <w:strike w:val="0"/>
                <w:dstrike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1、</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投标人连续3年或以上</w:t>
            </w: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（须含2024年度）</w:t>
            </w:r>
            <w:r>
              <w:rPr>
                <w:rFonts w:hint="eastAsia" w:asciiTheme="minorEastAsia" w:hAnsiTheme="minorEastAsia" w:eastAsiaTheme="minorEastAsia" w:cstheme="minorEastAsia"/>
                <w:strike w:val="0"/>
                <w:dstrike w:val="0"/>
                <w:color w:val="000000" w:themeColor="text1"/>
                <w:sz w:val="24"/>
                <w:szCs w:val="24"/>
                <w:highlight w:val="none"/>
                <w:u w:val="none"/>
                <w:lang w:val="en-US" w:eastAsia="zh-CN"/>
                <w14:textFill>
                  <w14:solidFill>
                    <w14:schemeClr w14:val="tx1"/>
                  </w14:solidFill>
                </w14:textFill>
              </w:rPr>
              <w:t>获得省级或以上公共资源交易行业信用优秀单位(交易项目响应方和交易中介服务机构）的得5分。</w:t>
            </w:r>
          </w:p>
          <w:p w14:paraId="58207161">
            <w:pPr>
              <w:keepNext w:val="0"/>
              <w:keepLines w:val="0"/>
              <w:pageBreakBefore w:val="0"/>
              <w:widowControl/>
              <w:kinsoku/>
              <w:overflowPunct/>
              <w:topLinePunct w:val="0"/>
              <w:autoSpaceDE/>
              <w:autoSpaceDN/>
              <w:bidi w:val="0"/>
              <w:snapToGrid w:val="0"/>
              <w:spacing w:line="400" w:lineRule="exact"/>
              <w:rPr>
                <w:rFonts w:hint="eastAsia" w:asciiTheme="minorEastAsia" w:hAnsiTheme="minorEastAsia" w:eastAsiaTheme="minorEastAsia" w:cstheme="minorEastAsia"/>
                <w:strike w:val="0"/>
                <w:dstrike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2、</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投标人连续2年</w:t>
            </w: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（须含2024年度）</w:t>
            </w:r>
            <w:r>
              <w:rPr>
                <w:rFonts w:hint="eastAsia" w:asciiTheme="minorEastAsia" w:hAnsiTheme="minorEastAsia" w:eastAsiaTheme="minorEastAsia" w:cstheme="minorEastAsia"/>
                <w:strike w:val="0"/>
                <w:dstrike w:val="0"/>
                <w:color w:val="000000" w:themeColor="text1"/>
                <w:sz w:val="24"/>
                <w:szCs w:val="24"/>
                <w:highlight w:val="none"/>
                <w:u w:val="none"/>
                <w:lang w:val="en-US" w:eastAsia="zh-CN"/>
                <w14:textFill>
                  <w14:solidFill>
                    <w14:schemeClr w14:val="tx1"/>
                  </w14:solidFill>
                </w14:textFill>
              </w:rPr>
              <w:t>获得省级或以上公共资源交易行业信用优秀单位(交易项目响应方和交易中介服务机构）的得2分。</w:t>
            </w:r>
          </w:p>
          <w:p w14:paraId="720D2F4E">
            <w:pPr>
              <w:keepNext w:val="0"/>
              <w:keepLines w:val="0"/>
              <w:pageBreakBefore w:val="0"/>
              <w:widowControl/>
              <w:kinsoku/>
              <w:overflowPunct/>
              <w:topLinePunct w:val="0"/>
              <w:autoSpaceDE/>
              <w:autoSpaceDN/>
              <w:bidi w:val="0"/>
              <w:snapToGrid w:val="0"/>
              <w:spacing w:line="400" w:lineRule="exact"/>
              <w:rPr>
                <w:rFonts w:hint="eastAsia" w:asciiTheme="minorEastAsia" w:hAnsiTheme="minorEastAsia" w:eastAsiaTheme="minorEastAsia" w:cstheme="minorEastAsia"/>
                <w:strike w:val="0"/>
                <w:dstrike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3、</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strike w:val="0"/>
                <w:dstrike w:val="0"/>
                <w:color w:val="000000" w:themeColor="text1"/>
                <w:sz w:val="24"/>
                <w:szCs w:val="24"/>
                <w:highlight w:val="none"/>
                <w:u w:val="none"/>
                <w:lang w:val="en-US" w:eastAsia="zh-CN"/>
                <w14:textFill>
                  <w14:solidFill>
                    <w14:schemeClr w14:val="tx1"/>
                  </w14:solidFill>
                </w14:textFill>
              </w:rPr>
              <w:t>获得过省级或以上公共资源交易行业信用优秀单位(交易项目响应方和交易中介服务机构）的得1分；</w:t>
            </w:r>
          </w:p>
          <w:p w14:paraId="67E74FE5">
            <w:pPr>
              <w:pStyle w:val="7"/>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baseline"/>
              <w:rPr>
                <w:rFonts w:hint="eastAsia" w:asciiTheme="minorEastAsia" w:hAnsiTheme="minorEastAsia" w:eastAsiaTheme="minorEastAsia" w:cstheme="minorEastAsia"/>
                <w:strike w:val="0"/>
                <w:dstrike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其他情形的，不予计分。</w:t>
            </w:r>
          </w:p>
          <w:p w14:paraId="68500C3B">
            <w:pPr>
              <w:pStyle w:val="8"/>
              <w:keepNext w:val="0"/>
              <w:keepLines w:val="0"/>
              <w:pageBreakBefore w:val="0"/>
              <w:kinsoku/>
              <w:wordWrap w:val="0"/>
              <w:overflowPunct/>
              <w:topLinePunct w:val="0"/>
              <w:autoSpaceDE/>
              <w:autoSpaceDN/>
              <w:bidi w:val="0"/>
              <w:adjustRightInd w:val="0"/>
              <w:snapToGrid w:val="0"/>
              <w:spacing w:after="0" w:line="400" w:lineRule="exact"/>
              <w:jc w:val="lef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b/>
                <w:bCs/>
                <w:strike w:val="0"/>
                <w:dstrike w:val="0"/>
                <w:color w:val="000000" w:themeColor="text1"/>
                <w:sz w:val="24"/>
                <w:szCs w:val="24"/>
                <w:highlight w:val="none"/>
                <w:u w:val="none"/>
                <w:lang w:val="en-US" w:eastAsia="zh-CN"/>
                <w14:textFill>
                  <w14:solidFill>
                    <w14:schemeClr w14:val="tx1"/>
                  </w14:solidFill>
                </w14:textFill>
              </w:rPr>
              <w:t>本项最高得5分。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F7AAD0">
            <w:pPr>
              <w:keepNext w:val="0"/>
              <w:keepLines w:val="0"/>
              <w:pageBreakBefore w:val="0"/>
              <w:numPr>
                <w:ilvl w:val="0"/>
                <w:numId w:val="0"/>
              </w:numPr>
              <w:kinsoku/>
              <w:wordWrap w:val="0"/>
              <w:overflowPunct/>
              <w:topLinePunct w:val="0"/>
              <w:autoSpaceDE/>
              <w:autoSpaceDN/>
              <w:bidi w:val="0"/>
              <w:adjustRightInd w:val="0"/>
              <w:snapToGrid w:val="0"/>
              <w:spacing w:line="400" w:lineRule="exact"/>
              <w:jc w:val="left"/>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1.提供证书彩色扫描件</w:t>
            </w:r>
            <w:r>
              <w:rPr>
                <w:rFonts w:hint="eastAsia" w:asciiTheme="minorEastAsia" w:hAnsiTheme="minorEastAsia" w:eastAsiaTheme="minorEastAsia" w:cstheme="minorEastAsia"/>
                <w:strike w:val="0"/>
                <w:dstrike w:val="0"/>
                <w:snapToGrid w:val="0"/>
                <w:color w:val="000000" w:themeColor="text1"/>
                <w:kern w:val="0"/>
                <w:sz w:val="24"/>
                <w:szCs w:val="24"/>
                <w:highlight w:val="none"/>
                <w14:textFill>
                  <w14:solidFill>
                    <w14:schemeClr w14:val="tx1"/>
                  </w14:solidFill>
                </w14:textFill>
              </w:rPr>
              <w:t>。</w:t>
            </w:r>
          </w:p>
          <w:p w14:paraId="35A894C8">
            <w:pPr>
              <w:keepNext w:val="0"/>
              <w:keepLines w:val="0"/>
              <w:pageBreakBefore w:val="0"/>
              <w:numPr>
                <w:ilvl w:val="0"/>
                <w:numId w:val="0"/>
              </w:numPr>
              <w:kinsoku/>
              <w:wordWrap w:val="0"/>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2.不符合评分标准和备注规定的，不予计分。</w:t>
            </w:r>
          </w:p>
        </w:tc>
      </w:tr>
      <w:tr w14:paraId="03CA5C22">
        <w:tblPrEx>
          <w:tblCellMar>
            <w:top w:w="0" w:type="dxa"/>
            <w:left w:w="10" w:type="dxa"/>
            <w:bottom w:w="0" w:type="dxa"/>
            <w:right w:w="10" w:type="dxa"/>
          </w:tblCellMar>
        </w:tblPrEx>
        <w:trPr>
          <w:trHeight w:val="419"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700DC7">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14:textFill>
                  <w14:solidFill>
                    <w14:schemeClr w14:val="tx1"/>
                  </w14:solidFill>
                </w14:textFill>
              </w:rPr>
              <w:t>技术管理能力</w:t>
            </w:r>
          </w:p>
          <w:p w14:paraId="705446BD">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strike w:val="0"/>
                <w:dstrike w:val="0"/>
                <w:color w:val="000000" w:themeColor="text1"/>
                <w:sz w:val="24"/>
                <w:szCs w:val="24"/>
                <w:highlight w:val="none"/>
                <w:u w:val="none"/>
                <w14:textFill>
                  <w14:solidFill>
                    <w14:schemeClr w14:val="tx1"/>
                  </w14:solidFill>
                </w14:textFill>
              </w:rPr>
              <w:t>（</w:t>
            </w:r>
            <w:r>
              <w:rPr>
                <w:rFonts w:hint="eastAsia" w:asciiTheme="minorEastAsia" w:hAnsiTheme="minorEastAsia" w:eastAsiaTheme="minorEastAsia" w:cstheme="minorEastAsia"/>
                <w:b w:val="0"/>
                <w:bCs w:val="0"/>
                <w:strike w:val="0"/>
                <w:dstrike w:val="0"/>
                <w:color w:val="000000" w:themeColor="text1"/>
                <w:sz w:val="24"/>
                <w:szCs w:val="24"/>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val="0"/>
                <w:strike w:val="0"/>
                <w:dstrike w:val="0"/>
                <w:color w:val="000000" w:themeColor="text1"/>
                <w:sz w:val="24"/>
                <w:szCs w:val="24"/>
                <w:highlight w:val="none"/>
                <w:u w:val="none"/>
                <w14:textFill>
                  <w14:solidFill>
                    <w14:schemeClr w14:val="tx1"/>
                  </w14:solidFill>
                </w14:textFill>
              </w:rPr>
              <w:t>分）</w:t>
            </w:r>
          </w:p>
        </w:tc>
        <w:tc>
          <w:tcPr>
            <w:tcW w:w="44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D089287">
            <w:pPr>
              <w:keepNext w:val="0"/>
              <w:keepLines w:val="0"/>
              <w:pageBreakBefore w:val="0"/>
              <w:numPr>
                <w:ilvl w:val="0"/>
                <w:numId w:val="0"/>
              </w:numPr>
              <w:kinsoku/>
              <w:wordWrap w:val="0"/>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t>企业</w:t>
            </w: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获得过工程类科学技术奖励证书的，</w:t>
            </w:r>
            <w:r>
              <w:rPr>
                <w:rFonts w:hint="eastAsia" w:asciiTheme="minorEastAsia" w:hAnsiTheme="minorEastAsia" w:eastAsiaTheme="minorEastAsia" w:cstheme="minorEastAsia"/>
                <w:b/>
                <w:bCs/>
                <w:strike w:val="0"/>
                <w:dstrike w:val="0"/>
                <w:color w:val="000000" w:themeColor="text1"/>
                <w:sz w:val="24"/>
                <w:szCs w:val="24"/>
                <w:highlight w:val="none"/>
                <w:lang w:val="en-US" w:eastAsia="zh-CN"/>
                <w14:textFill>
                  <w14:solidFill>
                    <w14:schemeClr w14:val="tx1"/>
                  </w14:solidFill>
                </w14:textFill>
              </w:rPr>
              <w:t>每年</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得1分，最多5分。</w:t>
            </w:r>
          </w:p>
          <w:p w14:paraId="333E6DBC">
            <w:pPr>
              <w:pStyle w:val="51"/>
              <w:keepNext w:val="0"/>
              <w:keepLines w:val="0"/>
              <w:pageBreakBefore w:val="0"/>
              <w:numPr>
                <w:ilvl w:val="0"/>
                <w:numId w:val="0"/>
              </w:numPr>
              <w:kinsoku/>
              <w:overflowPunct/>
              <w:topLinePunct w:val="0"/>
              <w:autoSpaceDE/>
              <w:autoSpaceDN/>
              <w:bidi w:val="0"/>
              <w:snapToGrid w:val="0"/>
              <w:spacing w:line="400" w:lineRule="exact"/>
              <w:ind w:left="0" w:leftChars="0" w:firstLine="0" w:firstLineChars="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注</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snapToGrid w:val="0"/>
                <w:color w:val="000000" w:themeColor="text1"/>
                <w:kern w:val="0"/>
                <w:sz w:val="24"/>
                <w:szCs w:val="24"/>
                <w:highlight w:val="none"/>
                <w:u w:val="none"/>
                <w:lang w:val="en-US" w:eastAsia="zh-CN" w:bidi="ar-SA"/>
                <w14:textFill>
                  <w14:solidFill>
                    <w14:schemeClr w14:val="tx1"/>
                  </w14:solidFill>
                </w14:textFill>
              </w:rPr>
              <w:t>本项最高得5分。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E15FF52">
            <w:pPr>
              <w:keepNext w:val="0"/>
              <w:keepLines w:val="0"/>
              <w:pageBreakBefore w:val="0"/>
              <w:numPr>
                <w:ilvl w:val="0"/>
                <w:numId w:val="0"/>
              </w:numPr>
              <w:kinsoku/>
              <w:wordWrap w:val="0"/>
              <w:overflowPunct/>
              <w:topLinePunct w:val="0"/>
              <w:autoSpaceDE/>
              <w:autoSpaceDN/>
              <w:bidi w:val="0"/>
              <w:adjustRightInd w:val="0"/>
              <w:snapToGrid w:val="0"/>
              <w:spacing w:line="400" w:lineRule="exact"/>
              <w:jc w:val="left"/>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eastAsia="zh-CN"/>
                <w14:textFill>
                  <w14:solidFill>
                    <w14:schemeClr w14:val="tx1"/>
                  </w14:solidFill>
                </w14:textFill>
              </w:rPr>
              <w:t>1.工程类科学技术奖励以各省科技厅颁发或科技部备案的证书为准，获奖时间以获奖证书颁发时间为准</w:t>
            </w:r>
            <w:r>
              <w:rPr>
                <w:rFonts w:hint="eastAsia" w:asciiTheme="minorEastAsia" w:hAnsiTheme="minorEastAsia" w:eastAsiaTheme="minorEastAsia" w:cstheme="minorEastAsia"/>
                <w:b/>
                <w:bCs/>
                <w:caps w:val="0"/>
                <w:smallCaps w:val="0"/>
                <w:snapToGrid w:val="0"/>
                <w:color w:val="000000" w:themeColor="text1"/>
                <w:spacing w:val="0"/>
                <w:kern w:val="0"/>
                <w:sz w:val="24"/>
                <w:szCs w:val="24"/>
                <w:highlight w:val="none"/>
                <w:u w:val="none"/>
                <w:lang w:eastAsia="zh-CN"/>
                <w14:textFill>
                  <w14:solidFill>
                    <w14:schemeClr w14:val="tx1"/>
                  </w14:solidFill>
                </w14:textFill>
              </w:rPr>
              <w:t>。</w:t>
            </w:r>
          </w:p>
          <w:p w14:paraId="76B6FCED">
            <w:pPr>
              <w:keepNext w:val="0"/>
              <w:keepLines w:val="0"/>
              <w:pageBreakBefore w:val="0"/>
              <w:numPr>
                <w:ilvl w:val="0"/>
                <w:numId w:val="0"/>
              </w:numPr>
              <w:kinsoku/>
              <w:wordWrap w:val="0"/>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caps w:val="0"/>
                <w:smallCaps w:val="0"/>
                <w:snapToGrid w:val="0"/>
                <w:color w:val="000000" w:themeColor="text1"/>
                <w:spacing w:val="0"/>
                <w:kern w:val="0"/>
                <w:sz w:val="24"/>
                <w:szCs w:val="24"/>
                <w:highlight w:val="none"/>
                <w:u w:val="none"/>
                <w:lang w:eastAsia="zh-CN"/>
                <w14:textFill>
                  <w14:solidFill>
                    <w14:schemeClr w14:val="tx1"/>
                  </w14:solidFill>
                </w14:textFill>
              </w:rPr>
              <w:t>2.不符合评分标准的，不予计分。</w:t>
            </w:r>
          </w:p>
        </w:tc>
      </w:tr>
      <w:tr w14:paraId="0F57D7E5">
        <w:tblPrEx>
          <w:tblCellMar>
            <w:top w:w="0" w:type="dxa"/>
            <w:left w:w="10" w:type="dxa"/>
            <w:bottom w:w="0" w:type="dxa"/>
            <w:right w:w="10" w:type="dxa"/>
          </w:tblCellMar>
        </w:tblPrEx>
        <w:trPr>
          <w:trHeight w:val="419"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FA9F68C">
            <w:pPr>
              <w:pStyle w:val="8"/>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inorEastAsia" w:hAnsiTheme="minorEastAsia" w:eastAsiaTheme="minorEastAsia" w:cstheme="minorEastAsia"/>
                <w:strike w:val="0"/>
                <w:dstrike w:val="0"/>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u w:val="none"/>
                <w:lang w:eastAsia="zh-CN"/>
                <w14:textFill>
                  <w14:solidFill>
                    <w14:schemeClr w14:val="tx1"/>
                  </w14:solidFill>
                </w14:textFill>
              </w:rPr>
              <w:t>履约能力评价</w:t>
            </w:r>
          </w:p>
          <w:p w14:paraId="3D797B99">
            <w:pPr>
              <w:pStyle w:val="8"/>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宋体" w:hAnsi="宋体" w:eastAsia="宋体" w:cs="宋体"/>
                <w:strike w:val="0"/>
                <w:dstrike w:val="0"/>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u w:val="none"/>
                <w:lang w:eastAsia="zh-CN"/>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z w:val="24"/>
                <w:szCs w:val="24"/>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strike w:val="0"/>
                <w:dstrike w:val="0"/>
                <w:color w:val="000000" w:themeColor="text1"/>
                <w:sz w:val="24"/>
                <w:szCs w:val="24"/>
                <w:highlight w:val="none"/>
                <w:u w:val="none"/>
                <w:lang w:eastAsia="zh-CN"/>
                <w14:textFill>
                  <w14:solidFill>
                    <w14:schemeClr w14:val="tx1"/>
                  </w14:solidFill>
                </w14:textFill>
              </w:rPr>
              <w:t>分）</w:t>
            </w:r>
          </w:p>
        </w:tc>
        <w:tc>
          <w:tcPr>
            <w:tcW w:w="44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AE4419">
            <w:pPr>
              <w:pStyle w:val="8"/>
              <w:keepNext w:val="0"/>
              <w:keepLines w:val="0"/>
              <w:pageBreakBefore w:val="0"/>
              <w:numPr>
                <w:ilvl w:val="0"/>
                <w:numId w:val="0"/>
              </w:numPr>
              <w:kinsoku/>
              <w:wordWrap w:val="0"/>
              <w:overflowPunct/>
              <w:topLinePunct w:val="0"/>
              <w:autoSpaceDE/>
              <w:autoSpaceDN/>
              <w:bidi w:val="0"/>
              <w:adjustRightInd w:val="0"/>
              <w:snapToGrid w:val="0"/>
              <w:spacing w:after="0" w:line="400" w:lineRule="exact"/>
              <w:jc w:val="left"/>
              <w:rPr>
                <w:rFonts w:hint="eastAsia" w:asciiTheme="minorEastAsia" w:hAnsiTheme="minorEastAsia" w:eastAsiaTheme="minorEastAsia" w:cstheme="minorEastAsia"/>
                <w:color w:val="000000" w:themeColor="text1"/>
                <w:kern w:val="2"/>
                <w:sz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bidi="ar-SA"/>
                <w14:textFill>
                  <w14:solidFill>
                    <w14:schemeClr w14:val="tx1"/>
                  </w14:solidFill>
                </w14:textFill>
              </w:rPr>
              <w:t>投标人具有履约能力评价服务认证证书情况：</w:t>
            </w:r>
          </w:p>
          <w:p w14:paraId="2170BE26">
            <w:pPr>
              <w:pStyle w:val="8"/>
              <w:keepNext w:val="0"/>
              <w:keepLines w:val="0"/>
              <w:pageBreakBefore w:val="0"/>
              <w:numPr>
                <w:ilvl w:val="0"/>
                <w:numId w:val="0"/>
              </w:numPr>
              <w:kinsoku/>
              <w:wordWrap w:val="0"/>
              <w:overflowPunct/>
              <w:topLinePunct w:val="0"/>
              <w:autoSpaceDE/>
              <w:autoSpaceDN/>
              <w:bidi w:val="0"/>
              <w:adjustRightInd w:val="0"/>
              <w:snapToGrid w:val="0"/>
              <w:spacing w:after="0" w:line="400" w:lineRule="exact"/>
              <w:jc w:val="left"/>
              <w:rPr>
                <w:rFonts w:hint="eastAsia" w:asciiTheme="minorEastAsia" w:hAnsiTheme="minorEastAsia" w:eastAsiaTheme="minorEastAsia" w:cstheme="minorEastAsia"/>
                <w:color w:val="000000" w:themeColor="text1"/>
                <w:kern w:val="2"/>
                <w:sz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bidi="ar-SA"/>
                <w14:textFill>
                  <w14:solidFill>
                    <w14:schemeClr w14:val="tx1"/>
                  </w14:solidFill>
                </w14:textFill>
              </w:rPr>
              <w:t>1.具有AAA等级或以上的得5分；</w:t>
            </w:r>
          </w:p>
          <w:p w14:paraId="7EFB0A3B">
            <w:pPr>
              <w:pStyle w:val="8"/>
              <w:keepNext w:val="0"/>
              <w:keepLines w:val="0"/>
              <w:pageBreakBefore w:val="0"/>
              <w:numPr>
                <w:ilvl w:val="0"/>
                <w:numId w:val="0"/>
              </w:numPr>
              <w:kinsoku/>
              <w:wordWrap w:val="0"/>
              <w:overflowPunct/>
              <w:topLinePunct w:val="0"/>
              <w:autoSpaceDE/>
              <w:autoSpaceDN/>
              <w:bidi w:val="0"/>
              <w:adjustRightInd w:val="0"/>
              <w:snapToGrid w:val="0"/>
              <w:spacing w:after="0" w:line="400" w:lineRule="exact"/>
              <w:jc w:val="left"/>
              <w:rPr>
                <w:rFonts w:hint="eastAsia" w:asciiTheme="minorEastAsia" w:hAnsiTheme="minorEastAsia" w:eastAsiaTheme="minorEastAsia" w:cstheme="minorEastAsia"/>
                <w:color w:val="000000" w:themeColor="text1"/>
                <w:kern w:val="2"/>
                <w:sz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bidi="ar-SA"/>
                <w14:textFill>
                  <w14:solidFill>
                    <w14:schemeClr w14:val="tx1"/>
                  </w14:solidFill>
                </w14:textFill>
              </w:rPr>
              <w:t>2.具有AA等级的得2分；</w:t>
            </w:r>
          </w:p>
          <w:p w14:paraId="3D15340B">
            <w:pPr>
              <w:pStyle w:val="8"/>
              <w:keepNext w:val="0"/>
              <w:keepLines w:val="0"/>
              <w:pageBreakBefore w:val="0"/>
              <w:numPr>
                <w:ilvl w:val="0"/>
                <w:numId w:val="0"/>
              </w:numPr>
              <w:kinsoku/>
              <w:wordWrap w:val="0"/>
              <w:overflowPunct/>
              <w:topLinePunct w:val="0"/>
              <w:autoSpaceDE/>
              <w:autoSpaceDN/>
              <w:bidi w:val="0"/>
              <w:adjustRightInd w:val="0"/>
              <w:snapToGrid w:val="0"/>
              <w:spacing w:after="0" w:line="400" w:lineRule="exact"/>
              <w:jc w:val="left"/>
              <w:rPr>
                <w:rFonts w:hint="eastAsia" w:asciiTheme="minorEastAsia" w:hAnsiTheme="minorEastAsia" w:eastAsiaTheme="minorEastAsia" w:cstheme="minorEastAsia"/>
                <w:color w:val="000000" w:themeColor="text1"/>
                <w:kern w:val="2"/>
                <w:sz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bidi="ar-SA"/>
                <w14:textFill>
                  <w14:solidFill>
                    <w14:schemeClr w14:val="tx1"/>
                  </w14:solidFill>
                </w14:textFill>
              </w:rPr>
              <w:t>3.具有A等级或以下的得1分；</w:t>
            </w:r>
          </w:p>
          <w:p w14:paraId="1D57C519">
            <w:pPr>
              <w:pStyle w:val="8"/>
              <w:keepNext w:val="0"/>
              <w:keepLines w:val="0"/>
              <w:pageBreakBefore w:val="0"/>
              <w:numPr>
                <w:ilvl w:val="0"/>
                <w:numId w:val="0"/>
              </w:numPr>
              <w:kinsoku/>
              <w:wordWrap w:val="0"/>
              <w:overflowPunct/>
              <w:topLinePunct w:val="0"/>
              <w:autoSpaceDE/>
              <w:autoSpaceDN/>
              <w:bidi w:val="0"/>
              <w:adjustRightInd w:val="0"/>
              <w:snapToGrid w:val="0"/>
              <w:spacing w:after="0" w:line="400" w:lineRule="exact"/>
              <w:jc w:val="left"/>
              <w:rPr>
                <w:rFonts w:hint="eastAsia" w:asciiTheme="minorEastAsia" w:hAnsiTheme="minorEastAsia" w:eastAsiaTheme="minorEastAsia" w:cstheme="minorEastAsia"/>
                <w:color w:val="000000" w:themeColor="text1"/>
                <w:kern w:val="2"/>
                <w:sz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bidi="ar-SA"/>
                <w14:textFill>
                  <w14:solidFill>
                    <w14:schemeClr w14:val="tx1"/>
                  </w14:solidFill>
                </w14:textFill>
              </w:rPr>
              <w:t>4.其他情形的，不予计分；</w:t>
            </w:r>
          </w:p>
          <w:p w14:paraId="464F5A28">
            <w:pPr>
              <w:pStyle w:val="8"/>
              <w:keepNext w:val="0"/>
              <w:keepLines w:val="0"/>
              <w:pageBreakBefore w:val="0"/>
              <w:numPr>
                <w:ilvl w:val="0"/>
                <w:numId w:val="0"/>
              </w:numPr>
              <w:kinsoku/>
              <w:wordWrap w:val="0"/>
              <w:overflowPunct/>
              <w:topLinePunct w:val="0"/>
              <w:autoSpaceDE/>
              <w:autoSpaceDN/>
              <w:bidi w:val="0"/>
              <w:adjustRightInd w:val="0"/>
              <w:snapToGrid w:val="0"/>
              <w:spacing w:after="0" w:line="400" w:lineRule="exact"/>
              <w:jc w:val="lef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highlight w:val="none"/>
                <w:lang w:val="en-US" w:eastAsia="zh-CN" w:bidi="ar-SA"/>
                <w14:textFill>
                  <w14:solidFill>
                    <w14:schemeClr w14:val="tx1"/>
                  </w14:solidFill>
                </w14:textFill>
              </w:rPr>
              <w:t>注：本项最高得5分。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EFE82A">
            <w:pPr>
              <w:keepNext w:val="0"/>
              <w:keepLines w:val="0"/>
              <w:pageBreakBefore w:val="0"/>
              <w:kinsoku/>
              <w:wordWrap w:val="0"/>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履约能力评价服务认证</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14:textFill>
                  <w14:solidFill>
                    <w14:schemeClr w14:val="tx1"/>
                  </w14:solidFill>
                </w14:textFill>
              </w:rPr>
              <w:t>需提供第三方机构出具的有效的“</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履约能力评价服务认证证书</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14:textFill>
                  <w14:solidFill>
                    <w14:schemeClr w14:val="tx1"/>
                  </w14:solidFill>
                </w14:textFill>
              </w:rPr>
              <w:t>”</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eastAsia="zh-CN"/>
                <w14:textFill>
                  <w14:solidFill>
                    <w14:schemeClr w14:val="tx1"/>
                  </w14:solidFill>
                </w14:textFill>
              </w:rPr>
              <w:t>彩色</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14:textFill>
                  <w14:solidFill>
                    <w14:schemeClr w14:val="tx1"/>
                  </w14:solidFill>
                </w14:textFill>
              </w:rPr>
              <w:t>扫描件及全国认证认可信息公共服务平台（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http://cx.cnca.cn/CertECloud/index/index/page</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14:textFill>
                  <w14:solidFill>
                    <w14:schemeClr w14:val="tx1"/>
                  </w14:solidFill>
                </w14:textFill>
              </w:rPr>
              <w:t>）查询到企业已认证的相关信息结果截图。</w:t>
            </w:r>
          </w:p>
          <w:p w14:paraId="1554D407">
            <w:pPr>
              <w:keepNext w:val="0"/>
              <w:keepLines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strike w:val="0"/>
                <w:dstrike w:val="0"/>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14:textFill>
                  <w14:solidFill>
                    <w14:schemeClr w14:val="tx1"/>
                  </w14:solidFill>
                </w14:textFill>
              </w:rPr>
              <w:t>2．证书不在有效期内的，不予计分。</w:t>
            </w:r>
          </w:p>
        </w:tc>
      </w:tr>
      <w:tr w14:paraId="340724EA">
        <w:tblPrEx>
          <w:tblCellMar>
            <w:top w:w="0" w:type="dxa"/>
            <w:left w:w="10" w:type="dxa"/>
            <w:bottom w:w="0" w:type="dxa"/>
            <w:right w:w="10" w:type="dxa"/>
          </w:tblCellMar>
        </w:tblPrEx>
        <w:trPr>
          <w:trHeight w:val="419"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B7BD4A5">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Theme="minorEastAsia" w:hAnsiTheme="minorEastAsia" w:eastAsiaTheme="minorEastAsia" w:cstheme="minorEastAsia"/>
                <w:b w:val="0"/>
                <w:bCs w:val="0"/>
                <w:snapToGrid w:val="0"/>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u w:val="none"/>
                <w14:textFill>
                  <w14:solidFill>
                    <w14:schemeClr w14:val="tx1"/>
                  </w14:solidFill>
                </w14:textFill>
              </w:rPr>
              <w:t>企业</w:t>
            </w:r>
            <w:r>
              <w:rPr>
                <w:rFonts w:hint="eastAsia" w:asciiTheme="minorEastAsia" w:hAnsiTheme="minorEastAsia" w:eastAsiaTheme="minorEastAsia" w:cstheme="minorEastAsia"/>
                <w:b w:val="0"/>
                <w:bCs w:val="0"/>
                <w:snapToGrid w:val="0"/>
                <w:color w:val="000000" w:themeColor="text1"/>
                <w:kern w:val="0"/>
                <w:sz w:val="24"/>
                <w:szCs w:val="24"/>
                <w:highlight w:val="none"/>
                <w:u w:val="none"/>
                <w:lang w:eastAsia="zh-CN"/>
                <w14:textFill>
                  <w14:solidFill>
                    <w14:schemeClr w14:val="tx1"/>
                  </w14:solidFill>
                </w14:textFill>
              </w:rPr>
              <w:t>管理体系</w:t>
            </w:r>
          </w:p>
          <w:p w14:paraId="08E988CD">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strike w:val="0"/>
                <w:dstrike w:val="0"/>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u w:val="none"/>
                <w14:textFill>
                  <w14:solidFill>
                    <w14:schemeClr w14:val="tx1"/>
                  </w14:solidFill>
                </w14:textFill>
              </w:rPr>
              <w:t>（</w:t>
            </w:r>
            <w:r>
              <w:rPr>
                <w:rFonts w:hint="eastAsia" w:asciiTheme="minorEastAsia" w:hAnsiTheme="minorEastAsia" w:eastAsiaTheme="minorEastAsia" w:cstheme="minorEastAsia"/>
                <w:b w:val="0"/>
                <w:bCs w:val="0"/>
                <w:snapToGrid w:val="0"/>
                <w:color w:val="000000" w:themeColor="text1"/>
                <w:kern w:val="0"/>
                <w:sz w:val="24"/>
                <w:szCs w:val="24"/>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val="0"/>
                <w:snapToGrid w:val="0"/>
                <w:color w:val="000000" w:themeColor="text1"/>
                <w:kern w:val="0"/>
                <w:sz w:val="24"/>
                <w:szCs w:val="24"/>
                <w:highlight w:val="none"/>
                <w:u w:val="none"/>
                <w14:textFill>
                  <w14:solidFill>
                    <w14:schemeClr w14:val="tx1"/>
                  </w14:solidFill>
                </w14:textFill>
              </w:rPr>
              <w:t>分）</w:t>
            </w:r>
          </w:p>
        </w:tc>
        <w:tc>
          <w:tcPr>
            <w:tcW w:w="44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903256">
            <w:pPr>
              <w:keepNext w:val="0"/>
              <w:keepLines w:val="0"/>
              <w:pageBreakBefore w:val="0"/>
              <w:kinsoku/>
              <w:wordWrap w:val="0"/>
              <w:overflowPunct/>
              <w:topLinePunct w:val="0"/>
              <w:autoSpaceDE/>
              <w:autoSpaceDN/>
              <w:bidi w:val="0"/>
              <w:adjustRightInd w:val="0"/>
              <w:snapToGrid w:val="0"/>
              <w:spacing w:line="400" w:lineRule="exact"/>
              <w:rPr>
                <w:rFonts w:hint="default" w:asciiTheme="minorEastAsia" w:hAnsiTheme="minorEastAsia" w:eastAsiaTheme="minorEastAsia" w:cstheme="minorEastAsia"/>
                <w:strike w:val="0"/>
                <w:dstrike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投标人同时具有质量管理体系认证证书、职业健康安全管理体系认证证书、环境管理体系认证证书</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并在有效期</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的得1分</w:t>
            </w:r>
            <w:r>
              <w:rPr>
                <w:rFonts w:hint="eastAsia" w:asciiTheme="minorEastAsia" w:hAnsiTheme="minorEastAsia" w:eastAsiaTheme="minorEastAsia" w:cstheme="minorEastAsia"/>
                <w:strike w:val="0"/>
                <w:dstrike w:val="0"/>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在此基础上，提供</w:t>
            </w:r>
            <w:r>
              <w:rPr>
                <w:rFonts w:hint="eastAsia" w:asciiTheme="minorEastAsia" w:hAnsiTheme="minorEastAsia" w:eastAsiaTheme="minorEastAsia" w:cstheme="minorEastAsia"/>
                <w:strike w:val="0"/>
                <w:dstrike w:val="0"/>
                <w:color w:val="000000" w:themeColor="text1"/>
                <w:kern w:val="2"/>
                <w:sz w:val="24"/>
                <w:szCs w:val="24"/>
                <w:highlight w:val="none"/>
                <w:u w:val="none"/>
                <w:lang w:val="en-US" w:eastAsia="zh-CN" w:bidi="ar-SA"/>
                <w14:textFill>
                  <w14:solidFill>
                    <w14:schemeClr w14:val="tx1"/>
                  </w14:solidFill>
                </w14:textFill>
              </w:rPr>
              <w:t>信息安全管理体系认证证书、</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业务连续性管理体系认证证书</w:t>
            </w:r>
            <w:r>
              <w:rPr>
                <w:rFonts w:hint="eastAsia" w:asciiTheme="minorEastAsia" w:hAnsiTheme="minorEastAsia" w:eastAsiaTheme="minorEastAsia" w:cstheme="minorEastAsia"/>
                <w:strike w:val="0"/>
                <w:dstrike w:val="0"/>
                <w:color w:val="000000" w:themeColor="text1"/>
                <w:kern w:val="2"/>
                <w:sz w:val="24"/>
                <w:szCs w:val="24"/>
                <w:highlight w:val="none"/>
                <w:u w:val="none"/>
                <w:lang w:val="en-US" w:eastAsia="zh-CN" w:bidi="ar-SA"/>
                <w14:textFill>
                  <w14:solidFill>
                    <w14:schemeClr w14:val="tx1"/>
                  </w14:solidFill>
                </w14:textFill>
              </w:rPr>
              <w:t>、合规管理体系认证证书、风险管理体系认证证书</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并在有效期的，</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每提供一项</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加</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.5</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，最多加6分。</w:t>
            </w:r>
          </w:p>
          <w:p w14:paraId="227F60F8">
            <w:pPr>
              <w:keepNext w:val="0"/>
              <w:keepLines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b/>
                <w:bCs/>
                <w:strike w:val="0"/>
                <w:dstrike w:val="0"/>
                <w:color w:val="000000" w:themeColor="text1"/>
                <w:sz w:val="24"/>
                <w:szCs w:val="24"/>
                <w:highlight w:val="none"/>
                <w:u w:val="none"/>
                <w:lang w:val="en-US" w:eastAsia="zh-CN"/>
                <w14:textFill>
                  <w14:solidFill>
                    <w14:schemeClr w14:val="tx1"/>
                  </w14:solidFill>
                </w14:textFill>
              </w:rPr>
              <w:t>本项最高得7分。</w:t>
            </w:r>
          </w:p>
        </w:tc>
        <w:tc>
          <w:tcPr>
            <w:tcW w:w="41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9DBDE58">
            <w:pPr>
              <w:keepNext w:val="0"/>
              <w:keepLines w:val="0"/>
              <w:pageBreakBefore w:val="0"/>
              <w:kinsoku/>
              <w:wordWrap w:val="0"/>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napToGrid w:val="0"/>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企业管理体系需提供官方认可的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第三方机构出具的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有效的“管理体系认证证书”</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彩色</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扫描件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及全国认证认可信息公共服务平台（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http://cx.cnca.cn/CertECloud/index/index/page</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）查询结果截图</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zh-TW" w:eastAsia="zh-CN"/>
                <w14:textFill>
                  <w14:solidFill>
                    <w14:schemeClr w14:val="tx1"/>
                  </w14:solidFill>
                </w14:textFill>
              </w:rPr>
              <w:t>证书状态必须为“有效”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D7D1466">
            <w:pPr>
              <w:keepNext w:val="0"/>
              <w:keepLines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strike w:val="0"/>
                <w:dstrike w:val="0"/>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u w:val="none"/>
                <w14:textFill>
                  <w14:solidFill>
                    <w14:schemeClr w14:val="tx1"/>
                  </w14:solidFill>
                </w14:textFill>
              </w:rPr>
              <w:t>2．证书不在有效期内的，不予计分。</w:t>
            </w:r>
          </w:p>
        </w:tc>
      </w:tr>
      <w:tr w14:paraId="219F48CD">
        <w:tblPrEx>
          <w:tblCellMar>
            <w:top w:w="0" w:type="dxa"/>
            <w:left w:w="10" w:type="dxa"/>
            <w:bottom w:w="0" w:type="dxa"/>
            <w:right w:w="10" w:type="dxa"/>
          </w:tblCellMar>
        </w:tblPrEx>
        <w:trPr>
          <w:trHeight w:val="607" w:hRule="exact"/>
          <w:jc w:val="center"/>
        </w:trPr>
        <w:tc>
          <w:tcPr>
            <w:tcW w:w="9799" w:type="dxa"/>
            <w:gridSpan w:val="4"/>
            <w:tcBorders>
              <w:top w:val="single" w:color="000000" w:sz="4" w:space="0"/>
              <w:left w:val="single" w:color="000000" w:sz="4" w:space="0"/>
              <w:bottom w:val="single" w:color="auto" w:sz="4" w:space="0"/>
              <w:right w:val="single" w:color="000000" w:sz="4" w:space="0"/>
            </w:tcBorders>
            <w:shd w:val="clear" w:color="000000" w:fill="D9D9D9"/>
            <w:tcMar>
              <w:top w:w="0" w:type="dxa"/>
              <w:left w:w="108" w:type="dxa"/>
              <w:bottom w:w="0" w:type="dxa"/>
              <w:right w:w="108" w:type="dxa"/>
            </w:tcMar>
            <w:vAlign w:val="center"/>
          </w:tcPr>
          <w:p w14:paraId="6262D067">
            <w:pPr>
              <w:keepNext w:val="0"/>
              <w:keepLines w:val="0"/>
              <w:pageBreakBefore w:val="0"/>
              <w:kinsoku/>
              <w:overflowPunct/>
              <w:topLinePunct w:val="0"/>
              <w:autoSpaceDE/>
              <w:autoSpaceDN/>
              <w:bidi w:val="0"/>
              <w:spacing w:line="400" w:lineRule="exact"/>
              <w:jc w:val="left"/>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技术部分（监理大纲），满分：</w:t>
            </w:r>
            <w:r>
              <w:rPr>
                <w:rFonts w:hint="eastAsia" w:hAnsi="宋体" w:cs="宋体"/>
                <w:b/>
                <w:bCs/>
                <w:color w:val="000000" w:themeColor="text1"/>
                <w:szCs w:val="24"/>
                <w:highlight w:val="none"/>
                <w:u w:val="single"/>
                <w14:textFill>
                  <w14:solidFill>
                    <w14:schemeClr w14:val="tx1"/>
                  </w14:solidFill>
                </w14:textFill>
              </w:rPr>
              <w:t xml:space="preserve"> </w:t>
            </w:r>
            <w:r>
              <w:rPr>
                <w:rFonts w:hint="eastAsia" w:hAnsi="宋体" w:cs="宋体"/>
                <w:b/>
                <w:bCs/>
                <w:color w:val="000000" w:themeColor="text1"/>
                <w:szCs w:val="24"/>
                <w:highlight w:val="none"/>
                <w:u w:val="single"/>
                <w:lang w:val="en-US" w:eastAsia="zh-CN"/>
                <w14:textFill>
                  <w14:solidFill>
                    <w14:schemeClr w14:val="tx1"/>
                  </w14:solidFill>
                </w14:textFill>
              </w:rPr>
              <w:t>25</w:t>
            </w:r>
            <w:r>
              <w:rPr>
                <w:rFonts w:hint="eastAsia" w:hAnsi="宋体" w:cs="宋体"/>
                <w:b/>
                <w:bCs/>
                <w:color w:val="000000" w:themeColor="text1"/>
                <w:szCs w:val="24"/>
                <w:highlight w:val="none"/>
                <w:u w:val="single"/>
                <w14:textFill>
                  <w14:solidFill>
                    <w14:schemeClr w14:val="tx1"/>
                  </w14:solidFill>
                </w14:textFill>
              </w:rPr>
              <w:t xml:space="preserve"> </w:t>
            </w:r>
            <w:r>
              <w:rPr>
                <w:rFonts w:hint="eastAsia" w:hAnsi="宋体" w:cs="宋体"/>
                <w:b/>
                <w:bCs/>
                <w:color w:val="000000" w:themeColor="text1"/>
                <w:szCs w:val="24"/>
                <w:highlight w:val="none"/>
                <w14:textFill>
                  <w14:solidFill>
                    <w14:schemeClr w14:val="tx1"/>
                  </w14:solidFill>
                </w14:textFill>
              </w:rPr>
              <w:t>分。</w:t>
            </w:r>
          </w:p>
        </w:tc>
      </w:tr>
      <w:tr w14:paraId="7C1B97AB">
        <w:tblPrEx>
          <w:tblCellMar>
            <w:top w:w="0" w:type="dxa"/>
            <w:left w:w="10" w:type="dxa"/>
            <w:bottom w:w="0" w:type="dxa"/>
            <w:right w:w="10" w:type="dxa"/>
          </w:tblCellMar>
        </w:tblPrEx>
        <w:trPr>
          <w:trHeight w:val="539" w:hRule="exac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6D34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评分因素</w:t>
            </w:r>
          </w:p>
        </w:tc>
        <w:tc>
          <w:tcPr>
            <w:tcW w:w="447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26D9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评分标准</w:t>
            </w:r>
          </w:p>
        </w:tc>
        <w:tc>
          <w:tcPr>
            <w:tcW w:w="41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4FCA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备注</w:t>
            </w:r>
          </w:p>
        </w:tc>
      </w:tr>
      <w:tr w14:paraId="16050662">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2F780F">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监理依据及工作目标</w:t>
            </w:r>
          </w:p>
          <w:p w14:paraId="65FE8E00">
            <w:pPr>
              <w:pStyle w:val="8"/>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u w:val="single"/>
                <w:lang w:val="en-US" w:eastAsia="zh-CN"/>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分）</w:t>
            </w:r>
          </w:p>
        </w:tc>
        <w:tc>
          <w:tcPr>
            <w:tcW w:w="447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BE9E18">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5227F0C7">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4443B73">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5F683F0A">
            <w:pPr>
              <w:pStyle w:val="8"/>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2F0427">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要求依据全面、适用；目标清晰、正确；针对性强。</w:t>
            </w:r>
          </w:p>
        </w:tc>
      </w:tr>
      <w:tr w14:paraId="65540F4F">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3A6D2C">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工程质量</w:t>
            </w:r>
          </w:p>
          <w:p w14:paraId="5930B850">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监理措施</w:t>
            </w:r>
          </w:p>
          <w:p w14:paraId="374D0364">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1A89EE">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2DF076F4">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5E1ADE4F">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729CF12">
            <w:pPr>
              <w:pStyle w:val="8"/>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48A4B7">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要求目标正确、方法可行、预控和动态管理措施具体、针对性强。脱离本工程实际、机械照搬照抄规范和技术标准的，不能得满分。</w:t>
            </w:r>
          </w:p>
        </w:tc>
      </w:tr>
      <w:tr w14:paraId="49401C17">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EB7180">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工程进度</w:t>
            </w:r>
          </w:p>
          <w:p w14:paraId="1D666CE6">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监理措施</w:t>
            </w:r>
          </w:p>
          <w:p w14:paraId="77E77E1D">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2C0BCB">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1C6A50D2">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69193BB7">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5E44EDC">
            <w:pPr>
              <w:pStyle w:val="8"/>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DCB658">
            <w:pPr>
              <w:pStyle w:val="34"/>
              <w:keepNext w:val="0"/>
              <w:keepLines w:val="0"/>
              <w:pageBreakBefore w:val="0"/>
              <w:kinsoku/>
              <w:overflowPunct/>
              <w:topLinePunct w:val="0"/>
              <w:autoSpaceDE/>
              <w:autoSpaceDN/>
              <w:bidi w:val="0"/>
              <w:spacing w:line="400" w:lineRule="exact"/>
              <w:rPr>
                <w:rFonts w:ascii="宋体" w:hAnsi="宋体" w:eastAsia="宋体" w:cs="宋体"/>
                <w:color w:val="000000" w:themeColor="text1"/>
                <w:sz w:val="24"/>
                <w:szCs w:val="24"/>
                <w:highlight w:val="none"/>
                <w14:textFill>
                  <w14:solidFill>
                    <w14:schemeClr w14:val="tx1"/>
                  </w14:solidFill>
                </w14:textFill>
              </w:rPr>
            </w:pPr>
          </w:p>
        </w:tc>
      </w:tr>
      <w:tr w14:paraId="7EE8DD31">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17F355">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工程造价</w:t>
            </w:r>
          </w:p>
          <w:p w14:paraId="5B4B0C04">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监理措施</w:t>
            </w:r>
          </w:p>
          <w:p w14:paraId="62D2B71A">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4029B1">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2E6859BC">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180A5A0E">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B7AE4C4">
            <w:pPr>
              <w:pStyle w:val="8"/>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A1AC78">
            <w:pPr>
              <w:pStyle w:val="34"/>
              <w:keepNext w:val="0"/>
              <w:keepLines w:val="0"/>
              <w:pageBreakBefore w:val="0"/>
              <w:widowControl w:val="0"/>
              <w:kinsoku/>
              <w:wordWrap/>
              <w:overflowPunct/>
              <w:topLinePunct w:val="0"/>
              <w:autoSpaceDE/>
              <w:autoSpaceDN/>
              <w:bidi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p>
        </w:tc>
      </w:tr>
      <w:tr w14:paraId="1CD7E248">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A879CA">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安全防护</w:t>
            </w:r>
          </w:p>
          <w:p w14:paraId="3FE479F5">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监理措施</w:t>
            </w:r>
          </w:p>
          <w:p w14:paraId="0454C679">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DBB45C">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1C9E61F1">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D3502A4">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47B670C">
            <w:pPr>
              <w:pStyle w:val="8"/>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5806E6">
            <w:pPr>
              <w:pStyle w:val="34"/>
              <w:keepNext w:val="0"/>
              <w:keepLines w:val="0"/>
              <w:pageBreakBefore w:val="0"/>
              <w:widowControl w:val="0"/>
              <w:kinsoku/>
              <w:wordWrap/>
              <w:overflowPunct/>
              <w:topLinePunct w:val="0"/>
              <w:autoSpaceDE/>
              <w:autoSpaceDN/>
              <w:bidi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p>
        </w:tc>
      </w:tr>
      <w:tr w14:paraId="238DAF76">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616E56">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绿色施工</w:t>
            </w:r>
          </w:p>
          <w:p w14:paraId="20A88FE4">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、文明施工监理措施</w:t>
            </w:r>
          </w:p>
          <w:p w14:paraId="393168D1">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gridSpan w:val="2"/>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86A41">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25549840">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2D83B081">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1582F21">
            <w:pPr>
              <w:pStyle w:val="8"/>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vMerge w:val="continue"/>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3A9884CB">
            <w:pPr>
              <w:pStyle w:val="34"/>
              <w:keepNext w:val="0"/>
              <w:keepLines w:val="0"/>
              <w:pageBreakBefore w:val="0"/>
              <w:widowControl w:val="0"/>
              <w:kinsoku/>
              <w:wordWrap/>
              <w:overflowPunct/>
              <w:topLinePunct w:val="0"/>
              <w:autoSpaceDE/>
              <w:autoSpaceDN/>
              <w:bidi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p>
        </w:tc>
      </w:tr>
      <w:tr w14:paraId="66012061">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7B6636">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合同、信息管理方案</w:t>
            </w:r>
          </w:p>
          <w:p w14:paraId="24DF8E79">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E7FD1D">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6DE8B97">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E7AC22F">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3B587AF9">
            <w:pPr>
              <w:pStyle w:val="8"/>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2C28F1">
            <w:pPr>
              <w:pStyle w:val="34"/>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要求各项制度规范清晰，方法科学合理，措施及时有效，针对性强。能够切实防范和处理合同纠纷，提升监理工作效能。</w:t>
            </w:r>
          </w:p>
        </w:tc>
      </w:tr>
      <w:tr w14:paraId="02D7DFBF">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1DFC83">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组织协调</w:t>
            </w:r>
          </w:p>
          <w:p w14:paraId="2DCF5E86">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内容及措施</w:t>
            </w:r>
          </w:p>
          <w:p w14:paraId="6D5D942D">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2AC37F">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6C65CF2">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910612F">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D6BD65C">
            <w:pPr>
              <w:pStyle w:val="8"/>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6968D7">
            <w:pPr>
              <w:pStyle w:val="34"/>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要求各项制度规范清晰，方法科学合理，措施及时有效，针对性强。能够高效收集、协调、处理、反馈各方各类问题。</w:t>
            </w:r>
          </w:p>
        </w:tc>
      </w:tr>
      <w:tr w14:paraId="2C53791D">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00AD85">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监理工作重点、难点分析</w:t>
            </w:r>
          </w:p>
          <w:p w14:paraId="41E38D5A">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47B25D">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1023D5A8">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6E5748A5">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2219647A">
            <w:pPr>
              <w:pStyle w:val="8"/>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86970E">
            <w:pPr>
              <w:pStyle w:val="34"/>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要求方法可行、措施具体、针对性强。</w:t>
            </w:r>
          </w:p>
        </w:tc>
      </w:tr>
      <w:tr w14:paraId="471742E0">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E42AB8">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合理化建议</w:t>
            </w:r>
          </w:p>
          <w:p w14:paraId="35B71EE6">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35B13F">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18925C9">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3C2AC04C">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7C7611E">
            <w:pPr>
              <w:pStyle w:val="8"/>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8852CD">
            <w:pPr>
              <w:pStyle w:val="34"/>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要求方法可行、措施具体、针对性强。</w:t>
            </w:r>
          </w:p>
        </w:tc>
      </w:tr>
      <w:tr w14:paraId="235A91C4">
        <w:tblPrEx>
          <w:tblCellMar>
            <w:top w:w="0" w:type="dxa"/>
            <w:left w:w="10" w:type="dxa"/>
            <w:bottom w:w="0" w:type="dxa"/>
            <w:right w:w="10" w:type="dxa"/>
          </w:tblCellMar>
        </w:tblPrEx>
        <w:trPr>
          <w:trHeight w:val="579" w:hRule="exact"/>
          <w:jc w:val="center"/>
        </w:trPr>
        <w:tc>
          <w:tcPr>
            <w:tcW w:w="9799" w:type="dxa"/>
            <w:gridSpan w:val="4"/>
            <w:tcBorders>
              <w:top w:val="single" w:color="000000" w:sz="4" w:space="0"/>
              <w:left w:val="single" w:color="000000" w:sz="4" w:space="0"/>
              <w:bottom w:val="single" w:color="000000" w:sz="4" w:space="0"/>
              <w:right w:val="single" w:color="000000" w:sz="4" w:space="0"/>
            </w:tcBorders>
            <w:shd w:val="clear" w:color="000000" w:fill="D9D9D9"/>
            <w:tcMar>
              <w:top w:w="0" w:type="dxa"/>
              <w:left w:w="108" w:type="dxa"/>
              <w:bottom w:w="0" w:type="dxa"/>
              <w:right w:w="108" w:type="dxa"/>
            </w:tcMar>
            <w:vAlign w:val="center"/>
          </w:tcPr>
          <w:p w14:paraId="6959B9AF">
            <w:pPr>
              <w:keepNext w:val="0"/>
              <w:keepLines w:val="0"/>
              <w:pageBreakBefore w:val="0"/>
              <w:kinsoku/>
              <w:overflowPunct/>
              <w:topLinePunct w:val="0"/>
              <w:autoSpaceDE/>
              <w:autoSpaceDN/>
              <w:bidi w:val="0"/>
              <w:spacing w:line="400" w:lineRule="exact"/>
              <w:jc w:val="left"/>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投标报价部分，满分：</w:t>
            </w:r>
            <w:r>
              <w:rPr>
                <w:rFonts w:hint="eastAsia" w:hAnsi="宋体" w:cs="宋体"/>
                <w:b/>
                <w:bCs/>
                <w:color w:val="000000" w:themeColor="text1"/>
                <w:szCs w:val="24"/>
                <w:highlight w:val="none"/>
                <w:u w:val="single"/>
                <w:lang w:val="en-US" w:eastAsia="zh-CN"/>
                <w14:textFill>
                  <w14:solidFill>
                    <w14:schemeClr w14:val="tx1"/>
                  </w14:solidFill>
                </w14:textFill>
              </w:rPr>
              <w:t>20</w:t>
            </w:r>
            <w:r>
              <w:rPr>
                <w:rFonts w:hint="eastAsia" w:hAnsi="宋体" w:cs="宋体"/>
                <w:b/>
                <w:bCs/>
                <w:color w:val="000000" w:themeColor="text1"/>
                <w:szCs w:val="24"/>
                <w:highlight w:val="none"/>
                <w14:textFill>
                  <w14:solidFill>
                    <w14:schemeClr w14:val="tx1"/>
                  </w14:solidFill>
                </w14:textFill>
              </w:rPr>
              <w:t>分。</w:t>
            </w:r>
          </w:p>
        </w:tc>
      </w:tr>
      <w:tr w14:paraId="57C94FED">
        <w:tblPrEx>
          <w:tblCellMar>
            <w:top w:w="0" w:type="dxa"/>
            <w:left w:w="10" w:type="dxa"/>
            <w:bottom w:w="0" w:type="dxa"/>
            <w:right w:w="10" w:type="dxa"/>
          </w:tblCellMar>
        </w:tblPrEx>
        <w:trPr>
          <w:trHeight w:val="540"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ED5A12">
            <w:pPr>
              <w:keepNext w:val="0"/>
              <w:keepLines w:val="0"/>
              <w:pageBreakBefore w:val="0"/>
              <w:kinsoku/>
              <w:overflowPunct/>
              <w:topLinePunct w:val="0"/>
              <w:autoSpaceDE/>
              <w:autoSpaceDN/>
              <w:bidi w:val="0"/>
              <w:spacing w:line="400" w:lineRule="exact"/>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评分事项</w:t>
            </w:r>
          </w:p>
        </w:tc>
        <w:tc>
          <w:tcPr>
            <w:tcW w:w="85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A3E61E">
            <w:pPr>
              <w:keepNext w:val="0"/>
              <w:keepLines w:val="0"/>
              <w:pageBreakBefore w:val="0"/>
              <w:kinsoku/>
              <w:overflowPunct/>
              <w:topLinePunct w:val="0"/>
              <w:autoSpaceDE/>
              <w:autoSpaceDN/>
              <w:bidi w:val="0"/>
              <w:spacing w:line="400" w:lineRule="exact"/>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评分方法</w:t>
            </w:r>
          </w:p>
        </w:tc>
      </w:tr>
      <w:tr w14:paraId="7D7010E5">
        <w:tblPrEx>
          <w:tblCellMar>
            <w:top w:w="0" w:type="dxa"/>
            <w:left w:w="10" w:type="dxa"/>
            <w:bottom w:w="0" w:type="dxa"/>
            <w:right w:w="10" w:type="dxa"/>
          </w:tblCellMar>
        </w:tblPrEx>
        <w:trPr>
          <w:trHeight w:val="4628"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A6553A">
            <w:pPr>
              <w:pStyle w:val="36"/>
              <w:keepNext w:val="0"/>
              <w:keepLines w:val="0"/>
              <w:pageBreakBefore w:val="0"/>
              <w:kinsoku/>
              <w:overflowPunct/>
              <w:topLinePunct w:val="0"/>
              <w:autoSpaceDE/>
              <w:autoSpaceDN/>
              <w:bidi w:val="0"/>
              <w:spacing w:line="40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评标基准价D</w:t>
            </w:r>
          </w:p>
        </w:tc>
        <w:tc>
          <w:tcPr>
            <w:tcW w:w="85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CBC604">
            <w:pPr>
              <w:keepNext w:val="0"/>
              <w:keepLines w:val="0"/>
              <w:pageBreakBefore w:val="0"/>
              <w:kinsoku/>
              <w:overflowPunct/>
              <w:topLinePunct w:val="0"/>
              <w:autoSpaceDE/>
              <w:autoSpaceDN/>
              <w:bidi w:val="0"/>
              <w:adjustRightInd w:val="0"/>
              <w:snapToGrid w:val="0"/>
              <w:spacing w:line="4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（1）确定最高投标限价下浮系数n：用1～21号球分别代表一个下浮系数，由评委代表从这21个号码中随机抽取</w:t>
            </w:r>
            <w:r>
              <w:rPr>
                <w:rFonts w:hint="eastAsia" w:hAnsi="宋体" w:cs="宋体"/>
                <w:snapToGrid w:val="0"/>
                <w:color w:val="000000" w:themeColor="text1"/>
                <w:kern w:val="0"/>
                <w:szCs w:val="24"/>
                <w:highlight w:val="none"/>
                <w:u w:val="single"/>
                <w14:textFill>
                  <w14:solidFill>
                    <w14:schemeClr w14:val="tx1"/>
                  </w14:solidFill>
                </w14:textFill>
              </w:rPr>
              <w:t>3</w:t>
            </w:r>
            <w:r>
              <w:rPr>
                <w:rFonts w:hint="eastAsia" w:hAnsi="宋体" w:cs="宋体"/>
                <w:snapToGrid w:val="0"/>
                <w:color w:val="000000" w:themeColor="text1"/>
                <w:kern w:val="0"/>
                <w:szCs w:val="24"/>
                <w:highlight w:val="none"/>
                <w14:textFill>
                  <w14:solidFill>
                    <w14:schemeClr w14:val="tx1"/>
                  </w14:solidFill>
                </w14:textFill>
              </w:rPr>
              <w:t>次，每次抽取1个号码，抽出的号球不参与下次抽取。所抽取的3个号码对应下浮系数的算术平均值作为最高投标限价下浮系数n。具体号码对应的下浮系数可参考下表。</w:t>
            </w:r>
          </w:p>
          <w:tbl>
            <w:tblPr>
              <w:tblStyle w:val="19"/>
              <w:tblW w:w="8015" w:type="dxa"/>
              <w:jc w:val="center"/>
              <w:tblLayout w:type="fixed"/>
              <w:tblCellMar>
                <w:top w:w="0" w:type="dxa"/>
                <w:left w:w="108" w:type="dxa"/>
                <w:bottom w:w="0" w:type="dxa"/>
                <w:right w:w="108" w:type="dxa"/>
              </w:tblCellMar>
            </w:tblPr>
            <w:tblGrid>
              <w:gridCol w:w="1666"/>
              <w:gridCol w:w="907"/>
              <w:gridCol w:w="907"/>
              <w:gridCol w:w="907"/>
              <w:gridCol w:w="907"/>
              <w:gridCol w:w="907"/>
              <w:gridCol w:w="907"/>
              <w:gridCol w:w="907"/>
            </w:tblGrid>
            <w:tr w14:paraId="758B15E7">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40D1D511">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号球</w:t>
                  </w:r>
                </w:p>
              </w:tc>
              <w:tc>
                <w:tcPr>
                  <w:tcW w:w="907" w:type="dxa"/>
                  <w:tcBorders>
                    <w:top w:val="single" w:color="000000" w:sz="4" w:space="0"/>
                    <w:left w:val="nil"/>
                    <w:bottom w:val="single" w:color="000000" w:sz="4" w:space="0"/>
                    <w:right w:val="single" w:color="000000" w:sz="4" w:space="0"/>
                  </w:tcBorders>
                  <w:vAlign w:val="center"/>
                </w:tcPr>
                <w:p w14:paraId="035BBA5D">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w:t>
                  </w:r>
                </w:p>
              </w:tc>
              <w:tc>
                <w:tcPr>
                  <w:tcW w:w="907" w:type="dxa"/>
                  <w:tcBorders>
                    <w:top w:val="single" w:color="000000" w:sz="4" w:space="0"/>
                    <w:left w:val="nil"/>
                    <w:bottom w:val="single" w:color="000000" w:sz="4" w:space="0"/>
                    <w:right w:val="single" w:color="000000" w:sz="4" w:space="0"/>
                  </w:tcBorders>
                  <w:vAlign w:val="center"/>
                </w:tcPr>
                <w:p w14:paraId="45F343F5">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2</w:t>
                  </w:r>
                </w:p>
              </w:tc>
              <w:tc>
                <w:tcPr>
                  <w:tcW w:w="907" w:type="dxa"/>
                  <w:tcBorders>
                    <w:top w:val="single" w:color="000000" w:sz="4" w:space="0"/>
                    <w:left w:val="nil"/>
                    <w:bottom w:val="single" w:color="000000" w:sz="4" w:space="0"/>
                    <w:right w:val="single" w:color="000000" w:sz="4" w:space="0"/>
                  </w:tcBorders>
                  <w:vAlign w:val="center"/>
                </w:tcPr>
                <w:p w14:paraId="03AA5CB0">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3</w:t>
                  </w:r>
                </w:p>
              </w:tc>
              <w:tc>
                <w:tcPr>
                  <w:tcW w:w="907" w:type="dxa"/>
                  <w:tcBorders>
                    <w:top w:val="single" w:color="000000" w:sz="4" w:space="0"/>
                    <w:left w:val="nil"/>
                    <w:bottom w:val="single" w:color="000000" w:sz="4" w:space="0"/>
                    <w:right w:val="single" w:color="000000" w:sz="4" w:space="0"/>
                  </w:tcBorders>
                  <w:vAlign w:val="center"/>
                </w:tcPr>
                <w:p w14:paraId="0D659A56">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4</w:t>
                  </w:r>
                </w:p>
              </w:tc>
              <w:tc>
                <w:tcPr>
                  <w:tcW w:w="907" w:type="dxa"/>
                  <w:tcBorders>
                    <w:top w:val="single" w:color="000000" w:sz="4" w:space="0"/>
                    <w:left w:val="nil"/>
                    <w:bottom w:val="single" w:color="000000" w:sz="4" w:space="0"/>
                    <w:right w:val="single" w:color="000000" w:sz="4" w:space="0"/>
                  </w:tcBorders>
                  <w:vAlign w:val="center"/>
                </w:tcPr>
                <w:p w14:paraId="788BB5FD">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5</w:t>
                  </w:r>
                </w:p>
              </w:tc>
              <w:tc>
                <w:tcPr>
                  <w:tcW w:w="907" w:type="dxa"/>
                  <w:tcBorders>
                    <w:top w:val="single" w:color="000000" w:sz="4" w:space="0"/>
                    <w:left w:val="nil"/>
                    <w:bottom w:val="single" w:color="000000" w:sz="4" w:space="0"/>
                    <w:right w:val="single" w:color="000000" w:sz="4" w:space="0"/>
                  </w:tcBorders>
                  <w:vAlign w:val="center"/>
                </w:tcPr>
                <w:p w14:paraId="19CF0B30">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6</w:t>
                  </w:r>
                </w:p>
              </w:tc>
              <w:tc>
                <w:tcPr>
                  <w:tcW w:w="907" w:type="dxa"/>
                  <w:tcBorders>
                    <w:top w:val="single" w:color="000000" w:sz="4" w:space="0"/>
                    <w:left w:val="nil"/>
                    <w:bottom w:val="single" w:color="000000" w:sz="4" w:space="0"/>
                    <w:right w:val="single" w:color="000000" w:sz="4" w:space="0"/>
                  </w:tcBorders>
                  <w:vAlign w:val="center"/>
                </w:tcPr>
                <w:p w14:paraId="65AB404F">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7</w:t>
                  </w:r>
                </w:p>
              </w:tc>
            </w:tr>
            <w:tr w14:paraId="3053EFDA">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20B7C5ED">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下浮系数（%）</w:t>
                  </w:r>
                </w:p>
              </w:tc>
              <w:tc>
                <w:tcPr>
                  <w:tcW w:w="907" w:type="dxa"/>
                  <w:tcBorders>
                    <w:top w:val="single" w:color="000000" w:sz="4" w:space="0"/>
                    <w:left w:val="nil"/>
                    <w:bottom w:val="single" w:color="000000" w:sz="4" w:space="0"/>
                    <w:right w:val="single" w:color="000000" w:sz="4" w:space="0"/>
                  </w:tcBorders>
                  <w:vAlign w:val="center"/>
                </w:tcPr>
                <w:p w14:paraId="684788D1">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w:t>
                  </w:r>
                </w:p>
              </w:tc>
              <w:tc>
                <w:tcPr>
                  <w:tcW w:w="907" w:type="dxa"/>
                  <w:tcBorders>
                    <w:top w:val="single" w:color="000000" w:sz="4" w:space="0"/>
                    <w:left w:val="nil"/>
                    <w:bottom w:val="single" w:color="000000" w:sz="4" w:space="0"/>
                    <w:right w:val="single" w:color="000000" w:sz="4" w:space="0"/>
                  </w:tcBorders>
                  <w:vAlign w:val="center"/>
                </w:tcPr>
                <w:p w14:paraId="018843B0">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1.1</w:t>
                  </w:r>
                </w:p>
              </w:tc>
              <w:tc>
                <w:tcPr>
                  <w:tcW w:w="907" w:type="dxa"/>
                  <w:tcBorders>
                    <w:top w:val="single" w:color="000000" w:sz="4" w:space="0"/>
                    <w:left w:val="nil"/>
                    <w:bottom w:val="single" w:color="000000" w:sz="4" w:space="0"/>
                    <w:right w:val="single" w:color="000000" w:sz="4" w:space="0"/>
                  </w:tcBorders>
                  <w:vAlign w:val="center"/>
                </w:tcPr>
                <w:p w14:paraId="1E7B9883">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1.2</w:t>
                  </w:r>
                </w:p>
              </w:tc>
              <w:tc>
                <w:tcPr>
                  <w:tcW w:w="907" w:type="dxa"/>
                  <w:tcBorders>
                    <w:top w:val="single" w:color="000000" w:sz="4" w:space="0"/>
                    <w:left w:val="nil"/>
                    <w:bottom w:val="single" w:color="000000" w:sz="4" w:space="0"/>
                    <w:right w:val="single" w:color="000000" w:sz="4" w:space="0"/>
                  </w:tcBorders>
                  <w:vAlign w:val="center"/>
                </w:tcPr>
                <w:p w14:paraId="2D67BB11">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1.3</w:t>
                  </w:r>
                </w:p>
              </w:tc>
              <w:tc>
                <w:tcPr>
                  <w:tcW w:w="907" w:type="dxa"/>
                  <w:tcBorders>
                    <w:top w:val="single" w:color="000000" w:sz="4" w:space="0"/>
                    <w:left w:val="nil"/>
                    <w:bottom w:val="single" w:color="000000" w:sz="4" w:space="0"/>
                    <w:right w:val="single" w:color="000000" w:sz="4" w:space="0"/>
                  </w:tcBorders>
                  <w:vAlign w:val="center"/>
                </w:tcPr>
                <w:p w14:paraId="174E831D">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1.4</w:t>
                  </w:r>
                </w:p>
              </w:tc>
              <w:tc>
                <w:tcPr>
                  <w:tcW w:w="907" w:type="dxa"/>
                  <w:tcBorders>
                    <w:top w:val="single" w:color="000000" w:sz="4" w:space="0"/>
                    <w:left w:val="nil"/>
                    <w:bottom w:val="single" w:color="000000" w:sz="4" w:space="0"/>
                    <w:right w:val="single" w:color="000000" w:sz="4" w:space="0"/>
                  </w:tcBorders>
                  <w:vAlign w:val="center"/>
                </w:tcPr>
                <w:p w14:paraId="5B3A0167">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1.5</w:t>
                  </w:r>
                </w:p>
              </w:tc>
              <w:tc>
                <w:tcPr>
                  <w:tcW w:w="907" w:type="dxa"/>
                  <w:tcBorders>
                    <w:top w:val="single" w:color="000000" w:sz="4" w:space="0"/>
                    <w:left w:val="nil"/>
                    <w:bottom w:val="single" w:color="000000" w:sz="4" w:space="0"/>
                    <w:right w:val="single" w:color="000000" w:sz="4" w:space="0"/>
                  </w:tcBorders>
                  <w:vAlign w:val="center"/>
                </w:tcPr>
                <w:p w14:paraId="70BB36C8">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1.6</w:t>
                  </w:r>
                </w:p>
              </w:tc>
            </w:tr>
            <w:tr w14:paraId="60496ED0">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0E80F192">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号球</w:t>
                  </w:r>
                </w:p>
              </w:tc>
              <w:tc>
                <w:tcPr>
                  <w:tcW w:w="907" w:type="dxa"/>
                  <w:tcBorders>
                    <w:top w:val="single" w:color="000000" w:sz="4" w:space="0"/>
                    <w:left w:val="nil"/>
                    <w:bottom w:val="single" w:color="000000" w:sz="4" w:space="0"/>
                    <w:right w:val="single" w:color="000000" w:sz="4" w:space="0"/>
                  </w:tcBorders>
                  <w:vAlign w:val="center"/>
                </w:tcPr>
                <w:p w14:paraId="62C5568A">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8</w:t>
                  </w:r>
                </w:p>
              </w:tc>
              <w:tc>
                <w:tcPr>
                  <w:tcW w:w="907" w:type="dxa"/>
                  <w:tcBorders>
                    <w:top w:val="single" w:color="000000" w:sz="4" w:space="0"/>
                    <w:left w:val="nil"/>
                    <w:bottom w:val="single" w:color="000000" w:sz="4" w:space="0"/>
                    <w:right w:val="single" w:color="000000" w:sz="4" w:space="0"/>
                  </w:tcBorders>
                  <w:vAlign w:val="center"/>
                </w:tcPr>
                <w:p w14:paraId="6CAAA118">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9</w:t>
                  </w:r>
                </w:p>
              </w:tc>
              <w:tc>
                <w:tcPr>
                  <w:tcW w:w="907" w:type="dxa"/>
                  <w:tcBorders>
                    <w:top w:val="single" w:color="000000" w:sz="4" w:space="0"/>
                    <w:left w:val="nil"/>
                    <w:bottom w:val="single" w:color="000000" w:sz="4" w:space="0"/>
                    <w:right w:val="single" w:color="000000" w:sz="4" w:space="0"/>
                  </w:tcBorders>
                  <w:vAlign w:val="center"/>
                </w:tcPr>
                <w:p w14:paraId="09F8F75A">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10</w:t>
                  </w:r>
                </w:p>
              </w:tc>
              <w:tc>
                <w:tcPr>
                  <w:tcW w:w="907" w:type="dxa"/>
                  <w:tcBorders>
                    <w:top w:val="single" w:color="000000" w:sz="4" w:space="0"/>
                    <w:left w:val="nil"/>
                    <w:bottom w:val="single" w:color="000000" w:sz="4" w:space="0"/>
                    <w:right w:val="single" w:color="000000" w:sz="4" w:space="0"/>
                  </w:tcBorders>
                  <w:vAlign w:val="center"/>
                </w:tcPr>
                <w:p w14:paraId="2032880B">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11</w:t>
                  </w:r>
                </w:p>
              </w:tc>
              <w:tc>
                <w:tcPr>
                  <w:tcW w:w="907" w:type="dxa"/>
                  <w:tcBorders>
                    <w:top w:val="single" w:color="000000" w:sz="4" w:space="0"/>
                    <w:left w:val="nil"/>
                    <w:bottom w:val="single" w:color="000000" w:sz="4" w:space="0"/>
                    <w:right w:val="single" w:color="000000" w:sz="4" w:space="0"/>
                  </w:tcBorders>
                  <w:vAlign w:val="center"/>
                </w:tcPr>
                <w:p w14:paraId="39CD0AAB">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12</w:t>
                  </w:r>
                </w:p>
              </w:tc>
              <w:tc>
                <w:tcPr>
                  <w:tcW w:w="907" w:type="dxa"/>
                  <w:tcBorders>
                    <w:top w:val="single" w:color="000000" w:sz="4" w:space="0"/>
                    <w:left w:val="nil"/>
                    <w:bottom w:val="single" w:color="000000" w:sz="4" w:space="0"/>
                    <w:right w:val="single" w:color="000000" w:sz="4" w:space="0"/>
                  </w:tcBorders>
                  <w:vAlign w:val="center"/>
                </w:tcPr>
                <w:p w14:paraId="1EAA773A">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13</w:t>
                  </w:r>
                </w:p>
              </w:tc>
              <w:tc>
                <w:tcPr>
                  <w:tcW w:w="907" w:type="dxa"/>
                  <w:tcBorders>
                    <w:top w:val="single" w:color="000000" w:sz="4" w:space="0"/>
                    <w:left w:val="nil"/>
                    <w:bottom w:val="single" w:color="000000" w:sz="4" w:space="0"/>
                    <w:right w:val="single" w:color="000000" w:sz="4" w:space="0"/>
                  </w:tcBorders>
                  <w:vAlign w:val="center"/>
                </w:tcPr>
                <w:p w14:paraId="07EA67FE">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14</w:t>
                  </w:r>
                </w:p>
              </w:tc>
            </w:tr>
            <w:tr w14:paraId="3488E907">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36120830">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下浮系数（%）</w:t>
                  </w:r>
                </w:p>
              </w:tc>
              <w:tc>
                <w:tcPr>
                  <w:tcW w:w="907" w:type="dxa"/>
                  <w:tcBorders>
                    <w:top w:val="single" w:color="000000" w:sz="4" w:space="0"/>
                    <w:left w:val="nil"/>
                    <w:bottom w:val="single" w:color="000000" w:sz="4" w:space="0"/>
                    <w:right w:val="single" w:color="000000" w:sz="4" w:space="0"/>
                  </w:tcBorders>
                  <w:vAlign w:val="center"/>
                </w:tcPr>
                <w:p w14:paraId="2BE5147A">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1.7</w:t>
                  </w:r>
                </w:p>
              </w:tc>
              <w:tc>
                <w:tcPr>
                  <w:tcW w:w="907" w:type="dxa"/>
                  <w:tcBorders>
                    <w:top w:val="single" w:color="000000" w:sz="4" w:space="0"/>
                    <w:left w:val="nil"/>
                    <w:bottom w:val="single" w:color="000000" w:sz="4" w:space="0"/>
                    <w:right w:val="single" w:color="000000" w:sz="4" w:space="0"/>
                  </w:tcBorders>
                  <w:vAlign w:val="center"/>
                </w:tcPr>
                <w:p w14:paraId="59152AB4">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1.8</w:t>
                  </w:r>
                </w:p>
              </w:tc>
              <w:tc>
                <w:tcPr>
                  <w:tcW w:w="907" w:type="dxa"/>
                  <w:tcBorders>
                    <w:top w:val="single" w:color="000000" w:sz="4" w:space="0"/>
                    <w:left w:val="nil"/>
                    <w:bottom w:val="single" w:color="000000" w:sz="4" w:space="0"/>
                    <w:right w:val="single" w:color="000000" w:sz="4" w:space="0"/>
                  </w:tcBorders>
                  <w:vAlign w:val="center"/>
                </w:tcPr>
                <w:p w14:paraId="5495ABB1">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1.9</w:t>
                  </w:r>
                </w:p>
              </w:tc>
              <w:tc>
                <w:tcPr>
                  <w:tcW w:w="907" w:type="dxa"/>
                  <w:tcBorders>
                    <w:top w:val="single" w:color="000000" w:sz="4" w:space="0"/>
                    <w:left w:val="nil"/>
                    <w:bottom w:val="single" w:color="000000" w:sz="4" w:space="0"/>
                    <w:right w:val="single" w:color="000000" w:sz="4" w:space="0"/>
                  </w:tcBorders>
                  <w:vAlign w:val="center"/>
                </w:tcPr>
                <w:p w14:paraId="34D1000E">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2.0</w:t>
                  </w:r>
                </w:p>
              </w:tc>
              <w:tc>
                <w:tcPr>
                  <w:tcW w:w="907" w:type="dxa"/>
                  <w:tcBorders>
                    <w:top w:val="single" w:color="000000" w:sz="4" w:space="0"/>
                    <w:left w:val="nil"/>
                    <w:bottom w:val="single" w:color="000000" w:sz="4" w:space="0"/>
                    <w:right w:val="single" w:color="000000" w:sz="4" w:space="0"/>
                  </w:tcBorders>
                  <w:vAlign w:val="center"/>
                </w:tcPr>
                <w:p w14:paraId="6AE99D93">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2.1</w:t>
                  </w:r>
                </w:p>
              </w:tc>
              <w:tc>
                <w:tcPr>
                  <w:tcW w:w="907" w:type="dxa"/>
                  <w:tcBorders>
                    <w:top w:val="single" w:color="000000" w:sz="4" w:space="0"/>
                    <w:left w:val="nil"/>
                    <w:bottom w:val="single" w:color="000000" w:sz="4" w:space="0"/>
                    <w:right w:val="single" w:color="000000" w:sz="4" w:space="0"/>
                  </w:tcBorders>
                  <w:vAlign w:val="center"/>
                </w:tcPr>
                <w:p w14:paraId="3B70085A">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2.2</w:t>
                  </w:r>
                </w:p>
              </w:tc>
              <w:tc>
                <w:tcPr>
                  <w:tcW w:w="907" w:type="dxa"/>
                  <w:tcBorders>
                    <w:top w:val="single" w:color="000000" w:sz="4" w:space="0"/>
                    <w:left w:val="nil"/>
                    <w:bottom w:val="single" w:color="000000" w:sz="4" w:space="0"/>
                    <w:right w:val="single" w:color="000000" w:sz="4" w:space="0"/>
                  </w:tcBorders>
                  <w:vAlign w:val="center"/>
                </w:tcPr>
                <w:p w14:paraId="466E2047">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2.3</w:t>
                  </w:r>
                </w:p>
              </w:tc>
            </w:tr>
            <w:tr w14:paraId="65C9AF8C">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3929F3FD">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号球</w:t>
                  </w:r>
                </w:p>
              </w:tc>
              <w:tc>
                <w:tcPr>
                  <w:tcW w:w="907" w:type="dxa"/>
                  <w:tcBorders>
                    <w:top w:val="single" w:color="000000" w:sz="4" w:space="0"/>
                    <w:left w:val="nil"/>
                    <w:bottom w:val="single" w:color="000000" w:sz="4" w:space="0"/>
                    <w:right w:val="single" w:color="000000" w:sz="4" w:space="0"/>
                  </w:tcBorders>
                  <w:vAlign w:val="center"/>
                </w:tcPr>
                <w:p w14:paraId="7DC4F200">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15</w:t>
                  </w:r>
                </w:p>
              </w:tc>
              <w:tc>
                <w:tcPr>
                  <w:tcW w:w="907" w:type="dxa"/>
                  <w:tcBorders>
                    <w:top w:val="single" w:color="000000" w:sz="4" w:space="0"/>
                    <w:left w:val="nil"/>
                    <w:bottom w:val="single" w:color="000000" w:sz="4" w:space="0"/>
                    <w:right w:val="single" w:color="000000" w:sz="4" w:space="0"/>
                  </w:tcBorders>
                  <w:vAlign w:val="center"/>
                </w:tcPr>
                <w:p w14:paraId="35092086">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16</w:t>
                  </w:r>
                </w:p>
              </w:tc>
              <w:tc>
                <w:tcPr>
                  <w:tcW w:w="907" w:type="dxa"/>
                  <w:tcBorders>
                    <w:top w:val="single" w:color="000000" w:sz="4" w:space="0"/>
                    <w:left w:val="nil"/>
                    <w:bottom w:val="single" w:color="000000" w:sz="4" w:space="0"/>
                    <w:right w:val="single" w:color="000000" w:sz="4" w:space="0"/>
                  </w:tcBorders>
                  <w:vAlign w:val="center"/>
                </w:tcPr>
                <w:p w14:paraId="76DC3854">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17</w:t>
                  </w:r>
                </w:p>
              </w:tc>
              <w:tc>
                <w:tcPr>
                  <w:tcW w:w="907" w:type="dxa"/>
                  <w:tcBorders>
                    <w:top w:val="single" w:color="000000" w:sz="4" w:space="0"/>
                    <w:left w:val="nil"/>
                    <w:bottom w:val="single" w:color="000000" w:sz="4" w:space="0"/>
                    <w:right w:val="single" w:color="000000" w:sz="4" w:space="0"/>
                  </w:tcBorders>
                  <w:vAlign w:val="center"/>
                </w:tcPr>
                <w:p w14:paraId="24086F1B">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18</w:t>
                  </w:r>
                </w:p>
              </w:tc>
              <w:tc>
                <w:tcPr>
                  <w:tcW w:w="907" w:type="dxa"/>
                  <w:tcBorders>
                    <w:top w:val="single" w:color="000000" w:sz="4" w:space="0"/>
                    <w:left w:val="nil"/>
                    <w:bottom w:val="single" w:color="000000" w:sz="4" w:space="0"/>
                    <w:right w:val="single" w:color="000000" w:sz="4" w:space="0"/>
                  </w:tcBorders>
                  <w:vAlign w:val="center"/>
                </w:tcPr>
                <w:p w14:paraId="28E866FB">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19</w:t>
                  </w:r>
                </w:p>
              </w:tc>
              <w:tc>
                <w:tcPr>
                  <w:tcW w:w="907" w:type="dxa"/>
                  <w:tcBorders>
                    <w:top w:val="single" w:color="000000" w:sz="4" w:space="0"/>
                    <w:left w:val="nil"/>
                    <w:bottom w:val="single" w:color="000000" w:sz="4" w:space="0"/>
                    <w:right w:val="single" w:color="000000" w:sz="4" w:space="0"/>
                  </w:tcBorders>
                  <w:vAlign w:val="center"/>
                </w:tcPr>
                <w:p w14:paraId="37A50DEE">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20</w:t>
                  </w:r>
                </w:p>
              </w:tc>
              <w:tc>
                <w:tcPr>
                  <w:tcW w:w="907" w:type="dxa"/>
                  <w:tcBorders>
                    <w:top w:val="single" w:color="000000" w:sz="4" w:space="0"/>
                    <w:left w:val="nil"/>
                    <w:bottom w:val="single" w:color="000000" w:sz="4" w:space="0"/>
                    <w:right w:val="single" w:color="000000" w:sz="4" w:space="0"/>
                  </w:tcBorders>
                  <w:vAlign w:val="center"/>
                </w:tcPr>
                <w:p w14:paraId="51B2AE17">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21</w:t>
                  </w:r>
                </w:p>
              </w:tc>
            </w:tr>
            <w:tr w14:paraId="5E4A71AB">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0EEA8BF3">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下浮系数（%）</w:t>
                  </w:r>
                </w:p>
              </w:tc>
              <w:tc>
                <w:tcPr>
                  <w:tcW w:w="907" w:type="dxa"/>
                  <w:tcBorders>
                    <w:top w:val="single" w:color="000000" w:sz="4" w:space="0"/>
                    <w:left w:val="nil"/>
                    <w:bottom w:val="single" w:color="000000" w:sz="4" w:space="0"/>
                    <w:right w:val="single" w:color="000000" w:sz="4" w:space="0"/>
                  </w:tcBorders>
                  <w:vAlign w:val="center"/>
                </w:tcPr>
                <w:p w14:paraId="57DAC3C0">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2.4</w:t>
                  </w:r>
                </w:p>
              </w:tc>
              <w:tc>
                <w:tcPr>
                  <w:tcW w:w="907" w:type="dxa"/>
                  <w:tcBorders>
                    <w:top w:val="single" w:color="000000" w:sz="4" w:space="0"/>
                    <w:left w:val="nil"/>
                    <w:bottom w:val="single" w:color="000000" w:sz="4" w:space="0"/>
                    <w:right w:val="single" w:color="000000" w:sz="4" w:space="0"/>
                  </w:tcBorders>
                  <w:vAlign w:val="center"/>
                </w:tcPr>
                <w:p w14:paraId="61CE9CCE">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2.5</w:t>
                  </w:r>
                </w:p>
              </w:tc>
              <w:tc>
                <w:tcPr>
                  <w:tcW w:w="907" w:type="dxa"/>
                  <w:tcBorders>
                    <w:top w:val="single" w:color="000000" w:sz="4" w:space="0"/>
                    <w:left w:val="nil"/>
                    <w:bottom w:val="single" w:color="000000" w:sz="4" w:space="0"/>
                    <w:right w:val="single" w:color="000000" w:sz="4" w:space="0"/>
                  </w:tcBorders>
                  <w:vAlign w:val="center"/>
                </w:tcPr>
                <w:p w14:paraId="77026F2E">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2.6</w:t>
                  </w:r>
                </w:p>
              </w:tc>
              <w:tc>
                <w:tcPr>
                  <w:tcW w:w="907" w:type="dxa"/>
                  <w:tcBorders>
                    <w:top w:val="single" w:color="000000" w:sz="4" w:space="0"/>
                    <w:left w:val="nil"/>
                    <w:bottom w:val="single" w:color="000000" w:sz="4" w:space="0"/>
                    <w:right w:val="single" w:color="000000" w:sz="4" w:space="0"/>
                  </w:tcBorders>
                  <w:vAlign w:val="center"/>
                </w:tcPr>
                <w:p w14:paraId="16ECB689">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2.7</w:t>
                  </w:r>
                </w:p>
              </w:tc>
              <w:tc>
                <w:tcPr>
                  <w:tcW w:w="907" w:type="dxa"/>
                  <w:tcBorders>
                    <w:top w:val="single" w:color="000000" w:sz="4" w:space="0"/>
                    <w:left w:val="nil"/>
                    <w:bottom w:val="single" w:color="000000" w:sz="4" w:space="0"/>
                    <w:right w:val="single" w:color="000000" w:sz="4" w:space="0"/>
                  </w:tcBorders>
                  <w:vAlign w:val="center"/>
                </w:tcPr>
                <w:p w14:paraId="576A3676">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2.8</w:t>
                  </w:r>
                </w:p>
              </w:tc>
              <w:tc>
                <w:tcPr>
                  <w:tcW w:w="907" w:type="dxa"/>
                  <w:tcBorders>
                    <w:top w:val="single" w:color="000000" w:sz="4" w:space="0"/>
                    <w:left w:val="nil"/>
                    <w:bottom w:val="single" w:color="000000" w:sz="4" w:space="0"/>
                    <w:right w:val="single" w:color="000000" w:sz="4" w:space="0"/>
                  </w:tcBorders>
                  <w:vAlign w:val="center"/>
                </w:tcPr>
                <w:p w14:paraId="1C2D1CEE">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2.9</w:t>
                  </w:r>
                </w:p>
              </w:tc>
              <w:tc>
                <w:tcPr>
                  <w:tcW w:w="907" w:type="dxa"/>
                  <w:tcBorders>
                    <w:top w:val="single" w:color="000000" w:sz="4" w:space="0"/>
                    <w:left w:val="nil"/>
                    <w:bottom w:val="single" w:color="000000" w:sz="4" w:space="0"/>
                    <w:right w:val="single" w:color="000000" w:sz="4" w:space="0"/>
                  </w:tcBorders>
                  <w:vAlign w:val="center"/>
                </w:tcPr>
                <w:p w14:paraId="200CE25E">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3.0</w:t>
                  </w:r>
                </w:p>
              </w:tc>
            </w:tr>
          </w:tbl>
          <w:p w14:paraId="7FC3A48E">
            <w:pPr>
              <w:pStyle w:val="36"/>
              <w:keepNext w:val="0"/>
              <w:keepLines w:val="0"/>
              <w:pageBreakBefore w:val="0"/>
              <w:kinsoku/>
              <w:overflowPunct/>
              <w:topLinePunct w:val="0"/>
              <w:autoSpaceDE/>
              <w:autoSpaceDN/>
              <w:bidi w:val="0"/>
              <w:spacing w:line="40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（2）评标基准价D＝最高投标限价×（1－n）</w:t>
            </w:r>
          </w:p>
        </w:tc>
      </w:tr>
      <w:tr w14:paraId="2192D797">
        <w:tblPrEx>
          <w:tblCellMar>
            <w:top w:w="0" w:type="dxa"/>
            <w:left w:w="10" w:type="dxa"/>
            <w:bottom w:w="0" w:type="dxa"/>
            <w:right w:w="10" w:type="dxa"/>
          </w:tblCellMar>
        </w:tblPrEx>
        <w:trPr>
          <w:trHeight w:val="3064"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90CC6A">
            <w:pPr>
              <w:pStyle w:val="35"/>
              <w:keepNext w:val="0"/>
              <w:keepLines w:val="0"/>
              <w:pageBreakBefore w:val="0"/>
              <w:kinsoku/>
              <w:overflowPunct/>
              <w:topLinePunct w:val="0"/>
              <w:autoSpaceDE/>
              <w:autoSpaceDN/>
              <w:bidi w:val="0"/>
              <w:spacing w:line="40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p w14:paraId="351D5E04">
            <w:pPr>
              <w:pStyle w:val="35"/>
              <w:keepNext w:val="0"/>
              <w:keepLines w:val="0"/>
              <w:pageBreakBefore w:val="0"/>
              <w:kinsoku/>
              <w:overflowPunct/>
              <w:topLinePunct w:val="0"/>
              <w:autoSpaceDE/>
              <w:autoSpaceDN/>
              <w:bidi w:val="0"/>
              <w:spacing w:line="40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得分M</w:t>
            </w:r>
            <w:r>
              <w:rPr>
                <w:rFonts w:hint="eastAsia" w:ascii="宋体" w:hAnsi="宋体" w:eastAsia="宋体" w:cs="宋体"/>
                <w:color w:val="000000" w:themeColor="text1"/>
                <w:sz w:val="24"/>
                <w:szCs w:val="24"/>
                <w:highlight w:val="none"/>
                <w:vertAlign w:val="subscript"/>
                <w14:textFill>
                  <w14:solidFill>
                    <w14:schemeClr w14:val="tx1"/>
                  </w14:solidFill>
                </w14:textFill>
              </w:rPr>
              <w:t>3</w:t>
            </w:r>
          </w:p>
        </w:tc>
        <w:tc>
          <w:tcPr>
            <w:tcW w:w="85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D10F02">
            <w:pPr>
              <w:keepNext w:val="0"/>
              <w:keepLines w:val="0"/>
              <w:pageBreakBefore w:val="0"/>
              <w:kinsoku/>
              <w:overflowPunct/>
              <w:topLinePunct w:val="0"/>
              <w:autoSpaceDE/>
              <w:autoSpaceDN/>
              <w:bidi w:val="0"/>
              <w:adjustRightInd w:val="0"/>
              <w:snapToGrid w:val="0"/>
              <w:spacing w:line="4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采用内插法计算某投标人的投标报价得分M</w:t>
            </w:r>
            <w:r>
              <w:rPr>
                <w:rFonts w:hint="eastAsia" w:hAnsi="宋体" w:cs="宋体"/>
                <w:snapToGrid w:val="0"/>
                <w:color w:val="000000" w:themeColor="text1"/>
                <w:kern w:val="0"/>
                <w:szCs w:val="24"/>
                <w:highlight w:val="none"/>
                <w:vertAlign w:val="subscript"/>
                <w14:textFill>
                  <w14:solidFill>
                    <w14:schemeClr w14:val="tx1"/>
                  </w14:solidFill>
                </w14:textFill>
              </w:rPr>
              <w:t>3</w:t>
            </w:r>
            <w:r>
              <w:rPr>
                <w:rFonts w:hint="eastAsia" w:hAnsi="宋体" w:cs="宋体"/>
                <w:snapToGrid w:val="0"/>
                <w:color w:val="000000" w:themeColor="text1"/>
                <w:kern w:val="0"/>
                <w:szCs w:val="24"/>
                <w:highlight w:val="none"/>
                <w14:textFill>
                  <w14:solidFill>
                    <w14:schemeClr w14:val="tx1"/>
                  </w14:solidFill>
                </w14:textFill>
              </w:rPr>
              <w:t>，即当投标人的投标总价等于评标基准价时得</w:t>
            </w:r>
            <w:r>
              <w:rPr>
                <w:rFonts w:hint="eastAsia" w:hAnsi="宋体" w:cs="宋体"/>
                <w:snapToGrid w:val="0"/>
                <w:color w:val="000000" w:themeColor="text1"/>
                <w:kern w:val="0"/>
                <w:szCs w:val="24"/>
                <w:highlight w:val="none"/>
                <w:lang w:val="en-US" w:eastAsia="zh-CN"/>
                <w14:textFill>
                  <w14:solidFill>
                    <w14:schemeClr w14:val="tx1"/>
                  </w14:solidFill>
                </w14:textFill>
              </w:rPr>
              <w:t>20</w:t>
            </w:r>
            <w:r>
              <w:rPr>
                <w:rFonts w:hint="eastAsia" w:hAnsi="宋体" w:cs="宋体"/>
                <w:snapToGrid w:val="0"/>
                <w:color w:val="000000" w:themeColor="text1"/>
                <w:kern w:val="0"/>
                <w:szCs w:val="24"/>
                <w:highlight w:val="none"/>
                <w14:textFill>
                  <w14:solidFill>
                    <w14:schemeClr w14:val="tx1"/>
                  </w14:solidFill>
                </w14:textFill>
              </w:rPr>
              <w:t>分，每高于评标基准价一个百分点扣</w:t>
            </w:r>
            <w:r>
              <w:rPr>
                <w:rFonts w:hint="eastAsia" w:hAnsi="宋体" w:cs="宋体"/>
                <w:snapToGrid w:val="0"/>
                <w:color w:val="000000" w:themeColor="text1"/>
                <w:kern w:val="0"/>
                <w:szCs w:val="24"/>
                <w:highlight w:val="none"/>
                <w:lang w:val="en-US" w:eastAsia="zh-CN"/>
                <w14:textFill>
                  <w14:solidFill>
                    <w14:schemeClr w14:val="tx1"/>
                  </w14:solidFill>
                </w14:textFill>
              </w:rPr>
              <w:t>0.5</w:t>
            </w:r>
            <w:r>
              <w:rPr>
                <w:rFonts w:hint="eastAsia" w:hAnsi="宋体" w:cs="宋体"/>
                <w:snapToGrid w:val="0"/>
                <w:color w:val="000000" w:themeColor="text1"/>
                <w:kern w:val="0"/>
                <w:szCs w:val="24"/>
                <w:highlight w:val="none"/>
                <w14:textFill>
                  <w14:solidFill>
                    <w14:schemeClr w14:val="tx1"/>
                  </w14:solidFill>
                </w14:textFill>
              </w:rPr>
              <w:t>分,每低于评标基准价一个百分点扣</w:t>
            </w:r>
            <w:r>
              <w:rPr>
                <w:rFonts w:hint="eastAsia" w:hAnsi="宋体" w:cs="宋体"/>
                <w:snapToGrid w:val="0"/>
                <w:color w:val="000000" w:themeColor="text1"/>
                <w:kern w:val="0"/>
                <w:szCs w:val="24"/>
                <w:highlight w:val="none"/>
                <w:lang w:val="en-US" w:eastAsia="zh-CN"/>
                <w14:textFill>
                  <w14:solidFill>
                    <w14:schemeClr w14:val="tx1"/>
                  </w14:solidFill>
                </w14:textFill>
              </w:rPr>
              <w:t>0.3</w:t>
            </w:r>
            <w:r>
              <w:rPr>
                <w:rFonts w:hint="eastAsia" w:hAnsi="宋体" w:cs="宋体"/>
                <w:snapToGrid w:val="0"/>
                <w:color w:val="000000" w:themeColor="text1"/>
                <w:kern w:val="0"/>
                <w:szCs w:val="24"/>
                <w:highlight w:val="none"/>
                <w14:textFill>
                  <w14:solidFill>
                    <w14:schemeClr w14:val="tx1"/>
                  </w14:solidFill>
                </w14:textFill>
              </w:rPr>
              <w:t>分，扣完为止。公式如下：</w:t>
            </w:r>
          </w:p>
          <w:p w14:paraId="4D52E386">
            <w:pPr>
              <w:keepNext w:val="0"/>
              <w:keepLines w:val="0"/>
              <w:pageBreakBefore w:val="0"/>
              <w:kinsoku/>
              <w:overflowPunct/>
              <w:topLinePunct w:val="0"/>
              <w:autoSpaceDE/>
              <w:autoSpaceDN/>
              <w:bidi w:val="0"/>
              <w:adjustRightInd w:val="0"/>
              <w:snapToGrid w:val="0"/>
              <w:spacing w:line="4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M</w:t>
            </w:r>
            <w:r>
              <w:rPr>
                <w:rFonts w:hint="eastAsia" w:hAnsi="宋体" w:cs="宋体"/>
                <w:snapToGrid w:val="0"/>
                <w:color w:val="000000" w:themeColor="text1"/>
                <w:kern w:val="0"/>
                <w:szCs w:val="24"/>
                <w:highlight w:val="none"/>
                <w:vertAlign w:val="subscript"/>
                <w14:textFill>
                  <w14:solidFill>
                    <w14:schemeClr w14:val="tx1"/>
                  </w14:solidFill>
                </w14:textFill>
              </w:rPr>
              <w:t>3</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20</w:t>
            </w:r>
            <w:r>
              <w:rPr>
                <w:rFonts w:hint="eastAsia" w:hAnsi="宋体" w:cs="宋体"/>
                <w:snapToGrid w:val="0"/>
                <w:color w:val="000000" w:themeColor="text1"/>
                <w:kern w:val="0"/>
                <w:szCs w:val="24"/>
                <w:highlight w:val="none"/>
                <w14:textFill>
                  <w14:solidFill>
                    <w14:schemeClr w14:val="tx1"/>
                  </w14:solidFill>
                </w14:textFill>
              </w:rPr>
              <w:t>－（|Di－D|÷D）×100×E</w:t>
            </w:r>
          </w:p>
          <w:p w14:paraId="004BD6CC">
            <w:pPr>
              <w:keepNext w:val="0"/>
              <w:keepLines w:val="0"/>
              <w:pageBreakBefore w:val="0"/>
              <w:kinsoku/>
              <w:overflowPunct/>
              <w:topLinePunct w:val="0"/>
              <w:autoSpaceDE/>
              <w:autoSpaceDN/>
              <w:bidi w:val="0"/>
              <w:spacing w:line="400" w:lineRule="exact"/>
              <w:ind w:firstLine="48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式中：D为评标基准价，Di为某投标人的投标总价；E为扣分因子。当Di＞D时，E＝</w:t>
            </w:r>
            <w:r>
              <w:rPr>
                <w:rFonts w:hint="eastAsia" w:hAnsi="宋体" w:cs="宋体"/>
                <w:snapToGrid w:val="0"/>
                <w:color w:val="000000" w:themeColor="text1"/>
                <w:kern w:val="0"/>
                <w:szCs w:val="24"/>
                <w:highlight w:val="none"/>
                <w:lang w:val="en-US" w:eastAsia="zh-CN"/>
                <w14:textFill>
                  <w14:solidFill>
                    <w14:schemeClr w14:val="tx1"/>
                  </w14:solidFill>
                </w14:textFill>
              </w:rPr>
              <w:t>0.5</w:t>
            </w:r>
            <w:r>
              <w:rPr>
                <w:rFonts w:hint="eastAsia" w:hAnsi="宋体" w:cs="宋体"/>
                <w:snapToGrid w:val="0"/>
                <w:color w:val="000000" w:themeColor="text1"/>
                <w:kern w:val="0"/>
                <w:szCs w:val="24"/>
                <w:highlight w:val="none"/>
                <w14:textFill>
                  <w14:solidFill>
                    <w14:schemeClr w14:val="tx1"/>
                  </w14:solidFill>
                </w14:textFill>
              </w:rPr>
              <w:t>；当Di＜D时，E＝</w:t>
            </w:r>
            <w:r>
              <w:rPr>
                <w:rFonts w:hint="eastAsia" w:hAnsi="宋体" w:cs="宋体"/>
                <w:snapToGrid w:val="0"/>
                <w:color w:val="000000" w:themeColor="text1"/>
                <w:kern w:val="0"/>
                <w:szCs w:val="24"/>
                <w:highlight w:val="none"/>
                <w:lang w:val="en-US" w:eastAsia="zh-CN"/>
                <w14:textFill>
                  <w14:solidFill>
                    <w14:schemeClr w14:val="tx1"/>
                  </w14:solidFill>
                </w14:textFill>
              </w:rPr>
              <w:t>0.3</w:t>
            </w:r>
            <w:r>
              <w:rPr>
                <w:rFonts w:hint="eastAsia" w:hAnsi="宋体" w:cs="宋体"/>
                <w:snapToGrid w:val="0"/>
                <w:color w:val="000000" w:themeColor="text1"/>
                <w:kern w:val="0"/>
                <w:szCs w:val="24"/>
                <w:highlight w:val="none"/>
                <w14:textFill>
                  <w14:solidFill>
                    <w14:schemeClr w14:val="tx1"/>
                  </w14:solidFill>
                </w14:textFill>
              </w:rPr>
              <w:t>。</w:t>
            </w:r>
          </w:p>
          <w:p w14:paraId="7067B699">
            <w:pPr>
              <w:keepNext w:val="0"/>
              <w:keepLines w:val="0"/>
              <w:pageBreakBefore w:val="0"/>
              <w:kinsoku/>
              <w:overflowPunct/>
              <w:topLinePunct w:val="0"/>
              <w:autoSpaceDE/>
              <w:autoSpaceDN/>
              <w:bidi w:val="0"/>
              <w:spacing w:line="400" w:lineRule="exact"/>
              <w:ind w:firstLine="480"/>
              <w:jc w:val="left"/>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式中：M3=经济部分得分，保留小数点后两位。</w:t>
            </w:r>
          </w:p>
        </w:tc>
      </w:tr>
    </w:tbl>
    <w:p w14:paraId="3B02AFA4">
      <w:pPr>
        <w:rPr>
          <w:rFonts w:hint="eastAsia" w:hAnsi="宋体" w:cs="宋体"/>
          <w:b/>
          <w:bCs/>
          <w:snapToGrid w:val="0"/>
          <w:color w:val="000000" w:themeColor="text1"/>
          <w:kern w:val="0"/>
          <w:sz w:val="28"/>
          <w:szCs w:val="28"/>
          <w:highlight w:val="none"/>
          <w14:textFill>
            <w14:solidFill>
              <w14:schemeClr w14:val="tx1"/>
            </w14:solidFill>
          </w14:textFill>
        </w:rPr>
      </w:pPr>
    </w:p>
    <w:p w14:paraId="4DF19E36">
      <w:pPr>
        <w:bidi w:val="0"/>
        <w:rPr>
          <w:rFonts w:hint="eastAsia"/>
          <w:color w:val="000000" w:themeColor="text1"/>
          <w:highlight w:val="none"/>
          <w14:textFill>
            <w14:solidFill>
              <w14:schemeClr w14:val="tx1"/>
            </w14:solidFill>
          </w14:textFill>
        </w:rPr>
      </w:pPr>
    </w:p>
    <w:p w14:paraId="1CA5169A">
      <w:pPr>
        <w:wordWrap w:val="0"/>
        <w:adjustRightInd w:val="0"/>
        <w:snapToGrid w:val="0"/>
        <w:spacing w:after="240" w:afterLines="100" w:line="440" w:lineRule="exact"/>
        <w:jc w:val="center"/>
        <w:rPr>
          <w:rFonts w:hAnsi="宋体" w:cs="宋体"/>
          <w:b/>
          <w:bCs/>
          <w:snapToGrid w:val="0"/>
          <w:color w:val="000000" w:themeColor="text1"/>
          <w:kern w:val="0"/>
          <w:sz w:val="28"/>
          <w:szCs w:val="28"/>
          <w:highlight w:val="none"/>
          <w14:textFill>
            <w14:solidFill>
              <w14:schemeClr w14:val="tx1"/>
            </w14:solidFill>
          </w14:textFill>
        </w:rPr>
      </w:pPr>
      <w:r>
        <w:rPr>
          <w:rFonts w:hint="eastAsia" w:hAnsi="宋体" w:cs="宋体"/>
          <w:b/>
          <w:bCs/>
          <w:snapToGrid w:val="0"/>
          <w:color w:val="000000" w:themeColor="text1"/>
          <w:kern w:val="0"/>
          <w:sz w:val="28"/>
          <w:szCs w:val="28"/>
          <w:highlight w:val="none"/>
          <w14:textFill>
            <w14:solidFill>
              <w14:schemeClr w14:val="tx1"/>
            </w14:solidFill>
          </w14:textFill>
        </w:rPr>
        <w:t>表2 项目监理机构其他人员需求表</w:t>
      </w:r>
    </w:p>
    <w:tbl>
      <w:tblPr>
        <w:tblStyle w:val="19"/>
        <w:tblW w:w="9260" w:type="dxa"/>
        <w:jc w:val="center"/>
        <w:tblLayout w:type="autofit"/>
        <w:tblCellMar>
          <w:top w:w="0" w:type="dxa"/>
          <w:left w:w="108" w:type="dxa"/>
          <w:bottom w:w="0" w:type="dxa"/>
          <w:right w:w="108" w:type="dxa"/>
        </w:tblCellMar>
      </w:tblPr>
      <w:tblGrid>
        <w:gridCol w:w="1069"/>
        <w:gridCol w:w="2146"/>
        <w:gridCol w:w="840"/>
        <w:gridCol w:w="5205"/>
      </w:tblGrid>
      <w:tr w14:paraId="1DEB1274">
        <w:tblPrEx>
          <w:tblCellMar>
            <w:top w:w="0" w:type="dxa"/>
            <w:left w:w="108" w:type="dxa"/>
            <w:bottom w:w="0" w:type="dxa"/>
            <w:right w:w="108" w:type="dxa"/>
          </w:tblCellMar>
        </w:tblPrEx>
        <w:trPr>
          <w:trHeight w:val="664" w:hRule="atLeast"/>
          <w:jc w:val="center"/>
        </w:trPr>
        <w:tc>
          <w:tcPr>
            <w:tcW w:w="9260" w:type="dxa"/>
            <w:gridSpan w:val="4"/>
            <w:tcBorders>
              <w:top w:val="single" w:color="auto" w:sz="8" w:space="0"/>
              <w:left w:val="single" w:color="auto" w:sz="8" w:space="0"/>
              <w:bottom w:val="nil"/>
              <w:right w:val="single" w:color="000000" w:sz="8" w:space="0"/>
            </w:tcBorders>
            <w:vAlign w:val="center"/>
          </w:tcPr>
          <w:p w14:paraId="36CB91C2">
            <w:pPr>
              <w:widowControl/>
              <w:spacing w:line="240" w:lineRule="auto"/>
              <w:jc w:val="left"/>
              <w:rPr>
                <w:rFonts w:hAnsi="宋体" w:cs="宋体"/>
                <w:b/>
                <w:bCs/>
                <w:color w:val="000000" w:themeColor="text1"/>
                <w:kern w:val="0"/>
                <w:szCs w:val="24"/>
                <w:highlight w:val="none"/>
                <w14:textFill>
                  <w14:solidFill>
                    <w14:schemeClr w14:val="tx1"/>
                  </w14:solidFill>
                </w14:textFill>
              </w:rPr>
            </w:pPr>
            <w:r>
              <w:rPr>
                <w:rFonts w:hint="eastAsia" w:hAnsi="宋体" w:cs="宋体"/>
                <w:b/>
                <w:bCs/>
                <w:color w:val="000000" w:themeColor="text1"/>
                <w:kern w:val="0"/>
                <w:szCs w:val="24"/>
                <w:highlight w:val="none"/>
                <w14:textFill>
                  <w14:solidFill>
                    <w14:schemeClr w14:val="tx1"/>
                  </w14:solidFill>
                </w14:textFill>
              </w:rPr>
              <w:t>监理人员（除总监理工程师外）：共</w:t>
            </w:r>
            <w:r>
              <w:rPr>
                <w:rFonts w:hint="eastAsia" w:hAnsi="宋体" w:cs="宋体"/>
                <w:b/>
                <w:bCs/>
                <w:color w:val="000000" w:themeColor="text1"/>
                <w:kern w:val="0"/>
                <w:szCs w:val="24"/>
                <w:highlight w:val="none"/>
                <w:u w:val="single"/>
                <w:lang w:val="en-US" w:eastAsia="zh-CN"/>
                <w14:textFill>
                  <w14:solidFill>
                    <w14:schemeClr w14:val="tx1"/>
                  </w14:solidFill>
                </w14:textFill>
              </w:rPr>
              <w:t>6</w:t>
            </w:r>
            <w:r>
              <w:rPr>
                <w:rFonts w:hint="eastAsia" w:hAnsi="宋体" w:cs="宋体"/>
                <w:b/>
                <w:bCs/>
                <w:color w:val="000000" w:themeColor="text1"/>
                <w:kern w:val="0"/>
                <w:szCs w:val="24"/>
                <w:highlight w:val="none"/>
                <w14:textFill>
                  <w14:solidFill>
                    <w14:schemeClr w14:val="tx1"/>
                  </w14:solidFill>
                </w14:textFill>
              </w:rPr>
              <w:t>人</w:t>
            </w:r>
          </w:p>
        </w:tc>
      </w:tr>
      <w:tr w14:paraId="28B284D5">
        <w:tblPrEx>
          <w:tblCellMar>
            <w:top w:w="0" w:type="dxa"/>
            <w:left w:w="108" w:type="dxa"/>
            <w:bottom w:w="0" w:type="dxa"/>
            <w:right w:w="108" w:type="dxa"/>
          </w:tblCellMar>
        </w:tblPrEx>
        <w:trPr>
          <w:trHeight w:val="941"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283099F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职务</w:t>
            </w:r>
          </w:p>
        </w:tc>
        <w:tc>
          <w:tcPr>
            <w:tcW w:w="2146" w:type="dxa"/>
            <w:tcBorders>
              <w:top w:val="single" w:color="auto" w:sz="4" w:space="0"/>
              <w:left w:val="single" w:color="auto" w:sz="4" w:space="0"/>
              <w:bottom w:val="single" w:color="auto" w:sz="4" w:space="0"/>
              <w:right w:val="single" w:color="auto" w:sz="4" w:space="0"/>
            </w:tcBorders>
            <w:vAlign w:val="center"/>
          </w:tcPr>
          <w:p w14:paraId="3EA1263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专业要求</w:t>
            </w:r>
          </w:p>
        </w:tc>
        <w:tc>
          <w:tcPr>
            <w:tcW w:w="840" w:type="dxa"/>
            <w:tcBorders>
              <w:top w:val="single" w:color="auto" w:sz="4" w:space="0"/>
              <w:left w:val="nil"/>
              <w:bottom w:val="single" w:color="auto" w:sz="4" w:space="0"/>
              <w:right w:val="single" w:color="auto" w:sz="4" w:space="0"/>
            </w:tcBorders>
            <w:vAlign w:val="center"/>
          </w:tcPr>
          <w:p w14:paraId="3103BB9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p w14:paraId="35836F8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要求</w:t>
            </w:r>
          </w:p>
        </w:tc>
        <w:tc>
          <w:tcPr>
            <w:tcW w:w="5205" w:type="dxa"/>
            <w:tcBorders>
              <w:top w:val="single" w:color="auto" w:sz="4" w:space="0"/>
              <w:left w:val="single" w:color="auto" w:sz="4" w:space="0"/>
              <w:bottom w:val="single" w:color="auto" w:sz="4" w:space="0"/>
              <w:right w:val="single" w:color="auto" w:sz="4" w:space="0"/>
            </w:tcBorders>
            <w:vAlign w:val="center"/>
          </w:tcPr>
          <w:p w14:paraId="60EC6C2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持证要求</w:t>
            </w:r>
          </w:p>
        </w:tc>
      </w:tr>
      <w:tr w14:paraId="7E0ABD84">
        <w:tblPrEx>
          <w:tblCellMar>
            <w:top w:w="0" w:type="dxa"/>
            <w:left w:w="108" w:type="dxa"/>
            <w:bottom w:w="0" w:type="dxa"/>
            <w:right w:w="108" w:type="dxa"/>
          </w:tblCellMar>
        </w:tblPrEx>
        <w:trPr>
          <w:trHeight w:val="1055" w:hRule="atLeast"/>
          <w:jc w:val="center"/>
        </w:trPr>
        <w:tc>
          <w:tcPr>
            <w:tcW w:w="1069" w:type="dxa"/>
            <w:vMerge w:val="restart"/>
            <w:tcBorders>
              <w:top w:val="single" w:color="auto" w:sz="4" w:space="0"/>
              <w:left w:val="single" w:color="auto" w:sz="4" w:space="0"/>
              <w:right w:val="single" w:color="auto" w:sz="4" w:space="0"/>
            </w:tcBorders>
            <w:vAlign w:val="center"/>
          </w:tcPr>
          <w:p w14:paraId="394F8679">
            <w:pPr>
              <w:widowControl/>
              <w:spacing w:line="440" w:lineRule="exact"/>
              <w:jc w:val="center"/>
              <w:rPr>
                <w:rFonts w:hAnsi="宋体"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专业监理工程师</w:t>
            </w:r>
          </w:p>
        </w:tc>
        <w:tc>
          <w:tcPr>
            <w:tcW w:w="2146" w:type="dxa"/>
            <w:tcBorders>
              <w:top w:val="single" w:color="auto" w:sz="4" w:space="0"/>
              <w:left w:val="single" w:color="auto" w:sz="4" w:space="0"/>
              <w:right w:val="single" w:color="auto" w:sz="4" w:space="0"/>
            </w:tcBorders>
            <w:vAlign w:val="center"/>
          </w:tcPr>
          <w:p w14:paraId="22D932DF">
            <w:pPr>
              <w:pStyle w:val="18"/>
              <w:wordWrap w:val="0"/>
              <w:adjustRightInd w:val="0"/>
              <w:snapToGrid w:val="0"/>
              <w:spacing w:line="360" w:lineRule="exact"/>
              <w:ind w:left="0" w:leftChars="0" w:right="0" w:rightChars="0"/>
              <w:jc w:val="center"/>
              <w:rPr>
                <w:rFonts w:hint="default" w:eastAsia="宋体"/>
                <w:color w:val="000000" w:themeColor="text1"/>
                <w:highlight w:val="none"/>
                <w:lang w:val="en-US"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房屋建筑工程</w:t>
            </w:r>
          </w:p>
        </w:tc>
        <w:tc>
          <w:tcPr>
            <w:tcW w:w="840" w:type="dxa"/>
            <w:tcBorders>
              <w:top w:val="single" w:color="auto" w:sz="4" w:space="0"/>
              <w:left w:val="nil"/>
              <w:bottom w:val="single" w:color="auto" w:sz="4" w:space="0"/>
              <w:right w:val="single" w:color="auto" w:sz="4" w:space="0"/>
            </w:tcBorders>
            <w:vAlign w:val="center"/>
          </w:tcPr>
          <w:p w14:paraId="0A0F856F">
            <w:pPr>
              <w:pStyle w:val="18"/>
              <w:wordWrap w:val="0"/>
              <w:adjustRightInd w:val="0"/>
              <w:snapToGrid w:val="0"/>
              <w:spacing w:line="360" w:lineRule="exact"/>
              <w:ind w:left="0" w:leftChars="0" w:right="0" w:rightChars="0"/>
              <w:jc w:val="center"/>
              <w:rPr>
                <w:rFonts w:hint="default"/>
                <w:color w:val="000000" w:themeColor="text1"/>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1</w:t>
            </w:r>
          </w:p>
        </w:tc>
        <w:tc>
          <w:tcPr>
            <w:tcW w:w="5205" w:type="dxa"/>
            <w:vMerge w:val="restart"/>
            <w:tcBorders>
              <w:top w:val="single" w:color="auto" w:sz="4" w:space="0"/>
              <w:left w:val="single" w:color="auto" w:sz="4" w:space="0"/>
              <w:right w:val="single" w:color="auto" w:sz="4" w:space="0"/>
            </w:tcBorders>
            <w:vAlign w:val="center"/>
          </w:tcPr>
          <w:p w14:paraId="0B04047C">
            <w:pPr>
              <w:pStyle w:val="18"/>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符合以下3种情形之一均可：</w:t>
            </w:r>
          </w:p>
          <w:p w14:paraId="5194228C">
            <w:pPr>
              <w:pStyle w:val="18"/>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1．具备所需专业注册监理工程师执业资格，持有效的注册证书；</w:t>
            </w:r>
          </w:p>
          <w:p w14:paraId="752E252D">
            <w:pPr>
              <w:pStyle w:val="18"/>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2．具备工程类注册执业资格，并经监理业务培训。持有效的注册证书、省级建设行政主管部门或其授权的组织（机构）颁发的岗位证书；</w:t>
            </w:r>
          </w:p>
          <w:p w14:paraId="1C36AF92">
            <w:pPr>
              <w:pStyle w:val="18"/>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3．具备中级及以上专业技术职称，并经监理业务培训。持有效的职称证书、省级建设行政主管部门或其授权的组织（机构）颁发的岗位证书。</w:t>
            </w:r>
          </w:p>
          <w:p w14:paraId="457D6816">
            <w:pPr>
              <w:keepNext w:val="0"/>
              <w:keepLines w:val="0"/>
              <w:pageBreakBefore w:val="0"/>
              <w:widowControl/>
              <w:kinsoku/>
              <w:overflowPunct/>
              <w:topLinePunct w:val="0"/>
              <w:autoSpaceDE/>
              <w:autoSpaceDN/>
              <w:bidi w:val="0"/>
              <w:snapToGrid w:val="0"/>
              <w:spacing w:beforeAutospacing="0" w:afterAutospacing="0" w:line="360" w:lineRule="auto"/>
              <w:textAlignment w:val="auto"/>
              <w:rPr>
                <w:rFonts w:hAnsi="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注：专业以注册监理工程师证或专业监理工程师证或职称证或毕业证中的专业名称为准。</w:t>
            </w:r>
          </w:p>
        </w:tc>
      </w:tr>
      <w:tr w14:paraId="70DCADDF">
        <w:tblPrEx>
          <w:tblCellMar>
            <w:top w:w="0" w:type="dxa"/>
            <w:left w:w="108" w:type="dxa"/>
            <w:bottom w:w="0" w:type="dxa"/>
            <w:right w:w="108" w:type="dxa"/>
          </w:tblCellMar>
        </w:tblPrEx>
        <w:trPr>
          <w:trHeight w:val="1039" w:hRule="atLeast"/>
          <w:jc w:val="center"/>
        </w:trPr>
        <w:tc>
          <w:tcPr>
            <w:tcW w:w="1069" w:type="dxa"/>
            <w:vMerge w:val="continue"/>
            <w:tcBorders>
              <w:left w:val="single" w:color="auto" w:sz="4" w:space="0"/>
              <w:right w:val="single" w:color="auto" w:sz="4" w:space="0"/>
            </w:tcBorders>
            <w:vAlign w:val="center"/>
          </w:tcPr>
          <w:p w14:paraId="08C96DAA">
            <w:pPr>
              <w:widowControl/>
              <w:spacing w:line="440" w:lineRule="exact"/>
              <w:jc w:val="center"/>
              <w:rPr>
                <w:rFonts w:hint="eastAsia"/>
                <w:color w:val="000000" w:themeColor="text1"/>
                <w:highlight w:val="none"/>
                <w14:textFill>
                  <w14:solidFill>
                    <w14:schemeClr w14:val="tx1"/>
                  </w14:solidFill>
                </w14:textFill>
              </w:rPr>
            </w:pPr>
          </w:p>
        </w:tc>
        <w:tc>
          <w:tcPr>
            <w:tcW w:w="2146" w:type="dxa"/>
            <w:tcBorders>
              <w:top w:val="single" w:color="auto" w:sz="4" w:space="0"/>
              <w:left w:val="single" w:color="auto" w:sz="4" w:space="0"/>
              <w:right w:val="single" w:color="auto" w:sz="4" w:space="0"/>
            </w:tcBorders>
            <w:vAlign w:val="center"/>
          </w:tcPr>
          <w:p w14:paraId="2605264F">
            <w:pPr>
              <w:pStyle w:val="18"/>
              <w:wordWrap w:val="0"/>
              <w:adjustRightInd w:val="0"/>
              <w:snapToGrid w:val="0"/>
              <w:spacing w:line="360" w:lineRule="exact"/>
              <w:ind w:left="0" w:leftChars="0" w:right="0" w:rightChars="0"/>
              <w:jc w:val="center"/>
              <w:rPr>
                <w:rFonts w:hint="eastAsia"/>
                <w:color w:val="000000" w:themeColor="text1"/>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工程测量</w:t>
            </w:r>
          </w:p>
        </w:tc>
        <w:tc>
          <w:tcPr>
            <w:tcW w:w="840" w:type="dxa"/>
            <w:tcBorders>
              <w:top w:val="single" w:color="auto" w:sz="4" w:space="0"/>
              <w:left w:val="nil"/>
              <w:bottom w:val="single" w:color="auto" w:sz="4" w:space="0"/>
              <w:right w:val="single" w:color="auto" w:sz="4" w:space="0"/>
            </w:tcBorders>
            <w:vAlign w:val="center"/>
          </w:tcPr>
          <w:p w14:paraId="3B8A4CEF">
            <w:pPr>
              <w:pStyle w:val="18"/>
              <w:wordWrap w:val="0"/>
              <w:adjustRightInd w:val="0"/>
              <w:snapToGrid w:val="0"/>
              <w:spacing w:line="360" w:lineRule="exact"/>
              <w:ind w:left="0" w:leftChars="0" w:right="0" w:rightChars="0"/>
              <w:jc w:val="center"/>
              <w:rPr>
                <w:rFonts w:hint="eastAsia"/>
                <w:color w:val="000000" w:themeColor="text1"/>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1</w:t>
            </w:r>
          </w:p>
        </w:tc>
        <w:tc>
          <w:tcPr>
            <w:tcW w:w="5205" w:type="dxa"/>
            <w:vMerge w:val="continue"/>
            <w:tcBorders>
              <w:left w:val="single" w:color="auto" w:sz="4" w:space="0"/>
              <w:right w:val="single" w:color="auto" w:sz="4" w:space="0"/>
            </w:tcBorders>
            <w:vAlign w:val="center"/>
          </w:tcPr>
          <w:p w14:paraId="23B51336">
            <w:pPr>
              <w:widowControl/>
              <w:spacing w:line="440" w:lineRule="exact"/>
              <w:ind w:firstLine="480" w:firstLineChars="200"/>
              <w:rPr>
                <w:rFonts w:hint="eastAsia" w:hAnsi="宋体" w:cs="宋体"/>
                <w:color w:val="000000" w:themeColor="text1"/>
                <w:kern w:val="0"/>
                <w:szCs w:val="24"/>
                <w:highlight w:val="none"/>
                <w14:textFill>
                  <w14:solidFill>
                    <w14:schemeClr w14:val="tx1"/>
                  </w14:solidFill>
                </w14:textFill>
              </w:rPr>
            </w:pPr>
          </w:p>
        </w:tc>
      </w:tr>
      <w:tr w14:paraId="54B4688D">
        <w:tblPrEx>
          <w:tblCellMar>
            <w:top w:w="0" w:type="dxa"/>
            <w:left w:w="108" w:type="dxa"/>
            <w:bottom w:w="0" w:type="dxa"/>
            <w:right w:w="108" w:type="dxa"/>
          </w:tblCellMar>
        </w:tblPrEx>
        <w:trPr>
          <w:trHeight w:val="1292" w:hRule="atLeast"/>
          <w:jc w:val="center"/>
        </w:trPr>
        <w:tc>
          <w:tcPr>
            <w:tcW w:w="1069" w:type="dxa"/>
            <w:vMerge w:val="continue"/>
            <w:tcBorders>
              <w:left w:val="single" w:color="auto" w:sz="4" w:space="0"/>
              <w:right w:val="single" w:color="auto" w:sz="4" w:space="0"/>
            </w:tcBorders>
            <w:vAlign w:val="center"/>
          </w:tcPr>
          <w:p w14:paraId="691096E8">
            <w:pPr>
              <w:widowControl/>
              <w:spacing w:line="440" w:lineRule="exact"/>
              <w:jc w:val="center"/>
              <w:rPr>
                <w:rFonts w:hint="eastAsia"/>
                <w:color w:val="000000" w:themeColor="text1"/>
                <w:highlight w:val="none"/>
                <w14:textFill>
                  <w14:solidFill>
                    <w14:schemeClr w14:val="tx1"/>
                  </w14:solidFill>
                </w14:textFill>
              </w:rPr>
            </w:pPr>
          </w:p>
        </w:tc>
        <w:tc>
          <w:tcPr>
            <w:tcW w:w="2146" w:type="dxa"/>
            <w:tcBorders>
              <w:top w:val="single" w:color="auto" w:sz="4" w:space="0"/>
              <w:left w:val="single" w:color="auto" w:sz="4" w:space="0"/>
              <w:right w:val="single" w:color="auto" w:sz="4" w:space="0"/>
            </w:tcBorders>
            <w:vAlign w:val="center"/>
          </w:tcPr>
          <w:p w14:paraId="703BFA16">
            <w:pPr>
              <w:pStyle w:val="18"/>
              <w:wordWrap w:val="0"/>
              <w:adjustRightInd w:val="0"/>
              <w:snapToGrid w:val="0"/>
              <w:spacing w:line="360" w:lineRule="exact"/>
              <w:ind w:left="0" w:leftChars="0" w:right="0" w:rightChars="0"/>
              <w:jc w:val="center"/>
              <w:rPr>
                <w:rFonts w:hint="eastAsia"/>
                <w:color w:val="000000" w:themeColor="text1"/>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机电安装工程</w:t>
            </w:r>
          </w:p>
        </w:tc>
        <w:tc>
          <w:tcPr>
            <w:tcW w:w="840" w:type="dxa"/>
            <w:tcBorders>
              <w:top w:val="single" w:color="auto" w:sz="4" w:space="0"/>
              <w:left w:val="nil"/>
              <w:bottom w:val="single" w:color="auto" w:sz="4" w:space="0"/>
              <w:right w:val="single" w:color="auto" w:sz="4" w:space="0"/>
            </w:tcBorders>
            <w:vAlign w:val="center"/>
          </w:tcPr>
          <w:p w14:paraId="1DA105D0">
            <w:pPr>
              <w:pStyle w:val="18"/>
              <w:wordWrap w:val="0"/>
              <w:adjustRightInd w:val="0"/>
              <w:snapToGrid w:val="0"/>
              <w:spacing w:line="360" w:lineRule="exact"/>
              <w:ind w:left="0" w:leftChars="0" w:right="0" w:rightChars="0"/>
              <w:jc w:val="center"/>
              <w:rPr>
                <w:rFonts w:hint="eastAsia"/>
                <w:color w:val="000000" w:themeColor="text1"/>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1</w:t>
            </w:r>
          </w:p>
        </w:tc>
        <w:tc>
          <w:tcPr>
            <w:tcW w:w="5205" w:type="dxa"/>
            <w:vMerge w:val="continue"/>
            <w:tcBorders>
              <w:left w:val="single" w:color="auto" w:sz="4" w:space="0"/>
              <w:right w:val="single" w:color="auto" w:sz="4" w:space="0"/>
            </w:tcBorders>
            <w:vAlign w:val="center"/>
          </w:tcPr>
          <w:p w14:paraId="52DD0CCE">
            <w:pPr>
              <w:widowControl/>
              <w:spacing w:line="440" w:lineRule="exact"/>
              <w:ind w:firstLine="480" w:firstLineChars="200"/>
              <w:rPr>
                <w:rFonts w:hint="eastAsia" w:hAnsi="宋体" w:cs="宋体"/>
                <w:color w:val="000000" w:themeColor="text1"/>
                <w:kern w:val="0"/>
                <w:szCs w:val="24"/>
                <w:highlight w:val="none"/>
                <w14:textFill>
                  <w14:solidFill>
                    <w14:schemeClr w14:val="tx1"/>
                  </w14:solidFill>
                </w14:textFill>
              </w:rPr>
            </w:pPr>
          </w:p>
        </w:tc>
      </w:tr>
      <w:tr w14:paraId="0AB03708">
        <w:tblPrEx>
          <w:tblCellMar>
            <w:top w:w="0" w:type="dxa"/>
            <w:left w:w="108" w:type="dxa"/>
            <w:bottom w:w="0" w:type="dxa"/>
            <w:right w:w="108" w:type="dxa"/>
          </w:tblCellMar>
        </w:tblPrEx>
        <w:trPr>
          <w:trHeight w:val="941"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47749F53">
            <w:pPr>
              <w:jc w:val="center"/>
              <w:rPr>
                <w:rFonts w:hint="eastAsia" w:ascii="宋体" w:hAnsi="Times New Roman" w:eastAsia="宋体" w:cs="Times New Roman"/>
                <w:color w:val="000000" w:themeColor="text1"/>
                <w:highlight w:val="none"/>
                <w14:textFill>
                  <w14:solidFill>
                    <w14:schemeClr w14:val="tx1"/>
                  </w14:solidFill>
                </w14:textFill>
              </w:rPr>
            </w:pPr>
            <w:r>
              <w:rPr>
                <w:rFonts w:hint="eastAsia" w:ascii="宋体" w:hAnsi="Times New Roman" w:eastAsia="宋体" w:cs="Times New Roman"/>
                <w:color w:val="000000" w:themeColor="text1"/>
                <w:highlight w:val="none"/>
                <w14:textFill>
                  <w14:solidFill>
                    <w14:schemeClr w14:val="tx1"/>
                  </w14:solidFill>
                </w14:textFill>
              </w:rPr>
              <w:t>监理员</w:t>
            </w:r>
          </w:p>
        </w:tc>
        <w:tc>
          <w:tcPr>
            <w:tcW w:w="2146" w:type="dxa"/>
            <w:tcBorders>
              <w:top w:val="single" w:color="auto" w:sz="4" w:space="0"/>
              <w:left w:val="single" w:color="auto" w:sz="4" w:space="0"/>
              <w:bottom w:val="single" w:color="auto" w:sz="4" w:space="0"/>
              <w:right w:val="single" w:color="auto" w:sz="4" w:space="0"/>
            </w:tcBorders>
            <w:vAlign w:val="center"/>
          </w:tcPr>
          <w:p w14:paraId="5ACAA90B">
            <w:pPr>
              <w:pStyle w:val="18"/>
              <w:wordWrap w:val="0"/>
              <w:adjustRightInd w:val="0"/>
              <w:snapToGrid w:val="0"/>
              <w:spacing w:line="360" w:lineRule="exact"/>
              <w:jc w:val="center"/>
              <w:rPr>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具备岗位证书</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（有效期内）</w:t>
            </w:r>
          </w:p>
        </w:tc>
        <w:tc>
          <w:tcPr>
            <w:tcW w:w="840" w:type="dxa"/>
            <w:tcBorders>
              <w:top w:val="single" w:color="auto" w:sz="4" w:space="0"/>
              <w:left w:val="single" w:color="auto" w:sz="4" w:space="0"/>
              <w:bottom w:val="single" w:color="auto" w:sz="4" w:space="0"/>
              <w:right w:val="single" w:color="auto" w:sz="4" w:space="0"/>
            </w:tcBorders>
            <w:vAlign w:val="center"/>
          </w:tcPr>
          <w:p w14:paraId="15CB85CF">
            <w:pPr>
              <w:pStyle w:val="18"/>
              <w:wordWrap w:val="0"/>
              <w:adjustRightInd w:val="0"/>
              <w:snapToGrid w:val="0"/>
              <w:spacing w:line="360" w:lineRule="exact"/>
              <w:jc w:val="center"/>
              <w:rPr>
                <w:color w:val="000000" w:themeColor="text1"/>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2</w:t>
            </w:r>
          </w:p>
        </w:tc>
        <w:tc>
          <w:tcPr>
            <w:tcW w:w="5205" w:type="dxa"/>
            <w:tcBorders>
              <w:top w:val="single" w:color="auto" w:sz="4" w:space="0"/>
              <w:left w:val="single" w:color="auto" w:sz="4" w:space="0"/>
              <w:bottom w:val="single" w:color="auto" w:sz="4" w:space="0"/>
              <w:right w:val="single" w:color="auto" w:sz="4" w:space="0"/>
            </w:tcBorders>
            <w:vAlign w:val="center"/>
          </w:tcPr>
          <w:p w14:paraId="2E0D0E3C">
            <w:pPr>
              <w:pStyle w:val="18"/>
              <w:wordWrap w:val="0"/>
              <w:adjustRightInd w:val="0"/>
              <w:snapToGrid w:val="0"/>
              <w:spacing w:line="360" w:lineRule="exact"/>
              <w:jc w:val="left"/>
              <w:rPr>
                <w:rFonts w:hAnsi="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经监理业务培训，持有效的省级建设行政主管部门或其授权的组织（机构）颁发的岗位证书。</w:t>
            </w:r>
          </w:p>
        </w:tc>
      </w:tr>
      <w:tr w14:paraId="60C762DA">
        <w:tblPrEx>
          <w:tblCellMar>
            <w:top w:w="0" w:type="dxa"/>
            <w:left w:w="108" w:type="dxa"/>
            <w:bottom w:w="0" w:type="dxa"/>
            <w:right w:w="108" w:type="dxa"/>
          </w:tblCellMar>
        </w:tblPrEx>
        <w:trPr>
          <w:trHeight w:val="951"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027F05E8">
            <w:pPr>
              <w:jc w:val="center"/>
              <w:rPr>
                <w:rFonts w:hint="eastAsia" w:ascii="宋体" w:hAnsi="Times New Roman" w:eastAsia="宋体" w:cs="Times New Roman"/>
                <w:color w:val="000000" w:themeColor="text1"/>
                <w:highlight w:val="none"/>
                <w14:textFill>
                  <w14:solidFill>
                    <w14:schemeClr w14:val="tx1"/>
                  </w14:solidFill>
                </w14:textFill>
              </w:rPr>
            </w:pPr>
            <w:r>
              <w:rPr>
                <w:rFonts w:hint="eastAsia" w:ascii="宋体" w:hAnsi="Times New Roman" w:eastAsia="宋体" w:cs="Times New Roman"/>
                <w:color w:val="000000" w:themeColor="text1"/>
                <w:highlight w:val="none"/>
                <w14:textFill>
                  <w14:solidFill>
                    <w14:schemeClr w14:val="tx1"/>
                  </w14:solidFill>
                </w14:textFill>
              </w:rPr>
              <w:t>安全监理员</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2E59E23E">
            <w:pPr>
              <w:pStyle w:val="18"/>
              <w:wordWrap w:val="0"/>
              <w:adjustRightInd w:val="0"/>
              <w:snapToGrid w:val="0"/>
              <w:spacing w:line="360" w:lineRule="exact"/>
              <w:jc w:val="center"/>
              <w:rPr>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具备岗位证书(有效期内)</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E1DB2BB">
            <w:pPr>
              <w:pStyle w:val="18"/>
              <w:wordWrap w:val="0"/>
              <w:adjustRightInd w:val="0"/>
              <w:snapToGrid w:val="0"/>
              <w:spacing w:line="360" w:lineRule="exact"/>
              <w:jc w:val="center"/>
              <w:rPr>
                <w:color w:val="000000" w:themeColor="text1"/>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1</w:t>
            </w:r>
          </w:p>
        </w:tc>
        <w:tc>
          <w:tcPr>
            <w:tcW w:w="5205" w:type="dxa"/>
            <w:tcBorders>
              <w:top w:val="single" w:color="auto" w:sz="4" w:space="0"/>
              <w:left w:val="single" w:color="auto" w:sz="4" w:space="0"/>
              <w:bottom w:val="single" w:color="auto" w:sz="4" w:space="0"/>
              <w:right w:val="single" w:color="auto" w:sz="4" w:space="0"/>
            </w:tcBorders>
            <w:shd w:val="clear" w:color="auto" w:fill="auto"/>
            <w:vAlign w:val="center"/>
          </w:tcPr>
          <w:p w14:paraId="01E3226A">
            <w:pPr>
              <w:pStyle w:val="18"/>
              <w:wordWrap w:val="0"/>
              <w:adjustRightInd w:val="0"/>
              <w:snapToGrid w:val="0"/>
              <w:spacing w:line="360" w:lineRule="exact"/>
              <w:jc w:val="left"/>
              <w:rPr>
                <w:rFonts w:hAnsi="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经监理业务培训，持有效的省级建设行政主管部门或其授权的组织《机构)颁发的岗位证书。</w:t>
            </w:r>
          </w:p>
        </w:tc>
      </w:tr>
    </w:tbl>
    <w:p w14:paraId="21E49C1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拟委派的监理机构其他人员不作为形式评审、资格评审、响应性评审的审查内容，只作为综合评分的评审依据。</w:t>
      </w:r>
    </w:p>
    <w:p w14:paraId="1901CD25">
      <w:pPr>
        <w:pStyle w:val="25"/>
        <w:spacing w:line="360" w:lineRule="auto"/>
        <w:jc w:val="left"/>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2、在本单位缴纳社保的证明（至少一个月，其中必须有2025年11月）彩色扫描件。拟派人员为退休返聘人员无法提供社保证明的，提供退休证和劳动合同（返聘协议）彩色扫描件。</w:t>
      </w:r>
    </w:p>
    <w:p w14:paraId="280A296A">
      <w:pPr>
        <w:adjustRightInd w:val="0"/>
        <w:snapToGrid w:val="0"/>
        <w:spacing w:line="440" w:lineRule="exact"/>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br w:type="page"/>
      </w:r>
    </w:p>
    <w:p w14:paraId="0EDE3217">
      <w:pPr>
        <w:wordWrap w:val="0"/>
        <w:adjustRightInd w:val="0"/>
        <w:snapToGrid w:val="0"/>
        <w:spacing w:line="440" w:lineRule="exact"/>
        <w:ind w:firstLine="482" w:firstLineChars="200"/>
        <w:rPr>
          <w:rFonts w:hAnsi="宋体" w:cs="宋体"/>
          <w:b/>
          <w:bCs/>
          <w:snapToGrid w:val="0"/>
          <w:color w:val="000000" w:themeColor="text1"/>
          <w:kern w:val="0"/>
          <w:szCs w:val="24"/>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3C4A9CA3">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15.5.2 </w:t>
      </w:r>
      <w:r>
        <w:rPr>
          <w:rFonts w:hint="eastAsia" w:hAnsi="宋体" w:cs="宋体"/>
          <w:snapToGrid w:val="0"/>
          <w:color w:val="000000" w:themeColor="text1"/>
          <w:kern w:val="0"/>
          <w:szCs w:val="24"/>
          <w:highlight w:val="none"/>
          <w14:textFill>
            <w14:solidFill>
              <w14:schemeClr w14:val="tx1"/>
            </w14:solidFill>
          </w14:textFill>
        </w:rPr>
        <w:t>否决投标说明</w:t>
      </w:r>
    </w:p>
    <w:p w14:paraId="6AA755E1">
      <w:pPr>
        <w:wordWrap w:val="0"/>
        <w:adjustRightInd w:val="0"/>
        <w:snapToGrid w:val="0"/>
        <w:spacing w:line="440" w:lineRule="exact"/>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详细评审阶段否决投标的全部条件，在本章第四节“否决投标条件”第</w:t>
      </w:r>
      <w:r>
        <w:rPr>
          <w:rFonts w:hint="eastAsia" w:hAnsi="宋体" w:cs="宋体"/>
          <w:b/>
          <w:bCs/>
          <w:snapToGrid w:val="0"/>
          <w:color w:val="000000" w:themeColor="text1"/>
          <w:kern w:val="0"/>
          <w:szCs w:val="24"/>
          <w:highlight w:val="none"/>
          <w14:textFill>
            <w14:solidFill>
              <w14:schemeClr w14:val="tx1"/>
            </w14:solidFill>
          </w14:textFill>
        </w:rPr>
        <w:t>4</w:t>
      </w:r>
      <w:r>
        <w:rPr>
          <w:rFonts w:hint="eastAsia" w:hAnsi="宋体" w:cs="宋体"/>
          <w:snapToGrid w:val="0"/>
          <w:color w:val="000000" w:themeColor="text1"/>
          <w:kern w:val="0"/>
          <w:szCs w:val="24"/>
          <w:highlight w:val="none"/>
          <w14:textFill>
            <w14:solidFill>
              <w14:schemeClr w14:val="tx1"/>
            </w14:solidFill>
          </w14:textFill>
        </w:rPr>
        <w:t>条中集中列示。投标人有其中所列任何一种情形的，由评标委员会否决其投标。经详细评审后，若所有投标均被否决，招标人应当依法重新招标。</w:t>
      </w:r>
    </w:p>
    <w:p w14:paraId="480E1D7B">
      <w:pPr>
        <w:wordWrap w:val="0"/>
        <w:adjustRightInd w:val="0"/>
        <w:snapToGrid w:val="0"/>
        <w:spacing w:line="440" w:lineRule="exact"/>
        <w:ind w:firstLine="482" w:firstLineChars="200"/>
        <w:rPr>
          <w:rFonts w:hAnsi="宋体" w:cs="宋体"/>
          <w:b/>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注：投标人在详细评审阶段根据评分方法提供的佐证材料，其合法性、有效性和准确性不符合要求的，有关评分因素的评分按相应评分标准处理，但不否决投标。</w:t>
      </w:r>
    </w:p>
    <w:p w14:paraId="1E389802">
      <w:pPr>
        <w:wordWrap w:val="0"/>
        <w:adjustRightInd w:val="0"/>
        <w:snapToGrid w:val="0"/>
        <w:spacing w:line="440" w:lineRule="exact"/>
        <w:ind w:firstLine="482" w:firstLineChars="200"/>
        <w:outlineLvl w:val="2"/>
        <w:rPr>
          <w:rFonts w:hAnsi="宋体" w:cs="宋体"/>
          <w:b/>
          <w:snapToGrid w:val="0"/>
          <w:color w:val="000000" w:themeColor="text1"/>
          <w:kern w:val="0"/>
          <w:szCs w:val="24"/>
          <w:highlight w:val="none"/>
          <w14:textFill>
            <w14:solidFill>
              <w14:schemeClr w14:val="tx1"/>
            </w14:solidFill>
          </w14:textFill>
        </w:rPr>
      </w:pPr>
      <w:bookmarkStart w:id="64" w:name="_Toc6456"/>
      <w:r>
        <w:rPr>
          <w:rFonts w:hint="eastAsia" w:hAnsi="宋体" w:cs="宋体"/>
          <w:b/>
          <w:snapToGrid w:val="0"/>
          <w:color w:val="000000" w:themeColor="text1"/>
          <w:kern w:val="0"/>
          <w:szCs w:val="24"/>
          <w:highlight w:val="none"/>
          <w14:textFill>
            <w14:solidFill>
              <w14:schemeClr w14:val="tx1"/>
            </w14:solidFill>
          </w14:textFill>
        </w:rPr>
        <w:t>16．推荐中标候选人</w:t>
      </w:r>
      <w:bookmarkEnd w:id="64"/>
    </w:p>
    <w:p w14:paraId="0874B04D">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16.1</w:t>
      </w:r>
      <w:r>
        <w:rPr>
          <w:rFonts w:hint="eastAsia" w:hAnsi="宋体" w:cs="宋体"/>
          <w:snapToGrid w:val="0"/>
          <w:color w:val="000000" w:themeColor="text1"/>
          <w:kern w:val="0"/>
          <w:szCs w:val="24"/>
          <w:highlight w:val="none"/>
          <w14:textFill>
            <w14:solidFill>
              <w14:schemeClr w14:val="tx1"/>
            </w14:solidFill>
          </w14:textFill>
        </w:rPr>
        <w:t xml:space="preserve"> 确定排名</w:t>
      </w:r>
    </w:p>
    <w:p w14:paraId="391BD148">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1D621FAF">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16.2</w:t>
      </w:r>
      <w:r>
        <w:rPr>
          <w:rFonts w:hint="eastAsia" w:hAnsi="宋体" w:cs="宋体"/>
          <w:snapToGrid w:val="0"/>
          <w:color w:val="000000" w:themeColor="text1"/>
          <w:kern w:val="0"/>
          <w:szCs w:val="24"/>
          <w:highlight w:val="none"/>
          <w14:textFill>
            <w14:solidFill>
              <w14:schemeClr w14:val="tx1"/>
            </w14:solidFill>
          </w14:textFill>
        </w:rPr>
        <w:t xml:space="preserve"> 推荐方法</w:t>
      </w:r>
    </w:p>
    <w:p w14:paraId="0E09F8BE">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（1）有效投标人数量达到或超过3个的，评标委员会将前三名投标人作为中标候选人向招标人推荐，并标明排列顺序。</w:t>
      </w:r>
    </w:p>
    <w:p w14:paraId="471E085C">
      <w:pPr>
        <w:wordWrap w:val="0"/>
        <w:adjustRightInd w:val="0"/>
        <w:snapToGrid w:val="0"/>
        <w:spacing w:line="44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44A8AB45">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16.3</w:t>
      </w:r>
      <w:r>
        <w:rPr>
          <w:rFonts w:hint="eastAsia" w:hAnsi="宋体" w:cs="宋体"/>
          <w:snapToGrid w:val="0"/>
          <w:color w:val="000000" w:themeColor="text1"/>
          <w:kern w:val="0"/>
          <w:szCs w:val="24"/>
          <w:highlight w:val="none"/>
          <w14:textFill>
            <w14:solidFill>
              <w14:schemeClr w14:val="tx1"/>
            </w14:solidFill>
          </w14:textFill>
        </w:rPr>
        <w:t xml:space="preserve"> 评标委员会完成评标后，应向招标人提交由全体评标委员会成员签字的评标报告和中标候选人名单。</w:t>
      </w:r>
    </w:p>
    <w:p w14:paraId="4D214F5D">
      <w:pPr>
        <w:wordWrap w:val="0"/>
        <w:adjustRightInd w:val="0"/>
        <w:snapToGrid w:val="0"/>
        <w:spacing w:line="440" w:lineRule="exact"/>
        <w:ind w:firstLine="482" w:firstLineChars="200"/>
        <w:outlineLvl w:val="2"/>
        <w:rPr>
          <w:rFonts w:hAnsi="宋体" w:cs="宋体"/>
          <w:b/>
          <w:snapToGrid w:val="0"/>
          <w:color w:val="000000" w:themeColor="text1"/>
          <w:kern w:val="0"/>
          <w:szCs w:val="24"/>
          <w:highlight w:val="none"/>
          <w14:textFill>
            <w14:solidFill>
              <w14:schemeClr w14:val="tx1"/>
            </w14:solidFill>
          </w14:textFill>
        </w:rPr>
      </w:pPr>
      <w:bookmarkStart w:id="65" w:name="_Toc27582"/>
      <w:r>
        <w:rPr>
          <w:rFonts w:hint="eastAsia" w:hAnsi="宋体" w:cs="宋体"/>
          <w:b/>
          <w:snapToGrid w:val="0"/>
          <w:color w:val="000000" w:themeColor="text1"/>
          <w:kern w:val="0"/>
          <w:szCs w:val="24"/>
          <w:highlight w:val="none"/>
          <w14:textFill>
            <w14:solidFill>
              <w14:schemeClr w14:val="tx1"/>
            </w14:solidFill>
          </w14:textFill>
        </w:rPr>
        <w:t>17．中标候选人公示</w:t>
      </w:r>
      <w:bookmarkEnd w:id="65"/>
    </w:p>
    <w:p w14:paraId="70C29BB5">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17.1</w:t>
      </w:r>
      <w:r>
        <w:rPr>
          <w:rFonts w:hint="eastAsia" w:hAnsi="宋体" w:cs="宋体"/>
          <w:bCs/>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s://www.gdzwfw.gov.cn/ztbjg-portal/#/index）及全国公共资源交易平台（广东省·韶关市）（https://ygp.gdzwfw.gov.cn/ggzy-portal/#/440200/index）进行公示，公示期不得少于3天。</w:t>
      </w:r>
    </w:p>
    <w:p w14:paraId="757D105E">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17.2</w:t>
      </w:r>
      <w:r>
        <w:rPr>
          <w:rFonts w:hint="eastAsia" w:hAnsi="宋体" w:cs="宋体"/>
          <w:snapToGrid w:val="0"/>
          <w:color w:val="000000" w:themeColor="text1"/>
          <w:kern w:val="0"/>
          <w:szCs w:val="24"/>
          <w:highlight w:val="none"/>
          <w14:textFill>
            <w14:solidFill>
              <w14:schemeClr w14:val="tx1"/>
            </w14:solidFill>
          </w14:textFill>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9EE128C">
      <w:pPr>
        <w:wordWrap w:val="0"/>
        <w:adjustRightInd w:val="0"/>
        <w:snapToGrid w:val="0"/>
        <w:spacing w:line="440" w:lineRule="exact"/>
        <w:ind w:firstLine="482"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17.3</w:t>
      </w:r>
      <w:r>
        <w:rPr>
          <w:rFonts w:hint="eastAsia" w:hAnsi="宋体" w:cs="宋体"/>
          <w:snapToGrid w:val="0"/>
          <w:color w:val="000000" w:themeColor="text1"/>
          <w:kern w:val="0"/>
          <w:szCs w:val="24"/>
          <w:highlight w:val="none"/>
          <w14:textFill>
            <w14:solidFill>
              <w14:schemeClr w14:val="tx1"/>
            </w14:solidFill>
          </w14:textFill>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15CCB90B">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24C4BB8">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58667183">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3831DCE3">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BB746CF">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29B230F2">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4B211AB6">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700A8BF">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5D50E0EF">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0DACE2EB">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7338513">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45F8E71D">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0662E43B">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6AE10D36">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5F7C6B81">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5530D28E">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70EF14AD">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32E4FA26">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507A253">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0164FE7">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46CEFC0">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77E11E7B">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516F1BCF">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715DE22A">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F1170F2">
      <w:pPr>
        <w:wordWrap w:val="0"/>
        <w:adjustRightInd w:val="0"/>
        <w:snapToGrid w:val="0"/>
        <w:spacing w:line="440" w:lineRule="exact"/>
        <w:outlineLvl w:val="1"/>
        <w:rPr>
          <w:rFonts w:hAnsi="宋体" w:cs="宋体"/>
          <w:snapToGrid w:val="0"/>
          <w:color w:val="000000" w:themeColor="text1"/>
          <w:kern w:val="0"/>
          <w:highlight w:val="none"/>
          <w14:textFill>
            <w14:solidFill>
              <w14:schemeClr w14:val="tx1"/>
            </w14:solidFill>
          </w14:textFill>
        </w:rPr>
      </w:pPr>
      <w:bookmarkStart w:id="66" w:name="_Toc12424"/>
      <w:r>
        <w:rPr>
          <w:rFonts w:hint="eastAsia" w:hAnsi="宋体" w:cs="宋体"/>
          <w:b/>
          <w:bCs/>
          <w:snapToGrid w:val="0"/>
          <w:color w:val="000000" w:themeColor="text1"/>
          <w:kern w:val="0"/>
          <w:highlight w:val="none"/>
          <w14:textFill>
            <w14:solidFill>
              <w14:schemeClr w14:val="tx1"/>
            </w14:solidFill>
          </w14:textFill>
        </w:rPr>
        <w:t>第四节 否决投标条件</w:t>
      </w:r>
      <w:bookmarkEnd w:id="66"/>
    </w:p>
    <w:p w14:paraId="116257FB">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000000" w:themeColor="text1"/>
          <w:kern w:val="0"/>
          <w:highlight w:val="none"/>
          <w14:textFill>
            <w14:solidFill>
              <w14:schemeClr w14:val="tx1"/>
            </w14:solidFill>
          </w14:textFill>
        </w:rPr>
        <w:t>投标人未有列入本节情形的，评标时一律不得否决其投标。</w:t>
      </w:r>
      <w:r>
        <w:rPr>
          <w:rFonts w:hint="eastAsia" w:hAnsi="宋体" w:cs="宋体"/>
          <w:snapToGrid w:val="0"/>
          <w:color w:val="000000" w:themeColor="text1"/>
          <w:kern w:val="0"/>
          <w:highlight w:val="none"/>
          <w14:textFill>
            <w14:solidFill>
              <w14:schemeClr w14:val="tx1"/>
            </w14:solidFill>
          </w14:textFill>
        </w:rPr>
        <w:t>本节所称“规定”均指招标文件的规定。</w:t>
      </w:r>
    </w:p>
    <w:p w14:paraId="1DE22C70">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outlineLvl w:val="2"/>
        <w:rPr>
          <w:rFonts w:hAnsi="宋体" w:cs="宋体"/>
          <w:snapToGrid w:val="0"/>
          <w:color w:val="000000" w:themeColor="text1"/>
          <w:kern w:val="0"/>
          <w:highlight w:val="none"/>
          <w14:textFill>
            <w14:solidFill>
              <w14:schemeClr w14:val="tx1"/>
            </w14:solidFill>
          </w14:textFill>
        </w:rPr>
      </w:pPr>
      <w:bookmarkStart w:id="67" w:name="_Toc27524"/>
      <w:r>
        <w:rPr>
          <w:rFonts w:hint="eastAsia" w:hAnsi="宋体" w:cs="宋体"/>
          <w:b/>
          <w:bCs/>
          <w:snapToGrid w:val="0"/>
          <w:color w:val="000000" w:themeColor="text1"/>
          <w:kern w:val="0"/>
          <w:highlight w:val="none"/>
          <w14:textFill>
            <w14:solidFill>
              <w14:schemeClr w14:val="tx1"/>
            </w14:solidFill>
          </w14:textFill>
        </w:rPr>
        <w:t>1．资格评审环节</w:t>
      </w:r>
      <w:bookmarkEnd w:id="67"/>
    </w:p>
    <w:p w14:paraId="13794DAB">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投标人有下列情形之一的，评标委员会应否决其投标。被否决的投标，不进入形式评审环节。</w:t>
      </w:r>
    </w:p>
    <w:p w14:paraId="5AFA717A">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（1）有本章第三节第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条“禁止投标条款”规定的任何一种情形；</w:t>
      </w:r>
    </w:p>
    <w:p w14:paraId="7827D646">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（2）投标人资质不符合</w:t>
      </w:r>
      <w:r>
        <w:rPr>
          <w:rFonts w:hint="eastAsia" w:hAnsi="宋体" w:cs="宋体"/>
          <w:snapToGrid w:val="0"/>
          <w:color w:val="000000" w:themeColor="text1"/>
          <w:kern w:val="0"/>
          <w:szCs w:val="18"/>
          <w:highlight w:val="none"/>
          <w14:textFill>
            <w14:solidFill>
              <w14:schemeClr w14:val="tx1"/>
            </w14:solidFill>
          </w14:textFill>
        </w:rPr>
        <w:t>规定的；</w:t>
      </w:r>
    </w:p>
    <w:p w14:paraId="2D116EBA">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（3）投标人名称与营业执照、资质证书上的企业名称相互不一致的；其资质证书不是由住房城乡建设主管部门颁发的；营业执照、资质证书被吊销、暂扣或不在有效期内的；</w:t>
      </w:r>
    </w:p>
    <w:p w14:paraId="259B65CF">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注：投标人已经工商变更，但其企业资质证书的企业名称未完成变更的，不得否决其投标；投标人营业执照、资质证书之间登记的信息不一致，应当允许投标人澄清，不得直接否决其投标。</w:t>
      </w:r>
    </w:p>
    <w:p w14:paraId="5D7D44DC">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b/>
          <w:bCs/>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szCs w:val="22"/>
          <w:highlight w:val="none"/>
          <w14:textFill>
            <w14:solidFill>
              <w14:schemeClr w14:val="tx1"/>
            </w14:solidFill>
          </w14:textFill>
        </w:rPr>
        <w:t xml:space="preserve">根据有关文件精神，投标人的相关证书到期的，均按该证书的发证机构相关行业主管部门最新文件执行（如自动顺延或推迟办理延期业务的通知），投标人必须将相关文件附在该证书后面，证明在开标日继续有效。 </w:t>
      </w:r>
    </w:p>
    <w:p w14:paraId="37A64AF9">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》未经任职项目建设单位盖章同意、又未提交任职项目建设单位另行出具的书面同意意见的；</w:t>
      </w:r>
    </w:p>
    <w:p w14:paraId="4F97982C">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（5）拟派总监理工程师的注册证书不是住房和城乡建设主管部门颁发的，或注册单位与投标人不一致的，或不在有效期内的；</w:t>
      </w:r>
    </w:p>
    <w:p w14:paraId="5F0233B3">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注：投标人已经工商变更，但其员工执业资格注册证书的注册单位名称未完成变更的，不得否决其投标。</w:t>
      </w:r>
    </w:p>
    <w:p w14:paraId="4ACDD02E">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（6）招标文件规定不接受联合体投标，但以联合体投标的；</w:t>
      </w:r>
    </w:p>
    <w:p w14:paraId="1A9D08A7">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（7）投标人为外省企业，但未提供“进粤企业和人员诚信信息登记平台”企业和拟派人员信息情况打印页或网页截图的。</w:t>
      </w:r>
    </w:p>
    <w:p w14:paraId="5F68E4BC">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outlineLvl w:val="2"/>
        <w:rPr>
          <w:rFonts w:hAnsi="宋体" w:cs="宋体"/>
          <w:snapToGrid w:val="0"/>
          <w:color w:val="000000" w:themeColor="text1"/>
          <w:kern w:val="0"/>
          <w:highlight w:val="none"/>
          <w14:textFill>
            <w14:solidFill>
              <w14:schemeClr w14:val="tx1"/>
            </w14:solidFill>
          </w14:textFill>
        </w:rPr>
      </w:pPr>
      <w:bookmarkStart w:id="68" w:name="_Toc9012"/>
      <w:r>
        <w:rPr>
          <w:rFonts w:hint="eastAsia" w:hAnsi="宋体" w:cs="宋体"/>
          <w:b/>
          <w:bCs/>
          <w:snapToGrid w:val="0"/>
          <w:color w:val="000000" w:themeColor="text1"/>
          <w:kern w:val="0"/>
          <w:highlight w:val="none"/>
          <w14:textFill>
            <w14:solidFill>
              <w14:schemeClr w14:val="tx1"/>
            </w14:solidFill>
          </w14:textFill>
        </w:rPr>
        <w:t>2．形式评审环节</w:t>
      </w:r>
      <w:bookmarkEnd w:id="68"/>
    </w:p>
    <w:p w14:paraId="0A27CAE3">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投标人有下列情形之一的，评标委员会应否决其投标。被否决的投标，不进入响应性评审环节。</w:t>
      </w:r>
    </w:p>
    <w:p w14:paraId="2FC81629">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（8）投标文件各分册未按招标文件规定加盖电子印章的；</w:t>
      </w:r>
    </w:p>
    <w:p w14:paraId="62F39D5B">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（9）本章第三节第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”的组成内容（包括该组成内容的所附资料）中，任何一项有缺漏的；</w:t>
      </w:r>
    </w:p>
    <w:p w14:paraId="63CE63D0">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（10）关键字迹模糊、无法辨认，</w:t>
      </w:r>
      <w:r>
        <w:rPr>
          <w:rFonts w:hint="eastAsia" w:hAnsi="宋体" w:cs="宋体"/>
          <w:b/>
          <w:bCs/>
          <w:snapToGrid w:val="0"/>
          <w:color w:val="000000" w:themeColor="text1"/>
          <w:kern w:val="0"/>
          <w:highlight w:val="none"/>
          <w14:textFill>
            <w14:solidFill>
              <w14:schemeClr w14:val="tx1"/>
            </w14:solidFill>
          </w14:textFill>
        </w:rPr>
        <w:t>且该种过错将导致评标委员会无法作出投标文件是否响应招标文件实质性要求的</w:t>
      </w:r>
      <w:r>
        <w:rPr>
          <w:rFonts w:hint="eastAsia" w:hAnsi="宋体" w:cs="宋体"/>
          <w:snapToGrid w:val="0"/>
          <w:color w:val="000000" w:themeColor="text1"/>
          <w:kern w:val="0"/>
          <w:highlight w:val="none"/>
          <w14:textFill>
            <w14:solidFill>
              <w14:schemeClr w14:val="tx1"/>
            </w14:solidFill>
          </w14:textFill>
        </w:rPr>
        <w:t>；出现手工涂改、行间插字或删除，但未加盖单位章或由投标人的法定代表人或其委托代理人签字确认的；</w:t>
      </w:r>
    </w:p>
    <w:p w14:paraId="034867DA">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（11）投标文件未按规定签字、盖章的；</w:t>
      </w:r>
    </w:p>
    <w:p w14:paraId="107D9DB3">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outlineLvl w:val="2"/>
        <w:rPr>
          <w:rFonts w:hAnsi="宋体" w:cs="宋体"/>
          <w:b/>
          <w:bCs/>
          <w:snapToGrid w:val="0"/>
          <w:color w:val="000000" w:themeColor="text1"/>
          <w:kern w:val="0"/>
          <w:highlight w:val="none"/>
          <w14:textFill>
            <w14:solidFill>
              <w14:schemeClr w14:val="tx1"/>
            </w14:solidFill>
          </w14:textFill>
        </w:rPr>
      </w:pPr>
      <w:bookmarkStart w:id="69" w:name="_Toc29737"/>
      <w:r>
        <w:rPr>
          <w:rFonts w:hint="eastAsia" w:hAnsi="宋体" w:cs="宋体"/>
          <w:b/>
          <w:bCs/>
          <w:snapToGrid w:val="0"/>
          <w:color w:val="000000" w:themeColor="text1"/>
          <w:kern w:val="0"/>
          <w:highlight w:val="none"/>
          <w14:textFill>
            <w14:solidFill>
              <w14:schemeClr w14:val="tx1"/>
            </w14:solidFill>
          </w14:textFill>
        </w:rPr>
        <w:t>3．响应性评审环节</w:t>
      </w:r>
      <w:bookmarkEnd w:id="69"/>
    </w:p>
    <w:p w14:paraId="1F808FBF">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投标人有下列情形之一的，评标委员会应否决其投标。被否决的投标，不进入详细评审阶段。</w:t>
      </w:r>
    </w:p>
    <w:p w14:paraId="46E569E9">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（12）投标有效期、服务期限不符合规定的；擅自修改、遗漏《投标函》《各项承诺一览表》实质性内容的；</w:t>
      </w:r>
    </w:p>
    <w:p w14:paraId="6FEDA001">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（13）出现两个或两个以上投标总价的（同一个投标总价大、小写不一致的除外）；投标总价超出最高投标限价的；</w:t>
      </w:r>
    </w:p>
    <w:p w14:paraId="691E2F6D">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000000" w:themeColor="text1"/>
          <w:kern w:val="0"/>
          <w:highlight w:val="none"/>
          <w14:textFill>
            <w14:solidFill>
              <w14:schemeClr w14:val="tx1"/>
            </w14:solidFill>
          </w14:textFill>
        </w:rPr>
        <w:t>且该种过错将导致“三控制”目标无法实现的</w:t>
      </w:r>
      <w:r>
        <w:rPr>
          <w:rFonts w:hint="eastAsia" w:hAnsi="宋体" w:cs="宋体"/>
          <w:snapToGrid w:val="0"/>
          <w:color w:val="000000" w:themeColor="text1"/>
          <w:kern w:val="0"/>
          <w:highlight w:val="none"/>
          <w14:textFill>
            <w14:solidFill>
              <w14:schemeClr w14:val="tx1"/>
            </w14:solidFill>
          </w14:textFill>
        </w:rPr>
        <w:t>。</w:t>
      </w:r>
    </w:p>
    <w:p w14:paraId="6FA19D72">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outlineLvl w:val="2"/>
        <w:rPr>
          <w:rFonts w:hAnsi="宋体" w:cs="宋体"/>
          <w:b/>
          <w:bCs/>
          <w:snapToGrid w:val="0"/>
          <w:color w:val="000000" w:themeColor="text1"/>
          <w:kern w:val="0"/>
          <w:highlight w:val="none"/>
          <w14:textFill>
            <w14:solidFill>
              <w14:schemeClr w14:val="tx1"/>
            </w14:solidFill>
          </w14:textFill>
        </w:rPr>
      </w:pPr>
      <w:bookmarkStart w:id="70" w:name="_Toc17259"/>
      <w:r>
        <w:rPr>
          <w:rFonts w:hint="eastAsia" w:hAnsi="宋体" w:cs="宋体"/>
          <w:b/>
          <w:bCs/>
          <w:snapToGrid w:val="0"/>
          <w:color w:val="000000" w:themeColor="text1"/>
          <w:kern w:val="0"/>
          <w:highlight w:val="none"/>
          <w14:textFill>
            <w14:solidFill>
              <w14:schemeClr w14:val="tx1"/>
            </w14:solidFill>
          </w14:textFill>
        </w:rPr>
        <w:t>4．其他</w:t>
      </w:r>
      <w:bookmarkEnd w:id="70"/>
    </w:p>
    <w:p w14:paraId="7158557E">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szCs w:val="22"/>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在任何评标环节（或阶段），投标人有下列情形之一的，评标委员会应否决其投标。</w:t>
      </w:r>
      <w:r>
        <w:rPr>
          <w:rFonts w:hint="eastAsia" w:hAnsi="宋体" w:cs="宋体"/>
          <w:snapToGrid w:val="0"/>
          <w:color w:val="000000" w:themeColor="text1"/>
          <w:kern w:val="0"/>
          <w:szCs w:val="22"/>
          <w:highlight w:val="none"/>
          <w14:textFill>
            <w14:solidFill>
              <w14:schemeClr w14:val="tx1"/>
            </w14:solidFill>
          </w14:textFill>
        </w:rPr>
        <w:t>被否决的投标，不进入下一环节（或阶段）。</w:t>
      </w:r>
    </w:p>
    <w:p w14:paraId="7CC9848C">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（15）不按评标委员会要求澄清、说明或补正的；</w:t>
      </w:r>
    </w:p>
    <w:p w14:paraId="128EC65B">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（16）有下列情形之一，被评标委员会认定属于串通投标的：</w:t>
      </w:r>
    </w:p>
    <w:p w14:paraId="42EE6DCD">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①不同投标人的投标文件两处以上（含两处）错、漏一致；</w:t>
      </w:r>
    </w:p>
    <w:p w14:paraId="745C4EBB">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②不同投标人的投标各项报价存在异常一致或者呈规律性变化；</w:t>
      </w:r>
    </w:p>
    <w:p w14:paraId="0F7DA667">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③不同投标人的投标文件由同一单位或者同一个人编制；</w:t>
      </w:r>
    </w:p>
    <w:p w14:paraId="51DAE438">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④不同投标人的投标文件中投标资料（包括电子资料）相互混装或项目班子成员出现同一人；</w:t>
      </w:r>
    </w:p>
    <w:p w14:paraId="07EF27EE">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⑤不同投标人的投标文件由同一电脑编制或同一台附属设备打印；</w:t>
      </w:r>
    </w:p>
    <w:p w14:paraId="7A1E3268">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⑥不同投标人的投标保证由同一企业或同一账户资金缴纳；</w:t>
      </w:r>
    </w:p>
    <w:p w14:paraId="6BD8BB7C">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⑦不同投标人委托同一个人或注册在同一家企业的注册人员或同一家企业为其投标提供投标咨询、商务报价、技术咨询（招标项目本身要求采用专有技术的除外）等服务。</w:t>
      </w:r>
    </w:p>
    <w:bookmarkEnd w:id="60"/>
    <w:p w14:paraId="5273D522">
      <w:pPr>
        <w:wordWrap w:val="0"/>
        <w:adjustRightInd w:val="0"/>
        <w:snapToGrid w:val="0"/>
        <w:spacing w:line="460" w:lineRule="exact"/>
        <w:ind w:firstLine="480"/>
        <w:rPr>
          <w:rFonts w:hAnsi="宋体" w:cs="宋体"/>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4C650C92">
      <w:pPr>
        <w:pStyle w:val="2"/>
        <w:wordWrap w:val="0"/>
        <w:autoSpaceDE/>
        <w:autoSpaceDN/>
        <w:snapToGrid w:val="0"/>
        <w:spacing w:line="440" w:lineRule="exact"/>
        <w:jc w:val="center"/>
        <w:rPr>
          <w:rFonts w:hAnsi="宋体" w:cs="宋体"/>
          <w:b/>
          <w:snapToGrid w:val="0"/>
          <w:color w:val="000000" w:themeColor="text1"/>
          <w:sz w:val="32"/>
          <w:szCs w:val="22"/>
          <w:highlight w:val="none"/>
          <w14:textFill>
            <w14:solidFill>
              <w14:schemeClr w14:val="tx1"/>
            </w14:solidFill>
          </w14:textFill>
        </w:rPr>
      </w:pPr>
      <w:bookmarkStart w:id="71" w:name="_Hlt112206772"/>
      <w:bookmarkEnd w:id="71"/>
      <w:bookmarkStart w:id="72" w:name="_Hlt87952408"/>
      <w:bookmarkEnd w:id="72"/>
      <w:bookmarkStart w:id="73" w:name="_Hlt70150994"/>
      <w:bookmarkEnd w:id="73"/>
      <w:bookmarkStart w:id="74" w:name="_Hlt69669771"/>
      <w:bookmarkEnd w:id="74"/>
      <w:bookmarkStart w:id="75" w:name="_Toc20659"/>
      <w:bookmarkStart w:id="76" w:name="_Hlt69698722"/>
      <w:bookmarkStart w:id="77" w:name="_Hlt69698741"/>
      <w:bookmarkStart w:id="78" w:name="_Hlt69698769"/>
      <w:r>
        <w:rPr>
          <w:rFonts w:hint="eastAsia" w:hAnsi="宋体" w:cs="宋体"/>
          <w:b/>
          <w:snapToGrid w:val="0"/>
          <w:color w:val="000000" w:themeColor="text1"/>
          <w:sz w:val="32"/>
          <w:szCs w:val="22"/>
          <w:highlight w:val="none"/>
          <w14:textFill>
            <w14:solidFill>
              <w14:schemeClr w14:val="tx1"/>
            </w14:solidFill>
          </w14:textFill>
        </w:rPr>
        <w:t>第</w:t>
      </w:r>
      <w:bookmarkStart w:id="79" w:name="_Hlt69669171"/>
      <w:bookmarkEnd w:id="79"/>
      <w:r>
        <w:rPr>
          <w:rFonts w:hint="eastAsia" w:hAnsi="宋体" w:cs="宋体"/>
          <w:b/>
          <w:snapToGrid w:val="0"/>
          <w:color w:val="000000" w:themeColor="text1"/>
          <w:sz w:val="32"/>
          <w:szCs w:val="22"/>
          <w:highlight w:val="none"/>
          <w14:textFill>
            <w14:solidFill>
              <w14:schemeClr w14:val="tx1"/>
            </w14:solidFill>
          </w14:textFill>
        </w:rPr>
        <w:t>二章</w:t>
      </w:r>
      <w:bookmarkStart w:id="80" w:name="_Hlt87793839"/>
      <w:bookmarkEnd w:id="80"/>
      <w:r>
        <w:rPr>
          <w:rFonts w:hint="eastAsia" w:hAnsi="宋体" w:cs="宋体"/>
          <w:b/>
          <w:snapToGrid w:val="0"/>
          <w:color w:val="000000" w:themeColor="text1"/>
          <w:sz w:val="32"/>
          <w:szCs w:val="22"/>
          <w:highlight w:val="none"/>
          <w14:textFill>
            <w14:solidFill>
              <w14:schemeClr w14:val="tx1"/>
            </w14:solidFill>
          </w14:textFill>
        </w:rPr>
        <w:t xml:space="preserve"> 中标人须知</w:t>
      </w:r>
      <w:bookmarkEnd w:id="75"/>
    </w:p>
    <w:bookmarkEnd w:id="76"/>
    <w:bookmarkEnd w:id="77"/>
    <w:bookmarkEnd w:id="78"/>
    <w:p w14:paraId="679E75A4">
      <w:pPr>
        <w:bidi w:val="0"/>
        <w:rPr>
          <w:color w:val="000000" w:themeColor="text1"/>
          <w:highlight w:val="none"/>
          <w14:textFill>
            <w14:solidFill>
              <w14:schemeClr w14:val="tx1"/>
            </w14:solidFill>
          </w14:textFill>
        </w:rPr>
      </w:pPr>
    </w:p>
    <w:p w14:paraId="5D6BD709">
      <w:pPr>
        <w:wordWrap w:val="0"/>
        <w:adjustRightInd w:val="0"/>
        <w:snapToGrid w:val="0"/>
        <w:spacing w:line="440" w:lineRule="exact"/>
        <w:ind w:firstLine="562"/>
        <w:outlineLvl w:val="1"/>
        <w:rPr>
          <w:rFonts w:hAnsi="宋体" w:cs="宋体"/>
          <w:snapToGrid w:val="0"/>
          <w:color w:val="000000" w:themeColor="text1"/>
          <w:kern w:val="0"/>
          <w:szCs w:val="24"/>
          <w:highlight w:val="none"/>
          <w14:textFill>
            <w14:solidFill>
              <w14:schemeClr w14:val="tx1"/>
            </w14:solidFill>
          </w14:textFill>
        </w:rPr>
      </w:pPr>
      <w:bookmarkStart w:id="81" w:name="_Toc13161"/>
      <w:bookmarkStart w:id="82" w:name="_Toc30174"/>
      <w:bookmarkStart w:id="83" w:name="_Toc18336"/>
      <w:bookmarkStart w:id="84" w:name="_Toc15170"/>
      <w:bookmarkStart w:id="85" w:name="_Toc31521"/>
      <w:r>
        <w:rPr>
          <w:rFonts w:hint="eastAsia" w:hAnsi="宋体" w:cs="宋体"/>
          <w:b/>
          <w:snapToGrid w:val="0"/>
          <w:color w:val="000000" w:themeColor="text1"/>
          <w:kern w:val="0"/>
          <w:szCs w:val="24"/>
          <w:highlight w:val="none"/>
          <w14:textFill>
            <w14:solidFill>
              <w14:schemeClr w14:val="tx1"/>
            </w14:solidFill>
          </w14:textFill>
        </w:rPr>
        <w:t>1．中标通知书</w:t>
      </w:r>
      <w:bookmarkEnd w:id="81"/>
      <w:bookmarkEnd w:id="82"/>
      <w:bookmarkEnd w:id="83"/>
      <w:bookmarkEnd w:id="84"/>
      <w:bookmarkEnd w:id="85"/>
    </w:p>
    <w:p w14:paraId="4A8F2F0F">
      <w:pPr>
        <w:wordWrap w:val="0"/>
        <w:adjustRightInd w:val="0"/>
        <w:snapToGrid w:val="0"/>
        <w:spacing w:line="440" w:lineRule="exact"/>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37A4DCC5">
      <w:pPr>
        <w:wordWrap w:val="0"/>
        <w:adjustRightInd w:val="0"/>
        <w:snapToGrid w:val="0"/>
        <w:spacing w:line="440" w:lineRule="exact"/>
        <w:ind w:firstLine="562"/>
        <w:outlineLvl w:val="1"/>
        <w:rPr>
          <w:rFonts w:hAnsi="宋体" w:cs="宋体"/>
          <w:snapToGrid w:val="0"/>
          <w:color w:val="000000" w:themeColor="text1"/>
          <w:kern w:val="0"/>
          <w:szCs w:val="24"/>
          <w:highlight w:val="none"/>
          <w14:textFill>
            <w14:solidFill>
              <w14:schemeClr w14:val="tx1"/>
            </w14:solidFill>
          </w14:textFill>
        </w:rPr>
      </w:pPr>
      <w:bookmarkStart w:id="86" w:name="_Toc14474"/>
      <w:bookmarkStart w:id="87" w:name="_Toc1519"/>
      <w:bookmarkStart w:id="88" w:name="_Toc28601"/>
      <w:bookmarkStart w:id="89" w:name="_Toc30560"/>
      <w:bookmarkStart w:id="90" w:name="_Toc23133"/>
      <w:r>
        <w:rPr>
          <w:rFonts w:hint="eastAsia" w:hAnsi="宋体" w:cs="宋体"/>
          <w:b/>
          <w:bCs/>
          <w:snapToGrid w:val="0"/>
          <w:color w:val="000000" w:themeColor="text1"/>
          <w:kern w:val="0"/>
          <w:szCs w:val="24"/>
          <w:highlight w:val="none"/>
          <w14:textFill>
            <w14:solidFill>
              <w14:schemeClr w14:val="tx1"/>
            </w14:solidFill>
          </w14:textFill>
        </w:rPr>
        <w:t>2．中标结果公示</w:t>
      </w:r>
      <w:bookmarkEnd w:id="86"/>
      <w:bookmarkEnd w:id="87"/>
      <w:bookmarkEnd w:id="88"/>
      <w:bookmarkEnd w:id="89"/>
      <w:bookmarkEnd w:id="90"/>
    </w:p>
    <w:p w14:paraId="77A95344">
      <w:pPr>
        <w:wordWrap w:val="0"/>
        <w:adjustRightInd w:val="0"/>
        <w:snapToGrid w:val="0"/>
        <w:spacing w:line="440" w:lineRule="exact"/>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中标通知书发出后15日内，招标人应将中标结果在广东省招标投标监管网（https://www.gdzwfw.gov.cn/ztbjg-portal/#/index）及全国公共资源交易平台（广东省·韶关市）（https://ygp.gdzwfw.gov.cn/ggzy-portal/#/440200/index）进行公示。</w:t>
      </w:r>
    </w:p>
    <w:p w14:paraId="66271C24">
      <w:pPr>
        <w:wordWrap w:val="0"/>
        <w:adjustRightInd w:val="0"/>
        <w:snapToGrid w:val="0"/>
        <w:spacing w:line="440" w:lineRule="exact"/>
        <w:ind w:firstLine="562"/>
        <w:outlineLvl w:val="1"/>
        <w:rPr>
          <w:rFonts w:hAnsi="宋体" w:cs="宋体"/>
          <w:snapToGrid w:val="0"/>
          <w:color w:val="000000" w:themeColor="text1"/>
          <w:kern w:val="0"/>
          <w:szCs w:val="24"/>
          <w:highlight w:val="none"/>
          <w14:textFill>
            <w14:solidFill>
              <w14:schemeClr w14:val="tx1"/>
            </w14:solidFill>
          </w14:textFill>
        </w:rPr>
      </w:pPr>
      <w:bookmarkStart w:id="91" w:name="_Toc3075"/>
      <w:bookmarkStart w:id="92" w:name="_Toc21624"/>
      <w:bookmarkStart w:id="93" w:name="_Toc11768"/>
      <w:bookmarkStart w:id="94" w:name="_Toc292"/>
      <w:bookmarkStart w:id="95" w:name="_Toc31370"/>
      <w:r>
        <w:rPr>
          <w:rFonts w:hint="eastAsia" w:hAnsi="宋体" w:cs="宋体"/>
          <w:b/>
          <w:bCs/>
          <w:snapToGrid w:val="0"/>
          <w:color w:val="000000" w:themeColor="text1"/>
          <w:kern w:val="0"/>
          <w:szCs w:val="24"/>
          <w:highlight w:val="none"/>
          <w14:textFill>
            <w14:solidFill>
              <w14:schemeClr w14:val="tx1"/>
            </w14:solidFill>
          </w14:textFill>
        </w:rPr>
        <w:t>3．履约保证</w:t>
      </w:r>
      <w:bookmarkEnd w:id="91"/>
      <w:bookmarkEnd w:id="92"/>
      <w:bookmarkEnd w:id="93"/>
      <w:bookmarkEnd w:id="94"/>
      <w:bookmarkEnd w:id="95"/>
    </w:p>
    <w:p w14:paraId="030DECC9">
      <w:pPr>
        <w:wordWrap w:val="0"/>
        <w:adjustRightInd w:val="0"/>
        <w:snapToGrid w:val="0"/>
        <w:spacing w:line="440" w:lineRule="exact"/>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3.1</w:t>
      </w:r>
      <w:r>
        <w:rPr>
          <w:rFonts w:hint="eastAsia" w:hAnsi="宋体" w:cs="宋体"/>
          <w:snapToGrid w:val="0"/>
          <w:color w:val="000000" w:themeColor="text1"/>
          <w:kern w:val="0"/>
          <w:szCs w:val="24"/>
          <w:highlight w:val="none"/>
          <w14:textFill>
            <w14:solidFill>
              <w14:schemeClr w14:val="tx1"/>
            </w14:solidFill>
          </w14:textFill>
        </w:rPr>
        <w:t xml:space="preserve"> 中标人须在领取中标通知书之日起</w:t>
      </w:r>
      <w:r>
        <w:rPr>
          <w:rFonts w:hint="eastAsia" w:hAnsi="宋体" w:cs="宋体"/>
          <w:snapToGrid w:val="0"/>
          <w:color w:val="000000" w:themeColor="text1"/>
          <w:kern w:val="0"/>
          <w:szCs w:val="24"/>
          <w:highlight w:val="none"/>
          <w:u w:val="single"/>
          <w14:textFill>
            <w14:solidFill>
              <w14:schemeClr w14:val="tx1"/>
            </w14:solidFill>
          </w14:textFill>
        </w:rPr>
        <w:t xml:space="preserve"> 10 </w:t>
      </w:r>
      <w:r>
        <w:rPr>
          <w:rFonts w:hint="eastAsia" w:hAnsi="宋体" w:cs="宋体"/>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hAnsi="宋体" w:cs="宋体"/>
          <w:snapToGrid w:val="0"/>
          <w:color w:val="000000" w:themeColor="text1"/>
          <w:kern w:val="0"/>
          <w:szCs w:val="24"/>
          <w:highlight w:val="none"/>
          <w:u w:val="single"/>
          <w:lang w:val="en-US" w:eastAsia="zh-CN"/>
          <w14:textFill>
            <w14:solidFill>
              <w14:schemeClr w14:val="tx1"/>
            </w14:solidFill>
          </w14:textFill>
        </w:rPr>
        <w:t>5</w:t>
      </w:r>
      <w:r>
        <w:rPr>
          <w:rFonts w:hint="eastAsia" w:hAnsi="宋体" w:cs="宋体"/>
          <w:snapToGrid w:val="0"/>
          <w:color w:val="000000" w:themeColor="text1"/>
          <w:kern w:val="0"/>
          <w:szCs w:val="24"/>
          <w:highlight w:val="none"/>
          <w:u w:val="singl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 xml:space="preserve">的履约保证。 </w:t>
      </w:r>
    </w:p>
    <w:p w14:paraId="66FC10A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562" w:firstLineChars="0"/>
        <w:jc w:val="both"/>
        <w:textAlignment w:val="auto"/>
        <w:outlineLvl w:val="9"/>
        <w:rPr>
          <w:rFonts w:hint="eastAsia" w:ascii="Times New Roman" w:hAnsi="Times New Roman" w:cs="Times New Roman"/>
          <w:caps w:val="0"/>
          <w:smallCaps w:val="0"/>
          <w:snapToGrid w:val="0"/>
          <w:color w:val="000000" w:themeColor="text1"/>
          <w:spacing w:val="0"/>
          <w:kern w:val="0"/>
          <w:highlight w:val="none"/>
          <w:lang w:val="en-US" w:eastAsia="zh-CN"/>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3.2 </w:t>
      </w:r>
      <w:r>
        <w:rPr>
          <w:rFonts w:hint="eastAsia" w:ascii="Times New Roman" w:hAnsi="Times New Roman" w:cs="Times New Roman"/>
          <w:caps w:val="0"/>
          <w:smallCaps w:val="0"/>
          <w:snapToGrid w:val="0"/>
          <w:color w:val="000000" w:themeColor="text1"/>
          <w:spacing w:val="0"/>
          <w:kern w:val="0"/>
          <w:highlight w:val="none"/>
          <w:lang w:val="en-US" w:eastAsia="zh-CN"/>
          <w14:textFill>
            <w14:solidFill>
              <w14:schemeClr w14:val="tx1"/>
            </w14:solidFill>
          </w14:textFill>
        </w:rPr>
        <w:t>履约保证的形式包括履约保证金、履约保证担保、履约保证保险三种，由中标人自主选择。</w:t>
      </w:r>
    </w:p>
    <w:p w14:paraId="170A94BA">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caps w:val="0"/>
          <w:smallCaps w:val="0"/>
          <w:snapToGrid w:val="0"/>
          <w:color w:val="000000" w:themeColor="text1"/>
          <w:spacing w:val="0"/>
          <w:kern w:val="0"/>
          <w:highlight w:val="none"/>
          <w:lang w:val="en-US" w:eastAsia="zh-CN"/>
          <w14:textFill>
            <w14:solidFill>
              <w14:schemeClr w14:val="tx1"/>
            </w14:solidFill>
          </w14:textFill>
        </w:rPr>
      </w:pPr>
      <w:r>
        <w:rPr>
          <w:rFonts w:hint="eastAsia" w:ascii="Times New Roman" w:hAnsi="Times New Roman" w:cs="Times New Roman"/>
          <w:caps w:val="0"/>
          <w:smallCaps w:val="0"/>
          <w:snapToGrid w:val="0"/>
          <w:color w:val="000000" w:themeColor="text1"/>
          <w:spacing w:val="0"/>
          <w:kern w:val="0"/>
          <w:highlight w:val="none"/>
          <w:lang w:val="en-US" w:eastAsia="zh-CN"/>
          <w14:textFill>
            <w14:solidFill>
              <w14:schemeClr w14:val="tx1"/>
            </w14:solidFill>
          </w14:textFill>
        </w:rPr>
        <w:t>（1）采用履约保证金的，中标人须从其法人开户银行的账号将履约保证金划至招标人账户，并详细注明项目名称及用途。</w:t>
      </w:r>
    </w:p>
    <w:p w14:paraId="7C3FB4D0">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ascii="Times New Roman" w:hAnsi="Times New Roman" w:cs="Times New Roman"/>
          <w:caps w:val="0"/>
          <w:smallCaps w:val="0"/>
          <w:snapToGrid w:val="0"/>
          <w:color w:val="000000" w:themeColor="text1"/>
          <w:spacing w:val="0"/>
          <w:kern w:val="0"/>
          <w:highlight w:val="none"/>
          <w:lang w:val="en-US" w:eastAsia="zh-CN"/>
          <w14:textFill>
            <w14:solidFill>
              <w14:schemeClr w14:val="tx1"/>
            </w14:solidFill>
          </w14:textFill>
        </w:rPr>
        <w:t>（2）采用履约保证担保或履约保证保险的，中标人应提交有效的银行保函或保险合同（或保险单）原件，银行保函或保险合同（或保险单）的有效期应当自合同生效之日起至项目通过竣工验收之日后28天止。如果中标人无法获得具体截止日期，银行保函或保险合同（或保险单）中应当有“变更项目竣工日期的，保证期间按照变更后的竣工日期做相应调整”或类似约定的条款</w:t>
      </w:r>
      <w:r>
        <w:rPr>
          <w:rFonts w:hint="eastAsia" w:hAnsi="宋体" w:cs="宋体"/>
          <w:snapToGrid w:val="0"/>
          <w:color w:val="000000" w:themeColor="text1"/>
          <w:kern w:val="0"/>
          <w:szCs w:val="24"/>
          <w:highlight w:val="none"/>
          <w14:textFill>
            <w14:solidFill>
              <w14:schemeClr w14:val="tx1"/>
            </w14:solidFill>
          </w14:textFill>
        </w:rPr>
        <w:t>。</w:t>
      </w:r>
    </w:p>
    <w:p w14:paraId="1B73A006">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3.3 </w:t>
      </w:r>
      <w:r>
        <w:rPr>
          <w:rFonts w:hint="eastAsia" w:hAnsi="宋体" w:cs="宋体"/>
          <w:snapToGrid w:val="0"/>
          <w:color w:val="000000" w:themeColor="text1"/>
          <w:kern w:val="0"/>
          <w:szCs w:val="24"/>
          <w:highlight w:val="none"/>
          <w14:textFill>
            <w14:solidFill>
              <w14:schemeClr w14:val="tx1"/>
            </w14:solidFill>
          </w14:textFill>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00E9EABB">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3.4</w:t>
      </w:r>
      <w:r>
        <w:rPr>
          <w:rFonts w:hint="eastAsia" w:hAnsi="宋体" w:cs="宋体"/>
          <w:snapToGrid w:val="0"/>
          <w:color w:val="000000" w:themeColor="text1"/>
          <w:kern w:val="0"/>
          <w:szCs w:val="24"/>
          <w:highlight w:val="none"/>
          <w14:textFill>
            <w14:solidFill>
              <w14:schemeClr w14:val="tx1"/>
            </w14:solidFill>
          </w14:textFill>
        </w:rPr>
        <w:t xml:space="preserve"> 在项目实施过程中，如果</w:t>
      </w:r>
      <w:r>
        <w:rPr>
          <w:rFonts w:hint="eastAsia" w:hAnsi="宋体" w:cs="宋体"/>
          <w:snapToGrid w:val="0"/>
          <w:color w:val="000000" w:themeColor="text1"/>
          <w:kern w:val="0"/>
          <w:szCs w:val="24"/>
          <w:highlight w:val="none"/>
          <w:lang w:val="en-US" w:eastAsia="zh-CN"/>
          <w14:textFill>
            <w14:solidFill>
              <w14:schemeClr w14:val="tx1"/>
            </w14:solidFill>
          </w14:textFill>
        </w:rPr>
        <w:t>施工单位</w:t>
      </w:r>
      <w:r>
        <w:rPr>
          <w:rFonts w:hint="eastAsia" w:hAnsi="宋体" w:cs="宋体"/>
          <w:snapToGrid w:val="0"/>
          <w:color w:val="000000" w:themeColor="text1"/>
          <w:kern w:val="0"/>
          <w:szCs w:val="24"/>
          <w:highlight w:val="none"/>
          <w14:textFill>
            <w14:solidFill>
              <w14:schemeClr w14:val="tx1"/>
            </w14:solidFill>
          </w14:textFill>
        </w:rPr>
        <w:t>由于自身的资金、技术、质量、非不可抗力等原因给</w:t>
      </w:r>
      <w:r>
        <w:rPr>
          <w:rFonts w:hint="eastAsia" w:hAnsi="宋体" w:cs="宋体"/>
          <w:snapToGrid w:val="0"/>
          <w:color w:val="000000" w:themeColor="text1"/>
          <w:kern w:val="0"/>
          <w:szCs w:val="24"/>
          <w:highlight w:val="none"/>
          <w:lang w:eastAsia="zh-CN"/>
          <w14:textFill>
            <w14:solidFill>
              <w14:schemeClr w14:val="tx1"/>
            </w14:solidFill>
          </w14:textFill>
        </w:rPr>
        <w:t>委托人</w:t>
      </w:r>
      <w:r>
        <w:rPr>
          <w:rFonts w:hint="eastAsia" w:hAnsi="宋体" w:cs="宋体"/>
          <w:snapToGrid w:val="0"/>
          <w:color w:val="000000" w:themeColor="text1"/>
          <w:kern w:val="0"/>
          <w:szCs w:val="24"/>
          <w:highlight w:val="none"/>
          <w14:textFill>
            <w14:solidFill>
              <w14:schemeClr w14:val="tx1"/>
            </w14:solidFill>
          </w14:textFill>
        </w:rPr>
        <w:t>造成经济损失，</w:t>
      </w:r>
      <w:r>
        <w:rPr>
          <w:rFonts w:hint="eastAsia" w:hAnsi="宋体" w:cs="宋体"/>
          <w:snapToGrid w:val="0"/>
          <w:color w:val="000000" w:themeColor="text1"/>
          <w:kern w:val="0"/>
          <w:szCs w:val="24"/>
          <w:highlight w:val="none"/>
          <w:lang w:eastAsia="zh-CN"/>
          <w14:textFill>
            <w14:solidFill>
              <w14:schemeClr w14:val="tx1"/>
            </w14:solidFill>
          </w14:textFill>
        </w:rPr>
        <w:t>委托人</w:t>
      </w:r>
      <w:r>
        <w:rPr>
          <w:rFonts w:hint="eastAsia" w:hAnsi="宋体" w:cs="宋体"/>
          <w:snapToGrid w:val="0"/>
          <w:color w:val="000000" w:themeColor="text1"/>
          <w:kern w:val="0"/>
          <w:szCs w:val="24"/>
          <w:highlight w:val="none"/>
          <w14:textFill>
            <w14:solidFill>
              <w14:schemeClr w14:val="tx1"/>
            </w14:solidFill>
          </w14:textFill>
        </w:rPr>
        <w:t>有权扣划相应金额的履约保证。</w:t>
      </w:r>
    </w:p>
    <w:p w14:paraId="470ADF02">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3.5</w:t>
      </w:r>
      <w:r>
        <w:rPr>
          <w:rFonts w:hint="eastAsia" w:hAnsi="宋体" w:cs="宋体"/>
          <w:snapToGrid w:val="0"/>
          <w:color w:val="000000" w:themeColor="text1"/>
          <w:kern w:val="0"/>
          <w:szCs w:val="24"/>
          <w:highlight w:val="none"/>
          <w14:textFill>
            <w14:solidFill>
              <w14:schemeClr w14:val="tx1"/>
            </w14:solidFill>
          </w14:textFill>
        </w:rPr>
        <w:t xml:space="preserve"> 项目通过竣工验收之日后28天内，</w:t>
      </w:r>
      <w:r>
        <w:rPr>
          <w:rFonts w:hint="eastAsia" w:hAnsi="宋体" w:cs="宋体"/>
          <w:snapToGrid w:val="0"/>
          <w:color w:val="000000" w:themeColor="text1"/>
          <w:kern w:val="0"/>
          <w:szCs w:val="24"/>
          <w:highlight w:val="none"/>
          <w:lang w:eastAsia="zh-CN"/>
          <w14:textFill>
            <w14:solidFill>
              <w14:schemeClr w14:val="tx1"/>
            </w14:solidFill>
          </w14:textFill>
        </w:rPr>
        <w:t>委托人</w:t>
      </w:r>
      <w:r>
        <w:rPr>
          <w:rFonts w:hint="eastAsia" w:hAnsi="宋体" w:cs="宋体"/>
          <w:snapToGrid w:val="0"/>
          <w:color w:val="000000" w:themeColor="text1"/>
          <w:kern w:val="0"/>
          <w:szCs w:val="24"/>
          <w:highlight w:val="none"/>
          <w14:textFill>
            <w14:solidFill>
              <w14:schemeClr w14:val="tx1"/>
            </w14:solidFill>
          </w14:textFill>
        </w:rPr>
        <w:t>将履约保证退还给监理人。</w:t>
      </w:r>
    </w:p>
    <w:p w14:paraId="5687AAEC">
      <w:pPr>
        <w:wordWrap w:val="0"/>
        <w:adjustRightInd w:val="0"/>
        <w:snapToGrid w:val="0"/>
        <w:spacing w:line="440" w:lineRule="exact"/>
        <w:ind w:firstLine="482" w:firstLineChars="200"/>
        <w:outlineLvl w:val="1"/>
        <w:rPr>
          <w:rFonts w:hAnsi="宋体" w:cs="宋体"/>
          <w:b/>
          <w:bCs/>
          <w:snapToGrid w:val="0"/>
          <w:color w:val="000000" w:themeColor="text1"/>
          <w:kern w:val="0"/>
          <w:szCs w:val="24"/>
          <w:highlight w:val="none"/>
          <w14:textFill>
            <w14:solidFill>
              <w14:schemeClr w14:val="tx1"/>
            </w14:solidFill>
          </w14:textFill>
        </w:rPr>
      </w:pPr>
      <w:bookmarkStart w:id="96" w:name="_Toc22628"/>
      <w:bookmarkStart w:id="97" w:name="_Toc29907"/>
      <w:bookmarkStart w:id="98" w:name="_Toc16211"/>
      <w:bookmarkStart w:id="99" w:name="_Toc20923"/>
      <w:bookmarkStart w:id="100" w:name="_Toc25367"/>
      <w:r>
        <w:rPr>
          <w:rFonts w:hint="eastAsia" w:hAnsi="宋体" w:cs="宋体"/>
          <w:b/>
          <w:bCs/>
          <w:snapToGrid w:val="0"/>
          <w:color w:val="000000" w:themeColor="text1"/>
          <w:kern w:val="0"/>
          <w:szCs w:val="24"/>
          <w:highlight w:val="none"/>
          <w14:textFill>
            <w14:solidFill>
              <w14:schemeClr w14:val="tx1"/>
            </w14:solidFill>
          </w14:textFill>
        </w:rPr>
        <w:t>4．合同订立</w:t>
      </w:r>
      <w:bookmarkEnd w:id="96"/>
      <w:bookmarkEnd w:id="97"/>
      <w:bookmarkEnd w:id="98"/>
      <w:bookmarkEnd w:id="99"/>
      <w:bookmarkEnd w:id="100"/>
    </w:p>
    <w:p w14:paraId="4E8B408F">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4.1</w:t>
      </w:r>
      <w:r>
        <w:rPr>
          <w:rFonts w:hint="eastAsia" w:hAnsi="宋体" w:cs="宋体"/>
          <w:snapToGrid w:val="0"/>
          <w:color w:val="000000" w:themeColor="text1"/>
          <w:kern w:val="0"/>
          <w:szCs w:val="24"/>
          <w:highlight w:val="none"/>
          <w14:textFill>
            <w14:solidFill>
              <w14:schemeClr w14:val="tx1"/>
            </w14:solidFill>
          </w14:textFill>
        </w:rPr>
        <w:t xml:space="preserve"> 招标人应当自中标通知书发出之日起</w:t>
      </w:r>
      <w:r>
        <w:rPr>
          <w:rFonts w:hint="eastAsia" w:hAnsi="宋体" w:cs="宋体"/>
          <w:snapToGrid w:val="0"/>
          <w:color w:val="000000" w:themeColor="text1"/>
          <w:kern w:val="0"/>
          <w:szCs w:val="24"/>
          <w:highlight w:val="none"/>
          <w:u w:val="single"/>
          <w14:textFill>
            <w14:solidFill>
              <w14:schemeClr w14:val="tx1"/>
            </w14:solidFill>
          </w14:textFill>
        </w:rPr>
        <w:t xml:space="preserve"> 30 </w:t>
      </w:r>
      <w:r>
        <w:rPr>
          <w:rFonts w:hint="eastAsia" w:hAnsi="宋体" w:cs="宋体"/>
          <w:snapToGrid w:val="0"/>
          <w:color w:val="000000" w:themeColor="text1"/>
          <w:kern w:val="0"/>
          <w:szCs w:val="24"/>
          <w:highlight w:val="none"/>
          <w14:textFill>
            <w14:solidFill>
              <w14:schemeClr w14:val="tx1"/>
            </w14:solidFill>
          </w14:textFill>
        </w:rPr>
        <w:t>日内，按照招标文件、中标人的投标文件与中标人订立书面合同。</w:t>
      </w:r>
    </w:p>
    <w:p w14:paraId="32D924B4">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w:t>
      </w:r>
      <w:r>
        <w:rPr>
          <w:rFonts w:hint="eastAsia" w:hAnsi="宋体" w:cs="宋体"/>
          <w:snapToGrid w:val="0"/>
          <w:color w:val="000000" w:themeColor="text1"/>
          <w:kern w:val="0"/>
          <w:szCs w:val="24"/>
          <w:highlight w:val="none"/>
          <w14:textFill>
            <w14:solidFill>
              <w14:schemeClr w14:val="tx1"/>
            </w14:solidFill>
          </w14:textFill>
        </w:rPr>
        <w:t xml:space="preserve"> 合同的标的、质量、履行期限条款和合同的价款、风险分担等主要条款，应当与招标文件、中标人的投标文件的内容一致。中标人在签订合同时不得向招标人提出附加条件。</w:t>
      </w:r>
    </w:p>
    <w:p w14:paraId="3616E892">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4.3</w:t>
      </w:r>
      <w:r>
        <w:rPr>
          <w:rFonts w:hint="eastAsia" w:hAnsi="宋体" w:cs="宋体"/>
          <w:snapToGrid w:val="0"/>
          <w:color w:val="000000" w:themeColor="text1"/>
          <w:kern w:val="0"/>
          <w:szCs w:val="24"/>
          <w:highlight w:val="none"/>
          <w14:textFill>
            <w14:solidFill>
              <w14:schemeClr w14:val="tx1"/>
            </w14:solidFill>
          </w14:textFill>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41D3931D">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4.4</w:t>
      </w:r>
      <w:r>
        <w:rPr>
          <w:rFonts w:hint="eastAsia" w:hAnsi="宋体" w:cs="宋体"/>
          <w:snapToGrid w:val="0"/>
          <w:color w:val="000000" w:themeColor="text1"/>
          <w:kern w:val="0"/>
          <w:szCs w:val="24"/>
          <w:highlight w:val="none"/>
          <w14:textFill>
            <w14:solidFill>
              <w14:schemeClr w14:val="tx1"/>
            </w14:solidFill>
          </w14:textFill>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23476853">
      <w:pPr>
        <w:wordWrap w:val="0"/>
        <w:adjustRightInd w:val="0"/>
        <w:snapToGrid w:val="0"/>
        <w:spacing w:line="440" w:lineRule="exact"/>
        <w:ind w:firstLine="482" w:firstLineChars="200"/>
        <w:outlineLvl w:val="1"/>
        <w:rPr>
          <w:rFonts w:hAnsi="宋体" w:cs="宋体"/>
          <w:snapToGrid w:val="0"/>
          <w:color w:val="000000" w:themeColor="text1"/>
          <w:kern w:val="0"/>
          <w:szCs w:val="24"/>
          <w:highlight w:val="none"/>
          <w14:textFill>
            <w14:solidFill>
              <w14:schemeClr w14:val="tx1"/>
            </w14:solidFill>
          </w14:textFill>
        </w:rPr>
      </w:pPr>
      <w:bookmarkStart w:id="101" w:name="_Toc6741"/>
      <w:bookmarkStart w:id="102" w:name="_Toc11598"/>
      <w:bookmarkStart w:id="103" w:name="_Toc26572"/>
      <w:bookmarkStart w:id="104" w:name="_Toc3858"/>
      <w:bookmarkStart w:id="105" w:name="_Toc25887"/>
      <w:r>
        <w:rPr>
          <w:rFonts w:hint="eastAsia" w:hAnsi="宋体" w:cs="宋体"/>
          <w:b/>
          <w:bCs/>
          <w:snapToGrid w:val="0"/>
          <w:color w:val="000000" w:themeColor="text1"/>
          <w:kern w:val="0"/>
          <w:szCs w:val="24"/>
          <w:highlight w:val="none"/>
          <w14:textFill>
            <w14:solidFill>
              <w14:schemeClr w14:val="tx1"/>
            </w14:solidFill>
          </w14:textFill>
        </w:rPr>
        <w:t>5．放弃中标的处理</w:t>
      </w:r>
      <w:bookmarkEnd w:id="101"/>
      <w:bookmarkEnd w:id="102"/>
      <w:bookmarkEnd w:id="103"/>
      <w:bookmarkEnd w:id="104"/>
      <w:bookmarkEnd w:id="105"/>
    </w:p>
    <w:p w14:paraId="6FCEA84C">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5.1</w:t>
      </w:r>
      <w:r>
        <w:rPr>
          <w:rFonts w:hint="eastAsia" w:hAnsi="宋体" w:cs="宋体"/>
          <w:snapToGrid w:val="0"/>
          <w:color w:val="000000" w:themeColor="text1"/>
          <w:kern w:val="0"/>
          <w:szCs w:val="24"/>
          <w:highlight w:val="none"/>
          <w14:textFill>
            <w14:solidFill>
              <w14:schemeClr w14:val="tx1"/>
            </w14:solidFill>
          </w14:textFill>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2CC8B03A">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5.2</w:t>
      </w:r>
      <w:r>
        <w:rPr>
          <w:rFonts w:hint="eastAsia" w:hAnsi="宋体" w:cs="宋体"/>
          <w:snapToGrid w:val="0"/>
          <w:color w:val="000000" w:themeColor="text1"/>
          <w:kern w:val="0"/>
          <w:szCs w:val="24"/>
          <w:highlight w:val="none"/>
          <w14:textFill>
            <w14:solidFill>
              <w14:schemeClr w14:val="tx1"/>
            </w14:solidFill>
          </w14:textFill>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664E068F">
      <w:pPr>
        <w:wordWrap w:val="0"/>
        <w:adjustRightInd w:val="0"/>
        <w:snapToGrid w:val="0"/>
        <w:spacing w:line="440" w:lineRule="exact"/>
        <w:ind w:firstLine="482" w:firstLineChars="200"/>
        <w:outlineLvl w:val="1"/>
        <w:rPr>
          <w:rFonts w:hAnsi="宋体" w:cs="宋体"/>
          <w:snapToGrid w:val="0"/>
          <w:color w:val="000000" w:themeColor="text1"/>
          <w:kern w:val="0"/>
          <w:szCs w:val="24"/>
          <w:highlight w:val="none"/>
          <w14:textFill>
            <w14:solidFill>
              <w14:schemeClr w14:val="tx1"/>
            </w14:solidFill>
          </w14:textFill>
        </w:rPr>
      </w:pPr>
      <w:bookmarkStart w:id="106" w:name="_Toc500"/>
      <w:bookmarkStart w:id="107" w:name="_Toc15893"/>
      <w:bookmarkStart w:id="108" w:name="_Toc8282"/>
      <w:bookmarkStart w:id="109" w:name="_Toc16723"/>
      <w:bookmarkStart w:id="110" w:name="_Toc26352"/>
      <w:r>
        <w:rPr>
          <w:rFonts w:hint="eastAsia" w:hAnsi="宋体" w:cs="宋体"/>
          <w:b/>
          <w:bCs/>
          <w:snapToGrid w:val="0"/>
          <w:color w:val="000000" w:themeColor="text1"/>
          <w:kern w:val="0"/>
          <w:szCs w:val="24"/>
          <w:highlight w:val="none"/>
          <w14:textFill>
            <w14:solidFill>
              <w14:schemeClr w14:val="tx1"/>
            </w14:solidFill>
          </w14:textFill>
        </w:rPr>
        <w:t>6．分包</w:t>
      </w:r>
      <w:bookmarkEnd w:id="106"/>
      <w:bookmarkEnd w:id="107"/>
      <w:bookmarkEnd w:id="108"/>
      <w:bookmarkEnd w:id="109"/>
      <w:bookmarkEnd w:id="110"/>
    </w:p>
    <w:p w14:paraId="14134B11">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合同范围内的监理服务严禁分包，一经发现，委托人有权解除合同，由此引起的一切经济损失和法律责任由监理人自行承担。</w:t>
      </w:r>
    </w:p>
    <w:p w14:paraId="2A06BCD4">
      <w:pPr>
        <w:wordWrap w:val="0"/>
        <w:adjustRightInd w:val="0"/>
        <w:snapToGrid w:val="0"/>
        <w:spacing w:line="440" w:lineRule="exact"/>
        <w:ind w:firstLine="482" w:firstLineChars="200"/>
        <w:outlineLvl w:val="1"/>
        <w:rPr>
          <w:rFonts w:hAnsi="宋体" w:cs="宋体"/>
          <w:snapToGrid w:val="0"/>
          <w:color w:val="000000" w:themeColor="text1"/>
          <w:kern w:val="0"/>
          <w:szCs w:val="24"/>
          <w:highlight w:val="none"/>
          <w14:textFill>
            <w14:solidFill>
              <w14:schemeClr w14:val="tx1"/>
            </w14:solidFill>
          </w14:textFill>
        </w:rPr>
      </w:pPr>
      <w:bookmarkStart w:id="111" w:name="_Toc31267"/>
      <w:bookmarkStart w:id="112" w:name="_Toc15764"/>
      <w:bookmarkStart w:id="113" w:name="_Toc8110"/>
      <w:bookmarkStart w:id="114" w:name="_Toc21917"/>
      <w:bookmarkStart w:id="115" w:name="_Toc24081"/>
      <w:r>
        <w:rPr>
          <w:rFonts w:hint="eastAsia" w:hAnsi="宋体" w:cs="宋体"/>
          <w:b/>
          <w:bCs/>
          <w:snapToGrid w:val="0"/>
          <w:color w:val="000000" w:themeColor="text1"/>
          <w:kern w:val="0"/>
          <w:szCs w:val="24"/>
          <w:highlight w:val="none"/>
          <w14:textFill>
            <w14:solidFill>
              <w14:schemeClr w14:val="tx1"/>
            </w14:solidFill>
          </w14:textFill>
        </w:rPr>
        <w:t>7．诚信登记</w:t>
      </w:r>
      <w:bookmarkEnd w:id="111"/>
      <w:bookmarkEnd w:id="112"/>
      <w:bookmarkEnd w:id="113"/>
      <w:bookmarkEnd w:id="114"/>
      <w:bookmarkEnd w:id="115"/>
    </w:p>
    <w:p w14:paraId="74C04475">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按韶关市住房和城乡建设管理局的有关规定执行。</w:t>
      </w:r>
    </w:p>
    <w:p w14:paraId="685A3014">
      <w:pPr>
        <w:wordWrap w:val="0"/>
        <w:adjustRightInd w:val="0"/>
        <w:snapToGrid w:val="0"/>
        <w:spacing w:line="440" w:lineRule="exact"/>
        <w:ind w:firstLine="482" w:firstLineChars="200"/>
        <w:outlineLvl w:val="1"/>
        <w:rPr>
          <w:rFonts w:hAnsi="宋体" w:cs="宋体"/>
          <w:b/>
          <w:bCs/>
          <w:snapToGrid w:val="0"/>
          <w:color w:val="000000" w:themeColor="text1"/>
          <w:kern w:val="0"/>
          <w:szCs w:val="24"/>
          <w:highlight w:val="none"/>
          <w14:textFill>
            <w14:solidFill>
              <w14:schemeClr w14:val="tx1"/>
            </w14:solidFill>
          </w14:textFill>
        </w:rPr>
      </w:pPr>
      <w:bookmarkStart w:id="116" w:name="_Toc17560"/>
      <w:bookmarkStart w:id="117" w:name="_Toc19761"/>
      <w:bookmarkStart w:id="118" w:name="_Toc2527"/>
      <w:bookmarkStart w:id="119" w:name="_Toc19858"/>
      <w:bookmarkStart w:id="120" w:name="_Toc18249"/>
      <w:r>
        <w:rPr>
          <w:rFonts w:hint="eastAsia" w:hAnsi="宋体" w:cs="宋体"/>
          <w:b/>
          <w:bCs/>
          <w:snapToGrid w:val="0"/>
          <w:color w:val="000000" w:themeColor="text1"/>
          <w:kern w:val="0"/>
          <w:szCs w:val="24"/>
          <w:highlight w:val="none"/>
          <w14:textFill>
            <w14:solidFill>
              <w14:schemeClr w14:val="tx1"/>
            </w14:solidFill>
          </w14:textFill>
        </w:rPr>
        <w:t>8．监理服务期限</w:t>
      </w:r>
      <w:bookmarkEnd w:id="116"/>
      <w:bookmarkEnd w:id="117"/>
      <w:bookmarkEnd w:id="118"/>
      <w:bookmarkEnd w:id="119"/>
      <w:bookmarkEnd w:id="120"/>
    </w:p>
    <w:p w14:paraId="1C5F06F6">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8.1</w:t>
      </w:r>
      <w:r>
        <w:rPr>
          <w:rFonts w:hint="eastAsia" w:hAnsi="宋体" w:cs="宋体"/>
          <w:snapToGrid w:val="0"/>
          <w:color w:val="000000" w:themeColor="text1"/>
          <w:kern w:val="0"/>
          <w:szCs w:val="24"/>
          <w:highlight w:val="none"/>
          <w14:textFill>
            <w14:solidFill>
              <w14:schemeClr w14:val="tx1"/>
            </w14:solidFill>
          </w14:textFill>
        </w:rPr>
        <w:t xml:space="preserve"> 当满足专用合同条款约定的开始监理条件时，委托人应提前7天向监理人发出开始监理通知。监理服务期限自开始监理通知中载明的开始监理日期起计算。</w:t>
      </w:r>
    </w:p>
    <w:p w14:paraId="48D92276">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8.2</w:t>
      </w:r>
      <w:r>
        <w:rPr>
          <w:rFonts w:hint="eastAsia" w:hAnsi="宋体" w:cs="宋体"/>
          <w:snapToGrid w:val="0"/>
          <w:color w:val="000000" w:themeColor="text1"/>
          <w:kern w:val="0"/>
          <w:szCs w:val="24"/>
          <w:highlight w:val="none"/>
          <w14:textFill>
            <w14:solidFill>
              <w14:schemeClr w14:val="tx1"/>
            </w14:solidFill>
          </w14:textFill>
        </w:rPr>
        <w:t xml:space="preserve"> 在合同履行过程中，由于下列原因造成监理服务期限延误的，委托人应当延长监理服务期限并增加监理酬金，具体方法在专用合同条款中约定。</w:t>
      </w:r>
    </w:p>
    <w:p w14:paraId="016CF937">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（1）合同变更；</w:t>
      </w:r>
    </w:p>
    <w:p w14:paraId="5A8CC50C">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（2）因委托人原因导致的监理工作暂停；</w:t>
      </w:r>
    </w:p>
    <w:p w14:paraId="02F2202F">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（3）未按合同约定及时支付监理服务酬金；</w:t>
      </w:r>
    </w:p>
    <w:p w14:paraId="7578B024">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（4）未及时履行合同约定的相关义务；</w:t>
      </w:r>
    </w:p>
    <w:p w14:paraId="19B080FC">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（5）由于承包人（指在本招标项目监理范围内，与委托人签订勘察、设计、施工承包合同的当事人，下同）延误、行政管理造成的监理服务期限延误；</w:t>
      </w:r>
    </w:p>
    <w:p w14:paraId="6C7FA0D3">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（6）造成监理服务期限延误的其他原因。</w:t>
      </w:r>
    </w:p>
    <w:p w14:paraId="2F108C25">
      <w:pPr>
        <w:wordWrap w:val="0"/>
        <w:adjustRightInd w:val="0"/>
        <w:snapToGrid w:val="0"/>
        <w:spacing w:line="440" w:lineRule="exact"/>
        <w:ind w:firstLine="482" w:firstLineChars="200"/>
        <w:outlineLvl w:val="1"/>
        <w:rPr>
          <w:rFonts w:hAnsi="宋体" w:cs="宋体"/>
          <w:snapToGrid w:val="0"/>
          <w:color w:val="000000" w:themeColor="text1"/>
          <w:kern w:val="0"/>
          <w:szCs w:val="24"/>
          <w:highlight w:val="none"/>
          <w14:textFill>
            <w14:solidFill>
              <w14:schemeClr w14:val="tx1"/>
            </w14:solidFill>
          </w14:textFill>
        </w:rPr>
      </w:pPr>
      <w:bookmarkStart w:id="121" w:name="_Toc16618"/>
      <w:bookmarkStart w:id="122" w:name="_Toc13195"/>
      <w:bookmarkStart w:id="123" w:name="_Toc25479"/>
      <w:bookmarkStart w:id="124" w:name="_Toc6532"/>
      <w:bookmarkStart w:id="125" w:name="_Toc17664"/>
      <w:r>
        <w:rPr>
          <w:rFonts w:hint="eastAsia" w:hAnsi="宋体" w:cs="宋体"/>
          <w:b/>
          <w:bCs/>
          <w:snapToGrid w:val="0"/>
          <w:color w:val="000000" w:themeColor="text1"/>
          <w:kern w:val="0"/>
          <w:szCs w:val="24"/>
          <w:highlight w:val="none"/>
          <w14:textFill>
            <w14:solidFill>
              <w14:schemeClr w14:val="tx1"/>
            </w14:solidFill>
          </w14:textFill>
        </w:rPr>
        <w:t>9．项目监理机构</w:t>
      </w:r>
      <w:bookmarkEnd w:id="121"/>
      <w:bookmarkEnd w:id="122"/>
      <w:bookmarkEnd w:id="123"/>
      <w:bookmarkEnd w:id="124"/>
      <w:bookmarkEnd w:id="125"/>
    </w:p>
    <w:p w14:paraId="7C46AC97">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9.1</w:t>
      </w:r>
      <w:r>
        <w:rPr>
          <w:rFonts w:hint="eastAsia" w:hAnsi="宋体" w:cs="宋体"/>
          <w:snapToGrid w:val="0"/>
          <w:color w:val="000000" w:themeColor="text1"/>
          <w:kern w:val="0"/>
          <w:szCs w:val="24"/>
          <w:highlight w:val="none"/>
          <w14:textFill>
            <w14:solidFill>
              <w14:schemeClr w14:val="tx1"/>
            </w14:solidFill>
          </w14:textFill>
        </w:rPr>
        <w:t xml:space="preserve"> 监理人派驻项目监理机构的人员必须为其投标文件确定的人员，否则委托人有权解除合同。</w:t>
      </w:r>
    </w:p>
    <w:p w14:paraId="441C7ED2">
      <w:pPr>
        <w:wordWrap w:val="0"/>
        <w:adjustRightInd w:val="0"/>
        <w:snapToGrid w:val="0"/>
        <w:spacing w:line="440" w:lineRule="exact"/>
        <w:ind w:firstLine="56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9.2</w:t>
      </w:r>
      <w:r>
        <w:rPr>
          <w:rFonts w:hint="eastAsia" w:hAnsi="宋体" w:cs="宋体"/>
          <w:snapToGrid w:val="0"/>
          <w:color w:val="000000" w:themeColor="text1"/>
          <w:kern w:val="0"/>
          <w:szCs w:val="24"/>
          <w:highlight w:val="none"/>
          <w14:textFill>
            <w14:solidFill>
              <w14:schemeClr w14:val="tx1"/>
            </w14:solidFill>
          </w14:textFill>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51BE7339">
      <w:pPr>
        <w:wordWrap w:val="0"/>
        <w:adjustRightInd w:val="0"/>
        <w:snapToGrid w:val="0"/>
        <w:spacing w:line="440" w:lineRule="exact"/>
        <w:ind w:firstLine="482" w:firstLineChars="200"/>
        <w:outlineLvl w:val="1"/>
        <w:rPr>
          <w:rFonts w:hAnsi="宋体" w:cs="宋体"/>
          <w:strike/>
          <w:snapToGrid w:val="0"/>
          <w:color w:val="000000" w:themeColor="text1"/>
          <w:kern w:val="0"/>
          <w:szCs w:val="24"/>
          <w:highlight w:val="none"/>
          <w14:textFill>
            <w14:solidFill>
              <w14:schemeClr w14:val="tx1"/>
            </w14:solidFill>
          </w14:textFill>
        </w:rPr>
      </w:pPr>
      <w:bookmarkStart w:id="126" w:name="_Toc23097"/>
      <w:bookmarkStart w:id="127" w:name="_Toc20861"/>
      <w:bookmarkStart w:id="128" w:name="_Toc10280"/>
      <w:bookmarkStart w:id="129" w:name="_Toc27412"/>
      <w:bookmarkStart w:id="130" w:name="_Toc19789"/>
      <w:r>
        <w:rPr>
          <w:rFonts w:hint="eastAsia" w:hAnsi="宋体" w:cs="宋体"/>
          <w:b/>
          <w:snapToGrid w:val="0"/>
          <w:color w:val="000000" w:themeColor="text1"/>
          <w:kern w:val="0"/>
          <w:szCs w:val="24"/>
          <w:highlight w:val="none"/>
          <w14:textFill>
            <w14:solidFill>
              <w14:schemeClr w14:val="tx1"/>
            </w14:solidFill>
          </w14:textFill>
        </w:rPr>
        <w:t>10．安全防护</w:t>
      </w:r>
      <w:bookmarkEnd w:id="126"/>
      <w:bookmarkEnd w:id="127"/>
      <w:bookmarkEnd w:id="128"/>
      <w:bookmarkEnd w:id="129"/>
      <w:bookmarkEnd w:id="130"/>
    </w:p>
    <w:p w14:paraId="4F4C653A">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监理人应按照安全监理有关规定，采取严格、科学的安全防护措施，确保监理人员人身安全，承担由于自身安全防护措施不力所造成的安全事故责任和发生的费用。</w:t>
      </w:r>
    </w:p>
    <w:p w14:paraId="5D77B63B">
      <w:pPr>
        <w:wordWrap w:val="0"/>
        <w:adjustRightInd w:val="0"/>
        <w:snapToGrid w:val="0"/>
        <w:spacing w:line="440" w:lineRule="exact"/>
        <w:ind w:firstLine="482" w:firstLineChars="200"/>
        <w:outlineLvl w:val="1"/>
        <w:rPr>
          <w:rFonts w:hAnsi="宋体" w:cs="宋体"/>
          <w:strike/>
          <w:snapToGrid w:val="0"/>
          <w:color w:val="000000" w:themeColor="text1"/>
          <w:kern w:val="0"/>
          <w:szCs w:val="24"/>
          <w:highlight w:val="none"/>
          <w14:textFill>
            <w14:solidFill>
              <w14:schemeClr w14:val="tx1"/>
            </w14:solidFill>
          </w14:textFill>
        </w:rPr>
      </w:pPr>
      <w:bookmarkStart w:id="131" w:name="_Toc30151"/>
      <w:bookmarkStart w:id="132" w:name="_Toc1181"/>
      <w:bookmarkStart w:id="133" w:name="_Toc16174"/>
      <w:bookmarkStart w:id="134" w:name="_Toc17881"/>
      <w:bookmarkStart w:id="135" w:name="_Toc13413"/>
      <w:r>
        <w:rPr>
          <w:rFonts w:hint="eastAsia" w:hAnsi="宋体" w:cs="宋体"/>
          <w:b/>
          <w:snapToGrid w:val="0"/>
          <w:color w:val="000000" w:themeColor="text1"/>
          <w:kern w:val="0"/>
          <w:szCs w:val="24"/>
          <w:highlight w:val="none"/>
          <w14:textFill>
            <w14:solidFill>
              <w14:schemeClr w14:val="tx1"/>
            </w14:solidFill>
          </w14:textFill>
        </w:rPr>
        <w:t>11．接受监督</w:t>
      </w:r>
      <w:bookmarkEnd w:id="131"/>
      <w:bookmarkEnd w:id="132"/>
      <w:bookmarkEnd w:id="133"/>
      <w:bookmarkEnd w:id="134"/>
      <w:bookmarkEnd w:id="135"/>
    </w:p>
    <w:p w14:paraId="54032ED8">
      <w:pPr>
        <w:wordWrap w:val="0"/>
        <w:adjustRightInd w:val="0"/>
        <w:snapToGrid w:val="0"/>
        <w:spacing w:line="440" w:lineRule="exact"/>
        <w:ind w:firstLine="480" w:firstLineChars="200"/>
        <w:rPr>
          <w:rFonts w:hAnsi="宋体" w:cs="宋体"/>
          <w:bCs/>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监理人应严格按照法律、法规以及</w:t>
      </w:r>
      <w:r>
        <w:rPr>
          <w:rFonts w:hint="eastAsia" w:hAnsi="宋体" w:cs="宋体"/>
          <w:bCs/>
          <w:snapToGrid w:val="0"/>
          <w:color w:val="000000" w:themeColor="text1"/>
          <w:kern w:val="0"/>
          <w:szCs w:val="24"/>
          <w:highlight w:val="none"/>
          <w14:textFill>
            <w14:solidFill>
              <w14:schemeClr w14:val="tx1"/>
            </w14:solidFill>
          </w14:textFill>
        </w:rPr>
        <w:t>《建设工程监理规范》（GB/T 50319—2013）有关规定实施监理，同时须</w:t>
      </w:r>
      <w:r>
        <w:rPr>
          <w:rFonts w:hint="eastAsia" w:hAnsi="宋体" w:cs="宋体"/>
          <w:snapToGrid w:val="0"/>
          <w:color w:val="000000" w:themeColor="text1"/>
          <w:kern w:val="0"/>
          <w:szCs w:val="24"/>
          <w:highlight w:val="none"/>
          <w14:textFill>
            <w14:solidFill>
              <w14:schemeClr w14:val="tx1"/>
            </w14:solidFill>
          </w14:textFill>
        </w:rPr>
        <w:t>服从委托人以及建设行政主管部门对监理工作全方位的监督，及时将监理大纲、监理规划、监理实施细则等监理文件报委托人审查备案。</w:t>
      </w:r>
    </w:p>
    <w:p w14:paraId="2EF75CF9">
      <w:pPr>
        <w:wordWrap w:val="0"/>
        <w:adjustRightInd w:val="0"/>
        <w:snapToGrid w:val="0"/>
        <w:spacing w:line="440" w:lineRule="exact"/>
        <w:ind w:firstLine="560"/>
        <w:outlineLvl w:val="1"/>
        <w:rPr>
          <w:rFonts w:hAnsi="宋体" w:cs="宋体"/>
          <w:bCs/>
          <w:snapToGrid w:val="0"/>
          <w:color w:val="000000" w:themeColor="text1"/>
          <w:kern w:val="0"/>
          <w:szCs w:val="24"/>
          <w:highlight w:val="none"/>
          <w14:textFill>
            <w14:solidFill>
              <w14:schemeClr w14:val="tx1"/>
            </w14:solidFill>
          </w14:textFill>
        </w:rPr>
      </w:pPr>
      <w:bookmarkStart w:id="136" w:name="_Toc27988"/>
      <w:bookmarkStart w:id="137" w:name="_Toc4730"/>
      <w:bookmarkStart w:id="138" w:name="_Toc14327"/>
      <w:bookmarkStart w:id="139" w:name="_Toc25424"/>
      <w:bookmarkStart w:id="140" w:name="_Toc18397"/>
      <w:r>
        <w:rPr>
          <w:rFonts w:hint="eastAsia" w:hAnsi="宋体" w:cs="宋体"/>
          <w:b/>
          <w:snapToGrid w:val="0"/>
          <w:color w:val="000000" w:themeColor="text1"/>
          <w:kern w:val="0"/>
          <w:szCs w:val="24"/>
          <w:highlight w:val="none"/>
          <w14:textFill>
            <w14:solidFill>
              <w14:schemeClr w14:val="tx1"/>
            </w14:solidFill>
          </w14:textFill>
        </w:rPr>
        <w:t>12．监理档案移交</w:t>
      </w:r>
      <w:bookmarkEnd w:id="136"/>
      <w:bookmarkEnd w:id="137"/>
      <w:bookmarkEnd w:id="138"/>
      <w:bookmarkEnd w:id="139"/>
      <w:bookmarkEnd w:id="140"/>
    </w:p>
    <w:p w14:paraId="5B8C046B">
      <w:pPr>
        <w:wordWrap w:val="0"/>
        <w:adjustRightInd w:val="0"/>
        <w:snapToGrid w:val="0"/>
        <w:spacing w:line="440" w:lineRule="exact"/>
        <w:ind w:firstLine="560"/>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项目竣工验收后，监理人应向委托人提交一式</w:t>
      </w:r>
      <w:r>
        <w:rPr>
          <w:rFonts w:hint="eastAsia" w:hAnsi="宋体" w:cs="宋体"/>
          <w:bCs/>
          <w:snapToGrid w:val="0"/>
          <w:color w:val="000000" w:themeColor="text1"/>
          <w:kern w:val="0"/>
          <w:szCs w:val="24"/>
          <w:highlight w:val="none"/>
          <w:u w:val="single"/>
          <w14:textFill>
            <w14:solidFill>
              <w14:schemeClr w14:val="tx1"/>
            </w14:solidFill>
          </w14:textFill>
        </w:rPr>
        <w:t xml:space="preserve"> 五 </w:t>
      </w:r>
      <w:r>
        <w:rPr>
          <w:rFonts w:hint="eastAsia" w:hAnsi="宋体" w:cs="宋体"/>
          <w:bCs/>
          <w:snapToGrid w:val="0"/>
          <w:color w:val="000000" w:themeColor="text1"/>
          <w:kern w:val="0"/>
          <w:szCs w:val="24"/>
          <w:highlight w:val="none"/>
          <w14:textFill>
            <w14:solidFill>
              <w14:schemeClr w14:val="tx1"/>
            </w14:solidFill>
          </w14:textFill>
        </w:rPr>
        <w:t>份符合《建设工程监理规范》（GB/T 50319—2013）以及《韶关市城市建设档案管理办法》要求的监理档案。</w:t>
      </w:r>
    </w:p>
    <w:p w14:paraId="0A78DB0D">
      <w:pPr>
        <w:wordWrap w:val="0"/>
        <w:adjustRightInd w:val="0"/>
        <w:snapToGrid w:val="0"/>
        <w:spacing w:line="440" w:lineRule="exact"/>
        <w:ind w:firstLine="560"/>
        <w:outlineLvl w:val="1"/>
        <w:rPr>
          <w:rFonts w:hAnsi="宋体" w:cs="宋体"/>
          <w:strike/>
          <w:snapToGrid w:val="0"/>
          <w:color w:val="000000" w:themeColor="text1"/>
          <w:kern w:val="0"/>
          <w:szCs w:val="24"/>
          <w:highlight w:val="none"/>
          <w14:textFill>
            <w14:solidFill>
              <w14:schemeClr w14:val="tx1"/>
            </w14:solidFill>
          </w14:textFill>
        </w:rPr>
      </w:pPr>
      <w:bookmarkStart w:id="141" w:name="_Toc26146"/>
      <w:bookmarkStart w:id="142" w:name="_Toc16612"/>
      <w:bookmarkStart w:id="143" w:name="_Toc2540"/>
      <w:bookmarkStart w:id="144" w:name="_Toc24329"/>
      <w:bookmarkStart w:id="145" w:name="_Toc13197"/>
      <w:r>
        <w:rPr>
          <w:rFonts w:hint="eastAsia" w:hAnsi="宋体" w:cs="宋体"/>
          <w:b/>
          <w:bCs/>
          <w:snapToGrid w:val="0"/>
          <w:color w:val="000000" w:themeColor="text1"/>
          <w:kern w:val="0"/>
          <w:szCs w:val="24"/>
          <w:highlight w:val="none"/>
          <w14:textFill>
            <w14:solidFill>
              <w14:schemeClr w14:val="tx1"/>
            </w14:solidFill>
          </w14:textFill>
        </w:rPr>
        <w:t>13</w:t>
      </w:r>
      <w:r>
        <w:rPr>
          <w:rFonts w:hint="eastAsia" w:hAnsi="宋体" w:cs="宋体"/>
          <w:b/>
          <w:snapToGrid w:val="0"/>
          <w:color w:val="000000" w:themeColor="text1"/>
          <w:kern w:val="0"/>
          <w:szCs w:val="24"/>
          <w:highlight w:val="none"/>
          <w14:textFill>
            <w14:solidFill>
              <w14:schemeClr w14:val="tx1"/>
            </w14:solidFill>
          </w14:textFill>
        </w:rPr>
        <w:t>．不良行为处理</w:t>
      </w:r>
      <w:bookmarkEnd w:id="141"/>
      <w:bookmarkEnd w:id="142"/>
      <w:bookmarkEnd w:id="143"/>
      <w:bookmarkEnd w:id="144"/>
      <w:bookmarkEnd w:id="145"/>
    </w:p>
    <w:p w14:paraId="6BBEC251">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监理人及其有关人员有下列行为之一的，委托人应及时报请建设行政主管部门查处。</w:t>
      </w:r>
    </w:p>
    <w:p w14:paraId="7AC17328">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（1）转让监理业务的；</w:t>
      </w:r>
    </w:p>
    <w:p w14:paraId="7BE2C7AF">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（2）非原参加投标中标的总监理工程师负责组织监理或在实施过程中擅自更换总监理工程师的、项目监理机构的其他监理人员与中标文件确定的人员不相符的；</w:t>
      </w:r>
    </w:p>
    <w:p w14:paraId="007207D3">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（3）与建设单位、施工单位串通，签认虚假工程量或工程造价的；</w:t>
      </w:r>
    </w:p>
    <w:p w14:paraId="62CAEAF3">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（4）现场监理不到位的；</w:t>
      </w:r>
    </w:p>
    <w:p w14:paraId="3607037B">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（5）非本人资格证书注册单位从事监理工作的；</w:t>
      </w:r>
    </w:p>
    <w:p w14:paraId="36001B26">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（6）总监理工程师承担超过三项工程监理任务的；</w:t>
      </w:r>
    </w:p>
    <w:p w14:paraId="2FA97E13">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（7）违反有关法律、法规、规章规定的其它行为。</w:t>
      </w:r>
    </w:p>
    <w:p w14:paraId="14880F2C">
      <w:pPr>
        <w:pStyle w:val="37"/>
        <w:wordWrap w:val="0"/>
        <w:adjustRightInd w:val="0"/>
        <w:snapToGrid w:val="0"/>
        <w:spacing w:line="440" w:lineRule="exact"/>
        <w:ind w:firstLine="482" w:firstLineChars="200"/>
        <w:jc w:val="left"/>
        <w:outlineLvl w:val="1"/>
        <w:rPr>
          <w:rFonts w:ascii="宋体" w:hAnsi="宋体" w:cs="宋体"/>
          <w:b/>
          <w:bCs/>
          <w:snapToGrid w:val="0"/>
          <w:color w:val="000000" w:themeColor="text1"/>
          <w:kern w:val="0"/>
          <w:szCs w:val="24"/>
          <w:highlight w:val="none"/>
          <w14:textFill>
            <w14:solidFill>
              <w14:schemeClr w14:val="tx1"/>
            </w14:solidFill>
          </w14:textFill>
        </w:rPr>
      </w:pPr>
      <w:bookmarkStart w:id="146" w:name="_Toc29467"/>
      <w:bookmarkStart w:id="147" w:name="_Toc6980"/>
      <w:bookmarkStart w:id="148" w:name="_Toc15923"/>
      <w:bookmarkStart w:id="149" w:name="_Toc28837"/>
      <w:bookmarkStart w:id="150" w:name="_Toc15431"/>
      <w:r>
        <w:rPr>
          <w:rFonts w:hint="eastAsia" w:ascii="宋体" w:hAnsi="宋体" w:cs="宋体"/>
          <w:b/>
          <w:bCs/>
          <w:snapToGrid w:val="0"/>
          <w:color w:val="000000" w:themeColor="text1"/>
          <w:kern w:val="0"/>
          <w:szCs w:val="24"/>
          <w:highlight w:val="none"/>
          <w14:textFill>
            <w14:solidFill>
              <w14:schemeClr w14:val="tx1"/>
            </w14:solidFill>
          </w14:textFill>
        </w:rPr>
        <w:t>14</w:t>
      </w:r>
      <w:r>
        <w:rPr>
          <w:rFonts w:hint="eastAsia" w:ascii="宋体" w:hAnsi="宋体" w:cs="宋体"/>
          <w:b/>
          <w:snapToGrid w:val="0"/>
          <w:color w:val="000000" w:themeColor="text1"/>
          <w:kern w:val="0"/>
          <w:szCs w:val="24"/>
          <w:highlight w:val="none"/>
          <w14:textFill>
            <w14:solidFill>
              <w14:schemeClr w14:val="tx1"/>
            </w14:solidFill>
          </w14:textFill>
        </w:rPr>
        <w:t>．</w:t>
      </w:r>
      <w:r>
        <w:rPr>
          <w:rFonts w:hint="eastAsia" w:ascii="宋体" w:hAnsi="宋体" w:cs="宋体"/>
          <w:b/>
          <w:bCs/>
          <w:snapToGrid w:val="0"/>
          <w:color w:val="000000" w:themeColor="text1"/>
          <w:kern w:val="0"/>
          <w:szCs w:val="24"/>
          <w:highlight w:val="none"/>
          <w14:textFill>
            <w14:solidFill>
              <w14:schemeClr w14:val="tx1"/>
            </w14:solidFill>
          </w14:textFill>
        </w:rPr>
        <w:t>信用评价条款内容</w:t>
      </w:r>
      <w:bookmarkEnd w:id="146"/>
      <w:bookmarkEnd w:id="147"/>
      <w:bookmarkEnd w:id="148"/>
      <w:bookmarkEnd w:id="149"/>
      <w:bookmarkEnd w:id="150"/>
    </w:p>
    <w:p w14:paraId="6CF2C8EE">
      <w:pPr>
        <w:pStyle w:val="39"/>
        <w:wordWrap w:val="0"/>
        <w:adjustRightInd w:val="0"/>
        <w:snapToGrid w:val="0"/>
        <w:spacing w:line="440" w:lineRule="exact"/>
        <w:ind w:firstLine="56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由委托人决定是否对监理人的履约情况进行信用评价。若进行信用评价，评价条款由委托人自拟，条款内容可参考人员到位情况、服务配合程度、服务成果质量、项目后期服务以及信用评价结果的运用等。</w:t>
      </w:r>
    </w:p>
    <w:p w14:paraId="0B957C4A">
      <w:pPr>
        <w:pStyle w:val="39"/>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pPr>
    </w:p>
    <w:p w14:paraId="72DC4DD2">
      <w:pPr>
        <w:pStyle w:val="39"/>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pPr>
    </w:p>
    <w:p w14:paraId="655F754C">
      <w:pPr>
        <w:pStyle w:val="39"/>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01A3E6AB">
      <w:pPr>
        <w:pStyle w:val="2"/>
        <w:keepNext w:val="0"/>
        <w:keepLines w:val="0"/>
        <w:pageBreakBefore w:val="0"/>
        <w:wordWrap w:val="0"/>
        <w:overflowPunct/>
        <w:topLinePunct w:val="0"/>
        <w:autoSpaceDE/>
        <w:autoSpaceDN/>
        <w:bidi w:val="0"/>
        <w:snapToGrid w:val="0"/>
        <w:spacing w:line="360" w:lineRule="exact"/>
        <w:jc w:val="center"/>
        <w:rPr>
          <w:rFonts w:hAnsi="宋体" w:cs="宋体"/>
          <w:b/>
          <w:snapToGrid w:val="0"/>
          <w:color w:val="000000" w:themeColor="text1"/>
          <w:sz w:val="32"/>
          <w:szCs w:val="32"/>
          <w:highlight w:val="none"/>
          <w14:textFill>
            <w14:solidFill>
              <w14:schemeClr w14:val="tx1"/>
            </w14:solidFill>
          </w14:textFill>
        </w:rPr>
      </w:pPr>
      <w:bookmarkStart w:id="151" w:name="_Hlt69698776"/>
      <w:r>
        <w:rPr>
          <w:rFonts w:hint="eastAsia" w:hAnsi="宋体" w:cs="宋体"/>
          <w:b/>
          <w:snapToGrid w:val="0"/>
          <w:color w:val="000000" w:themeColor="text1"/>
          <w:sz w:val="32"/>
          <w:szCs w:val="32"/>
          <w:highlight w:val="none"/>
          <w14:textFill>
            <w14:solidFill>
              <w14:schemeClr w14:val="tx1"/>
            </w14:solidFill>
          </w14:textFill>
        </w:rPr>
        <w:t>　</w:t>
      </w:r>
      <w:bookmarkStart w:id="152" w:name="_Toc9067"/>
      <w:bookmarkStart w:id="153" w:name="_Toc29099"/>
      <w:bookmarkStart w:id="154" w:name="_Hlt69698713"/>
      <w:bookmarkStart w:id="155" w:name="_Hlt69698765"/>
      <w:r>
        <w:rPr>
          <w:rFonts w:hint="eastAsia" w:hAnsi="宋体" w:cs="宋体"/>
          <w:b/>
          <w:snapToGrid w:val="0"/>
          <w:color w:val="000000" w:themeColor="text1"/>
          <w:sz w:val="32"/>
          <w:szCs w:val="32"/>
          <w:highlight w:val="none"/>
          <w14:textFill>
            <w14:solidFill>
              <w14:schemeClr w14:val="tx1"/>
            </w14:solidFill>
          </w14:textFill>
        </w:rPr>
        <w:t>第三章</w:t>
      </w:r>
      <w:bookmarkStart w:id="156" w:name="_Hlt87793831"/>
      <w:bookmarkEnd w:id="156"/>
      <w:r>
        <w:rPr>
          <w:rFonts w:hint="eastAsia" w:hAnsi="宋体" w:cs="宋体"/>
          <w:b/>
          <w:snapToGrid w:val="0"/>
          <w:color w:val="000000" w:themeColor="text1"/>
          <w:sz w:val="32"/>
          <w:szCs w:val="32"/>
          <w:highlight w:val="none"/>
          <w14:textFill>
            <w14:solidFill>
              <w14:schemeClr w14:val="tx1"/>
            </w14:solidFill>
          </w14:textFill>
        </w:rPr>
        <w:t xml:space="preserve"> 拟签订合同的主要条款</w:t>
      </w:r>
      <w:bookmarkEnd w:id="152"/>
      <w:bookmarkEnd w:id="153"/>
    </w:p>
    <w:bookmarkEnd w:id="154"/>
    <w:bookmarkEnd w:id="155"/>
    <w:p w14:paraId="7C82EF7C">
      <w:pPr>
        <w:bidi w:val="0"/>
        <w:rPr>
          <w:color w:val="000000" w:themeColor="text1"/>
          <w:highlight w:val="none"/>
          <w:lang w:val="zh-CN"/>
          <w14:textFill>
            <w14:solidFill>
              <w14:schemeClr w14:val="tx1"/>
            </w14:solidFill>
          </w14:textFill>
        </w:rPr>
      </w:pPr>
      <w:bookmarkStart w:id="157" w:name="_Toc4588"/>
      <w:bookmarkStart w:id="158" w:name="_Toc6392"/>
      <w:bookmarkStart w:id="159" w:name="_Toc11616"/>
      <w:bookmarkStart w:id="160" w:name="_Toc12203"/>
    </w:p>
    <w:p w14:paraId="1F5558D6">
      <w:pPr>
        <w:keepNext w:val="0"/>
        <w:keepLines w:val="0"/>
        <w:pageBreakBefore w:val="0"/>
        <w:tabs>
          <w:tab w:val="left" w:pos="3120"/>
        </w:tabs>
        <w:overflowPunct/>
        <w:topLinePunct w:val="0"/>
        <w:autoSpaceDE w:val="0"/>
        <w:autoSpaceDN/>
        <w:bidi w:val="0"/>
        <w:snapToGrid w:val="0"/>
        <w:spacing w:line="380" w:lineRule="exact"/>
        <w:jc w:val="center"/>
        <w:rPr>
          <w:rFonts w:ascii="宋体" w:hAnsi="宋体" w:cs="宋体"/>
          <w:b/>
          <w:bCs/>
          <w:color w:val="000000" w:themeColor="text1"/>
          <w:kern w:val="0"/>
          <w:sz w:val="36"/>
          <w:szCs w:val="36"/>
          <w:highlight w:val="none"/>
          <w:lang w:val="zh-CN"/>
          <w14:textFill>
            <w14:solidFill>
              <w14:schemeClr w14:val="tx1"/>
            </w14:solidFill>
          </w14:textFill>
        </w:rPr>
      </w:pPr>
      <w:bookmarkStart w:id="161" w:name="_Toc10885"/>
      <w:r>
        <w:rPr>
          <w:rFonts w:ascii="宋体" w:hAnsi="宋体" w:cs="宋体"/>
          <w:b/>
          <w:bCs/>
          <w:color w:val="000000" w:themeColor="text1"/>
          <w:kern w:val="0"/>
          <w:sz w:val="32"/>
          <w:szCs w:val="32"/>
          <w:highlight w:val="none"/>
          <w:lang w:val="zh-CN"/>
          <w14:textFill>
            <w14:solidFill>
              <w14:schemeClr w14:val="tx1"/>
            </w14:solidFill>
          </w14:textFill>
        </w:rPr>
        <w:t>第二部分  通用条件</w:t>
      </w:r>
    </w:p>
    <w:p w14:paraId="2EF12248">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1. 定义与解释</w:t>
      </w:r>
    </w:p>
    <w:p w14:paraId="577D663A">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1.1 定义</w:t>
      </w:r>
    </w:p>
    <w:p w14:paraId="37E976BB">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除根据上下文另有其意义外，组成本合同的全部文件中的下列名词和用语应具有本款所赋予的含义：</w:t>
      </w:r>
    </w:p>
    <w:p w14:paraId="27E654B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 “工程”是指按照本合同约定实施监理与相关服务的建设工程。</w:t>
      </w:r>
    </w:p>
    <w:p w14:paraId="2AFBC53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1.1.2 “委托人”是指本合同中委托监理与相关服务的一方，及其合法的继承人或受让人。</w:t>
      </w:r>
    </w:p>
    <w:p w14:paraId="292A34E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1.1.3 “监理人”是指本合同中提供监理与相关服务的一方，及其合法的继承人。</w:t>
      </w:r>
    </w:p>
    <w:p w14:paraId="05B01C9D">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1.1.4 “承包人”是</w:t>
      </w:r>
      <w:r>
        <w:rPr>
          <w:rFonts w:ascii="宋体" w:hAnsi="宋体" w:cs="宋体"/>
          <w:color w:val="000000" w:themeColor="text1"/>
          <w:kern w:val="0"/>
          <w:sz w:val="24"/>
          <w:highlight w:val="none"/>
          <w:lang w:val="zh-CN"/>
          <w14:textFill>
            <w14:solidFill>
              <w14:schemeClr w14:val="tx1"/>
            </w14:solidFill>
          </w14:textFill>
        </w:rPr>
        <w:t>指在工程范围内与委托人签订勘察、设计、施工等有关合同的当事人，及其合法的继承人。</w:t>
      </w:r>
    </w:p>
    <w:p w14:paraId="35457C1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F678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1.1.6 “相关服务”是指监理人受委托人的委托 ，按照本合同约定，在勘察、设计、保修等阶段提供的服务活动。</w:t>
      </w:r>
    </w:p>
    <w:p w14:paraId="2E21EE2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1.1.7 “正常工作”指本合同订立时通用条件和专用条件中约定的监理人的工作。</w:t>
      </w:r>
    </w:p>
    <w:p w14:paraId="1A26F51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1.1.8 “附加工作”是指本合同约定的正常工作以外监理人的工作。</w:t>
      </w:r>
    </w:p>
    <w:p w14:paraId="73B0599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1.1.9 “项目监理机构”是指监理人派驻工程负责履行本合同的组织机构。</w:t>
      </w:r>
    </w:p>
    <w:p w14:paraId="1F907A0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1.1.10 “总监理工程师”是指由监理人的法定代表人书面授权，全面负责履行本合同、主持项目监理机构工作的注册监理工程师。</w:t>
      </w:r>
    </w:p>
    <w:p w14:paraId="1CABF61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1.1.11 “酬金”是指监理人履行本合同义务，委托人按照本合同约定给付监理人的金额。</w:t>
      </w:r>
    </w:p>
    <w:p w14:paraId="28A46C7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1.1.12 “正常工作酬金”是指监理人完成正常工作，委托人应给付监理人并在协议书中载明的签约酬金额。</w:t>
      </w:r>
    </w:p>
    <w:p w14:paraId="4581EFA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1.1.13 “附加工作酬金”是指监理人完成附加工作，委托人应给付监理人的金额。</w:t>
      </w:r>
    </w:p>
    <w:p w14:paraId="33A0C23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1.1.14 “一方”是指委托人或监理人；“双方”是指委托人和监理人；“第三方”是指除委托人和监理人以外的有关方。</w:t>
      </w:r>
    </w:p>
    <w:p w14:paraId="57B28C5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1.1.15 “书面形式”是指合同书、信件和数据电文（包括电报、电传、传真、电子数据交换和电子邮件）等可以有形地表现所载内容的形式。</w:t>
      </w:r>
    </w:p>
    <w:p w14:paraId="1A8131C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1.1.16 “天”是指第一天零时至第二天零时的时间。</w:t>
      </w:r>
    </w:p>
    <w:p w14:paraId="58E0386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1.1.17“月”是指按公历从一个月中任何一天开始的一个公历月时间。</w:t>
      </w:r>
    </w:p>
    <w:p w14:paraId="2F0A0FB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1.1.18 “不可抗力”是指委托人和监理人在订立本合同时不可预见，在工程施工过程中不可避免发生并不能克服的自然灾害和社会性突发事件，如</w:t>
      </w:r>
      <w:r>
        <w:rPr>
          <w:rFonts w:hint="eastAsia" w:ascii="宋体" w:hAnsi="宋体" w:eastAsia="宋体" w:cs="宋体"/>
          <w:color w:val="000000" w:themeColor="text1"/>
          <w:kern w:val="0"/>
          <w:sz w:val="24"/>
          <w:highlight w:val="none"/>
          <w:lang w:val="en-US" w:eastAsia="zh-CN"/>
          <w14:textFill>
            <w14:solidFill>
              <w14:schemeClr w14:val="tx1"/>
            </w14:solidFill>
          </w14:textFill>
        </w:rPr>
        <w:t>高温、干旱、龙卷风、</w:t>
      </w:r>
      <w:r>
        <w:rPr>
          <w:rFonts w:ascii="宋体" w:hAnsi="宋体" w:eastAsia="宋体" w:cs="宋体"/>
          <w:color w:val="000000" w:themeColor="text1"/>
          <w:kern w:val="0"/>
          <w:sz w:val="24"/>
          <w:highlight w:val="none"/>
          <w:lang w:val="zh-CN"/>
          <w14:textFill>
            <w14:solidFill>
              <w14:schemeClr w14:val="tx1"/>
            </w14:solidFill>
          </w14:textFill>
        </w:rPr>
        <w:t>地震、海啸、</w:t>
      </w:r>
      <w:r>
        <w:rPr>
          <w:rFonts w:hint="eastAsia" w:ascii="宋体" w:hAnsi="宋体" w:eastAsia="宋体" w:cs="宋体"/>
          <w:color w:val="000000" w:themeColor="text1"/>
          <w:kern w:val="0"/>
          <w:sz w:val="24"/>
          <w:highlight w:val="none"/>
          <w:lang w:val="en-US" w:eastAsia="zh-CN"/>
          <w14:textFill>
            <w14:solidFill>
              <w14:schemeClr w14:val="tx1"/>
            </w14:solidFill>
          </w14:textFill>
        </w:rPr>
        <w:t>台风、飓风、</w:t>
      </w:r>
      <w:r>
        <w:rPr>
          <w:rFonts w:ascii="宋体" w:hAnsi="宋体" w:eastAsia="宋体" w:cs="宋体"/>
          <w:color w:val="000000" w:themeColor="text1"/>
          <w:kern w:val="0"/>
          <w:sz w:val="24"/>
          <w:highlight w:val="none"/>
          <w:lang w:val="zh-CN"/>
          <w14:textFill>
            <w14:solidFill>
              <w14:schemeClr w14:val="tx1"/>
            </w14:solidFill>
          </w14:textFill>
        </w:rPr>
        <w:t>瘟疫、水灾、骚乱、暴动、战争和专用条件约定的其他情形。</w:t>
      </w:r>
    </w:p>
    <w:p w14:paraId="72801C6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1.2 解释</w:t>
      </w:r>
    </w:p>
    <w:p w14:paraId="00AB6C25">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1.2.1本合同使用中文书写、解释和说明。如专用条件约定使用两种及以上语言文字时，应以中文为准。</w:t>
      </w:r>
    </w:p>
    <w:p w14:paraId="01FA60F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1.2.2 组成本合同的下列文件彼此应能相互解释、互为说明。除专用条件另有约定外，本合同文件的解释顺序如下：</w:t>
      </w:r>
    </w:p>
    <w:p w14:paraId="67E2788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（1）协议书；</w:t>
      </w:r>
    </w:p>
    <w:p w14:paraId="23DFCBE5">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（2）中标通知书（适用于招标工程）或委托书（适用于非招标工程）；</w:t>
      </w:r>
    </w:p>
    <w:p w14:paraId="4ABF545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（3）专用条件及附录A、附录B；</w:t>
      </w:r>
    </w:p>
    <w:p w14:paraId="76B5DFF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（4）通用条件；</w:t>
      </w:r>
    </w:p>
    <w:p w14:paraId="780918E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（5）投标文件（适用于招标工程）或监理与相关服务建议书（适用于非招标工程）。</w:t>
      </w:r>
    </w:p>
    <w:p w14:paraId="6700622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双方签订的补充协议与其他文件发生矛盾或歧义时，属于同一类内容的文件，应以最新签署的为准。</w:t>
      </w:r>
    </w:p>
    <w:p w14:paraId="3C4D4061">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2. 监理人的义务</w:t>
      </w:r>
    </w:p>
    <w:p w14:paraId="0AD6C66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 监理的范围和内容</w:t>
      </w:r>
    </w:p>
    <w:p w14:paraId="00D68DC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2.1.1 监理范围：</w:t>
      </w:r>
    </w:p>
    <w:p w14:paraId="54829D0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包括但不限于以下内容：工程合同、工程质量、材料、安全、进度监理；配合本项目造价咨询单位进行投资监理；进度审核、工程结算审核监理（进度审核及结算审核均需出具审核报告）；施工、验收、结算及保修阶段的全过程监理；项目建设施工阶段监理（含施工准备阶段、施工阶段、工程竣工结算阶段和缺陷责任期阶段监理）等相关工作。</w:t>
      </w:r>
    </w:p>
    <w:p w14:paraId="4DD73F8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（2）除上述工作范围外，监理人还须按</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的要求提前进场参与开工前期的准备和筹划工作，协助</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制定工程管理办法、各参建方职责及有关事务性工作等。</w:t>
      </w:r>
    </w:p>
    <w:p w14:paraId="0B64B1F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2.1.2 监理工作内容还包括：</w:t>
      </w:r>
    </w:p>
    <w:p w14:paraId="12C1146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（1）监理人作为</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的顾问，应在受委托的监理业务范围内向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负责，在执行和遵守国家有关建设法规的前提下，维护</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的正当权益。收到工程设计文件后编制监理规划，并在第一次工地会议7天前报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根据有关规定和监理工作需要，编制监理实施细则；制定现场工程监理工作制度，填写监理日记及大事记。每周定期召开监理例会，通报监理情况及工程的有关事宜，并根据工程需要组织专题会议，会议并须由总监理工程师主持。</w:t>
      </w:r>
    </w:p>
    <w:p w14:paraId="75D87B9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熟悉工程设计文件，并对图纸中存在的问题通过建设单位向设计单位提出书面意见和建议，参加设计技术交底会，并对会议纪要进行签认，协调设计单位落实施工图纸的出图供应计划。审核设计文件、图纸和各项设计变更，提出意见（优化设计等）并参加由</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主持的图纸会审和设计交底会议；</w:t>
      </w:r>
    </w:p>
    <w:p w14:paraId="2EB5AB2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（3）参加由</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主持的第一次工地会议；主持监理例会并根据工程需要主持或参加专题会议；关于重大的设计修改和技术洽商，除提出监理意见外，应征得</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及设计人的书面意见，并由原设计人进行修改。</w:t>
      </w:r>
    </w:p>
    <w:p w14:paraId="2615D1C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4）审查施工承包人提交的施工组织设计，重点审查其中的质量安全技术措施、专项施工方案与工程建设强制性标准的符合性；审查批准承包单位提出的开工报告及施工进度计划，签收检查承包人填报的旬、月、季等报表。核实</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与承包人开工前基建程序所需的各种批准文件及手续、检查实施情况，督促施工承包单位采取措施实现合同目标要求。当施工计划变动时，及时提出调整计划的意见，负责组织和协调各承包人的配合安排，定期向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汇报总进度计划控制情况</w:t>
      </w:r>
    </w:p>
    <w:p w14:paraId="2CE709A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（5）检查施工承包人工程质量、安全生产管理制度及组织机构和人员资格；</w:t>
      </w:r>
    </w:p>
    <w:p w14:paraId="2FAD48B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（6）检查施工承包人专职安全生产管理人员的配备情况。</w:t>
      </w:r>
    </w:p>
    <w:p w14:paraId="324E59A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（7）审查施工承包人提交的施工进度计划，核查承包人对施工进度计划的调整。</w:t>
      </w:r>
    </w:p>
    <w:p w14:paraId="2401EBA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（8）检查施工承包人的试验室。</w:t>
      </w:r>
    </w:p>
    <w:p w14:paraId="1E83898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（9）审核施工分包人资质条件。</w:t>
      </w:r>
    </w:p>
    <w:p w14:paraId="0A9215B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（10）查验施工承包人的施工测量放线成果。</w:t>
      </w:r>
    </w:p>
    <w:p w14:paraId="660177B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（11）审查工程开工条件，对条件具备的签发开工令。</w:t>
      </w:r>
    </w:p>
    <w:p w14:paraId="3D6CF6B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（12）审查施工承包人报送的工程材料、构配件、设备质量证明文件的有效性和符合性，并按规定对用于工程的材料采取平行检验或见证取样方式进行抽检。</w:t>
      </w:r>
    </w:p>
    <w:p w14:paraId="2CF8168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（13）审核施工承包人提交的工程款支付申请，签发或出具工程款支付证书，并报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审核、批准。</w:t>
      </w:r>
    </w:p>
    <w:p w14:paraId="4697D40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（14）在巡视、旁站和检验过程中，发现工程质量、施工安全存在事故隐患的，要求施工承包人整改并报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6C5809F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（15）经</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同意，签发工程暂停令和复工令。</w:t>
      </w:r>
    </w:p>
    <w:p w14:paraId="1601FFF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（16）审查施工承包人提交的采用新材料、新工艺、新技术、新设备的论证材料及相关验收标准。</w:t>
      </w:r>
    </w:p>
    <w:p w14:paraId="17A8C9F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（17）验收隐蔽工程、分部分项工程。</w:t>
      </w:r>
    </w:p>
    <w:p w14:paraId="080762F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（18）审查施工承包人提交的工程变更申请，协调处理施工进度调整、费用索赔、合同争议等事项；根据施工合同及有关文件规定，督促检查承包人及时完成各阶段施工资料的整理及竣工资料的编制，并按时交</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归档。</w:t>
      </w:r>
    </w:p>
    <w:p w14:paraId="6C540E0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（19）审查施工承包人提交的竣工验收申请，编写工程质量评估报告。</w:t>
      </w:r>
    </w:p>
    <w:p w14:paraId="1471EA3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（20）参加工程竣工验收，签署竣工验收意见。</w:t>
      </w:r>
    </w:p>
    <w:p w14:paraId="571F91E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（21）审查施工承包人提交的竣工结算申请并报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4597276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（22）编制、整理工程监理归档文件并报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。根据有关文件规定，向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提交工程竣工备案的监理资料。</w:t>
      </w:r>
    </w:p>
    <w:p w14:paraId="5E70017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（23）监理人在监理期间应严格遵守国家、省、市有关防火、爆破和监理安全以及文明监理、深夜监理、环卫城管等规定，建立规章制度和防护措施。否则，由此造成的经济和法律责任，均由监理人负责。</w:t>
      </w:r>
    </w:p>
    <w:p w14:paraId="7721491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24）依据有关法律、法规、工程建设强制性标准、设计文件及施工合同，对承包人报送的竣工资料进行审查，并对工程质量进行竣工预验收。审查《工程竣工报告书》，对存在的问题，及时要求承包人整改，编写《工程质量评估报告》及整理监理资料，负责组织初验，签署由承包人提出的全部工程竣工验收报告，组织工程竣工验收，负责办理竣工资料的归档,并通过市城建档案馆的验收,协助</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备案手续</w:t>
      </w:r>
      <w:r>
        <w:rPr>
          <w:rFonts w:ascii="宋体" w:hAnsi="宋体" w:eastAsia="宋体" w:cs="宋体"/>
          <w:color w:val="000000" w:themeColor="text1"/>
          <w:kern w:val="0"/>
          <w:sz w:val="24"/>
          <w:highlight w:val="none"/>
          <w:lang w:val="zh-CN"/>
          <w14:textFill>
            <w14:solidFill>
              <w14:schemeClr w14:val="tx1"/>
            </w14:solidFill>
          </w14:textFill>
        </w:rPr>
        <w:t>。</w:t>
      </w:r>
    </w:p>
    <w:p w14:paraId="2016B4D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2.1.3 相关服务的范围和内容在附录A中约定。</w:t>
      </w:r>
    </w:p>
    <w:p w14:paraId="54EA063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2.2 监理与相关服务依据</w:t>
      </w:r>
    </w:p>
    <w:p w14:paraId="6FE6EB0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2.2.1 监理依据包括：</w:t>
      </w:r>
    </w:p>
    <w:p w14:paraId="07F1A60F">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（1）适用的法律、行政法规及部门规章；</w:t>
      </w:r>
    </w:p>
    <w:p w14:paraId="6A5FBE1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（2）与工程有关的标准；</w:t>
      </w:r>
    </w:p>
    <w:p w14:paraId="7D327F4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（3）工程设计及有关文件；</w:t>
      </w:r>
    </w:p>
    <w:p w14:paraId="0332D03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（4）本合同及委托人与第三方签订的与实施工程有关的其他合同。</w:t>
      </w:r>
    </w:p>
    <w:p w14:paraId="5D8B738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双方根据工程的行业和地域特点，在专用条件中具体约定监理依据。</w:t>
      </w:r>
    </w:p>
    <w:p w14:paraId="1AACA25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2.2.2 相关服务依据在专用条件中约定。</w:t>
      </w:r>
    </w:p>
    <w:p w14:paraId="0CF00FE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2.3项目监理机构和人员</w:t>
      </w:r>
    </w:p>
    <w:p w14:paraId="251D20A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2.3.1 监理人按合同约定、《投标文件》承诺派出监理工作需要的监理机构及监理人员。</w:t>
      </w:r>
    </w:p>
    <w:p w14:paraId="71BC937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2.3.2监理人拟派驻监理机构组成人员数量须符合《广东省建设厅粤建管（2002）97号文》关于工程项目监理最少人数配置的要求,且在施工现场进行监理的总监理工程师、专业监理工程师、其他监理人员全部必须是投标文件中所拟派的人员。同时，监理人派驻到工程所在地进行监理服务的监理人员，应能够胜任监理合同约定的监理服务工作。</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 xml:space="preserve">有权以书面形式要求监理人更换不能按照监理合同的约定进行监理服务的派驻人员。 </w:t>
      </w:r>
    </w:p>
    <w:p w14:paraId="1F7120C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2.3.3 更换监理人员的其他情形： </w:t>
      </w:r>
    </w:p>
    <w:p w14:paraId="06A634B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有权要求监理人更换不称职的监理人员，直到终止合同。</w:t>
      </w:r>
    </w:p>
    <w:p w14:paraId="19706D6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当总监理工程师需要调整时，监理人须提前14天书面通知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，征得</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书面同意后方可调整，否则，因监理人擅自变更总监理工程师对</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造成的损失应由监理人承担赔偿责任。</w:t>
      </w:r>
    </w:p>
    <w:p w14:paraId="236C4BA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监理人应保持现场监理人员相对固定。监理人因工作安排或其他原因，需要更换派驻到工程所在地的重要岗位监理人员时，应事先得到</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的同意且至少提前7天以书面形式通知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，即使是</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要求或同意更换的监理人员，其代替人员的资质不得低于被代替人员。变更或调整监理人员必须经</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同意并经建设项目行政主管部门备案批准后方可进行</w:t>
      </w:r>
      <w:r>
        <w:rPr>
          <w:rFonts w:ascii="宋体" w:hAnsi="宋体" w:eastAsia="宋体" w:cs="宋体"/>
          <w:color w:val="000000" w:themeColor="text1"/>
          <w:kern w:val="0"/>
          <w:sz w:val="24"/>
          <w:highlight w:val="none"/>
          <w:lang w:val="zh-CN"/>
          <w14:textFill>
            <w14:solidFill>
              <w14:schemeClr w14:val="tx1"/>
            </w14:solidFill>
          </w14:textFill>
        </w:rPr>
        <w:t>。</w:t>
      </w:r>
    </w:p>
    <w:p w14:paraId="35C267D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2.3.4 监理人应及时更换有下列情形之一的监理人员：</w:t>
      </w:r>
    </w:p>
    <w:p w14:paraId="7188233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（1）严重过失行为的；</w:t>
      </w:r>
    </w:p>
    <w:p w14:paraId="141D295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（2）有违法行为不能履行职责的；</w:t>
      </w:r>
    </w:p>
    <w:p w14:paraId="3A0FB66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（3）涉嫌犯罪的；</w:t>
      </w:r>
    </w:p>
    <w:p w14:paraId="48357DC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（4）不能胜任岗位职责的；</w:t>
      </w:r>
    </w:p>
    <w:p w14:paraId="7B779DE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（5）严重违反职业道德的；</w:t>
      </w:r>
    </w:p>
    <w:p w14:paraId="46ED7F4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（6）专用条件约定的其他情形。</w:t>
      </w:r>
    </w:p>
    <w:p w14:paraId="4DB618E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2.3.5 委托人可要求监理人更换不能胜任本职工作的项目监理机构人员。</w:t>
      </w:r>
    </w:p>
    <w:p w14:paraId="620C93A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 履行职责</w:t>
      </w:r>
    </w:p>
    <w:p w14:paraId="6F390AD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监理人应遵循职业道德准则和行为规范，严格按照法律法规、工程建设有关标准及本合同履行职责。</w:t>
      </w:r>
    </w:p>
    <w:p w14:paraId="2B772D4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2.4.1 在监理与相关服务范围内，委托人和承包人提出的意见和要求，监理人应及时提出处置意见。当委托人与承包人之间发生合同争议时，监理人应协助委托人、承包人协商解决。</w:t>
      </w:r>
    </w:p>
    <w:p w14:paraId="254E3BD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2.4.2 当委托人与承包人之间的合同争议提交仲裁机构仲裁或人民法院审理时，监理人应提供必要的证明资料。</w:t>
      </w:r>
    </w:p>
    <w:p w14:paraId="6B4F4C4F">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2.4.3 监理人应在专用条件约定的授权范围内，处理委托人与承包人所签订合同的变更事宜。如果变更超过授权范围，应以书面形式报委托人批准。</w:t>
      </w:r>
    </w:p>
    <w:p w14:paraId="370C3BC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在紧急情况下，为了保护财产和人身安全，监理人所发出的指令未能事先报委托人批准时，应在发出指令后的24小时内以书面形式报委托人。</w:t>
      </w:r>
    </w:p>
    <w:p w14:paraId="5054E11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2.4.4 除专用条件另有约定外，监理人发现承包人的人员不能胜任本职工作的，有权要求承包人予以调换。</w:t>
      </w:r>
    </w:p>
    <w:p w14:paraId="71284F0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2.5 提交报告</w:t>
      </w:r>
    </w:p>
    <w:p w14:paraId="29F5659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监理人应按专用条件约定的种类、时间和份数向委托人提交监理与相关服务的报告。</w:t>
      </w:r>
    </w:p>
    <w:p w14:paraId="7E923AF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2.6 文件资料</w:t>
      </w:r>
    </w:p>
    <w:p w14:paraId="51FA81F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在本合同履行期内，监理人应在现场保留工作所用的图纸、报告及记录监理工作的相关文件。工程竣工后，应当按照档案管理规定将监理有关文件归档。</w:t>
      </w:r>
    </w:p>
    <w:p w14:paraId="77CBD8F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2.7 使用委托人的财产</w:t>
      </w:r>
    </w:p>
    <w:p w14:paraId="716482C1">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957A7F2">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3．委托人的义务</w:t>
      </w:r>
    </w:p>
    <w:p w14:paraId="6464AF1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3.1 告知</w:t>
      </w:r>
    </w:p>
    <w:p w14:paraId="5973546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委托人应在委托人与承包人签订的合同中明确监理人、总监理工程师和授予项目监理机构的权限。如有变更，应及时通知承包人。</w:t>
      </w:r>
    </w:p>
    <w:p w14:paraId="540AC17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3.2 提供资料</w:t>
      </w:r>
    </w:p>
    <w:p w14:paraId="0AF51EE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委托人应按照附录B约定，无偿向监理人提供工程有关的资料。在本合同履行过程中，委托人应及时向监理人提供最新的与工程有关的资料。</w:t>
      </w:r>
    </w:p>
    <w:p w14:paraId="0FA64C6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3.3 提供工作条件</w:t>
      </w:r>
    </w:p>
    <w:p w14:paraId="51DC17F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委托人应为监理人完成监理与相关服务提供必要的条件。</w:t>
      </w:r>
    </w:p>
    <w:p w14:paraId="18F03BA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3.3.1 委托人应按照附录B约定，派遣相应人员，不需提供房屋、设备，监理人自行安排。</w:t>
      </w:r>
    </w:p>
    <w:p w14:paraId="686CD11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3.3.2 委托人应负责协调工程建设中所有外部关系，为监理人履行本合同提供必要的外部条件。</w:t>
      </w:r>
    </w:p>
    <w:p w14:paraId="50B44AC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3.4 委托人代表</w:t>
      </w:r>
    </w:p>
    <w:p w14:paraId="43C18C7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委托人应授权一名熟悉工程情况的代表，负责与监理人联系。委托人应在双方签订本合同后7天内，将委托人代表的姓名和职责书面告知监理人。当委托人更换委托人代表时，应提前7天通知监理人。</w:t>
      </w:r>
    </w:p>
    <w:p w14:paraId="469F0C7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3.5 委托人意见或要求</w:t>
      </w:r>
    </w:p>
    <w:p w14:paraId="6C28EAB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在本合同约定的监理与相关服务工作范围内，委托人对承包人的任何意见或要求应通知监理人，由监理人向承包人发出相应指令。</w:t>
      </w:r>
    </w:p>
    <w:p w14:paraId="0E69B67F">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3.6 答复</w:t>
      </w:r>
    </w:p>
    <w:p w14:paraId="1AB6D7D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委托人应在专用条件约定的时间内，对监理人以书面形式提交并要求作出决定的事宜，给予书面答复。逾期未答复的，视为委托人认可。</w:t>
      </w:r>
    </w:p>
    <w:p w14:paraId="1491F1A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3.7 支付</w:t>
      </w:r>
    </w:p>
    <w:p w14:paraId="085AD62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委托人应按本合同约定，向监理人支付酬金。</w:t>
      </w:r>
    </w:p>
    <w:p w14:paraId="45B3E7B8">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4. 违约责任</w:t>
      </w:r>
    </w:p>
    <w:p w14:paraId="0A57997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4.1 监理人的违约责任</w:t>
      </w:r>
    </w:p>
    <w:p w14:paraId="63A96EF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监理人未履行本合同义务的，应承担相应的责任。</w:t>
      </w:r>
    </w:p>
    <w:p w14:paraId="6C4C2BD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4.1.1 因监理人违反本合同约定给委托人造成损失的，监理人应当赔偿委托人损失。赔偿金额的确定方法在专用条件中约定。监理人承担部分赔偿责任的，其承担赔偿金额由双方协商确定。</w:t>
      </w:r>
    </w:p>
    <w:p w14:paraId="27CA5CE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4.1.2 监理人向委托人的索赔不成立时，监理人应赔偿委托人由此发生的费用。</w:t>
      </w:r>
    </w:p>
    <w:p w14:paraId="60F1FEC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 委托人的违约责任</w:t>
      </w:r>
    </w:p>
    <w:p w14:paraId="2E26880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委托人未履行本合同义务的，应承担相应的责任。</w:t>
      </w:r>
    </w:p>
    <w:p w14:paraId="166324B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4.2.1 委托人违反本合同约定造成监理人损失的，委托人应予以赔偿。</w:t>
      </w:r>
    </w:p>
    <w:p w14:paraId="374C4A7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4.2.2 委托人向监理人的索赔不成立时，应赔偿监理人由此引起的费用。</w:t>
      </w:r>
    </w:p>
    <w:p w14:paraId="15CF4325">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4.3 除外责任</w:t>
      </w:r>
    </w:p>
    <w:p w14:paraId="699246E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因非监理人的原因，且监理人无过错，发生工程质量事故、安全事故、工期延误等造成的损失，监理人不承担赔偿责任。</w:t>
      </w:r>
    </w:p>
    <w:p w14:paraId="1DC24689">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因不可抗力导致本合同全部或部分不能履行时，双方各自承担其因此而造成的损失、损害。</w:t>
      </w:r>
    </w:p>
    <w:p w14:paraId="1B133397">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5. 支付</w:t>
      </w:r>
    </w:p>
    <w:p w14:paraId="35B4D7F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5.1 支付货币</w:t>
      </w:r>
    </w:p>
    <w:p w14:paraId="59BAA8F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除专用条件另有约定外，酬金均以人民币支付。涉及外币支付的，所采用的货币种类、比例和汇率在专用条件中约定。</w:t>
      </w:r>
    </w:p>
    <w:p w14:paraId="295BA92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5.2 支付申请</w:t>
      </w:r>
    </w:p>
    <w:p w14:paraId="47671A4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监理人应在本合同约定的每次应付款时间的7天前，向委托人提交支付申请书。支付申请书应当说明当期应付款总额，并列出当期应支付的款项及其金额。</w:t>
      </w:r>
    </w:p>
    <w:p w14:paraId="4307C68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5.3 支付酬金</w:t>
      </w:r>
    </w:p>
    <w:p w14:paraId="3443110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支付的酬金包括正常工作酬金、附加工作酬金、合理化建议奖励金额及费用。</w:t>
      </w:r>
    </w:p>
    <w:p w14:paraId="3772A98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5.4 有争议部分的付款</w:t>
      </w:r>
    </w:p>
    <w:p w14:paraId="206B666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委托人对监理人提交的支付申请书有异议时，应当在收到监理人提交的支付申请书后7天内，以书面形式向监理人发出异议通知。无异议部分的款项应按期支付，有异议部分的款项按第7条约定办理。</w:t>
      </w:r>
    </w:p>
    <w:p w14:paraId="6C29790D">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6. 合同生效、变更、暂停、解除与终止</w:t>
      </w:r>
    </w:p>
    <w:p w14:paraId="59C6017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6.1生效</w:t>
      </w:r>
    </w:p>
    <w:p w14:paraId="7002E45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除法律另有规定或者专用条件另有约定外，委托人和监理人的法定代表人或其授权代理人在协议书上签字并盖单位章后本合同生效。</w:t>
      </w:r>
    </w:p>
    <w:p w14:paraId="372A806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6.2变更</w:t>
      </w:r>
    </w:p>
    <w:p w14:paraId="4E9B61F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6.2.1 任何一方提出变更请求时，双方经协商一致后可进行变更。</w:t>
      </w:r>
    </w:p>
    <w:p w14:paraId="7F4D53A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7B8CB8E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6.2.3合同生效后，如果实际情况发生变化使得监理人不能完成全部或部分工作时，监理人应立即通知委托人。除不可抗力及监理人原因外，其善后工作以及恢复服务的准备工作应为附加工作，附加工作酬金的确定方法在专用条件中约定。监理人用于恢复服务的准备时间不应超过28天。</w:t>
      </w:r>
    </w:p>
    <w:p w14:paraId="0D09EB3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6.2.4合同签订后，遇有与工程相关的法律法规、标准颁布或修订的，双方应遵照执行。由此引起监理与相关服务的范围、时间、酬金变化的，双方应通过协商进行相应调整。</w:t>
      </w:r>
    </w:p>
    <w:p w14:paraId="29431B2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6.2.5 因非监理人原因造成工程概算投资额或建筑安装工程费增加时，正常工作酬金应作相应调整。调整方法在专用条件中约定。</w:t>
      </w:r>
    </w:p>
    <w:p w14:paraId="32DE255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6.2.6 因工程规模、监理范围的变化导致监理人的正常工作量减少时，正常工作酬金应作相应调整。调整方法在专用条件中约定。</w:t>
      </w:r>
    </w:p>
    <w:p w14:paraId="6B62779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 暂停与解除</w:t>
      </w:r>
    </w:p>
    <w:p w14:paraId="07AA4FD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4A5CA28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533674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因解除本合同或解除监理人的部分义务导致监理人遭受的损失，除依法可以免除责任的情况外，应由委托人予以补偿，补偿金额由双方协商确定。</w:t>
      </w:r>
    </w:p>
    <w:p w14:paraId="1660E27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解除本合同的协议必须采取书面形式，协议未达成之前，本合同仍然有效。</w:t>
      </w:r>
    </w:p>
    <w:p w14:paraId="79CCF34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772B732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暂停部分监理与相关服务时间超过365天，监理人可发出解除本合同约定的该部分义务的通知；暂停全部工作时间超过365天，监理人可发出解除本合同的通知，本合同自通知到达委托人时解除。委托人应将监理与相关服务的酬金支付至本合同解除日，且应承担第4.2款约定的责任。</w:t>
      </w:r>
    </w:p>
    <w:p w14:paraId="5AC9BD5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7D6A81A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6.3.4 监理人在专用条件5.</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ascii="宋体" w:hAnsi="宋体" w:eastAsia="宋体" w:cs="宋体"/>
          <w:color w:val="000000" w:themeColor="text1"/>
          <w:kern w:val="0"/>
          <w:sz w:val="24"/>
          <w:highlight w:val="none"/>
          <w:lang w:val="zh-CN"/>
          <w14:textFill>
            <w14:solidFill>
              <w14:schemeClr w14:val="tx1"/>
            </w14:solidFill>
          </w14:textFill>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ascii="宋体" w:hAnsi="宋体" w:eastAsia="宋体" w:cs="宋体"/>
          <w:color w:val="000000" w:themeColor="text1"/>
          <w:kern w:val="0"/>
          <w:sz w:val="24"/>
          <w:highlight w:val="none"/>
          <w:lang w:val="zh-CN"/>
          <w14:textFill>
            <w14:solidFill>
              <w14:schemeClr w14:val="tx1"/>
            </w14:solidFill>
          </w14:textFill>
        </w:rPr>
        <w:t>款约定的责任。</w:t>
      </w:r>
    </w:p>
    <w:p w14:paraId="5842577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6.3.5 因不可抗力致使本合同部分或全部不能履行时，一方应立即通知另一方，可暂停或解除本合同。</w:t>
      </w:r>
    </w:p>
    <w:p w14:paraId="3FBEBCFF">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6.3.6 本合同解除后，本合同约定的有关结算、清理、争议解决方式的条件仍然有效。</w:t>
      </w:r>
    </w:p>
    <w:p w14:paraId="691B87E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6.4 终止</w:t>
      </w:r>
    </w:p>
    <w:p w14:paraId="2E1EED6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以下条件全部满足时，本合同即告终止：</w:t>
      </w:r>
    </w:p>
    <w:p w14:paraId="4D41818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（1）监理人完成本合同约定的全部工作；</w:t>
      </w:r>
    </w:p>
    <w:p w14:paraId="6FA48C4F">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（2）委托人与监理人结清并支付全部酬金。</w:t>
      </w:r>
    </w:p>
    <w:p w14:paraId="57611E43">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7. 争议解决</w:t>
      </w:r>
    </w:p>
    <w:p w14:paraId="5AFE4B4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7.1协商</w:t>
      </w:r>
    </w:p>
    <w:p w14:paraId="7C7467C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双方应本着诚信原则协商解决彼此间的争议。</w:t>
      </w:r>
    </w:p>
    <w:p w14:paraId="3CFC3335">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7.2调解</w:t>
      </w:r>
    </w:p>
    <w:p w14:paraId="29EFE34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如果双方不能在14天内或双方商定的其他时间内解决本合同争议，可以将其提交给专用条件约定的或事后达成协议的调解人进行调解。</w:t>
      </w:r>
    </w:p>
    <w:p w14:paraId="4A75111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7.3仲裁或诉讼</w:t>
      </w:r>
    </w:p>
    <w:p w14:paraId="50A742C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双方均有权不经调解直接向专用条件约定的仲裁机构申请仲裁或向有管辖权的人民法院提起诉讼。</w:t>
      </w:r>
    </w:p>
    <w:p w14:paraId="073F66D6">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8. 其他</w:t>
      </w:r>
    </w:p>
    <w:p w14:paraId="54C111C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8.1 外出考察费用</w:t>
      </w:r>
    </w:p>
    <w:p w14:paraId="28E392E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经委托人同意，监理人员外出考察发生的费用由委托人审核后支付。</w:t>
      </w:r>
    </w:p>
    <w:p w14:paraId="4CAE1DF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8.2 检测费用</w:t>
      </w:r>
    </w:p>
    <w:p w14:paraId="12513DD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委托人要求监理人进行的材料和设备检测所发生的费用，由委托人支付，支付时间在专用条件中约定。</w:t>
      </w:r>
    </w:p>
    <w:p w14:paraId="10B12CA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8.3 咨询费用</w:t>
      </w:r>
    </w:p>
    <w:p w14:paraId="44A9C60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经委托人同意，根据工程需要由监理人组织的相关咨询论证会以及聘请相关专家等发生的费用由委托人支付，支付时间在专用条件中约定。</w:t>
      </w:r>
    </w:p>
    <w:p w14:paraId="551E8A3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8.4 奖励</w:t>
      </w:r>
    </w:p>
    <w:p w14:paraId="5AA076E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监理人在服务过程中提出的合理化建议，使委托人获得经济效益的，双方在专用条件中约定奖励金额的确定方法。奖励金额在合理化建议被采纳后，与最近一期正常工作酬金同期支付。</w:t>
      </w:r>
    </w:p>
    <w:p w14:paraId="65D1709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8.5 守法诚信</w:t>
      </w:r>
    </w:p>
    <w:p w14:paraId="7BAEA94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监理人及其工作人员不得从与实施工程有关的第三方处获得任何经济利益。</w:t>
      </w:r>
    </w:p>
    <w:p w14:paraId="7A2E23C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8.6 保密</w:t>
      </w:r>
    </w:p>
    <w:p w14:paraId="063E2D3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双方不得泄露对方申明的保密资料，亦不得泄露与实施工程有关的第三方所提供的保密资料，保密事项在专用条件中约定。</w:t>
      </w:r>
    </w:p>
    <w:p w14:paraId="4B40179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8.7 通知</w:t>
      </w:r>
    </w:p>
    <w:p w14:paraId="4D3C5A4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本合同涉及的通知均应当采用书面形式，并在送达对方时生效，收件人应书面签收。</w:t>
      </w:r>
    </w:p>
    <w:p w14:paraId="3FFC60F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8.8 著作权</w:t>
      </w:r>
    </w:p>
    <w:p w14:paraId="620EEF1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监理人对其编制的文件拥有著作权。</w:t>
      </w:r>
    </w:p>
    <w:p w14:paraId="351842A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3BAA380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p>
    <w:p w14:paraId="6002DAE0">
      <w:pPr>
        <w:keepNext w:val="0"/>
        <w:keepLines w:val="0"/>
        <w:pageBreakBefore w:val="0"/>
        <w:overflowPunct/>
        <w:topLinePunct w:val="0"/>
        <w:autoSpaceDE w:val="0"/>
        <w:autoSpaceDN/>
        <w:bidi w:val="0"/>
        <w:snapToGrid w:val="0"/>
        <w:spacing w:line="380" w:lineRule="exact"/>
        <w:ind w:firstLine="3534" w:firstLineChars="1100"/>
        <w:rPr>
          <w:rFonts w:ascii="宋体" w:hAnsi="宋体" w:cs="宋体"/>
          <w:b/>
          <w:bCs/>
          <w:color w:val="000000" w:themeColor="text1"/>
          <w:kern w:val="0"/>
          <w:sz w:val="36"/>
          <w:szCs w:val="36"/>
          <w:highlight w:val="none"/>
          <w:lang w:val="zh-CN"/>
          <w14:textFill>
            <w14:solidFill>
              <w14:schemeClr w14:val="tx1"/>
            </w14:solidFill>
          </w14:textFill>
        </w:rPr>
      </w:pPr>
      <w:r>
        <w:rPr>
          <w:rFonts w:ascii="宋体" w:hAnsi="宋体" w:cs="宋体"/>
          <w:b/>
          <w:bCs/>
          <w:color w:val="000000" w:themeColor="text1"/>
          <w:kern w:val="0"/>
          <w:sz w:val="32"/>
          <w:szCs w:val="32"/>
          <w:highlight w:val="none"/>
          <w:lang w:val="zh-CN"/>
          <w14:textFill>
            <w14:solidFill>
              <w14:schemeClr w14:val="tx1"/>
            </w14:solidFill>
          </w14:textFill>
        </w:rPr>
        <w:t>第三部分  专用条件</w:t>
      </w:r>
    </w:p>
    <w:p w14:paraId="67CDB6DB">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1. 定义与解释</w:t>
      </w:r>
    </w:p>
    <w:p w14:paraId="6BF479A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ascii="宋体" w:hAnsi="宋体" w:eastAsia="宋体" w:cs="宋体"/>
          <w:color w:val="000000" w:themeColor="text1"/>
          <w:kern w:val="0"/>
          <w:sz w:val="24"/>
          <w:highlight w:val="none"/>
          <w:lang w:val="zh-CN"/>
          <w14:textFill>
            <w14:solidFill>
              <w14:schemeClr w14:val="tx1"/>
            </w14:solidFill>
          </w14:textFill>
        </w:rPr>
        <w:t xml:space="preserve">  解释</w:t>
      </w:r>
    </w:p>
    <w:p w14:paraId="0DA5655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ascii="宋体" w:hAnsi="宋体" w:eastAsia="宋体" w:cs="宋体"/>
          <w:color w:val="000000" w:themeColor="text1"/>
          <w:kern w:val="0"/>
          <w:sz w:val="24"/>
          <w:highlight w:val="none"/>
          <w:lang w:val="zh-CN"/>
          <w14:textFill>
            <w14:solidFill>
              <w14:schemeClr w14:val="tx1"/>
            </w14:solidFill>
          </w14:textFill>
        </w:rPr>
        <w:t xml:space="preserve"> 本合同文件除使用中文外，还可用</w:t>
      </w:r>
      <w:r>
        <w:rPr>
          <w:rFonts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ascii="宋体" w:hAnsi="宋体" w:eastAsia="宋体" w:cs="宋体"/>
          <w:color w:val="000000" w:themeColor="text1"/>
          <w:kern w:val="0"/>
          <w:sz w:val="24"/>
          <w:highlight w:val="none"/>
          <w:lang w:val="zh-CN"/>
          <w14:textFill>
            <w14:solidFill>
              <w14:schemeClr w14:val="tx1"/>
            </w14:solidFill>
          </w14:textFill>
        </w:rPr>
        <w:t>。</w:t>
      </w:r>
    </w:p>
    <w:p w14:paraId="5C74C44F">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ascii="宋体" w:hAnsi="宋体" w:eastAsia="宋体" w:cs="宋体"/>
          <w:color w:val="000000" w:themeColor="text1"/>
          <w:kern w:val="0"/>
          <w:sz w:val="24"/>
          <w:highlight w:val="none"/>
          <w:lang w:val="zh-CN"/>
          <w14:textFill>
            <w14:solidFill>
              <w14:schemeClr w14:val="tx1"/>
            </w14:solidFill>
          </w14:textFill>
        </w:rPr>
        <w:t xml:space="preserve"> 约定本合同文件的解释顺</w:t>
      </w:r>
      <w:r>
        <w:rPr>
          <w:rFonts w:ascii="宋体" w:hAnsi="宋体" w:cs="宋体"/>
          <w:color w:val="000000" w:themeColor="text1"/>
          <w:kern w:val="0"/>
          <w:sz w:val="24"/>
          <w:highlight w:val="none"/>
          <w:lang w:val="zh-CN"/>
          <w14:textFill>
            <w14:solidFill>
              <w14:schemeClr w14:val="tx1"/>
            </w14:solidFill>
          </w14:textFill>
        </w:rPr>
        <w:t>序为：</w:t>
      </w:r>
      <w:r>
        <w:rPr>
          <w:rFonts w:ascii="宋体" w:hAnsi="宋体" w:cs="宋体"/>
          <w:color w:val="000000" w:themeColor="text1"/>
          <w:kern w:val="0"/>
          <w:sz w:val="24"/>
          <w:highlight w:val="none"/>
          <w:u w:val="single"/>
          <w:lang w:val="zh-CN"/>
          <w14:textFill>
            <w14:solidFill>
              <w14:schemeClr w14:val="tx1"/>
            </w14:solidFill>
          </w14:textFill>
        </w:rPr>
        <w:t>1、协议书  2、</w:t>
      </w:r>
      <w:r>
        <w:rPr>
          <w:rFonts w:hint="eastAsia" w:ascii="宋体" w:hAnsi="宋体" w:cs="宋体"/>
          <w:color w:val="000000" w:themeColor="text1"/>
          <w:kern w:val="0"/>
          <w:sz w:val="24"/>
          <w:highlight w:val="none"/>
          <w:u w:val="single"/>
          <w:lang w:val="en-US" w:eastAsia="zh-CN"/>
          <w14:textFill>
            <w14:solidFill>
              <w14:schemeClr w14:val="tx1"/>
            </w14:solidFill>
          </w14:textFill>
        </w:rPr>
        <w:t>投标文件  3、</w:t>
      </w:r>
      <w:r>
        <w:rPr>
          <w:rFonts w:ascii="宋体" w:hAnsi="宋体" w:cs="宋体"/>
          <w:color w:val="000000" w:themeColor="text1"/>
          <w:kern w:val="0"/>
          <w:sz w:val="24"/>
          <w:highlight w:val="none"/>
          <w:u w:val="single"/>
          <w:lang w:val="zh-CN"/>
          <w14:textFill>
            <w14:solidFill>
              <w14:schemeClr w14:val="tx1"/>
            </w14:solidFill>
          </w14:textFill>
        </w:rPr>
        <w:t xml:space="preserve">专用条款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4</w:t>
      </w:r>
      <w:r>
        <w:rPr>
          <w:rFonts w:ascii="宋体" w:hAnsi="宋体" w:cs="宋体"/>
          <w:color w:val="000000" w:themeColor="text1"/>
          <w:kern w:val="0"/>
          <w:sz w:val="24"/>
          <w:highlight w:val="none"/>
          <w:u w:val="single"/>
          <w:lang w:val="zh-CN"/>
          <w14:textFill>
            <w14:solidFill>
              <w14:schemeClr w14:val="tx1"/>
            </w14:solidFill>
          </w14:textFill>
        </w:rPr>
        <w:t>、通用条款</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5、相关法律法规</w:t>
      </w:r>
      <w:r>
        <w:rPr>
          <w:rFonts w:ascii="宋体" w:hAnsi="宋体" w:cs="宋体"/>
          <w:color w:val="000000" w:themeColor="text1"/>
          <w:kern w:val="0"/>
          <w:sz w:val="24"/>
          <w:highlight w:val="none"/>
          <w:u w:val="single"/>
          <w:lang w:val="zh-CN"/>
          <w14:textFill>
            <w14:solidFill>
              <w14:schemeClr w14:val="tx1"/>
            </w14:solidFill>
          </w14:textFill>
        </w:rPr>
        <w:t xml:space="preserve">  </w:t>
      </w:r>
      <w:r>
        <w:rPr>
          <w:rFonts w:ascii="宋体" w:hAnsi="宋体" w:cs="宋体"/>
          <w:color w:val="000000" w:themeColor="text1"/>
          <w:kern w:val="0"/>
          <w:sz w:val="24"/>
          <w:highlight w:val="none"/>
          <w:lang w:val="zh-CN"/>
          <w14:textFill>
            <w14:solidFill>
              <w14:schemeClr w14:val="tx1"/>
            </w14:solidFill>
          </w14:textFill>
        </w:rPr>
        <w:t>。</w:t>
      </w:r>
    </w:p>
    <w:p w14:paraId="534FAB43">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2. 监理人义务</w:t>
      </w:r>
    </w:p>
    <w:p w14:paraId="2037CAB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 监理的范围和内容</w:t>
      </w:r>
    </w:p>
    <w:p w14:paraId="3CA6D9A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2.1.1 监理范围：</w:t>
      </w:r>
    </w:p>
    <w:p w14:paraId="02DF1D6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包括但不限于以下内容：工程合同、工程质量、材料、安全、进度监理；配合本项目造价咨询单位进行投资监理；进度审核、工程结算审核监理（进度审核及结算审核均需出具审核报告）；施工、验收、结算及保修阶段的全过程监理；项目建设施工阶段监理（含施工准备阶段、施工阶段、工程竣工结算阶段和缺陷责任期阶段监理）等相关工作。</w:t>
      </w:r>
    </w:p>
    <w:p w14:paraId="3B24019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（2）除上述工作范围外，监理人还须按</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的要求提前进场参与开工前期的准备和筹划工作，协助</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制定工程管理办法、各参建方职责及有关事务性工作等。</w:t>
      </w:r>
    </w:p>
    <w:p w14:paraId="529C971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2.1.2 监理工作内容还包括：</w:t>
      </w:r>
    </w:p>
    <w:p w14:paraId="2AC6982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（1）监理人作为</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的顾问，应在受委托的监理业务范围内向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负责，在执行和遵守国家有关建设法规的前提下，维护</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的正当权益。收到工程设计文件后编制监理规划，并在第一次工地会议7天前报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根据有关规定和监理工作需要，编制监理实施细则；制定现场工程监理工作制度，填写监理日记及大事记。每周定期召开监理例会，通报监理情况及工程的有关事宜，并根据工程需要组织专题会议，会议并须由总监理工程师主持。</w:t>
      </w:r>
    </w:p>
    <w:p w14:paraId="53AB670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熟悉工程设计文件，并对图纸中存在的问题通过建设单位向设计单位提出书面意见和建议，参加设计技术交底会，并对会议纪要进行签认，协调设计单位落实施工图纸的出图供应计划。审核设计文件、图纸和各项设计变更，提出意见（优化设计等）并参加由</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主持的图纸会审和设计交底会议；</w:t>
      </w:r>
    </w:p>
    <w:p w14:paraId="37F2E23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（3）参加由</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主持的第一次工地会议；主持监理例会并根据工程需要主持或参加专题会议；关于重大的设计修改和技术洽商，除提出监理意见外，应征得</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及设计人的书面意见，并由原设计人进行修改。</w:t>
      </w:r>
    </w:p>
    <w:p w14:paraId="2C0511C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4）审查施工承包人提交的施工组织设计，重点审查其中的质量安全技术措施、专项施工方案与工程建设强制性标准的符合性；审查批准承包单位提出的开工报告及施工进度计划，签收检查承包人填报的旬、月、季等报表。核实</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与承包人开工前基建程序所需的各种批准文件及手续、检查实施情况，督促施工承包单位采取措施实现合同目标要求。当施工计划变动时，及时提出调整计划的意见，负责组织和协调各承包人的配合安排，定期向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汇报总进度计划控制情况</w:t>
      </w:r>
    </w:p>
    <w:p w14:paraId="7456536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（5）检查施工承包人工程质量、安全生产管理制度及组织机构和人员资格；</w:t>
      </w:r>
    </w:p>
    <w:p w14:paraId="2553921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（6）检查施工承包人专职安全生产管理人员的配备情况。</w:t>
      </w:r>
    </w:p>
    <w:p w14:paraId="17DD2BA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（7）审查施工承包人提交的施工进度计划，核查承包人对施工进度计划的调整。</w:t>
      </w:r>
    </w:p>
    <w:p w14:paraId="4D075E5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（8）检查施工承包人的试验室。</w:t>
      </w:r>
    </w:p>
    <w:p w14:paraId="1C8F86F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（9）审核施工分包人资质条件。</w:t>
      </w:r>
    </w:p>
    <w:p w14:paraId="52E2FBE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（10）查验施工承包人的施工测量放线成果。</w:t>
      </w:r>
    </w:p>
    <w:p w14:paraId="204D140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（11）审查工程开工条件，对条件具备的签发开工令。</w:t>
      </w:r>
    </w:p>
    <w:p w14:paraId="688E6FE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（12）审查施工承包人报送的工程材料、构配件、设备质量证明文件的有效性和符合性，并按规定对用于工程的材料采取平行检验或见证取样方式进行抽检。</w:t>
      </w:r>
    </w:p>
    <w:p w14:paraId="3BF3A23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（13）审核施工承包人提交的工程款支付申请，签发或出具工程款支付证书，并报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审核、批准。</w:t>
      </w:r>
    </w:p>
    <w:p w14:paraId="25830AA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（14）在巡视、旁站和检验过程中，发现工程质量、施工安全存在事故隐患的，要求施工承包人整改并报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5F130BA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（15）经</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同意，签发工程暂停令和复工令。</w:t>
      </w:r>
    </w:p>
    <w:p w14:paraId="58BDEC8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（16）审查施工承包人提交的采用新材料、新工艺、新技术、新设备的论证材料及相关验收标准。</w:t>
      </w:r>
    </w:p>
    <w:p w14:paraId="51E3C1E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（17）验收隐蔽工程、分部分项工程。</w:t>
      </w:r>
    </w:p>
    <w:p w14:paraId="58EF76B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（18）审查施工承包人提交的工程变更申请，协调处理施工进度调整、费用索赔、合同争议等事项；根据施工合同及有关文件规定，督促检查承包人及时完成各阶段施工资料的整理及竣工资料的编制，并按时交</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归档。</w:t>
      </w:r>
    </w:p>
    <w:p w14:paraId="77365B1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（19）审查施工承包人提交的竣工验收申请，编写工程质量评估报告。</w:t>
      </w:r>
    </w:p>
    <w:p w14:paraId="1F24EC2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（20）参加工程竣工验收，签署竣工验收意见。</w:t>
      </w:r>
    </w:p>
    <w:p w14:paraId="208F326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（21）审查施工承包人提交的竣工结算申请并报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72C1052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（22）编制、整理工程监理归档文件并报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。根据有关文件规定，向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提交工程竣工备案的监理资料。</w:t>
      </w:r>
    </w:p>
    <w:p w14:paraId="4309392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（23）监理人在监理期间应严格遵守国家、省、市有关防火、爆破和监理安全以及文明监理、深夜监理、环卫城管等规定，建立规章制度和防护措施。否则，由此造成的经济和法律责任，均由监理人负责。</w:t>
      </w:r>
    </w:p>
    <w:p w14:paraId="75B0F0D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24）依据有关法律、法规、工程建设强制性标准、设计文件及施工合同，对承包人报送的竣工资料进行审查，并对工程质量进行竣工预验收。审查《工程竣工报告书》，对存在的问题，及时要求承包人整改，编写《工程质量评估报告》及整理监理资料，负责组织初验，签署由承包人提出的全部工程竣工验收报告，组织工程竣工验收，负责办理竣工资料的归档,并通过市城建档案馆的验收,协助</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备案手续</w:t>
      </w:r>
      <w:r>
        <w:rPr>
          <w:rFonts w:ascii="宋体" w:hAnsi="宋体" w:eastAsia="宋体" w:cs="宋体"/>
          <w:color w:val="000000" w:themeColor="text1"/>
          <w:kern w:val="0"/>
          <w:sz w:val="24"/>
          <w:highlight w:val="none"/>
          <w:lang w:val="zh-CN"/>
          <w14:textFill>
            <w14:solidFill>
              <w14:schemeClr w14:val="tx1"/>
            </w14:solidFill>
          </w14:textFill>
        </w:rPr>
        <w:t>。</w:t>
      </w:r>
    </w:p>
    <w:p w14:paraId="1B3AEAE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2.2 监理与相关服务依据</w:t>
      </w:r>
    </w:p>
    <w:p w14:paraId="316C112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 xml:space="preserve">2.2.1 </w:t>
      </w:r>
      <w:r>
        <w:rPr>
          <w:rFonts w:hint="eastAsia" w:ascii="宋体" w:hAnsi="宋体" w:eastAsia="宋体" w:cs="宋体"/>
          <w:color w:val="000000" w:themeColor="text1"/>
          <w:kern w:val="0"/>
          <w:sz w:val="24"/>
          <w:highlight w:val="none"/>
          <w:lang w:val="zh-CN"/>
          <w14:textFill>
            <w14:solidFill>
              <w14:schemeClr w14:val="tx1"/>
            </w14:solidFill>
          </w14:textFill>
        </w:rPr>
        <w:t>监理依据包括：</w:t>
      </w:r>
    </w:p>
    <w:p w14:paraId="1FE22B5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(1)贯彻执行&lt;&lt;建设工程监理规范&gt;&gt; (GB\T50319-2013)以及国家对 工程建设的政策、法律、法规和工程监理的有关规定。</w:t>
      </w:r>
    </w:p>
    <w:p w14:paraId="3AAF472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(2)建设主管部门批准的建设规划、计划和设计文件。</w:t>
      </w:r>
    </w:p>
    <w:p w14:paraId="544C019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(3)经批准的本项工程的施工图纸，技术文件及说明书和其相应的国家、 部门所制定的施工及验收规范。</w:t>
      </w:r>
    </w:p>
    <w:p w14:paraId="08171BA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(4)广东省、韶关市有关工程造价管理的文件。</w:t>
      </w:r>
    </w:p>
    <w:p w14:paraId="3AF4015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(5)委托人与承包人签订的工程承包合同</w:t>
      </w:r>
      <w:r>
        <w:rPr>
          <w:rFonts w:ascii="宋体" w:hAnsi="宋体" w:eastAsia="宋体" w:cs="宋体"/>
          <w:color w:val="000000" w:themeColor="text1"/>
          <w:kern w:val="0"/>
          <w:sz w:val="24"/>
          <w:highlight w:val="none"/>
          <w:lang w:val="zh-CN"/>
          <w14:textFill>
            <w14:solidFill>
              <w14:schemeClr w14:val="tx1"/>
            </w14:solidFill>
          </w14:textFill>
        </w:rPr>
        <w:t>。</w:t>
      </w:r>
    </w:p>
    <w:p w14:paraId="24CFD60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lang w:val="zh-CN" w:eastAsia="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法律、行政法规；广东省及韶关市的地方性法规、地方政府规章</w:t>
      </w:r>
      <w:r>
        <w:rPr>
          <w:rFonts w:ascii="宋体" w:hAnsi="宋体" w:eastAsia="宋体" w:cs="宋体"/>
          <w:color w:val="000000" w:themeColor="text1"/>
          <w:kern w:val="0"/>
          <w:sz w:val="24"/>
          <w:highlight w:val="none"/>
          <w:lang w:val="zh-CN"/>
          <w14:textFill>
            <w14:solidFill>
              <w14:schemeClr w14:val="tx1"/>
            </w14:solidFill>
          </w14:textFill>
        </w:rPr>
        <w:t>；国家及建设部的技术标准、规范、规程等；本合同的通用条件及专用条件等。</w:t>
      </w:r>
    </w:p>
    <w:p w14:paraId="7D18EA9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2.2.2 相关服务依据包括：为使施工监理服务能有效地进行，委托人有责任 积极创造良好条件，在工程开工前，委托人应向监理人提供工程的有关资料：包括工程立项投资批文、建设工程规划许可证、施工许可证、地质勘察资料、工程初步设计、施工图、标准图及相应的技术资料、设计概(预)算书，施工承包合同及其附件等监理工作所需的资料，均各一份。</w:t>
      </w:r>
    </w:p>
    <w:p w14:paraId="1990D05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2.3项目监理机构和人员</w:t>
      </w:r>
    </w:p>
    <w:p w14:paraId="1AA079D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2.3.1 监理人按合同约定、《投标文件》承诺派出监理工作需要的监理机构及监理人员。</w:t>
      </w:r>
    </w:p>
    <w:p w14:paraId="6DE71F0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2.3.2监理人拟派驻监理机构组成人员数量须符合《广东省建设厅粤建管（2002）97号文》关于工程项目监理最少人数配置的要求,且在施工现场进行监理的总监理工程师、专业监理工程师、其他监理人员全部必须是投标文件中所拟派的人员。同时，监理人派驻到工程所在地进行监理服务的监理人员，应能够胜任监理合同约定的监理服务工作。</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 xml:space="preserve">有权以书面形式要求监理人更换不能按照监理合同的约定进行监理服务的派驻人员。 </w:t>
      </w:r>
    </w:p>
    <w:p w14:paraId="0BA789C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2.3.3 更换监理人员的其他情形： </w:t>
      </w:r>
    </w:p>
    <w:p w14:paraId="309361F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有权要求监理人更换不称职的监理人员，直到终止合同。</w:t>
      </w:r>
    </w:p>
    <w:p w14:paraId="0571B80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当总监理工程师需要调整时，监理人须提前14天书面通知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，征得</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书面同意后方可调整，否则，因监理人擅自变更总监理工程师对</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造成的损失应由监理人承担赔偿责任。</w:t>
      </w:r>
    </w:p>
    <w:p w14:paraId="26A9957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监理人应保持现场监理人员相对固定。监理人因工作安排或其他原因，需要更换派驻到工程所在地的重要岗位监理人员时，应事先得到</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的同意且至少提前7天以书面形式通知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，即使是</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要求或同意更换的监理人员，其代替人员的资质不得低于被代替人员。变更或调整监理人员必须经</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同意并经建设项目行政主管部门备案批准后方可进行</w:t>
      </w:r>
      <w:r>
        <w:rPr>
          <w:rFonts w:ascii="宋体" w:hAnsi="宋体" w:eastAsia="宋体" w:cs="宋体"/>
          <w:color w:val="000000" w:themeColor="text1"/>
          <w:kern w:val="0"/>
          <w:sz w:val="24"/>
          <w:highlight w:val="none"/>
          <w:lang w:val="zh-CN"/>
          <w14:textFill>
            <w14:solidFill>
              <w14:schemeClr w14:val="tx1"/>
            </w14:solidFill>
          </w14:textFill>
        </w:rPr>
        <w:t>。</w:t>
      </w:r>
    </w:p>
    <w:p w14:paraId="6BAF854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 履行职责</w:t>
      </w:r>
    </w:p>
    <w:p w14:paraId="4BBBE71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2.4.3 对监理人的授权范围：</w:t>
      </w:r>
      <w:r>
        <w:rPr>
          <w:rFonts w:ascii="宋体" w:hAnsi="宋体" w:eastAsia="宋体" w:cs="宋体"/>
          <w:color w:val="000000" w:themeColor="text1"/>
          <w:kern w:val="0"/>
          <w:sz w:val="24"/>
          <w:highlight w:val="none"/>
          <w:u w:val="single"/>
          <w:lang w:val="zh-CN"/>
          <w14:textFill>
            <w14:solidFill>
              <w14:schemeClr w14:val="tx1"/>
            </w14:solidFill>
          </w14:textFill>
        </w:rPr>
        <w:t>执行本合同专用条</w:t>
      </w:r>
      <w:r>
        <w:rPr>
          <w:rFonts w:hint="eastAsia" w:ascii="宋体" w:hAnsi="宋体" w:cs="宋体"/>
          <w:color w:val="000000" w:themeColor="text1"/>
          <w:kern w:val="0"/>
          <w:sz w:val="24"/>
          <w:highlight w:val="none"/>
          <w:u w:val="single"/>
          <w:lang w:val="en-US" w:eastAsia="zh-CN"/>
          <w14:textFill>
            <w14:solidFill>
              <w14:schemeClr w14:val="tx1"/>
            </w14:solidFill>
          </w14:textFill>
        </w:rPr>
        <w:t>件</w:t>
      </w:r>
      <w:r>
        <w:rPr>
          <w:rFonts w:ascii="宋体" w:hAnsi="宋体" w:eastAsia="宋体" w:cs="宋体"/>
          <w:color w:val="000000" w:themeColor="text1"/>
          <w:kern w:val="0"/>
          <w:sz w:val="24"/>
          <w:highlight w:val="none"/>
          <w:u w:val="single"/>
          <w:lang w:val="zh-CN"/>
          <w14:textFill>
            <w14:solidFill>
              <w14:schemeClr w14:val="tx1"/>
            </w14:solidFill>
          </w14:textFill>
        </w:rPr>
        <w:t>第9条相关规定</w:t>
      </w:r>
      <w:r>
        <w:rPr>
          <w:rFonts w:ascii="宋体" w:hAnsi="宋体" w:eastAsia="宋体" w:cs="宋体"/>
          <w:color w:val="000000" w:themeColor="text1"/>
          <w:kern w:val="0"/>
          <w:sz w:val="24"/>
          <w:highlight w:val="none"/>
          <w:lang w:val="zh-CN"/>
          <w14:textFill>
            <w14:solidFill>
              <w14:schemeClr w14:val="tx1"/>
            </w14:solidFill>
          </w14:textFill>
        </w:rPr>
        <w:t>。</w:t>
      </w:r>
    </w:p>
    <w:p w14:paraId="1E0167D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2.4.4 监理人有权要求承包人调换其人员的限制条件：</w:t>
      </w:r>
      <w:r>
        <w:rPr>
          <w:rFonts w:ascii="宋体" w:hAnsi="宋体" w:eastAsia="宋体" w:cs="宋体"/>
          <w:color w:val="000000" w:themeColor="text1"/>
          <w:kern w:val="0"/>
          <w:sz w:val="24"/>
          <w:highlight w:val="none"/>
          <w:u w:val="single"/>
          <w:lang w:val="zh-CN"/>
          <w14:textFill>
            <w14:solidFill>
              <w14:schemeClr w14:val="tx1"/>
            </w14:solidFill>
          </w14:textFill>
        </w:rPr>
        <w:t>执行本合同专用条</w:t>
      </w:r>
      <w:r>
        <w:rPr>
          <w:rFonts w:hint="eastAsia" w:ascii="宋体" w:hAnsi="宋体" w:cs="宋体"/>
          <w:color w:val="000000" w:themeColor="text1"/>
          <w:kern w:val="0"/>
          <w:sz w:val="24"/>
          <w:highlight w:val="none"/>
          <w:u w:val="single"/>
          <w:lang w:val="en-US" w:eastAsia="zh-CN"/>
          <w14:textFill>
            <w14:solidFill>
              <w14:schemeClr w14:val="tx1"/>
            </w14:solidFill>
          </w14:textFill>
        </w:rPr>
        <w:t>件</w:t>
      </w:r>
      <w:r>
        <w:rPr>
          <w:rFonts w:ascii="宋体" w:hAnsi="宋体" w:eastAsia="宋体" w:cs="宋体"/>
          <w:color w:val="000000" w:themeColor="text1"/>
          <w:kern w:val="0"/>
          <w:sz w:val="24"/>
          <w:highlight w:val="none"/>
          <w:u w:val="single"/>
          <w:lang w:val="zh-CN"/>
          <w14:textFill>
            <w14:solidFill>
              <w14:schemeClr w14:val="tx1"/>
            </w14:solidFill>
          </w14:textFill>
        </w:rPr>
        <w:t>第9条相关规定</w:t>
      </w:r>
      <w:r>
        <w:rPr>
          <w:rFonts w:ascii="宋体" w:hAnsi="宋体" w:eastAsia="宋体" w:cs="宋体"/>
          <w:color w:val="000000" w:themeColor="text1"/>
          <w:kern w:val="0"/>
          <w:sz w:val="24"/>
          <w:highlight w:val="none"/>
          <w:lang w:val="zh-CN"/>
          <w14:textFill>
            <w14:solidFill>
              <w14:schemeClr w14:val="tx1"/>
            </w14:solidFill>
          </w14:textFill>
        </w:rPr>
        <w:t>。</w:t>
      </w:r>
    </w:p>
    <w:p w14:paraId="284327D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2.5 提交报告</w:t>
      </w:r>
    </w:p>
    <w:p w14:paraId="7857FDF5">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监理人应提交报告的种类(包括监理规划及约定的报告</w:t>
      </w:r>
      <w:r>
        <w:rPr>
          <w:rFonts w:hint="eastAsia" w:ascii="宋体" w:hAnsi="宋体" w:eastAsia="宋体" w:cs="宋体"/>
          <w:color w:val="000000" w:themeColor="text1"/>
          <w:kern w:val="0"/>
          <w:sz w:val="24"/>
          <w:highlight w:val="none"/>
          <w:lang w:val="zh-CN"/>
          <w14:textFill>
            <w14:solidFill>
              <w14:schemeClr w14:val="tx1"/>
            </w14:solidFill>
          </w14:textFill>
        </w:rPr>
        <w:t>等</w:t>
      </w:r>
      <w:r>
        <w:rPr>
          <w:rFonts w:ascii="宋体" w:hAnsi="宋体" w:eastAsia="宋体" w:cs="宋体"/>
          <w:color w:val="000000" w:themeColor="text1"/>
          <w:kern w:val="0"/>
          <w:sz w:val="24"/>
          <w:highlight w:val="none"/>
          <w:lang w:val="zh-CN"/>
          <w14:textFill>
            <w14:solidFill>
              <w14:schemeClr w14:val="tx1"/>
            </w14:solidFill>
          </w14:textFill>
        </w:rPr>
        <w:t>)、时间和份数：</w:t>
      </w:r>
      <w:r>
        <w:rPr>
          <w:rFonts w:ascii="宋体" w:hAnsi="宋体" w:eastAsia="宋体" w:cs="宋体"/>
          <w:color w:val="000000" w:themeColor="text1"/>
          <w:kern w:val="0"/>
          <w:sz w:val="24"/>
          <w:highlight w:val="none"/>
          <w:u w:val="single"/>
          <w:lang w:val="zh-CN"/>
          <w14:textFill>
            <w14:solidFill>
              <w14:schemeClr w14:val="tx1"/>
            </w14:solidFill>
          </w14:textFill>
        </w:rPr>
        <w:t>执行本合同专用条</w:t>
      </w:r>
      <w:r>
        <w:rPr>
          <w:rFonts w:hint="eastAsia" w:ascii="宋体" w:hAnsi="宋体" w:cs="宋体"/>
          <w:color w:val="000000" w:themeColor="text1"/>
          <w:kern w:val="0"/>
          <w:sz w:val="24"/>
          <w:highlight w:val="none"/>
          <w:u w:val="single"/>
          <w:lang w:val="en-US" w:eastAsia="zh-CN"/>
          <w14:textFill>
            <w14:solidFill>
              <w14:schemeClr w14:val="tx1"/>
            </w14:solidFill>
          </w14:textFill>
        </w:rPr>
        <w:t>件</w:t>
      </w:r>
      <w:r>
        <w:rPr>
          <w:rFonts w:ascii="宋体" w:hAnsi="宋体" w:eastAsia="宋体" w:cs="宋体"/>
          <w:color w:val="000000" w:themeColor="text1"/>
          <w:kern w:val="0"/>
          <w:sz w:val="24"/>
          <w:highlight w:val="none"/>
          <w:u w:val="single"/>
          <w:lang w:val="zh-CN"/>
          <w14:textFill>
            <w14:solidFill>
              <w14:schemeClr w14:val="tx1"/>
            </w14:solidFill>
          </w14:textFill>
        </w:rPr>
        <w:t>第9条相关规定</w:t>
      </w:r>
      <w:r>
        <w:rPr>
          <w:rFonts w:ascii="宋体" w:hAnsi="宋体" w:eastAsia="宋体" w:cs="宋体"/>
          <w:color w:val="000000" w:themeColor="text1"/>
          <w:kern w:val="0"/>
          <w:sz w:val="24"/>
          <w:highlight w:val="none"/>
          <w:lang w:val="zh-CN"/>
          <w14:textFill>
            <w14:solidFill>
              <w14:schemeClr w14:val="tx1"/>
            </w14:solidFill>
          </w14:textFill>
        </w:rPr>
        <w:t>。</w:t>
      </w:r>
    </w:p>
    <w:p w14:paraId="0341E81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2.6现场办公条件</w:t>
      </w:r>
    </w:p>
    <w:p w14:paraId="17DE3C18">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2.6.1</w:t>
      </w:r>
      <w:r>
        <w:rPr>
          <w:rFonts w:hint="default" w:ascii="宋体" w:hAnsi="宋体" w:eastAsia="宋体" w:cs="宋体"/>
          <w:color w:val="000000" w:themeColor="text1"/>
          <w:kern w:val="0"/>
          <w:sz w:val="24"/>
          <w:highlight w:val="none"/>
          <w:lang w:val="en-US" w:eastAsia="zh-CN"/>
          <w14:textFill>
            <w14:solidFill>
              <w14:schemeClr w14:val="tx1"/>
            </w14:solidFill>
          </w14:textFill>
        </w:rPr>
        <w:t>监理人的办公、休息场所不得与施工单位混用。所需场所、水电网络接入由委托人征求监理人意见后，与施工单位协调明确，但费用（若有）由监理人支付。监理人所需场所的数量及其面积应与项目规模、特点相匹配，并应满足监理工作正常运作的需要。</w:t>
      </w:r>
    </w:p>
    <w:p w14:paraId="65979AB3">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2.6</w:t>
      </w:r>
      <w:r>
        <w:rPr>
          <w:rFonts w:hint="default" w:ascii="宋体" w:hAnsi="宋体" w:eastAsia="宋体" w:cs="宋体"/>
          <w:color w:val="000000" w:themeColor="text1"/>
          <w:kern w:val="0"/>
          <w:sz w:val="24"/>
          <w:highlight w:val="none"/>
          <w:lang w:val="en-US" w:eastAsia="zh-CN"/>
          <w14:textFill>
            <w14:solidFill>
              <w14:schemeClr w14:val="tx1"/>
            </w14:solidFill>
          </w14:textFill>
        </w:rPr>
        <w:t>.2 监理人应按照工程需要，自行配备以下的设施、设备：</w:t>
      </w:r>
    </w:p>
    <w:p w14:paraId="4DD9D828">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（1）办公桌椅、文件柜、床铺被褥、供冷采暖设施等办公和生活设施；</w:t>
      </w:r>
    </w:p>
    <w:p w14:paraId="34AB760C">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（2）电脑、投影、打印机、复印机、传真机等办公设备及其耗材；</w:t>
      </w:r>
    </w:p>
    <w:p w14:paraId="2CBBDC74">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（3）拍摄、录音、录像等取证器材；</w:t>
      </w:r>
    </w:p>
    <w:p w14:paraId="2F38FF7F">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（4）信息化管理软件或系统；</w:t>
      </w:r>
    </w:p>
    <w:p w14:paraId="4EC07899">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（5）通信和交通工具；</w:t>
      </w:r>
    </w:p>
    <w:p w14:paraId="6F035393">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（6）本招标项目必备的规范标准、图集等书籍手册；</w:t>
      </w:r>
    </w:p>
    <w:p w14:paraId="1032C624">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（7）安全帽、安全鞋、安全手套、安全服装、手电筒等安全防护用具；</w:t>
      </w:r>
    </w:p>
    <w:p w14:paraId="4B5B9C17">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（8） 打卡  考勤设备；</w:t>
      </w:r>
    </w:p>
    <w:p w14:paraId="3144728C">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（9）其他与监理工作有关的设备与用品。</w:t>
      </w:r>
    </w:p>
    <w:p w14:paraId="0D96EECE">
      <w:pPr>
        <w:keepNext w:val="0"/>
        <w:keepLines w:val="0"/>
        <w:pageBreakBefore w:val="0"/>
        <w:tabs>
          <w:tab w:val="left" w:pos="8460"/>
        </w:tabs>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 xml:space="preserve">3. 委托人义务  </w:t>
      </w:r>
    </w:p>
    <w:p w14:paraId="6BF5DAE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w:t>
      </w: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ascii="宋体" w:hAnsi="宋体" w:eastAsia="宋体" w:cs="宋体"/>
          <w:color w:val="000000" w:themeColor="text1"/>
          <w:kern w:val="0"/>
          <w:sz w:val="24"/>
          <w:highlight w:val="none"/>
          <w:lang w:val="zh-CN"/>
          <w14:textFill>
            <w14:solidFill>
              <w14:schemeClr w14:val="tx1"/>
            </w14:solidFill>
          </w14:textFill>
        </w:rPr>
        <w:t xml:space="preserve"> 委托人代表</w:t>
      </w:r>
    </w:p>
    <w:p w14:paraId="159B6E3A">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u w:val="singl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委托人代表为：</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p w14:paraId="6D8E62C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ascii="宋体" w:hAnsi="宋体" w:eastAsia="宋体" w:cs="宋体"/>
          <w:color w:val="000000" w:themeColor="text1"/>
          <w:kern w:val="0"/>
          <w:sz w:val="24"/>
          <w:highlight w:val="none"/>
          <w:lang w:val="zh-CN"/>
          <w14:textFill>
            <w14:solidFill>
              <w14:schemeClr w14:val="tx1"/>
            </w14:solidFill>
          </w14:textFill>
        </w:rPr>
        <w:t xml:space="preserve"> 答复</w:t>
      </w:r>
    </w:p>
    <w:p w14:paraId="107D035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委托人同意在</w:t>
      </w:r>
      <w:r>
        <w:rPr>
          <w:rFonts w:hint="eastAsia"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15</w:t>
      </w:r>
      <w:r>
        <w:rPr>
          <w:rFonts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个工作日</w:t>
      </w:r>
      <w:r>
        <w:rPr>
          <w:rFonts w:ascii="宋体" w:hAnsi="宋体" w:eastAsia="宋体" w:cs="宋体"/>
          <w:color w:val="000000" w:themeColor="text1"/>
          <w:kern w:val="0"/>
          <w:sz w:val="24"/>
          <w:highlight w:val="none"/>
          <w:lang w:val="zh-CN"/>
          <w14:textFill>
            <w14:solidFill>
              <w14:schemeClr w14:val="tx1"/>
            </w14:solidFill>
          </w14:textFill>
        </w:rPr>
        <w:t>内，对监理人书面提交并要求做出决定的事宜给予书面答复。</w:t>
      </w:r>
    </w:p>
    <w:p w14:paraId="69A92A37">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4. 违约责任</w:t>
      </w:r>
    </w:p>
    <w:p w14:paraId="39EC9EB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62" w:name="_Toc28133"/>
      <w:bookmarkStart w:id="163" w:name="_Toc9349"/>
      <w:bookmarkStart w:id="164" w:name="_Toc15047"/>
      <w:r>
        <w:rPr>
          <w:rFonts w:hint="eastAsia" w:ascii="宋体" w:hAnsi="宋体" w:eastAsia="宋体" w:cs="宋体"/>
          <w:color w:val="000000" w:themeColor="text1"/>
          <w:kern w:val="0"/>
          <w:sz w:val="24"/>
          <w:highlight w:val="none"/>
          <w:lang w:val="zh-CN" w:eastAsia="zh-CN"/>
          <w14:textFill>
            <w14:solidFill>
              <w14:schemeClr w14:val="tx1"/>
            </w14:solidFill>
          </w14:textFill>
        </w:rPr>
        <w:t>4.1 监理人的违约责任</w:t>
      </w:r>
      <w:bookmarkEnd w:id="162"/>
      <w:bookmarkEnd w:id="163"/>
      <w:bookmarkEnd w:id="164"/>
    </w:p>
    <w:p w14:paraId="70DF32F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监理人未履行本合同义务的，应承担相应的责任。</w:t>
      </w:r>
    </w:p>
    <w:p w14:paraId="2230A8D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4.1.1 因监理人违反本合同约定给委托人造成损失的，监理人应当赔偿委托人损失。</w:t>
      </w:r>
    </w:p>
    <w:p w14:paraId="3DD3ABD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监理人赔偿金额按下列方法确定：赔偿金＝直接经济损失×正常工作酬金÷项目建安费（总额不超过税后合同监理服务费）。</w:t>
      </w:r>
    </w:p>
    <w:p w14:paraId="751190A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监理人承担部分赔偿责任的，其承担赔偿金额由双方协商确定。</w:t>
      </w:r>
    </w:p>
    <w:p w14:paraId="5237FB4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4.1.2 监理人向委托人的索赔不成立时，监理人应赔偿委托人由此发生的费用。</w:t>
      </w:r>
    </w:p>
    <w:p w14:paraId="6AF9A97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65" w:name="_Toc27680"/>
      <w:bookmarkStart w:id="166" w:name="_Toc2188"/>
      <w:bookmarkStart w:id="167" w:name="_Toc28294"/>
      <w:r>
        <w:rPr>
          <w:rFonts w:hint="eastAsia" w:ascii="宋体" w:hAnsi="宋体" w:eastAsia="宋体" w:cs="宋体"/>
          <w:color w:val="000000" w:themeColor="text1"/>
          <w:kern w:val="0"/>
          <w:sz w:val="24"/>
          <w:highlight w:val="none"/>
          <w:lang w:val="zh-CN" w:eastAsia="zh-CN"/>
          <w14:textFill>
            <w14:solidFill>
              <w14:schemeClr w14:val="tx1"/>
            </w14:solidFill>
          </w14:textFill>
        </w:rPr>
        <w:t>4.2 委托人的违约责任</w:t>
      </w:r>
      <w:bookmarkEnd w:id="165"/>
      <w:bookmarkEnd w:id="166"/>
      <w:bookmarkEnd w:id="167"/>
    </w:p>
    <w:p w14:paraId="4C2720E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委托人未履行本合同义务的，应承担相应的责任。</w:t>
      </w:r>
    </w:p>
    <w:p w14:paraId="1E0F0BC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4.2.1 委托人违反本合同约定造成监理人损失的，委托人应予以赔偿。</w:t>
      </w:r>
    </w:p>
    <w:p w14:paraId="1CFD0BB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4.2.2 委托人向监理人的索赔不成立时，应赔偿监理人由此引起的费用。</w:t>
      </w:r>
    </w:p>
    <w:p w14:paraId="412AFA1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4.2.3 委托人未能按期支付酬金超过28天，应支付逾期付款利息。委托人逾期付款利息按下列方法确定：逾期付款利息＝当期应付款总额×银行同期贷款利率×拖延支付天数。</w:t>
      </w:r>
    </w:p>
    <w:p w14:paraId="4D6C045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68" w:name="_Toc11108"/>
      <w:bookmarkStart w:id="169" w:name="_Toc7356"/>
      <w:bookmarkStart w:id="170" w:name="_Toc7301"/>
      <w:r>
        <w:rPr>
          <w:rFonts w:hint="eastAsia" w:ascii="宋体" w:hAnsi="宋体" w:eastAsia="宋体" w:cs="宋体"/>
          <w:color w:val="000000" w:themeColor="text1"/>
          <w:kern w:val="0"/>
          <w:sz w:val="24"/>
          <w:highlight w:val="none"/>
          <w:lang w:val="zh-CN" w:eastAsia="zh-CN"/>
          <w14:textFill>
            <w14:solidFill>
              <w14:schemeClr w14:val="tx1"/>
            </w14:solidFill>
          </w14:textFill>
        </w:rPr>
        <w:t>4.3 除外责任</w:t>
      </w:r>
      <w:bookmarkEnd w:id="168"/>
      <w:bookmarkEnd w:id="169"/>
      <w:bookmarkEnd w:id="170"/>
    </w:p>
    <w:p w14:paraId="3C15E11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因非监理人的原因，且监理人无过错，发生工程质量事故、安全事故、工期延误等造成的损失，监理人不承担赔偿责任。</w:t>
      </w:r>
    </w:p>
    <w:p w14:paraId="6194904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因不可抗力导致本合同全部或部分不能履行时，双方各自承担其因此而造成的损失、损害。</w:t>
      </w:r>
    </w:p>
    <w:p w14:paraId="156F4B93">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5. 支付</w:t>
      </w:r>
    </w:p>
    <w:p w14:paraId="779DA11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71" w:name="_Toc13619"/>
      <w:bookmarkStart w:id="172" w:name="_Toc624"/>
      <w:bookmarkStart w:id="173" w:name="_Toc9024"/>
      <w:r>
        <w:rPr>
          <w:rFonts w:hint="eastAsia" w:ascii="宋体" w:hAnsi="宋体" w:eastAsia="宋体" w:cs="宋体"/>
          <w:color w:val="000000" w:themeColor="text1"/>
          <w:kern w:val="0"/>
          <w:sz w:val="24"/>
          <w:highlight w:val="none"/>
          <w:lang w:val="zh-CN" w:eastAsia="zh-CN"/>
          <w14:textFill>
            <w14:solidFill>
              <w14:schemeClr w14:val="tx1"/>
            </w14:solidFill>
          </w14:textFill>
        </w:rPr>
        <w:t>5.1 支付货币</w:t>
      </w:r>
      <w:bookmarkEnd w:id="171"/>
      <w:bookmarkEnd w:id="172"/>
      <w:bookmarkEnd w:id="173"/>
    </w:p>
    <w:p w14:paraId="02ED61B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酬金均以人民币支付。</w:t>
      </w:r>
    </w:p>
    <w:p w14:paraId="33BDFA2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74" w:name="_Toc3949"/>
      <w:bookmarkStart w:id="175" w:name="_Toc7275"/>
      <w:bookmarkStart w:id="176" w:name="_Toc10949"/>
      <w:r>
        <w:rPr>
          <w:rFonts w:hint="eastAsia" w:ascii="宋体" w:hAnsi="宋体" w:eastAsia="宋体" w:cs="宋体"/>
          <w:color w:val="000000" w:themeColor="text1"/>
          <w:kern w:val="0"/>
          <w:sz w:val="24"/>
          <w:highlight w:val="none"/>
          <w:lang w:val="zh-CN" w:eastAsia="zh-CN"/>
          <w14:textFill>
            <w14:solidFill>
              <w14:schemeClr w14:val="tx1"/>
            </w14:solidFill>
          </w14:textFill>
        </w:rPr>
        <w:t>5.2 支付申请</w:t>
      </w:r>
      <w:bookmarkEnd w:id="174"/>
      <w:bookmarkEnd w:id="175"/>
      <w:bookmarkEnd w:id="176"/>
    </w:p>
    <w:p w14:paraId="12857D3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监理人应在本合同约定的每次应付款时间的7天前，向委托人提交支付申请书。支付申请书应当说明当期应付款总额，并列出当期应支付的款项及其金额。</w:t>
      </w:r>
    </w:p>
    <w:p w14:paraId="3B6146F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77" w:name="_Toc25652"/>
      <w:bookmarkStart w:id="178" w:name="_Toc17883"/>
      <w:bookmarkStart w:id="179" w:name="_Toc6801"/>
      <w:r>
        <w:rPr>
          <w:rFonts w:hint="eastAsia" w:ascii="宋体" w:hAnsi="宋体" w:eastAsia="宋体" w:cs="宋体"/>
          <w:color w:val="000000" w:themeColor="text1"/>
          <w:kern w:val="0"/>
          <w:sz w:val="24"/>
          <w:highlight w:val="none"/>
          <w:lang w:val="zh-CN" w:eastAsia="zh-CN"/>
          <w14:textFill>
            <w14:solidFill>
              <w14:schemeClr w14:val="tx1"/>
            </w14:solidFill>
          </w14:textFill>
        </w:rPr>
        <w:t>5.3 支付酬金</w:t>
      </w:r>
      <w:bookmarkEnd w:id="177"/>
      <w:bookmarkEnd w:id="178"/>
      <w:bookmarkEnd w:id="179"/>
    </w:p>
    <w:p w14:paraId="5C520F0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（1）签订合同开工后，支付监理服务费合同价款的30%；</w:t>
      </w:r>
    </w:p>
    <w:p w14:paraId="2B740F5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（2）本项目施工阶段按月度分期支付监理服务费；具体分期支付方式如下：</w:t>
      </w:r>
    </w:p>
    <w:p w14:paraId="23B7832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月度监理服务费=月度实际所有专业施工完成投资额×</w:t>
      </w:r>
      <w:r>
        <w:rPr>
          <w:rFonts w:hint="eastAsia" w:hAnsi="宋体" w:cs="宋体"/>
          <w:color w:val="000000" w:themeColor="text1"/>
          <w:kern w:val="0"/>
          <w:sz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highlight w:val="none"/>
          <w:lang w:val="zh-CN" w:eastAsia="zh-CN"/>
          <w14:textFill>
            <w14:solidFill>
              <w14:schemeClr w14:val="tx1"/>
            </w14:solidFill>
          </w14:textFill>
        </w:rPr>
        <w:t>0%作为计算基数计算监理服务费，施工过程中累计支付的监理服务费不得超过监理服务费合同价款的</w:t>
      </w:r>
      <w:r>
        <w:rPr>
          <w:rFonts w:hint="eastAsia" w:hAnsi="宋体" w:cs="宋体"/>
          <w:color w:val="000000" w:themeColor="text1"/>
          <w:kern w:val="0"/>
          <w:sz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highlight w:val="none"/>
          <w:lang w:val="zh-CN" w:eastAsia="zh-CN"/>
          <w14:textFill>
            <w14:solidFill>
              <w14:schemeClr w14:val="tx1"/>
            </w14:solidFill>
          </w14:textFill>
        </w:rPr>
        <w:t>0%；</w:t>
      </w:r>
    </w:p>
    <w:p w14:paraId="08E5E35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（3）工程竣工验收合格后，支付至监理服务费合同价款的97%；</w:t>
      </w:r>
    </w:p>
    <w:p w14:paraId="1CBAC78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（4）其余3%款项经委托人或委托人委托的第三方审核机构结算定案后结清（不计利息）。</w:t>
      </w:r>
    </w:p>
    <w:p w14:paraId="4590458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酬金结算原则：</w:t>
      </w:r>
    </w:p>
    <w:p w14:paraId="0C1DCFB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监理服务费结算时以县财政投资评审中心审核后的建安工程费为计算依据。</w:t>
      </w:r>
    </w:p>
    <w:p w14:paraId="1B341A0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结算价按以下方式结算：监理服务费=县财政投资评审中心审核后的建安工程费×监理服务费的中标费率（监理费的中标费率=监理费中标价÷建安工程费暂定价×100%）。监理服务费的中标费率，四舍五入保留三位小数。</w:t>
      </w:r>
    </w:p>
    <w:p w14:paraId="7D359281">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hAnsi="宋体" w:cs="宋体"/>
          <w:color w:val="000000" w:themeColor="text1"/>
          <w:kern w:val="0"/>
          <w:sz w:val="24"/>
          <w:highlight w:val="none"/>
          <w:lang w:val="en-US" w:eastAsia="zh-CN"/>
          <w14:textFill>
            <w14:solidFill>
              <w14:schemeClr w14:val="tx1"/>
            </w14:solidFill>
          </w14:textFill>
        </w:rPr>
        <w:t>监理费最终结算价不得超过竣工后经</w:t>
      </w:r>
      <w:r>
        <w:rPr>
          <w:rFonts w:hint="eastAsia" w:ascii="宋体" w:hAnsi="宋体" w:eastAsia="宋体" w:cs="宋体"/>
          <w:color w:val="000000" w:themeColor="text1"/>
          <w:kern w:val="0"/>
          <w:sz w:val="24"/>
          <w:highlight w:val="none"/>
          <w:lang w:val="zh-CN" w:eastAsia="zh-CN"/>
          <w14:textFill>
            <w14:solidFill>
              <w14:schemeClr w14:val="tx1"/>
            </w14:solidFill>
          </w14:textFill>
        </w:rPr>
        <w:t>县财政投资评审中心审核后的</w:t>
      </w:r>
      <w:r>
        <w:rPr>
          <w:rFonts w:hint="eastAsia" w:hAnsi="宋体" w:cs="宋体"/>
          <w:color w:val="000000" w:themeColor="text1"/>
          <w:kern w:val="0"/>
          <w:sz w:val="24"/>
          <w:highlight w:val="none"/>
          <w:lang w:val="en-US" w:eastAsia="zh-CN"/>
          <w14:textFill>
            <w14:solidFill>
              <w14:schemeClr w14:val="tx1"/>
            </w14:solidFill>
          </w14:textFill>
        </w:rPr>
        <w:t>结算审核价的1%</w:t>
      </w:r>
    </w:p>
    <w:p w14:paraId="62FCC9E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80" w:name="_Toc11530"/>
      <w:bookmarkStart w:id="181" w:name="_Toc14938"/>
      <w:bookmarkStart w:id="182" w:name="_Toc26984"/>
      <w:r>
        <w:rPr>
          <w:rFonts w:hint="eastAsia" w:ascii="宋体" w:hAnsi="宋体" w:eastAsia="宋体" w:cs="宋体"/>
          <w:color w:val="000000" w:themeColor="text1"/>
          <w:kern w:val="0"/>
          <w:sz w:val="24"/>
          <w:highlight w:val="none"/>
          <w:lang w:val="zh-CN" w:eastAsia="zh-CN"/>
          <w14:textFill>
            <w14:solidFill>
              <w14:schemeClr w14:val="tx1"/>
            </w14:solidFill>
          </w14:textFill>
        </w:rPr>
        <w:t>5.4 有争议部分的付款</w:t>
      </w:r>
      <w:bookmarkEnd w:id="180"/>
      <w:bookmarkEnd w:id="181"/>
      <w:bookmarkEnd w:id="182"/>
    </w:p>
    <w:p w14:paraId="6EE2D93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委托人对监理人提交的支付申请书有异议时，应当在收到监理人提交的支付申请书后7天内，以书面形式向监理人发出异议通知。无异议部分的款项应按期支付，有异议部分的款项按本章第7条处理。</w:t>
      </w:r>
    </w:p>
    <w:p w14:paraId="7CBF829A">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6. 合同生效、变更、暂停、解除与终止</w:t>
      </w:r>
    </w:p>
    <w:p w14:paraId="553A78D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83" w:name="_Toc27548"/>
      <w:bookmarkStart w:id="184" w:name="_Toc20360"/>
      <w:bookmarkStart w:id="185" w:name="_Toc5937"/>
      <w:r>
        <w:rPr>
          <w:rFonts w:hint="eastAsia" w:ascii="宋体" w:hAnsi="宋体" w:eastAsia="宋体" w:cs="宋体"/>
          <w:color w:val="000000" w:themeColor="text1"/>
          <w:kern w:val="0"/>
          <w:sz w:val="24"/>
          <w:highlight w:val="none"/>
          <w:lang w:val="zh-CN" w:eastAsia="zh-CN"/>
          <w14:textFill>
            <w14:solidFill>
              <w14:schemeClr w14:val="tx1"/>
            </w14:solidFill>
          </w14:textFill>
        </w:rPr>
        <w:t>6.1 生效</w:t>
      </w:r>
      <w:bookmarkEnd w:id="183"/>
      <w:bookmarkEnd w:id="184"/>
      <w:bookmarkEnd w:id="185"/>
    </w:p>
    <w:p w14:paraId="0F81402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委托人和监理人的法定代表人或其授权代理人在协议书上签字并盖单位章后本合同生效。</w:t>
      </w:r>
    </w:p>
    <w:p w14:paraId="51BABCE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86" w:name="_Toc1739"/>
      <w:bookmarkStart w:id="187" w:name="_Toc9359"/>
      <w:bookmarkStart w:id="188" w:name="_Toc636"/>
      <w:r>
        <w:rPr>
          <w:rFonts w:hint="eastAsia" w:ascii="宋体" w:hAnsi="宋体" w:eastAsia="宋体" w:cs="宋体"/>
          <w:color w:val="000000" w:themeColor="text1"/>
          <w:kern w:val="0"/>
          <w:sz w:val="24"/>
          <w:highlight w:val="none"/>
          <w:lang w:val="zh-CN" w:eastAsia="zh-CN"/>
          <w14:textFill>
            <w14:solidFill>
              <w14:schemeClr w14:val="tx1"/>
            </w14:solidFill>
          </w14:textFill>
        </w:rPr>
        <w:t>6.2 变更</w:t>
      </w:r>
      <w:bookmarkEnd w:id="186"/>
      <w:bookmarkEnd w:id="187"/>
      <w:bookmarkEnd w:id="188"/>
    </w:p>
    <w:p w14:paraId="0020D80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6.2.1 任何一方提出变更请求时，双方经协商一致后可进行变更。</w:t>
      </w:r>
    </w:p>
    <w:p w14:paraId="2B6B8DF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6.2.2除不可抗力外，因非监理人原因导致监理人履行合同期限延长、内容增加时，监理人应当将此情况与可能产生的影响及时通知委托人。增加的监理工作时间、工作内容应视为附加工作。</w:t>
      </w:r>
    </w:p>
    <w:p w14:paraId="69B9FB7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发生以上情形的附加工作酬金的确定方法为：</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双方协商</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w:t>
      </w:r>
    </w:p>
    <w:p w14:paraId="6AA579D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6.2.3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6D3154A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发生以上情形的附加工作酬金的确定方法为： </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双方协商</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w:t>
      </w:r>
    </w:p>
    <w:p w14:paraId="46DE806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6.2.4 合同签订后，遇有与招标项目相关的法律法规、标准颁布或修订的，双方应遵照执行。由此引起监理与相关服务的范围、时间、酬金变化的，双方应通过协商进行相应调整。</w:t>
      </w:r>
    </w:p>
    <w:p w14:paraId="681D3C0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6.2.5 因非监理人原因造成项目 预算 投资额增加时，正常工作酬金应作相应调整。</w:t>
      </w:r>
    </w:p>
    <w:p w14:paraId="6C8765B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发生以上情形的正常工作酬金增加额的确定方法为： </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双方协商 </w:t>
      </w:r>
      <w:r>
        <w:rPr>
          <w:rFonts w:hint="eastAsia" w:ascii="宋体" w:hAnsi="宋体" w:eastAsia="宋体" w:cs="宋体"/>
          <w:color w:val="000000" w:themeColor="text1"/>
          <w:kern w:val="0"/>
          <w:sz w:val="24"/>
          <w:highlight w:val="none"/>
          <w:lang w:val="zh-CN" w:eastAsia="zh-CN"/>
          <w14:textFill>
            <w14:solidFill>
              <w14:schemeClr w14:val="tx1"/>
            </w14:solidFill>
          </w14:textFill>
        </w:rPr>
        <w:t>。</w:t>
      </w:r>
    </w:p>
    <w:p w14:paraId="3FDD493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6.2.6 因工程规模、监理范围的变化导致监理人的正常工作量减少时，按减少工作量的比例从协议书约定的正常工作酬金中扣减相同比例的酬金。</w:t>
      </w:r>
    </w:p>
    <w:p w14:paraId="2B5D9E4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89" w:name="_Toc19127"/>
      <w:bookmarkStart w:id="190" w:name="_Toc12797"/>
      <w:bookmarkStart w:id="191" w:name="_Toc4131"/>
      <w:r>
        <w:rPr>
          <w:rFonts w:hint="eastAsia" w:ascii="宋体" w:hAnsi="宋体" w:eastAsia="宋体" w:cs="宋体"/>
          <w:color w:val="000000" w:themeColor="text1"/>
          <w:kern w:val="0"/>
          <w:sz w:val="24"/>
          <w:highlight w:val="none"/>
          <w:lang w:val="zh-CN" w:eastAsia="zh-CN"/>
          <w14:textFill>
            <w14:solidFill>
              <w14:schemeClr w14:val="tx1"/>
            </w14:solidFill>
          </w14:textFill>
        </w:rPr>
        <w:t>6.3 暂停与解除</w:t>
      </w:r>
      <w:bookmarkEnd w:id="189"/>
      <w:bookmarkEnd w:id="190"/>
      <w:bookmarkEnd w:id="191"/>
    </w:p>
    <w:p w14:paraId="1925517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4C59264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1C65DF2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因解除本合同或解除监理人的部分义务导致监理人遭受的损失，除依法可以免除责任的情况外，应由委托人予以补偿，补偿金额由双方协商确定。</w:t>
      </w:r>
    </w:p>
    <w:p w14:paraId="69E3914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解除本合同的协议必须采取书面形式，协议未达成之前，本合同仍然有效。</w:t>
      </w:r>
    </w:p>
    <w:p w14:paraId="2CFEC93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2AC9E1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4.2条约定的责任。</w:t>
      </w:r>
    </w:p>
    <w:p w14:paraId="4B713F4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4.1条约定的责任。</w:t>
      </w:r>
    </w:p>
    <w:p w14:paraId="280CD3A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4.2.3目约定的责任。</w:t>
      </w:r>
    </w:p>
    <w:p w14:paraId="483BB21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6.3.5 因不可抗力致使本合同部分或全部不能履行时，一方应立即通知另一方，可暂停或解除本合同。</w:t>
      </w:r>
    </w:p>
    <w:p w14:paraId="2C270EF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6.3.6 本合同解除后，本合同约定的有关结算、清理、争议解决方式的条件仍然有效。</w:t>
      </w:r>
    </w:p>
    <w:p w14:paraId="54BE5EF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92" w:name="_Toc12239"/>
      <w:bookmarkStart w:id="193" w:name="_Toc14952"/>
      <w:bookmarkStart w:id="194" w:name="_Toc20646"/>
      <w:r>
        <w:rPr>
          <w:rFonts w:hint="eastAsia" w:ascii="宋体" w:hAnsi="宋体" w:eastAsia="宋体" w:cs="宋体"/>
          <w:color w:val="000000" w:themeColor="text1"/>
          <w:kern w:val="0"/>
          <w:sz w:val="24"/>
          <w:highlight w:val="none"/>
          <w:lang w:val="zh-CN" w:eastAsia="zh-CN"/>
          <w14:textFill>
            <w14:solidFill>
              <w14:schemeClr w14:val="tx1"/>
            </w14:solidFill>
          </w14:textFill>
        </w:rPr>
        <w:t>6.4 终止</w:t>
      </w:r>
      <w:bookmarkEnd w:id="192"/>
      <w:bookmarkEnd w:id="193"/>
      <w:bookmarkEnd w:id="194"/>
    </w:p>
    <w:p w14:paraId="690D360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以下条件全部满足时，本合同即告终止：</w:t>
      </w:r>
    </w:p>
    <w:p w14:paraId="078E135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（1）监理人完成本合同约定的全部工作；</w:t>
      </w:r>
    </w:p>
    <w:p w14:paraId="0436610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（2）委托人与监理人结清并支付全部酬金。</w:t>
      </w:r>
    </w:p>
    <w:p w14:paraId="00AF3D1A">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7. 争议解决</w:t>
      </w:r>
    </w:p>
    <w:p w14:paraId="0F15550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95" w:name="_Toc30247"/>
      <w:bookmarkStart w:id="196" w:name="_Toc28417"/>
      <w:bookmarkStart w:id="197" w:name="_Toc1230"/>
      <w:r>
        <w:rPr>
          <w:rFonts w:hint="eastAsia" w:ascii="宋体" w:hAnsi="宋体" w:eastAsia="宋体" w:cs="宋体"/>
          <w:color w:val="000000" w:themeColor="text1"/>
          <w:kern w:val="0"/>
          <w:sz w:val="24"/>
          <w:highlight w:val="none"/>
          <w:lang w:val="zh-CN" w:eastAsia="zh-CN"/>
          <w14:textFill>
            <w14:solidFill>
              <w14:schemeClr w14:val="tx1"/>
            </w14:solidFill>
          </w14:textFill>
        </w:rPr>
        <w:t>7.1 协商</w:t>
      </w:r>
      <w:bookmarkEnd w:id="195"/>
      <w:bookmarkEnd w:id="196"/>
      <w:bookmarkEnd w:id="197"/>
    </w:p>
    <w:p w14:paraId="539CD7D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双方应本着诚信原则协商解决彼此间的争议。</w:t>
      </w:r>
    </w:p>
    <w:p w14:paraId="113CA94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98" w:name="_Toc17958"/>
      <w:bookmarkStart w:id="199" w:name="_Toc15685"/>
      <w:bookmarkStart w:id="200" w:name="_Toc21833"/>
      <w:r>
        <w:rPr>
          <w:rFonts w:hint="eastAsia" w:ascii="宋体" w:hAnsi="宋体" w:eastAsia="宋体" w:cs="宋体"/>
          <w:color w:val="000000" w:themeColor="text1"/>
          <w:kern w:val="0"/>
          <w:sz w:val="24"/>
          <w:highlight w:val="none"/>
          <w:lang w:val="zh-CN" w:eastAsia="zh-CN"/>
          <w14:textFill>
            <w14:solidFill>
              <w14:schemeClr w14:val="tx1"/>
            </w14:solidFill>
          </w14:textFill>
        </w:rPr>
        <w:t>7.2 调解</w:t>
      </w:r>
      <w:bookmarkEnd w:id="198"/>
      <w:bookmarkEnd w:id="199"/>
      <w:bookmarkEnd w:id="200"/>
    </w:p>
    <w:p w14:paraId="004C2E1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如果双方不能在14天内或双方商定的其他时间内解决本合同争议，可以将其提交给 行政主管部门 进行调解。</w:t>
      </w:r>
    </w:p>
    <w:p w14:paraId="60C1D41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201" w:name="_Toc18545"/>
      <w:bookmarkStart w:id="202" w:name="_Toc27051"/>
      <w:bookmarkStart w:id="203" w:name="_Toc2607"/>
      <w:r>
        <w:rPr>
          <w:rFonts w:hint="eastAsia" w:ascii="宋体" w:hAnsi="宋体" w:eastAsia="宋体" w:cs="宋体"/>
          <w:color w:val="000000" w:themeColor="text1"/>
          <w:kern w:val="0"/>
          <w:sz w:val="24"/>
          <w:highlight w:val="none"/>
          <w:lang w:val="zh-CN" w:eastAsia="zh-CN"/>
          <w14:textFill>
            <w14:solidFill>
              <w14:schemeClr w14:val="tx1"/>
            </w14:solidFill>
          </w14:textFill>
        </w:rPr>
        <w:t>7.3 仲裁或诉讼</w:t>
      </w:r>
      <w:bookmarkEnd w:id="201"/>
      <w:bookmarkEnd w:id="202"/>
      <w:bookmarkEnd w:id="203"/>
    </w:p>
    <w:p w14:paraId="7091220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双方均有权不经调解直接向专用条件约定的仲裁机构申请仲裁或向有管辖权的人民法院提起诉讼。</w:t>
      </w:r>
    </w:p>
    <w:p w14:paraId="395B661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本合同争议的最终解决方式为下列第</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highlight w:val="none"/>
          <w:lang w:val="zh-CN" w:eastAsia="zh-CN"/>
          <w14:textFill>
            <w14:solidFill>
              <w14:schemeClr w14:val="tx1"/>
            </w14:solidFill>
          </w14:textFill>
        </w:rPr>
        <w:t>种方式：</w:t>
      </w:r>
    </w:p>
    <w:p w14:paraId="40390C6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（1）提请</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eastAsia="zh-CN"/>
          <w14:textFill>
            <w14:solidFill>
              <w14:schemeClr w14:val="tx1"/>
            </w14:solidFill>
          </w14:textFill>
        </w:rPr>
        <w:t>仲裁委员会进行仲裁。</w:t>
      </w:r>
    </w:p>
    <w:p w14:paraId="69EF26F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（2）向</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翁源县</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eastAsia="zh-CN"/>
          <w14:textFill>
            <w14:solidFill>
              <w14:schemeClr w14:val="tx1"/>
            </w14:solidFill>
          </w14:textFill>
        </w:rPr>
        <w:t>人民法院提起诉讼。</w:t>
      </w:r>
    </w:p>
    <w:p w14:paraId="707E2BF8">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8. 其他</w:t>
      </w:r>
    </w:p>
    <w:p w14:paraId="114209D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8.</w:t>
      </w: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检测费用</w:t>
      </w:r>
    </w:p>
    <w:p w14:paraId="43F423F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委托人应在检测工作完成后</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w:t>
      </w:r>
      <w:r>
        <w:rPr>
          <w:rFonts w:hint="eastAsia" w:ascii="宋体" w:hAnsi="宋体" w:eastAsia="宋体" w:cs="宋体"/>
          <w:color w:val="000000" w:themeColor="text1"/>
          <w:kern w:val="0"/>
          <w:sz w:val="24"/>
          <w:highlight w:val="none"/>
          <w:lang w:val="zh-CN" w:eastAsia="zh-CN"/>
          <w14:textFill>
            <w14:solidFill>
              <w14:schemeClr w14:val="tx1"/>
            </w14:solidFill>
          </w14:textFill>
        </w:rPr>
        <w:t>天内支付检测费用。</w:t>
      </w:r>
    </w:p>
    <w:p w14:paraId="23775EC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8.</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咨询费用</w:t>
      </w:r>
    </w:p>
    <w:p w14:paraId="17076C2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委托人应在咨询工作完成后</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eastAsia="zh-CN"/>
          <w14:textFill>
            <w14:solidFill>
              <w14:schemeClr w14:val="tx1"/>
            </w14:solidFill>
          </w14:textFill>
        </w:rPr>
        <w:t>天内支付咨询费用。</w:t>
      </w:r>
    </w:p>
    <w:p w14:paraId="21CC876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8.</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奖励</w:t>
      </w:r>
    </w:p>
    <w:p w14:paraId="794FB2E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合理化建议的奖励金额按下列方法确定为：</w:t>
      </w:r>
    </w:p>
    <w:p w14:paraId="617EE58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奖励金额＝</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工程投资节省额×奖励金额的比</w:t>
      </w:r>
      <w:r>
        <w:rPr>
          <w:rFonts w:hint="eastAsia" w:ascii="宋体" w:hAnsi="宋体" w:eastAsia="宋体" w:cs="宋体"/>
          <w:color w:val="000000" w:themeColor="text1"/>
          <w:kern w:val="0"/>
          <w:sz w:val="24"/>
          <w:highlight w:val="none"/>
          <w:lang w:val="zh-CN" w:eastAsia="zh-CN"/>
          <w14:textFill>
            <w14:solidFill>
              <w14:schemeClr w14:val="tx1"/>
            </w14:solidFill>
          </w14:textFill>
        </w:rPr>
        <w:t>率；</w:t>
      </w:r>
    </w:p>
    <w:p w14:paraId="348E0E7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奖励金额的比率为</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w:t>
      </w:r>
      <w:r>
        <w:rPr>
          <w:rFonts w:hint="eastAsia" w:ascii="宋体" w:hAnsi="宋体" w:eastAsia="宋体" w:cs="宋体"/>
          <w:color w:val="000000" w:themeColor="text1"/>
          <w:kern w:val="0"/>
          <w:sz w:val="24"/>
          <w:highlight w:val="none"/>
          <w:lang w:val="zh-CN" w:eastAsia="zh-CN"/>
          <w14:textFill>
            <w14:solidFill>
              <w14:schemeClr w14:val="tx1"/>
            </w14:solidFill>
          </w14:textFill>
        </w:rPr>
        <w:t>％。</w:t>
      </w:r>
    </w:p>
    <w:p w14:paraId="5F67F2D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8.</w:t>
      </w: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保密</w:t>
      </w:r>
    </w:p>
    <w:p w14:paraId="63BBB9D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委托人申明的保密事项和期限</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                 </w:t>
      </w:r>
      <w:r>
        <w:rPr>
          <w:rFonts w:hint="eastAsia" w:ascii="宋体" w:hAnsi="宋体" w:eastAsia="宋体" w:cs="宋体"/>
          <w:color w:val="000000" w:themeColor="text1"/>
          <w:kern w:val="0"/>
          <w:sz w:val="24"/>
          <w:highlight w:val="none"/>
          <w:lang w:val="zh-CN" w:eastAsia="zh-CN"/>
          <w14:textFill>
            <w14:solidFill>
              <w14:schemeClr w14:val="tx1"/>
            </w14:solidFill>
          </w14:textFill>
        </w:rPr>
        <w:t>。</w:t>
      </w:r>
    </w:p>
    <w:p w14:paraId="34DC411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监理人申明的保密事项和期限</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w:t>
      </w:r>
    </w:p>
    <w:p w14:paraId="35561B5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第三方申明的保密事项和期限</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                          </w:t>
      </w:r>
      <w:r>
        <w:rPr>
          <w:rFonts w:hint="eastAsia" w:ascii="宋体" w:hAnsi="宋体" w:eastAsia="宋体" w:cs="宋体"/>
          <w:color w:val="000000" w:themeColor="text1"/>
          <w:kern w:val="0"/>
          <w:sz w:val="24"/>
          <w:highlight w:val="none"/>
          <w:lang w:val="zh-CN" w:eastAsia="zh-CN"/>
          <w14:textFill>
            <w14:solidFill>
              <w14:schemeClr w14:val="tx1"/>
            </w14:solidFill>
          </w14:textFill>
        </w:rPr>
        <w:t>。</w:t>
      </w:r>
    </w:p>
    <w:p w14:paraId="1B825AB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8.</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kern w:val="0"/>
          <w:sz w:val="24"/>
          <w:highlight w:val="none"/>
          <w:lang w:val="zh-CN" w:eastAsia="zh-CN"/>
          <w14:textFill>
            <w14:solidFill>
              <w14:schemeClr w14:val="tx1"/>
            </w14:solidFill>
          </w14:textFill>
        </w:rPr>
        <w:t>著作权</w:t>
      </w:r>
    </w:p>
    <w:p w14:paraId="58AD93F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监理人在本合同履行期间及本合同终止后两年内出版涉及本工程的有关监理与相关服务的资料的限制条件</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p w14:paraId="41C9A36B">
      <w:pPr>
        <w:keepNext w:val="0"/>
        <w:keepLines w:val="0"/>
        <w:pageBreakBefore w:val="0"/>
        <w:overflowPunct/>
        <w:topLinePunct w:val="0"/>
        <w:autoSpaceDE w:val="0"/>
        <w:autoSpaceDN/>
        <w:bidi w:val="0"/>
        <w:snapToGrid w:val="0"/>
        <w:spacing w:line="380" w:lineRule="exact"/>
        <w:rPr>
          <w:rFonts w:hint="eastAsia" w:ascii="宋体" w:hAnsi="宋体" w:eastAsia="宋体" w:cs="宋体"/>
          <w:b/>
          <w:bCs/>
          <w:color w:val="000000" w:themeColor="text1"/>
          <w:kern w:val="0"/>
          <w:sz w:val="24"/>
          <w:highlight w:val="none"/>
          <w:lang w:val="zh-CN"/>
          <w14:textFill>
            <w14:solidFill>
              <w14:schemeClr w14:val="tx1"/>
            </w14:solidFill>
          </w14:textFill>
        </w:rPr>
      </w:pPr>
      <w:r>
        <w:rPr>
          <w:rFonts w:hint="eastAsia" w:ascii="宋体" w:hAnsi="宋体" w:eastAsia="宋体" w:cs="宋体"/>
          <w:b/>
          <w:bCs/>
          <w:color w:val="000000" w:themeColor="text1"/>
          <w:kern w:val="0"/>
          <w:sz w:val="24"/>
          <w:highlight w:val="none"/>
          <w:lang w:val="zh-CN"/>
          <w14:textFill>
            <w14:solidFill>
              <w14:schemeClr w14:val="tx1"/>
            </w14:solidFill>
          </w14:textFill>
        </w:rPr>
        <w:t>9. 补充条款</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eastAsia="宋体" w:cs="宋体"/>
          <w:b/>
          <w:bCs/>
          <w:color w:val="000000" w:themeColor="text1"/>
          <w:kern w:val="0"/>
          <w:sz w:val="24"/>
          <w:highlight w:val="none"/>
          <w:lang w:val="zh-CN"/>
          <w14:textFill>
            <w14:solidFill>
              <w14:schemeClr w14:val="tx1"/>
            </w14:solidFill>
          </w14:textFill>
        </w:rPr>
        <w:t>监理人违约及违约责任条款</w:t>
      </w:r>
      <w:r>
        <w:rPr>
          <w:rFonts w:hint="eastAsia" w:ascii="宋体" w:hAnsi="宋体" w:cs="宋体"/>
          <w:b/>
          <w:bCs/>
          <w:color w:val="000000" w:themeColor="text1"/>
          <w:kern w:val="0"/>
          <w:sz w:val="24"/>
          <w:highlight w:val="none"/>
          <w:lang w:val="zh-CN"/>
          <w14:textFill>
            <w14:solidFill>
              <w14:schemeClr w14:val="tx1"/>
            </w14:solidFill>
          </w14:textFill>
        </w:rPr>
        <w:t>）</w:t>
      </w:r>
    </w:p>
    <w:p w14:paraId="458110A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9.1履约保证金</w:t>
      </w:r>
    </w:p>
    <w:p w14:paraId="71EB9B2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（1）在监理过程中，如监理人由于自身的资金、技术、质量、非不可抗力等原因给</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造成经济损失时，</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扣除相应履约保证金。</w:t>
      </w:r>
    </w:p>
    <w:p w14:paraId="16C8B58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（2）有争议时各方协商解决或由当地法院裁判，法律有规定按规定执行。</w:t>
      </w:r>
    </w:p>
    <w:p w14:paraId="7162C53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（3）工程竣工验收合格后30日历天内委托人退回剩余履约保证金（不计算利息）。</w:t>
      </w:r>
    </w:p>
    <w:p w14:paraId="6BD586E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9.2工程质量、造价、进度控制及安全生产管理</w:t>
      </w:r>
    </w:p>
    <w:p w14:paraId="322D3C2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9.2.1工程质量控制</w:t>
      </w:r>
    </w:p>
    <w:p w14:paraId="573A64E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9.2.1.1工程开工前，监理人应审查施工单位现场的质量管理组织机构、管理制度及专职管理人员和特种作业人员的资格。</w:t>
      </w:r>
    </w:p>
    <w:p w14:paraId="0F931AE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9.2.1.2总监理工程师应组织专业监理工程师审查施工单位报审的施工方案，符合要求后应予以签认。施工方案审查应包括下列基本内容：</w:t>
      </w:r>
    </w:p>
    <w:p w14:paraId="4BF7FAC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（1）编审程序应符合相关规定。</w:t>
      </w:r>
    </w:p>
    <w:p w14:paraId="7CBEFE0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（2）工程质量保证措施应符合有关标准。</w:t>
      </w:r>
    </w:p>
    <w:p w14:paraId="0E02EF8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9.2.1.3施工方案报审表应按相应规范的要求填写。</w:t>
      </w:r>
    </w:p>
    <w:p w14:paraId="09856BD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9.2.1.4专业监理工程师应审查施工单位报送的新材料、新工艺、新技术、新设备的质量认证材料和相关验收标准的适用性，必要时，应要求施工单位组织专题论证，审查合格后报总监理工程师签认。</w:t>
      </w:r>
    </w:p>
    <w:p w14:paraId="5D58CD0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9.2.1.5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51E6EFC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（1）施工单位测量人员的资格证书及测量设备检定证书。</w:t>
      </w:r>
    </w:p>
    <w:p w14:paraId="68BBA4B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（2）施工平面控制网、高程控制网和临时水准点的测量成果及控制桩的保护措施。</w:t>
      </w:r>
    </w:p>
    <w:p w14:paraId="24F401D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9.2.1.6施工控制测量成果报验表应按相应规范的要求填写。</w:t>
      </w:r>
    </w:p>
    <w:p w14:paraId="3B16EEC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9.2.1.7专业监理工程师应检查施工单位为工程提供服务的试验室。</w:t>
      </w:r>
    </w:p>
    <w:p w14:paraId="6E4CCB0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试验室的检查应包括下列内容：</w:t>
      </w:r>
    </w:p>
    <w:p w14:paraId="26F7F46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（1）试验室的资质等级及试验范围。</w:t>
      </w:r>
    </w:p>
    <w:p w14:paraId="5559FA3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（2）法定计量部门对试验设备出具的计量检定证明。</w:t>
      </w:r>
    </w:p>
    <w:p w14:paraId="6C018ED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（3）试验室管理制度。</w:t>
      </w:r>
    </w:p>
    <w:p w14:paraId="5D5B33D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（4）试验人员资格证书。</w:t>
      </w:r>
    </w:p>
    <w:p w14:paraId="6CA1E43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9.2.1.8施工单位的试验室报审表应按相应规范的要求填写。</w:t>
      </w:r>
    </w:p>
    <w:p w14:paraId="6B3562E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9.2.1.9项目监理机人应审查施工单位报送的用于工程的材料、构配件、设备的质量证明文件，并应按有关规定、建设工程监理合同约定，对用于工程的材料进行见证取样、平行检验。监理人对已进场经检验不合格的工程材料、构配件、设备，应要求施工单位限期将其撤出施工现场。工程材料、构配件、设备报审表应按相应规范的要求填写。</w:t>
      </w:r>
    </w:p>
    <w:p w14:paraId="159D9D5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9.2.1.10专业监理工程师应审查施工单位定期提交影响工程质量的计量设备的检查和检定报告。</w:t>
      </w:r>
    </w:p>
    <w:p w14:paraId="51F087C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9.2.1.11监理人应根据工程特点和施工单位报送的施工组织设计，确定旁站的关键部位、关键工序，安排监理人员进行旁站，并应及时记录旁站情况。旁站记录应按相应规范的要求填写。</w:t>
      </w:r>
    </w:p>
    <w:p w14:paraId="537192D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9.2.1.12监理人应安排监理人员对工程施工质量进行巡视。巡视应包括下列主要内容：</w:t>
      </w:r>
    </w:p>
    <w:p w14:paraId="4E756B8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（1）施工单位是否按工程设计文件、工程建设标准和批准的施工组织设计、(专项)施工方案施工。</w:t>
      </w:r>
    </w:p>
    <w:p w14:paraId="07DEEDD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（2）使用的工程材料、构配件和设备是否合格。</w:t>
      </w:r>
    </w:p>
    <w:p w14:paraId="722AEBD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（3）施工现场管理人员，特别是施工质量管理人员是否到位。</w:t>
      </w:r>
    </w:p>
    <w:p w14:paraId="0260036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（4）特种作业人员是否持证上岗。</w:t>
      </w:r>
    </w:p>
    <w:p w14:paraId="0B53F7A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9.2.1.13监理人应根据工程特点、专业要求，以及建设工程监理合同约定，对施工质量进行平行检验。</w:t>
      </w:r>
    </w:p>
    <w:p w14:paraId="431758A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9.2.1.14监理人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监理人应要求施工单位对该隐蔽部位进行钻孔探测、剥离或其他方法进行重新检验。隐蔽工程、检验批、分项工程报验表及分部工程报验表应按相应规范的要求填写。</w:t>
      </w:r>
    </w:p>
    <w:p w14:paraId="0C092C1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9.2.1.15监理人发现施工存在质量问题的，或施工单位采用不适当的施工工艺，或施工不当，造成工程质量不合格的，应及时签发监理通知单，要求施工单位整改。整改完毕后，监理人应根据施工单位报送的监理通知回复单对整改情况进行复查，提出复查意见。监理通知单及监理通知回复单应按相应规范的要求填写。</w:t>
      </w:r>
    </w:p>
    <w:p w14:paraId="0569D99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9.2.1.16对需要返工处理或加固补强的质量缺陷，监理人应要求施工单位报送经设计等相关单位认可的处理方案，并应对质量缺陷的处理过程进行跟踪检查，同时应对处理结果进行验收。</w:t>
      </w:r>
    </w:p>
    <w:p w14:paraId="7661C04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9.2.1.17对需要返工处理或加固补强的质量事故，监理人应要求施工单位报送质量事故调查报告和经设计等相关单位认可的处理方案，并应对质量事故的处理过程进行跟踪检查，同时应对处理结果进行验收。监理人应及时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提交质量事故书面报告，并应将完整的质量事故处理记录整理归档。</w:t>
      </w:r>
    </w:p>
    <w:p w14:paraId="2D3D602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9.2.1.18监理人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534F98E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9.2.1.19工程竣工预验收合格后，监理人应编写工程质量评估报告，并应经总监理工程师和工程监理单位技术负责人审核签字后报委托人。</w:t>
      </w:r>
    </w:p>
    <w:p w14:paraId="1ED6F24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9.2.1.20监理人应参加由</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组织的竣工验收，对验收中提出的整改问题，应督促施工单位及时整改。工程质量符合要求的，总监理工程师应在工程竣工验收报告中签署意见。</w:t>
      </w:r>
    </w:p>
    <w:p w14:paraId="303C4FB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9.2.1.21保修期满后，监理人应参与保修期满质量复检，对复检中发现的问题提出整改意见并督促施工单位整改；整改合格后，总监理工程师在复检报告中签署意见。</w:t>
      </w:r>
    </w:p>
    <w:p w14:paraId="07357E2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9.2.1.22监理人受</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的委托对工程项目实施进行监督与管理，必须按照国家和广东省的有关施工技术规范及现行标准，保证工程达到合格标准，若因监理人原因，工程在竣工验收或分部工程验收时没有达到此标准，监理人按监理按合同价款的3%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返纳质量违约金，并无条件免费监理服务至工程质量达到合格止。</w:t>
      </w:r>
    </w:p>
    <w:p w14:paraId="3F71FBF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9.2.1.23对于重点、难点及专业性较强的工程项目，在相应工程施工开始一个月前编制完成《监理实施细则》提交</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审核，监理实施细则应有预控措施。</w:t>
      </w:r>
    </w:p>
    <w:p w14:paraId="4631207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9.2.1.24在施工过程中，当施工单位对已批准的施工组织设计进行调整、补充或变动时，提出专业意见并报</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。要求施工单位报送重点部位、关键工序的施工工艺和确保工程质量的措施，审查同意后签认。定期检查施工单位直接影响工程质量的工程计量设备的技术情况。</w:t>
      </w:r>
    </w:p>
    <w:p w14:paraId="22A005F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9.2.1.25对施工过程中出现的质量缺陷，及时下达监理工程师通知，要求施工单位整改，并检查整改结果。</w:t>
      </w:r>
    </w:p>
    <w:p w14:paraId="262DAF8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9.2.1.26发现施工存在重大质量隐患，可能造成质量事故或已经造成质量事故，及时下达工程暂停令，要求施工单位停工整改。整改完毕并经复查，符合规定要求后，及时签署工程复工令。总监理工程师下达工程暂停令和签署工程复工令，应事先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报告。</w:t>
      </w:r>
    </w:p>
    <w:p w14:paraId="708EC0D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9.2.1.27对需要返工处理或加固补强的质量事故，责令施工单位报送质量事故调查报告和经设计单位等相关单位认可的处理方案，对质量事故的处理过程和处理结果进行跟踪检查和验收。</w:t>
      </w:r>
    </w:p>
    <w:p w14:paraId="43D0C82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9.2.1.28督促施工单位及时整理工程技术资料办理各项验收，通过监督管理使实体工程、工程技术资料均能达到验收要求，按计划完成各项验收工作。</w:t>
      </w:r>
    </w:p>
    <w:p w14:paraId="03263DA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9.2.2工程造价控制</w:t>
      </w:r>
    </w:p>
    <w:p w14:paraId="57BD439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9.2.2.1监理人应按下列程序进行工程计量和付款签证：</w:t>
      </w:r>
    </w:p>
    <w:p w14:paraId="65BD5FB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（1）专业监理工程师对施工单位在工程款支付报审表中提交的工程量和支付金额进行复核，确定实际完成的工程量，提出到期应支付给施工单位的金额，并提出相应的支持性材料。</w:t>
      </w:r>
    </w:p>
    <w:p w14:paraId="4F84FA1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（2）总监理工程师对专业监理工程师的审查意见进行审核，签认后报委托人审批。</w:t>
      </w:r>
    </w:p>
    <w:p w14:paraId="745C3E5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（3）总监理工程师根据委托人的审批意见，向施工单位签发工程款支付证书。</w:t>
      </w:r>
    </w:p>
    <w:p w14:paraId="50E51D7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工程款支付报审表及工程款支付证书应按相应规范的要求填写。</w:t>
      </w:r>
    </w:p>
    <w:p w14:paraId="423591B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9.2.2.2监理人应编制月完成工程量统计表，对实际完成量与计划完成量进行比较分析，发现偏差的，应提出调整建议，并应在监理月报中向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报告。</w:t>
      </w:r>
    </w:p>
    <w:p w14:paraId="0379BA7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9.2.2.3监理人应按下列程序进行竣工结算款审核：</w:t>
      </w:r>
    </w:p>
    <w:p w14:paraId="7DD08FE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（1）专业监理工程师审查施工单位提交的竣工结算款支付申请，提出审查意见。</w:t>
      </w:r>
    </w:p>
    <w:p w14:paraId="7B1D0EB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（2）总监理工程师对专业监理工程师的审查意见进行审核，签认后报委托人审批，同时抄送施工单位，并就工程竣工结算事宜与</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、施工单位协商；达成一致意见的，根据</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审批意见向施工单位签发竣工结算款支付证书；不能达成一致意见的，应按施工合同约定处理。</w:t>
      </w:r>
    </w:p>
    <w:p w14:paraId="0D599C2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工程竣工结算款支付报审表及竣工结算款支付证书应按相应规范的要求填写。</w:t>
      </w:r>
    </w:p>
    <w:p w14:paraId="772989F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9.2.2.4复核工程现场签证并签署原始凭证，对各种现场签证的真实性负责。</w:t>
      </w:r>
    </w:p>
    <w:p w14:paraId="48D1868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9.2.2.5每月定期审核工程形象进度（含甲供物料），并将有关资料提交</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指定的造价咨询公司进行审核计量。</w:t>
      </w:r>
    </w:p>
    <w:p w14:paraId="60F2461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9.2.2.6督促施工单位按施工合同要求在规定时间内提交工程结算或分部结算资料，并在资料齐备后7天内完成工程结算完整性的审核工作，提交</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指定的造价咨询公司进行审核。</w:t>
      </w:r>
    </w:p>
    <w:p w14:paraId="6E7D100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监理人应按上述要求和有关规定控制本项目的工程造价，若由于监理人的过失造成工程造价提高，</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按所提高造价额的50%从监理服务费中扣除，扣除累计不超过监理服务费的70%。</w:t>
      </w:r>
    </w:p>
    <w:p w14:paraId="640E489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9.2.3工程进度控制</w:t>
      </w:r>
    </w:p>
    <w:p w14:paraId="7F6EF50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9.2.3.1监理人应审查施工单位报审的施工总进度计划和阶段性施工进度计划，提出审查意见，并应由总监理工程师审核后报</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p w14:paraId="04B2EAE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施工进度计划审查应包括下列基本内容：</w:t>
      </w:r>
    </w:p>
    <w:p w14:paraId="0712F53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（1）施工进度计划应符合施工合同中工期的约定。</w:t>
      </w:r>
    </w:p>
    <w:p w14:paraId="5E9180B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（2）施工进度计划中主要工程项目无遗漏，应满足分批投入试运、分批动用的需要，阶段性施工进度计划应满足总进度控制目标的要求。</w:t>
      </w:r>
    </w:p>
    <w:p w14:paraId="66ECB37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（3）施工顺序的安排应符合施工工艺要求。</w:t>
      </w:r>
    </w:p>
    <w:p w14:paraId="5BD599A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（4）施工人员、工程材料、施工机械等资源供应计划应满足施工进度计划的需要。</w:t>
      </w:r>
    </w:p>
    <w:p w14:paraId="283CCA6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（5）施工进度计划应符合</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提供的资金、施工图纸、施工场地、物资等施工条件。</w:t>
      </w:r>
    </w:p>
    <w:p w14:paraId="0CB89FA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施工进度计划报审表应按相应规范的要求填写。</w:t>
      </w:r>
    </w:p>
    <w:p w14:paraId="1D17714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9.2.3.2监理人应检查施工进度计划的实施情况，发现实际进度严重滞后于计划进度且影响合同工期时，应签发监理通知单，要求施工单位采取调整措施加快施工进度。总监理工程师应向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报告工期延误风险。</w:t>
      </w:r>
    </w:p>
    <w:p w14:paraId="4E41359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9.2.3.3监理人应比较分析工程施工实际进度与计划进度，预测实际进度对工程总工期的影响，并应在监理月报中向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报告工程实际进展情况。</w:t>
      </w:r>
    </w:p>
    <w:p w14:paraId="0F02EA3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9.2.3.4审批施工单位报送的施工总进度计划和年、季、月度施工进度计划，对进度计划实施情况检查、分析。</w:t>
      </w:r>
    </w:p>
    <w:p w14:paraId="38D9427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9.2.3.5每周检查和书面汇报工程实际进展情况，审核施工单位进度报表，并提出监理建议，发现进度滞后应向委托人提交进度滞后原因分析报告，制定具体处理方案。</w:t>
      </w:r>
    </w:p>
    <w:p w14:paraId="72F22CD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9.2.3.6当实际进度符合计划进度时，要求施工单位编制下一期进度计划；当实际进度滞后于计划进度时，书面通知施工单位采取纠偏措施并监督实施。</w:t>
      </w:r>
    </w:p>
    <w:p w14:paraId="3C77DA0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9.2.3.7每天检查进度计划的实施，并记录实际进度及其相关情况。当发现实际进度比计划滞后7天时，需向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提交进度滞后分析报告，提出处理意见，并签发监理工程师通知单指令施工单位采取调整措施，审核施工单位措施提出合理建议，并督促施工单位落实纠偏措施。当实际进度严重滞后于计划进度时，与</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商定采取进一步措施。</w:t>
      </w:r>
    </w:p>
    <w:p w14:paraId="47059FB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9.2.3.8在监理月报中向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报告工程进度和所采取进度控制措施的执行情况，并提出预防由</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原因导致的工程延期及其相关费用索赔的建议。</w:t>
      </w:r>
    </w:p>
    <w:p w14:paraId="2FF8BE4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9.2.3.9定期检查施工单位是否按照施工合同和施工进度计划的要求组织配置足够的人员、材料和设备，并就检查情况提出相应措施加以落实。</w:t>
      </w:r>
    </w:p>
    <w:p w14:paraId="532B9A0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9.2.4工程安全生产管理</w:t>
      </w:r>
    </w:p>
    <w:p w14:paraId="64FF9F4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9.2.4.1监理人应根据法律法规、工程建设强制性标准，履行建设工程安全生产管理的监理职责，并应将安全生产管理的监理工作内容、方法和措施纳入监理规划及监理实施细则。</w:t>
      </w:r>
    </w:p>
    <w:p w14:paraId="27398CC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9.2.4.2监理人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66CBD6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9.2.4.3监理人应审查施工单位报审的专项施工方案，符合要求的，应由总监理工程师签认后报委托人。超过一定规模的危险性较大的分部分项工程的专项施工方案，应检查施工单位组织专家进行论证、审查的情况，以及是否附具安全验算结果。监理人应要求施工单位按已批准的专项施工方案组织施工。专项施工方案需要调整时，施工单位应按程序重新提交监理人审查。</w:t>
      </w:r>
    </w:p>
    <w:p w14:paraId="061BA98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专项施工方案审查应包括下列基本内容：</w:t>
      </w:r>
    </w:p>
    <w:p w14:paraId="110D9CD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（1）编审程序应符合相关规定。</w:t>
      </w:r>
    </w:p>
    <w:p w14:paraId="67BD650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（2）安全技术措施应符合工程建设强制性标准。</w:t>
      </w:r>
    </w:p>
    <w:p w14:paraId="40864AE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专项施工方案报审表应按相应规范的要求填写。</w:t>
      </w:r>
    </w:p>
    <w:p w14:paraId="54C09D2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9.2.4.4监理人应巡视检查危险性较大的分部分项工程专项施工方案实施情况。发现未按专项施工方案实施时，应签发监理通知单，要求施工单位按专项施工方案实施。</w:t>
      </w:r>
    </w:p>
    <w:p w14:paraId="16A078D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9.2.4.5监理人在实施监理过程中，发现工程存在安全事故隐患时，应签发监理通知单，要求施工单位整改；情况严重时，应签发工程暂停令，并应及时报告委托人。施工单位拒不整改或不停止施工时，监理人应及时向有关主管部门报送监理报告：监理报告应按相应规范的要求填写。</w:t>
      </w:r>
    </w:p>
    <w:p w14:paraId="15D4B35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9.2.4.6监理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和《广东省安全生产委员会办公室广东省住房和城乡建设厅关于&lt;严格落实危险性较大的分部分项工程“六不施工”要求的通知&gt;》（粤安办〔2020〕151号）等有关危险性较大的分部分项工程的法规规定通知，履行建设工程安全生产管理的监理职责。</w:t>
      </w:r>
    </w:p>
    <w:p w14:paraId="7AC68DA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9.2.4.7审核施工企业应急救援预案和安全防护、安全文明施工措施费用使用计划情况。并按规定对安全防护、文明施工措施费用的列支和使用实施监理；</w:t>
      </w:r>
    </w:p>
    <w:p w14:paraId="4A99A58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9.2.4.8在实施监理过程中，发现存在安全事故隐患的，应当要求施工单位整改，情况严重的，应当要求施工单位暂时停止施工，并及时报告</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。施工单位拒不整改或不停止施工的应当及时向有关主管部门报告。</w:t>
      </w:r>
    </w:p>
    <w:p w14:paraId="78A168D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9.2.4.9按照省、市及施工合同中对文明施工要求的有关规定，定期组织工地范围内文明施工情况的检查，对不符合要求的施工单位采取措施督促其进行整改，并将检查、整改的情况向委托方报告。</w:t>
      </w:r>
    </w:p>
    <w:p w14:paraId="5599739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9.2.4.10每月组织定期的安全检查，并将检查情况向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报告。明确整改完成时间，并督促施工单位按期完成整改工作。</w:t>
      </w:r>
    </w:p>
    <w:p w14:paraId="2E8A03C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9.2.4.11按照法律、法规和工程建设强制性标准实施监理，并对建设工程安全生产承担监理责任。</w:t>
      </w:r>
    </w:p>
    <w:p w14:paraId="3FDF941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9.3监理人违约及违约责任</w:t>
      </w:r>
    </w:p>
    <w:p w14:paraId="7540AF2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通常情况下，监理人不能按合同履行其义务和职责，因工作过失或渎职而造成了工程的经济和工期损失，为监理人违约，监理人应当向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监理人违约分为监理不良行为、监理过失、监理渎职及监理不达标四大情形造成的违约，这五种违约情形及违约责任的承担作如下规定：</w:t>
      </w:r>
    </w:p>
    <w:p w14:paraId="6337F33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9.3.1监理不良行为违约</w:t>
      </w:r>
    </w:p>
    <w:p w14:paraId="612B7A1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9.3.1.1监理不良行为违约的认定</w:t>
      </w:r>
    </w:p>
    <w:p w14:paraId="7FFC9E5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指明的监理人的义务工作，监理人却未能执行或执行不及时；3、</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指出或发现监理人在实施监理行为过程中明显的签证错误、审批错误及指令错误。</w:t>
      </w:r>
    </w:p>
    <w:p w14:paraId="7BE98A2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监理人的不良行为一旦被发现，由</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管理人员在“监理行为记录档案”作记录，无论是否造成损失，即构成监理人违约。若该行为已造成实际损失，按本附件界定的监理过失违约规定处理。</w:t>
      </w:r>
    </w:p>
    <w:p w14:paraId="16838DE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所有监理不良行为违约发生的违约金均从监理人进度款中扣除，监理服务费结算以扣除违约金总数后的金额为准。</w:t>
      </w:r>
    </w:p>
    <w:p w14:paraId="15561FC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9.3.1.2监理不良行为违约的责任承担</w:t>
      </w:r>
    </w:p>
    <w:p w14:paraId="761F582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监理人发生监理不良行为一次，承担一般违约责任一次。本项目对驻场总监实施指纹考勤，指纹考勤每月累计不少于20天，未经</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书面同意，每少1天，视为监理人发生监理不良行为一次，承担一般违约责任一次，按¥3000元/天支付违约金给</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p w14:paraId="297C35E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监理人发生一般违约行为应向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缴纳违约金¥3000元，具体一般违约责任情况如下：</w:t>
      </w:r>
    </w:p>
    <w:p w14:paraId="7A11F9F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9.3.1.2.1本项目对驻场监理人员实施指纹考勤，指纹考勤每月累计不到位天数超过6天的，按¥3000元/人/天支付违约金给</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p w14:paraId="2523EC3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9.3.1.2.2其他监理人员必须按配备要求在现场驻场监理，离开项目现场必须经</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书面同意，如</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发现监理人员非正常离岗，监理人向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每人次交纳违约金¥3000元。监理人员需与报审人员相符一致，如不符支付违约金3000元/次。</w:t>
      </w:r>
    </w:p>
    <w:p w14:paraId="5DB2E03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9.3.1.2.3同一问题未能按时整改，每重复一次监理人向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缴纳违约金¥3000元。</w:t>
      </w:r>
    </w:p>
    <w:p w14:paraId="700A94E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9.3.1.2.4投标人必须充分考虑总监的履职能力和可行性，充分评估总监的身体健康状况及合同约定服务期限，同时符合《广东省住房和城乡建设厅关于建设工程项目招标中标后监督检查办法》的相关规定。</w:t>
      </w:r>
    </w:p>
    <w:p w14:paraId="3971EF2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9.3.1.2.5监理人在施工单位进场前未对相关监理人员进行专项工程交底的（以书面记录为准），向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缴纳违约金¥2000元/次。</w:t>
      </w:r>
    </w:p>
    <w:p w14:paraId="2CDDD46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9.3.1.2.6对施工单位未按图纸或招标文件的规定施工的，监理人未及时发现的，经</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指正属实后，向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缴纳违约金¥2000元/次。监理人对发现施工单位的施工质量不符合要求而未及时发出整改通知，或对发出通知但施工单位未予整改的情况下不采取有效措施的，向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缴纳违约金¥2000元/次。</w:t>
      </w:r>
    </w:p>
    <w:p w14:paraId="4CF5491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9.3.1.2.7对于需要审批的技术文件,不进行审批或不进行认真分析、核对即盲目批准，或没有按已审批的技术文件检查、督促施工单位按技术文件、有关规定进行施工，导致工程出现质量缺陷、安全事故或进度延误，</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因此遭受损失, 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缴纳违约金¥2000元/次。</w:t>
      </w:r>
    </w:p>
    <w:p w14:paraId="7E7C327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9.3.1.2.8没有按规定做好材料见证送检工作，没有做好工程材料、构配件、设备进场审批，</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因此遭受损失，向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缴纳违约金¥2000元/次。</w:t>
      </w:r>
    </w:p>
    <w:p w14:paraId="7429E65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9.3.1.2.9对必须进行检查验收的项目，不进行检查验收或不按照规定方法进行检查验收，</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因此遭受损失，向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缴纳违约金¥2000元/次。</w:t>
      </w:r>
    </w:p>
    <w:p w14:paraId="4964D9A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9.3.1.2.10连续3次检查发现重要工序没有监理人员旁站的；明知工程存在缺陷，仍不采取措施加以处理，放任缺陷存在；或者将明显不合格的工程按照合格进行验收，致使工程留下隐患, </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因此遭受损失的，向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缴纳违约金¥2000元/次。</w:t>
      </w:r>
    </w:p>
    <w:p w14:paraId="69B6761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9.3.1.2.11进度滞后超过7天没有书面分析原因提出处理意见，进度滞后情况发生后没有督促施工单位采取有效措施纠偏致使进度失控，</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因此遭受损失的，向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缴纳违约金¥2000元/次。</w:t>
      </w:r>
    </w:p>
    <w:p w14:paraId="2F499CB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8.3.1.2.12对质监站、安监站等政府有关部门和</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上级部门提出的需整改问题没有督促施工单位落实整改，被政府部门勒令停工，</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因此遭受损失的，向委托人缴纳违约金¥2000元/次。</w:t>
      </w:r>
    </w:p>
    <w:p w14:paraId="11A07DE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9.3.1.2.13没有及时签发验收资料，督促施工单位按要求整理好验收资料，致使无法办理工程验收，工期延误，委托人因此遭受损失的，向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缴纳违约金¥2000元/次。</w:t>
      </w:r>
    </w:p>
    <w:p w14:paraId="7A3BAE0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9.3.1.2.14如因监理人工作不力造成重大工程事故，或管理不力阻碍工程顺利进行，并经委托人5次敦促改善仍未有结果，</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有权提出终止合同。</w:t>
      </w:r>
    </w:p>
    <w:p w14:paraId="03530B0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9.3.1.2.15如监理人拒不配合</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对监理人在合作期间内的阳光合作监督及调查工作的，或者被证实存在隐 瞒信息、提供虚假信息和伪证行为的，</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有权视情节严重程度，对原合同的履行采取暂停支付业务进度款、终止合作、追究经济损失、解除合同等措施，且无需承担任何违约责任。</w:t>
      </w:r>
    </w:p>
    <w:p w14:paraId="6ECEEB0D">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9.3.1.2.16监理人需每天发送监理日志给</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，未按要求发送监理日志的，按¥2000元/天支付违约金给</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p w14:paraId="736FCE5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9.3.2监理过失事件违约</w:t>
      </w:r>
    </w:p>
    <w:p w14:paraId="696BFBA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9.3.2.1监理过失事件违约的认定</w:t>
      </w:r>
    </w:p>
    <w:p w14:paraId="56D235F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工程建设过程中，如发生以下情况：①</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发现勘察（或设计或施工）中存在问题，而监理人未发现的；②监理人发现勘察（或设计或施工）中存在的问题，但未督促勘察（或设计或施工）单位整改或整改不到位的（以监理人发出的整改通知和勘察（或设计或施工）单位回复及监理复查意见为准）；③监理人三次及以上发出整改通知勘察（或设计或施工）单位未能给予响应的，但监理人未能采取果断措施的；以上三种情况一旦</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向监理人发出整改通知，即认定为监理人监理过失事件违约，每发出一份整改通知即认定为监理过失事件违约一次。并由</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管理人员在“监理行为记录档案”作记录。</w:t>
      </w:r>
    </w:p>
    <w:p w14:paraId="112DCA4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9.3.2.2监理过失事件违约的责任承担。</w:t>
      </w:r>
    </w:p>
    <w:p w14:paraId="5206DF2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9.3.2.2.1监理人发生监理过失事件违约一次，承担严重违约责任一次，监理人向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交纳违约金¥5000元。</w:t>
      </w:r>
    </w:p>
    <w:p w14:paraId="2027100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9.3.2.2.2如因监理人的原因而造成的经济损失，按如下规定向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赔偿：</w:t>
      </w:r>
    </w:p>
    <w:p w14:paraId="3CD0446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（1）根据损失额（或工程变更引起增加额）与本工程签订的施工合同金额的比例，按相应比例双倍扣减监理酬金；若增加工程投资比例超过施工合同金额的20%时，</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有权单方解除合同，并要求监理人赔偿</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由此遭受的实际损失中的50%。</w:t>
      </w:r>
    </w:p>
    <w:p w14:paraId="0DA7803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（2）因监理人责任导致工期延误，其中分项工期延误日数占该项总工期的30%时，则</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有权扣除该分项工程监理酬金的60%；分项工期延误日数达到该项总工期的50%时，则</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有权单方解除合同。因监理人责任导致工程竣工拖延的，依据拖延的日数，监理人应每日按监理酬金总额的1%向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支付违约金。由于监理人责任导致工期延误，致使</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要承担赔偿第三方责任的，监理人必须承担赔偿</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由此遭受的实际损失中的50%。</w:t>
      </w:r>
    </w:p>
    <w:p w14:paraId="3AF2F39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9.3.2.2.3监理人发生监理过失违约后，当</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认为监理人无正当理由而又未履行监理义务时，有权部分解除合同或完全解除合同。</w:t>
      </w:r>
    </w:p>
    <w:p w14:paraId="0E639AF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9.3.3监理渎职事件违约</w:t>
      </w:r>
    </w:p>
    <w:p w14:paraId="3B475F1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8.3.3.1监理渎职事件违约的认定</w:t>
      </w:r>
    </w:p>
    <w:p w14:paraId="410E33F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监理人员不按监理合同履行职责，滥用监理职权，或与其他人故意串通，行为恶劣造成严重社会影响的，无论是否造成损失，一经发现并认定为监理渎职违约，并由</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管理人员在“监理行为记录档案”作记录。</w:t>
      </w:r>
    </w:p>
    <w:p w14:paraId="3CB4503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9.3.3.2监理渎职事件违约的责任承担。</w:t>
      </w:r>
    </w:p>
    <w:p w14:paraId="1FB3F02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9.3.3.2.1监理人发生监理渎职违约一次，承担非常严重违约责任一次，扣除监理人违约金¥5000元。</w:t>
      </w:r>
    </w:p>
    <w:p w14:paraId="76698C0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9.3.3.2.2</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勒令监理人更换监理人员，直至解除合同（合同解除办法同上）。</w:t>
      </w:r>
    </w:p>
    <w:p w14:paraId="250D9FD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9.3.3.2.3如监理人的原因造成委托人或工程损失的，监理人承担全部赔偿责任。</w:t>
      </w:r>
    </w:p>
    <w:p w14:paraId="4BE5A2E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9.3.3.2.4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¥5000元。若监理人违背了以下7款的任何情形之一，不仅视为非常严重的违约，承担1次非常严重违约责任，扣除监理人违约金¥5000元，而且直接解除合同，不做费用补偿，且对已完成的监理服务，不再支付监理费用，并通报建设行政主管部门，构成犯罪的，依法移交司法机关处理：</w:t>
      </w:r>
    </w:p>
    <w:p w14:paraId="1F2160C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1）禁止向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及施工方推销材料、设备，或以倾向性、排他性变相推销。</w:t>
      </w:r>
    </w:p>
    <w:p w14:paraId="0165882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2）禁止与施工方串通，对不合格材料、产品、工程进行包庇及验收。</w:t>
      </w:r>
    </w:p>
    <w:p w14:paraId="0501D54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3）禁止与施工方串通，对材料用量、工程量进行虚假签认。</w:t>
      </w:r>
    </w:p>
    <w:p w14:paraId="301F53F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4）禁止与施工方串通，不合理提高施工难度及增加材料用量，以增大施工费用，获取不正当收益。</w:t>
      </w:r>
    </w:p>
    <w:p w14:paraId="41A6B27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5）禁止接受施工方的请吃送礼或变相受礼。</w:t>
      </w:r>
    </w:p>
    <w:p w14:paraId="0F5B518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6）禁止向施工方介绍分包或推销材料、设备等。</w:t>
      </w:r>
    </w:p>
    <w:p w14:paraId="279F20B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7）禁止故意刁难施工方以谋取私利，损害</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的合法利益。</w:t>
      </w:r>
    </w:p>
    <w:p w14:paraId="6ADF74F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9.3.3.2.5如监理人在投标时根据招标文件《商务评分表》“人员配置”作出了增加人员的承诺，而开工后，实际上没有增加，经委托人要求后，在10天内仍未能配齐增加的造价工程师和专业工程师，则视为非常严重的违约，直接解除合同。</w:t>
      </w:r>
    </w:p>
    <w:p w14:paraId="3CB709D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9.3.4监理不达标造成的违约</w:t>
      </w:r>
    </w:p>
    <w:p w14:paraId="52A127A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9.3.4.1监理不达标违约的认定</w:t>
      </w:r>
    </w:p>
    <w:p w14:paraId="457C065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工程竣工结算后，监理协议书第三项监理目标的任何一项目标的不达标，均视为监理人的监理目标违约。</w:t>
      </w:r>
    </w:p>
    <w:p w14:paraId="3DA02C5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9.3.4.2监理目标违约的责任承担。</w:t>
      </w:r>
    </w:p>
    <w:p w14:paraId="2A780C1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9.3.4.2.1质量控制不达标：工程竣工验收质量未达到施工合同等级要求的，不管任何原因，结算扣减监理合同价款的5％，同时不免除追究当事人和监理人的法律责任，监理人需无条件免费监理服务至工程质量达到合格止。</w:t>
      </w:r>
    </w:p>
    <w:p w14:paraId="2E667F8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9.3.4.2.2投资控制不达标：如监理人原因造成工程建安费结算价突破投资控制值的，每突破1％，结算扣减监理合同价款的1％。</w:t>
      </w:r>
    </w:p>
    <w:p w14:paraId="1FE9C05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9.3.4.2.3进度控制不达标：工程竣工验收通过日延误的，</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视监理人的责任情况结算索赔监理合同价款1％－3％的违约金。</w:t>
      </w:r>
    </w:p>
    <w:p w14:paraId="4ADBB18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9.3.4.2.4安全管理不达标：工程发生一般安全生产事故，或被上级主管部门通报批评、被新闻媒体曝光的，监理人需支付监理合同价款的1%作为违约金；发生较大以上安全质量事故（按国家及合同有关规定界定）的，监理人需支付监理合同价款的3%作为违约金。情节严重的，</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有权部分或全部解除合同。</w:t>
      </w:r>
    </w:p>
    <w:p w14:paraId="72A5E3A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9.3.4.2.5监理人应保证每季度进度计量（价）数据的准确性，如发生计量（价）误差＞5%，则视为监理人违约一次，扣除监理人违约金¥2000元/次。</w:t>
      </w:r>
    </w:p>
    <w:p w14:paraId="3B07C03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9.3.4.2.6监理人未按要求配备用于监理现场抽检所用的试验设备和仪器的（如不具备条件的须委托有相应资质的单位进行现场检测），扣除违约金¥2000元，并无条件在整改期内达到要求为止，配备满足。</w:t>
      </w:r>
    </w:p>
    <w:p w14:paraId="44B40B1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9.3.4.2.7对监理人上述违约处罚，不免除追究当事人和监理人的法律责任。</w:t>
      </w:r>
    </w:p>
    <w:p w14:paraId="6BD8010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9.3.5监理违约的处理程序</w:t>
      </w:r>
    </w:p>
    <w:p w14:paraId="6991DE5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9.3.5.1由</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管理人员在“监理行为记录档案”中将监理人的具体违约情况记录，并将记录内容书面告知监理人。</w:t>
      </w:r>
    </w:p>
    <w:p w14:paraId="4E76523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9.3.5.2</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不定期将有关监理人的违约情况以记录、通知、会议纪要等书面形式通知监理人，指明其未能履约的内容和</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要求其承担违约责任的等级。</w:t>
      </w:r>
    </w:p>
    <w:p w14:paraId="3F3A670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9.3.5.3监理人收到书面处理通知后，如有足够证据证明不应由其承担违约责任的，应在收到违约处理决定后3天内以书面形式向</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提出异议并附上有关证据，</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在收到监理人的异议后15天内审核完毕且作出书面决定并通知监理人。否则书面通知则作为处理决定。</w:t>
      </w:r>
    </w:p>
    <w:p w14:paraId="1D8E0A0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9.3.5.4</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将进一步将监理人执行国家强制性规范、标准和履行合同、招投标文件义务的情况（包括但不限于由委托人组织的考核、考评通报、违约责任处理决定等）再报当地建设行政主管部门并在媒体上公开披露。</w:t>
      </w:r>
    </w:p>
    <w:p w14:paraId="300645F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9.3.5.5部分解除合同：</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向监理人发出部分解除合同的通知后，合同部分解除即生效，监理人必须在3日内停止被解除部分的工作，5日内配合</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完成现场工作和有关资料的移交，所交接资料必须完整。监理人无特殊原因未在规定期限内完成移交和撤出，或交接资料不完整的，</w:t>
      </w: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w:t>
      </w:r>
      <w:r>
        <w:rPr>
          <w:rFonts w:hint="eastAsia" w:ascii="宋体" w:hAnsi="宋体" w:eastAsia="宋体" w:cs="宋体"/>
          <w:color w:val="000000" w:themeColor="text1"/>
          <w:kern w:val="0"/>
          <w:sz w:val="24"/>
          <w:highlight w:val="none"/>
          <w:lang w:val="en-US" w:eastAsia="zh-CN"/>
          <w14:textFill>
            <w14:solidFill>
              <w14:schemeClr w14:val="tx1"/>
            </w14:solidFill>
          </w14:textFill>
        </w:rPr>
        <w:t>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6D0F243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9.3.5.6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监理人需赔偿委托人损失额的10%。委托人在发出解除合同的通知后，委托人即可委托新的监理人承接该工程，监理人不得影响或阻碍新的监理人办理进场手续和相关工作。</w:t>
      </w:r>
    </w:p>
    <w:p w14:paraId="556D742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9.3.6其他违约及违约责任</w:t>
      </w:r>
    </w:p>
    <w:p w14:paraId="24DA4EE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9.3.6.1根据《韶关市人民政府办公室关于加强市本级政府投资项目财政投资评审监督管理的实施意见》（韶府办发函〔2021〕32号，以下简称“本实施意见”）文件精神，监理人违反本实施意见，造成项目投资失控或浪费的，建设行政主管部门将在市场诚信管理、市场准入、资质管理等方面，依法对监理人进行相应处理，并责成项目委托人按合同约定予以相应处罚。</w:t>
      </w:r>
    </w:p>
    <w:p w14:paraId="5406DFF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（1）本工程变更的程序和管理按本实施意见执行，凡不符合本实施意见要求的变更均为无效变更。</w:t>
      </w:r>
    </w:p>
    <w:p w14:paraId="7D95480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（2）责任追究办法如下，根据合同约定扣减监理人的费用及追究相应法律责任,在合同中明确约定下列违约责任条款：</w:t>
      </w:r>
    </w:p>
    <w:p w14:paraId="4494A8A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①因监理人责任引起变更造成投资规模增加10%以上的,监理人需支付合同价款的20%作为违约金。</w:t>
      </w:r>
    </w:p>
    <w:p w14:paraId="079496E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②因监理人责任引起变更造成投资规模增加15%以上的,监理人需支付合同价款的30%作为违约金。</w:t>
      </w:r>
    </w:p>
    <w:p w14:paraId="18541E6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③因监理人责任引起变更造成投资规模增加20%以上的,监理人需支付合同价款的40%作为违约金。</w:t>
      </w:r>
    </w:p>
    <w:p w14:paraId="262900D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出现以上情况造成需支付的违约金等，违约金由监理人直接将违约金转入委托人或通过“广东省非税收入管理系统”缴纳。</w:t>
      </w:r>
    </w:p>
    <w:p w14:paraId="3E4DA20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9.3.6.2本工程质量必须达到合格标准。若因监理人原因，工程在竣工验收或分部工程验收时没有达到此标准，监理人按监理合同价款（指监理结算价款）的5％向委托人返纳质量违约金。</w:t>
      </w:r>
    </w:p>
    <w:p w14:paraId="3D550A8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9.3.6.3监理人在监理期间应严格遵守国家、省、市有关防火、爆破和监理安全以及文明监理、深夜监理、环卫城管等规定，建立规章制度和防护措施。否则，由此造成的经济和法律责任，均由监理人负责。</w:t>
      </w:r>
    </w:p>
    <w:p w14:paraId="76EB4C4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9.3.6.4监理人应按安全监理的要求，采取严格科学的安全措施，确保监理安全和第三者的安全，承担由于自身安全措施不力所造成的事故责任和发生的费用。</w:t>
      </w:r>
    </w:p>
    <w:p w14:paraId="6EF956D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9.3.6.5监理人拟派驻监理机构组成人员数量须符合《广东省建设厅粤建管（2002）97号文》关于工程项目监理最少人数配置的要求,且在施工现场进行监理的总监理工程师、专业监理工程师、其他监理人员全部必须是投标文件中所拟派的人员。同时，监理人派驻到工程所在地进行监理服务的监理人员，应能够胜任监理合同约定的监理服务工作。委托人有权以书面形式要求监理人更换不能按照监理合同的约定进行监理服务的派驻人员，若监理人拒不执行或无法在15个工作日内完成更换，则每发生一次扣除签约合同价的10%作为违约金。</w:t>
      </w:r>
    </w:p>
    <w:p w14:paraId="32F9B1BA">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监理人需在施工现场设置总监办公室组织机构场地，监理人设置的机构场地、设备等需满足整个监理实施过程中的正常运作。本工程监理人现场办公场所、试验室、生活住所、办公设备及生活家具等由监理人自行解决，委托人不另外提供。</w:t>
      </w:r>
      <w:r>
        <w:rPr>
          <w:rFonts w:hint="eastAsia" w:ascii="宋体" w:hAnsi="宋体" w:eastAsia="宋体" w:cs="宋体"/>
          <w:color w:val="000000" w:themeColor="text1"/>
          <w:kern w:val="0"/>
          <w:sz w:val="24"/>
          <w:highlight w:val="none"/>
          <w:lang w:val="en-US" w:eastAsia="zh-CN"/>
          <w14:textFill>
            <w14:solidFill>
              <w14:schemeClr w14:val="tx1"/>
            </w14:solidFill>
          </w14:textFill>
        </w:rPr>
        <w:t>如未设置场地的，</w:t>
      </w:r>
      <w:r>
        <w:rPr>
          <w:rFonts w:hint="eastAsia" w:ascii="宋体" w:hAnsi="宋体" w:eastAsia="宋体" w:cs="宋体"/>
          <w:color w:val="000000" w:themeColor="text1"/>
          <w:kern w:val="0"/>
          <w:sz w:val="24"/>
          <w:highlight w:val="none"/>
          <w:lang w:val="zh-CN" w:eastAsia="zh-CN"/>
          <w14:textFill>
            <w14:solidFill>
              <w14:schemeClr w14:val="tx1"/>
            </w14:solidFill>
          </w14:textFill>
        </w:rPr>
        <w:t>按违约处理，</w:t>
      </w:r>
      <w:r>
        <w:rPr>
          <w:rFonts w:hint="eastAsia" w:ascii="宋体" w:hAnsi="宋体" w:eastAsia="宋体" w:cs="宋体"/>
          <w:color w:val="000000" w:themeColor="text1"/>
          <w:kern w:val="0"/>
          <w:sz w:val="24"/>
          <w:highlight w:val="none"/>
          <w:lang w:val="en-US" w:eastAsia="zh-CN"/>
          <w14:textFill>
            <w14:solidFill>
              <w14:schemeClr w14:val="tx1"/>
            </w14:solidFill>
          </w14:textFill>
        </w:rPr>
        <w:t>支付¥3000元违约金。如未按规定落实配置，委托人警告督促未落实的，按每次支付¥3000元/次违约金。</w:t>
      </w:r>
    </w:p>
    <w:p w14:paraId="339ACB7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9.3.6.6监理人应在每月28日前根据工程进度向委托人报审下月的工作计划表（样表见下表）。如未按时提交，每推迟一天，按¥3000元/天支付违约金；如未实施工作计划表中内容，每项按¥3000元/项支付违约金。</w:t>
      </w:r>
    </w:p>
    <w:p w14:paraId="51E8FE6C">
      <w:pPr>
        <w:keepNext w:val="0"/>
        <w:keepLines w:val="0"/>
        <w:pageBreakBefore w:val="0"/>
        <w:widowControl w:val="0"/>
        <w:suppressLineNumbers w:val="0"/>
        <w:kinsoku/>
        <w:overflowPunct/>
        <w:topLinePunct w:val="0"/>
        <w:autoSpaceDN/>
        <w:bidi w:val="0"/>
        <w:snapToGrid w:val="0"/>
        <w:spacing w:before="0" w:beforeAutospacing="0" w:after="0" w:afterAutospacing="0" w:line="380" w:lineRule="exact"/>
        <w:ind w:left="0" w:right="0"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月监理工作计划及完成情况表</w:t>
      </w:r>
    </w:p>
    <w:tbl>
      <w:tblPr>
        <w:tblStyle w:val="19"/>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280"/>
        <w:gridCol w:w="1900"/>
        <w:gridCol w:w="1955"/>
        <w:gridCol w:w="2250"/>
      </w:tblGrid>
      <w:tr w14:paraId="78FB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top"/>
          </w:tcPr>
          <w:p w14:paraId="75C9189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80" w:lineRule="exact"/>
              <w:ind w:left="0" w:righ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编号</w:t>
            </w:r>
          </w:p>
        </w:tc>
        <w:tc>
          <w:tcPr>
            <w:tcW w:w="2280" w:type="dxa"/>
            <w:tcBorders>
              <w:top w:val="single" w:color="auto" w:sz="4" w:space="0"/>
              <w:left w:val="single" w:color="auto" w:sz="4" w:space="0"/>
              <w:bottom w:val="single" w:color="auto" w:sz="4" w:space="0"/>
              <w:right w:val="single" w:color="auto" w:sz="4" w:space="0"/>
            </w:tcBorders>
            <w:noWrap w:val="0"/>
            <w:vAlign w:val="top"/>
          </w:tcPr>
          <w:p w14:paraId="2D848DF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80" w:lineRule="exact"/>
              <w:ind w:left="0" w:righ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工作内容</w:t>
            </w:r>
          </w:p>
        </w:tc>
        <w:tc>
          <w:tcPr>
            <w:tcW w:w="1900" w:type="dxa"/>
            <w:tcBorders>
              <w:top w:val="single" w:color="auto" w:sz="4" w:space="0"/>
              <w:left w:val="single" w:color="auto" w:sz="4" w:space="0"/>
              <w:bottom w:val="single" w:color="auto" w:sz="4" w:space="0"/>
              <w:right w:val="single" w:color="auto" w:sz="4" w:space="0"/>
            </w:tcBorders>
            <w:noWrap w:val="0"/>
            <w:vAlign w:val="top"/>
          </w:tcPr>
          <w:p w14:paraId="1E6D1CA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80" w:lineRule="exact"/>
              <w:ind w:left="0" w:righ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计划开始时间</w:t>
            </w:r>
          </w:p>
        </w:tc>
        <w:tc>
          <w:tcPr>
            <w:tcW w:w="1955" w:type="dxa"/>
            <w:tcBorders>
              <w:top w:val="single" w:color="auto" w:sz="4" w:space="0"/>
              <w:left w:val="single" w:color="auto" w:sz="4" w:space="0"/>
              <w:bottom w:val="single" w:color="auto" w:sz="4" w:space="0"/>
              <w:right w:val="single" w:color="auto" w:sz="4" w:space="0"/>
            </w:tcBorders>
            <w:noWrap w:val="0"/>
            <w:vAlign w:val="top"/>
          </w:tcPr>
          <w:p w14:paraId="3BB41A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80" w:lineRule="exact"/>
              <w:ind w:left="0" w:righ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计划完成时间</w:t>
            </w:r>
          </w:p>
        </w:tc>
        <w:tc>
          <w:tcPr>
            <w:tcW w:w="2250" w:type="dxa"/>
            <w:tcBorders>
              <w:top w:val="single" w:color="auto" w:sz="4" w:space="0"/>
              <w:left w:val="single" w:color="auto" w:sz="4" w:space="0"/>
              <w:bottom w:val="single" w:color="auto" w:sz="4" w:space="0"/>
              <w:right w:val="single" w:color="auto" w:sz="4" w:space="0"/>
            </w:tcBorders>
            <w:noWrap w:val="0"/>
            <w:vAlign w:val="top"/>
          </w:tcPr>
          <w:p w14:paraId="640274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80" w:lineRule="exact"/>
              <w:ind w:left="0" w:righ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完成的佐证材料</w:t>
            </w:r>
          </w:p>
        </w:tc>
      </w:tr>
      <w:tr w14:paraId="2062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noWrap w:val="0"/>
            <w:vAlign w:val="top"/>
          </w:tcPr>
          <w:p w14:paraId="5BAF19FA">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w:t>
            </w:r>
          </w:p>
        </w:tc>
        <w:tc>
          <w:tcPr>
            <w:tcW w:w="2280" w:type="dxa"/>
            <w:tcBorders>
              <w:top w:val="single" w:color="auto" w:sz="4" w:space="0"/>
              <w:left w:val="single" w:color="auto" w:sz="4" w:space="0"/>
              <w:bottom w:val="single" w:color="auto" w:sz="4" w:space="0"/>
              <w:right w:val="single" w:color="auto" w:sz="4" w:space="0"/>
            </w:tcBorders>
            <w:noWrap w:val="0"/>
            <w:vAlign w:val="top"/>
          </w:tcPr>
          <w:p w14:paraId="6586681D">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c>
          <w:tcPr>
            <w:tcW w:w="1900" w:type="dxa"/>
            <w:tcBorders>
              <w:top w:val="single" w:color="auto" w:sz="4" w:space="0"/>
              <w:left w:val="single" w:color="auto" w:sz="4" w:space="0"/>
              <w:bottom w:val="single" w:color="auto" w:sz="4" w:space="0"/>
              <w:right w:val="single" w:color="auto" w:sz="4" w:space="0"/>
            </w:tcBorders>
            <w:noWrap w:val="0"/>
            <w:vAlign w:val="top"/>
          </w:tcPr>
          <w:p w14:paraId="550755A9">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noWrap w:val="0"/>
            <w:vAlign w:val="top"/>
          </w:tcPr>
          <w:p w14:paraId="457148F8">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4C087B81">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r>
      <w:tr w14:paraId="7AE0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noWrap w:val="0"/>
            <w:vAlign w:val="top"/>
          </w:tcPr>
          <w:p w14:paraId="61727629">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w:t>
            </w:r>
          </w:p>
        </w:tc>
        <w:tc>
          <w:tcPr>
            <w:tcW w:w="2280" w:type="dxa"/>
            <w:tcBorders>
              <w:top w:val="single" w:color="auto" w:sz="4" w:space="0"/>
              <w:left w:val="single" w:color="auto" w:sz="4" w:space="0"/>
              <w:bottom w:val="single" w:color="auto" w:sz="4" w:space="0"/>
              <w:right w:val="single" w:color="auto" w:sz="4" w:space="0"/>
            </w:tcBorders>
            <w:noWrap w:val="0"/>
            <w:vAlign w:val="top"/>
          </w:tcPr>
          <w:p w14:paraId="43FF6033">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c>
          <w:tcPr>
            <w:tcW w:w="1900" w:type="dxa"/>
            <w:tcBorders>
              <w:top w:val="single" w:color="auto" w:sz="4" w:space="0"/>
              <w:left w:val="single" w:color="auto" w:sz="4" w:space="0"/>
              <w:bottom w:val="single" w:color="auto" w:sz="4" w:space="0"/>
              <w:right w:val="single" w:color="auto" w:sz="4" w:space="0"/>
            </w:tcBorders>
            <w:noWrap w:val="0"/>
            <w:vAlign w:val="top"/>
          </w:tcPr>
          <w:p w14:paraId="62A0A14A">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noWrap w:val="0"/>
            <w:vAlign w:val="top"/>
          </w:tcPr>
          <w:p w14:paraId="55AF1DEE">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6AF35AE2">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r>
      <w:tr w14:paraId="3DE7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noWrap w:val="0"/>
            <w:vAlign w:val="top"/>
          </w:tcPr>
          <w:p w14:paraId="0C0A2EEE">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tc>
        <w:tc>
          <w:tcPr>
            <w:tcW w:w="2280" w:type="dxa"/>
            <w:tcBorders>
              <w:top w:val="single" w:color="auto" w:sz="4" w:space="0"/>
              <w:left w:val="single" w:color="auto" w:sz="4" w:space="0"/>
              <w:bottom w:val="single" w:color="auto" w:sz="4" w:space="0"/>
              <w:right w:val="single" w:color="auto" w:sz="4" w:space="0"/>
            </w:tcBorders>
            <w:noWrap w:val="0"/>
            <w:vAlign w:val="top"/>
          </w:tcPr>
          <w:p w14:paraId="57B42FD7">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c>
          <w:tcPr>
            <w:tcW w:w="1900" w:type="dxa"/>
            <w:tcBorders>
              <w:top w:val="single" w:color="auto" w:sz="4" w:space="0"/>
              <w:left w:val="single" w:color="auto" w:sz="4" w:space="0"/>
              <w:bottom w:val="single" w:color="auto" w:sz="4" w:space="0"/>
              <w:right w:val="single" w:color="auto" w:sz="4" w:space="0"/>
            </w:tcBorders>
            <w:noWrap w:val="0"/>
            <w:vAlign w:val="top"/>
          </w:tcPr>
          <w:p w14:paraId="06D3B415">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c>
          <w:tcPr>
            <w:tcW w:w="1955" w:type="dxa"/>
            <w:tcBorders>
              <w:top w:val="single" w:color="auto" w:sz="4" w:space="0"/>
              <w:left w:val="single" w:color="auto" w:sz="4" w:space="0"/>
              <w:bottom w:val="single" w:color="auto" w:sz="4" w:space="0"/>
              <w:right w:val="single" w:color="auto" w:sz="4" w:space="0"/>
            </w:tcBorders>
            <w:noWrap w:val="0"/>
            <w:vAlign w:val="top"/>
          </w:tcPr>
          <w:p w14:paraId="6B9E88BB">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35655E9C">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380" w:lineRule="exact"/>
              <w:ind w:left="0" w:right="0"/>
              <w:jc w:val="left"/>
              <w:rPr>
                <w:rFonts w:hint="eastAsia" w:ascii="宋体" w:hAnsi="宋体" w:eastAsia="宋体" w:cs="宋体"/>
                <w:color w:val="000000" w:themeColor="text1"/>
                <w:kern w:val="2"/>
                <w:sz w:val="24"/>
                <w:szCs w:val="24"/>
                <w:highlight w:val="none"/>
                <w14:textFill>
                  <w14:solidFill>
                    <w14:schemeClr w14:val="tx1"/>
                  </w14:solidFill>
                </w14:textFill>
              </w:rPr>
            </w:pPr>
          </w:p>
        </w:tc>
      </w:tr>
    </w:tbl>
    <w:p w14:paraId="56C2E8B2">
      <w:pPr>
        <w:keepNext w:val="0"/>
        <w:keepLines w:val="0"/>
        <w:pageBreakBefore w:val="0"/>
        <w:widowControl w:val="0"/>
        <w:suppressLineNumbers w:val="0"/>
        <w:kinsoku/>
        <w:overflowPunct/>
        <w:topLinePunct w:val="0"/>
        <w:autoSpaceDN/>
        <w:bidi w:val="0"/>
        <w:snapToGrid w:val="0"/>
        <w:spacing w:before="0" w:beforeAutospacing="0" w:after="0" w:afterAutospacing="0" w:line="380" w:lineRule="exact"/>
        <w:ind w:right="0"/>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p>
    <w:p w14:paraId="422BB027">
      <w:pPr>
        <w:keepNext w:val="0"/>
        <w:keepLines w:val="0"/>
        <w:pageBreakBefore w:val="0"/>
        <w:widowControl w:val="0"/>
        <w:suppressLineNumbers w:val="0"/>
        <w:kinsoku/>
        <w:overflowPunct/>
        <w:topLinePunct w:val="0"/>
        <w:autoSpaceDN/>
        <w:bidi w:val="0"/>
        <w:snapToGrid w:val="0"/>
        <w:spacing w:before="0" w:beforeAutospacing="0" w:after="0" w:afterAutospacing="0" w:line="380" w:lineRule="exact"/>
        <w:ind w:left="0" w:right="0" w:firstLine="240" w:firstLineChars="100"/>
        <w:jc w:val="center"/>
        <w:rPr>
          <w:rFonts w:hint="eastAsia" w:ascii="宋体" w:hAnsi="宋体" w:eastAsia="宋体" w:cs="宋体"/>
          <w:b w:val="0"/>
          <w:bCs w:val="0"/>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监理单位项目总监签名：          建设单位项目现场负责人签名：</w:t>
      </w:r>
    </w:p>
    <w:p w14:paraId="17A88281">
      <w:pPr>
        <w:keepNext w:val="0"/>
        <w:keepLines w:val="0"/>
        <w:pageBreakBefore w:val="0"/>
        <w:widowControl w:val="0"/>
        <w:suppressLineNumbers w:val="0"/>
        <w:kinsoku/>
        <w:overflowPunct/>
        <w:topLinePunct w:val="0"/>
        <w:autoSpaceDN/>
        <w:bidi w:val="0"/>
        <w:snapToGrid w:val="0"/>
        <w:spacing w:before="0" w:beforeAutospacing="0" w:after="0" w:afterAutospacing="0" w:line="380" w:lineRule="exact"/>
        <w:ind w:right="0" w:firstLine="1440" w:firstLineChars="600"/>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 xml:space="preserve">（盖章）      </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（盖章</w:t>
      </w: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w:t>
      </w:r>
    </w:p>
    <w:p w14:paraId="1411B478">
      <w:pPr>
        <w:keepNext w:val="0"/>
        <w:keepLines w:val="0"/>
        <w:pageBreakBefore w:val="0"/>
        <w:widowControl w:val="0"/>
        <w:suppressLineNumbers w:val="0"/>
        <w:kinsoku/>
        <w:wordWrap w:val="0"/>
        <w:overflowPunct/>
        <w:topLinePunct w:val="0"/>
        <w:autoSpaceDN/>
        <w:bidi w:val="0"/>
        <w:adjustRightInd w:val="0"/>
        <w:snapToGrid w:val="0"/>
        <w:spacing w:before="0" w:beforeAutospacing="0" w:after="0" w:afterAutospacing="0" w:line="380" w:lineRule="exact"/>
        <w:ind w:right="0" w:firstLine="480" w:firstLineChars="20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05839B0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9.3.6.7监理人根据委托人与施工单位签订的施工合同中约定的工程进度节点计划考核内容，结合现场实际施工进度对比后，在考核节点后的5天内提交考核报告，报告每逾期一天，按¥3000元/天支付违约金。</w:t>
      </w:r>
    </w:p>
    <w:p w14:paraId="43C42AD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9.3.6.8总监理工程师未按要求到场的，按¥3000元/次支付违约金。</w:t>
      </w:r>
    </w:p>
    <w:p w14:paraId="2051F89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9.3.6.9施工期间，监理人员未经委托人同意擅自离岗的，按¥3000元/次支付违约金。</w:t>
      </w:r>
    </w:p>
    <w:p w14:paraId="6879520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9.3.6.10监理未按要求及时提供会议纪要、材料检查记录等施工过程的监理资料的，按¥3000元/次支付违约金。</w:t>
      </w:r>
    </w:p>
    <w:p w14:paraId="27729AF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9.3.6.11施工现场存在安全隐患，监理人未及时发现并发出整改指令，按¥2000元/次支付违约金。</w:t>
      </w:r>
    </w:p>
    <w:p w14:paraId="5F7248E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9.3.6.12施工现场出现与图纸不符的建设内容，监理人未及时发现并发出整改指令，导致资金浪费或工期延误，按¥2000元/次支付违约金。</w:t>
      </w:r>
    </w:p>
    <w:p w14:paraId="6D635AE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9.3.6.13服务期间，根据《建设工程监理规范》规定：3.2.1一名总监理工程师只宜担任一项委托监理合同的项目总监理工程师工作。当需要同时担任多项委托监理合同的项目总监理工程师工作时，须经委托人同意，且最多不得超过三项。若乙方违反，一经发现，按¥20000元/次支付违约金并赔偿由此给甲方造成的一切损失。</w:t>
      </w:r>
    </w:p>
    <w:p w14:paraId="3BDEA6DA">
      <w:pPr>
        <w:keepNext w:val="0"/>
        <w:keepLines w:val="0"/>
        <w:pageBreakBefore w:val="0"/>
        <w:widowControl w:val="0"/>
        <w:suppressLineNumbers w:val="0"/>
        <w:wordWrap w:val="0"/>
        <w:overflowPunct/>
        <w:topLinePunct w:val="0"/>
        <w:autoSpaceDN/>
        <w:bidi w:val="0"/>
        <w:adjustRightInd w:val="0"/>
        <w:snapToGrid w:val="0"/>
        <w:spacing w:before="0" w:beforeAutospacing="0" w:after="0" w:afterAutospacing="0" w:line="380" w:lineRule="exact"/>
        <w:ind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监理违约行为一览表</w:t>
      </w:r>
    </w:p>
    <w:tbl>
      <w:tblPr>
        <w:tblStyle w:val="19"/>
        <w:tblW w:w="96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2"/>
        <w:gridCol w:w="5027"/>
        <w:gridCol w:w="1668"/>
        <w:gridCol w:w="2016"/>
      </w:tblGrid>
      <w:tr w14:paraId="6F44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1B4137EF">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b/>
                <w:bCs/>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lang w:val="en-US" w:eastAsia="zh-CN" w:bidi="ar"/>
                <w14:textFill>
                  <w14:solidFill>
                    <w14:schemeClr w14:val="tx1"/>
                  </w14:solidFill>
                </w14:textFill>
              </w:rPr>
              <w:t>序号</w:t>
            </w:r>
          </w:p>
        </w:tc>
        <w:tc>
          <w:tcPr>
            <w:tcW w:w="5027" w:type="dxa"/>
            <w:tcBorders>
              <w:top w:val="single" w:color="000000" w:sz="4" w:space="0"/>
              <w:left w:val="nil"/>
              <w:bottom w:val="single" w:color="000000" w:sz="4" w:space="0"/>
              <w:right w:val="single" w:color="000000" w:sz="4" w:space="0"/>
            </w:tcBorders>
            <w:noWrap w:val="0"/>
            <w:vAlign w:val="center"/>
          </w:tcPr>
          <w:p w14:paraId="1DDAB79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b/>
                <w:bCs/>
                <w:i w:val="0"/>
                <w:iCs w:val="0"/>
                <w:color w:val="000000" w:themeColor="text1"/>
                <w:kern w:val="2"/>
                <w:sz w:val="24"/>
                <w:szCs w:val="24"/>
                <w:highlight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lang w:val="en-US" w:eastAsia="zh-CN" w:bidi="ar"/>
                <w14:textFill>
                  <w14:solidFill>
                    <w14:schemeClr w14:val="tx1"/>
                  </w14:solidFill>
                </w14:textFill>
              </w:rPr>
              <w:t>违约行为</w:t>
            </w:r>
          </w:p>
        </w:tc>
        <w:tc>
          <w:tcPr>
            <w:tcW w:w="1668" w:type="dxa"/>
            <w:tcBorders>
              <w:top w:val="single" w:color="000000" w:sz="4" w:space="0"/>
              <w:left w:val="nil"/>
              <w:bottom w:val="single" w:color="000000" w:sz="4" w:space="0"/>
              <w:right w:val="single" w:color="000000" w:sz="4" w:space="0"/>
            </w:tcBorders>
            <w:noWrap w:val="0"/>
            <w:vAlign w:val="center"/>
          </w:tcPr>
          <w:p w14:paraId="2B3F1C98">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b/>
                <w:bCs/>
                <w:i w:val="0"/>
                <w:iCs w:val="0"/>
                <w:color w:val="000000" w:themeColor="text1"/>
                <w:kern w:val="2"/>
                <w:sz w:val="24"/>
                <w:szCs w:val="24"/>
                <w:highlight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lang w:val="en-US" w:eastAsia="zh-CN" w:bidi="ar"/>
                <w14:textFill>
                  <w14:solidFill>
                    <w14:schemeClr w14:val="tx1"/>
                  </w14:solidFill>
                </w14:textFill>
              </w:rPr>
              <w:t>违约金额</w:t>
            </w:r>
          </w:p>
        </w:tc>
        <w:tc>
          <w:tcPr>
            <w:tcW w:w="2016" w:type="dxa"/>
            <w:tcBorders>
              <w:top w:val="single" w:color="000000" w:sz="4" w:space="0"/>
              <w:left w:val="nil"/>
              <w:bottom w:val="single" w:color="000000" w:sz="4" w:space="0"/>
              <w:right w:val="single" w:color="000000" w:sz="4" w:space="0"/>
            </w:tcBorders>
            <w:noWrap w:val="0"/>
            <w:vAlign w:val="center"/>
          </w:tcPr>
          <w:p w14:paraId="240B8AA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b/>
                <w:bCs/>
                <w:i w:val="0"/>
                <w:iCs w:val="0"/>
                <w:color w:val="000000" w:themeColor="text1"/>
                <w:kern w:val="2"/>
                <w:sz w:val="24"/>
                <w:szCs w:val="24"/>
                <w:highlight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lang w:val="en-US" w:eastAsia="zh-CN" w:bidi="ar"/>
                <w14:textFill>
                  <w14:solidFill>
                    <w14:schemeClr w14:val="tx1"/>
                  </w14:solidFill>
                </w14:textFill>
              </w:rPr>
              <w:t>备注</w:t>
            </w:r>
          </w:p>
        </w:tc>
      </w:tr>
      <w:tr w14:paraId="2210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1FE81DF2">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lang w:val="en-US" w:eastAsia="zh-CN" w:bidi="ar"/>
                <w14:textFill>
                  <w14:solidFill>
                    <w14:schemeClr w14:val="tx1"/>
                  </w14:solidFill>
                </w14:textFill>
              </w:rPr>
              <w:t>9.3.1</w:t>
            </w:r>
          </w:p>
        </w:tc>
        <w:tc>
          <w:tcPr>
            <w:tcW w:w="5027" w:type="dxa"/>
            <w:tcBorders>
              <w:top w:val="single" w:color="000000" w:sz="4" w:space="0"/>
              <w:left w:val="nil"/>
              <w:bottom w:val="single" w:color="000000" w:sz="4" w:space="0"/>
              <w:right w:val="single" w:color="000000" w:sz="4" w:space="0"/>
            </w:tcBorders>
            <w:noWrap w:val="0"/>
            <w:vAlign w:val="center"/>
          </w:tcPr>
          <w:p w14:paraId="4258536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监理不良行为违约</w:t>
            </w:r>
          </w:p>
        </w:tc>
        <w:tc>
          <w:tcPr>
            <w:tcW w:w="1668" w:type="dxa"/>
            <w:tcBorders>
              <w:top w:val="single" w:color="000000" w:sz="4" w:space="0"/>
              <w:left w:val="nil"/>
              <w:bottom w:val="single" w:color="000000" w:sz="4" w:space="0"/>
              <w:right w:val="single" w:color="000000" w:sz="4" w:space="0"/>
            </w:tcBorders>
            <w:noWrap w:val="0"/>
            <w:vAlign w:val="center"/>
          </w:tcPr>
          <w:p w14:paraId="069EF2E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c>
          <w:tcPr>
            <w:tcW w:w="2016" w:type="dxa"/>
            <w:tcBorders>
              <w:top w:val="single" w:color="000000" w:sz="4" w:space="0"/>
              <w:left w:val="nil"/>
              <w:bottom w:val="single" w:color="000000" w:sz="4" w:space="0"/>
              <w:right w:val="single" w:color="000000" w:sz="4" w:space="0"/>
            </w:tcBorders>
            <w:noWrap w:val="0"/>
            <w:vAlign w:val="center"/>
          </w:tcPr>
          <w:p w14:paraId="6509CC4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3BC4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64108EA7">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w:t>
            </w:r>
          </w:p>
        </w:tc>
        <w:tc>
          <w:tcPr>
            <w:tcW w:w="5027" w:type="dxa"/>
            <w:tcBorders>
              <w:top w:val="single" w:color="000000" w:sz="4" w:space="0"/>
              <w:left w:val="nil"/>
              <w:bottom w:val="single" w:color="000000" w:sz="4" w:space="0"/>
              <w:right w:val="single" w:color="000000" w:sz="4" w:space="0"/>
            </w:tcBorders>
            <w:noWrap w:val="0"/>
            <w:vAlign w:val="center"/>
          </w:tcPr>
          <w:p w14:paraId="5007B0F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本项目对驻场总监实施指纹考勤，指纹考勤每月累计不少于20天，未经</w:t>
            </w:r>
            <w:r>
              <w:rPr>
                <w:rFonts w:hint="eastAsia" w:hAnsi="宋体" w:cs="宋体"/>
                <w:snapToGrid w:val="0"/>
                <w:color w:val="000000" w:themeColor="text1"/>
                <w:kern w:val="0"/>
                <w:szCs w:val="24"/>
                <w:highlight w:val="none"/>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书面同意，每少1天，视为监理人发生监理不良行为一次，承担一般违约责任一次。</w:t>
            </w:r>
          </w:p>
        </w:tc>
        <w:tc>
          <w:tcPr>
            <w:tcW w:w="1668" w:type="dxa"/>
            <w:tcBorders>
              <w:top w:val="single" w:color="000000" w:sz="4" w:space="0"/>
              <w:left w:val="nil"/>
              <w:bottom w:val="single" w:color="000000" w:sz="4" w:space="0"/>
              <w:right w:val="single" w:color="000000" w:sz="4" w:space="0"/>
            </w:tcBorders>
            <w:noWrap w:val="0"/>
            <w:vAlign w:val="center"/>
          </w:tcPr>
          <w:p w14:paraId="358A1F53">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000元/天</w:t>
            </w:r>
          </w:p>
        </w:tc>
        <w:tc>
          <w:tcPr>
            <w:tcW w:w="2016" w:type="dxa"/>
            <w:tcBorders>
              <w:top w:val="single" w:color="000000" w:sz="4" w:space="0"/>
              <w:left w:val="nil"/>
              <w:bottom w:val="single" w:color="000000" w:sz="4" w:space="0"/>
              <w:right w:val="single" w:color="000000" w:sz="4" w:space="0"/>
            </w:tcBorders>
            <w:noWrap w:val="0"/>
            <w:vAlign w:val="center"/>
          </w:tcPr>
          <w:p w14:paraId="0B04084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50C2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2972598C">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w:t>
            </w:r>
          </w:p>
        </w:tc>
        <w:tc>
          <w:tcPr>
            <w:tcW w:w="5027" w:type="dxa"/>
            <w:tcBorders>
              <w:top w:val="single" w:color="000000" w:sz="4" w:space="0"/>
              <w:left w:val="nil"/>
              <w:bottom w:val="single" w:color="000000" w:sz="4" w:space="0"/>
              <w:right w:val="single" w:color="000000" w:sz="4" w:space="0"/>
            </w:tcBorders>
            <w:noWrap w:val="0"/>
            <w:vAlign w:val="center"/>
          </w:tcPr>
          <w:p w14:paraId="062351D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本项目对驻场监理人员实施指纹考勤，指纹考勤每月累计不到位天数超过6天的</w:t>
            </w:r>
          </w:p>
        </w:tc>
        <w:tc>
          <w:tcPr>
            <w:tcW w:w="1668" w:type="dxa"/>
            <w:tcBorders>
              <w:top w:val="single" w:color="000000" w:sz="4" w:space="0"/>
              <w:left w:val="nil"/>
              <w:bottom w:val="single" w:color="000000" w:sz="4" w:space="0"/>
              <w:right w:val="single" w:color="000000" w:sz="4" w:space="0"/>
            </w:tcBorders>
            <w:noWrap w:val="0"/>
            <w:vAlign w:val="center"/>
          </w:tcPr>
          <w:p w14:paraId="35E733D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000元/人/天</w:t>
            </w:r>
          </w:p>
        </w:tc>
        <w:tc>
          <w:tcPr>
            <w:tcW w:w="2016" w:type="dxa"/>
            <w:tcBorders>
              <w:top w:val="single" w:color="000000" w:sz="4" w:space="0"/>
              <w:left w:val="nil"/>
              <w:bottom w:val="single" w:color="000000" w:sz="4" w:space="0"/>
              <w:right w:val="single" w:color="000000" w:sz="4" w:space="0"/>
            </w:tcBorders>
            <w:noWrap w:val="0"/>
            <w:vAlign w:val="center"/>
          </w:tcPr>
          <w:p w14:paraId="44DDF66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7F4B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35FBEA45">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3</w:t>
            </w:r>
          </w:p>
        </w:tc>
        <w:tc>
          <w:tcPr>
            <w:tcW w:w="5027" w:type="dxa"/>
            <w:tcBorders>
              <w:top w:val="single" w:color="000000" w:sz="4" w:space="0"/>
              <w:left w:val="nil"/>
              <w:bottom w:val="single" w:color="000000" w:sz="4" w:space="0"/>
              <w:right w:val="single" w:color="000000" w:sz="4" w:space="0"/>
            </w:tcBorders>
            <w:noWrap w:val="0"/>
            <w:vAlign w:val="center"/>
          </w:tcPr>
          <w:p w14:paraId="33B411A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其他监理人员必须按配备要求在现场驻场监理，离开项目现场必须经</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书面同意，如</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发现监理人员非正常离岗</w:t>
            </w:r>
          </w:p>
        </w:tc>
        <w:tc>
          <w:tcPr>
            <w:tcW w:w="1668" w:type="dxa"/>
            <w:tcBorders>
              <w:top w:val="single" w:color="000000" w:sz="4" w:space="0"/>
              <w:left w:val="nil"/>
              <w:bottom w:val="single" w:color="000000" w:sz="4" w:space="0"/>
              <w:right w:val="single" w:color="000000" w:sz="4" w:space="0"/>
            </w:tcBorders>
            <w:noWrap w:val="0"/>
            <w:vAlign w:val="center"/>
          </w:tcPr>
          <w:p w14:paraId="397D8DC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w:t>
            </w:r>
          </w:p>
        </w:tc>
        <w:tc>
          <w:tcPr>
            <w:tcW w:w="2016" w:type="dxa"/>
            <w:tcBorders>
              <w:top w:val="single" w:color="000000" w:sz="4" w:space="0"/>
              <w:left w:val="nil"/>
              <w:bottom w:val="single" w:color="000000" w:sz="4" w:space="0"/>
              <w:right w:val="single" w:color="000000" w:sz="4" w:space="0"/>
            </w:tcBorders>
            <w:noWrap w:val="0"/>
            <w:vAlign w:val="center"/>
          </w:tcPr>
          <w:p w14:paraId="1E92B7E6">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74B5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5E7FFE06">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4</w:t>
            </w:r>
          </w:p>
        </w:tc>
        <w:tc>
          <w:tcPr>
            <w:tcW w:w="5027" w:type="dxa"/>
            <w:tcBorders>
              <w:top w:val="single" w:color="000000" w:sz="4" w:space="0"/>
              <w:left w:val="nil"/>
              <w:bottom w:val="single" w:color="000000" w:sz="4" w:space="0"/>
              <w:right w:val="single" w:color="000000" w:sz="4" w:space="0"/>
            </w:tcBorders>
            <w:noWrap w:val="0"/>
            <w:vAlign w:val="center"/>
          </w:tcPr>
          <w:p w14:paraId="1C5CD7E3">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同一问题未能按时整改，每重复一次</w:t>
            </w:r>
          </w:p>
        </w:tc>
        <w:tc>
          <w:tcPr>
            <w:tcW w:w="1668" w:type="dxa"/>
            <w:tcBorders>
              <w:top w:val="single" w:color="000000" w:sz="4" w:space="0"/>
              <w:left w:val="nil"/>
              <w:bottom w:val="single" w:color="000000" w:sz="4" w:space="0"/>
              <w:right w:val="single" w:color="000000" w:sz="4" w:space="0"/>
            </w:tcBorders>
            <w:noWrap w:val="0"/>
            <w:vAlign w:val="center"/>
          </w:tcPr>
          <w:p w14:paraId="7369AB2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w:t>
            </w:r>
          </w:p>
        </w:tc>
        <w:tc>
          <w:tcPr>
            <w:tcW w:w="2016" w:type="dxa"/>
            <w:tcBorders>
              <w:top w:val="single" w:color="000000" w:sz="4" w:space="0"/>
              <w:left w:val="nil"/>
              <w:bottom w:val="single" w:color="000000" w:sz="4" w:space="0"/>
              <w:right w:val="single" w:color="000000" w:sz="4" w:space="0"/>
            </w:tcBorders>
            <w:noWrap w:val="0"/>
            <w:vAlign w:val="center"/>
          </w:tcPr>
          <w:p w14:paraId="4F6C948F">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1674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22D21C5">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lang w:val="en-US" w:eastAsia="zh-CN" w:bidi="ar"/>
                <w14:textFill>
                  <w14:solidFill>
                    <w14:schemeClr w14:val="tx1"/>
                  </w14:solidFill>
                </w14:textFill>
              </w:rPr>
              <w:t>9.3.2</w:t>
            </w:r>
          </w:p>
        </w:tc>
        <w:tc>
          <w:tcPr>
            <w:tcW w:w="5027" w:type="dxa"/>
            <w:tcBorders>
              <w:top w:val="single" w:color="000000" w:sz="4" w:space="0"/>
              <w:left w:val="nil"/>
              <w:bottom w:val="single" w:color="000000" w:sz="4" w:space="0"/>
              <w:right w:val="single" w:color="000000" w:sz="4" w:space="0"/>
            </w:tcBorders>
            <w:noWrap w:val="0"/>
            <w:vAlign w:val="center"/>
          </w:tcPr>
          <w:p w14:paraId="7ACF617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监理过失事件违约</w:t>
            </w:r>
          </w:p>
        </w:tc>
        <w:tc>
          <w:tcPr>
            <w:tcW w:w="1668" w:type="dxa"/>
            <w:tcBorders>
              <w:top w:val="single" w:color="000000" w:sz="4" w:space="0"/>
              <w:left w:val="nil"/>
              <w:bottom w:val="single" w:color="000000" w:sz="4" w:space="0"/>
              <w:right w:val="single" w:color="000000" w:sz="4" w:space="0"/>
            </w:tcBorders>
            <w:noWrap w:val="0"/>
            <w:vAlign w:val="center"/>
          </w:tcPr>
          <w:p w14:paraId="45B6232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c>
          <w:tcPr>
            <w:tcW w:w="2016" w:type="dxa"/>
            <w:tcBorders>
              <w:top w:val="single" w:color="000000" w:sz="4" w:space="0"/>
              <w:left w:val="nil"/>
              <w:bottom w:val="single" w:color="000000" w:sz="4" w:space="0"/>
              <w:right w:val="single" w:color="000000" w:sz="4" w:space="0"/>
            </w:tcBorders>
            <w:noWrap w:val="0"/>
            <w:vAlign w:val="center"/>
          </w:tcPr>
          <w:p w14:paraId="66EF5C0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6969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6BE52A35">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w:t>
            </w:r>
          </w:p>
        </w:tc>
        <w:tc>
          <w:tcPr>
            <w:tcW w:w="5027" w:type="dxa"/>
            <w:tcBorders>
              <w:top w:val="single" w:color="000000" w:sz="4" w:space="0"/>
              <w:left w:val="nil"/>
              <w:bottom w:val="single" w:color="000000" w:sz="4" w:space="0"/>
              <w:right w:val="single" w:color="000000" w:sz="4" w:space="0"/>
            </w:tcBorders>
            <w:noWrap w:val="0"/>
            <w:vAlign w:val="center"/>
          </w:tcPr>
          <w:p w14:paraId="4CB3DB2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监理人发生监理过失事件违约一次，承担严重违约责任一次</w:t>
            </w:r>
          </w:p>
        </w:tc>
        <w:tc>
          <w:tcPr>
            <w:tcW w:w="1668" w:type="dxa"/>
            <w:tcBorders>
              <w:top w:val="single" w:color="000000" w:sz="4" w:space="0"/>
              <w:left w:val="nil"/>
              <w:bottom w:val="single" w:color="000000" w:sz="4" w:space="0"/>
              <w:right w:val="single" w:color="000000" w:sz="4" w:space="0"/>
            </w:tcBorders>
            <w:noWrap w:val="0"/>
            <w:vAlign w:val="center"/>
          </w:tcPr>
          <w:p w14:paraId="1D12ED6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w:t>
            </w:r>
          </w:p>
        </w:tc>
        <w:tc>
          <w:tcPr>
            <w:tcW w:w="2016" w:type="dxa"/>
            <w:tcBorders>
              <w:top w:val="single" w:color="000000" w:sz="4" w:space="0"/>
              <w:left w:val="nil"/>
              <w:bottom w:val="single" w:color="000000" w:sz="4" w:space="0"/>
              <w:right w:val="single" w:color="000000" w:sz="4" w:space="0"/>
            </w:tcBorders>
            <w:noWrap w:val="0"/>
            <w:vAlign w:val="center"/>
          </w:tcPr>
          <w:p w14:paraId="670A3DC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129D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57972AE5">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w:t>
            </w:r>
          </w:p>
        </w:tc>
        <w:tc>
          <w:tcPr>
            <w:tcW w:w="5027" w:type="dxa"/>
            <w:tcBorders>
              <w:top w:val="single" w:color="000000" w:sz="4" w:space="0"/>
              <w:left w:val="nil"/>
              <w:bottom w:val="single" w:color="000000" w:sz="4" w:space="0"/>
              <w:right w:val="single" w:color="000000" w:sz="4" w:space="0"/>
            </w:tcBorders>
            <w:noWrap w:val="0"/>
            <w:vAlign w:val="center"/>
          </w:tcPr>
          <w:p w14:paraId="238BDF22">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因监理人责任导致工期延误，其中分项工期延误日数占该项总工期的30%时</w:t>
            </w:r>
          </w:p>
        </w:tc>
        <w:tc>
          <w:tcPr>
            <w:tcW w:w="1668" w:type="dxa"/>
            <w:tcBorders>
              <w:top w:val="single" w:color="000000" w:sz="4" w:space="0"/>
              <w:left w:val="nil"/>
              <w:bottom w:val="single" w:color="000000" w:sz="4" w:space="0"/>
              <w:right w:val="single" w:color="000000" w:sz="4" w:space="0"/>
            </w:tcBorders>
            <w:noWrap w:val="0"/>
            <w:vAlign w:val="center"/>
          </w:tcPr>
          <w:p w14:paraId="0CC24BD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197411C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有权扣除该分项工程监理酬金的60%</w:t>
            </w:r>
          </w:p>
        </w:tc>
      </w:tr>
      <w:tr w14:paraId="5DF7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FD623D5">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3</w:t>
            </w:r>
          </w:p>
        </w:tc>
        <w:tc>
          <w:tcPr>
            <w:tcW w:w="5027" w:type="dxa"/>
            <w:tcBorders>
              <w:top w:val="single" w:color="000000" w:sz="4" w:space="0"/>
              <w:left w:val="nil"/>
              <w:bottom w:val="single" w:color="000000" w:sz="4" w:space="0"/>
              <w:right w:val="single" w:color="000000" w:sz="4" w:space="0"/>
            </w:tcBorders>
            <w:noWrap w:val="0"/>
            <w:vAlign w:val="center"/>
          </w:tcPr>
          <w:p w14:paraId="74B926C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分项工期延误日数达到该项总工期的50%时</w:t>
            </w:r>
          </w:p>
        </w:tc>
        <w:tc>
          <w:tcPr>
            <w:tcW w:w="1668" w:type="dxa"/>
            <w:tcBorders>
              <w:top w:val="single" w:color="000000" w:sz="4" w:space="0"/>
              <w:left w:val="nil"/>
              <w:bottom w:val="single" w:color="000000" w:sz="4" w:space="0"/>
              <w:right w:val="single" w:color="000000" w:sz="4" w:space="0"/>
            </w:tcBorders>
            <w:noWrap w:val="0"/>
            <w:vAlign w:val="center"/>
          </w:tcPr>
          <w:p w14:paraId="1264337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708D5B8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有权单方解除合同</w:t>
            </w:r>
          </w:p>
        </w:tc>
      </w:tr>
      <w:tr w14:paraId="7D5E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2C36B725">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4</w:t>
            </w:r>
          </w:p>
        </w:tc>
        <w:tc>
          <w:tcPr>
            <w:tcW w:w="5027" w:type="dxa"/>
            <w:tcBorders>
              <w:top w:val="single" w:color="000000" w:sz="4" w:space="0"/>
              <w:left w:val="nil"/>
              <w:bottom w:val="single" w:color="000000" w:sz="4" w:space="0"/>
              <w:right w:val="single" w:color="000000" w:sz="4" w:space="0"/>
            </w:tcBorders>
            <w:noWrap w:val="0"/>
            <w:vAlign w:val="center"/>
          </w:tcPr>
          <w:p w14:paraId="749DE30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因监理人责任导致工程竣工拖延的，依据拖延的日数</w:t>
            </w:r>
          </w:p>
        </w:tc>
        <w:tc>
          <w:tcPr>
            <w:tcW w:w="1668" w:type="dxa"/>
            <w:tcBorders>
              <w:top w:val="single" w:color="000000" w:sz="4" w:space="0"/>
              <w:left w:val="nil"/>
              <w:bottom w:val="single" w:color="000000" w:sz="4" w:space="0"/>
              <w:right w:val="single" w:color="000000" w:sz="4" w:space="0"/>
            </w:tcBorders>
            <w:noWrap w:val="0"/>
            <w:vAlign w:val="center"/>
          </w:tcPr>
          <w:p w14:paraId="6567F51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58D648D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监理人应每日按监理酬金总额的1%向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支付违约金</w:t>
            </w:r>
          </w:p>
        </w:tc>
      </w:tr>
      <w:tr w14:paraId="23C60CC1">
        <w:tblPrEx>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29DCEF8">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5</w:t>
            </w:r>
          </w:p>
        </w:tc>
        <w:tc>
          <w:tcPr>
            <w:tcW w:w="5027" w:type="dxa"/>
            <w:tcBorders>
              <w:top w:val="single" w:color="000000" w:sz="4" w:space="0"/>
              <w:left w:val="nil"/>
              <w:bottom w:val="single" w:color="000000" w:sz="4" w:space="0"/>
              <w:right w:val="single" w:color="000000" w:sz="4" w:space="0"/>
            </w:tcBorders>
            <w:noWrap w:val="0"/>
            <w:vAlign w:val="center"/>
          </w:tcPr>
          <w:p w14:paraId="126AF556">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由于监理人责任导致工期延误，致使</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要承担赔偿第三方责任的</w:t>
            </w:r>
          </w:p>
        </w:tc>
        <w:tc>
          <w:tcPr>
            <w:tcW w:w="1668" w:type="dxa"/>
            <w:tcBorders>
              <w:top w:val="single" w:color="000000" w:sz="4" w:space="0"/>
              <w:left w:val="nil"/>
              <w:bottom w:val="single" w:color="000000" w:sz="4" w:space="0"/>
              <w:right w:val="single" w:color="000000" w:sz="4" w:space="0"/>
            </w:tcBorders>
            <w:noWrap w:val="0"/>
            <w:vAlign w:val="center"/>
          </w:tcPr>
          <w:p w14:paraId="3A9D8882">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5DC2EE58">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监理人必须承担赔偿</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由此遭受的实际损失中的50%</w:t>
            </w:r>
          </w:p>
        </w:tc>
      </w:tr>
      <w:tr w14:paraId="7CAF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6513E09E">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6</w:t>
            </w:r>
          </w:p>
        </w:tc>
        <w:tc>
          <w:tcPr>
            <w:tcW w:w="5027" w:type="dxa"/>
            <w:tcBorders>
              <w:top w:val="single" w:color="000000" w:sz="4" w:space="0"/>
              <w:left w:val="nil"/>
              <w:bottom w:val="single" w:color="000000" w:sz="4" w:space="0"/>
              <w:right w:val="single" w:color="000000" w:sz="4" w:space="0"/>
            </w:tcBorders>
            <w:noWrap w:val="0"/>
            <w:vAlign w:val="center"/>
          </w:tcPr>
          <w:p w14:paraId="6E00F45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监理人发生监理过失违约后，当</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认为监理人无正当理由而又未履行监理义务时</w:t>
            </w:r>
          </w:p>
        </w:tc>
        <w:tc>
          <w:tcPr>
            <w:tcW w:w="1668" w:type="dxa"/>
            <w:tcBorders>
              <w:top w:val="single" w:color="000000" w:sz="4" w:space="0"/>
              <w:left w:val="nil"/>
              <w:bottom w:val="single" w:color="000000" w:sz="4" w:space="0"/>
              <w:right w:val="single" w:color="000000" w:sz="4" w:space="0"/>
            </w:tcBorders>
            <w:noWrap w:val="0"/>
            <w:vAlign w:val="center"/>
          </w:tcPr>
          <w:p w14:paraId="6B4877F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031077C6">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有权部分解除合同或完全解除合同</w:t>
            </w:r>
          </w:p>
        </w:tc>
      </w:tr>
      <w:tr w14:paraId="792B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0E0E3F7B">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lang w:val="en-US" w:eastAsia="zh-CN" w:bidi="ar"/>
                <w14:textFill>
                  <w14:solidFill>
                    <w14:schemeClr w14:val="tx1"/>
                  </w14:solidFill>
                </w14:textFill>
              </w:rPr>
              <w:t>9.3.3</w:t>
            </w:r>
          </w:p>
        </w:tc>
        <w:tc>
          <w:tcPr>
            <w:tcW w:w="5027" w:type="dxa"/>
            <w:tcBorders>
              <w:top w:val="single" w:color="000000" w:sz="4" w:space="0"/>
              <w:left w:val="nil"/>
              <w:bottom w:val="single" w:color="000000" w:sz="4" w:space="0"/>
              <w:right w:val="single" w:color="000000" w:sz="4" w:space="0"/>
            </w:tcBorders>
            <w:noWrap w:val="0"/>
            <w:vAlign w:val="center"/>
          </w:tcPr>
          <w:p w14:paraId="0CDA83C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监理渎职事件违约</w:t>
            </w:r>
          </w:p>
        </w:tc>
        <w:tc>
          <w:tcPr>
            <w:tcW w:w="1668" w:type="dxa"/>
            <w:tcBorders>
              <w:top w:val="single" w:color="000000" w:sz="4" w:space="0"/>
              <w:left w:val="nil"/>
              <w:bottom w:val="single" w:color="000000" w:sz="4" w:space="0"/>
              <w:right w:val="single" w:color="000000" w:sz="4" w:space="0"/>
            </w:tcBorders>
            <w:noWrap w:val="0"/>
            <w:vAlign w:val="center"/>
          </w:tcPr>
          <w:p w14:paraId="75DA388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2FA26E9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1208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03C16759">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w:t>
            </w:r>
          </w:p>
        </w:tc>
        <w:tc>
          <w:tcPr>
            <w:tcW w:w="5027" w:type="dxa"/>
            <w:tcBorders>
              <w:top w:val="single" w:color="000000" w:sz="4" w:space="0"/>
              <w:left w:val="nil"/>
              <w:bottom w:val="single" w:color="000000" w:sz="4" w:space="0"/>
              <w:right w:val="single" w:color="000000" w:sz="4" w:space="0"/>
            </w:tcBorders>
            <w:noWrap w:val="0"/>
            <w:vAlign w:val="center"/>
          </w:tcPr>
          <w:p w14:paraId="1FAD2316">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监理人发生监理渎职违约一次，承担非常严重违约责任一次</w:t>
            </w:r>
          </w:p>
        </w:tc>
        <w:tc>
          <w:tcPr>
            <w:tcW w:w="1668" w:type="dxa"/>
            <w:tcBorders>
              <w:top w:val="single" w:color="000000" w:sz="4" w:space="0"/>
              <w:left w:val="nil"/>
              <w:bottom w:val="single" w:color="000000" w:sz="4" w:space="0"/>
              <w:right w:val="single" w:color="000000" w:sz="4" w:space="0"/>
            </w:tcBorders>
            <w:noWrap w:val="0"/>
            <w:vAlign w:val="center"/>
          </w:tcPr>
          <w:p w14:paraId="2D3B9A6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5000元</w:t>
            </w:r>
          </w:p>
        </w:tc>
        <w:tc>
          <w:tcPr>
            <w:tcW w:w="2016" w:type="dxa"/>
            <w:tcBorders>
              <w:top w:val="single" w:color="000000" w:sz="4" w:space="0"/>
              <w:left w:val="nil"/>
              <w:bottom w:val="single" w:color="000000" w:sz="4" w:space="0"/>
              <w:right w:val="single" w:color="000000" w:sz="4" w:space="0"/>
            </w:tcBorders>
            <w:noWrap w:val="0"/>
            <w:vAlign w:val="center"/>
          </w:tcPr>
          <w:p w14:paraId="0DAAC27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1B80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FF06B29">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w:t>
            </w:r>
          </w:p>
        </w:tc>
        <w:tc>
          <w:tcPr>
            <w:tcW w:w="5027" w:type="dxa"/>
            <w:tcBorders>
              <w:top w:val="single" w:color="000000" w:sz="4" w:space="0"/>
              <w:left w:val="nil"/>
              <w:bottom w:val="single" w:color="000000" w:sz="4" w:space="0"/>
              <w:right w:val="single" w:color="000000" w:sz="4" w:space="0"/>
            </w:tcBorders>
            <w:noWrap w:val="0"/>
            <w:vAlign w:val="center"/>
          </w:tcPr>
          <w:p w14:paraId="1D9D031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勒令监理人更换监理人员，直至解除合同</w:t>
            </w:r>
          </w:p>
        </w:tc>
        <w:tc>
          <w:tcPr>
            <w:tcW w:w="1668" w:type="dxa"/>
            <w:tcBorders>
              <w:top w:val="single" w:color="000000" w:sz="4" w:space="0"/>
              <w:left w:val="nil"/>
              <w:bottom w:val="single" w:color="000000" w:sz="4" w:space="0"/>
              <w:right w:val="single" w:color="000000" w:sz="4" w:space="0"/>
            </w:tcBorders>
            <w:noWrap w:val="0"/>
            <w:vAlign w:val="center"/>
          </w:tcPr>
          <w:p w14:paraId="3CB3B2D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03828E38">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有权部分解除合同或完全解除合同</w:t>
            </w:r>
          </w:p>
        </w:tc>
      </w:tr>
      <w:tr w14:paraId="0A7B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128FB25D">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3</w:t>
            </w:r>
          </w:p>
        </w:tc>
        <w:tc>
          <w:tcPr>
            <w:tcW w:w="5027" w:type="dxa"/>
            <w:tcBorders>
              <w:top w:val="single" w:color="000000" w:sz="4" w:space="0"/>
              <w:left w:val="nil"/>
              <w:bottom w:val="single" w:color="000000" w:sz="4" w:space="0"/>
              <w:right w:val="single" w:color="000000" w:sz="4" w:space="0"/>
            </w:tcBorders>
            <w:noWrap w:val="0"/>
            <w:vAlign w:val="center"/>
          </w:tcPr>
          <w:p w14:paraId="3B8FF03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如监理人的原因造成</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或工程损失的</w:t>
            </w:r>
          </w:p>
        </w:tc>
        <w:tc>
          <w:tcPr>
            <w:tcW w:w="1668" w:type="dxa"/>
            <w:tcBorders>
              <w:top w:val="single" w:color="000000" w:sz="4" w:space="0"/>
              <w:left w:val="nil"/>
              <w:bottom w:val="single" w:color="000000" w:sz="4" w:space="0"/>
              <w:right w:val="single" w:color="000000" w:sz="4" w:space="0"/>
            </w:tcBorders>
            <w:noWrap w:val="0"/>
            <w:vAlign w:val="center"/>
          </w:tcPr>
          <w:p w14:paraId="1112A37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4B92AB7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监理人承担全部赔偿责任</w:t>
            </w:r>
          </w:p>
        </w:tc>
      </w:tr>
      <w:tr w14:paraId="17FF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69BFA527">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4</w:t>
            </w:r>
          </w:p>
        </w:tc>
        <w:tc>
          <w:tcPr>
            <w:tcW w:w="5027" w:type="dxa"/>
            <w:tcBorders>
              <w:top w:val="single" w:color="000000" w:sz="4" w:space="0"/>
              <w:left w:val="nil"/>
              <w:bottom w:val="single" w:color="000000" w:sz="4" w:space="0"/>
              <w:right w:val="single" w:color="000000" w:sz="4" w:space="0"/>
            </w:tcBorders>
            <w:noWrap w:val="0"/>
            <w:vAlign w:val="center"/>
          </w:tcPr>
          <w:p w14:paraId="1ACE7388">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必须加强对监理人员职业操守、廉政建设的培训和教育，本项目监理人员利用职业身份“吃、拿、卡、要”或有其他违反职业操守及廉政建设相关规定的，一经查实，监理人应立即清退该监理人员，并承担1次非常严重违约责任</w:t>
            </w:r>
          </w:p>
        </w:tc>
        <w:tc>
          <w:tcPr>
            <w:tcW w:w="1668" w:type="dxa"/>
            <w:tcBorders>
              <w:top w:val="single" w:color="000000" w:sz="4" w:space="0"/>
              <w:left w:val="nil"/>
              <w:bottom w:val="single" w:color="000000" w:sz="4" w:space="0"/>
              <w:right w:val="single" w:color="000000" w:sz="4" w:space="0"/>
            </w:tcBorders>
            <w:noWrap w:val="0"/>
            <w:vAlign w:val="center"/>
          </w:tcPr>
          <w:p w14:paraId="424314F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5000元</w:t>
            </w:r>
          </w:p>
        </w:tc>
        <w:tc>
          <w:tcPr>
            <w:tcW w:w="2016" w:type="dxa"/>
            <w:tcBorders>
              <w:top w:val="single" w:color="000000" w:sz="4" w:space="0"/>
              <w:left w:val="nil"/>
              <w:bottom w:val="single" w:color="000000" w:sz="4" w:space="0"/>
              <w:right w:val="single" w:color="000000" w:sz="4" w:space="0"/>
            </w:tcBorders>
            <w:noWrap w:val="0"/>
            <w:vAlign w:val="center"/>
          </w:tcPr>
          <w:p w14:paraId="3BC8FA7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5B50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70004EC6">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5</w:t>
            </w:r>
          </w:p>
        </w:tc>
        <w:tc>
          <w:tcPr>
            <w:tcW w:w="5027" w:type="dxa"/>
            <w:tcBorders>
              <w:top w:val="single" w:color="000000" w:sz="4" w:space="0"/>
              <w:left w:val="nil"/>
              <w:bottom w:val="single" w:color="000000" w:sz="4" w:space="0"/>
              <w:right w:val="single" w:color="000000" w:sz="4" w:space="0"/>
            </w:tcBorders>
            <w:noWrap w:val="0"/>
            <w:vAlign w:val="center"/>
          </w:tcPr>
          <w:p w14:paraId="3D73027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若监理人违背了以下7款的任何情形之一，不仅视为非常严重的违约，承担1次非常严重违约责任</w:t>
            </w:r>
          </w:p>
          <w:p w14:paraId="1F00491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1）禁止向施工方推销材料、设备，或以倾向性、排他性变相推销；</w:t>
            </w:r>
          </w:p>
          <w:p w14:paraId="30646FB2">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2）禁止与施工方串通，对不合格材料、产品、工程进行包庇及验收；</w:t>
            </w:r>
          </w:p>
          <w:p w14:paraId="3FD1339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3）禁止与施工方串通，对材料用量、工程量进行虚假签认；</w:t>
            </w:r>
          </w:p>
          <w:p w14:paraId="1E5C6CE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4）禁止与施工方串通，不合理提高施工难度及增加材料用量，以增大施工费用，获取不正当收益。</w:t>
            </w:r>
          </w:p>
          <w:p w14:paraId="30D4F98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5）禁止接受施工方的请吃送礼或变相受礼；</w:t>
            </w:r>
          </w:p>
          <w:p w14:paraId="755B907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6）禁止向监理人介绍分包或推销材料、设备等；</w:t>
            </w:r>
          </w:p>
          <w:p w14:paraId="4FF55158">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7）禁止故意刁难施工方以谋取私利，损害</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的合法利益。</w:t>
            </w:r>
          </w:p>
        </w:tc>
        <w:tc>
          <w:tcPr>
            <w:tcW w:w="1668" w:type="dxa"/>
            <w:tcBorders>
              <w:top w:val="single" w:color="000000" w:sz="4" w:space="0"/>
              <w:left w:val="nil"/>
              <w:bottom w:val="single" w:color="000000" w:sz="4" w:space="0"/>
              <w:right w:val="single" w:color="000000" w:sz="4" w:space="0"/>
            </w:tcBorders>
            <w:noWrap w:val="0"/>
            <w:vAlign w:val="center"/>
          </w:tcPr>
          <w:p w14:paraId="54D6C42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5000元</w:t>
            </w:r>
          </w:p>
        </w:tc>
        <w:tc>
          <w:tcPr>
            <w:tcW w:w="2016" w:type="dxa"/>
            <w:tcBorders>
              <w:top w:val="single" w:color="000000" w:sz="4" w:space="0"/>
              <w:left w:val="nil"/>
              <w:bottom w:val="single" w:color="000000" w:sz="4" w:space="0"/>
              <w:right w:val="single" w:color="000000" w:sz="4" w:space="0"/>
            </w:tcBorders>
            <w:noWrap w:val="0"/>
            <w:vAlign w:val="center"/>
          </w:tcPr>
          <w:p w14:paraId="7B7C966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而且直接解除合同，不做费用补偿，且对已完成的监理服务，不再支付监理费用，并通报建设行政主管部门，构成犯罪的，依法移交司法机关处理</w:t>
            </w:r>
          </w:p>
        </w:tc>
      </w:tr>
      <w:tr w14:paraId="2293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3A7C2A60">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6</w:t>
            </w:r>
          </w:p>
        </w:tc>
        <w:tc>
          <w:tcPr>
            <w:tcW w:w="5027" w:type="dxa"/>
            <w:tcBorders>
              <w:top w:val="single" w:color="000000" w:sz="4" w:space="0"/>
              <w:left w:val="nil"/>
              <w:bottom w:val="single" w:color="000000" w:sz="4" w:space="0"/>
              <w:right w:val="single" w:color="000000" w:sz="4" w:space="0"/>
            </w:tcBorders>
            <w:noWrap w:val="0"/>
            <w:vAlign w:val="center"/>
          </w:tcPr>
          <w:p w14:paraId="0535647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如监理人在投标时根据招标文件《商务评分表》“人员配置”作出了增加人员的承诺，而开工后，实际上没有增加，经</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要求后，在10天内仍未能配齐增加的造价工程师和专业工程师</w:t>
            </w:r>
          </w:p>
        </w:tc>
        <w:tc>
          <w:tcPr>
            <w:tcW w:w="1668" w:type="dxa"/>
            <w:tcBorders>
              <w:top w:val="single" w:color="000000" w:sz="4" w:space="0"/>
              <w:left w:val="nil"/>
              <w:bottom w:val="single" w:color="000000" w:sz="4" w:space="0"/>
              <w:right w:val="single" w:color="000000" w:sz="4" w:space="0"/>
            </w:tcBorders>
            <w:noWrap w:val="0"/>
            <w:vAlign w:val="center"/>
          </w:tcPr>
          <w:p w14:paraId="7D34A78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17D1E26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视为非常严重的违约，直接解除合同</w:t>
            </w:r>
          </w:p>
        </w:tc>
      </w:tr>
      <w:tr w14:paraId="0810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331BA3DE">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lang w:val="en-US" w:eastAsia="zh-CN" w:bidi="ar"/>
                <w14:textFill>
                  <w14:solidFill>
                    <w14:schemeClr w14:val="tx1"/>
                  </w14:solidFill>
                </w14:textFill>
              </w:rPr>
              <w:t>9.3.4</w:t>
            </w:r>
          </w:p>
        </w:tc>
        <w:tc>
          <w:tcPr>
            <w:tcW w:w="5027" w:type="dxa"/>
            <w:tcBorders>
              <w:top w:val="single" w:color="000000" w:sz="4" w:space="0"/>
              <w:left w:val="nil"/>
              <w:bottom w:val="single" w:color="000000" w:sz="4" w:space="0"/>
              <w:right w:val="single" w:color="000000" w:sz="4" w:space="0"/>
            </w:tcBorders>
            <w:noWrap w:val="0"/>
            <w:vAlign w:val="center"/>
          </w:tcPr>
          <w:p w14:paraId="44F89AA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监理不达标造成的违约</w:t>
            </w:r>
          </w:p>
        </w:tc>
        <w:tc>
          <w:tcPr>
            <w:tcW w:w="1668" w:type="dxa"/>
            <w:tcBorders>
              <w:top w:val="single" w:color="000000" w:sz="4" w:space="0"/>
              <w:left w:val="nil"/>
              <w:bottom w:val="single" w:color="000000" w:sz="4" w:space="0"/>
              <w:right w:val="single" w:color="000000" w:sz="4" w:space="0"/>
            </w:tcBorders>
            <w:noWrap w:val="0"/>
            <w:vAlign w:val="center"/>
          </w:tcPr>
          <w:p w14:paraId="2BD088D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c>
          <w:tcPr>
            <w:tcW w:w="2016" w:type="dxa"/>
            <w:tcBorders>
              <w:top w:val="single" w:color="000000" w:sz="4" w:space="0"/>
              <w:left w:val="nil"/>
              <w:bottom w:val="single" w:color="000000" w:sz="4" w:space="0"/>
              <w:right w:val="single" w:color="000000" w:sz="4" w:space="0"/>
            </w:tcBorders>
            <w:noWrap w:val="0"/>
            <w:vAlign w:val="center"/>
          </w:tcPr>
          <w:p w14:paraId="1C5A1AD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5A71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35323CA9">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w:t>
            </w:r>
          </w:p>
        </w:tc>
        <w:tc>
          <w:tcPr>
            <w:tcW w:w="5027" w:type="dxa"/>
            <w:tcBorders>
              <w:top w:val="single" w:color="000000" w:sz="4" w:space="0"/>
              <w:left w:val="nil"/>
              <w:bottom w:val="single" w:color="000000" w:sz="4" w:space="0"/>
              <w:right w:val="single" w:color="000000" w:sz="4" w:space="0"/>
            </w:tcBorders>
            <w:noWrap w:val="0"/>
            <w:vAlign w:val="center"/>
          </w:tcPr>
          <w:p w14:paraId="3FFA65FF">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质量控制不达标：工程竣工验收质量未达到施工合同等级要求的，不管任何原因</w:t>
            </w:r>
          </w:p>
        </w:tc>
        <w:tc>
          <w:tcPr>
            <w:tcW w:w="1668" w:type="dxa"/>
            <w:tcBorders>
              <w:top w:val="single" w:color="000000" w:sz="4" w:space="0"/>
              <w:left w:val="nil"/>
              <w:bottom w:val="single" w:color="000000" w:sz="4" w:space="0"/>
              <w:right w:val="single" w:color="000000" w:sz="4" w:space="0"/>
            </w:tcBorders>
            <w:noWrap w:val="0"/>
            <w:vAlign w:val="center"/>
          </w:tcPr>
          <w:p w14:paraId="4E2E4B06">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0F3819F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结算扣减监理合同价款的5％，同时不免除追究当事人和监理人的法律责任，监理人需无条件免费监理服务至工程质量达到合格止</w:t>
            </w:r>
          </w:p>
        </w:tc>
      </w:tr>
      <w:tr w14:paraId="0C77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DFC9BFC">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w:t>
            </w:r>
          </w:p>
        </w:tc>
        <w:tc>
          <w:tcPr>
            <w:tcW w:w="5027" w:type="dxa"/>
            <w:tcBorders>
              <w:top w:val="single" w:color="000000" w:sz="4" w:space="0"/>
              <w:left w:val="nil"/>
              <w:bottom w:val="single" w:color="000000" w:sz="4" w:space="0"/>
              <w:right w:val="single" w:color="000000" w:sz="4" w:space="0"/>
            </w:tcBorders>
            <w:noWrap w:val="0"/>
            <w:vAlign w:val="center"/>
          </w:tcPr>
          <w:p w14:paraId="0DCE601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投资控制不达标：如监理人原因造成工程建安费结算价突破投资控制值的</w:t>
            </w:r>
          </w:p>
        </w:tc>
        <w:tc>
          <w:tcPr>
            <w:tcW w:w="1668" w:type="dxa"/>
            <w:tcBorders>
              <w:top w:val="single" w:color="000000" w:sz="4" w:space="0"/>
              <w:left w:val="nil"/>
              <w:bottom w:val="single" w:color="000000" w:sz="4" w:space="0"/>
              <w:right w:val="single" w:color="000000" w:sz="4" w:space="0"/>
            </w:tcBorders>
            <w:noWrap w:val="0"/>
            <w:vAlign w:val="center"/>
          </w:tcPr>
          <w:p w14:paraId="4AEA24B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627CF31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每突破1％，结算扣减监理合同价款的1％</w:t>
            </w:r>
          </w:p>
        </w:tc>
      </w:tr>
      <w:tr w14:paraId="6C9F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5DA992D4">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3</w:t>
            </w:r>
          </w:p>
        </w:tc>
        <w:tc>
          <w:tcPr>
            <w:tcW w:w="5027" w:type="dxa"/>
            <w:tcBorders>
              <w:top w:val="single" w:color="000000" w:sz="4" w:space="0"/>
              <w:left w:val="nil"/>
              <w:bottom w:val="single" w:color="000000" w:sz="4" w:space="0"/>
              <w:right w:val="single" w:color="000000" w:sz="4" w:space="0"/>
            </w:tcBorders>
            <w:noWrap w:val="0"/>
            <w:vAlign w:val="center"/>
          </w:tcPr>
          <w:p w14:paraId="433AD7B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进度控制不达标：工程竣工验收通过日延误的</w:t>
            </w:r>
          </w:p>
        </w:tc>
        <w:tc>
          <w:tcPr>
            <w:tcW w:w="1668" w:type="dxa"/>
            <w:tcBorders>
              <w:top w:val="single" w:color="000000" w:sz="4" w:space="0"/>
              <w:left w:val="nil"/>
              <w:bottom w:val="single" w:color="000000" w:sz="4" w:space="0"/>
              <w:right w:val="single" w:color="000000" w:sz="4" w:space="0"/>
            </w:tcBorders>
            <w:noWrap w:val="0"/>
            <w:vAlign w:val="center"/>
          </w:tcPr>
          <w:p w14:paraId="34576292">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19AE45E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视监理人的责任情况结算索赔监理合同价款1％－3％的违约金</w:t>
            </w:r>
          </w:p>
        </w:tc>
      </w:tr>
      <w:tr w14:paraId="1B93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5E3EB980">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4</w:t>
            </w:r>
          </w:p>
        </w:tc>
        <w:tc>
          <w:tcPr>
            <w:tcW w:w="5027" w:type="dxa"/>
            <w:tcBorders>
              <w:top w:val="single" w:color="000000" w:sz="4" w:space="0"/>
              <w:left w:val="nil"/>
              <w:bottom w:val="single" w:color="000000" w:sz="4" w:space="0"/>
              <w:right w:val="single" w:color="000000" w:sz="4" w:space="0"/>
            </w:tcBorders>
            <w:noWrap w:val="0"/>
            <w:vAlign w:val="center"/>
          </w:tcPr>
          <w:p w14:paraId="5DD5E06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安全管理不达标：工程发生一般安全生产事故，或被上级主管部门通报批评、被新闻媒体曝光的</w:t>
            </w:r>
          </w:p>
        </w:tc>
        <w:tc>
          <w:tcPr>
            <w:tcW w:w="1668" w:type="dxa"/>
            <w:tcBorders>
              <w:top w:val="single" w:color="000000" w:sz="4" w:space="0"/>
              <w:left w:val="nil"/>
              <w:bottom w:val="single" w:color="000000" w:sz="4" w:space="0"/>
              <w:right w:val="single" w:color="000000" w:sz="4" w:space="0"/>
            </w:tcBorders>
            <w:noWrap w:val="0"/>
            <w:vAlign w:val="center"/>
          </w:tcPr>
          <w:p w14:paraId="6A0E3E6F">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7C1207C3">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监理人需支付监理合同价款的1%作为违约金</w:t>
            </w:r>
          </w:p>
        </w:tc>
      </w:tr>
      <w:tr w14:paraId="514B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DDF9CDC">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5</w:t>
            </w:r>
          </w:p>
        </w:tc>
        <w:tc>
          <w:tcPr>
            <w:tcW w:w="5027" w:type="dxa"/>
            <w:tcBorders>
              <w:top w:val="single" w:color="000000" w:sz="4" w:space="0"/>
              <w:left w:val="nil"/>
              <w:bottom w:val="single" w:color="000000" w:sz="4" w:space="0"/>
              <w:right w:val="single" w:color="000000" w:sz="4" w:space="0"/>
            </w:tcBorders>
            <w:noWrap w:val="0"/>
            <w:vAlign w:val="center"/>
          </w:tcPr>
          <w:p w14:paraId="5E6D5AD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安全管理不达标：发生较大以上安全质量事故（按国家及合同有关规定界定）的</w:t>
            </w:r>
          </w:p>
        </w:tc>
        <w:tc>
          <w:tcPr>
            <w:tcW w:w="1668" w:type="dxa"/>
            <w:tcBorders>
              <w:top w:val="single" w:color="000000" w:sz="4" w:space="0"/>
              <w:left w:val="nil"/>
              <w:bottom w:val="single" w:color="000000" w:sz="4" w:space="0"/>
              <w:right w:val="single" w:color="000000" w:sz="4" w:space="0"/>
            </w:tcBorders>
            <w:noWrap w:val="0"/>
            <w:vAlign w:val="center"/>
          </w:tcPr>
          <w:p w14:paraId="49142E0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7FEBE67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监理人需支付监理合同价款的3%作为违约金</w:t>
            </w:r>
          </w:p>
        </w:tc>
      </w:tr>
      <w:tr w14:paraId="563B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58E1D6D3">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6</w:t>
            </w:r>
          </w:p>
        </w:tc>
        <w:tc>
          <w:tcPr>
            <w:tcW w:w="5027" w:type="dxa"/>
            <w:tcBorders>
              <w:top w:val="single" w:color="000000" w:sz="4" w:space="0"/>
              <w:left w:val="nil"/>
              <w:bottom w:val="single" w:color="000000" w:sz="4" w:space="0"/>
              <w:right w:val="single" w:color="000000" w:sz="4" w:space="0"/>
            </w:tcBorders>
            <w:noWrap w:val="0"/>
            <w:vAlign w:val="center"/>
          </w:tcPr>
          <w:p w14:paraId="704DDC9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安全管理不达标：情节严重的</w:t>
            </w:r>
          </w:p>
        </w:tc>
        <w:tc>
          <w:tcPr>
            <w:tcW w:w="1668" w:type="dxa"/>
            <w:tcBorders>
              <w:top w:val="single" w:color="000000" w:sz="4" w:space="0"/>
              <w:left w:val="nil"/>
              <w:bottom w:val="single" w:color="000000" w:sz="4" w:space="0"/>
              <w:right w:val="single" w:color="000000" w:sz="4" w:space="0"/>
            </w:tcBorders>
            <w:noWrap w:val="0"/>
            <w:vAlign w:val="center"/>
          </w:tcPr>
          <w:p w14:paraId="36EB9A1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0451761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有权部分或全部解除合同</w:t>
            </w:r>
          </w:p>
        </w:tc>
      </w:tr>
      <w:tr w14:paraId="66D3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69398B3A">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7</w:t>
            </w:r>
          </w:p>
        </w:tc>
        <w:tc>
          <w:tcPr>
            <w:tcW w:w="5027" w:type="dxa"/>
            <w:tcBorders>
              <w:top w:val="single" w:color="000000" w:sz="4" w:space="0"/>
              <w:left w:val="nil"/>
              <w:bottom w:val="single" w:color="000000" w:sz="4" w:space="0"/>
              <w:right w:val="single" w:color="000000" w:sz="4" w:space="0"/>
            </w:tcBorders>
            <w:noWrap w:val="0"/>
            <w:vAlign w:val="center"/>
          </w:tcPr>
          <w:p w14:paraId="4174E80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监理人应保证每季度进度计量（价）数据的准确性，如发生计量（价）误差＞5%，则视为监理人违约一次</w:t>
            </w:r>
          </w:p>
        </w:tc>
        <w:tc>
          <w:tcPr>
            <w:tcW w:w="1668" w:type="dxa"/>
            <w:tcBorders>
              <w:top w:val="single" w:color="000000" w:sz="4" w:space="0"/>
              <w:left w:val="nil"/>
              <w:bottom w:val="single" w:color="000000" w:sz="4" w:space="0"/>
              <w:right w:val="single" w:color="000000" w:sz="4" w:space="0"/>
            </w:tcBorders>
            <w:noWrap w:val="0"/>
            <w:vAlign w:val="center"/>
          </w:tcPr>
          <w:p w14:paraId="14B539A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2000元</w:t>
            </w:r>
          </w:p>
        </w:tc>
        <w:tc>
          <w:tcPr>
            <w:tcW w:w="2016" w:type="dxa"/>
            <w:tcBorders>
              <w:top w:val="single" w:color="000000" w:sz="4" w:space="0"/>
              <w:left w:val="nil"/>
              <w:bottom w:val="single" w:color="000000" w:sz="4" w:space="0"/>
              <w:right w:val="single" w:color="000000" w:sz="4" w:space="0"/>
            </w:tcBorders>
            <w:noWrap w:val="0"/>
            <w:vAlign w:val="center"/>
          </w:tcPr>
          <w:p w14:paraId="06349E4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并无条件在整改期内达到要求为止，配备满足</w:t>
            </w:r>
          </w:p>
        </w:tc>
      </w:tr>
      <w:tr w14:paraId="02B9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208CC13F">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lang w:val="en-US" w:eastAsia="zh-CN" w:bidi="ar"/>
                <w14:textFill>
                  <w14:solidFill>
                    <w14:schemeClr w14:val="tx1"/>
                  </w14:solidFill>
                </w14:textFill>
              </w:rPr>
              <w:t>9.3.6</w:t>
            </w:r>
          </w:p>
        </w:tc>
        <w:tc>
          <w:tcPr>
            <w:tcW w:w="5027" w:type="dxa"/>
            <w:tcBorders>
              <w:top w:val="single" w:color="000000" w:sz="4" w:space="0"/>
              <w:left w:val="nil"/>
              <w:bottom w:val="single" w:color="000000" w:sz="4" w:space="0"/>
              <w:right w:val="single" w:color="000000" w:sz="4" w:space="0"/>
            </w:tcBorders>
            <w:noWrap w:val="0"/>
            <w:vAlign w:val="center"/>
          </w:tcPr>
          <w:p w14:paraId="6F1A1DC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其他违约及违约责任</w:t>
            </w:r>
          </w:p>
        </w:tc>
        <w:tc>
          <w:tcPr>
            <w:tcW w:w="1668" w:type="dxa"/>
            <w:tcBorders>
              <w:top w:val="single" w:color="000000" w:sz="4" w:space="0"/>
              <w:left w:val="nil"/>
              <w:bottom w:val="single" w:color="000000" w:sz="4" w:space="0"/>
              <w:right w:val="single" w:color="000000" w:sz="4" w:space="0"/>
            </w:tcBorders>
            <w:noWrap w:val="0"/>
            <w:vAlign w:val="center"/>
          </w:tcPr>
          <w:p w14:paraId="1425665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c>
          <w:tcPr>
            <w:tcW w:w="2016" w:type="dxa"/>
            <w:tcBorders>
              <w:top w:val="single" w:color="000000" w:sz="4" w:space="0"/>
              <w:left w:val="nil"/>
              <w:bottom w:val="single" w:color="000000" w:sz="4" w:space="0"/>
              <w:right w:val="single" w:color="000000" w:sz="4" w:space="0"/>
            </w:tcBorders>
            <w:noWrap w:val="0"/>
            <w:vAlign w:val="center"/>
          </w:tcPr>
          <w:p w14:paraId="1678B43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546D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30EC61F7">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w:t>
            </w:r>
          </w:p>
        </w:tc>
        <w:tc>
          <w:tcPr>
            <w:tcW w:w="5027" w:type="dxa"/>
            <w:tcBorders>
              <w:top w:val="single" w:color="000000" w:sz="4" w:space="0"/>
              <w:left w:val="nil"/>
              <w:bottom w:val="single" w:color="000000" w:sz="4" w:space="0"/>
              <w:right w:val="single" w:color="000000" w:sz="4" w:space="0"/>
            </w:tcBorders>
            <w:noWrap w:val="0"/>
            <w:vAlign w:val="center"/>
          </w:tcPr>
          <w:p w14:paraId="6AAD99F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因监理人责任引起变更造成投资规模增加10%以上的</w:t>
            </w:r>
          </w:p>
        </w:tc>
        <w:tc>
          <w:tcPr>
            <w:tcW w:w="1668" w:type="dxa"/>
            <w:tcBorders>
              <w:top w:val="single" w:color="000000" w:sz="4" w:space="0"/>
              <w:left w:val="nil"/>
              <w:bottom w:val="single" w:color="000000" w:sz="4" w:space="0"/>
              <w:right w:val="single" w:color="000000" w:sz="4" w:space="0"/>
            </w:tcBorders>
            <w:noWrap w:val="0"/>
            <w:vAlign w:val="center"/>
          </w:tcPr>
          <w:p w14:paraId="18E8102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7A9AD241">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监理人需支付合同价款的20%作为违约金</w:t>
            </w:r>
          </w:p>
        </w:tc>
      </w:tr>
      <w:tr w14:paraId="6E19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788D45E8">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w:t>
            </w:r>
          </w:p>
        </w:tc>
        <w:tc>
          <w:tcPr>
            <w:tcW w:w="5027" w:type="dxa"/>
            <w:tcBorders>
              <w:top w:val="single" w:color="000000" w:sz="4" w:space="0"/>
              <w:left w:val="nil"/>
              <w:bottom w:val="single" w:color="000000" w:sz="4" w:space="0"/>
              <w:right w:val="single" w:color="000000" w:sz="4" w:space="0"/>
            </w:tcBorders>
            <w:noWrap w:val="0"/>
            <w:vAlign w:val="center"/>
          </w:tcPr>
          <w:p w14:paraId="0D0BC67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因监理人责任引起变更造成投资规模增加15%以上的</w:t>
            </w:r>
          </w:p>
        </w:tc>
        <w:tc>
          <w:tcPr>
            <w:tcW w:w="1668" w:type="dxa"/>
            <w:tcBorders>
              <w:top w:val="single" w:color="000000" w:sz="4" w:space="0"/>
              <w:left w:val="nil"/>
              <w:bottom w:val="single" w:color="000000" w:sz="4" w:space="0"/>
              <w:right w:val="single" w:color="000000" w:sz="4" w:space="0"/>
            </w:tcBorders>
            <w:noWrap w:val="0"/>
            <w:vAlign w:val="center"/>
          </w:tcPr>
          <w:p w14:paraId="5CB9642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63A5EEB8">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监理人需支付合同价款的30%作为违约金</w:t>
            </w:r>
          </w:p>
        </w:tc>
      </w:tr>
      <w:tr w14:paraId="74DA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5B327AD3">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3</w:t>
            </w:r>
          </w:p>
        </w:tc>
        <w:tc>
          <w:tcPr>
            <w:tcW w:w="5027" w:type="dxa"/>
            <w:tcBorders>
              <w:top w:val="single" w:color="000000" w:sz="4" w:space="0"/>
              <w:left w:val="nil"/>
              <w:bottom w:val="single" w:color="000000" w:sz="4" w:space="0"/>
              <w:right w:val="single" w:color="000000" w:sz="4" w:space="0"/>
            </w:tcBorders>
            <w:noWrap w:val="0"/>
            <w:vAlign w:val="center"/>
          </w:tcPr>
          <w:p w14:paraId="486492E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因监理人责任引起变更造成投资规模增加20%以上的</w:t>
            </w:r>
          </w:p>
        </w:tc>
        <w:tc>
          <w:tcPr>
            <w:tcW w:w="1668" w:type="dxa"/>
            <w:tcBorders>
              <w:top w:val="single" w:color="000000" w:sz="4" w:space="0"/>
              <w:left w:val="nil"/>
              <w:bottom w:val="single" w:color="000000" w:sz="4" w:space="0"/>
              <w:right w:val="single" w:color="000000" w:sz="4" w:space="0"/>
            </w:tcBorders>
            <w:noWrap w:val="0"/>
            <w:vAlign w:val="center"/>
          </w:tcPr>
          <w:p w14:paraId="60377A9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66C106E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监理人需支付合同价款的40%作为违约金</w:t>
            </w:r>
          </w:p>
        </w:tc>
      </w:tr>
      <w:tr w14:paraId="4E76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3F70EF56">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4</w:t>
            </w:r>
          </w:p>
        </w:tc>
        <w:tc>
          <w:tcPr>
            <w:tcW w:w="5027" w:type="dxa"/>
            <w:tcBorders>
              <w:top w:val="single" w:color="000000" w:sz="4" w:space="0"/>
              <w:left w:val="nil"/>
              <w:bottom w:val="single" w:color="000000" w:sz="4" w:space="0"/>
              <w:right w:val="single" w:color="000000" w:sz="4" w:space="0"/>
            </w:tcBorders>
            <w:noWrap w:val="0"/>
            <w:vAlign w:val="center"/>
          </w:tcPr>
          <w:p w14:paraId="757B8AD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本工程质量必须达到合格标准。若因监理人原因，工程在竣工验收或分部工程验收时没有达到此标准</w:t>
            </w:r>
          </w:p>
        </w:tc>
        <w:tc>
          <w:tcPr>
            <w:tcW w:w="1668" w:type="dxa"/>
            <w:tcBorders>
              <w:top w:val="single" w:color="000000" w:sz="4" w:space="0"/>
              <w:left w:val="nil"/>
              <w:bottom w:val="single" w:color="000000" w:sz="4" w:space="0"/>
              <w:right w:val="single" w:color="000000" w:sz="4" w:space="0"/>
            </w:tcBorders>
            <w:noWrap w:val="0"/>
            <w:vAlign w:val="center"/>
          </w:tcPr>
          <w:p w14:paraId="7904BE7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00C438D2">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监理人按监理合同价款（指监理结算价款）的5％向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返纳质量违约金</w:t>
            </w:r>
          </w:p>
        </w:tc>
      </w:tr>
      <w:tr w14:paraId="2F79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5262A2AE">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5</w:t>
            </w:r>
          </w:p>
        </w:tc>
        <w:tc>
          <w:tcPr>
            <w:tcW w:w="5027" w:type="dxa"/>
            <w:tcBorders>
              <w:top w:val="single" w:color="000000" w:sz="4" w:space="0"/>
              <w:left w:val="nil"/>
              <w:bottom w:val="single" w:color="000000" w:sz="4" w:space="0"/>
              <w:right w:val="single" w:color="000000" w:sz="4" w:space="0"/>
            </w:tcBorders>
            <w:noWrap w:val="0"/>
            <w:vAlign w:val="center"/>
          </w:tcPr>
          <w:p w14:paraId="1FA6A8B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拟派驻监理机构组成人员数量须符合《广东省建设厅粤建管（2002）97号文》关于工程项目监理最少人数配置的要求,且在施工现场进行监理的总监理工程师、专业监理工程师、其他监理人员全部必须是投标文件中所拟派的人员。同时，监理人派驻到工程所在地进行监理服务的监理人员，应能够胜任监理合同约定的监理服务工作。</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有权以书面形式要求监理人更换不能按照监理合同的约定进行监理服务的派驻人员，若监理人拒不执行或无法在15个工作日内完成更换</w:t>
            </w:r>
          </w:p>
        </w:tc>
        <w:tc>
          <w:tcPr>
            <w:tcW w:w="1668" w:type="dxa"/>
            <w:tcBorders>
              <w:top w:val="single" w:color="000000" w:sz="4" w:space="0"/>
              <w:left w:val="nil"/>
              <w:bottom w:val="single" w:color="000000" w:sz="4" w:space="0"/>
              <w:right w:val="single" w:color="000000" w:sz="4" w:space="0"/>
            </w:tcBorders>
            <w:noWrap w:val="0"/>
            <w:vAlign w:val="center"/>
          </w:tcPr>
          <w:p w14:paraId="32921911">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642DFC5F">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每发生一次扣除签约合同价的10%作为违约金</w:t>
            </w:r>
          </w:p>
        </w:tc>
      </w:tr>
      <w:tr w14:paraId="536A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032B2D34">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6</w:t>
            </w:r>
          </w:p>
        </w:tc>
        <w:tc>
          <w:tcPr>
            <w:tcW w:w="5027" w:type="dxa"/>
            <w:tcBorders>
              <w:top w:val="single" w:color="000000" w:sz="4" w:space="0"/>
              <w:left w:val="nil"/>
              <w:bottom w:val="single" w:color="000000" w:sz="4" w:space="0"/>
              <w:right w:val="single" w:color="000000" w:sz="4" w:space="0"/>
            </w:tcBorders>
            <w:noWrap w:val="0"/>
            <w:vAlign w:val="center"/>
          </w:tcPr>
          <w:p w14:paraId="58A861A1">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监理</w:t>
            </w:r>
            <w:r>
              <w:rPr>
                <w:rFonts w:hint="eastAsia" w:hAnsi="宋体" w:cs="宋体"/>
                <w:color w:val="000000" w:themeColor="text1"/>
                <w:kern w:val="0"/>
                <w:sz w:val="24"/>
                <w:szCs w:val="24"/>
                <w:highlight w:val="none"/>
                <w:lang w:val="en-US" w:eastAsia="zh-CN" w:bidi="ar"/>
                <w14:textFill>
                  <w14:solidFill>
                    <w14:schemeClr w14:val="tx1"/>
                  </w14:solidFill>
                </w14:textFill>
              </w:rPr>
              <w:t>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应在每月28日前根据工程进度向</w:t>
            </w:r>
            <w:r>
              <w:rPr>
                <w:rFonts w:hint="eastAsia" w:hAnsi="宋体" w:cs="宋体"/>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报审下月的工作计划表（样表见下表）。如未按时提交，每推迟一天</w:t>
            </w:r>
          </w:p>
        </w:tc>
        <w:tc>
          <w:tcPr>
            <w:tcW w:w="1668" w:type="dxa"/>
            <w:tcBorders>
              <w:top w:val="single" w:color="000000" w:sz="4" w:space="0"/>
              <w:left w:val="nil"/>
              <w:bottom w:val="single" w:color="000000" w:sz="4" w:space="0"/>
              <w:right w:val="single" w:color="000000" w:sz="4" w:space="0"/>
            </w:tcBorders>
            <w:noWrap w:val="0"/>
            <w:vAlign w:val="center"/>
          </w:tcPr>
          <w:p w14:paraId="2C4E19D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000元/天</w:t>
            </w:r>
          </w:p>
        </w:tc>
        <w:tc>
          <w:tcPr>
            <w:tcW w:w="2016" w:type="dxa"/>
            <w:tcBorders>
              <w:top w:val="single" w:color="000000" w:sz="4" w:space="0"/>
              <w:left w:val="nil"/>
              <w:bottom w:val="single" w:color="000000" w:sz="4" w:space="0"/>
              <w:right w:val="single" w:color="000000" w:sz="4" w:space="0"/>
            </w:tcBorders>
            <w:noWrap w:val="0"/>
            <w:vAlign w:val="center"/>
          </w:tcPr>
          <w:p w14:paraId="14085DD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1A2F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FCA7D59">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7</w:t>
            </w:r>
          </w:p>
        </w:tc>
        <w:tc>
          <w:tcPr>
            <w:tcW w:w="5027" w:type="dxa"/>
            <w:tcBorders>
              <w:top w:val="single" w:color="000000" w:sz="4" w:space="0"/>
              <w:left w:val="nil"/>
              <w:bottom w:val="single" w:color="000000" w:sz="4" w:space="0"/>
              <w:right w:val="single" w:color="000000" w:sz="4" w:space="0"/>
            </w:tcBorders>
            <w:noWrap w:val="0"/>
            <w:vAlign w:val="center"/>
          </w:tcPr>
          <w:p w14:paraId="3BFAF5C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如未实施工作计划表中内容</w:t>
            </w:r>
          </w:p>
        </w:tc>
        <w:tc>
          <w:tcPr>
            <w:tcW w:w="1668" w:type="dxa"/>
            <w:tcBorders>
              <w:top w:val="single" w:color="000000" w:sz="4" w:space="0"/>
              <w:left w:val="nil"/>
              <w:bottom w:val="single" w:color="000000" w:sz="4" w:space="0"/>
              <w:right w:val="single" w:color="000000" w:sz="4" w:space="0"/>
            </w:tcBorders>
            <w:noWrap w:val="0"/>
            <w:vAlign w:val="center"/>
          </w:tcPr>
          <w:p w14:paraId="5379D7D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000元/项</w:t>
            </w:r>
          </w:p>
        </w:tc>
        <w:tc>
          <w:tcPr>
            <w:tcW w:w="2016" w:type="dxa"/>
            <w:tcBorders>
              <w:top w:val="single" w:color="000000" w:sz="4" w:space="0"/>
              <w:left w:val="nil"/>
              <w:bottom w:val="single" w:color="000000" w:sz="4" w:space="0"/>
              <w:right w:val="single" w:color="000000" w:sz="4" w:space="0"/>
            </w:tcBorders>
            <w:noWrap w:val="0"/>
            <w:vAlign w:val="center"/>
          </w:tcPr>
          <w:p w14:paraId="76DD020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0416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1D7339C5">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8</w:t>
            </w:r>
          </w:p>
        </w:tc>
        <w:tc>
          <w:tcPr>
            <w:tcW w:w="5027" w:type="dxa"/>
            <w:tcBorders>
              <w:top w:val="single" w:color="000000" w:sz="4" w:space="0"/>
              <w:left w:val="nil"/>
              <w:bottom w:val="single" w:color="000000" w:sz="4" w:space="0"/>
              <w:right w:val="single" w:color="000000" w:sz="4" w:space="0"/>
            </w:tcBorders>
            <w:noWrap w:val="0"/>
            <w:vAlign w:val="center"/>
          </w:tcPr>
          <w:p w14:paraId="3E1BF8B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监理</w:t>
            </w:r>
            <w:r>
              <w:rPr>
                <w:rFonts w:hint="eastAsia" w:hAnsi="宋体" w:cs="宋体"/>
                <w:color w:val="000000" w:themeColor="text1"/>
                <w:kern w:val="0"/>
                <w:sz w:val="24"/>
                <w:szCs w:val="24"/>
                <w:highlight w:val="none"/>
                <w:lang w:val="en-US" w:eastAsia="zh-CN" w:bidi="ar"/>
                <w14:textFill>
                  <w14:solidFill>
                    <w14:schemeClr w14:val="tx1"/>
                  </w14:solidFill>
                </w14:textFill>
              </w:rPr>
              <w:t>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根据</w:t>
            </w:r>
            <w:r>
              <w:rPr>
                <w:rFonts w:hint="eastAsia" w:hAnsi="宋体" w:cs="宋体"/>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与施工单位签订的施工合同中约定的工程进度节点计划考核内容，结合现场实际施工进度对比后，在考核节点后的5天内提交考核报告，报告每逾期一天</w:t>
            </w:r>
          </w:p>
        </w:tc>
        <w:tc>
          <w:tcPr>
            <w:tcW w:w="1668" w:type="dxa"/>
            <w:tcBorders>
              <w:top w:val="single" w:color="000000" w:sz="4" w:space="0"/>
              <w:left w:val="nil"/>
              <w:bottom w:val="single" w:color="000000" w:sz="4" w:space="0"/>
              <w:right w:val="single" w:color="000000" w:sz="4" w:space="0"/>
            </w:tcBorders>
            <w:noWrap w:val="0"/>
            <w:vAlign w:val="center"/>
          </w:tcPr>
          <w:p w14:paraId="23FD0C6F">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2"/>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000元/天</w:t>
            </w:r>
          </w:p>
        </w:tc>
        <w:tc>
          <w:tcPr>
            <w:tcW w:w="2016" w:type="dxa"/>
            <w:tcBorders>
              <w:top w:val="single" w:color="000000" w:sz="4" w:space="0"/>
              <w:left w:val="nil"/>
              <w:bottom w:val="single" w:color="000000" w:sz="4" w:space="0"/>
              <w:right w:val="single" w:color="000000" w:sz="4" w:space="0"/>
            </w:tcBorders>
            <w:noWrap w:val="0"/>
            <w:vAlign w:val="center"/>
          </w:tcPr>
          <w:p w14:paraId="5C650F28">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5769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E8D62D2">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9</w:t>
            </w:r>
          </w:p>
        </w:tc>
        <w:tc>
          <w:tcPr>
            <w:tcW w:w="5027" w:type="dxa"/>
            <w:tcBorders>
              <w:top w:val="single" w:color="000000" w:sz="4" w:space="0"/>
              <w:left w:val="nil"/>
              <w:bottom w:val="single" w:color="000000" w:sz="4" w:space="0"/>
              <w:right w:val="single" w:color="000000" w:sz="4" w:space="0"/>
            </w:tcBorders>
            <w:noWrap w:val="0"/>
            <w:vAlign w:val="center"/>
          </w:tcPr>
          <w:p w14:paraId="01FB544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施工现场存在安全隐患，</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监理</w:t>
            </w:r>
            <w:r>
              <w:rPr>
                <w:rFonts w:hint="eastAsia" w:hAnsi="宋体" w:cs="宋体"/>
                <w:color w:val="000000" w:themeColor="text1"/>
                <w:kern w:val="0"/>
                <w:sz w:val="24"/>
                <w:szCs w:val="24"/>
                <w:highlight w:val="none"/>
                <w:lang w:val="en-US" w:eastAsia="zh-CN" w:bidi="ar"/>
                <w14:textFill>
                  <w14:solidFill>
                    <w14:schemeClr w14:val="tx1"/>
                  </w14:solidFill>
                </w14:textFill>
              </w:rPr>
              <w:t>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未及时发现并发出整改指令</w:t>
            </w:r>
          </w:p>
        </w:tc>
        <w:tc>
          <w:tcPr>
            <w:tcW w:w="1668" w:type="dxa"/>
            <w:tcBorders>
              <w:top w:val="single" w:color="000000" w:sz="4" w:space="0"/>
              <w:left w:val="nil"/>
              <w:bottom w:val="single" w:color="000000" w:sz="4" w:space="0"/>
              <w:right w:val="single" w:color="000000" w:sz="4" w:space="0"/>
            </w:tcBorders>
            <w:noWrap w:val="0"/>
            <w:vAlign w:val="center"/>
          </w:tcPr>
          <w:p w14:paraId="37F5B8E1">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2000元/次</w:t>
            </w:r>
          </w:p>
        </w:tc>
        <w:tc>
          <w:tcPr>
            <w:tcW w:w="2016" w:type="dxa"/>
            <w:tcBorders>
              <w:top w:val="single" w:color="000000" w:sz="4" w:space="0"/>
              <w:left w:val="nil"/>
              <w:bottom w:val="single" w:color="000000" w:sz="4" w:space="0"/>
              <w:right w:val="single" w:color="000000" w:sz="4" w:space="0"/>
            </w:tcBorders>
            <w:noWrap w:val="0"/>
            <w:vAlign w:val="center"/>
          </w:tcPr>
          <w:p w14:paraId="2DEDDAA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64D5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115F7840">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10</w:t>
            </w:r>
          </w:p>
        </w:tc>
        <w:tc>
          <w:tcPr>
            <w:tcW w:w="5027" w:type="dxa"/>
            <w:tcBorders>
              <w:top w:val="single" w:color="000000" w:sz="4" w:space="0"/>
              <w:left w:val="nil"/>
              <w:bottom w:val="single" w:color="000000" w:sz="4" w:space="0"/>
              <w:right w:val="single" w:color="000000" w:sz="4" w:space="0"/>
            </w:tcBorders>
            <w:noWrap w:val="0"/>
            <w:vAlign w:val="center"/>
          </w:tcPr>
          <w:p w14:paraId="5324FF4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施工现场出现与图纸不符的建设内容，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监理</w:t>
            </w:r>
            <w:r>
              <w:rPr>
                <w:rFonts w:hint="eastAsia" w:hAnsi="宋体" w:cs="宋体"/>
                <w:color w:val="000000" w:themeColor="text1"/>
                <w:kern w:val="0"/>
                <w:sz w:val="24"/>
                <w:szCs w:val="24"/>
                <w:highlight w:val="none"/>
                <w:lang w:val="en-US" w:eastAsia="zh-CN" w:bidi="ar"/>
                <w14:textFill>
                  <w14:solidFill>
                    <w14:schemeClr w14:val="tx1"/>
                  </w14:solidFill>
                </w14:textFill>
              </w:rPr>
              <w:t>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未及时发现并发出整改指令，导致资金浪费或工期延误</w:t>
            </w:r>
          </w:p>
        </w:tc>
        <w:tc>
          <w:tcPr>
            <w:tcW w:w="1668" w:type="dxa"/>
            <w:tcBorders>
              <w:top w:val="single" w:color="000000" w:sz="4" w:space="0"/>
              <w:left w:val="nil"/>
              <w:bottom w:val="single" w:color="000000" w:sz="4" w:space="0"/>
              <w:right w:val="single" w:color="000000" w:sz="4" w:space="0"/>
            </w:tcBorders>
            <w:noWrap w:val="0"/>
            <w:vAlign w:val="center"/>
          </w:tcPr>
          <w:p w14:paraId="78980FE1">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2000元/次</w:t>
            </w:r>
          </w:p>
        </w:tc>
        <w:tc>
          <w:tcPr>
            <w:tcW w:w="2016" w:type="dxa"/>
            <w:tcBorders>
              <w:top w:val="single" w:color="000000" w:sz="4" w:space="0"/>
              <w:left w:val="nil"/>
              <w:bottom w:val="single" w:color="000000" w:sz="4" w:space="0"/>
              <w:right w:val="single" w:color="000000" w:sz="4" w:space="0"/>
            </w:tcBorders>
            <w:noWrap w:val="0"/>
            <w:vAlign w:val="center"/>
          </w:tcPr>
          <w:p w14:paraId="3717D40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19C9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745B7138">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11</w:t>
            </w:r>
          </w:p>
        </w:tc>
        <w:tc>
          <w:tcPr>
            <w:tcW w:w="5027" w:type="dxa"/>
            <w:tcBorders>
              <w:top w:val="single" w:color="000000" w:sz="4" w:space="0"/>
              <w:left w:val="nil"/>
              <w:bottom w:val="single" w:color="000000" w:sz="4" w:space="0"/>
              <w:right w:val="single" w:color="000000" w:sz="4" w:space="0"/>
            </w:tcBorders>
            <w:noWrap w:val="0"/>
            <w:vAlign w:val="center"/>
          </w:tcPr>
          <w:p w14:paraId="0DCD4B48">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总监理工程师未按要求到场的</w:t>
            </w:r>
          </w:p>
        </w:tc>
        <w:tc>
          <w:tcPr>
            <w:tcW w:w="1668" w:type="dxa"/>
            <w:tcBorders>
              <w:top w:val="single" w:color="000000" w:sz="4" w:space="0"/>
              <w:left w:val="nil"/>
              <w:bottom w:val="single" w:color="000000" w:sz="4" w:space="0"/>
              <w:right w:val="single" w:color="000000" w:sz="4" w:space="0"/>
            </w:tcBorders>
            <w:noWrap w:val="0"/>
            <w:vAlign w:val="center"/>
          </w:tcPr>
          <w:p w14:paraId="3738F3E3">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697A49B3">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4EF4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073003F7">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12</w:t>
            </w:r>
          </w:p>
        </w:tc>
        <w:tc>
          <w:tcPr>
            <w:tcW w:w="5027" w:type="dxa"/>
            <w:tcBorders>
              <w:top w:val="single" w:color="000000" w:sz="4" w:space="0"/>
              <w:left w:val="nil"/>
              <w:bottom w:val="single" w:color="000000" w:sz="4" w:space="0"/>
              <w:right w:val="single" w:color="000000" w:sz="4" w:space="0"/>
            </w:tcBorders>
            <w:noWrap w:val="0"/>
            <w:vAlign w:val="center"/>
          </w:tcPr>
          <w:p w14:paraId="57B32565">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施工期间，监理人员未经</w:t>
            </w:r>
            <w:r>
              <w:rPr>
                <w:rFonts w:hint="eastAsia" w:hAnsi="宋体" w:cs="宋体"/>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同意擅自离岗的</w:t>
            </w:r>
          </w:p>
        </w:tc>
        <w:tc>
          <w:tcPr>
            <w:tcW w:w="1668" w:type="dxa"/>
            <w:tcBorders>
              <w:top w:val="single" w:color="000000" w:sz="4" w:space="0"/>
              <w:left w:val="nil"/>
              <w:bottom w:val="single" w:color="000000" w:sz="4" w:space="0"/>
              <w:right w:val="single" w:color="000000" w:sz="4" w:space="0"/>
            </w:tcBorders>
            <w:noWrap w:val="0"/>
            <w:vAlign w:val="center"/>
          </w:tcPr>
          <w:p w14:paraId="506B323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45A1C2A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68C5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3D3BB45F">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13</w:t>
            </w:r>
          </w:p>
        </w:tc>
        <w:tc>
          <w:tcPr>
            <w:tcW w:w="5027" w:type="dxa"/>
            <w:tcBorders>
              <w:top w:val="single" w:color="000000" w:sz="4" w:space="0"/>
              <w:left w:val="nil"/>
              <w:bottom w:val="single" w:color="000000" w:sz="4" w:space="0"/>
              <w:right w:val="single" w:color="000000" w:sz="4" w:space="0"/>
            </w:tcBorders>
            <w:noWrap w:val="0"/>
            <w:vAlign w:val="center"/>
          </w:tcPr>
          <w:p w14:paraId="44A3B9A6">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监理未按要求及时提供会议纪要、材料检查记录等施工过程的监理资料的</w:t>
            </w:r>
          </w:p>
        </w:tc>
        <w:tc>
          <w:tcPr>
            <w:tcW w:w="1668" w:type="dxa"/>
            <w:tcBorders>
              <w:top w:val="single" w:color="000000" w:sz="4" w:space="0"/>
              <w:left w:val="nil"/>
              <w:bottom w:val="single" w:color="000000" w:sz="4" w:space="0"/>
              <w:right w:val="single" w:color="000000" w:sz="4" w:space="0"/>
            </w:tcBorders>
            <w:noWrap w:val="0"/>
            <w:vAlign w:val="center"/>
          </w:tcPr>
          <w:p w14:paraId="04E5458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4AB15E3F">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17D0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5E57EBA2">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14</w:t>
            </w:r>
          </w:p>
        </w:tc>
        <w:tc>
          <w:tcPr>
            <w:tcW w:w="5027" w:type="dxa"/>
            <w:tcBorders>
              <w:top w:val="single" w:color="000000" w:sz="4" w:space="0"/>
              <w:left w:val="nil"/>
              <w:bottom w:val="single" w:color="000000" w:sz="4" w:space="0"/>
              <w:right w:val="single" w:color="000000" w:sz="4" w:space="0"/>
            </w:tcBorders>
            <w:noWrap w:val="0"/>
            <w:vAlign w:val="center"/>
          </w:tcPr>
          <w:p w14:paraId="1F1A06A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监理人在</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施工单位</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进场前未对相关监理人员进行专项工程交底的（以书面记录为准），向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缴纳违约金</w:t>
            </w:r>
          </w:p>
        </w:tc>
        <w:tc>
          <w:tcPr>
            <w:tcW w:w="1668" w:type="dxa"/>
            <w:tcBorders>
              <w:top w:val="single" w:color="000000" w:sz="4" w:space="0"/>
              <w:left w:val="nil"/>
              <w:bottom w:val="single" w:color="000000" w:sz="4" w:space="0"/>
              <w:right w:val="single" w:color="000000" w:sz="4" w:space="0"/>
            </w:tcBorders>
            <w:noWrap w:val="0"/>
            <w:vAlign w:val="center"/>
          </w:tcPr>
          <w:p w14:paraId="3F7871A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6DE86068">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72B7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6CE2200D">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15</w:t>
            </w:r>
          </w:p>
        </w:tc>
        <w:tc>
          <w:tcPr>
            <w:tcW w:w="5027" w:type="dxa"/>
            <w:tcBorders>
              <w:top w:val="single" w:color="000000" w:sz="4" w:space="0"/>
              <w:left w:val="nil"/>
              <w:bottom w:val="single" w:color="000000" w:sz="4" w:space="0"/>
              <w:right w:val="single" w:color="000000" w:sz="4" w:space="0"/>
            </w:tcBorders>
            <w:noWrap w:val="0"/>
            <w:vAlign w:val="center"/>
          </w:tcPr>
          <w:p w14:paraId="2DD18EB8">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对</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施工单位</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未按图纸或招标文件的规定施工的，监理人未及时发现的，经</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指正属实后，向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缴纳违约金</w:t>
            </w:r>
          </w:p>
        </w:tc>
        <w:tc>
          <w:tcPr>
            <w:tcW w:w="1668" w:type="dxa"/>
            <w:tcBorders>
              <w:top w:val="single" w:color="000000" w:sz="4" w:space="0"/>
              <w:left w:val="nil"/>
              <w:bottom w:val="single" w:color="000000" w:sz="4" w:space="0"/>
              <w:right w:val="single" w:color="000000" w:sz="4" w:space="0"/>
            </w:tcBorders>
            <w:noWrap w:val="0"/>
            <w:vAlign w:val="center"/>
          </w:tcPr>
          <w:p w14:paraId="5F523C0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22C4D6B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21B7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F5F6F3E">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16</w:t>
            </w:r>
          </w:p>
        </w:tc>
        <w:tc>
          <w:tcPr>
            <w:tcW w:w="5027" w:type="dxa"/>
            <w:tcBorders>
              <w:top w:val="single" w:color="000000" w:sz="4" w:space="0"/>
              <w:left w:val="nil"/>
              <w:bottom w:val="single" w:color="000000" w:sz="4" w:space="0"/>
              <w:right w:val="single" w:color="000000" w:sz="4" w:space="0"/>
            </w:tcBorders>
            <w:noWrap w:val="0"/>
            <w:vAlign w:val="center"/>
          </w:tcPr>
          <w:p w14:paraId="61BEB55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监理人对发现</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施工单位</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的施工质量不符合要求而未及时发出整改通知，或对发出通知但</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施工单位</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未予整改的情况下不采取有效措施的，向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缴纳违约金</w:t>
            </w:r>
          </w:p>
        </w:tc>
        <w:tc>
          <w:tcPr>
            <w:tcW w:w="1668" w:type="dxa"/>
            <w:tcBorders>
              <w:top w:val="single" w:color="000000" w:sz="4" w:space="0"/>
              <w:left w:val="nil"/>
              <w:bottom w:val="single" w:color="000000" w:sz="4" w:space="0"/>
              <w:right w:val="single" w:color="000000" w:sz="4" w:space="0"/>
            </w:tcBorders>
            <w:noWrap w:val="0"/>
            <w:vAlign w:val="center"/>
          </w:tcPr>
          <w:p w14:paraId="5479CB3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77AB9911">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2416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25C5996F">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17</w:t>
            </w:r>
          </w:p>
        </w:tc>
        <w:tc>
          <w:tcPr>
            <w:tcW w:w="5027" w:type="dxa"/>
            <w:tcBorders>
              <w:top w:val="single" w:color="000000" w:sz="4" w:space="0"/>
              <w:left w:val="nil"/>
              <w:bottom w:val="single" w:color="000000" w:sz="4" w:space="0"/>
              <w:right w:val="single" w:color="000000" w:sz="4" w:space="0"/>
            </w:tcBorders>
            <w:noWrap w:val="0"/>
            <w:vAlign w:val="center"/>
          </w:tcPr>
          <w:p w14:paraId="475C2169">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对于需要审批的技术文件,不进行审批或不进行认真分析、核对即盲目批准，或没有按已审批的技术文件检查、督促</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施工单位</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按技术文件、有关规定进行施工，导致工程出现质量缺陷、安全事故或进度延误，</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因此遭受损失, 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缴纳违约金</w:t>
            </w:r>
          </w:p>
        </w:tc>
        <w:tc>
          <w:tcPr>
            <w:tcW w:w="1668" w:type="dxa"/>
            <w:tcBorders>
              <w:top w:val="single" w:color="000000" w:sz="4" w:space="0"/>
              <w:left w:val="nil"/>
              <w:bottom w:val="single" w:color="000000" w:sz="4" w:space="0"/>
              <w:right w:val="single" w:color="000000" w:sz="4" w:space="0"/>
            </w:tcBorders>
            <w:noWrap w:val="0"/>
            <w:vAlign w:val="center"/>
          </w:tcPr>
          <w:p w14:paraId="742F037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23364D1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44C7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1F58C3C7">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18</w:t>
            </w:r>
          </w:p>
        </w:tc>
        <w:tc>
          <w:tcPr>
            <w:tcW w:w="5027" w:type="dxa"/>
            <w:tcBorders>
              <w:top w:val="single" w:color="000000" w:sz="4" w:space="0"/>
              <w:left w:val="nil"/>
              <w:bottom w:val="single" w:color="000000" w:sz="4" w:space="0"/>
              <w:right w:val="single" w:color="000000" w:sz="4" w:space="0"/>
            </w:tcBorders>
            <w:noWrap w:val="0"/>
            <w:vAlign w:val="center"/>
          </w:tcPr>
          <w:p w14:paraId="56974151">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没有按规定做好材料见证送检工作，没有做好工程材料、构配件、设备进场审批，</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因此遭受损失，向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缴纳违约金</w:t>
            </w:r>
          </w:p>
        </w:tc>
        <w:tc>
          <w:tcPr>
            <w:tcW w:w="1668" w:type="dxa"/>
            <w:tcBorders>
              <w:top w:val="single" w:color="000000" w:sz="4" w:space="0"/>
              <w:left w:val="nil"/>
              <w:bottom w:val="single" w:color="000000" w:sz="4" w:space="0"/>
              <w:right w:val="single" w:color="000000" w:sz="4" w:space="0"/>
            </w:tcBorders>
            <w:noWrap w:val="0"/>
            <w:vAlign w:val="center"/>
          </w:tcPr>
          <w:p w14:paraId="1A1206E0">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4EDFE346">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104E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15270DBC">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19</w:t>
            </w:r>
          </w:p>
        </w:tc>
        <w:tc>
          <w:tcPr>
            <w:tcW w:w="5027" w:type="dxa"/>
            <w:tcBorders>
              <w:top w:val="single" w:color="000000" w:sz="4" w:space="0"/>
              <w:left w:val="nil"/>
              <w:bottom w:val="single" w:color="000000" w:sz="4" w:space="0"/>
              <w:right w:val="single" w:color="000000" w:sz="4" w:space="0"/>
            </w:tcBorders>
            <w:noWrap w:val="0"/>
            <w:vAlign w:val="center"/>
          </w:tcPr>
          <w:p w14:paraId="2AA97CD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对必须进行检查验收的项目，不进行检查验收或不按照规定方法进行检查验收，</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因此遭受损失，向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缴纳违约金。</w:t>
            </w:r>
          </w:p>
        </w:tc>
        <w:tc>
          <w:tcPr>
            <w:tcW w:w="1668" w:type="dxa"/>
            <w:tcBorders>
              <w:top w:val="single" w:color="000000" w:sz="4" w:space="0"/>
              <w:left w:val="nil"/>
              <w:bottom w:val="single" w:color="000000" w:sz="4" w:space="0"/>
              <w:right w:val="single" w:color="000000" w:sz="4" w:space="0"/>
            </w:tcBorders>
            <w:noWrap w:val="0"/>
            <w:vAlign w:val="center"/>
          </w:tcPr>
          <w:p w14:paraId="5B1F9021">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70D658D1">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3CCF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A44431A">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20</w:t>
            </w:r>
          </w:p>
        </w:tc>
        <w:tc>
          <w:tcPr>
            <w:tcW w:w="5027" w:type="dxa"/>
            <w:tcBorders>
              <w:top w:val="single" w:color="000000" w:sz="4" w:space="0"/>
              <w:left w:val="nil"/>
              <w:bottom w:val="single" w:color="000000" w:sz="4" w:space="0"/>
              <w:right w:val="single" w:color="000000" w:sz="4" w:space="0"/>
            </w:tcBorders>
            <w:noWrap w:val="0"/>
            <w:vAlign w:val="center"/>
          </w:tcPr>
          <w:p w14:paraId="0E5DA94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 xml:space="preserve">连续3次检查发现重要工序没有监理人员旁站的；明知工程存在缺陷，仍不采取措施加以处理，放任缺陷存在；或者将明显不合格的工程按照合格进行验收，致使工程留下隐患, </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因此遭受损失的，向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缴纳违约金</w:t>
            </w:r>
          </w:p>
        </w:tc>
        <w:tc>
          <w:tcPr>
            <w:tcW w:w="1668" w:type="dxa"/>
            <w:tcBorders>
              <w:top w:val="single" w:color="000000" w:sz="4" w:space="0"/>
              <w:left w:val="nil"/>
              <w:bottom w:val="single" w:color="000000" w:sz="4" w:space="0"/>
              <w:right w:val="single" w:color="000000" w:sz="4" w:space="0"/>
            </w:tcBorders>
            <w:noWrap w:val="0"/>
            <w:vAlign w:val="center"/>
          </w:tcPr>
          <w:p w14:paraId="7F703407">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6E6F30F6">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147A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6A074709">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21</w:t>
            </w:r>
          </w:p>
        </w:tc>
        <w:tc>
          <w:tcPr>
            <w:tcW w:w="5027" w:type="dxa"/>
            <w:tcBorders>
              <w:top w:val="single" w:color="000000" w:sz="4" w:space="0"/>
              <w:left w:val="nil"/>
              <w:bottom w:val="single" w:color="000000" w:sz="4" w:space="0"/>
              <w:right w:val="single" w:color="000000" w:sz="4" w:space="0"/>
            </w:tcBorders>
            <w:noWrap w:val="0"/>
            <w:vAlign w:val="center"/>
          </w:tcPr>
          <w:p w14:paraId="61536A7F">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进度滞后超过7天没有书面分析原因提出处理意见，进度滞后情况发生后没有督促</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施工单位</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采取有效措施纠偏致使进度失控，</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因此遭受损失的，向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缴纳违约金</w:t>
            </w:r>
          </w:p>
        </w:tc>
        <w:tc>
          <w:tcPr>
            <w:tcW w:w="1668" w:type="dxa"/>
            <w:tcBorders>
              <w:top w:val="single" w:color="000000" w:sz="4" w:space="0"/>
              <w:left w:val="nil"/>
              <w:bottom w:val="single" w:color="000000" w:sz="4" w:space="0"/>
              <w:right w:val="single" w:color="000000" w:sz="4" w:space="0"/>
            </w:tcBorders>
            <w:noWrap w:val="0"/>
            <w:vAlign w:val="center"/>
          </w:tcPr>
          <w:p w14:paraId="6F96A1C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01E6157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7B88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12E4FBC9">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22</w:t>
            </w:r>
          </w:p>
        </w:tc>
        <w:tc>
          <w:tcPr>
            <w:tcW w:w="5027" w:type="dxa"/>
            <w:tcBorders>
              <w:top w:val="single" w:color="000000" w:sz="4" w:space="0"/>
              <w:left w:val="nil"/>
              <w:bottom w:val="single" w:color="000000" w:sz="4" w:space="0"/>
              <w:right w:val="single" w:color="000000" w:sz="4" w:space="0"/>
            </w:tcBorders>
            <w:noWrap w:val="0"/>
            <w:vAlign w:val="center"/>
          </w:tcPr>
          <w:p w14:paraId="41ACC3A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对质监站、安监站等政府有关部门和</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上级部门提出的需整改问题没有督促</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施工单位</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落实整改，被政府部门勒令停工，</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因此遭受损失的，向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缴纳违约金</w:t>
            </w:r>
          </w:p>
        </w:tc>
        <w:tc>
          <w:tcPr>
            <w:tcW w:w="1668" w:type="dxa"/>
            <w:tcBorders>
              <w:top w:val="single" w:color="000000" w:sz="4" w:space="0"/>
              <w:left w:val="nil"/>
              <w:bottom w:val="single" w:color="000000" w:sz="4" w:space="0"/>
              <w:right w:val="single" w:color="000000" w:sz="4" w:space="0"/>
            </w:tcBorders>
            <w:noWrap w:val="0"/>
            <w:vAlign w:val="center"/>
          </w:tcPr>
          <w:p w14:paraId="675E668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616C306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336F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02B154B6">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23</w:t>
            </w:r>
          </w:p>
        </w:tc>
        <w:tc>
          <w:tcPr>
            <w:tcW w:w="5027" w:type="dxa"/>
            <w:tcBorders>
              <w:top w:val="single" w:color="000000" w:sz="4" w:space="0"/>
              <w:left w:val="nil"/>
              <w:bottom w:val="single" w:color="000000" w:sz="4" w:space="0"/>
              <w:right w:val="single" w:color="000000" w:sz="4" w:space="0"/>
            </w:tcBorders>
            <w:noWrap w:val="0"/>
            <w:vAlign w:val="center"/>
          </w:tcPr>
          <w:p w14:paraId="118A905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没有及时签发验收资料，督促</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施工单位</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按要求整理好验收资料，致使无法办理工程验收，工期延误，</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因此遭受损失的，向</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缴纳违约金</w:t>
            </w:r>
          </w:p>
        </w:tc>
        <w:tc>
          <w:tcPr>
            <w:tcW w:w="1668" w:type="dxa"/>
            <w:tcBorders>
              <w:top w:val="single" w:color="000000" w:sz="4" w:space="0"/>
              <w:left w:val="nil"/>
              <w:bottom w:val="single" w:color="000000" w:sz="4" w:space="0"/>
              <w:right w:val="single" w:color="000000" w:sz="4" w:space="0"/>
            </w:tcBorders>
            <w:noWrap w:val="0"/>
            <w:vAlign w:val="center"/>
          </w:tcPr>
          <w:p w14:paraId="499EE8F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000元/次</w:t>
            </w:r>
          </w:p>
        </w:tc>
        <w:tc>
          <w:tcPr>
            <w:tcW w:w="2016" w:type="dxa"/>
            <w:tcBorders>
              <w:top w:val="single" w:color="000000" w:sz="4" w:space="0"/>
              <w:left w:val="nil"/>
              <w:bottom w:val="single" w:color="000000" w:sz="4" w:space="0"/>
              <w:right w:val="single" w:color="000000" w:sz="4" w:space="0"/>
            </w:tcBorders>
            <w:noWrap w:val="0"/>
            <w:vAlign w:val="center"/>
          </w:tcPr>
          <w:p w14:paraId="153FC36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2E6C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2F98A19D">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24</w:t>
            </w:r>
          </w:p>
        </w:tc>
        <w:tc>
          <w:tcPr>
            <w:tcW w:w="5027" w:type="dxa"/>
            <w:tcBorders>
              <w:top w:val="single" w:color="000000" w:sz="4" w:space="0"/>
              <w:left w:val="nil"/>
              <w:bottom w:val="single" w:color="000000" w:sz="4" w:space="0"/>
              <w:right w:val="single" w:color="000000" w:sz="4" w:space="0"/>
            </w:tcBorders>
            <w:noWrap w:val="0"/>
            <w:vAlign w:val="center"/>
          </w:tcPr>
          <w:p w14:paraId="4F00011D">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如因监理人工作不力造成重大工程事故，或管理不力阻碍工程顺利进行，并经</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5次敦促改善仍未有结果，</w:t>
            </w:r>
            <w:r>
              <w:rPr>
                <w:rFonts w:hint="eastAsia" w:hAnsi="宋体" w:cs="宋体"/>
                <w:i w:val="0"/>
                <w:iCs w:val="0"/>
                <w:color w:val="000000" w:themeColor="text1"/>
                <w:kern w:val="0"/>
                <w:sz w:val="24"/>
                <w:szCs w:val="24"/>
                <w:highlight w:val="none"/>
                <w:lang w:val="en-US" w:eastAsia="zh-CN" w:bidi="ar"/>
                <w14:textFill>
                  <w14:solidFill>
                    <w14:schemeClr w14:val="tx1"/>
                  </w14:solidFill>
                </w14:textFill>
              </w:rPr>
              <w:t>委托人</w:t>
            </w: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有权提出终止合同。</w:t>
            </w:r>
          </w:p>
        </w:tc>
        <w:tc>
          <w:tcPr>
            <w:tcW w:w="1668" w:type="dxa"/>
            <w:tcBorders>
              <w:top w:val="single" w:color="000000" w:sz="4" w:space="0"/>
              <w:left w:val="nil"/>
              <w:bottom w:val="single" w:color="000000" w:sz="4" w:space="0"/>
              <w:right w:val="single" w:color="000000" w:sz="4" w:space="0"/>
            </w:tcBorders>
            <w:noWrap w:val="0"/>
            <w:vAlign w:val="center"/>
          </w:tcPr>
          <w:p w14:paraId="5CB3557A">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10B854BB">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r w14:paraId="707C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11FB6ECA">
            <w:pPr>
              <w:keepNext w:val="0"/>
              <w:keepLines w:val="0"/>
              <w:pageBreakBefore w:val="0"/>
              <w:widowControl/>
              <w:suppressLineNumbers w:val="0"/>
              <w:overflowPunct/>
              <w:topLinePunct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25</w:t>
            </w:r>
          </w:p>
        </w:tc>
        <w:tc>
          <w:tcPr>
            <w:tcW w:w="5027" w:type="dxa"/>
            <w:tcBorders>
              <w:top w:val="single" w:color="000000" w:sz="4" w:space="0"/>
              <w:left w:val="nil"/>
              <w:bottom w:val="single" w:color="000000" w:sz="4" w:space="0"/>
              <w:right w:val="single" w:color="000000" w:sz="4" w:space="0"/>
            </w:tcBorders>
            <w:noWrap w:val="0"/>
            <w:vAlign w:val="center"/>
          </w:tcPr>
          <w:p w14:paraId="731B7B9C">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如乙方拒不配合甲方对乙方在合作期间内的阳光合作监督及调查工作的，或者被证实存在隐瞒信息、提供虚假信息和伪证行为的，甲方有权视情节严重程度，对原合同的履行采取暂停支付业务进度款、终止合作、追究经济损失、解除合同等措施，且无需承担任何违约责任。</w:t>
            </w:r>
          </w:p>
        </w:tc>
        <w:tc>
          <w:tcPr>
            <w:tcW w:w="1668" w:type="dxa"/>
            <w:tcBorders>
              <w:top w:val="single" w:color="000000" w:sz="4" w:space="0"/>
              <w:left w:val="nil"/>
              <w:bottom w:val="single" w:color="000000" w:sz="4" w:space="0"/>
              <w:right w:val="single" w:color="000000" w:sz="4" w:space="0"/>
            </w:tcBorders>
            <w:noWrap w:val="0"/>
            <w:vAlign w:val="center"/>
          </w:tcPr>
          <w:p w14:paraId="26E84FDE">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center"/>
              <w:textAlignment w:val="cente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w:t>
            </w:r>
          </w:p>
        </w:tc>
        <w:tc>
          <w:tcPr>
            <w:tcW w:w="2016" w:type="dxa"/>
            <w:tcBorders>
              <w:top w:val="single" w:color="000000" w:sz="4" w:space="0"/>
              <w:left w:val="nil"/>
              <w:bottom w:val="single" w:color="000000" w:sz="4" w:space="0"/>
              <w:right w:val="single" w:color="000000" w:sz="4" w:space="0"/>
            </w:tcBorders>
            <w:noWrap w:val="0"/>
            <w:vAlign w:val="center"/>
          </w:tcPr>
          <w:p w14:paraId="485DBE54">
            <w:pPr>
              <w:keepNext w:val="0"/>
              <w:keepLines w:val="0"/>
              <w:pageBreakBefore w:val="0"/>
              <w:widowControl w:val="0"/>
              <w:suppressLineNumbers w:val="0"/>
              <w:kinsoku w:val="0"/>
              <w:wordWrap w:val="0"/>
              <w:overflowPunct/>
              <w:topLinePunct w:val="0"/>
              <w:autoSpaceDE w:val="0"/>
              <w:autoSpaceDN/>
              <w:bidi w:val="0"/>
              <w:adjustRightInd/>
              <w:snapToGrid w:val="0"/>
              <w:spacing w:before="0" w:beforeAutospacing="0" w:after="0" w:afterAutospacing="0" w:line="380" w:lineRule="exact"/>
              <w:ind w:left="0" w:right="0"/>
              <w:jc w:val="left"/>
              <w:rPr>
                <w:rFonts w:hint="eastAsia" w:ascii="宋体" w:hAnsi="宋体" w:eastAsia="宋体" w:cs="宋体"/>
                <w:i w:val="0"/>
                <w:iCs w:val="0"/>
                <w:color w:val="000000" w:themeColor="text1"/>
                <w:kern w:val="2"/>
                <w:sz w:val="24"/>
                <w:szCs w:val="24"/>
                <w:highlight w:val="none"/>
                <w14:textFill>
                  <w14:solidFill>
                    <w14:schemeClr w14:val="tx1"/>
                  </w14:solidFill>
                </w14:textFill>
              </w:rPr>
            </w:pPr>
          </w:p>
        </w:tc>
      </w:tr>
    </w:tbl>
    <w:p w14:paraId="09CC144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9.4变更、签证“一月一清”工作</w:t>
      </w:r>
    </w:p>
    <w:p w14:paraId="1D65E81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9.4.1监理人应积极配合委托人进行办理施工单位的变更、签证“一月一清”工作，该工作纳入履约评价。</w:t>
      </w:r>
    </w:p>
    <w:p w14:paraId="1C05652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9.5各专项验收、竣工验收工作</w:t>
      </w:r>
    </w:p>
    <w:p w14:paraId="27BA2DE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9.5.1协助委托人组织和办理各专项验收、竣工验收手续。</w:t>
      </w:r>
    </w:p>
    <w:p w14:paraId="3C42D5B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9.5.2督促施工单位及时整理工程技术资料办理各项验收，通过监督管理使实体工程、工程技术资料均能达到验收要求，按计划完成各项验收工作。</w:t>
      </w:r>
    </w:p>
    <w:p w14:paraId="62DADF1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9.5.3当验收出现特殊情况未能办理时，提出合理化建议，并积极配合委托人尽快完成各项验收工作。</w:t>
      </w:r>
    </w:p>
    <w:p w14:paraId="5260375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9.5.4依据有关法律、法规、工程建设强制性标准、设计文件及施工合同，对施工单位报送的竣工资料进行审查，并对工程质量进行竣工预验收。</w:t>
      </w:r>
    </w:p>
    <w:p w14:paraId="2CB88CF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9.5.5参加由委托人组织的竣工验收，并提供相关监理资料。对验收中提出的整改问题，督促施工单位进行整改。工程质量符合要求后，会同参加验收的各方签署竣工验收报告。</w:t>
      </w:r>
    </w:p>
    <w:p w14:paraId="2D97D69E">
      <w:pPr>
        <w:bidi w:val="0"/>
        <w:rPr>
          <w:rFonts w:hint="eastAsia"/>
          <w:color w:val="000000" w:themeColor="text1"/>
          <w:highlight w:val="none"/>
          <w14:textFill>
            <w14:solidFill>
              <w14:schemeClr w14:val="tx1"/>
            </w14:solidFill>
          </w14:textFill>
        </w:rPr>
      </w:pPr>
    </w:p>
    <w:bookmarkEnd w:id="161"/>
    <w:p w14:paraId="613E96E8">
      <w:pPr>
        <w:keepNext w:val="0"/>
        <w:keepLines w:val="0"/>
        <w:pageBreakBefore w:val="0"/>
        <w:overflowPunct/>
        <w:topLinePunct w:val="0"/>
        <w:autoSpaceDE w:val="0"/>
        <w:autoSpaceDN/>
        <w:bidi w:val="0"/>
        <w:spacing w:line="36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p>
    <w:bookmarkEnd w:id="157"/>
    <w:bookmarkEnd w:id="158"/>
    <w:bookmarkEnd w:id="159"/>
    <w:bookmarkEnd w:id="160"/>
    <w:p w14:paraId="1D6B048C">
      <w:pPr>
        <w:pStyle w:val="40"/>
        <w:rPr>
          <w:rFonts w:ascii="宋体" w:hAnsi="宋体" w:cs="宋体"/>
          <w:snapToGrid w:val="0"/>
          <w:color w:val="000000" w:themeColor="text1"/>
          <w:highlight w:val="none"/>
          <w14:textFill>
            <w14:solidFill>
              <w14:schemeClr w14:val="tx1"/>
            </w14:solidFill>
          </w14:textFill>
        </w:rPr>
      </w:pPr>
    </w:p>
    <w:bookmarkEnd w:id="151"/>
    <w:p w14:paraId="47074CD6">
      <w:pPr>
        <w:rPr>
          <w:rFonts w:hint="eastAsia" w:ascii="Times New Roman"/>
          <w:b/>
          <w:snapToGrid w:val="0"/>
          <w:color w:val="000000" w:themeColor="text1"/>
          <w:sz w:val="32"/>
          <w:szCs w:val="22"/>
          <w:highlight w:val="none"/>
          <w14:textFill>
            <w14:solidFill>
              <w14:schemeClr w14:val="tx1"/>
            </w14:solidFill>
          </w14:textFill>
        </w:rPr>
      </w:pPr>
      <w:bookmarkStart w:id="204" w:name="_Toc12650"/>
      <w:bookmarkStart w:id="205" w:name="_Toc21669"/>
      <w:bookmarkStart w:id="206" w:name="_Hlt69698796"/>
      <w:r>
        <w:rPr>
          <w:rFonts w:hint="eastAsia" w:ascii="Times New Roman"/>
          <w:b/>
          <w:snapToGrid w:val="0"/>
          <w:color w:val="000000" w:themeColor="text1"/>
          <w:sz w:val="32"/>
          <w:szCs w:val="22"/>
          <w:highlight w:val="none"/>
          <w14:textFill>
            <w14:solidFill>
              <w14:schemeClr w14:val="tx1"/>
            </w14:solidFill>
          </w14:textFill>
        </w:rPr>
        <w:br w:type="page"/>
      </w:r>
    </w:p>
    <w:p w14:paraId="39EAB1B0">
      <w:pPr>
        <w:pStyle w:val="2"/>
        <w:keepNext w:val="0"/>
        <w:keepLines w:val="0"/>
        <w:pageBreakBefore w:val="0"/>
        <w:widowControl w:val="0"/>
        <w:tabs>
          <w:tab w:val="left" w:pos="885"/>
        </w:tabs>
        <w:kinsoku/>
        <w:wordWrap w:val="0"/>
        <w:overflowPunct/>
        <w:topLinePunct w:val="0"/>
        <w:autoSpaceDE/>
        <w:autoSpaceDN/>
        <w:bidi w:val="0"/>
        <w:adjustRightInd w:val="0"/>
        <w:snapToGrid w:val="0"/>
        <w:spacing w:line="360" w:lineRule="exact"/>
        <w:ind w:left="885" w:hanging="885"/>
        <w:jc w:val="center"/>
        <w:textAlignment w:val="auto"/>
        <w:rPr>
          <w:rFonts w:ascii="Times New Roman"/>
          <w:b/>
          <w:snapToGrid w:val="0"/>
          <w:color w:val="000000" w:themeColor="text1"/>
          <w:sz w:val="32"/>
          <w:szCs w:val="22"/>
          <w:highlight w:val="none"/>
          <w14:textFill>
            <w14:solidFill>
              <w14:schemeClr w14:val="tx1"/>
            </w14:solidFill>
          </w14:textFill>
        </w:rPr>
      </w:pPr>
      <w:bookmarkStart w:id="207" w:name="_Toc31250"/>
      <w:r>
        <w:rPr>
          <w:rFonts w:hint="eastAsia" w:ascii="Times New Roman"/>
          <w:b/>
          <w:snapToGrid w:val="0"/>
          <w:color w:val="000000" w:themeColor="text1"/>
          <w:sz w:val="32"/>
          <w:szCs w:val="22"/>
          <w:highlight w:val="none"/>
          <w14:textFill>
            <w14:solidFill>
              <w14:schemeClr w14:val="tx1"/>
            </w14:solidFill>
          </w14:textFill>
        </w:rPr>
        <w:t>第四章</w:t>
      </w:r>
      <w:bookmarkStart w:id="208" w:name="_Hlt87793853"/>
      <w:bookmarkEnd w:id="208"/>
      <w:r>
        <w:rPr>
          <w:rFonts w:hint="eastAsia" w:ascii="Times New Roman"/>
          <w:b/>
          <w:snapToGrid w:val="0"/>
          <w:color w:val="000000" w:themeColor="text1"/>
          <w:sz w:val="32"/>
          <w:szCs w:val="22"/>
          <w:highlight w:val="none"/>
          <w14:textFill>
            <w14:solidFill>
              <w14:schemeClr w14:val="tx1"/>
            </w14:solidFill>
          </w14:textFill>
        </w:rPr>
        <w:t xml:space="preserve"> 技术要求</w:t>
      </w:r>
      <w:bookmarkEnd w:id="204"/>
      <w:bookmarkEnd w:id="205"/>
      <w:bookmarkEnd w:id="207"/>
    </w:p>
    <w:bookmarkEnd w:id="206"/>
    <w:p w14:paraId="2DD873F3">
      <w:pPr>
        <w:bidi w:val="0"/>
        <w:rPr>
          <w:color w:val="000000" w:themeColor="text1"/>
          <w:highlight w:val="none"/>
          <w14:textFill>
            <w14:solidFill>
              <w14:schemeClr w14:val="tx1"/>
            </w14:solidFill>
          </w14:textFill>
        </w:rPr>
      </w:pPr>
      <w:bookmarkStart w:id="209" w:name="_Hlt75685840"/>
      <w:bookmarkEnd w:id="209"/>
      <w:bookmarkStart w:id="210" w:name="_Hlt68774758"/>
      <w:bookmarkEnd w:id="210"/>
      <w:bookmarkStart w:id="211" w:name="_Hlt80411122"/>
      <w:bookmarkEnd w:id="211"/>
      <w:bookmarkStart w:id="212" w:name="_Hlt69357851"/>
      <w:bookmarkEnd w:id="212"/>
      <w:bookmarkStart w:id="213" w:name="_Hlt66104926"/>
      <w:bookmarkEnd w:id="213"/>
      <w:bookmarkStart w:id="214" w:name="_Hlt69265216"/>
      <w:bookmarkEnd w:id="214"/>
      <w:bookmarkStart w:id="215" w:name="_Hlt69116854"/>
      <w:bookmarkEnd w:id="215"/>
      <w:bookmarkStart w:id="216" w:name="_Hlt69358207"/>
      <w:bookmarkEnd w:id="216"/>
      <w:bookmarkStart w:id="217" w:name="_Hlt87793346"/>
      <w:bookmarkEnd w:id="217"/>
      <w:bookmarkStart w:id="218" w:name="_Hlt87793370"/>
      <w:bookmarkEnd w:id="218"/>
      <w:bookmarkStart w:id="219" w:name="_Hlt69359335"/>
      <w:bookmarkEnd w:id="219"/>
    </w:p>
    <w:p w14:paraId="4CF6546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2" w:firstLineChars="200"/>
        <w:textAlignment w:val="auto"/>
        <w:rPr>
          <w:rFonts w:hint="eastAsia" w:ascii="Times New Roman" w:hAnsi="Times New Roman" w:cs="Times New Roman"/>
          <w:b/>
          <w:bCs w:val="0"/>
          <w:caps w:val="0"/>
          <w:smallCaps w:val="0"/>
          <w:snapToGrid w:val="0"/>
          <w:color w:val="000000" w:themeColor="text1"/>
          <w:spacing w:val="0"/>
          <w:kern w:val="0"/>
          <w:highlight w:val="none"/>
          <w14:textFill>
            <w14:solidFill>
              <w14:schemeClr w14:val="tx1"/>
            </w14:solidFill>
          </w14:textFill>
        </w:rPr>
      </w:pPr>
      <w:bookmarkStart w:id="220" w:name="_Hlt69670335"/>
      <w:bookmarkEnd w:id="220"/>
      <w:r>
        <w:rPr>
          <w:rFonts w:hint="eastAsia" w:ascii="Times New Roman" w:hAnsi="Times New Roman" w:cs="Times New Roman"/>
          <w:b/>
          <w:bCs w:val="0"/>
          <w:caps w:val="0"/>
          <w:smallCaps w:val="0"/>
          <w:snapToGrid w:val="0"/>
          <w:color w:val="000000" w:themeColor="text1"/>
          <w:spacing w:val="0"/>
          <w:kern w:val="0"/>
          <w:highlight w:val="none"/>
          <w14:textFill>
            <w14:solidFill>
              <w14:schemeClr w14:val="tx1"/>
            </w14:solidFill>
          </w14:textFill>
        </w:rPr>
        <w:t>1</w:t>
      </w:r>
      <w:r>
        <w:rPr>
          <w:rFonts w:hint="eastAsia" w:ascii="Times New Roman" w:hAnsi="Times New Roman" w:cs="Times New Roman"/>
          <w:b/>
          <w:bCs w:val="0"/>
          <w:caps w:val="0"/>
          <w:smallCaps w:val="0"/>
          <w:snapToGrid w:val="0"/>
          <w:color w:val="000000" w:themeColor="text1"/>
          <w:spacing w:val="0"/>
          <w:kern w:val="0"/>
          <w:highlight w:val="none"/>
          <w:lang w:eastAsia="zh-CN"/>
          <w14:textFill>
            <w14:solidFill>
              <w14:schemeClr w14:val="tx1"/>
            </w14:solidFill>
          </w14:textFill>
        </w:rPr>
        <w:t>．房屋建筑工程建设项目</w:t>
      </w:r>
    </w:p>
    <w:p w14:paraId="673D5E18">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pPr>
      <w:bookmarkStart w:id="221" w:name="_Hlt69635252"/>
      <w:bookmarkEnd w:id="221"/>
      <w:bookmarkStart w:id="222" w:name="_Hlt69358458"/>
      <w:bookmarkEnd w:id="222"/>
      <w:bookmarkStart w:id="223" w:name="_Hlt69359245"/>
      <w:bookmarkEnd w:id="223"/>
      <w:bookmarkStart w:id="224" w:name="_Hlt69359243"/>
      <w:bookmarkEnd w:id="224"/>
      <w:bookmarkStart w:id="225" w:name="_Hlt69359086"/>
      <w:bookmarkEnd w:id="225"/>
      <w:bookmarkStart w:id="226" w:name="_Hlt69116858"/>
      <w:bookmarkEnd w:id="226"/>
      <w:bookmarkStart w:id="227" w:name="_Hlt78709799"/>
      <w:bookmarkEnd w:id="227"/>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房屋建筑工程建设项目必须执行的现行技术规范，包括且不限于：</w:t>
      </w:r>
    </w:p>
    <w:p w14:paraId="416D762C">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《建筑工程施工质量验收统一标准》；</w:t>
      </w:r>
    </w:p>
    <w:p w14:paraId="339C7902">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《建筑地基基础工程施工质量验收规范》；</w:t>
      </w:r>
    </w:p>
    <w:p w14:paraId="5660F88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《砌体工程施工质量验收规范》；</w:t>
      </w:r>
    </w:p>
    <w:p w14:paraId="6E2A33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《混凝土结构工程施工质量验收规范》；</w:t>
      </w:r>
    </w:p>
    <w:p w14:paraId="4C3C4F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《屋面工程质量验收规范》；</w:t>
      </w:r>
    </w:p>
    <w:p w14:paraId="72A7C95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《地下防水工程质量验收规范》；</w:t>
      </w:r>
    </w:p>
    <w:p w14:paraId="3239F00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bookmarkStart w:id="228" w:name="_Hlt78795211"/>
      <w:bookmarkEnd w:id="228"/>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《建筑地面工程施工质量验收规范》；</w:t>
      </w:r>
    </w:p>
    <w:p w14:paraId="2E794556">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《建筑装饰装修工程施工质量验收规范》；</w:t>
      </w:r>
    </w:p>
    <w:p w14:paraId="5F4A3AC4">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《建筑给排水及采暖工程施工质量验收规范》；</w:t>
      </w:r>
    </w:p>
    <w:p w14:paraId="421E539E">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《建筑电气工程施工质量验收规范》；</w:t>
      </w:r>
    </w:p>
    <w:p w14:paraId="1C0AC18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eastAsia="宋体" w:cs="Times New Roman"/>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11</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）《广东省住房和城乡建设厅绿色施工导则》；</w:t>
      </w:r>
    </w:p>
    <w:p w14:paraId="72DA37E3">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default" w:ascii="Times New Roman" w:hAnsi="Times New Roman" w:eastAsia="宋体" w:cs="Times New Roman"/>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12</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）《广东省建筑工程绿色施工评价标准》；</w:t>
      </w:r>
    </w:p>
    <w:p w14:paraId="09F49AC4">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13</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其他现行国家</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、广东省关于房建工程的</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施工</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及验收</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规范</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、规程、</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标准。</w:t>
      </w:r>
    </w:p>
    <w:p w14:paraId="535E5E8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p>
    <w:p w14:paraId="1939348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2"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bCs w:val="0"/>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Times New Roman" w:hAnsi="Times New Roman" w:cs="Times New Roman"/>
          <w:b/>
          <w:bCs w:val="0"/>
          <w:caps w:val="0"/>
          <w:smallCaps w:val="0"/>
          <w:snapToGrid w:val="0"/>
          <w:color w:val="000000" w:themeColor="text1"/>
          <w:spacing w:val="0"/>
          <w:kern w:val="0"/>
          <w:highlight w:val="none"/>
          <w:lang w:eastAsia="zh-CN"/>
          <w14:textFill>
            <w14:solidFill>
              <w14:schemeClr w14:val="tx1"/>
            </w14:solidFill>
          </w14:textFill>
        </w:rPr>
        <w:t>．市政基础设施工程建设项目</w:t>
      </w:r>
    </w:p>
    <w:p w14:paraId="562E69A2">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szCs w:val="28"/>
          <w:highlight w:val="none"/>
          <w:lang w:eastAsia="zh-CN"/>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市政基础设施工程建设项目必须执行的现行技术规范，包括且不限于：</w:t>
      </w:r>
    </w:p>
    <w:p w14:paraId="66C6A862">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szCs w:val="28"/>
          <w:highlight w:val="none"/>
          <w:lang w:val="en-US" w:eastAsia="zh-CN"/>
          <w14:textFill>
            <w14:solidFill>
              <w14:schemeClr w14:val="tx1"/>
            </w14:solidFill>
          </w14:textFill>
        </w:rPr>
        <w:t>1</w:t>
      </w:r>
      <w:r>
        <w:rPr>
          <w:rFonts w:hint="eastAsia" w:ascii="Times New Roman" w:hAnsi="Times New Roman" w:cs="Times New Roman"/>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szCs w:val="28"/>
          <w:highlight w:val="none"/>
          <w14:textFill>
            <w14:solidFill>
              <w14:schemeClr w14:val="tx1"/>
            </w14:solidFill>
          </w14:textFill>
        </w:rPr>
        <w:t>《公路路基施工技术规范》</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w:t>
      </w:r>
    </w:p>
    <w:p w14:paraId="38D3BDCF">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《市政道路工程质量检验评定标准》；</w:t>
      </w:r>
    </w:p>
    <w:p w14:paraId="786DCA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《市政排水管渠工程质量检验评定标准》；</w:t>
      </w:r>
    </w:p>
    <w:p w14:paraId="0F5FC001">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《给水排水管道工程施工及验收规范》；</w:t>
      </w:r>
    </w:p>
    <w:p w14:paraId="78A14B3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《城市道路路基工程施工及验收规范》；</w:t>
      </w:r>
    </w:p>
    <w:p w14:paraId="447D050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《水泥砼路面施工及验收规范》；</w:t>
      </w:r>
    </w:p>
    <w:p w14:paraId="7F5FC4E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《公路水泥砼路面施工技术规范》；</w:t>
      </w:r>
    </w:p>
    <w:p w14:paraId="7446DEF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《埋地硬聚氯乙烯排水管道工程技术规程》；</w:t>
      </w:r>
    </w:p>
    <w:p w14:paraId="0E0D12D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《沥青路面施工及验收规范》；</w:t>
      </w:r>
    </w:p>
    <w:p w14:paraId="7A4C0B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《广东省</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市政</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工程施工质量技术资料统一用表》。</w:t>
      </w:r>
    </w:p>
    <w:p w14:paraId="4005D758">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11</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）其他现行国家、广东省关于市政工程的技术及验收规范、规程、标准。</w:t>
      </w:r>
    </w:p>
    <w:p w14:paraId="5F8FEE3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pPr>
    </w:p>
    <w:p w14:paraId="117A8F5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560"/>
        <w:textAlignment w:val="auto"/>
        <w:rPr>
          <w:rFonts w:hint="eastAsia" w:ascii="Times New Roman" w:hAnsi="Times New Roman" w:cs="Times New Roman"/>
          <w:caps w:val="0"/>
          <w:smallCaps w:val="0"/>
          <w:strike/>
          <w:dstrike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bCs w:val="0"/>
          <w:caps w:val="0"/>
          <w:smallCaps w:val="0"/>
          <w:snapToGrid w:val="0"/>
          <w:color w:val="000000" w:themeColor="text1"/>
          <w:spacing w:val="0"/>
          <w:kern w:val="0"/>
          <w:highlight w:val="none"/>
          <w:lang w:val="en-US" w:eastAsia="zh-CN"/>
          <w14:textFill>
            <w14:solidFill>
              <w14:schemeClr w14:val="tx1"/>
            </w14:solidFill>
          </w14:textFill>
        </w:rPr>
        <w:t>3．备查要求</w:t>
      </w:r>
    </w:p>
    <w:p w14:paraId="31D74506">
      <w:pPr>
        <w:keepNext w:val="0"/>
        <w:keepLines w:val="0"/>
        <w:pageBreakBefore w:val="0"/>
        <w:widowControl w:val="0"/>
        <w:kinsoku/>
        <w:wordWrap w:val="0"/>
        <w:overflowPunct/>
        <w:topLinePunct w:val="0"/>
        <w:autoSpaceDE/>
        <w:autoSpaceDN/>
        <w:bidi w:val="0"/>
        <w:adjustRightInd w:val="0"/>
        <w:snapToGrid w:val="0"/>
        <w:spacing w:line="360" w:lineRule="exact"/>
        <w:ind w:firstLine="560"/>
        <w:textAlignment w:val="auto"/>
        <w:rPr>
          <w:rFonts w:hAnsi="宋体" w:cs="宋体"/>
          <w:strike/>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r>
        <w:rPr>
          <w:rFonts w:hint="eastAsia" w:ascii="Times New Roman" w:hAnsi="Times New Roman" w:cs="Times New Roman"/>
          <w:caps w:val="0"/>
          <w:smallCaps w:val="0"/>
          <w:snapToGrid w:val="0"/>
          <w:color w:val="000000" w:themeColor="text1"/>
          <w:spacing w:val="0"/>
          <w:kern w:val="0"/>
          <w:highlight w:val="none"/>
          <w:lang w:eastAsia="zh-CN"/>
          <w14:textFill>
            <w14:solidFill>
              <w14:schemeClr w14:val="tx1"/>
            </w14:solidFill>
          </w14:textFill>
        </w:rPr>
        <w:t>监理人</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必须在施工现场准备至少一套上述规范，</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委托</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人可随时检查</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监理</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人的上述规范，并监督</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监理</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人按规范要求执行。</w:t>
      </w:r>
    </w:p>
    <w:p w14:paraId="73C306F0">
      <w:pPr>
        <w:pStyle w:val="2"/>
        <w:wordWrap w:val="0"/>
        <w:autoSpaceDE/>
        <w:autoSpaceDN/>
        <w:snapToGrid w:val="0"/>
        <w:spacing w:line="440" w:lineRule="exact"/>
        <w:jc w:val="center"/>
        <w:rPr>
          <w:rFonts w:ascii="Times New Roman"/>
          <w:b/>
          <w:snapToGrid w:val="0"/>
          <w:color w:val="000000" w:themeColor="text1"/>
          <w:sz w:val="32"/>
          <w:szCs w:val="22"/>
          <w:highlight w:val="none"/>
          <w14:textFill>
            <w14:solidFill>
              <w14:schemeClr w14:val="tx1"/>
            </w14:solidFill>
          </w14:textFill>
        </w:rPr>
      </w:pPr>
      <w:bookmarkStart w:id="229" w:name="_Hlt69635247"/>
      <w:bookmarkEnd w:id="229"/>
      <w:bookmarkStart w:id="230" w:name="_Hlt66848640"/>
      <w:bookmarkEnd w:id="230"/>
      <w:bookmarkStart w:id="231" w:name="_Hlt69116863"/>
      <w:bookmarkEnd w:id="231"/>
      <w:bookmarkStart w:id="232" w:name="_Hlt69338190"/>
      <w:bookmarkEnd w:id="232"/>
      <w:bookmarkStart w:id="233" w:name="_Hlt69358336"/>
      <w:bookmarkEnd w:id="233"/>
      <w:bookmarkStart w:id="234" w:name="_Hlt69265207"/>
      <w:bookmarkEnd w:id="234"/>
      <w:bookmarkStart w:id="235" w:name="_Toc12313"/>
      <w:bookmarkStart w:id="236" w:name="_Toc16011"/>
      <w:bookmarkStart w:id="237" w:name="_Hlt69698785"/>
      <w:r>
        <w:rPr>
          <w:rFonts w:hint="eastAsia" w:ascii="Times New Roman"/>
          <w:b/>
          <w:snapToGrid w:val="0"/>
          <w:color w:val="000000" w:themeColor="text1"/>
          <w:sz w:val="32"/>
          <w:szCs w:val="22"/>
          <w:highlight w:val="none"/>
          <w14:textFill>
            <w14:solidFill>
              <w14:schemeClr w14:val="tx1"/>
            </w14:solidFill>
          </w14:textFill>
        </w:rPr>
        <w:t xml:space="preserve">第五章 </w:t>
      </w:r>
      <w:bookmarkStart w:id="238" w:name="_Hlt75747044"/>
      <w:bookmarkEnd w:id="238"/>
      <w:r>
        <w:rPr>
          <w:rFonts w:hint="eastAsia" w:ascii="Times New Roman"/>
          <w:b/>
          <w:snapToGrid w:val="0"/>
          <w:color w:val="000000" w:themeColor="text1"/>
          <w:sz w:val="32"/>
          <w:szCs w:val="22"/>
          <w:highlight w:val="none"/>
          <w14:textFill>
            <w14:solidFill>
              <w14:schemeClr w14:val="tx1"/>
            </w14:solidFill>
          </w14:textFill>
        </w:rPr>
        <w:t>投标文件格式</w:t>
      </w:r>
      <w:bookmarkEnd w:id="235"/>
      <w:bookmarkEnd w:id="236"/>
    </w:p>
    <w:bookmarkEnd w:id="237"/>
    <w:p w14:paraId="3680C687">
      <w:pPr>
        <w:pStyle w:val="41"/>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000000" w:themeColor="text1"/>
          <w:highlight w:val="none"/>
          <w14:textFill>
            <w14:solidFill>
              <w14:schemeClr w14:val="tx1"/>
            </w14:solidFill>
          </w14:textFill>
        </w:rPr>
      </w:pPr>
      <w:bookmarkStart w:id="239" w:name="_附件一：投标函"/>
      <w:bookmarkEnd w:id="239"/>
      <w:bookmarkStart w:id="240" w:name="_附件五：综合评审合理低价法"/>
      <w:bookmarkEnd w:id="240"/>
      <w:bookmarkStart w:id="241" w:name="_附件四：工期承诺书"/>
      <w:bookmarkEnd w:id="241"/>
      <w:bookmarkStart w:id="242" w:name="_附件二：工期承诺书"/>
      <w:bookmarkEnd w:id="242"/>
      <w:bookmarkStart w:id="243" w:name="_附件二：近三年度主要施工项目（竣工及在建）一览表"/>
      <w:bookmarkEnd w:id="243"/>
      <w:bookmarkStart w:id="244" w:name="_附件一：对招标文件条款自愿接受承诺书"/>
      <w:bookmarkEnd w:id="244"/>
      <w:bookmarkStart w:id="245" w:name="_Toc200338097"/>
      <w:bookmarkStart w:id="246" w:name="_Toc66849200"/>
      <w:bookmarkStart w:id="247" w:name="_Hlt66847557"/>
      <w:bookmarkStart w:id="248" w:name="_Toc137621693"/>
    </w:p>
    <w:p w14:paraId="7C2C5F4E">
      <w:pPr>
        <w:pStyle w:val="41"/>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000000" w:themeColor="text1"/>
          <w:highlight w:val="none"/>
          <w14:textFill>
            <w14:solidFill>
              <w14:schemeClr w14:val="tx1"/>
            </w14:solidFill>
          </w14:textFill>
        </w:rPr>
      </w:pPr>
      <w:bookmarkStart w:id="249" w:name="_Toc63"/>
      <w:bookmarkStart w:id="250" w:name="_Toc26178"/>
      <w:r>
        <w:rPr>
          <w:rFonts w:hint="eastAsia" w:ascii="Times New Roman"/>
          <w:b/>
          <w:snapToGrid w:val="0"/>
          <w:color w:val="000000" w:themeColor="text1"/>
          <w:highlight w:val="none"/>
          <w14:textFill>
            <w14:solidFill>
              <w14:schemeClr w14:val="tx1"/>
            </w14:solidFill>
          </w14:textFill>
        </w:rPr>
        <w:t>格式一 封面</w:t>
      </w:r>
      <w:bookmarkEnd w:id="249"/>
      <w:bookmarkEnd w:id="250"/>
    </w:p>
    <w:p w14:paraId="0F298152">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31B9ECBA">
      <w:pPr>
        <w:pStyle w:val="42"/>
        <w:widowControl w:val="0"/>
        <w:wordWrap w:val="0"/>
        <w:adjustRightInd w:val="0"/>
        <w:snapToGrid w:val="0"/>
        <w:spacing w:line="240" w:lineRule="auto"/>
        <w:jc w:val="right"/>
        <w:rPr>
          <w:rFonts w:ascii="Times New Roman"/>
          <w:b/>
          <w:snapToGrid w:val="0"/>
          <w:color w:val="000000" w:themeColor="text1"/>
          <w:sz w:val="24"/>
          <w:highlight w:val="none"/>
          <w14:textFill>
            <w14:solidFill>
              <w14:schemeClr w14:val="tx1"/>
            </w14:solidFill>
          </w14:textFill>
        </w:rPr>
      </w:pPr>
    </w:p>
    <w:p w14:paraId="06679FF1">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12D64DD8">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4101E78A">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100B84E7">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31C931B1">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3A59B52F">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79846296">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1A9B6392">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5758AD5">
      <w:pPr>
        <w:pStyle w:val="42"/>
        <w:widowControl w:val="0"/>
        <w:wordWrap w:val="0"/>
        <w:adjustRightInd w:val="0"/>
        <w:snapToGrid w:val="0"/>
        <w:spacing w:line="240" w:lineRule="auto"/>
        <w:ind w:firstLine="0"/>
        <w:jc w:val="center"/>
        <w:rPr>
          <w:rFonts w:ascii="Times New Roman"/>
          <w:b/>
          <w:snapToGrid w:val="0"/>
          <w:color w:val="000000" w:themeColor="text1"/>
          <w:sz w:val="48"/>
          <w:szCs w:val="48"/>
          <w:highlight w:val="none"/>
          <w14:textFill>
            <w14:solidFill>
              <w14:schemeClr w14:val="tx1"/>
            </w14:solidFill>
          </w14:textFill>
        </w:rPr>
      </w:pPr>
      <w:r>
        <w:rPr>
          <w:rFonts w:hint="eastAsia" w:ascii="Times New Roman"/>
          <w:bCs/>
          <w:snapToGrid w:val="0"/>
          <w:color w:val="000000" w:themeColor="text1"/>
          <w:sz w:val="48"/>
          <w:szCs w:val="48"/>
          <w:highlight w:val="none"/>
          <w:u w:val="single"/>
          <w14:textFill>
            <w14:solidFill>
              <w14:schemeClr w14:val="tx1"/>
            </w14:solidFill>
          </w14:textFill>
        </w:rPr>
        <w:t xml:space="preserve">             </w:t>
      </w:r>
      <w:r>
        <w:rPr>
          <w:rFonts w:hint="eastAsia" w:ascii="Times New Roman"/>
          <w:b/>
          <w:snapToGrid w:val="0"/>
          <w:color w:val="000000" w:themeColor="text1"/>
          <w:sz w:val="48"/>
          <w:szCs w:val="48"/>
          <w:highlight w:val="none"/>
          <w14:textFill>
            <w14:solidFill>
              <w14:schemeClr w14:val="tx1"/>
            </w14:solidFill>
          </w14:textFill>
        </w:rPr>
        <w:t>（项目名称）招标</w:t>
      </w:r>
    </w:p>
    <w:p w14:paraId="0EF7CCD7">
      <w:pPr>
        <w:pStyle w:val="42"/>
        <w:widowControl w:val="0"/>
        <w:wordWrap w:val="0"/>
        <w:adjustRightInd w:val="0"/>
        <w:snapToGrid w:val="0"/>
        <w:spacing w:line="240" w:lineRule="auto"/>
        <w:ind w:firstLine="0"/>
        <w:jc w:val="center"/>
        <w:rPr>
          <w:rFonts w:ascii="Times New Roman"/>
          <w:b/>
          <w:snapToGrid w:val="0"/>
          <w:color w:val="000000" w:themeColor="text1"/>
          <w:sz w:val="32"/>
          <w:highlight w:val="none"/>
          <w14:textFill>
            <w14:solidFill>
              <w14:schemeClr w14:val="tx1"/>
            </w14:solidFill>
          </w14:textFill>
        </w:rPr>
      </w:pPr>
    </w:p>
    <w:p w14:paraId="2B99ED15">
      <w:pPr>
        <w:pStyle w:val="42"/>
        <w:widowControl w:val="0"/>
        <w:wordWrap w:val="0"/>
        <w:adjustRightInd w:val="0"/>
        <w:snapToGrid w:val="0"/>
        <w:spacing w:line="240" w:lineRule="auto"/>
        <w:ind w:firstLine="0"/>
        <w:jc w:val="center"/>
        <w:rPr>
          <w:rFonts w:ascii="Times New Roman"/>
          <w:b/>
          <w:snapToGrid w:val="0"/>
          <w:color w:val="000000" w:themeColor="text1"/>
          <w:sz w:val="72"/>
          <w:highlight w:val="none"/>
          <w14:textFill>
            <w14:solidFill>
              <w14:schemeClr w14:val="tx1"/>
            </w14:solidFill>
          </w14:textFill>
        </w:rPr>
      </w:pPr>
      <w:r>
        <w:rPr>
          <w:rFonts w:hint="eastAsia" w:ascii="Times New Roman"/>
          <w:b/>
          <w:snapToGrid w:val="0"/>
          <w:color w:val="000000" w:themeColor="text1"/>
          <w:sz w:val="72"/>
          <w:highlight w:val="none"/>
          <w14:textFill>
            <w14:solidFill>
              <w14:schemeClr w14:val="tx1"/>
            </w14:solidFill>
          </w14:textFill>
        </w:rPr>
        <w:t>投  标  文  件</w:t>
      </w:r>
    </w:p>
    <w:p w14:paraId="6A98CB5C">
      <w:pPr>
        <w:pStyle w:val="42"/>
        <w:widowControl w:val="0"/>
        <w:wordWrap w:val="0"/>
        <w:adjustRightInd w:val="0"/>
        <w:snapToGrid w:val="0"/>
        <w:spacing w:line="240" w:lineRule="auto"/>
        <w:ind w:firstLine="0"/>
        <w:jc w:val="center"/>
        <w:rPr>
          <w:rFonts w:ascii="Times New Roman"/>
          <w:b/>
          <w:snapToGrid w:val="0"/>
          <w:color w:val="000000" w:themeColor="text1"/>
          <w:sz w:val="32"/>
          <w:highlight w:val="none"/>
          <w14:textFill>
            <w14:solidFill>
              <w14:schemeClr w14:val="tx1"/>
            </w14:solidFill>
          </w14:textFill>
        </w:rPr>
      </w:pPr>
    </w:p>
    <w:p w14:paraId="7C4DECDE">
      <w:pPr>
        <w:pStyle w:val="42"/>
        <w:widowControl w:val="0"/>
        <w:wordWrap w:val="0"/>
        <w:adjustRightInd w:val="0"/>
        <w:snapToGrid w:val="0"/>
        <w:spacing w:line="240" w:lineRule="auto"/>
        <w:ind w:firstLine="0"/>
        <w:jc w:val="center"/>
        <w:rPr>
          <w:rFonts w:ascii="Times New Roman"/>
          <w:b/>
          <w:snapToGrid w:val="0"/>
          <w:color w:val="000000" w:themeColor="text1"/>
          <w:sz w:val="48"/>
          <w:szCs w:val="48"/>
          <w:highlight w:val="none"/>
          <w14:textFill>
            <w14:solidFill>
              <w14:schemeClr w14:val="tx1"/>
            </w14:solidFill>
          </w14:textFill>
        </w:rPr>
      </w:pPr>
      <w:r>
        <w:rPr>
          <w:rFonts w:hint="eastAsia" w:ascii="Times New Roman"/>
          <w:b/>
          <w:snapToGrid w:val="0"/>
          <w:color w:val="000000" w:themeColor="text1"/>
          <w:sz w:val="48"/>
          <w:szCs w:val="48"/>
          <w:highlight w:val="none"/>
          <w14:textFill>
            <w14:solidFill>
              <w14:schemeClr w14:val="tx1"/>
            </w14:solidFill>
          </w14:textFill>
        </w:rPr>
        <w:t>（商务标书／监理大纲）</w:t>
      </w:r>
    </w:p>
    <w:p w14:paraId="67B14DCA">
      <w:pPr>
        <w:pStyle w:val="42"/>
        <w:widowControl w:val="0"/>
        <w:wordWrap w:val="0"/>
        <w:adjustRightInd w:val="0"/>
        <w:snapToGrid w:val="0"/>
        <w:spacing w:line="240" w:lineRule="auto"/>
        <w:rPr>
          <w:rFonts w:ascii="Times New Roman"/>
          <w:b/>
          <w:snapToGrid w:val="0"/>
          <w:color w:val="000000" w:themeColor="text1"/>
          <w:highlight w:val="none"/>
          <w14:textFill>
            <w14:solidFill>
              <w14:schemeClr w14:val="tx1"/>
            </w14:solidFill>
          </w14:textFill>
        </w:rPr>
      </w:pPr>
    </w:p>
    <w:p w14:paraId="5195C3A0">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CBC8D83">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5BFAFACB">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A5C7968">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6ABC5DEA">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21D461F2">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348C7ABE">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75B0FF2C">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EAE96EB">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投标人：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（盖单位章）</w:t>
      </w:r>
    </w:p>
    <w:p w14:paraId="658E095D">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6E772B18">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1003FEB6">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681BE007">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法定代表人或其委托代理人：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（签字或盖章）</w:t>
      </w:r>
    </w:p>
    <w:p w14:paraId="78F9DCCF">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17A147D1">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u w:val="single"/>
          <w14:textFill>
            <w14:solidFill>
              <w14:schemeClr w14:val="tx1"/>
            </w14:solidFill>
          </w14:textFill>
        </w:rPr>
      </w:pPr>
    </w:p>
    <w:p w14:paraId="7C3B8344">
      <w:pPr>
        <w:pStyle w:val="42"/>
        <w:widowControl w:val="0"/>
        <w:wordWrap w:val="0"/>
        <w:adjustRightInd w:val="0"/>
        <w:snapToGrid w:val="0"/>
        <w:spacing w:line="240" w:lineRule="auto"/>
        <w:ind w:firstLine="0"/>
        <w:jc w:val="center"/>
        <w:rPr>
          <w:rFonts w:ascii="Times New Roman"/>
          <w:b/>
          <w:snapToGrid w:val="0"/>
          <w:color w:val="000000" w:themeColor="text1"/>
          <w:highlight w:val="none"/>
          <w14:textFill>
            <w14:solidFill>
              <w14:schemeClr w14:val="tx1"/>
            </w14:solidFill>
          </w14:textFill>
        </w:rPr>
      </w:pP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年</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月</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日</w:t>
      </w:r>
    </w:p>
    <w:p w14:paraId="5BE975C4">
      <w:pPr>
        <w:pStyle w:val="42"/>
        <w:widowControl w:val="0"/>
        <w:wordWrap w:val="0"/>
        <w:adjustRightInd w:val="0"/>
        <w:snapToGrid w:val="0"/>
        <w:rPr>
          <w:rFonts w:ascii="Times New Roman"/>
          <w:b/>
          <w:snapToGrid w:val="0"/>
          <w:color w:val="000000" w:themeColor="text1"/>
          <w:highlight w:val="none"/>
          <w14:textFill>
            <w14:solidFill>
              <w14:schemeClr w14:val="tx1"/>
            </w14:solidFill>
          </w14:textFill>
        </w:rPr>
      </w:pPr>
    </w:p>
    <w:p w14:paraId="18A47DB9">
      <w:pPr>
        <w:pStyle w:val="42"/>
        <w:widowControl w:val="0"/>
        <w:wordWrap w:val="0"/>
        <w:adjustRightInd w:val="0"/>
        <w:snapToGrid w:val="0"/>
        <w:rPr>
          <w:rFonts w:ascii="Times New Roman"/>
          <w:b/>
          <w:snapToGrid w:val="0"/>
          <w:color w:val="000000" w:themeColor="text1"/>
          <w:highlight w:val="none"/>
          <w14:textFill>
            <w14:solidFill>
              <w14:schemeClr w14:val="tx1"/>
            </w14:solidFill>
          </w14:textFill>
        </w:rPr>
      </w:pPr>
    </w:p>
    <w:p w14:paraId="594F2DF6">
      <w:pPr>
        <w:pStyle w:val="42"/>
        <w:widowControl w:val="0"/>
        <w:wordWrap w:val="0"/>
        <w:adjustRightInd w:val="0"/>
        <w:snapToGrid w:val="0"/>
        <w:rPr>
          <w:rFonts w:ascii="Times New Roman"/>
          <w:b/>
          <w:snapToGrid w:val="0"/>
          <w:color w:val="000000" w:themeColor="text1"/>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6B051959">
      <w:pPr>
        <w:pStyle w:val="3"/>
        <w:wordWrap w:val="0"/>
        <w:autoSpaceDE/>
        <w:autoSpaceDN/>
        <w:snapToGrid w:val="0"/>
        <w:spacing w:line="440" w:lineRule="exact"/>
        <w:rPr>
          <w:rFonts w:ascii="Times New Roman"/>
          <w:b/>
          <w:snapToGrid w:val="0"/>
          <w:color w:val="000000" w:themeColor="text1"/>
          <w:highlight w:val="none"/>
          <w14:textFill>
            <w14:solidFill>
              <w14:schemeClr w14:val="tx1"/>
            </w14:solidFill>
          </w14:textFill>
        </w:rPr>
      </w:pPr>
      <w:bookmarkStart w:id="251" w:name="_Toc21838"/>
      <w:bookmarkStart w:id="252" w:name="_Toc7039"/>
      <w:bookmarkStart w:id="253" w:name="_Toc106418843"/>
      <w:bookmarkStart w:id="254" w:name="_Toc104711098"/>
      <w:r>
        <w:rPr>
          <w:rFonts w:hint="eastAsia" w:ascii="Times New Roman"/>
          <w:b/>
          <w:snapToGrid w:val="0"/>
          <w:color w:val="000000" w:themeColor="text1"/>
          <w:highlight w:val="none"/>
          <w14:textFill>
            <w14:solidFill>
              <w14:schemeClr w14:val="tx1"/>
            </w14:solidFill>
          </w14:textFill>
        </w:rPr>
        <w:t>格式</w:t>
      </w:r>
      <w:bookmarkStart w:id="255" w:name="_Hlt97526007"/>
      <w:bookmarkEnd w:id="255"/>
      <w:r>
        <w:rPr>
          <w:rFonts w:hint="eastAsia" w:ascii="Times New Roman"/>
          <w:b/>
          <w:snapToGrid w:val="0"/>
          <w:color w:val="000000" w:themeColor="text1"/>
          <w:highlight w:val="none"/>
          <w14:textFill>
            <w14:solidFill>
              <w14:schemeClr w14:val="tx1"/>
            </w14:solidFill>
          </w14:textFill>
        </w:rPr>
        <w:t>二 投标函</w:t>
      </w:r>
      <w:bookmarkEnd w:id="251"/>
      <w:bookmarkEnd w:id="252"/>
    </w:p>
    <w:p w14:paraId="095EE186">
      <w:pPr>
        <w:wordWrap w:val="0"/>
        <w:adjustRightInd w:val="0"/>
        <w:snapToGrid w:val="0"/>
        <w:spacing w:before="260" w:after="260" w:line="440" w:lineRule="exact"/>
        <w:jc w:val="center"/>
        <w:rPr>
          <w:rFonts w:ascii="Times New Roman"/>
          <w:b/>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sz w:val="30"/>
          <w:highlight w:val="none"/>
          <w14:textFill>
            <w14:solidFill>
              <w14:schemeClr w14:val="tx1"/>
            </w14:solidFill>
          </w14:textFill>
        </w:rPr>
        <w:t>投</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标</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函</w:t>
      </w:r>
      <w:bookmarkEnd w:id="253"/>
      <w:bookmarkEnd w:id="254"/>
    </w:p>
    <w:p w14:paraId="2501E74E">
      <w:pPr>
        <w:wordWrap w:val="0"/>
        <w:adjustRightInd w:val="0"/>
        <w:snapToGrid w:val="0"/>
        <w:spacing w:line="440" w:lineRule="exact"/>
        <w:jc w:val="center"/>
        <w:rPr>
          <w:rFonts w:ascii="Times New Roman"/>
          <w:b/>
          <w:snapToGrid w:val="0"/>
          <w:color w:val="000000" w:themeColor="text1"/>
          <w:kern w:val="0"/>
          <w:highlight w:val="none"/>
          <w14:textFill>
            <w14:solidFill>
              <w14:schemeClr w14:val="tx1"/>
            </w14:solidFill>
          </w14:textFill>
        </w:rPr>
      </w:pPr>
    </w:p>
    <w:p w14:paraId="3990A923">
      <w:pPr>
        <w:wordWrap w:val="0"/>
        <w:adjustRightInd w:val="0"/>
        <w:snapToGrid w:val="0"/>
        <w:spacing w:line="440" w:lineRule="exac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（招标人名称）</w:t>
      </w:r>
    </w:p>
    <w:p w14:paraId="6A613DE5">
      <w:pPr>
        <w:wordWrap w:val="0"/>
        <w:adjustRightInd w:val="0"/>
        <w:snapToGrid w:val="0"/>
        <w:spacing w:line="440" w:lineRule="exact"/>
        <w:ind w:firstLine="57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1. 我方在仔细研究</w:t>
      </w:r>
      <w:r>
        <w:rPr>
          <w:rFonts w:hint="eastAsia" w:ascii="宋体" w:hAnsi="宋体" w:eastAsia="宋体" w:cs="宋体"/>
          <w:snapToGrid w:val="0"/>
          <w:color w:val="000000" w:themeColor="text1"/>
          <w:kern w:val="0"/>
          <w:highlight w:val="none"/>
          <w:u w:val="single"/>
          <w14:textFill>
            <w14:solidFill>
              <w14:schemeClr w14:val="tx1"/>
            </w14:solidFill>
          </w14:textFill>
        </w:rPr>
        <w:t xml:space="preserve">              （项目名称）</w:t>
      </w:r>
      <w:r>
        <w:rPr>
          <w:rFonts w:hint="eastAsia" w:ascii="宋体" w:hAnsi="宋体" w:eastAsia="宋体" w:cs="宋体"/>
          <w:snapToGrid w:val="0"/>
          <w:color w:val="000000" w:themeColor="text1"/>
          <w:kern w:val="0"/>
          <w:highlight w:val="none"/>
          <w14:textFill>
            <w14:solidFill>
              <w14:schemeClr w14:val="tx1"/>
            </w14:solidFill>
          </w14:textFill>
        </w:rPr>
        <w:t>（以下简称“本项目”）监理招标文件的全部内容后，结合自身资质、能力和特点，愿意接受招标文件的全部内容和条件。兹以人民币</w:t>
      </w:r>
      <w:r>
        <w:rPr>
          <w:rFonts w:hint="eastAsia" w:ascii="宋体" w:hAnsi="宋体" w:eastAsia="宋体" w:cs="宋体"/>
          <w:snapToGrid w:val="0"/>
          <w:color w:val="000000" w:themeColor="text1"/>
          <w:kern w:val="0"/>
          <w:highlight w:val="none"/>
          <w:u w:val="single"/>
          <w14:textFill>
            <w14:solidFill>
              <w14:schemeClr w14:val="tx1"/>
            </w14:solidFill>
          </w14:textFill>
        </w:rPr>
        <w:t>（大写）：           （小写）：（¥         ）</w:t>
      </w:r>
      <w:r>
        <w:rPr>
          <w:rFonts w:hint="eastAsia" w:ascii="宋体" w:hAnsi="宋体" w:eastAsia="宋体" w:cs="宋体"/>
          <w:snapToGrid w:val="0"/>
          <w:color w:val="000000" w:themeColor="text1"/>
          <w:kern w:val="0"/>
          <w:highlight w:val="none"/>
          <w14:textFill>
            <w14:solidFill>
              <w14:schemeClr w14:val="tx1"/>
            </w14:solidFill>
          </w14:textFill>
        </w:rPr>
        <w:t>的投标总价（其中，增值税税率为</w:t>
      </w:r>
      <w:r>
        <w:rPr>
          <w:rFonts w:hint="eastAsia" w:ascii="宋体" w:hAnsi="宋体" w:eastAsia="宋体" w:cs="宋体"/>
          <w:snapToGrid w:val="0"/>
          <w:color w:val="000000" w:themeColor="text1"/>
          <w:kern w:val="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highlight w:val="none"/>
          <w14:textFill>
            <w14:solidFill>
              <w14:schemeClr w14:val="tx1"/>
            </w14:solidFill>
          </w14:textFill>
        </w:rPr>
        <w:t>）竞投本项目监理及相关服务，投标取费费率为</w:t>
      </w:r>
      <w:r>
        <w:rPr>
          <w:rFonts w:hint="eastAsia" w:ascii="宋体" w:hAnsi="宋体" w:eastAsia="宋体" w:cs="宋体"/>
          <w:snapToGrid w:val="0"/>
          <w:color w:val="000000" w:themeColor="text1"/>
          <w:kern w:val="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highlight w:val="none"/>
          <w14:textFill>
            <w14:solidFill>
              <w14:schemeClr w14:val="tx1"/>
            </w14:solidFill>
          </w14:textFill>
        </w:rPr>
        <w:t>。</w:t>
      </w:r>
    </w:p>
    <w:p w14:paraId="275FB275">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 如果我方中标，我方保证按照委托人发出的开始监理通知中写明的日期开始本项目的</w:t>
      </w:r>
      <w:r>
        <w:rPr>
          <w:rFonts w:hint="eastAsia" w:hAnsi="宋体" w:cs="宋体"/>
          <w:snapToGrid w:val="0"/>
          <w:color w:val="000000" w:themeColor="text1"/>
          <w:kern w:val="0"/>
          <w:highlight w:val="none"/>
          <w:u w:val="single"/>
          <w14:textFill>
            <w14:solidFill>
              <w14:schemeClr w14:val="tx1"/>
            </w14:solidFill>
          </w14:textFill>
        </w:rPr>
        <w:t xml:space="preserve"> 监理及相关服务 </w:t>
      </w:r>
      <w:r>
        <w:rPr>
          <w:rFonts w:hint="eastAsia" w:hAnsi="宋体" w:cs="宋体"/>
          <w:snapToGrid w:val="0"/>
          <w:color w:val="000000" w:themeColor="text1"/>
          <w:kern w:val="0"/>
          <w:highlight w:val="none"/>
          <w14:textFill>
            <w14:solidFill>
              <w14:schemeClr w14:val="tx1"/>
            </w14:solidFill>
          </w14:textFill>
        </w:rPr>
        <w:t>，并在合同约定的服务期限内完成合同规定的全部义务。</w:t>
      </w:r>
    </w:p>
    <w:p w14:paraId="6DCAE66A">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 本投标函在你方接收我方递交的投标文件之日起、到招标文件规定的投标有效期期满前</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投标有效期为90个日历天</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对我方具有约束力。我方随时准备接受你方发出的中标通知书。</w:t>
      </w:r>
    </w:p>
    <w:p w14:paraId="4714EE21">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4．我方在此声明，我方不存在本项目招标文件第一章第三节第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条“禁止投标条款”所列出的任何一种情形，并愿意承担因我方就此弄虚作假所引起的一切法律后果。</w:t>
      </w:r>
    </w:p>
    <w:p w14:paraId="4901EC8D">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6DC233F5">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bookmarkStart w:id="256" w:name="_Hlt68771070"/>
      <w:bookmarkEnd w:id="256"/>
      <w:r>
        <w:rPr>
          <w:rFonts w:hint="eastAsia" w:hAnsi="宋体" w:cs="宋体"/>
          <w:snapToGrid w:val="0"/>
          <w:color w:val="000000" w:themeColor="text1"/>
          <w:kern w:val="0"/>
          <w:highlight w:val="none"/>
          <w14:textFill>
            <w14:solidFill>
              <w14:schemeClr w14:val="tx1"/>
            </w14:solidFill>
          </w14:textFill>
        </w:rPr>
        <w:t>6. 我方理解你方不一定要接纳收到的最低投标总价或任何投标总价的投标人中标，也不要求你方解释我方是否中标的原因。</w:t>
      </w:r>
    </w:p>
    <w:p w14:paraId="5459E001">
      <w:pPr>
        <w:wordWrap w:val="0"/>
        <w:adjustRightInd w:val="0"/>
        <w:snapToGrid w:val="0"/>
        <w:spacing w:line="440" w:lineRule="exact"/>
        <w:ind w:firstLine="570"/>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w:t>
      </w:r>
    </w:p>
    <w:p w14:paraId="1E6878B7">
      <w:pPr>
        <w:wordWrap w:val="0"/>
        <w:adjustRightInd w:val="0"/>
        <w:snapToGrid w:val="0"/>
        <w:spacing w:line="440" w:lineRule="exact"/>
        <w:rPr>
          <w:rFonts w:ascii="Times New Roman"/>
          <w:snapToGrid w:val="0"/>
          <w:color w:val="000000" w:themeColor="text1"/>
          <w:kern w:val="0"/>
          <w:highlight w:val="none"/>
          <w14:textFill>
            <w14:solidFill>
              <w14:schemeClr w14:val="tx1"/>
            </w14:solidFill>
          </w14:textFill>
        </w:rPr>
      </w:pPr>
    </w:p>
    <w:p w14:paraId="53D01A7D">
      <w:pPr>
        <w:wordWrap w:val="0"/>
        <w:adjustRightInd w:val="0"/>
        <w:snapToGrid w:val="0"/>
        <w:spacing w:line="440" w:lineRule="exact"/>
        <w:jc w:val="righ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投标人：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（盖单位章）</w:t>
      </w:r>
    </w:p>
    <w:p w14:paraId="15913B40">
      <w:pPr>
        <w:wordWrap w:val="0"/>
        <w:adjustRightInd w:val="0"/>
        <w:snapToGrid w:val="0"/>
        <w:spacing w:line="440" w:lineRule="exact"/>
        <w:jc w:val="right"/>
        <w:rPr>
          <w:rFonts w:ascii="Times New Roman"/>
          <w:snapToGrid w:val="0"/>
          <w:color w:val="000000" w:themeColor="text1"/>
          <w:kern w:val="0"/>
          <w:highlight w:val="none"/>
          <w14:textFill>
            <w14:solidFill>
              <w14:schemeClr w14:val="tx1"/>
            </w14:solidFill>
          </w14:textFill>
        </w:rPr>
      </w:pPr>
    </w:p>
    <w:p w14:paraId="09B0D1EA">
      <w:pPr>
        <w:wordWrap w:val="0"/>
        <w:adjustRightInd w:val="0"/>
        <w:snapToGrid w:val="0"/>
        <w:spacing w:line="440" w:lineRule="exact"/>
        <w:ind w:firstLine="480" w:firstLineChars="200"/>
        <w:jc w:val="righ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法定代表人或其委托代理人：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（签字或盖章）</w:t>
      </w:r>
    </w:p>
    <w:p w14:paraId="6883A031">
      <w:pPr>
        <w:wordWrap w:val="0"/>
        <w:adjustRightInd w:val="0"/>
        <w:snapToGrid w:val="0"/>
        <w:spacing w:line="440" w:lineRule="exact"/>
        <w:ind w:firstLine="480" w:firstLineChars="200"/>
        <w:jc w:val="right"/>
        <w:rPr>
          <w:rFonts w:ascii="Times New Roman"/>
          <w:snapToGrid w:val="0"/>
          <w:color w:val="000000" w:themeColor="text1"/>
          <w:kern w:val="0"/>
          <w:highlight w:val="none"/>
          <w14:textFill>
            <w14:solidFill>
              <w14:schemeClr w14:val="tx1"/>
            </w14:solidFill>
          </w14:textFill>
        </w:rPr>
      </w:pPr>
    </w:p>
    <w:p w14:paraId="6176D2D1">
      <w:pPr>
        <w:wordWrap w:val="0"/>
        <w:adjustRightInd w:val="0"/>
        <w:snapToGrid w:val="0"/>
        <w:spacing w:line="440" w:lineRule="exact"/>
        <w:jc w:val="left"/>
        <w:rPr>
          <w:rFonts w:ascii="Times New Roman"/>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r>
        <w:rPr>
          <w:rFonts w:hint="eastAsia" w:ascii="Times New Roman"/>
          <w:snapToGrid w:val="0"/>
          <w:color w:val="000000" w:themeColor="text1"/>
          <w:kern w:val="0"/>
          <w:highlight w:val="none"/>
          <w14:textFill>
            <w14:solidFill>
              <w14:schemeClr w14:val="tx1"/>
            </w14:solidFill>
          </w14:textFill>
        </w:rPr>
        <w:t xml:space="preserve">                                       </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月</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日</w:t>
      </w:r>
    </w:p>
    <w:p w14:paraId="2A8BAF35">
      <w:pPr>
        <w:pStyle w:val="42"/>
        <w:widowControl w:val="0"/>
        <w:wordWrap w:val="0"/>
        <w:adjustRightInd w:val="0"/>
        <w:snapToGrid w:val="0"/>
        <w:spacing w:line="400" w:lineRule="exact"/>
        <w:ind w:firstLine="0"/>
        <w:outlineLvl w:val="1"/>
        <w:rPr>
          <w:rFonts w:hAnsi="宋体" w:cs="宋体"/>
          <w:b/>
          <w:snapToGrid w:val="0"/>
          <w:color w:val="000000" w:themeColor="text1"/>
          <w:sz w:val="24"/>
          <w:highlight w:val="none"/>
          <w14:textFill>
            <w14:solidFill>
              <w14:schemeClr w14:val="tx1"/>
            </w14:solidFill>
          </w14:textFill>
        </w:rPr>
      </w:pPr>
      <w:bookmarkStart w:id="257" w:name="_Toc4943"/>
      <w:r>
        <w:rPr>
          <w:rFonts w:hint="eastAsia" w:hAnsi="宋体" w:cs="宋体"/>
          <w:b/>
          <w:snapToGrid w:val="0"/>
          <w:color w:val="000000" w:themeColor="text1"/>
          <w:sz w:val="24"/>
          <w:highlight w:val="none"/>
          <w14:textFill>
            <w14:solidFill>
              <w14:schemeClr w14:val="tx1"/>
            </w14:solidFill>
          </w14:textFill>
        </w:rPr>
        <w:t>格式三 各项承诺一览表</w:t>
      </w:r>
      <w:bookmarkEnd w:id="257"/>
    </w:p>
    <w:p w14:paraId="5FAD32A3">
      <w:pPr>
        <w:pStyle w:val="41"/>
        <w:keepNext w:val="0"/>
        <w:keepLines w:val="0"/>
        <w:widowControl w:val="0"/>
        <w:wordWrap w:val="0"/>
        <w:adjustRightInd w:val="0"/>
        <w:snapToGrid w:val="0"/>
        <w:spacing w:before="260" w:after="260" w:line="440" w:lineRule="exact"/>
        <w:ind w:firstLine="0"/>
        <w:outlineLvl w:val="9"/>
        <w:rPr>
          <w:rFonts w:hAnsi="宋体" w:cs="宋体"/>
          <w:b/>
          <w:snapToGrid w:val="0"/>
          <w:color w:val="000000" w:themeColor="text1"/>
          <w:highlight w:val="none"/>
          <w14:textFill>
            <w14:solidFill>
              <w14:schemeClr w14:val="tx1"/>
            </w14:solidFill>
          </w14:textFill>
        </w:rPr>
      </w:pPr>
      <w:bookmarkStart w:id="258" w:name="_Toc24548"/>
      <w:bookmarkStart w:id="259" w:name="_Toc18253"/>
      <w:bookmarkStart w:id="260" w:name="_Toc7685"/>
      <w:bookmarkStart w:id="261" w:name="_Toc11270"/>
      <w:bookmarkStart w:id="262" w:name="_Toc27092"/>
      <w:r>
        <w:rPr>
          <w:rFonts w:hint="eastAsia" w:hAnsi="宋体" w:cs="宋体"/>
          <w:b/>
          <w:snapToGrid w:val="0"/>
          <w:color w:val="000000" w:themeColor="text1"/>
          <w:sz w:val="30"/>
          <w:highlight w:val="none"/>
          <w14:textFill>
            <w14:solidFill>
              <w14:schemeClr w14:val="tx1"/>
            </w14:solidFill>
          </w14:textFill>
        </w:rPr>
        <w:t>各项承诺一览表</w:t>
      </w:r>
      <w:bookmarkEnd w:id="258"/>
      <w:bookmarkEnd w:id="259"/>
      <w:bookmarkEnd w:id="260"/>
      <w:bookmarkEnd w:id="261"/>
      <w:bookmarkEnd w:id="26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0903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tcBorders>
              <w:tl2br w:val="nil"/>
              <w:tr2bl w:val="nil"/>
            </w:tcBorders>
            <w:vAlign w:val="center"/>
          </w:tcPr>
          <w:p w14:paraId="21F10425">
            <w:pPr>
              <w:pStyle w:val="43"/>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序号</w:t>
            </w:r>
          </w:p>
        </w:tc>
        <w:tc>
          <w:tcPr>
            <w:tcW w:w="1573" w:type="dxa"/>
            <w:tcBorders>
              <w:tl2br w:val="nil"/>
              <w:tr2bl w:val="nil"/>
            </w:tcBorders>
            <w:vAlign w:val="center"/>
          </w:tcPr>
          <w:p w14:paraId="19D479EC">
            <w:pPr>
              <w:pStyle w:val="43"/>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承诺事项</w:t>
            </w:r>
          </w:p>
        </w:tc>
        <w:tc>
          <w:tcPr>
            <w:tcW w:w="2923" w:type="dxa"/>
            <w:tcBorders>
              <w:tl2br w:val="nil"/>
              <w:tr2bl w:val="nil"/>
            </w:tcBorders>
            <w:vAlign w:val="center"/>
          </w:tcPr>
          <w:p w14:paraId="75EA954C">
            <w:pPr>
              <w:pStyle w:val="43"/>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承诺内容</w:t>
            </w:r>
          </w:p>
        </w:tc>
        <w:tc>
          <w:tcPr>
            <w:tcW w:w="4019" w:type="dxa"/>
            <w:tcBorders>
              <w:tl2br w:val="nil"/>
              <w:tr2bl w:val="nil"/>
            </w:tcBorders>
            <w:vAlign w:val="center"/>
          </w:tcPr>
          <w:p w14:paraId="6486B2A9">
            <w:pPr>
              <w:pStyle w:val="43"/>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违约承诺</w:t>
            </w:r>
          </w:p>
        </w:tc>
      </w:tr>
      <w:tr w14:paraId="1AF0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65C57B77">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573" w:type="dxa"/>
            <w:tcBorders>
              <w:tl2br w:val="nil"/>
              <w:tr2bl w:val="nil"/>
            </w:tcBorders>
            <w:vAlign w:val="center"/>
          </w:tcPr>
          <w:p w14:paraId="65A12B7E">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自愿接受招标</w:t>
            </w:r>
          </w:p>
          <w:p w14:paraId="4DE84090">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文件条款的承诺</w:t>
            </w:r>
          </w:p>
        </w:tc>
        <w:tc>
          <w:tcPr>
            <w:tcW w:w="2923" w:type="dxa"/>
            <w:tcBorders>
              <w:tl2br w:val="nil"/>
              <w:tr2bl w:val="nil"/>
            </w:tcBorders>
            <w:vAlign w:val="center"/>
          </w:tcPr>
          <w:p w14:paraId="444F5474">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我方自愿接受招标文件的所有条款，所递交的投标文件已经充分响应招标文件的实质性要求。</w:t>
            </w:r>
          </w:p>
        </w:tc>
        <w:tc>
          <w:tcPr>
            <w:tcW w:w="4019" w:type="dxa"/>
            <w:tcBorders>
              <w:tl2br w:val="nil"/>
              <w:tr2bl w:val="nil"/>
            </w:tcBorders>
            <w:vAlign w:val="center"/>
          </w:tcPr>
          <w:p w14:paraId="5A398911">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如果我方的投标文件未响应、违反、偏离招标文件的实质性要求，我方接受招标人或其授权的招标代理机构或其组建的评标委员会依据招标文件作出的相应处理，包括否决投标。</w:t>
            </w:r>
          </w:p>
        </w:tc>
      </w:tr>
      <w:tr w14:paraId="59B1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6181CDA1">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573" w:type="dxa"/>
            <w:tcBorders>
              <w:tl2br w:val="nil"/>
              <w:tr2bl w:val="nil"/>
            </w:tcBorders>
            <w:vAlign w:val="center"/>
          </w:tcPr>
          <w:p w14:paraId="4EF9AC1E">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无禁止投标</w:t>
            </w:r>
          </w:p>
          <w:p w14:paraId="47E6477D">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情形的承诺</w:t>
            </w:r>
          </w:p>
        </w:tc>
        <w:tc>
          <w:tcPr>
            <w:tcW w:w="2923" w:type="dxa"/>
            <w:tcBorders>
              <w:tl2br w:val="nil"/>
              <w:tr2bl w:val="nil"/>
            </w:tcBorders>
            <w:vAlign w:val="center"/>
          </w:tcPr>
          <w:p w14:paraId="0E80DEB8">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019" w:type="dxa"/>
            <w:tcBorders>
              <w:tl2br w:val="nil"/>
              <w:tr2bl w:val="nil"/>
            </w:tcBorders>
            <w:vAlign w:val="center"/>
          </w:tcPr>
          <w:p w14:paraId="6B4F7649">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4F1B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5F398BD0">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573" w:type="dxa"/>
            <w:tcBorders>
              <w:tl2br w:val="nil"/>
              <w:tr2bl w:val="nil"/>
            </w:tcBorders>
            <w:vAlign w:val="center"/>
          </w:tcPr>
          <w:p w14:paraId="780CE5DC">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自觉抵制围标</w:t>
            </w:r>
          </w:p>
          <w:p w14:paraId="70084B35">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串标和弄虚</w:t>
            </w:r>
          </w:p>
          <w:p w14:paraId="2C91696C">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作假行为的承诺</w:t>
            </w:r>
          </w:p>
        </w:tc>
        <w:tc>
          <w:tcPr>
            <w:tcW w:w="2923" w:type="dxa"/>
            <w:tcBorders>
              <w:tl2br w:val="nil"/>
              <w:tr2bl w:val="nil"/>
            </w:tcBorders>
            <w:vAlign w:val="center"/>
          </w:tcPr>
          <w:p w14:paraId="73DEB3DD">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019" w:type="dxa"/>
            <w:tcBorders>
              <w:tl2br w:val="nil"/>
              <w:tr2bl w:val="nil"/>
            </w:tcBorders>
            <w:vAlign w:val="center"/>
          </w:tcPr>
          <w:p w14:paraId="15F2F693">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0F03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19045DB4">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4</w:t>
            </w:r>
          </w:p>
        </w:tc>
        <w:tc>
          <w:tcPr>
            <w:tcW w:w="1573" w:type="dxa"/>
            <w:tcBorders>
              <w:tl2br w:val="nil"/>
              <w:tr2bl w:val="nil"/>
            </w:tcBorders>
            <w:vAlign w:val="center"/>
          </w:tcPr>
          <w:p w14:paraId="2E1DBAF6">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总监理工程师</w:t>
            </w:r>
          </w:p>
          <w:p w14:paraId="6AFD72C4">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任职承诺</w:t>
            </w:r>
          </w:p>
        </w:tc>
        <w:tc>
          <w:tcPr>
            <w:tcW w:w="2923" w:type="dxa"/>
            <w:tcBorders>
              <w:tl2br w:val="nil"/>
              <w:tr2bl w:val="nil"/>
            </w:tcBorders>
            <w:vAlign w:val="center"/>
          </w:tcPr>
          <w:p w14:paraId="43C55129">
            <w:pPr>
              <w:pStyle w:val="44"/>
              <w:wordWrap w:val="0"/>
              <w:adjustRightInd w:val="0"/>
              <w:snapToGrid w:val="0"/>
              <w:spacing w:line="380" w:lineRule="exact"/>
              <w:ind w:firstLine="0" w:firstLineChars="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3E62F88B">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79F3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74C1CA78">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5</w:t>
            </w:r>
          </w:p>
        </w:tc>
        <w:tc>
          <w:tcPr>
            <w:tcW w:w="1573" w:type="dxa"/>
            <w:tcBorders>
              <w:tl2br w:val="nil"/>
              <w:tr2bl w:val="nil"/>
            </w:tcBorders>
            <w:vAlign w:val="center"/>
          </w:tcPr>
          <w:p w14:paraId="61AF3673">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3D8BCD10">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真实性承诺</w:t>
            </w:r>
          </w:p>
        </w:tc>
        <w:tc>
          <w:tcPr>
            <w:tcW w:w="2923" w:type="dxa"/>
            <w:tcBorders>
              <w:tl2br w:val="nil"/>
              <w:tr2bl w:val="nil"/>
            </w:tcBorders>
            <w:vAlign w:val="center"/>
          </w:tcPr>
          <w:p w14:paraId="07764B1A">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我方所递交投标文件的全部内容均为真实、有效、准确的。</w:t>
            </w:r>
          </w:p>
        </w:tc>
        <w:tc>
          <w:tcPr>
            <w:tcW w:w="4019" w:type="dxa"/>
            <w:tcBorders>
              <w:tl2br w:val="nil"/>
              <w:tr2bl w:val="nil"/>
            </w:tcBorders>
            <w:vAlign w:val="center"/>
          </w:tcPr>
          <w:p w14:paraId="506D22E9">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09B2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8D2ED22">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6</w:t>
            </w:r>
          </w:p>
        </w:tc>
        <w:tc>
          <w:tcPr>
            <w:tcW w:w="1573" w:type="dxa"/>
            <w:tcBorders>
              <w:tl2br w:val="nil"/>
              <w:tr2bl w:val="nil"/>
            </w:tcBorders>
            <w:vAlign w:val="center"/>
          </w:tcPr>
          <w:p w14:paraId="3B5F0C7D">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1DFAEA13">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信息公开承诺</w:t>
            </w:r>
          </w:p>
        </w:tc>
        <w:tc>
          <w:tcPr>
            <w:tcW w:w="2923" w:type="dxa"/>
            <w:tcBorders>
              <w:tl2br w:val="nil"/>
              <w:tr2bl w:val="nil"/>
            </w:tcBorders>
            <w:vAlign w:val="center"/>
          </w:tcPr>
          <w:p w14:paraId="78E16264">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6E1B4D98">
            <w:pPr>
              <w:pStyle w:val="44"/>
              <w:wordWrap w:val="0"/>
              <w:adjustRightInd w:val="0"/>
              <w:snapToGrid w:val="0"/>
              <w:spacing w:line="380" w:lineRule="exact"/>
              <w:ind w:firstLine="0" w:firstLineChars="0"/>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w:t>
            </w:r>
          </w:p>
        </w:tc>
      </w:tr>
      <w:tr w14:paraId="54D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0C4CAD34">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7</w:t>
            </w:r>
          </w:p>
        </w:tc>
        <w:tc>
          <w:tcPr>
            <w:tcW w:w="1573" w:type="dxa"/>
            <w:tcBorders>
              <w:tl2br w:val="nil"/>
              <w:tr2bl w:val="nil"/>
            </w:tcBorders>
            <w:vAlign w:val="center"/>
          </w:tcPr>
          <w:p w14:paraId="38EBFB9B">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按时提交履约</w:t>
            </w:r>
          </w:p>
          <w:p w14:paraId="61F67101">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保证的承诺</w:t>
            </w:r>
          </w:p>
        </w:tc>
        <w:tc>
          <w:tcPr>
            <w:tcW w:w="2923" w:type="dxa"/>
            <w:tcBorders>
              <w:tl2br w:val="nil"/>
              <w:tr2bl w:val="nil"/>
            </w:tcBorders>
            <w:vAlign w:val="center"/>
          </w:tcPr>
          <w:p w14:paraId="41492173">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019" w:type="dxa"/>
            <w:tcBorders>
              <w:tl2br w:val="nil"/>
              <w:tr2bl w:val="nil"/>
            </w:tcBorders>
            <w:vAlign w:val="center"/>
          </w:tcPr>
          <w:p w14:paraId="3766EC83">
            <w:pPr>
              <w:pStyle w:val="44"/>
              <w:wordWrap w:val="0"/>
              <w:adjustRightInd w:val="0"/>
              <w:snapToGrid w:val="0"/>
              <w:spacing w:line="380" w:lineRule="exact"/>
              <w:ind w:firstLine="0" w:firstLineChars="0"/>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059A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728DC981">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8</w:t>
            </w:r>
          </w:p>
        </w:tc>
        <w:tc>
          <w:tcPr>
            <w:tcW w:w="1573" w:type="dxa"/>
            <w:tcBorders>
              <w:tl2br w:val="nil"/>
              <w:tr2bl w:val="nil"/>
            </w:tcBorders>
            <w:vAlign w:val="center"/>
          </w:tcPr>
          <w:p w14:paraId="4A6B30EB">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按时签订合同</w:t>
            </w:r>
          </w:p>
          <w:p w14:paraId="2D2D0E37">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的承诺</w:t>
            </w:r>
          </w:p>
        </w:tc>
        <w:tc>
          <w:tcPr>
            <w:tcW w:w="2923" w:type="dxa"/>
            <w:tcBorders>
              <w:tl2br w:val="nil"/>
              <w:tr2bl w:val="nil"/>
            </w:tcBorders>
            <w:vAlign w:val="center"/>
          </w:tcPr>
          <w:p w14:paraId="23BF7E56">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127B8728">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4D625D3D">
      <w:pPr>
        <w:pStyle w:val="43"/>
        <w:wordWrap w:val="0"/>
        <w:adjustRightInd w:val="0"/>
        <w:snapToGrid w:val="0"/>
        <w:spacing w:line="420" w:lineRule="exact"/>
        <w:jc w:val="left"/>
        <w:rPr>
          <w:rFonts w:hAnsi="宋体" w:cs="宋体"/>
          <w:snapToGrid w:val="0"/>
          <w:color w:val="000000" w:themeColor="text1"/>
          <w:kern w:val="0"/>
          <w:highlight w:val="none"/>
          <w14:textFill>
            <w14:solidFill>
              <w14:schemeClr w14:val="tx1"/>
            </w14:solidFill>
          </w14:textFill>
        </w:rPr>
      </w:pPr>
    </w:p>
    <w:p w14:paraId="6B8C7716">
      <w:pPr>
        <w:pStyle w:val="43"/>
        <w:wordWrap w:val="0"/>
        <w:adjustRightInd w:val="0"/>
        <w:snapToGrid w:val="0"/>
        <w:spacing w:line="420" w:lineRule="exact"/>
        <w:jc w:val="left"/>
        <w:rPr>
          <w:rFonts w:hAnsi="宋体" w:cs="宋体"/>
          <w:snapToGrid w:val="0"/>
          <w:color w:val="000000" w:themeColor="text1"/>
          <w:kern w:val="0"/>
          <w:highlight w:val="none"/>
          <w14:textFill>
            <w14:solidFill>
              <w14:schemeClr w14:val="tx1"/>
            </w14:solidFill>
          </w14:textFill>
        </w:rPr>
      </w:pPr>
    </w:p>
    <w:p w14:paraId="0F1135B8">
      <w:pPr>
        <w:pStyle w:val="13"/>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（盖单位章）</w:t>
      </w:r>
    </w:p>
    <w:p w14:paraId="31BDBC82">
      <w:pPr>
        <w:pStyle w:val="13"/>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p>
    <w:p w14:paraId="59DE8B79">
      <w:pPr>
        <w:pStyle w:val="13"/>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p>
    <w:p w14:paraId="38C0BEB0">
      <w:pPr>
        <w:pStyle w:val="13"/>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法定代表人或其委托代理人：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（签字或盖章）</w:t>
      </w:r>
    </w:p>
    <w:p w14:paraId="351BEACB">
      <w:pPr>
        <w:pStyle w:val="13"/>
        <w:wordWrap w:val="0"/>
        <w:adjustRightInd w:val="0"/>
        <w:snapToGrid w:val="0"/>
        <w:spacing w:line="420" w:lineRule="exact"/>
        <w:ind w:firstLine="480" w:firstLineChars="200"/>
        <w:rPr>
          <w:rFonts w:hAnsi="宋体" w:cs="宋体"/>
          <w:snapToGrid w:val="0"/>
          <w:color w:val="000000" w:themeColor="text1"/>
          <w:kern w:val="0"/>
          <w:szCs w:val="24"/>
          <w:highlight w:val="none"/>
          <w14:textFill>
            <w14:solidFill>
              <w14:schemeClr w14:val="tx1"/>
            </w14:solidFill>
          </w14:textFill>
        </w:rPr>
      </w:pPr>
    </w:p>
    <w:p w14:paraId="32A62607">
      <w:pPr>
        <w:pStyle w:val="13"/>
        <w:wordWrap w:val="0"/>
        <w:adjustRightInd w:val="0"/>
        <w:snapToGrid w:val="0"/>
        <w:spacing w:line="420" w:lineRule="exact"/>
        <w:ind w:firstLine="480" w:firstLineChars="200"/>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年</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月</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日</w:t>
      </w:r>
    </w:p>
    <w:p w14:paraId="6B2A986A">
      <w:pPr>
        <w:wordWrap w:val="0"/>
        <w:adjustRightInd w:val="0"/>
        <w:snapToGrid w:val="0"/>
        <w:spacing w:line="420" w:lineRule="exact"/>
        <w:jc w:val="left"/>
        <w:rPr>
          <w:rFonts w:hAnsi="宋体" w:cs="宋体"/>
          <w:b/>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4E786EAC">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263" w:name="_Toc18742"/>
      <w:r>
        <w:rPr>
          <w:rFonts w:hint="eastAsia" w:hAnsi="宋体" w:cs="宋体"/>
          <w:b/>
          <w:bCs/>
          <w:snapToGrid w:val="0"/>
          <w:color w:val="000000" w:themeColor="text1"/>
          <w:kern w:val="0"/>
          <w:szCs w:val="24"/>
          <w:highlight w:val="none"/>
          <w14:textFill>
            <w14:solidFill>
              <w14:schemeClr w14:val="tx1"/>
            </w14:solidFill>
          </w14:textFill>
        </w:rPr>
        <w:t>格式四 授权委托书</w:t>
      </w:r>
      <w:bookmarkEnd w:id="263"/>
    </w:p>
    <w:p w14:paraId="008E90EE">
      <w:pPr>
        <w:wordWrap w:val="0"/>
        <w:adjustRightInd w:val="0"/>
        <w:snapToGrid w:val="0"/>
        <w:spacing w:line="440" w:lineRule="exact"/>
        <w:rPr>
          <w:rFonts w:hAnsi="宋体" w:cs="宋体"/>
          <w:b/>
          <w:bCs/>
          <w:snapToGrid w:val="0"/>
          <w:color w:val="000000" w:themeColor="text1"/>
          <w:kern w:val="0"/>
          <w:szCs w:val="24"/>
          <w:highlight w:val="none"/>
          <w14:textFill>
            <w14:solidFill>
              <w14:schemeClr w14:val="tx1"/>
            </w14:solidFill>
          </w14:textFill>
        </w:rPr>
      </w:pPr>
    </w:p>
    <w:p w14:paraId="620CFF77">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授权委托书</w:t>
      </w:r>
    </w:p>
    <w:p w14:paraId="3E883048">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p>
    <w:p w14:paraId="1734B171">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本人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（投标人名称）的法定代表人，现委托</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（姓名）为我方代理人。代理人根据授权，以我方名义签署、澄清、说明、补正、递交、撤回、修改</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（项目名称）监理投标文件、签订合同和处理有关事宜，其法律后果由我方承担。</w:t>
      </w:r>
    </w:p>
    <w:p w14:paraId="4425DE59">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委托期限：至</w:t>
      </w:r>
      <w:r>
        <w:rPr>
          <w:rFonts w:hint="eastAsia" w:hAnsi="宋体" w:cs="宋体"/>
          <w:snapToGrid w:val="0"/>
          <w:color w:val="000000" w:themeColor="text1"/>
          <w:kern w:val="0"/>
          <w:szCs w:val="21"/>
          <w:highlight w:val="none"/>
          <w:u w:val="single"/>
          <w14:textFill>
            <w14:solidFill>
              <w14:schemeClr w14:val="tx1"/>
            </w14:solidFill>
          </w14:textFill>
        </w:rPr>
        <w:t xml:space="preserve">     年   月   日</w:t>
      </w:r>
      <w:r>
        <w:rPr>
          <w:rFonts w:hint="eastAsia" w:hAnsi="宋体" w:cs="宋体"/>
          <w:i/>
          <w:iCs/>
          <w:snapToGrid w:val="0"/>
          <w:color w:val="000000" w:themeColor="text1"/>
          <w:kern w:val="0"/>
          <w:szCs w:val="21"/>
          <w:highlight w:val="none"/>
          <w:u w:val="single"/>
          <w14:textFill>
            <w14:solidFill>
              <w14:schemeClr w14:val="tx1"/>
            </w14:solidFill>
          </w14:textFill>
        </w:rPr>
        <w:t>（不得短于招标文件规定的投标有效期）</w:t>
      </w:r>
      <w:r>
        <w:rPr>
          <w:rFonts w:hint="eastAsia" w:hAnsi="宋体" w:cs="宋体"/>
          <w:snapToGrid w:val="0"/>
          <w:color w:val="000000" w:themeColor="text1"/>
          <w:kern w:val="0"/>
          <w:szCs w:val="21"/>
          <w:highlight w:val="none"/>
          <w14:textFill>
            <w14:solidFill>
              <w14:schemeClr w14:val="tx1"/>
            </w14:solidFill>
          </w14:textFill>
        </w:rPr>
        <w:t xml:space="preserve"> 。</w:t>
      </w:r>
    </w:p>
    <w:p w14:paraId="670D5EE2">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代理人无转委托权。</w:t>
      </w:r>
    </w:p>
    <w:p w14:paraId="0FFC74F8">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1D500EE9">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4851B001">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投  标  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4995C2FE">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0576D9B0">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21EF0AEA">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5E035BA8">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17667A9C">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委托代理人：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57271708">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76C79EAF">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日</w:t>
      </w:r>
    </w:p>
    <w:p w14:paraId="33B5744D">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6B20D076">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5FDEB32F">
      <w:pPr>
        <w:wordWrap w:val="0"/>
        <w:adjustRightInd w:val="0"/>
        <w:snapToGrid w:val="0"/>
        <w:ind w:firstLine="6440" w:firstLineChars="23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 w:val="28"/>
          <w:szCs w:val="28"/>
          <w:highlight w:val="none"/>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92393FE">
                            <w:pPr>
                              <w:jc w:val="center"/>
                              <w:rPr>
                                <w:szCs w:val="21"/>
                              </w:rPr>
                            </w:pPr>
                          </w:p>
                          <w:p w14:paraId="44C46C9D">
                            <w:pPr>
                              <w:jc w:val="center"/>
                              <w:rPr>
                                <w:szCs w:val="21"/>
                              </w:rPr>
                            </w:pPr>
                          </w:p>
                          <w:p w14:paraId="46DDBF71">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792393FE">
                      <w:pPr>
                        <w:jc w:val="center"/>
                        <w:rPr>
                          <w:szCs w:val="21"/>
                        </w:rPr>
                      </w:pPr>
                    </w:p>
                    <w:p w14:paraId="44C46C9D">
                      <w:pPr>
                        <w:jc w:val="center"/>
                        <w:rPr>
                          <w:szCs w:val="21"/>
                        </w:rPr>
                      </w:pPr>
                    </w:p>
                    <w:p w14:paraId="46DDBF71">
                      <w:pPr>
                        <w:jc w:val="center"/>
                        <w:rPr>
                          <w:szCs w:val="21"/>
                        </w:rPr>
                      </w:pPr>
                      <w:r>
                        <w:rPr>
                          <w:rFonts w:hint="eastAsia"/>
                          <w:szCs w:val="21"/>
                        </w:rPr>
                        <w:t>委托代理人身份证彩色扫描件正、反面</w:t>
                      </w:r>
                    </w:p>
                  </w:txbxContent>
                </v:textbox>
              </v:shape>
            </w:pict>
          </mc:Fallback>
        </mc:AlternateContent>
      </w:r>
    </w:p>
    <w:p w14:paraId="5FDAF404">
      <w:pPr>
        <w:pStyle w:val="8"/>
        <w:wordWrap w:val="0"/>
        <w:adjustRightInd w:val="0"/>
        <w:snapToGrid w:val="0"/>
        <w:rPr>
          <w:rFonts w:hAnsi="宋体" w:cs="宋体"/>
          <w:snapToGrid w:val="0"/>
          <w:color w:val="000000" w:themeColor="text1"/>
          <w:kern w:val="0"/>
          <w:szCs w:val="24"/>
          <w:highlight w:val="none"/>
          <w14:textFill>
            <w14:solidFill>
              <w14:schemeClr w14:val="tx1"/>
            </w14:solidFill>
          </w14:textFill>
        </w:rPr>
      </w:pPr>
    </w:p>
    <w:p w14:paraId="400D49D2">
      <w:pPr>
        <w:bidi w:val="0"/>
        <w:rPr>
          <w:color w:val="000000" w:themeColor="text1"/>
          <w:highlight w:val="none"/>
          <w14:textFill>
            <w14:solidFill>
              <w14:schemeClr w14:val="tx1"/>
            </w14:solidFill>
          </w14:textFill>
        </w:rPr>
      </w:pPr>
    </w:p>
    <w:p w14:paraId="43B24474">
      <w:pPr>
        <w:wordWrap w:val="0"/>
        <w:adjustRightInd w:val="0"/>
        <w:snapToGrid w:val="0"/>
        <w:rPr>
          <w:rFonts w:hAnsi="宋体" w:cs="宋体"/>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6703F1EA">
      <w:pPr>
        <w:wordWrap w:val="0"/>
        <w:adjustRightInd w:val="0"/>
        <w:snapToGrid w:val="0"/>
        <w:spacing w:line="440" w:lineRule="exact"/>
        <w:outlineLvl w:val="1"/>
        <w:rPr>
          <w:rFonts w:hAnsi="宋体" w:cs="宋体"/>
          <w:b/>
          <w:snapToGrid w:val="0"/>
          <w:color w:val="000000" w:themeColor="text1"/>
          <w:kern w:val="0"/>
          <w:highlight w:val="none"/>
          <w14:textFill>
            <w14:solidFill>
              <w14:schemeClr w14:val="tx1"/>
            </w14:solidFill>
          </w14:textFill>
        </w:rPr>
      </w:pPr>
      <w:bookmarkStart w:id="264" w:name="_Toc25514"/>
      <w:r>
        <w:rPr>
          <w:rFonts w:hint="eastAsia" w:hAnsi="宋体" w:cs="宋体"/>
          <w:b/>
          <w:snapToGrid w:val="0"/>
          <w:color w:val="000000" w:themeColor="text1"/>
          <w:kern w:val="0"/>
          <w:highlight w:val="none"/>
          <w14:textFill>
            <w14:solidFill>
              <w14:schemeClr w14:val="tx1"/>
            </w14:solidFill>
          </w14:textFill>
        </w:rPr>
        <w:t>格式五 法定代表人身份证明</w:t>
      </w:r>
      <w:bookmarkEnd w:id="264"/>
    </w:p>
    <w:p w14:paraId="472750B2">
      <w:pPr>
        <w:wordWrap w:val="0"/>
        <w:adjustRightInd w:val="0"/>
        <w:snapToGrid w:val="0"/>
        <w:spacing w:line="440" w:lineRule="exact"/>
        <w:rPr>
          <w:rFonts w:hAnsi="宋体" w:cs="宋体"/>
          <w:b/>
          <w:snapToGrid w:val="0"/>
          <w:color w:val="000000" w:themeColor="text1"/>
          <w:kern w:val="0"/>
          <w:highlight w:val="none"/>
          <w14:textFill>
            <w14:solidFill>
              <w14:schemeClr w14:val="tx1"/>
            </w14:solidFill>
          </w14:textFill>
        </w:rPr>
      </w:pPr>
    </w:p>
    <w:p w14:paraId="79BA55A0">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法定代表人身份证明</w:t>
      </w:r>
    </w:p>
    <w:p w14:paraId="1112E041">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2D859CDA">
      <w:pPr>
        <w:wordWrap w:val="0"/>
        <w:adjustRightInd w:val="0"/>
        <w:snapToGrid w:val="0"/>
        <w:spacing w:line="440" w:lineRule="exact"/>
        <w:rPr>
          <w:rFonts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投标人名称：</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07E80E95">
      <w:pPr>
        <w:wordWrap w:val="0"/>
        <w:adjustRightInd w:val="0"/>
        <w:snapToGrid w:val="0"/>
        <w:spacing w:line="440" w:lineRule="exact"/>
        <w:rPr>
          <w:rFonts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姓名：</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性别：</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年龄：</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职务：</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24C35943">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w:t>
      </w:r>
    </w:p>
    <w:p w14:paraId="184DA3FF">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特此证明。</w:t>
      </w:r>
    </w:p>
    <w:p w14:paraId="5C80B868">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3E7228C4">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3C43FEDA">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5057C00A">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p>
    <w:p w14:paraId="0F832FC8">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p>
    <w:p w14:paraId="55B5AA11">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6BC33973">
      <w:pPr>
        <w:wordWrap w:val="0"/>
        <w:adjustRightInd w:val="0"/>
        <w:snapToGrid w:val="0"/>
        <w:spacing w:line="440" w:lineRule="exact"/>
        <w:jc w:val="center"/>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3B3F64D7">
      <w:pPr>
        <w:wordWrap w:val="0"/>
        <w:adjustRightInd w:val="0"/>
        <w:snapToGrid w:val="0"/>
        <w:spacing w:line="440" w:lineRule="exact"/>
        <w:jc w:val="center"/>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 xml:space="preserve">日       </w:t>
      </w:r>
    </w:p>
    <w:p w14:paraId="186F5DDF">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0C46432A">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p>
    <w:p w14:paraId="43BDF4B7">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p>
    <w:p w14:paraId="544432B0">
      <w:pPr>
        <w:wordWrap w:val="0"/>
        <w:adjustRightInd w:val="0"/>
        <w:snapToGrid w:val="0"/>
        <w:spacing w:line="440" w:lineRule="exact"/>
        <w:ind w:firstLine="720" w:firstLineChars="300"/>
        <w:rPr>
          <w:rFonts w:hAnsi="宋体" w:cs="宋体"/>
          <w:b/>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i/>
          <w:iCs/>
          <w:snapToGrid w:val="0"/>
          <w:color w:val="000000" w:themeColor="text1"/>
          <w:kern w:val="0"/>
          <w:szCs w:val="21"/>
          <w:highlight w:val="none"/>
          <w14:textFill>
            <w14:solidFill>
              <w14:schemeClr w14:val="tx1"/>
            </w14:solidFill>
          </w14:textFill>
        </w:rPr>
        <w:t xml:space="preserve"> </w:t>
      </w:r>
    </w:p>
    <w:p w14:paraId="5A6E8904">
      <w:pPr>
        <w:wordWrap w:val="0"/>
        <w:adjustRightInd w:val="0"/>
        <w:snapToGrid w:val="0"/>
        <w:rPr>
          <w:rFonts w:hAnsi="宋体" w:cs="宋体"/>
          <w:b/>
          <w:snapToGrid w:val="0"/>
          <w:color w:val="000000" w:themeColor="text1"/>
          <w:kern w:val="0"/>
          <w:szCs w:val="21"/>
          <w:highlight w:val="none"/>
          <w14:textFill>
            <w14:solidFill>
              <w14:schemeClr w14:val="tx1"/>
            </w14:solidFill>
          </w14:textFill>
        </w:rPr>
      </w:pPr>
      <w:r>
        <w:rPr>
          <w:rFonts w:hint="eastAsia" w:hAnsi="宋体" w:cs="宋体"/>
          <w:b/>
          <w:snapToGrid w:val="0"/>
          <w:color w:val="000000" w:themeColor="text1"/>
          <w:kern w:val="0"/>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9EA02D7">
                            <w:pPr>
                              <w:jc w:val="center"/>
                              <w:rPr>
                                <w:szCs w:val="21"/>
                              </w:rPr>
                            </w:pPr>
                          </w:p>
                          <w:p w14:paraId="735FE9C1">
                            <w:pPr>
                              <w:jc w:val="center"/>
                              <w:rPr>
                                <w:szCs w:val="21"/>
                              </w:rPr>
                            </w:pPr>
                          </w:p>
                          <w:p w14:paraId="4F8DAE1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9EA02D7">
                      <w:pPr>
                        <w:jc w:val="center"/>
                        <w:rPr>
                          <w:szCs w:val="21"/>
                        </w:rPr>
                      </w:pPr>
                    </w:p>
                    <w:p w14:paraId="735FE9C1">
                      <w:pPr>
                        <w:jc w:val="center"/>
                        <w:rPr>
                          <w:szCs w:val="21"/>
                        </w:rPr>
                      </w:pPr>
                    </w:p>
                    <w:p w14:paraId="4F8DAE16">
                      <w:pPr>
                        <w:jc w:val="center"/>
                        <w:rPr>
                          <w:szCs w:val="21"/>
                        </w:rPr>
                      </w:pPr>
                      <w:r>
                        <w:rPr>
                          <w:rFonts w:hint="eastAsia"/>
                          <w:szCs w:val="21"/>
                        </w:rPr>
                        <w:t>法定代表人身份证彩色扫描件正、反面</w:t>
                      </w:r>
                    </w:p>
                  </w:txbxContent>
                </v:textbox>
              </v:shape>
            </w:pict>
          </mc:Fallback>
        </mc:AlternateContent>
      </w:r>
    </w:p>
    <w:p w14:paraId="50420C06">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000000" w:themeColor="text1"/>
          <w:kern w:val="0"/>
          <w:sz w:val="28"/>
          <w:szCs w:val="28"/>
          <w:highlight w:val="none"/>
          <w14:textFill>
            <w14:solidFill>
              <w14:schemeClr w14:val="tx1"/>
            </w14:solidFill>
          </w14:textFill>
        </w:rPr>
      </w:pPr>
    </w:p>
    <w:p w14:paraId="6D7D846A">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pPr>
    </w:p>
    <w:p w14:paraId="487583DD">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pPr>
    </w:p>
    <w:p w14:paraId="567F7EBE">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57FE235A">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265" w:name="_Toc25408"/>
      <w:r>
        <w:rPr>
          <w:rFonts w:hint="eastAsia" w:hAnsi="宋体" w:cs="宋体"/>
          <w:b/>
          <w:bCs/>
          <w:snapToGrid w:val="0"/>
          <w:color w:val="000000" w:themeColor="text1"/>
          <w:kern w:val="0"/>
          <w:szCs w:val="24"/>
          <w:highlight w:val="none"/>
          <w14:textFill>
            <w14:solidFill>
              <w14:schemeClr w14:val="tx1"/>
            </w14:solidFill>
          </w14:textFill>
        </w:rPr>
        <w:t>格式六 投标人基本情况表</w:t>
      </w:r>
      <w:bookmarkEnd w:id="265"/>
    </w:p>
    <w:p w14:paraId="22E8C91B">
      <w:pPr>
        <w:pStyle w:val="42"/>
        <w:widowControl w:val="0"/>
        <w:wordWrap w:val="0"/>
        <w:adjustRightInd w:val="0"/>
        <w:snapToGrid w:val="0"/>
        <w:spacing w:before="260" w:after="260" w:line="400" w:lineRule="exact"/>
        <w:ind w:firstLine="0"/>
        <w:jc w:val="center"/>
        <w:rPr>
          <w:rFonts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66F5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B82BFB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投标人名称</w:t>
            </w:r>
          </w:p>
        </w:tc>
        <w:tc>
          <w:tcPr>
            <w:tcW w:w="7020" w:type="dxa"/>
            <w:gridSpan w:val="8"/>
            <w:vAlign w:val="center"/>
          </w:tcPr>
          <w:p w14:paraId="11FA976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A04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8E13E70">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注册地址</w:t>
            </w:r>
          </w:p>
        </w:tc>
        <w:tc>
          <w:tcPr>
            <w:tcW w:w="3389" w:type="dxa"/>
            <w:gridSpan w:val="3"/>
            <w:vAlign w:val="center"/>
          </w:tcPr>
          <w:p w14:paraId="25E0F217">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42E4313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邮政编码</w:t>
            </w:r>
          </w:p>
        </w:tc>
        <w:tc>
          <w:tcPr>
            <w:tcW w:w="2385" w:type="dxa"/>
            <w:gridSpan w:val="3"/>
            <w:vAlign w:val="center"/>
          </w:tcPr>
          <w:p w14:paraId="3A650EE3">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2C3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53C43AB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联系方式</w:t>
            </w:r>
          </w:p>
        </w:tc>
        <w:tc>
          <w:tcPr>
            <w:tcW w:w="897" w:type="dxa"/>
            <w:vAlign w:val="center"/>
          </w:tcPr>
          <w:p w14:paraId="2E30BE8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联系人</w:t>
            </w:r>
          </w:p>
        </w:tc>
        <w:tc>
          <w:tcPr>
            <w:tcW w:w="2492" w:type="dxa"/>
            <w:gridSpan w:val="2"/>
            <w:vAlign w:val="center"/>
          </w:tcPr>
          <w:p w14:paraId="30C99D0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0AED4AB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  话</w:t>
            </w:r>
          </w:p>
        </w:tc>
        <w:tc>
          <w:tcPr>
            <w:tcW w:w="2385" w:type="dxa"/>
            <w:gridSpan w:val="3"/>
            <w:vAlign w:val="center"/>
          </w:tcPr>
          <w:p w14:paraId="49DBD85F">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02E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F58DC0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897" w:type="dxa"/>
            <w:vAlign w:val="center"/>
          </w:tcPr>
          <w:p w14:paraId="0AF2D00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传  真</w:t>
            </w:r>
          </w:p>
        </w:tc>
        <w:tc>
          <w:tcPr>
            <w:tcW w:w="2492" w:type="dxa"/>
            <w:gridSpan w:val="2"/>
            <w:vAlign w:val="center"/>
          </w:tcPr>
          <w:p w14:paraId="1CDED97F">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668C77C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电子邮箱</w:t>
            </w:r>
          </w:p>
        </w:tc>
        <w:tc>
          <w:tcPr>
            <w:tcW w:w="2385" w:type="dxa"/>
            <w:gridSpan w:val="3"/>
            <w:vAlign w:val="center"/>
          </w:tcPr>
          <w:p w14:paraId="55234DB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702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83EF92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法定代表人</w:t>
            </w:r>
          </w:p>
        </w:tc>
        <w:tc>
          <w:tcPr>
            <w:tcW w:w="897" w:type="dxa"/>
            <w:vAlign w:val="center"/>
          </w:tcPr>
          <w:p w14:paraId="350DA5F0">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vAlign w:val="center"/>
          </w:tcPr>
          <w:p w14:paraId="61BE2D0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Align w:val="center"/>
          </w:tcPr>
          <w:p w14:paraId="3DB2B00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vAlign w:val="center"/>
          </w:tcPr>
          <w:p w14:paraId="5A19E85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709" w:type="dxa"/>
            <w:vAlign w:val="center"/>
          </w:tcPr>
          <w:p w14:paraId="0501AB7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vAlign w:val="center"/>
          </w:tcPr>
          <w:p w14:paraId="26561D8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628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66384998">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技术负责人</w:t>
            </w:r>
          </w:p>
        </w:tc>
        <w:tc>
          <w:tcPr>
            <w:tcW w:w="897" w:type="dxa"/>
            <w:vAlign w:val="center"/>
          </w:tcPr>
          <w:p w14:paraId="15DE505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vAlign w:val="center"/>
          </w:tcPr>
          <w:p w14:paraId="57282AC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Align w:val="center"/>
          </w:tcPr>
          <w:p w14:paraId="6CE2E5B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vAlign w:val="center"/>
          </w:tcPr>
          <w:p w14:paraId="59EAA25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709" w:type="dxa"/>
            <w:vAlign w:val="center"/>
          </w:tcPr>
          <w:p w14:paraId="2D64575B">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vAlign w:val="center"/>
          </w:tcPr>
          <w:p w14:paraId="656CCEF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3756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6025B24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成立日期</w:t>
            </w:r>
          </w:p>
        </w:tc>
        <w:tc>
          <w:tcPr>
            <w:tcW w:w="2586" w:type="dxa"/>
            <w:gridSpan w:val="2"/>
            <w:vAlign w:val="center"/>
          </w:tcPr>
          <w:p w14:paraId="4A20AD4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4434" w:type="dxa"/>
            <w:gridSpan w:val="6"/>
            <w:vAlign w:val="center"/>
          </w:tcPr>
          <w:p w14:paraId="63444E4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员工总人数（个）：</w:t>
            </w:r>
          </w:p>
        </w:tc>
      </w:tr>
      <w:tr w14:paraId="7752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4A4F519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企业资质</w:t>
            </w:r>
          </w:p>
          <w:p w14:paraId="020DA42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类型和等级</w:t>
            </w:r>
          </w:p>
        </w:tc>
        <w:tc>
          <w:tcPr>
            <w:tcW w:w="2586" w:type="dxa"/>
            <w:gridSpan w:val="2"/>
            <w:vAlign w:val="center"/>
          </w:tcPr>
          <w:p w14:paraId="098C4003">
            <w:pPr>
              <w:pStyle w:val="4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restart"/>
            <w:vAlign w:val="center"/>
          </w:tcPr>
          <w:p w14:paraId="55343AD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其中</w:t>
            </w:r>
          </w:p>
        </w:tc>
        <w:tc>
          <w:tcPr>
            <w:tcW w:w="1929" w:type="dxa"/>
            <w:gridSpan w:val="3"/>
            <w:vAlign w:val="center"/>
          </w:tcPr>
          <w:p w14:paraId="278718E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各类注册人员</w:t>
            </w:r>
          </w:p>
        </w:tc>
        <w:tc>
          <w:tcPr>
            <w:tcW w:w="1416" w:type="dxa"/>
            <w:vAlign w:val="center"/>
          </w:tcPr>
          <w:p w14:paraId="6D23319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190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EF0D1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营业执照号</w:t>
            </w:r>
          </w:p>
        </w:tc>
        <w:tc>
          <w:tcPr>
            <w:tcW w:w="2586" w:type="dxa"/>
            <w:gridSpan w:val="2"/>
            <w:vAlign w:val="center"/>
          </w:tcPr>
          <w:p w14:paraId="63EEA0E5">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7E2EEF1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76DF447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高级职称人员</w:t>
            </w:r>
          </w:p>
        </w:tc>
        <w:tc>
          <w:tcPr>
            <w:tcW w:w="1416" w:type="dxa"/>
            <w:vAlign w:val="center"/>
          </w:tcPr>
          <w:p w14:paraId="11BB6BD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05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3AA7F94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注册资金</w:t>
            </w:r>
          </w:p>
        </w:tc>
        <w:tc>
          <w:tcPr>
            <w:tcW w:w="2586" w:type="dxa"/>
            <w:gridSpan w:val="2"/>
            <w:vAlign w:val="center"/>
          </w:tcPr>
          <w:p w14:paraId="25DEB06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4D4EC560">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531DA09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中级职称人员</w:t>
            </w:r>
          </w:p>
        </w:tc>
        <w:tc>
          <w:tcPr>
            <w:tcW w:w="1416" w:type="dxa"/>
            <w:vAlign w:val="center"/>
          </w:tcPr>
          <w:p w14:paraId="10584FE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71C0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14594D2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2673DFB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开户银行</w:t>
            </w:r>
          </w:p>
        </w:tc>
        <w:tc>
          <w:tcPr>
            <w:tcW w:w="2586" w:type="dxa"/>
            <w:gridSpan w:val="2"/>
            <w:vAlign w:val="center"/>
          </w:tcPr>
          <w:p w14:paraId="5C86443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4E260540">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1022B4B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初级职称人员</w:t>
            </w:r>
          </w:p>
        </w:tc>
        <w:tc>
          <w:tcPr>
            <w:tcW w:w="1416" w:type="dxa"/>
            <w:vAlign w:val="center"/>
          </w:tcPr>
          <w:p w14:paraId="3E3407C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212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425167B7">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66945DC3">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银行账号</w:t>
            </w:r>
          </w:p>
        </w:tc>
        <w:tc>
          <w:tcPr>
            <w:tcW w:w="2586" w:type="dxa"/>
            <w:gridSpan w:val="2"/>
            <w:vAlign w:val="center"/>
          </w:tcPr>
          <w:p w14:paraId="437F175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52DAE195">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23E4C887">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技术员</w:t>
            </w:r>
          </w:p>
        </w:tc>
        <w:tc>
          <w:tcPr>
            <w:tcW w:w="1416" w:type="dxa"/>
            <w:vAlign w:val="center"/>
          </w:tcPr>
          <w:p w14:paraId="2FB5361F">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131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3A31A36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经营范围</w:t>
            </w:r>
          </w:p>
        </w:tc>
        <w:tc>
          <w:tcPr>
            <w:tcW w:w="7020" w:type="dxa"/>
            <w:gridSpan w:val="8"/>
            <w:vAlign w:val="center"/>
          </w:tcPr>
          <w:p w14:paraId="7749CED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670C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4DE1112B">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关联企业情况</w:t>
            </w:r>
          </w:p>
        </w:tc>
        <w:tc>
          <w:tcPr>
            <w:tcW w:w="7020" w:type="dxa"/>
            <w:gridSpan w:val="8"/>
            <w:vAlign w:val="center"/>
          </w:tcPr>
          <w:p w14:paraId="2B6907A2">
            <w:pPr>
              <w:pStyle w:val="4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包括但不限于与投标人存在以下关系的不同单位：</w:t>
            </w:r>
          </w:p>
          <w:p w14:paraId="2484EE8C">
            <w:pPr>
              <w:pStyle w:val="4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1．法定代表人为同一人的。</w:t>
            </w:r>
          </w:p>
          <w:p w14:paraId="573D325D">
            <w:pPr>
              <w:pStyle w:val="4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2．存在控股、管理关系的。</w:t>
            </w:r>
          </w:p>
          <w:p w14:paraId="504A86DE">
            <w:pPr>
              <w:pStyle w:val="4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3．主要人员相互任职的。</w:t>
            </w:r>
          </w:p>
        </w:tc>
      </w:tr>
      <w:tr w14:paraId="470F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35FDEAD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备注</w:t>
            </w:r>
          </w:p>
        </w:tc>
        <w:tc>
          <w:tcPr>
            <w:tcW w:w="7020" w:type="dxa"/>
            <w:gridSpan w:val="8"/>
            <w:vAlign w:val="center"/>
          </w:tcPr>
          <w:p w14:paraId="7550999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bl>
    <w:p w14:paraId="31D14F23">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02F1EC1B">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1．《投标人基本情况表》后应附以下资料：</w:t>
      </w:r>
    </w:p>
    <w:p w14:paraId="6D19864B">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（1）企业营业执照、资质证书彩色扫描件（因推行电子证照，企业的营业执照、资质证书等可以提供电子证照）；</w:t>
      </w:r>
    </w:p>
    <w:p w14:paraId="0D6246ED">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highlight w:val="none"/>
          <w14:textFill>
            <w14:solidFill>
              <w14:schemeClr w14:val="tx1"/>
            </w14:solidFill>
          </w14:textFill>
        </w:rPr>
        <w:t>“进粤企业和人员诚信信息登记平台”企业信息情况打印页。（适用于省外企业）</w:t>
      </w:r>
      <w:r>
        <w:rPr>
          <w:rFonts w:hint="eastAsia" w:ascii="宋体" w:hAnsi="宋体" w:cs="宋体"/>
          <w:snapToGrid w:val="0"/>
          <w:color w:val="000000" w:themeColor="text1"/>
          <w:kern w:val="0"/>
          <w:szCs w:val="21"/>
          <w:highlight w:val="none"/>
          <w14:textFill>
            <w14:solidFill>
              <w14:schemeClr w14:val="tx1"/>
            </w14:solidFill>
          </w14:textFill>
        </w:rPr>
        <w:t>。</w:t>
      </w:r>
    </w:p>
    <w:p w14:paraId="2C2FD920">
      <w:pPr>
        <w:pStyle w:val="42"/>
        <w:widowControl w:val="0"/>
        <w:wordWrap w:val="0"/>
        <w:adjustRightInd w:val="0"/>
        <w:snapToGrid w:val="0"/>
        <w:spacing w:line="400" w:lineRule="exact"/>
        <w:rPr>
          <w:rFonts w:hAnsi="宋体" w:cs="宋体"/>
          <w:snapToGrid w:val="0"/>
          <w:color w:val="000000" w:themeColor="text1"/>
          <w:sz w:val="21"/>
          <w:szCs w:val="21"/>
          <w:highlight w:val="none"/>
          <w14:textFill>
            <w14:solidFill>
              <w14:schemeClr w14:val="tx1"/>
            </w14:solidFill>
          </w14:textFill>
        </w:rPr>
      </w:pPr>
      <w:r>
        <w:rPr>
          <w:rFonts w:hint="eastAsia" w:hAnsi="宋体" w:cs="宋体"/>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 。</w:t>
      </w:r>
    </w:p>
    <w:p w14:paraId="3DF4C1A7">
      <w:pPr>
        <w:rPr>
          <w:rFonts w:hint="eastAsia"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highlight w:val="none"/>
          <w14:textFill>
            <w14:solidFill>
              <w14:schemeClr w14:val="tx1"/>
            </w14:solidFill>
          </w14:textFill>
        </w:rPr>
        <w:br w:type="page"/>
      </w:r>
    </w:p>
    <w:p w14:paraId="08DBD574">
      <w:pPr>
        <w:wordWrap w:val="0"/>
        <w:adjustRightInd w:val="0"/>
        <w:snapToGrid w:val="0"/>
        <w:spacing w:line="440" w:lineRule="exact"/>
        <w:jc w:val="left"/>
        <w:outlineLvl w:val="1"/>
        <w:rPr>
          <w:rFonts w:hAnsi="宋体" w:cs="宋体"/>
          <w:b/>
          <w:snapToGrid w:val="0"/>
          <w:color w:val="000000" w:themeColor="text1"/>
          <w:kern w:val="0"/>
          <w:highlight w:val="none"/>
          <w14:textFill>
            <w14:solidFill>
              <w14:schemeClr w14:val="tx1"/>
            </w14:solidFill>
          </w14:textFill>
        </w:rPr>
      </w:pPr>
      <w:bookmarkStart w:id="266" w:name="_Toc11609"/>
      <w:r>
        <w:rPr>
          <w:rFonts w:hint="eastAsia" w:hAnsi="宋体" w:cs="宋体"/>
          <w:b/>
          <w:snapToGrid w:val="0"/>
          <w:color w:val="000000" w:themeColor="text1"/>
          <w:kern w:val="0"/>
          <w:highlight w:val="none"/>
          <w14:textFill>
            <w14:solidFill>
              <w14:schemeClr w14:val="tx1"/>
            </w14:solidFill>
          </w14:textFill>
        </w:rPr>
        <w:t>格式七  总监理工程师任职声明（适用于无任职项目）</w:t>
      </w:r>
      <w:bookmarkEnd w:id="266"/>
    </w:p>
    <w:p w14:paraId="46D4D231">
      <w:pPr>
        <w:wordWrap w:val="0"/>
        <w:adjustRightInd w:val="0"/>
        <w:snapToGrid w:val="0"/>
        <w:spacing w:line="440" w:lineRule="exact"/>
        <w:jc w:val="left"/>
        <w:rPr>
          <w:rFonts w:hAnsi="宋体" w:cs="宋体"/>
          <w:b/>
          <w:snapToGrid w:val="0"/>
          <w:color w:val="000000" w:themeColor="text1"/>
          <w:kern w:val="0"/>
          <w:highlight w:val="none"/>
          <w14:textFill>
            <w14:solidFill>
              <w14:schemeClr w14:val="tx1"/>
            </w14:solidFill>
          </w14:textFill>
        </w:rPr>
      </w:pPr>
    </w:p>
    <w:p w14:paraId="5D71FAEF">
      <w:pPr>
        <w:wordWrap w:val="0"/>
        <w:adjustRightInd w:val="0"/>
        <w:snapToGrid w:val="0"/>
        <w:spacing w:before="260" w:after="260"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总监理工程师任职声明</w:t>
      </w:r>
    </w:p>
    <w:p w14:paraId="10CA385E">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3C7C26EB">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（招标人名称）：</w:t>
      </w:r>
    </w:p>
    <w:p w14:paraId="3CF6AC8E">
      <w:pPr>
        <w:wordWrap w:val="0"/>
        <w:adjustRightInd w:val="0"/>
        <w:snapToGrid w:val="0"/>
        <w:spacing w:line="440" w:lineRule="exact"/>
        <w:ind w:firstLine="480" w:firstLineChars="20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我方在此声明，我方拟派往</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（项目名称）的总监理工程师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（总监理工程师姓名）现阶段未担任任何在施（包括已中标未开工、已开工未竣工）建设工程项目的总监理工程师。</w:t>
      </w:r>
    </w:p>
    <w:p w14:paraId="2B6A9360">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7D00281A">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2C4CAFEE">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特此承诺　　</w:t>
      </w:r>
    </w:p>
    <w:p w14:paraId="5072C453">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2BB10C2A">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7D68A5B2">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投标人：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（盖单位章）</w:t>
      </w:r>
    </w:p>
    <w:p w14:paraId="13A75888">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AFC36B8">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2DF48E52">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法定代表人或其委托代理人：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（签字或盖章）</w:t>
      </w:r>
    </w:p>
    <w:p w14:paraId="1A63BD38">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17582F60">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xml:space="preserve">                            </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日</w:t>
      </w:r>
    </w:p>
    <w:p w14:paraId="1AE70872">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2898A912">
      <w:pPr>
        <w:wordWrap w:val="0"/>
        <w:adjustRightInd w:val="0"/>
        <w:snapToGrid w:val="0"/>
        <w:spacing w:line="440" w:lineRule="exact"/>
        <w:jc w:val="left"/>
        <w:outlineLvl w:val="1"/>
        <w:rPr>
          <w:rFonts w:hAnsi="宋体" w:cs="宋体"/>
          <w:b/>
          <w:snapToGrid w:val="0"/>
          <w:color w:val="000000" w:themeColor="text1"/>
          <w:kern w:val="0"/>
          <w:highlight w:val="none"/>
          <w14:textFill>
            <w14:solidFill>
              <w14:schemeClr w14:val="tx1"/>
            </w14:solidFill>
          </w14:textFill>
        </w:rPr>
      </w:pPr>
      <w:bookmarkStart w:id="267" w:name="_Toc4974"/>
      <w:r>
        <w:rPr>
          <w:rFonts w:hint="eastAsia" w:hAnsi="宋体" w:cs="宋体"/>
          <w:b/>
          <w:snapToGrid w:val="0"/>
          <w:color w:val="000000" w:themeColor="text1"/>
          <w:kern w:val="0"/>
          <w:highlight w:val="none"/>
          <w14:textFill>
            <w14:solidFill>
              <w14:schemeClr w14:val="tx1"/>
            </w14:solidFill>
          </w14:textFill>
        </w:rPr>
        <w:t>格式八 总监理工程师任职声明（适用于有任职项目）</w:t>
      </w:r>
      <w:bookmarkEnd w:id="267"/>
    </w:p>
    <w:p w14:paraId="67BF4FF5">
      <w:pPr>
        <w:wordWrap w:val="0"/>
        <w:adjustRightInd w:val="0"/>
        <w:snapToGrid w:val="0"/>
        <w:spacing w:line="440" w:lineRule="exact"/>
        <w:jc w:val="left"/>
        <w:rPr>
          <w:rFonts w:hAnsi="宋体" w:cs="宋体"/>
          <w:b/>
          <w:snapToGrid w:val="0"/>
          <w:color w:val="000000" w:themeColor="text1"/>
          <w:kern w:val="0"/>
          <w:highlight w:val="none"/>
          <w14:textFill>
            <w14:solidFill>
              <w14:schemeClr w14:val="tx1"/>
            </w14:solidFill>
          </w14:textFill>
        </w:rPr>
      </w:pPr>
    </w:p>
    <w:p w14:paraId="2431DE0D">
      <w:pPr>
        <w:wordWrap w:val="0"/>
        <w:adjustRightInd w:val="0"/>
        <w:snapToGrid w:val="0"/>
        <w:spacing w:before="260" w:after="260"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总监理工程师任职声明</w:t>
      </w:r>
    </w:p>
    <w:p w14:paraId="31806C14">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3E1C740B">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（招标人名称）：</w:t>
      </w:r>
    </w:p>
    <w:p w14:paraId="086D0624">
      <w:pPr>
        <w:wordWrap w:val="0"/>
        <w:adjustRightInd w:val="0"/>
        <w:snapToGrid w:val="0"/>
        <w:spacing w:line="440" w:lineRule="exact"/>
        <w:ind w:firstLine="480" w:firstLineChars="20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我方在此声明，我方拟派往</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（项目名称）的总监理工程师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（总监理工程师姓名）现阶段正在担任</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个在施（包括已中标未开工、已开工未竣工）建设工程项目的总监理工程师，具体情况详见《总监理工程师任职项目情况表》。</w:t>
      </w:r>
    </w:p>
    <w:p w14:paraId="7B66C536">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0F9972BD">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57DEAC27">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特此承诺</w:t>
      </w:r>
    </w:p>
    <w:p w14:paraId="0E931224">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p>
    <w:p w14:paraId="78204EAF">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74A37527">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投标人：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（盖单位章）</w:t>
      </w:r>
    </w:p>
    <w:p w14:paraId="4530D242">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657EA66">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A0D2386">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法定代表人或其委托代理人：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（签字或盖章）</w:t>
      </w:r>
    </w:p>
    <w:p w14:paraId="012DE4DB">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4395FF21">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xml:space="preserve">                            </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日</w:t>
      </w:r>
    </w:p>
    <w:p w14:paraId="60175B99">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3E6B5942">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3DED01F7">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268" w:name="_Toc30529"/>
      <w:r>
        <w:rPr>
          <w:rFonts w:hint="eastAsia" w:hAnsi="宋体" w:cs="宋体"/>
          <w:b/>
          <w:bCs/>
          <w:snapToGrid w:val="0"/>
          <w:color w:val="000000" w:themeColor="text1"/>
          <w:kern w:val="0"/>
          <w:szCs w:val="24"/>
          <w:highlight w:val="none"/>
          <w14:textFill>
            <w14:solidFill>
              <w14:schemeClr w14:val="tx1"/>
            </w14:solidFill>
          </w14:textFill>
        </w:rPr>
        <w:t>格式九 总监理工程师任职项目情况表</w:t>
      </w:r>
      <w:bookmarkEnd w:id="268"/>
    </w:p>
    <w:p w14:paraId="3C4F838A">
      <w:pPr>
        <w:wordWrap w:val="0"/>
        <w:adjustRightInd w:val="0"/>
        <w:snapToGrid w:val="0"/>
        <w:spacing w:line="440" w:lineRule="exact"/>
        <w:rPr>
          <w:rFonts w:hAnsi="宋体" w:cs="宋体"/>
          <w:b/>
          <w:bCs/>
          <w:snapToGrid w:val="0"/>
          <w:color w:val="000000" w:themeColor="text1"/>
          <w:kern w:val="0"/>
          <w:szCs w:val="24"/>
          <w:highlight w:val="none"/>
          <w14:textFill>
            <w14:solidFill>
              <w14:schemeClr w14:val="tx1"/>
            </w14:solidFill>
          </w14:textFill>
        </w:rPr>
      </w:pPr>
    </w:p>
    <w:p w14:paraId="011B48DF">
      <w:pPr>
        <w:pStyle w:val="42"/>
        <w:widowControl w:val="0"/>
        <w:wordWrap w:val="0"/>
        <w:adjustRightInd w:val="0"/>
        <w:snapToGrid w:val="0"/>
        <w:spacing w:before="260" w:after="260" w:line="400" w:lineRule="exact"/>
        <w:ind w:firstLine="0"/>
        <w:jc w:val="center"/>
        <w:rPr>
          <w:rFonts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 xml:space="preserve"> 总监理工程师任职项目情况表（）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474A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7E7210D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项目名称</w:t>
            </w:r>
          </w:p>
        </w:tc>
        <w:tc>
          <w:tcPr>
            <w:tcW w:w="2771" w:type="dxa"/>
            <w:vAlign w:val="center"/>
          </w:tcPr>
          <w:p w14:paraId="5A5B4B83">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6CBDFA7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项目所在地</w:t>
            </w:r>
          </w:p>
        </w:tc>
        <w:tc>
          <w:tcPr>
            <w:tcW w:w="2594" w:type="dxa"/>
            <w:vAlign w:val="center"/>
          </w:tcPr>
          <w:p w14:paraId="74A76A3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90C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6B17DF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委托人名称</w:t>
            </w:r>
          </w:p>
        </w:tc>
        <w:tc>
          <w:tcPr>
            <w:tcW w:w="2771" w:type="dxa"/>
            <w:vAlign w:val="center"/>
          </w:tcPr>
          <w:p w14:paraId="4CA3AA65">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30BF380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委托人地址</w:t>
            </w:r>
          </w:p>
        </w:tc>
        <w:tc>
          <w:tcPr>
            <w:tcW w:w="2594" w:type="dxa"/>
            <w:vAlign w:val="center"/>
          </w:tcPr>
          <w:p w14:paraId="3033590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857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D2FD07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委托人电话</w:t>
            </w:r>
          </w:p>
        </w:tc>
        <w:tc>
          <w:tcPr>
            <w:tcW w:w="2771" w:type="dxa"/>
            <w:vAlign w:val="center"/>
          </w:tcPr>
          <w:p w14:paraId="4AB700C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4063F64F">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总监理工程师</w:t>
            </w:r>
          </w:p>
        </w:tc>
        <w:tc>
          <w:tcPr>
            <w:tcW w:w="2594" w:type="dxa"/>
            <w:vAlign w:val="center"/>
          </w:tcPr>
          <w:p w14:paraId="7215151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76C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CF5CC6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监理服务期限</w:t>
            </w:r>
          </w:p>
        </w:tc>
        <w:tc>
          <w:tcPr>
            <w:tcW w:w="2771" w:type="dxa"/>
            <w:vAlign w:val="center"/>
          </w:tcPr>
          <w:p w14:paraId="6379254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1EF7D54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监理内容</w:t>
            </w:r>
          </w:p>
        </w:tc>
        <w:tc>
          <w:tcPr>
            <w:tcW w:w="2594" w:type="dxa"/>
            <w:vAlign w:val="center"/>
          </w:tcPr>
          <w:p w14:paraId="30CE598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46C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4436288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项目描述</w:t>
            </w:r>
          </w:p>
        </w:tc>
        <w:tc>
          <w:tcPr>
            <w:tcW w:w="7000" w:type="dxa"/>
            <w:gridSpan w:val="3"/>
            <w:vAlign w:val="center"/>
          </w:tcPr>
          <w:p w14:paraId="7C844EA0">
            <w:pPr>
              <w:pStyle w:val="4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p>
        </w:tc>
      </w:tr>
      <w:tr w14:paraId="3D2B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4ECAB2F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委托人声明</w:t>
            </w:r>
          </w:p>
        </w:tc>
        <w:tc>
          <w:tcPr>
            <w:tcW w:w="7000" w:type="dxa"/>
            <w:gridSpan w:val="3"/>
            <w:vAlign w:val="center"/>
          </w:tcPr>
          <w:p w14:paraId="62556D41">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5FFB2F97">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致：</w:t>
            </w:r>
            <w:r>
              <w:rPr>
                <w:rFonts w:hint="eastAsia" w:ascii="宋体" w:hAnsi="宋体" w:cs="宋体"/>
                <w:snapToGrid w:val="0"/>
                <w:color w:val="000000" w:themeColor="text1"/>
                <w:kern w:val="0"/>
                <w:szCs w:val="21"/>
                <w:highlight w:val="none"/>
                <w:u w:val="single"/>
                <w14:textFill>
                  <w14:solidFill>
                    <w14:schemeClr w14:val="tx1"/>
                  </w14:solidFill>
                </w14:textFill>
              </w:rPr>
              <w:t>（本招标项目招标人名称）</w:t>
            </w:r>
          </w:p>
          <w:p w14:paraId="7FE0BCBA">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我方在此声明：</w:t>
            </w:r>
          </w:p>
          <w:p w14:paraId="1CF8A531">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一、在</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同志任我方在施项目总监理工程师期间，如果</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highlight w:val="none"/>
                <w14:textFill>
                  <w14:solidFill>
                    <w14:schemeClr w14:val="tx1"/>
                  </w14:solidFill>
                </w14:textFill>
              </w:rPr>
              <w:t>中标你方招标项目监理业务，在</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同志目前担任总监理工程师职务的项目总数不超过两个（含我方在施项目）的前提下，我方同意其同时担任你方招标项目的总监理工程师；如果未中标，以上声明自动失效。</w:t>
            </w:r>
          </w:p>
          <w:p w14:paraId="5B0650C5">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二、无论</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同志是否担任其他建设项目的总监理工程师，</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highlight w:val="none"/>
                <w14:textFill>
                  <w14:solidFill>
                    <w14:schemeClr w14:val="tx1"/>
                  </w14:solidFill>
                </w14:textFill>
              </w:rPr>
              <w:t>都必须完全、严格履行我方在施项目监理合同中约定的所有义务，并确保服务内容、服务质量不得有任何减少或降低。</w:t>
            </w:r>
          </w:p>
          <w:p w14:paraId="6C2F6054">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7C7F52A6">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056E1AE3">
            <w:pPr>
              <w:pStyle w:val="45"/>
              <w:adjustRightInd w:val="0"/>
              <w:snapToGrid w:val="0"/>
              <w:spacing w:line="360" w:lineRule="auto"/>
              <w:jc w:val="righ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建设单位名称：</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cs="宋体"/>
                <w:snapToGrid w:val="0"/>
                <w:color w:val="000000" w:themeColor="text1"/>
                <w:kern w:val="0"/>
                <w:szCs w:val="21"/>
                <w:highlight w:val="none"/>
                <w14:textFill>
                  <w14:solidFill>
                    <w14:schemeClr w14:val="tx1"/>
                  </w14:solidFill>
                </w14:textFill>
              </w:rPr>
              <w:t>（盖单位章）</w:t>
            </w:r>
          </w:p>
          <w:p w14:paraId="0CB6D9A6">
            <w:pPr>
              <w:pStyle w:val="45"/>
              <w:adjustRightInd w:val="0"/>
              <w:snapToGrid w:val="0"/>
              <w:spacing w:line="360" w:lineRule="auto"/>
              <w:jc w:val="right"/>
              <w:rPr>
                <w:rFonts w:ascii="宋体" w:hAnsi="宋体" w:cs="宋体"/>
                <w:snapToGrid w:val="0"/>
                <w:color w:val="000000" w:themeColor="text1"/>
                <w:kern w:val="0"/>
                <w:szCs w:val="21"/>
                <w:highlight w:val="none"/>
                <w14:textFill>
                  <w14:solidFill>
                    <w14:schemeClr w14:val="tx1"/>
                  </w14:solidFill>
                </w14:textFill>
              </w:rPr>
            </w:pPr>
          </w:p>
          <w:p w14:paraId="10BAF33E">
            <w:pPr>
              <w:pStyle w:val="45"/>
              <w:adjustRightInd w:val="0"/>
              <w:snapToGrid w:val="0"/>
              <w:spacing w:line="360" w:lineRule="auto"/>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XXXX年XX月XX日</w:t>
            </w:r>
          </w:p>
        </w:tc>
      </w:tr>
    </w:tbl>
    <w:p w14:paraId="44E3408C">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067CB8AC">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w:t>
      </w:r>
      <w:r>
        <w:rPr>
          <w:rFonts w:hint="eastAsia" w:ascii="宋体" w:hAnsi="宋体" w:cs="宋体"/>
          <w:snapToGrid w:val="0"/>
          <w:color w:val="000000" w:themeColor="text1"/>
          <w:kern w:val="0"/>
          <w:szCs w:val="28"/>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“任职项目”指拟派总监理工程师正在担任总监理工程师职务的在施（包括已中标未开工、已开工未竣工）建设工程项目。任职项目多于一宗的，一项目一表，并标明序号。</w:t>
      </w:r>
    </w:p>
    <w:p w14:paraId="62FE6EF1">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szCs w:val="28"/>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每份情况表后应附该项目的合同协议书彩色扫描件。</w:t>
      </w:r>
    </w:p>
    <w:p w14:paraId="610CA269">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w:t>
      </w:r>
      <w:r>
        <w:rPr>
          <w:rFonts w:hint="eastAsia" w:ascii="宋体" w:hAnsi="宋体" w:cs="宋体"/>
          <w:snapToGrid w:val="0"/>
          <w:color w:val="000000" w:themeColor="text1"/>
          <w:kern w:val="0"/>
          <w:szCs w:val="28"/>
          <w:highlight w:val="none"/>
          <w14:textFill>
            <w14:solidFill>
              <w14:schemeClr w14:val="tx1"/>
            </w14:solidFill>
          </w14:textFill>
        </w:rPr>
        <w:t>．投标人填写本</w:t>
      </w:r>
      <w:r>
        <w:rPr>
          <w:rFonts w:hint="eastAsia" w:ascii="宋体" w:hAnsi="宋体" w:cs="宋体"/>
          <w:snapToGrid w:val="0"/>
          <w:color w:val="000000" w:themeColor="text1"/>
          <w:kern w:val="0"/>
          <w:szCs w:val="21"/>
          <w:highlight w:val="none"/>
          <w14:textFill>
            <w14:solidFill>
              <w14:schemeClr w14:val="tx1"/>
            </w14:solidFill>
          </w14:textFill>
        </w:rPr>
        <w:t>表后交任职项目建设单位审核同意后盖章。任职项目建设单位另行出具书面同意意见的，投标人应将该书面意见附在本表后，同时在“委托人声明”栏目注明“另附”即可。</w:t>
      </w:r>
    </w:p>
    <w:p w14:paraId="02D62871">
      <w:pPr>
        <w:wordWrap w:val="0"/>
        <w:adjustRightInd w:val="0"/>
        <w:snapToGrid w:val="0"/>
        <w:spacing w:line="400" w:lineRule="exact"/>
        <w:rPr>
          <w:rFonts w:hAnsi="宋体" w:cs="宋体"/>
          <w:snapToGrid w:val="0"/>
          <w:color w:val="000000" w:themeColor="text1"/>
          <w:kern w:val="0"/>
          <w:sz w:val="21"/>
          <w:szCs w:val="21"/>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79179558">
      <w:pPr>
        <w:wordWrap w:val="0"/>
        <w:adjustRightInd w:val="0"/>
        <w:snapToGrid w:val="0"/>
        <w:spacing w:line="440" w:lineRule="exact"/>
        <w:ind w:left="2609" w:leftChars="15" w:hanging="2573" w:hangingChars="1068"/>
        <w:outlineLvl w:val="1"/>
        <w:rPr>
          <w:rFonts w:hAnsi="宋体" w:cs="宋体"/>
          <w:b/>
          <w:bCs/>
          <w:snapToGrid w:val="0"/>
          <w:color w:val="000000" w:themeColor="text1"/>
          <w:kern w:val="0"/>
          <w:szCs w:val="24"/>
          <w:highlight w:val="none"/>
          <w14:textFill>
            <w14:solidFill>
              <w14:schemeClr w14:val="tx1"/>
            </w14:solidFill>
          </w14:textFill>
        </w:rPr>
      </w:pPr>
      <w:bookmarkStart w:id="269" w:name="_Toc8192"/>
      <w:bookmarkStart w:id="270" w:name="_Toc200338098"/>
      <w:bookmarkStart w:id="271" w:name="_Toc8264"/>
      <w:r>
        <w:rPr>
          <w:rFonts w:hint="eastAsia" w:hAnsi="宋体" w:cs="宋体"/>
          <w:b/>
          <w:snapToGrid w:val="0"/>
          <w:color w:val="000000" w:themeColor="text1"/>
          <w:kern w:val="0"/>
          <w:highlight w:val="none"/>
          <w14:textFill>
            <w14:solidFill>
              <w14:schemeClr w14:val="tx1"/>
            </w14:solidFill>
          </w14:textFill>
        </w:rPr>
        <w:t>格式</w:t>
      </w:r>
      <w:bookmarkStart w:id="272" w:name="_Hlt287950384"/>
      <w:bookmarkEnd w:id="272"/>
      <w:r>
        <w:rPr>
          <w:rFonts w:hint="eastAsia" w:hAnsi="宋体" w:cs="宋体"/>
          <w:b/>
          <w:bCs/>
          <w:snapToGrid w:val="0"/>
          <w:color w:val="000000" w:themeColor="text1"/>
          <w:kern w:val="0"/>
          <w:szCs w:val="24"/>
          <w:highlight w:val="none"/>
          <w14:textFill>
            <w14:solidFill>
              <w14:schemeClr w14:val="tx1"/>
            </w14:solidFill>
          </w14:textFill>
        </w:rPr>
        <w:t>十 项目监理机构组成人员汇总表</w:t>
      </w:r>
      <w:bookmarkEnd w:id="269"/>
    </w:p>
    <w:p w14:paraId="2ACEDCE6">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 xml:space="preserve"> 项目监理机构组成人员汇总表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D6D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3E3A8D6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1425" w:type="dxa"/>
            <w:vMerge w:val="restart"/>
            <w:tcBorders>
              <w:top w:val="single" w:color="auto" w:sz="6" w:space="0"/>
              <w:left w:val="single" w:color="auto" w:sz="6" w:space="0"/>
              <w:right w:val="single" w:color="auto" w:sz="6" w:space="0"/>
            </w:tcBorders>
            <w:vAlign w:val="center"/>
          </w:tcPr>
          <w:p w14:paraId="0ED1F7A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拟担任职务</w:t>
            </w:r>
          </w:p>
        </w:tc>
        <w:tc>
          <w:tcPr>
            <w:tcW w:w="840" w:type="dxa"/>
            <w:vMerge w:val="restart"/>
            <w:tcBorders>
              <w:top w:val="single" w:color="auto" w:sz="6" w:space="0"/>
              <w:left w:val="single" w:color="auto" w:sz="6" w:space="0"/>
              <w:right w:val="single" w:color="auto" w:sz="4" w:space="0"/>
            </w:tcBorders>
            <w:vAlign w:val="center"/>
          </w:tcPr>
          <w:p w14:paraId="3B30A17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62BD4E3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5FD8304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CEC2C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岗位证书</w:t>
            </w:r>
          </w:p>
        </w:tc>
      </w:tr>
      <w:tr w14:paraId="6D596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362DAC0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vMerge w:val="continue"/>
            <w:tcBorders>
              <w:left w:val="single" w:color="auto" w:sz="6" w:space="0"/>
              <w:bottom w:val="single" w:color="auto" w:sz="6" w:space="0"/>
              <w:right w:val="single" w:color="auto" w:sz="6" w:space="0"/>
            </w:tcBorders>
            <w:vAlign w:val="center"/>
          </w:tcPr>
          <w:p w14:paraId="6046BFD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vMerge w:val="continue"/>
            <w:tcBorders>
              <w:left w:val="single" w:color="auto" w:sz="6" w:space="0"/>
              <w:bottom w:val="single" w:color="auto" w:sz="6" w:space="0"/>
              <w:right w:val="single" w:color="auto" w:sz="4" w:space="0"/>
            </w:tcBorders>
            <w:vAlign w:val="center"/>
          </w:tcPr>
          <w:p w14:paraId="62C2919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14:paraId="20EDC2C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16FE8B2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993B18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756BE9C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0BE244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C30857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454B427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55011BC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5544CEB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r>
      <w:tr w14:paraId="70191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60C79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425" w:type="dxa"/>
            <w:tcBorders>
              <w:top w:val="single" w:color="auto" w:sz="6" w:space="0"/>
              <w:left w:val="single" w:color="auto" w:sz="6" w:space="0"/>
              <w:bottom w:val="single" w:color="auto" w:sz="6" w:space="0"/>
              <w:right w:val="single" w:color="auto" w:sz="6" w:space="0"/>
            </w:tcBorders>
            <w:vAlign w:val="center"/>
          </w:tcPr>
          <w:p w14:paraId="219882F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4DE3E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6" w:space="0"/>
              <w:bottom w:val="single" w:color="auto" w:sz="6" w:space="0"/>
              <w:right w:val="single" w:color="auto" w:sz="6" w:space="0"/>
            </w:tcBorders>
            <w:vAlign w:val="center"/>
          </w:tcPr>
          <w:p w14:paraId="1F12EF5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4" w:space="0"/>
              <w:left w:val="single" w:color="auto" w:sz="6" w:space="0"/>
              <w:bottom w:val="single" w:color="auto" w:sz="6" w:space="0"/>
              <w:right w:val="single" w:color="auto" w:sz="6" w:space="0"/>
            </w:tcBorders>
            <w:vAlign w:val="center"/>
          </w:tcPr>
          <w:p w14:paraId="78B147F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4" w:space="0"/>
              <w:left w:val="single" w:color="auto" w:sz="6" w:space="0"/>
              <w:bottom w:val="single" w:color="auto" w:sz="6" w:space="0"/>
              <w:right w:val="single" w:color="auto" w:sz="6" w:space="0"/>
            </w:tcBorders>
            <w:vAlign w:val="center"/>
          </w:tcPr>
          <w:p w14:paraId="451D5A7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752581C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1826D7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15A8BE2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7682BF3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A0773D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505DA4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32754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09C6D84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425" w:type="dxa"/>
            <w:tcBorders>
              <w:top w:val="single" w:color="auto" w:sz="6" w:space="0"/>
              <w:left w:val="single" w:color="auto" w:sz="6" w:space="0"/>
              <w:bottom w:val="single" w:color="auto" w:sz="6" w:space="0"/>
              <w:right w:val="single" w:color="auto" w:sz="6" w:space="0"/>
            </w:tcBorders>
            <w:vAlign w:val="center"/>
          </w:tcPr>
          <w:p w14:paraId="17928FA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58F35EA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89AB6D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0FBAA17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667E3D2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5A351F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A0C429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38504F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3B8DD9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3B3BCD0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D3E332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12F23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852F5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425" w:type="dxa"/>
            <w:tcBorders>
              <w:top w:val="single" w:color="auto" w:sz="6" w:space="0"/>
              <w:left w:val="single" w:color="auto" w:sz="6" w:space="0"/>
              <w:bottom w:val="single" w:color="auto" w:sz="6" w:space="0"/>
              <w:right w:val="single" w:color="auto" w:sz="6" w:space="0"/>
            </w:tcBorders>
            <w:vAlign w:val="center"/>
          </w:tcPr>
          <w:p w14:paraId="705B477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5663E48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3A9846F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07FA08F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3787AB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F57848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07F0167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D0B86F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5625896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FB7209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43C781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7542E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FD0B82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1425" w:type="dxa"/>
            <w:tcBorders>
              <w:top w:val="single" w:color="auto" w:sz="6" w:space="0"/>
              <w:left w:val="single" w:color="auto" w:sz="6" w:space="0"/>
              <w:bottom w:val="single" w:color="auto" w:sz="6" w:space="0"/>
              <w:right w:val="single" w:color="auto" w:sz="6" w:space="0"/>
            </w:tcBorders>
            <w:vAlign w:val="center"/>
          </w:tcPr>
          <w:p w14:paraId="6847DC2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74032F3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71F3CDA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F4548A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EA3BF0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7FF1A9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8E1783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BBF6F8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44D5BDF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0921CB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D63D02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1D421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D973C9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B67924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0CA379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4968DE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6591A3A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2FF2B7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90D61C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45AD45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62162B3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DF6FAA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38494C3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F1C7B6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567C7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905737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672488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1462162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412E85B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101CCFD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7BC971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D4E971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807104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6A7FF9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1EB5E19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64285E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5752D9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19BD6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BF4408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713A7FA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47D799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1521551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41BC3D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933D10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C57047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C9DE1D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18A2AB0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051328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406538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157133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4D6D4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732807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5B18E15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7BF829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742ED6B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20D5F8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C226AE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7175060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A5898E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0BF637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9F222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47DFE11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B6ABDC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360F5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142273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6E5952B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919A7B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964111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6DBC678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3966E8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0AE85B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2B4024D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0C54B4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683511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90D647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6FDB2F8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bookmarkStart w:id="273" w:name="_Hlt69116778"/>
        <w:bookmarkStart w:id="274" w:name="_Hlt68774664"/>
        <w:bookmarkStart w:id="275" w:name="_附件十：单项工程费汇总表"/>
        <w:bookmarkStart w:id="276" w:name="_附件二十五：综合评审合理低价法"/>
        <w:bookmarkStart w:id="277" w:name="_附件二十四：技术标提问单"/>
      </w:tr>
      <w:bookmarkEnd w:id="270"/>
      <w:bookmarkEnd w:id="271"/>
      <w:bookmarkEnd w:id="273"/>
      <w:bookmarkEnd w:id="274"/>
      <w:bookmarkEnd w:id="275"/>
      <w:bookmarkEnd w:id="276"/>
      <w:bookmarkEnd w:id="277"/>
      <w:tr w14:paraId="038DA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0AB70B1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6D32F49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15F17A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59EE2B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4D4D66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0085EC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B83A93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A28034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211967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68716C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A5AA88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2DF225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bl>
    <w:p w14:paraId="1D6D7473">
      <w:pPr>
        <w:pStyle w:val="42"/>
        <w:widowControl w:val="0"/>
        <w:wordWrap w:val="0"/>
        <w:adjustRightInd w:val="0"/>
        <w:snapToGrid w:val="0"/>
        <w:spacing w:line="400" w:lineRule="exact"/>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说明：</w:t>
      </w:r>
    </w:p>
    <w:p w14:paraId="3CC1B54A">
      <w:pPr>
        <w:pStyle w:val="42"/>
        <w:widowControl w:val="0"/>
        <w:wordWrap w:val="0"/>
        <w:adjustRightInd w:val="0"/>
        <w:snapToGrid w:val="0"/>
        <w:spacing w:line="400" w:lineRule="exact"/>
        <w:rPr>
          <w:rFonts w:hAnsi="宋体" w:cs="宋体"/>
          <w:snapToGrid w:val="0"/>
          <w:color w:val="000000" w:themeColor="text1"/>
          <w:sz w:val="21"/>
          <w:highlight w:val="none"/>
          <w14:textFill>
            <w14:solidFill>
              <w14:schemeClr w14:val="tx1"/>
            </w14:solidFill>
          </w14:textFill>
        </w:rPr>
        <w:sectPr>
          <w:endnotePr>
            <w:numFmt w:val="decimal"/>
          </w:endnotePr>
          <w:pgSz w:w="16838" w:h="11906" w:orient="landscape"/>
          <w:pgMar w:top="1440" w:right="1080" w:bottom="1440" w:left="1080" w:header="850" w:footer="992" w:gutter="0"/>
          <w:pgNumType w:fmt="decimal"/>
          <w:cols w:space="0" w:num="1"/>
          <w:docGrid w:linePitch="327" w:charSpace="0"/>
        </w:sectPr>
      </w:pPr>
      <w:r>
        <w:rPr>
          <w:rFonts w:hint="eastAsia" w:hAnsi="宋体" w:cs="宋体"/>
          <w:snapToGrid w:val="0"/>
          <w:color w:val="000000" w:themeColor="text1"/>
          <w:sz w:val="21"/>
          <w:highlight w:val="none"/>
          <w14:textFill>
            <w14:solidFill>
              <w14:schemeClr w14:val="tx1"/>
            </w14:solidFill>
          </w14:textFill>
        </w:rPr>
        <w:t>1</w:t>
      </w:r>
      <w:r>
        <w:rPr>
          <w:rFonts w:hint="eastAsia" w:hAnsi="宋体" w:cs="宋体"/>
          <w:snapToGrid w:val="0"/>
          <w:color w:val="000000" w:themeColor="text1"/>
          <w:sz w:val="21"/>
          <w:szCs w:val="28"/>
          <w:highlight w:val="none"/>
          <w14:textFill>
            <w14:solidFill>
              <w14:schemeClr w14:val="tx1"/>
            </w14:solidFill>
          </w14:textFill>
        </w:rPr>
        <w:t>．表中没有或无法填写的栏目，用</w:t>
      </w:r>
      <w:r>
        <w:rPr>
          <w:rFonts w:hint="eastAsia" w:hAnsi="宋体" w:cs="宋体"/>
          <w:snapToGrid w:val="0"/>
          <w:color w:val="000000" w:themeColor="text1"/>
          <w:sz w:val="21"/>
          <w:highlight w:val="none"/>
          <w14:textFill>
            <w14:solidFill>
              <w14:schemeClr w14:val="tx1"/>
            </w14:solidFill>
          </w14:textFill>
        </w:rPr>
        <w:t>“/”示意。</w:t>
      </w:r>
      <w:bookmarkEnd w:id="245"/>
      <w:bookmarkEnd w:id="246"/>
      <w:bookmarkEnd w:id="247"/>
      <w:bookmarkEnd w:id="248"/>
    </w:p>
    <w:p w14:paraId="5EB6A7FA">
      <w:pPr>
        <w:pStyle w:val="46"/>
        <w:keepNext/>
        <w:keepLines/>
        <w:snapToGrid w:val="0"/>
        <w:spacing w:line="400" w:lineRule="exact"/>
        <w:jc w:val="both"/>
        <w:rPr>
          <w:rFonts w:ascii="宋体" w:hAnsi="宋体" w:cs="宋体"/>
          <w:b/>
          <w:bCs/>
          <w:snapToGrid w:val="0"/>
          <w:color w:val="000000" w:themeColor="text1"/>
          <w:highlight w:val="none"/>
          <w14:textFill>
            <w14:solidFill>
              <w14:schemeClr w14:val="tx1"/>
            </w14:solidFill>
          </w14:textFill>
        </w:rPr>
      </w:pPr>
      <w:bookmarkStart w:id="278" w:name="_Toc9678"/>
      <w:bookmarkStart w:id="279" w:name="_Toc24916"/>
      <w:r>
        <w:rPr>
          <w:rFonts w:hint="eastAsia" w:ascii="宋体" w:hAnsi="宋体" w:cs="宋体"/>
          <w:b/>
          <w:bCs/>
          <w:snapToGrid w:val="0"/>
          <w:color w:val="000000" w:themeColor="text1"/>
          <w:highlight w:val="none"/>
          <w14:textFill>
            <w14:solidFill>
              <w14:schemeClr w14:val="tx1"/>
            </w14:solidFill>
          </w14:textFill>
        </w:rPr>
        <w:t>格式十一  总监理工程师简历表</w:t>
      </w:r>
      <w:bookmarkEnd w:id="278"/>
      <w:bookmarkEnd w:id="279"/>
    </w:p>
    <w:p w14:paraId="7E04FF37">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p>
    <w:p w14:paraId="65848754">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r>
        <w:rPr>
          <w:rFonts w:hint="eastAsia" w:hAnsi="宋体" w:cs="宋体"/>
          <w:b/>
          <w:bCs/>
          <w:color w:val="000000" w:themeColor="text1"/>
          <w:sz w:val="32"/>
          <w:szCs w:val="22"/>
          <w:highlight w:val="none"/>
          <w14:textFill>
            <w14:solidFill>
              <w14:schemeClr w14:val="tx1"/>
            </w14:solidFill>
          </w14:textFill>
        </w:rPr>
        <w:t>总监理工程师简历表</w:t>
      </w:r>
    </w:p>
    <w:tbl>
      <w:tblPr>
        <w:tblStyle w:val="19"/>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3DAF0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B5909D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487D7C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42B34F8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2A1398F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15957DD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25DEE38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2274A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0C539B4">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8D89C9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6FB8EEC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4BE04EC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5F9F87D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96649E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74492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90A11D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77EC396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DC46DC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2FA0548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0FB58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092BE9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3FE2052F">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名称：                               证书号：</w:t>
            </w:r>
          </w:p>
        </w:tc>
      </w:tr>
      <w:tr w14:paraId="78816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6A739C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460CB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B9EA15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4256E3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CD1A43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1BD258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8A955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10102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A65AB2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66E6FD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632C79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C310EF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7136CE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5000C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CD7EBF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F76119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9CB57C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4D2865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736CA7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C34A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6C61359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4BFF47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648A5E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EB023B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22C581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04193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EF43A0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A55515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B1924C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CD2D6F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998F58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bl>
    <w:p w14:paraId="4A639EE7">
      <w:pPr>
        <w:adjustRightInd w:val="0"/>
        <w:snapToGrid w:val="0"/>
        <w:spacing w:line="400" w:lineRule="exact"/>
        <w:rPr>
          <w:rFonts w:hAnsi="宋体" w:cs="宋体"/>
          <w:color w:val="000000" w:themeColor="text1"/>
          <w:highlight w:val="none"/>
          <w14:textFill>
            <w14:solidFill>
              <w14:schemeClr w14:val="tx1"/>
            </w14:solidFill>
          </w14:textFill>
        </w:rPr>
      </w:pPr>
    </w:p>
    <w:p w14:paraId="24C46161">
      <w:pPr>
        <w:pStyle w:val="43"/>
        <w:wordWrap w:val="0"/>
        <w:adjustRightInd w:val="0"/>
        <w:snapToGrid w:val="0"/>
        <w:spacing w:line="400" w:lineRule="exact"/>
        <w:jc w:val="right"/>
        <w:rPr>
          <w:rFonts w:hAnsi="宋体" w:cs="宋体"/>
          <w:snapToGrid w:val="0"/>
          <w:color w:val="000000" w:themeColor="text1"/>
          <w:kern w:val="0"/>
          <w:highlight w:val="none"/>
          <w14:textFill>
            <w14:solidFill>
              <w14:schemeClr w14:val="tx1"/>
            </w14:solidFill>
          </w14:textFill>
        </w:rPr>
      </w:pPr>
    </w:p>
    <w:p w14:paraId="5CDC1ECA">
      <w:pPr>
        <w:pStyle w:val="43"/>
        <w:wordWrap w:val="0"/>
        <w:adjustRightInd w:val="0"/>
        <w:snapToGrid w:val="0"/>
        <w:spacing w:line="400" w:lineRule="exact"/>
        <w:jc w:val="right"/>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总监理工程师：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（签字）</w:t>
      </w:r>
    </w:p>
    <w:p w14:paraId="4D8535F8">
      <w:pPr>
        <w:pStyle w:val="43"/>
        <w:wordWrap w:val="0"/>
        <w:adjustRightInd w:val="0"/>
        <w:snapToGrid w:val="0"/>
        <w:spacing w:line="400" w:lineRule="exact"/>
        <w:jc w:val="center"/>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年</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日</w:t>
      </w:r>
    </w:p>
    <w:p w14:paraId="6217F9C4">
      <w:pPr>
        <w:wordWrap w:val="0"/>
        <w:adjustRightInd w:val="0"/>
        <w:snapToGrid w:val="0"/>
        <w:spacing w:line="400" w:lineRule="exact"/>
        <w:ind w:firstLine="570"/>
        <w:rPr>
          <w:rFonts w:hAnsi="宋体" w:cs="宋体"/>
          <w:snapToGrid w:val="0"/>
          <w:color w:val="000000" w:themeColor="text1"/>
          <w:kern w:val="0"/>
          <w:szCs w:val="28"/>
          <w:highlight w:val="none"/>
          <w14:textFill>
            <w14:solidFill>
              <w14:schemeClr w14:val="tx1"/>
            </w14:solidFill>
          </w14:textFill>
        </w:rPr>
      </w:pPr>
    </w:p>
    <w:p w14:paraId="55DA66FE">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说明：《总监理工程师简历表》后应附拟派总监理工程师以下资料：</w:t>
      </w:r>
    </w:p>
    <w:p w14:paraId="476924F4">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1．身份证彩色扫描件；</w:t>
      </w:r>
    </w:p>
    <w:p w14:paraId="39182276">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2．监理工程师注册证书彩色扫描件（须彩色扫描至变更注册栏）或使用有效期内的电子证书；</w:t>
      </w:r>
    </w:p>
    <w:p w14:paraId="118E72FF">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3．在本单位缴纳社保的证明（</w:t>
      </w:r>
      <w:r>
        <w:rPr>
          <w:rFonts w:hint="eastAsia" w:hAnsi="宋体" w:cs="宋体"/>
          <w:snapToGrid w:val="0"/>
          <w:color w:val="000000" w:themeColor="text1"/>
          <w:kern w:val="0"/>
          <w:sz w:val="21"/>
          <w:szCs w:val="28"/>
          <w:highlight w:val="none"/>
          <w:lang w:eastAsia="zh-CN"/>
          <w14:textFill>
            <w14:solidFill>
              <w14:schemeClr w14:val="tx1"/>
            </w14:solidFill>
          </w14:textFill>
        </w:rPr>
        <w:t>至少一个月</w:t>
      </w:r>
      <w:r>
        <w:rPr>
          <w:rFonts w:hint="eastAsia" w:hAnsi="宋体" w:cs="宋体"/>
          <w:snapToGrid w:val="0"/>
          <w:color w:val="000000" w:themeColor="text1"/>
          <w:kern w:val="0"/>
          <w:sz w:val="21"/>
          <w:szCs w:val="28"/>
          <w:highlight w:val="none"/>
          <w14:textFill>
            <w14:solidFill>
              <w14:schemeClr w14:val="tx1"/>
            </w14:solidFill>
          </w14:textFill>
        </w:rPr>
        <w:t>，其中必须有</w:t>
      </w:r>
      <w:r>
        <w:rPr>
          <w:rFonts w:hint="eastAsia" w:hAnsi="宋体" w:cs="宋体"/>
          <w:snapToGrid w:val="0"/>
          <w:color w:val="000000" w:themeColor="text1"/>
          <w:kern w:val="0"/>
          <w:sz w:val="21"/>
          <w:szCs w:val="28"/>
          <w:highlight w:val="none"/>
          <w:lang w:eastAsia="zh-CN"/>
          <w14:textFill>
            <w14:solidFill>
              <w14:schemeClr w14:val="tx1"/>
            </w14:solidFill>
          </w14:textFill>
        </w:rPr>
        <w:t>2025年</w:t>
      </w:r>
      <w:r>
        <w:rPr>
          <w:rFonts w:hint="eastAsia" w:hAnsi="宋体" w:cs="宋体"/>
          <w:snapToGrid w:val="0"/>
          <w:color w:val="000000" w:themeColor="text1"/>
          <w:kern w:val="0"/>
          <w:sz w:val="21"/>
          <w:szCs w:val="28"/>
          <w:highlight w:val="none"/>
          <w:lang w:val="en-US" w:eastAsia="zh-CN"/>
          <w14:textFill>
            <w14:solidFill>
              <w14:schemeClr w14:val="tx1"/>
            </w14:solidFill>
          </w14:textFill>
        </w:rPr>
        <w:t>11</w:t>
      </w:r>
      <w:r>
        <w:rPr>
          <w:rFonts w:hint="eastAsia" w:hAnsi="宋体" w:cs="宋体"/>
          <w:snapToGrid w:val="0"/>
          <w:color w:val="000000" w:themeColor="text1"/>
          <w:kern w:val="0"/>
          <w:sz w:val="21"/>
          <w:szCs w:val="28"/>
          <w:highlight w:val="none"/>
          <w:lang w:eastAsia="zh-CN"/>
          <w14:textFill>
            <w14:solidFill>
              <w14:schemeClr w14:val="tx1"/>
            </w14:solidFill>
          </w14:textFill>
        </w:rPr>
        <w:t>月</w:t>
      </w:r>
      <w:r>
        <w:rPr>
          <w:rFonts w:hint="eastAsia" w:hAnsi="宋体" w:cs="宋体"/>
          <w:snapToGrid w:val="0"/>
          <w:color w:val="000000" w:themeColor="text1"/>
          <w:kern w:val="0"/>
          <w:sz w:val="21"/>
          <w:szCs w:val="28"/>
          <w:highlight w:val="none"/>
          <w14:textFill>
            <w14:solidFill>
              <w14:schemeClr w14:val="tx1"/>
            </w14:solidFill>
          </w14:textFill>
        </w:rPr>
        <w:t>）彩色扫描件。拟派总监理工程师为退休返聘人员无法提供社保证明的，提供退休证和劳动合同</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lang w:val="en-US" w:eastAsia="zh-CN"/>
          <w14:textFill>
            <w14:solidFill>
              <w14:schemeClr w14:val="tx1"/>
            </w14:solidFill>
          </w14:textFill>
        </w:rPr>
        <w:t>返聘协议</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14:textFill>
            <w14:solidFill>
              <w14:schemeClr w14:val="tx1"/>
            </w14:solidFill>
          </w14:textFill>
        </w:rPr>
        <w:t>彩色扫描件；</w:t>
      </w:r>
    </w:p>
    <w:p w14:paraId="0A6EEE66">
      <w:pPr>
        <w:pStyle w:val="7"/>
        <w:snapToGrid w:val="0"/>
        <w:spacing w:line="400" w:lineRule="exact"/>
        <w:ind w:firstLine="420" w:firstLineChars="200"/>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4.“进粤企业和人员诚信信息登记平台”个人（总监理工程师等）信息情况截图。（适用于省外建筑企业）</w:t>
      </w:r>
    </w:p>
    <w:p w14:paraId="26E262C9">
      <w:pPr>
        <w:pStyle w:val="7"/>
        <w:snapToGrid w:val="0"/>
        <w:spacing w:line="400" w:lineRule="exact"/>
        <w:rPr>
          <w:rFonts w:hAnsi="宋体" w:cs="宋体"/>
          <w:snapToGrid w:val="0"/>
          <w:color w:val="000000" w:themeColor="text1"/>
          <w:sz w:val="21"/>
          <w:highlight w:val="none"/>
          <w14:textFill>
            <w14:solidFill>
              <w14:schemeClr w14:val="tx1"/>
            </w14:solidFill>
          </w14:textFill>
        </w:rPr>
      </w:pPr>
    </w:p>
    <w:p w14:paraId="2A44881C">
      <w:pPr>
        <w:adjustRightInd w:val="0"/>
        <w:snapToGrid w:val="0"/>
        <w:spacing w:line="400" w:lineRule="exact"/>
        <w:rPr>
          <w:rFonts w:hAnsi="宋体" w:cs="宋体"/>
          <w:b/>
          <w:bCs/>
          <w:snapToGrid w:val="0"/>
          <w:color w:val="000000" w:themeColor="text1"/>
          <w:kern w:val="0"/>
          <w:szCs w:val="24"/>
          <w:highlight w:val="none"/>
          <w14:textFill>
            <w14:solidFill>
              <w14:schemeClr w14:val="tx1"/>
            </w14:solidFill>
          </w14:textFill>
        </w:rPr>
      </w:pPr>
      <w:bookmarkStart w:id="280" w:name="_Toc19546"/>
      <w:r>
        <w:rPr>
          <w:rFonts w:hint="eastAsia" w:hAnsi="宋体" w:cs="宋体"/>
          <w:b/>
          <w:bCs/>
          <w:snapToGrid w:val="0"/>
          <w:color w:val="000000" w:themeColor="text1"/>
          <w:kern w:val="0"/>
          <w:szCs w:val="24"/>
          <w:highlight w:val="none"/>
          <w14:textFill>
            <w14:solidFill>
              <w14:schemeClr w14:val="tx1"/>
            </w14:solidFill>
          </w14:textFill>
        </w:rPr>
        <w:br w:type="page"/>
      </w:r>
    </w:p>
    <w:p w14:paraId="36D1D628">
      <w:pPr>
        <w:pStyle w:val="46"/>
        <w:keepNext/>
        <w:keepLines/>
        <w:snapToGrid w:val="0"/>
        <w:spacing w:line="400" w:lineRule="exact"/>
        <w:jc w:val="both"/>
        <w:rPr>
          <w:rFonts w:ascii="宋体" w:hAnsi="宋体" w:cs="宋体"/>
          <w:b/>
          <w:bCs/>
          <w:snapToGrid w:val="0"/>
          <w:color w:val="000000" w:themeColor="text1"/>
          <w:highlight w:val="none"/>
          <w14:textFill>
            <w14:solidFill>
              <w14:schemeClr w14:val="tx1"/>
            </w14:solidFill>
          </w14:textFill>
        </w:rPr>
      </w:pPr>
      <w:bookmarkStart w:id="281" w:name="_Toc24119"/>
      <w:r>
        <w:rPr>
          <w:rFonts w:hint="eastAsia" w:ascii="宋体" w:hAnsi="宋体" w:cs="宋体"/>
          <w:b/>
          <w:bCs/>
          <w:snapToGrid w:val="0"/>
          <w:color w:val="000000" w:themeColor="text1"/>
          <w:highlight w:val="none"/>
          <w14:textFill>
            <w14:solidFill>
              <w14:schemeClr w14:val="tx1"/>
            </w14:solidFill>
          </w14:textFill>
        </w:rPr>
        <w:t>格式十二  其他拟派人员简历表</w:t>
      </w:r>
      <w:bookmarkEnd w:id="280"/>
      <w:bookmarkEnd w:id="281"/>
    </w:p>
    <w:p w14:paraId="4E4022E5">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p>
    <w:p w14:paraId="421051C2">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r>
        <w:rPr>
          <w:rFonts w:hint="eastAsia" w:hAnsi="宋体" w:cs="宋体"/>
          <w:b/>
          <w:bCs/>
          <w:color w:val="000000" w:themeColor="text1"/>
          <w:sz w:val="32"/>
          <w:szCs w:val="22"/>
          <w:highlight w:val="none"/>
          <w14:textFill>
            <w14:solidFill>
              <w14:schemeClr w14:val="tx1"/>
            </w14:solidFill>
          </w14:textFill>
        </w:rPr>
        <w:t>其他拟派人员简历表（）</w:t>
      </w:r>
    </w:p>
    <w:tbl>
      <w:tblPr>
        <w:tblStyle w:val="19"/>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5F35B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B1A4B6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512079B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8267BC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30802B5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1E49C48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1E4F41B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19722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47C2915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7C64AC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5B138A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4F29159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D0CC40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59616B3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1AB93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7BFCFA8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7AACBE7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52BB9D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3A8FE4C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FCA0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02C72E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7465DF1D">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40D47BFB">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61788C32">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r>
              <w:rPr>
                <w:rFonts w:hint="eastAsia" w:hAnsi="宋体" w:cs="宋体"/>
                <w:snapToGrid w:val="0"/>
                <w:color w:val="000000" w:themeColor="text1"/>
                <w:kern w:val="0"/>
                <w:sz w:val="21"/>
                <w:szCs w:val="28"/>
                <w:highlight w:val="none"/>
                <w14:textFill>
                  <w14:solidFill>
                    <w14:schemeClr w14:val="tx1"/>
                  </w14:solidFill>
                </w14:textFill>
              </w:rPr>
              <w:t>．……</w:t>
            </w:r>
          </w:p>
        </w:tc>
      </w:tr>
      <w:tr w14:paraId="41F67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462D5D7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70CFE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0877EFB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33F1808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E95F7E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7078A8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28D452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3FDE0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500272B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B08981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6A966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402779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C979C7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28608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F0E778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B24FB3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C7C7AD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7DC290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4D9946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0464A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6CC825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B032C0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0B81A96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B29767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5048B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061D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C87243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551EA20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35A171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4AD238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60C0D0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bl>
    <w:p w14:paraId="3A722986">
      <w:pPr>
        <w:pStyle w:val="43"/>
        <w:wordWrap w:val="0"/>
        <w:adjustRightInd w:val="0"/>
        <w:snapToGrid w:val="0"/>
        <w:spacing w:line="400" w:lineRule="exact"/>
        <w:rPr>
          <w:rFonts w:hAnsi="宋体" w:cs="宋体"/>
          <w:snapToGrid w:val="0"/>
          <w:color w:val="000000" w:themeColor="text1"/>
          <w:kern w:val="0"/>
          <w:highlight w:val="none"/>
          <w14:textFill>
            <w14:solidFill>
              <w14:schemeClr w14:val="tx1"/>
            </w14:solidFill>
          </w14:textFill>
        </w:rPr>
      </w:pPr>
    </w:p>
    <w:p w14:paraId="33A28237">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w:t>
      </w:r>
    </w:p>
    <w:p w14:paraId="00E45FC6">
      <w:pPr>
        <w:wordWrap w:val="0"/>
        <w:adjustRightInd w:val="0"/>
        <w:snapToGrid w:val="0"/>
        <w:spacing w:line="40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1．“其他拟派人员”指项目监理机构中除总监理工程师以外的拟派人员，包括专业监理工程师、监理员、相关服务人员等。以上拟派人员一人一表，</w:t>
      </w:r>
      <w:r>
        <w:rPr>
          <w:rFonts w:hint="eastAsia" w:hAnsi="宋体" w:cs="宋体"/>
          <w:snapToGrid w:val="0"/>
          <w:color w:val="000000" w:themeColor="text1"/>
          <w:kern w:val="0"/>
          <w:sz w:val="21"/>
          <w:szCs w:val="21"/>
          <w:highlight w:val="none"/>
          <w14:textFill>
            <w14:solidFill>
              <w14:schemeClr w14:val="tx1"/>
            </w14:solidFill>
          </w14:textFill>
        </w:rPr>
        <w:t>并标明序号。</w:t>
      </w:r>
    </w:p>
    <w:p w14:paraId="7EEFD0E9">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2．每份简历表后应附该拟派人员以下资料：</w:t>
      </w:r>
    </w:p>
    <w:p w14:paraId="6422DB85">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（1）身份证彩色扫描件；</w:t>
      </w:r>
    </w:p>
    <w:p w14:paraId="00B95211">
      <w:pPr>
        <w:wordWrap w:val="0"/>
        <w:adjustRightInd w:val="0"/>
        <w:snapToGrid w:val="0"/>
        <w:spacing w:line="40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（2）相关证书（具体要求详见招标文件第一章第三节第</w:t>
      </w:r>
      <w:r>
        <w:rPr>
          <w:rFonts w:hint="eastAsia" w:hAnsi="宋体" w:cs="宋体"/>
          <w:b/>
          <w:bCs/>
          <w:snapToGrid w:val="0"/>
          <w:color w:val="000000" w:themeColor="text1"/>
          <w:kern w:val="0"/>
          <w:sz w:val="21"/>
          <w:szCs w:val="28"/>
          <w:highlight w:val="none"/>
          <w14:textFill>
            <w14:solidFill>
              <w14:schemeClr w14:val="tx1"/>
            </w14:solidFill>
          </w14:textFill>
        </w:rPr>
        <w:t>15.5</w:t>
      </w:r>
      <w:r>
        <w:rPr>
          <w:rFonts w:hint="eastAsia" w:hAnsi="宋体" w:cs="宋体"/>
          <w:snapToGrid w:val="0"/>
          <w:color w:val="000000" w:themeColor="text1"/>
          <w:kern w:val="0"/>
          <w:sz w:val="21"/>
          <w:szCs w:val="28"/>
          <w:highlight w:val="none"/>
          <w14:textFill>
            <w14:solidFill>
              <w14:schemeClr w14:val="tx1"/>
            </w14:solidFill>
          </w14:textFill>
        </w:rPr>
        <w:t>条表</w:t>
      </w:r>
      <w:r>
        <w:rPr>
          <w:rFonts w:hint="eastAsia" w:hAnsi="宋体" w:cs="宋体"/>
          <w:b/>
          <w:bCs/>
          <w:snapToGrid w:val="0"/>
          <w:color w:val="000000" w:themeColor="text1"/>
          <w:kern w:val="0"/>
          <w:sz w:val="21"/>
          <w:szCs w:val="28"/>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《项目监理机构其他人员需求表》“持证要求”栏目）彩色扫描件，其中注册证书须彩色扫描至变更注册栏或使用有效期内的电子证书</w:t>
      </w:r>
      <w:r>
        <w:rPr>
          <w:rFonts w:hint="eastAsia" w:hAnsi="宋体" w:cs="宋体"/>
          <w:snapToGrid w:val="0"/>
          <w:color w:val="000000" w:themeColor="text1"/>
          <w:kern w:val="0"/>
          <w:sz w:val="21"/>
          <w:szCs w:val="21"/>
          <w:highlight w:val="none"/>
          <w14:textFill>
            <w14:solidFill>
              <w14:schemeClr w14:val="tx1"/>
            </w14:solidFill>
          </w14:textFill>
        </w:rPr>
        <w:t>；</w:t>
      </w:r>
    </w:p>
    <w:p w14:paraId="352CC0E5">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w:t>
      </w:r>
      <w:r>
        <w:rPr>
          <w:rFonts w:hint="eastAsia" w:ascii="Times New Roman"/>
          <w:snapToGrid w:val="0"/>
          <w:color w:val="000000" w:themeColor="text1"/>
          <w:kern w:val="0"/>
          <w:sz w:val="21"/>
          <w:szCs w:val="28"/>
          <w:highlight w:val="none"/>
          <w14:textFill>
            <w14:solidFill>
              <w14:schemeClr w14:val="tx1"/>
            </w14:solidFill>
          </w14:textFill>
        </w:rPr>
        <w:t>在本单位缴纳社保的证明</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8"/>
          <w:highlight w:val="none"/>
          <w:lang w:eastAsia="zh-CN"/>
          <w14:textFill>
            <w14:solidFill>
              <w14:schemeClr w14:val="tx1"/>
            </w14:solidFill>
          </w14:textFill>
        </w:rPr>
        <w:t>至少一个月</w:t>
      </w:r>
      <w:r>
        <w:rPr>
          <w:rFonts w:hint="eastAsia" w:hAnsi="宋体" w:cs="宋体"/>
          <w:snapToGrid w:val="0"/>
          <w:color w:val="000000" w:themeColor="text1"/>
          <w:kern w:val="0"/>
          <w:sz w:val="21"/>
          <w:szCs w:val="28"/>
          <w:highlight w:val="none"/>
          <w14:textFill>
            <w14:solidFill>
              <w14:schemeClr w14:val="tx1"/>
            </w14:solidFill>
          </w14:textFill>
        </w:rPr>
        <w:t>，其中必须有</w:t>
      </w:r>
      <w:r>
        <w:rPr>
          <w:rFonts w:hint="eastAsia" w:hAnsi="宋体" w:cs="宋体"/>
          <w:snapToGrid w:val="0"/>
          <w:color w:val="000000" w:themeColor="text1"/>
          <w:kern w:val="0"/>
          <w:sz w:val="21"/>
          <w:szCs w:val="28"/>
          <w:highlight w:val="none"/>
          <w:lang w:eastAsia="zh-CN"/>
          <w14:textFill>
            <w14:solidFill>
              <w14:schemeClr w14:val="tx1"/>
            </w14:solidFill>
          </w14:textFill>
        </w:rPr>
        <w:t>2025年</w:t>
      </w:r>
      <w:r>
        <w:rPr>
          <w:rFonts w:hint="eastAsia" w:hAnsi="宋体" w:cs="宋体"/>
          <w:snapToGrid w:val="0"/>
          <w:color w:val="000000" w:themeColor="text1"/>
          <w:kern w:val="0"/>
          <w:sz w:val="21"/>
          <w:szCs w:val="28"/>
          <w:highlight w:val="none"/>
          <w:lang w:val="en-US" w:eastAsia="zh-CN"/>
          <w14:textFill>
            <w14:solidFill>
              <w14:schemeClr w14:val="tx1"/>
            </w14:solidFill>
          </w14:textFill>
        </w:rPr>
        <w:t>11</w:t>
      </w:r>
      <w:r>
        <w:rPr>
          <w:rFonts w:hint="eastAsia" w:hAnsi="宋体" w:cs="宋体"/>
          <w:snapToGrid w:val="0"/>
          <w:color w:val="000000" w:themeColor="text1"/>
          <w:kern w:val="0"/>
          <w:sz w:val="21"/>
          <w:szCs w:val="28"/>
          <w:highlight w:val="none"/>
          <w:lang w:eastAsia="zh-CN"/>
          <w14:textFill>
            <w14:solidFill>
              <w14:schemeClr w14:val="tx1"/>
            </w14:solidFill>
          </w14:textFill>
        </w:rPr>
        <w:t>月</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ascii="Times New Roman"/>
          <w:snapToGrid w:val="0"/>
          <w:color w:val="000000" w:themeColor="text1"/>
          <w:kern w:val="0"/>
          <w:sz w:val="21"/>
          <w:szCs w:val="28"/>
          <w:highlight w:val="none"/>
          <w14:textFill>
            <w14:solidFill>
              <w14:schemeClr w14:val="tx1"/>
            </w14:solidFill>
          </w14:textFill>
        </w:rPr>
        <w:t>彩色扫描件。拟派人员为退休返聘人员无法提供社保证明的，提供退休证和劳动合同</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lang w:val="en-US" w:eastAsia="zh-CN"/>
          <w14:textFill>
            <w14:solidFill>
              <w14:schemeClr w14:val="tx1"/>
            </w14:solidFill>
          </w14:textFill>
        </w:rPr>
        <w:t>返聘协议</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ascii="Times New Roman"/>
          <w:snapToGrid w:val="0"/>
          <w:color w:val="000000" w:themeColor="text1"/>
          <w:kern w:val="0"/>
          <w:sz w:val="21"/>
          <w:szCs w:val="28"/>
          <w:highlight w:val="none"/>
          <w14:textFill>
            <w14:solidFill>
              <w14:schemeClr w14:val="tx1"/>
            </w14:solidFill>
          </w14:textFill>
        </w:rPr>
        <w:t>彩色扫描件；</w:t>
      </w:r>
    </w:p>
    <w:p w14:paraId="04243789">
      <w:pPr>
        <w:pStyle w:val="7"/>
        <w:snapToGrid w:val="0"/>
        <w:spacing w:line="400" w:lineRule="exact"/>
        <w:ind w:firstLine="420" w:firstLineChars="200"/>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3.“进粤企业和人员诚信信息登记平台”个人信息情况截图。（适用于省外建筑企业）</w:t>
      </w:r>
    </w:p>
    <w:p w14:paraId="2E2B18CA">
      <w:pPr>
        <w:rPr>
          <w:color w:val="000000" w:themeColor="text1"/>
          <w:highlight w:val="none"/>
          <w14:textFill>
            <w14:solidFill>
              <w14:schemeClr w14:val="tx1"/>
            </w14:solidFill>
          </w14:textFill>
        </w:rPr>
      </w:pPr>
      <w:bookmarkStart w:id="282" w:name="_Toc593"/>
      <w:bookmarkStart w:id="283" w:name="_Toc25312"/>
    </w:p>
    <w:p w14:paraId="0E14E2B3">
      <w:pPr>
        <w:rPr>
          <w:color w:val="000000" w:themeColor="text1"/>
          <w:highlight w:val="none"/>
          <w14:textFill>
            <w14:solidFill>
              <w14:schemeClr w14:val="tx1"/>
            </w14:solidFill>
          </w14:textFill>
        </w:rPr>
      </w:pPr>
    </w:p>
    <w:p w14:paraId="619FA131">
      <w:pPr>
        <w:rPr>
          <w:color w:val="000000" w:themeColor="text1"/>
          <w:highlight w:val="none"/>
          <w14:textFill>
            <w14:solidFill>
              <w14:schemeClr w14:val="tx1"/>
            </w14:solidFill>
          </w14:textFill>
        </w:rPr>
      </w:pPr>
    </w:p>
    <w:p w14:paraId="7013B424">
      <w:pPr>
        <w:rPr>
          <w:color w:val="000000" w:themeColor="text1"/>
          <w:highlight w:val="none"/>
          <w14:textFill>
            <w14:solidFill>
              <w14:schemeClr w14:val="tx1"/>
            </w14:solidFill>
          </w14:textFill>
        </w:rPr>
      </w:pPr>
    </w:p>
    <w:p w14:paraId="711B88DE">
      <w:pPr>
        <w:rPr>
          <w:color w:val="000000" w:themeColor="text1"/>
          <w:highlight w:val="none"/>
          <w14:textFill>
            <w14:solidFill>
              <w14:schemeClr w14:val="tx1"/>
            </w14:solidFill>
          </w14:textFill>
        </w:rPr>
      </w:pPr>
    </w:p>
    <w:bookmarkEnd w:id="282"/>
    <w:bookmarkEnd w:id="283"/>
    <w:p w14:paraId="5D5DA391">
      <w:pPr>
        <w:pStyle w:val="47"/>
        <w:keepNext/>
        <w:keepLines/>
        <w:snapToGrid w:val="0"/>
        <w:spacing w:line="400" w:lineRule="exact"/>
        <w:jc w:val="center"/>
        <w:rPr>
          <w:rFonts w:ascii="宋体" w:hAnsi="宋体" w:cs="宋体"/>
          <w:b/>
          <w:color w:val="000000" w:themeColor="text1"/>
          <w:kern w:val="44"/>
          <w:sz w:val="32"/>
          <w:szCs w:val="22"/>
          <w:highlight w:val="none"/>
          <w14:textFill>
            <w14:solidFill>
              <w14:schemeClr w14:val="tx1"/>
            </w14:solidFill>
          </w14:textFill>
        </w:rPr>
      </w:pPr>
      <w:bookmarkStart w:id="284" w:name="_Toc137444778"/>
      <w:bookmarkStart w:id="285" w:name="_Toc13722"/>
      <w:bookmarkStart w:id="286" w:name="_Toc132687128"/>
      <w:bookmarkStart w:id="287" w:name="_Toc3174"/>
      <w:bookmarkStart w:id="288" w:name="_Toc142468134"/>
      <w:bookmarkStart w:id="289" w:name="_Toc133160683"/>
      <w:bookmarkStart w:id="290" w:name="_Toc12936"/>
      <w:bookmarkStart w:id="291" w:name="_Toc133815902"/>
      <w:bookmarkStart w:id="292" w:name="_Toc78794873"/>
      <w:r>
        <w:rPr>
          <w:rFonts w:hint="eastAsia" w:ascii="宋体" w:hAnsi="宋体" w:cs="宋体"/>
          <w:b/>
          <w:color w:val="000000" w:themeColor="text1"/>
          <w:kern w:val="44"/>
          <w:sz w:val="32"/>
          <w:szCs w:val="22"/>
          <w:highlight w:val="none"/>
          <w14:textFill>
            <w14:solidFill>
              <w14:schemeClr w14:val="tx1"/>
            </w14:solidFill>
          </w14:textFill>
        </w:rPr>
        <w:t>第六章 建设工程监理合同</w:t>
      </w:r>
      <w:bookmarkEnd w:id="284"/>
      <w:bookmarkEnd w:id="285"/>
      <w:bookmarkEnd w:id="286"/>
      <w:bookmarkEnd w:id="287"/>
      <w:bookmarkEnd w:id="288"/>
      <w:bookmarkEnd w:id="289"/>
      <w:bookmarkEnd w:id="290"/>
    </w:p>
    <w:p w14:paraId="6D9AEA93">
      <w:pPr>
        <w:wordWrap w:val="0"/>
        <w:adjustRightInd w:val="0"/>
        <w:snapToGrid w:val="0"/>
        <w:spacing w:before="360" w:beforeLines="150" w:line="400" w:lineRule="exact"/>
        <w:rPr>
          <w:rFonts w:hAnsi="宋体" w:cs="宋体"/>
          <w:color w:val="000000" w:themeColor="text1"/>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（略），</w:t>
      </w:r>
      <w:bookmarkEnd w:id="291"/>
      <w:bookmarkEnd w:id="292"/>
      <w:r>
        <w:rPr>
          <w:rFonts w:hint="eastAsia" w:hAnsi="宋体" w:cs="宋体"/>
          <w:snapToGrid w:val="0"/>
          <w:color w:val="000000" w:themeColor="text1"/>
          <w:kern w:val="0"/>
          <w:highlight w:val="none"/>
          <w14:textFill>
            <w14:solidFill>
              <w14:schemeClr w14:val="tx1"/>
            </w14:solidFill>
          </w14:textFill>
        </w:rPr>
        <w:t>按照《建设工程监理合同（示范文本）》（GF—2012—0202）执行。</w:t>
      </w:r>
    </w:p>
    <w:p w14:paraId="24B909A6">
      <w:pPr>
        <w:pStyle w:val="7"/>
        <w:snapToGrid w:val="0"/>
        <w:spacing w:line="400" w:lineRule="exact"/>
        <w:rPr>
          <w:rFonts w:hAnsi="宋体" w:cs="宋体"/>
          <w:snapToGrid w:val="0"/>
          <w:color w:val="000000" w:themeColor="text1"/>
          <w:highlight w:val="none"/>
          <w14:textFill>
            <w14:solidFill>
              <w14:schemeClr w14:val="tx1"/>
            </w14:solidFill>
          </w14:textFill>
        </w:rPr>
      </w:pPr>
    </w:p>
    <w:p w14:paraId="69FA4F3A">
      <w:pPr>
        <w:pStyle w:val="42"/>
        <w:widowControl w:val="0"/>
        <w:wordWrap w:val="0"/>
        <w:adjustRightInd w:val="0"/>
        <w:snapToGrid w:val="0"/>
        <w:spacing w:line="400" w:lineRule="exact"/>
        <w:ind w:firstLine="0"/>
        <w:rPr>
          <w:rFonts w:hAnsi="宋体" w:cs="宋体"/>
          <w:snapToGrid w:val="0"/>
          <w:color w:val="000000" w:themeColor="text1"/>
          <w:sz w:val="21"/>
          <w:highlight w:val="none"/>
          <w14:textFill>
            <w14:solidFill>
              <w14:schemeClr w14:val="tx1"/>
            </w14:solidFill>
          </w14:textFill>
        </w:rPr>
      </w:pPr>
    </w:p>
    <w:p w14:paraId="761C2E90">
      <w:pPr>
        <w:rPr>
          <w:color w:val="000000" w:themeColor="text1"/>
          <w:highlight w:val="none"/>
          <w14:textFill>
            <w14:solidFill>
              <w14:schemeClr w14:val="tx1"/>
            </w14:solidFill>
          </w14:textFill>
        </w:rPr>
      </w:pPr>
    </w:p>
    <w:sectPr>
      <w:footerReference r:id="rId7" w:type="default"/>
      <w:endnotePr>
        <w:numFmt w:val="decimal"/>
      </w:endnotePr>
      <w:pgSz w:w="11906" w:h="16838"/>
      <w:pgMar w:top="1440" w:right="1080" w:bottom="1440" w:left="1080"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2358A">
    <w:pPr>
      <w:pStyle w:val="14"/>
    </w:pPr>
  </w:p>
  <w:p w14:paraId="6964C42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F736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6B014">
                          <w:pPr>
                            <w:pStyle w:val="14"/>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NgGEXXAQAAsgMAAA4AAAAAAAAAAQAgAAAA&#10;HgEAAGRycy9lMm9Eb2MueG1sUEsFBgAAAAAGAAYAWQEAAGcFAAAAAA==&#10;">
              <v:fill on="f" focussize="0,0"/>
              <v:stroke on="f"/>
              <v:imagedata o:title=""/>
              <o:lock v:ext="edit" aspectratio="f"/>
              <v:textbox inset="0mm,0mm,0mm,0mm" style="mso-fit-shape-to-text:t;">
                <w:txbxContent>
                  <w:p w14:paraId="5A66B014">
                    <w:pPr>
                      <w:pStyle w:val="14"/>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248C">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0CA8F">
                          <w:pPr>
                            <w:pStyle w:val="14"/>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00E0CA8F">
                    <w:pPr>
                      <w:pStyle w:val="14"/>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927F8"/>
    <w:multiLevelType w:val="singleLevel"/>
    <w:tmpl w:val="49E927F8"/>
    <w:lvl w:ilvl="0" w:tentative="0">
      <w:start w:val="2"/>
      <w:numFmt w:val="decimal"/>
      <w:suff w:val="nothing"/>
      <w:lvlText w:val="%1、"/>
      <w:lvlJc w:val="left"/>
    </w:lvl>
  </w:abstractNum>
  <w:abstractNum w:abstractNumId="1">
    <w:nsid w:val="609199CB"/>
    <w:multiLevelType w:val="singleLevel"/>
    <w:tmpl w:val="609199C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66FA7097"/>
    <w:rsid w:val="007535E1"/>
    <w:rsid w:val="01785B98"/>
    <w:rsid w:val="01B974D3"/>
    <w:rsid w:val="031B28F8"/>
    <w:rsid w:val="034F0B7A"/>
    <w:rsid w:val="0371289F"/>
    <w:rsid w:val="03DF4502"/>
    <w:rsid w:val="047F0FEB"/>
    <w:rsid w:val="0494241D"/>
    <w:rsid w:val="05127889"/>
    <w:rsid w:val="05F8588B"/>
    <w:rsid w:val="06540256"/>
    <w:rsid w:val="081464DB"/>
    <w:rsid w:val="089D360C"/>
    <w:rsid w:val="0B7B7B9F"/>
    <w:rsid w:val="0B7F2572"/>
    <w:rsid w:val="0C5E251C"/>
    <w:rsid w:val="0D7855E9"/>
    <w:rsid w:val="0E3920DC"/>
    <w:rsid w:val="0E6761E8"/>
    <w:rsid w:val="0EEE2070"/>
    <w:rsid w:val="0FC30C31"/>
    <w:rsid w:val="11CB447B"/>
    <w:rsid w:val="11FE3E97"/>
    <w:rsid w:val="1920416A"/>
    <w:rsid w:val="192D5062"/>
    <w:rsid w:val="1A2A49B8"/>
    <w:rsid w:val="1ABD41C4"/>
    <w:rsid w:val="1B902A8C"/>
    <w:rsid w:val="1CDD28FB"/>
    <w:rsid w:val="1D163264"/>
    <w:rsid w:val="1DEF2EA7"/>
    <w:rsid w:val="1E041CD3"/>
    <w:rsid w:val="1E8B3B0D"/>
    <w:rsid w:val="1F996FAD"/>
    <w:rsid w:val="209561F4"/>
    <w:rsid w:val="212A1E87"/>
    <w:rsid w:val="24D740D4"/>
    <w:rsid w:val="24ED38F7"/>
    <w:rsid w:val="25EB42DB"/>
    <w:rsid w:val="25EB6089"/>
    <w:rsid w:val="26AF4EFB"/>
    <w:rsid w:val="26E76818"/>
    <w:rsid w:val="278319E6"/>
    <w:rsid w:val="28243AD4"/>
    <w:rsid w:val="2A0F3EE7"/>
    <w:rsid w:val="2A946CEF"/>
    <w:rsid w:val="2B033E75"/>
    <w:rsid w:val="2B3D790B"/>
    <w:rsid w:val="2BD71534"/>
    <w:rsid w:val="2BD82C0B"/>
    <w:rsid w:val="2BFE428C"/>
    <w:rsid w:val="2C5524AE"/>
    <w:rsid w:val="2D32459D"/>
    <w:rsid w:val="2F6B56EC"/>
    <w:rsid w:val="302145E0"/>
    <w:rsid w:val="304E127D"/>
    <w:rsid w:val="30DF4A3C"/>
    <w:rsid w:val="31F954E6"/>
    <w:rsid w:val="3219172E"/>
    <w:rsid w:val="323A4CC0"/>
    <w:rsid w:val="32860A3A"/>
    <w:rsid w:val="329B21AE"/>
    <w:rsid w:val="33861558"/>
    <w:rsid w:val="341162F4"/>
    <w:rsid w:val="34460F36"/>
    <w:rsid w:val="34B4585E"/>
    <w:rsid w:val="35015858"/>
    <w:rsid w:val="35A4768F"/>
    <w:rsid w:val="35FA5E74"/>
    <w:rsid w:val="36B3674F"/>
    <w:rsid w:val="36CB38C9"/>
    <w:rsid w:val="370D618D"/>
    <w:rsid w:val="379B110E"/>
    <w:rsid w:val="37A12A4B"/>
    <w:rsid w:val="385C672F"/>
    <w:rsid w:val="3CBA3564"/>
    <w:rsid w:val="3D006466"/>
    <w:rsid w:val="3DD65787"/>
    <w:rsid w:val="3DED3C7C"/>
    <w:rsid w:val="3EB10A79"/>
    <w:rsid w:val="3EB8082D"/>
    <w:rsid w:val="3F5C420E"/>
    <w:rsid w:val="3FDC0668"/>
    <w:rsid w:val="3FFD4EDF"/>
    <w:rsid w:val="409110DB"/>
    <w:rsid w:val="412A3AB2"/>
    <w:rsid w:val="41D66B71"/>
    <w:rsid w:val="427F38A6"/>
    <w:rsid w:val="44464048"/>
    <w:rsid w:val="449851D6"/>
    <w:rsid w:val="44991AE0"/>
    <w:rsid w:val="452D567B"/>
    <w:rsid w:val="46C6205E"/>
    <w:rsid w:val="4729480F"/>
    <w:rsid w:val="47C14A44"/>
    <w:rsid w:val="4800731A"/>
    <w:rsid w:val="481C39B0"/>
    <w:rsid w:val="49C01DE7"/>
    <w:rsid w:val="4BF666B1"/>
    <w:rsid w:val="4C40160A"/>
    <w:rsid w:val="4D225F85"/>
    <w:rsid w:val="4EA50C1B"/>
    <w:rsid w:val="4F425986"/>
    <w:rsid w:val="4F7725B8"/>
    <w:rsid w:val="4FAE4A52"/>
    <w:rsid w:val="5002582E"/>
    <w:rsid w:val="5141363B"/>
    <w:rsid w:val="51617008"/>
    <w:rsid w:val="51D30CD8"/>
    <w:rsid w:val="521560B8"/>
    <w:rsid w:val="52506890"/>
    <w:rsid w:val="52C6351E"/>
    <w:rsid w:val="52CC0F47"/>
    <w:rsid w:val="54B24092"/>
    <w:rsid w:val="54CA69F1"/>
    <w:rsid w:val="56293EE0"/>
    <w:rsid w:val="566A4F22"/>
    <w:rsid w:val="56EC3E28"/>
    <w:rsid w:val="56EF15DD"/>
    <w:rsid w:val="57407733"/>
    <w:rsid w:val="579E08FE"/>
    <w:rsid w:val="57BA2840"/>
    <w:rsid w:val="590E560F"/>
    <w:rsid w:val="594D63A1"/>
    <w:rsid w:val="5A9304C2"/>
    <w:rsid w:val="5AE9424C"/>
    <w:rsid w:val="5AEE56F8"/>
    <w:rsid w:val="5CC338F6"/>
    <w:rsid w:val="5CF5164B"/>
    <w:rsid w:val="5D3A093F"/>
    <w:rsid w:val="5E2860C2"/>
    <w:rsid w:val="603646D3"/>
    <w:rsid w:val="61F71336"/>
    <w:rsid w:val="635D166D"/>
    <w:rsid w:val="63D9257E"/>
    <w:rsid w:val="645C13EA"/>
    <w:rsid w:val="65322BF1"/>
    <w:rsid w:val="654E525A"/>
    <w:rsid w:val="666E1C77"/>
    <w:rsid w:val="66980E70"/>
    <w:rsid w:val="66FA7097"/>
    <w:rsid w:val="671927FE"/>
    <w:rsid w:val="678A0557"/>
    <w:rsid w:val="67B438E5"/>
    <w:rsid w:val="68FC7232"/>
    <w:rsid w:val="694641F3"/>
    <w:rsid w:val="696077C1"/>
    <w:rsid w:val="6A5110C7"/>
    <w:rsid w:val="6CBF5167"/>
    <w:rsid w:val="6E407F1C"/>
    <w:rsid w:val="6EDA2E23"/>
    <w:rsid w:val="6F2A4552"/>
    <w:rsid w:val="710C1B97"/>
    <w:rsid w:val="723E6567"/>
    <w:rsid w:val="72C658E2"/>
    <w:rsid w:val="743A5817"/>
    <w:rsid w:val="745813FD"/>
    <w:rsid w:val="748B2778"/>
    <w:rsid w:val="74BA1B1D"/>
    <w:rsid w:val="751029E3"/>
    <w:rsid w:val="752B3379"/>
    <w:rsid w:val="754613E5"/>
    <w:rsid w:val="762331ED"/>
    <w:rsid w:val="78045D5D"/>
    <w:rsid w:val="78E84215"/>
    <w:rsid w:val="79357A5B"/>
    <w:rsid w:val="7A7FD87E"/>
    <w:rsid w:val="7AE52B90"/>
    <w:rsid w:val="7B4414B7"/>
    <w:rsid w:val="7D742F87"/>
    <w:rsid w:val="7D871368"/>
    <w:rsid w:val="7DF97179"/>
    <w:rsid w:val="7E824A4E"/>
    <w:rsid w:val="7F9A3822"/>
    <w:rsid w:val="BFBDA7B0"/>
    <w:rsid w:val="FFF75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5"/>
    <w:next w:val="5"/>
    <w:link w:val="53"/>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6">
    <w:name w:val="heading 4"/>
    <w:basedOn w:val="1"/>
    <w:next w:val="1"/>
    <w:qFormat/>
    <w:uiPriority w:val="0"/>
    <w:pPr>
      <w:keepNext/>
      <w:keepLines/>
      <w:spacing w:before="280" w:after="290" w:line="374" w:lineRule="auto"/>
      <w:outlineLvl w:val="3"/>
    </w:pPr>
    <w:rPr>
      <w:rFonts w:ascii="Arial" w:hAnsi="Arial"/>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adjustRightInd w:val="0"/>
      <w:spacing w:line="360" w:lineRule="atLeast"/>
      <w:jc w:val="left"/>
      <w:textAlignment w:val="baseline"/>
    </w:pPr>
    <w:rPr>
      <w:kern w:val="0"/>
    </w:rPr>
  </w:style>
  <w:style w:type="paragraph" w:styleId="8">
    <w:name w:val="Body Text"/>
    <w:basedOn w:val="1"/>
    <w:next w:val="9"/>
    <w:qFormat/>
    <w:uiPriority w:val="0"/>
    <w:pPr>
      <w:spacing w:after="120"/>
    </w:pPr>
  </w:style>
  <w:style w:type="paragraph" w:styleId="9">
    <w:name w:val="Body Text 2"/>
    <w:basedOn w:val="1"/>
    <w:next w:val="8"/>
    <w:qFormat/>
    <w:uiPriority w:val="0"/>
    <w:pPr>
      <w:spacing w:line="500" w:lineRule="exact"/>
    </w:pPr>
    <w:rPr>
      <w:rFonts w:ascii="宋体" w:hAnsi="Times New Roman" w:eastAsia="宋体" w:cs="Times New Roman"/>
      <w:sz w:val="24"/>
    </w:rPr>
  </w:style>
  <w:style w:type="paragraph" w:styleId="10">
    <w:name w:val="Body Text Indent"/>
    <w:basedOn w:val="1"/>
    <w:qFormat/>
    <w:uiPriority w:val="0"/>
    <w:pPr>
      <w:ind w:firstLine="560" w:firstLineChars="200"/>
    </w:pPr>
  </w:style>
  <w:style w:type="paragraph" w:styleId="11">
    <w:name w:val="toc 3"/>
    <w:basedOn w:val="1"/>
    <w:next w:val="1"/>
    <w:qFormat/>
    <w:uiPriority w:val="0"/>
    <w:pPr>
      <w:ind w:left="561"/>
      <w:jc w:val="left"/>
    </w:pPr>
  </w:style>
  <w:style w:type="paragraph" w:styleId="12">
    <w:name w:val="Plain Text"/>
    <w:basedOn w:val="1"/>
    <w:qFormat/>
    <w:uiPriority w:val="0"/>
    <w:rPr>
      <w:rFonts w:ascii="宋体" w:hAnsi="Courier New" w:eastAsia="宋体"/>
      <w:kern w:val="2"/>
      <w:sz w:val="24"/>
      <w:szCs w:val="24"/>
      <w:lang w:val="en-US" w:eastAsia="zh-CN" w:bidi="ar-SA"/>
    </w:rPr>
  </w:style>
  <w:style w:type="paragraph" w:styleId="13">
    <w:name w:val="Body Text Indent 2"/>
    <w:basedOn w:val="1"/>
    <w:qFormat/>
    <w:uiPriority w:val="0"/>
    <w:pPr>
      <w:spacing w:line="480" w:lineRule="auto"/>
      <w:ind w:firstLine="561"/>
    </w:pPr>
  </w:style>
  <w:style w:type="paragraph" w:styleId="14">
    <w:name w:val="footer"/>
    <w:basedOn w:val="1"/>
    <w:qFormat/>
    <w:uiPriority w:val="0"/>
    <w:pPr>
      <w:widowControl/>
      <w:tabs>
        <w:tab w:val="center" w:pos="4153"/>
        <w:tab w:val="right" w:pos="8306"/>
      </w:tabs>
      <w:snapToGrid w:val="0"/>
      <w:jc w:val="left"/>
    </w:pPr>
    <w:rPr>
      <w:kern w:val="0"/>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spacing w:before="120" w:after="120"/>
      <w:jc w:val="left"/>
    </w:pPr>
    <w:rPr>
      <w:caps/>
    </w:rPr>
  </w:style>
  <w:style w:type="paragraph" w:styleId="17">
    <w:name w:val="toc 2"/>
    <w:basedOn w:val="1"/>
    <w:next w:val="1"/>
    <w:qFormat/>
    <w:uiPriority w:val="0"/>
    <w:pPr>
      <w:ind w:left="278"/>
      <w:jc w:val="left"/>
    </w:pPr>
    <w:rPr>
      <w:smallCaps/>
    </w:rPr>
  </w:style>
  <w:style w:type="paragraph" w:styleId="18">
    <w:name w:val="Normal (Web)"/>
    <w:basedOn w:val="1"/>
    <w:qFormat/>
    <w:uiPriority w:val="0"/>
    <w:pPr>
      <w:widowControl/>
      <w:spacing w:before="100" w:beforeAutospacing="1" w:after="100" w:afterAutospacing="1" w:line="240" w:lineRule="auto"/>
      <w:jc w:val="left"/>
    </w:pPr>
    <w:rPr>
      <w:rFonts w:hAnsi="宋体" w:cs="宋体"/>
      <w:color w:val="000000"/>
      <w:kern w:val="0"/>
      <w:szCs w:val="24"/>
    </w:rPr>
  </w:style>
  <w:style w:type="character" w:styleId="21">
    <w:name w:val="Hyperlink"/>
    <w:qFormat/>
    <w:uiPriority w:val="0"/>
    <w:rPr>
      <w:color w:val="0000FF"/>
      <w:u w:val="single"/>
    </w:rPr>
  </w:style>
  <w:style w:type="paragraph" w:customStyle="1" w:styleId="22">
    <w:name w:val="Default"/>
    <w:basedOn w:val="23"/>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23">
    <w:name w:val="Normal_0"/>
    <w:basedOn w:val="24"/>
    <w:next w:val="22"/>
    <w:qFormat/>
    <w:uiPriority w:val="0"/>
    <w:rPr>
      <w:rFonts w:cs="Times New Roman"/>
    </w:rPr>
  </w:style>
  <w:style w:type="paragraph" w:customStyle="1" w:styleId="24">
    <w:name w:val="正文_2"/>
    <w:qFormat/>
    <w:uiPriority w:val="99"/>
    <w:pPr>
      <w:widowControl w:val="0"/>
      <w:jc w:val="both"/>
    </w:pPr>
    <w:rPr>
      <w:rFonts w:ascii="Calibri" w:hAnsi="Calibri" w:eastAsia="宋体" w:cs="Calibri"/>
      <w:kern w:val="2"/>
      <w:sz w:val="21"/>
      <w:szCs w:val="21"/>
      <w:lang w:val="en-US" w:eastAsia="zh-CN" w:bidi="ar-SA"/>
    </w:rPr>
  </w:style>
  <w:style w:type="paragraph" w:customStyle="1" w:styleId="25">
    <w:name w:val="样式 宋体 行距: 1.5 倍行距"/>
    <w:basedOn w:val="26"/>
    <w:next w:val="1"/>
    <w:qFormat/>
    <w:uiPriority w:val="0"/>
    <w:pPr>
      <w:jc w:val="center"/>
    </w:pPr>
    <w:rPr>
      <w:rFonts w:ascii="Times New Roman"/>
      <w:b/>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27">
    <w:name w:val="正文缩进1"/>
    <w:basedOn w:val="1"/>
    <w:qFormat/>
    <w:uiPriority w:val="0"/>
    <w:pPr>
      <w:widowControl/>
      <w:ind w:firstLine="420"/>
      <w:jc w:val="left"/>
    </w:pPr>
    <w:rPr>
      <w:rFonts w:ascii="Times New Roman" w:hAnsi="Times New Roman" w:eastAsia="宋体" w:cs="Times New Roman"/>
      <w:kern w:val="0"/>
      <w:sz w:val="20"/>
    </w:rPr>
  </w:style>
  <w:style w:type="paragraph" w:customStyle="1" w:styleId="28">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普通(网站) New"/>
    <w:basedOn w:val="38"/>
    <w:qFormat/>
    <w:uiPriority w:val="0"/>
    <w:rPr>
      <w:sz w:val="24"/>
    </w:rPr>
  </w:style>
  <w:style w:type="paragraph" w:customStyle="1" w:styleId="3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0">
    <w:name w:val="Normal Indent1"/>
    <w:basedOn w:val="1"/>
    <w:qFormat/>
    <w:uiPriority w:val="0"/>
    <w:pPr>
      <w:widowControl/>
      <w:ind w:firstLine="420"/>
      <w:jc w:val="left"/>
    </w:pPr>
    <w:rPr>
      <w:rFonts w:ascii="Times New Roman"/>
      <w:kern w:val="0"/>
    </w:rPr>
  </w:style>
  <w:style w:type="paragraph" w:customStyle="1" w:styleId="41">
    <w:name w:val="标题 3 New New"/>
    <w:basedOn w:val="42"/>
    <w:next w:val="42"/>
    <w:qFormat/>
    <w:uiPriority w:val="0"/>
    <w:pPr>
      <w:keepNext/>
      <w:keepLines/>
      <w:spacing w:before="120" w:after="120"/>
      <w:jc w:val="center"/>
      <w:outlineLvl w:val="2"/>
    </w:pPr>
    <w:rPr>
      <w:sz w:val="24"/>
    </w:rPr>
  </w:style>
  <w:style w:type="paragraph" w:customStyle="1" w:styleId="42">
    <w:name w:val="正文缩进 New"/>
    <w:basedOn w:val="43"/>
    <w:qFormat/>
    <w:uiPriority w:val="0"/>
    <w:pPr>
      <w:widowControl/>
      <w:ind w:firstLine="420"/>
      <w:jc w:val="left"/>
    </w:pPr>
    <w:rPr>
      <w:kern w:val="0"/>
      <w:sz w:val="20"/>
    </w:rPr>
  </w:style>
  <w:style w:type="paragraph" w:customStyle="1" w:styleId="43">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4">
    <w:name w:val="正文文本缩进 New"/>
    <w:basedOn w:val="43"/>
    <w:qFormat/>
    <w:uiPriority w:val="0"/>
    <w:pPr>
      <w:ind w:firstLine="560" w:firstLineChars="200"/>
    </w:pPr>
  </w:style>
  <w:style w:type="paragraph" w:customStyle="1" w:styleId="45">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2 New New"/>
    <w:basedOn w:val="31"/>
    <w:next w:val="31"/>
    <w:qFormat/>
    <w:uiPriority w:val="0"/>
    <w:pPr>
      <w:autoSpaceDE w:val="0"/>
      <w:autoSpaceDN w:val="0"/>
      <w:adjustRightInd w:val="0"/>
      <w:jc w:val="left"/>
      <w:outlineLvl w:val="1"/>
    </w:pPr>
    <w:rPr>
      <w:kern w:val="0"/>
      <w:sz w:val="24"/>
    </w:rPr>
  </w:style>
  <w:style w:type="paragraph" w:customStyle="1" w:styleId="47">
    <w:name w:val="标题 1 New"/>
    <w:basedOn w:val="31"/>
    <w:next w:val="31"/>
    <w:qFormat/>
    <w:uiPriority w:val="0"/>
    <w:pPr>
      <w:autoSpaceDE w:val="0"/>
      <w:autoSpaceDN w:val="0"/>
      <w:adjustRightInd w:val="0"/>
      <w:jc w:val="left"/>
      <w:outlineLvl w:val="0"/>
    </w:pPr>
    <w:rPr>
      <w:kern w:val="0"/>
      <w:sz w:val="30"/>
    </w:rPr>
  </w:style>
  <w:style w:type="paragraph" w:customStyle="1" w:styleId="48">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Table Text"/>
    <w:basedOn w:val="1"/>
    <w:semiHidden/>
    <w:qFormat/>
    <w:uiPriority w:val="0"/>
    <w:rPr>
      <w:rFonts w:ascii="宋体" w:hAnsi="宋体" w:eastAsia="宋体" w:cs="宋体"/>
      <w:sz w:val="15"/>
      <w:szCs w:val="15"/>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2">
    <w:name w:val="NormalCharacter"/>
    <w:qFormat/>
    <w:uiPriority w:val="99"/>
  </w:style>
  <w:style w:type="character" w:customStyle="1" w:styleId="53">
    <w:name w:val="标题 3 Char"/>
    <w:link w:val="4"/>
    <w:qFormat/>
    <w:uiPriority w:val="0"/>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17991</Words>
  <Characters>19608</Characters>
  <Lines>0</Lines>
  <Paragraphs>0</Paragraphs>
  <TotalTime>2</TotalTime>
  <ScaleCrop>false</ScaleCrop>
  <LinksUpToDate>false</LinksUpToDate>
  <CharactersWithSpaces>20162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2025-05-14T23:28:00Z</dcterms:created>
  <dc:creator>Chen~小璇</dc:creator>
  <cp:lastModifiedBy>佩佩蒋</cp:lastModifiedBy>
  <cp:lastPrinted>2025-12-19T06:27:00Z</cp:lastPrinted>
  <dcterms:modified xsi:type="dcterms:W3CDTF">2025-12-24T07:25:35Z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114E2670BA0C4BFBB37287DD934D1353_13</vt:lpwstr>
  </property>
  <property fmtid="{D5CDD505-2E9C-101B-9397-08002B2CF9AE}" pid="4" name="KSOTemplateDocerSaveRecord">
    <vt:lpwstr>eyJoZGlkIjoiZDgzNTNlNzAwYzU5YTZmZGEyM2NlMDhkNjdmMDkwNWEiLCJ1c2VySWQiOiIyOTExMTQzMzgifQ==</vt:lpwstr>
  </property>
</Properties>
</file>