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2F658">
      <w:pPr>
        <w:pStyle w:val="10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hint="eastAsia" w:cs="宋体"/>
          <w:color w:val="auto"/>
          <w:sz w:val="52"/>
          <w:szCs w:val="52"/>
          <w:u w:val="none"/>
          <w:lang w:eastAsia="zh-CN"/>
        </w:rPr>
      </w:pPr>
    </w:p>
    <w:p w14:paraId="50A89FC1">
      <w:pPr>
        <w:pStyle w:val="10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hint="eastAsia" w:cs="宋体"/>
          <w:color w:val="auto"/>
          <w:sz w:val="52"/>
          <w:szCs w:val="52"/>
          <w:u w:val="none"/>
          <w:lang w:eastAsia="zh-CN"/>
        </w:rPr>
      </w:pPr>
    </w:p>
    <w:p w14:paraId="16338DBE">
      <w:pPr>
        <w:pStyle w:val="10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ascii="宋体" w:hAnsi="宋体" w:eastAsia="宋体" w:cs="宋体"/>
          <w:sz w:val="52"/>
          <w:szCs w:val="52"/>
        </w:rPr>
      </w:pPr>
      <w:r>
        <w:rPr>
          <w:rFonts w:hint="eastAsia" w:cs="宋体"/>
          <w:color w:val="auto"/>
          <w:sz w:val="52"/>
          <w:szCs w:val="52"/>
          <w:u w:val="none"/>
          <w:lang w:eastAsia="zh-CN"/>
        </w:rPr>
        <w:t>新丰县公共智慧体系配套建设项目</w:t>
      </w:r>
    </w:p>
    <w:p w14:paraId="024BED7C">
      <w:pPr>
        <w:pStyle w:val="109"/>
        <w:spacing w:beforeAutospacing="0" w:afterAutospacing="0" w:line="360" w:lineRule="auto"/>
        <w:jc w:val="center"/>
        <w:rPr>
          <w:rFonts w:ascii="宋体" w:hAnsi="宋体" w:eastAsia="宋体" w:cs="宋体"/>
        </w:rPr>
      </w:pPr>
    </w:p>
    <w:p w14:paraId="7DAFC840">
      <w:pPr>
        <w:pStyle w:val="109"/>
        <w:spacing w:beforeAutospacing="0" w:afterAutospacing="0" w:line="360" w:lineRule="auto"/>
        <w:jc w:val="center"/>
        <w:rPr>
          <w:rFonts w:ascii="宋体" w:hAnsi="宋体" w:eastAsia="宋体" w:cs="宋体"/>
        </w:rPr>
      </w:pPr>
    </w:p>
    <w:p w14:paraId="1490D041">
      <w:pPr>
        <w:pStyle w:val="109"/>
        <w:spacing w:beforeAutospacing="0" w:afterAutospacing="0" w:line="360" w:lineRule="auto"/>
        <w:jc w:val="center"/>
        <w:rPr>
          <w:rFonts w:ascii="宋体" w:hAnsi="宋体" w:eastAsia="宋体" w:cs="宋体"/>
        </w:rPr>
      </w:pPr>
    </w:p>
    <w:p w14:paraId="72546F6B">
      <w:pPr>
        <w:pStyle w:val="109"/>
        <w:spacing w:beforeAutospacing="0" w:afterAutospacing="0" w:line="360" w:lineRule="auto"/>
        <w:jc w:val="center"/>
        <w:rPr>
          <w:rFonts w:ascii="宋体" w:hAnsi="宋体" w:eastAsia="宋体" w:cs="宋体"/>
        </w:rPr>
      </w:pPr>
    </w:p>
    <w:p w14:paraId="4ABB2AA1">
      <w:pPr>
        <w:pStyle w:val="109"/>
        <w:spacing w:beforeAutospacing="0" w:afterAutospacing="0" w:line="360" w:lineRule="auto"/>
        <w:jc w:val="center"/>
        <w:rPr>
          <w:rFonts w:ascii="宋体" w:hAnsi="宋体" w:eastAsia="宋体" w:cs="宋体"/>
        </w:rPr>
      </w:pPr>
    </w:p>
    <w:p w14:paraId="336B9FE0">
      <w:pPr>
        <w:pStyle w:val="109"/>
        <w:spacing w:beforeAutospacing="0" w:afterAutospacing="0" w:line="360" w:lineRule="auto"/>
        <w:jc w:val="center"/>
        <w:rPr>
          <w:rFonts w:ascii="宋体" w:hAnsi="宋体" w:eastAsia="宋体" w:cs="宋体"/>
        </w:rPr>
      </w:pPr>
    </w:p>
    <w:p w14:paraId="3131B46E">
      <w:pPr>
        <w:spacing w:beforeAutospacing="0" w:afterAutospacing="0" w:line="360" w:lineRule="auto"/>
        <w:jc w:val="center"/>
        <w:rPr>
          <w:rFonts w:ascii="宋体" w:hAnsi="宋体" w:eastAsia="宋体" w:cs="宋体"/>
          <w:bCs/>
          <w:spacing w:val="78"/>
          <w:sz w:val="72"/>
          <w:szCs w:val="72"/>
        </w:rPr>
      </w:pPr>
      <w:r>
        <w:rPr>
          <w:rFonts w:hint="eastAsia" w:ascii="宋体" w:hAnsi="宋体" w:eastAsia="宋体" w:cs="宋体"/>
          <w:b/>
          <w:spacing w:val="78"/>
          <w:sz w:val="90"/>
          <w:szCs w:val="90"/>
        </w:rPr>
        <w:t>公开招标文件</w:t>
      </w:r>
    </w:p>
    <w:p w14:paraId="1E9140AF">
      <w:pPr>
        <w:spacing w:beforeAutospacing="0" w:afterAutospacing="0" w:line="360" w:lineRule="auto"/>
        <w:rPr>
          <w:rFonts w:ascii="宋体" w:hAnsi="宋体" w:eastAsia="宋体" w:cs="宋体"/>
          <w:bCs/>
          <w:sz w:val="36"/>
        </w:rPr>
      </w:pPr>
    </w:p>
    <w:p w14:paraId="10A2F347">
      <w:pPr>
        <w:spacing w:beforeAutospacing="0" w:afterAutospacing="0" w:line="360" w:lineRule="auto"/>
        <w:rPr>
          <w:rFonts w:ascii="宋体" w:hAnsi="宋体" w:eastAsia="宋体" w:cs="宋体"/>
          <w:bCs/>
          <w:sz w:val="36"/>
        </w:rPr>
      </w:pPr>
    </w:p>
    <w:p w14:paraId="625A729F">
      <w:pPr>
        <w:pStyle w:val="109"/>
        <w:spacing w:beforeAutospacing="0" w:afterAutospacing="0" w:line="360" w:lineRule="auto"/>
        <w:rPr>
          <w:rFonts w:ascii="宋体" w:hAnsi="宋体" w:eastAsia="宋体" w:cs="宋体"/>
          <w:bCs/>
          <w:sz w:val="36"/>
        </w:rPr>
      </w:pPr>
    </w:p>
    <w:p w14:paraId="031D011A">
      <w:pPr>
        <w:pStyle w:val="109"/>
        <w:spacing w:beforeAutospacing="0" w:afterAutospacing="0" w:line="360" w:lineRule="auto"/>
        <w:rPr>
          <w:rFonts w:ascii="宋体" w:hAnsi="宋体" w:eastAsia="宋体" w:cs="宋体"/>
          <w:bCs/>
          <w:sz w:val="36"/>
        </w:rPr>
      </w:pPr>
    </w:p>
    <w:p w14:paraId="31E30893">
      <w:pPr>
        <w:pStyle w:val="109"/>
        <w:spacing w:beforeAutospacing="0" w:afterAutospacing="0" w:line="360" w:lineRule="auto"/>
        <w:rPr>
          <w:rFonts w:ascii="宋体" w:hAnsi="宋体" w:eastAsia="宋体" w:cs="宋体"/>
        </w:rPr>
      </w:pPr>
    </w:p>
    <w:p w14:paraId="6DBC87EA">
      <w:pPr>
        <w:pStyle w:val="109"/>
        <w:spacing w:beforeAutospacing="0" w:afterAutospacing="0" w:line="360" w:lineRule="auto"/>
        <w:rPr>
          <w:rFonts w:ascii="宋体" w:hAnsi="宋体" w:eastAsia="宋体" w:cs="宋体"/>
        </w:rPr>
      </w:pPr>
    </w:p>
    <w:p w14:paraId="2DF256D9">
      <w:pPr>
        <w:spacing w:beforeAutospacing="0" w:afterAutospacing="0" w:line="360" w:lineRule="auto"/>
        <w:rPr>
          <w:rFonts w:hint="default" w:ascii="宋体" w:hAnsi="宋体" w:eastAsia="宋体" w:cs="宋体"/>
          <w:bCs/>
          <w:sz w:val="36"/>
          <w:szCs w:val="36"/>
          <w:lang w:val="en-US" w:eastAsia="zh-CN"/>
        </w:rPr>
      </w:pPr>
      <w:r>
        <w:rPr>
          <w:rFonts w:hint="eastAsia" w:ascii="宋体" w:hAnsi="宋体" w:cs="宋体"/>
          <w:b/>
          <w:sz w:val="36"/>
          <w:szCs w:val="36"/>
          <w:lang w:val="en-US" w:eastAsia="zh-CN"/>
        </w:rPr>
        <w:t xml:space="preserve">    </w:t>
      </w:r>
      <w:r>
        <w:rPr>
          <w:rFonts w:hint="eastAsia" w:ascii="宋体" w:hAnsi="宋体" w:eastAsia="宋体" w:cs="宋体"/>
          <w:b/>
          <w:sz w:val="36"/>
          <w:szCs w:val="36"/>
        </w:rPr>
        <w:t>招</w:t>
      </w:r>
      <w:r>
        <w:rPr>
          <w:rFonts w:hint="eastAsia" w:ascii="宋体" w:hAnsi="宋体" w:cs="宋体"/>
          <w:b/>
          <w:sz w:val="36"/>
          <w:szCs w:val="36"/>
          <w:lang w:val="en-US" w:eastAsia="zh-CN"/>
        </w:rPr>
        <w:t xml:space="preserve">   </w:t>
      </w:r>
      <w:r>
        <w:rPr>
          <w:rFonts w:hint="eastAsia" w:ascii="宋体" w:hAnsi="宋体" w:eastAsia="宋体" w:cs="宋体"/>
          <w:b/>
          <w:sz w:val="36"/>
          <w:szCs w:val="36"/>
        </w:rPr>
        <w:t>标</w:t>
      </w:r>
      <w:r>
        <w:rPr>
          <w:rFonts w:hint="eastAsia" w:ascii="宋体" w:hAnsi="宋体" w:cs="宋体"/>
          <w:b/>
          <w:sz w:val="36"/>
          <w:szCs w:val="36"/>
          <w:lang w:val="en-US" w:eastAsia="zh-CN"/>
        </w:rPr>
        <w:t xml:space="preserve">   </w:t>
      </w:r>
      <w:r>
        <w:rPr>
          <w:rFonts w:hint="eastAsia" w:ascii="宋体" w:hAnsi="宋体" w:eastAsia="宋体" w:cs="宋体"/>
          <w:b/>
          <w:sz w:val="36"/>
          <w:szCs w:val="36"/>
        </w:rPr>
        <w:t>人</w:t>
      </w:r>
      <w:r>
        <w:rPr>
          <w:rFonts w:hint="eastAsia" w:ascii="宋体" w:hAnsi="宋体" w:eastAsia="宋体" w:cs="宋体"/>
          <w:bCs/>
          <w:color w:val="000000" w:themeColor="text1"/>
          <w:sz w:val="36"/>
          <w:szCs w:val="36"/>
          <w14:textFill>
            <w14:solidFill>
              <w14:schemeClr w14:val="tx1"/>
            </w14:solidFill>
          </w14:textFill>
        </w:rPr>
        <w:t>：</w:t>
      </w:r>
      <w:r>
        <w:rPr>
          <w:rFonts w:hint="eastAsia" w:ascii="宋体" w:hAnsi="宋体" w:cs="宋体"/>
          <w:bCs/>
          <w:color w:val="000000" w:themeColor="text1"/>
          <w:sz w:val="36"/>
          <w:szCs w:val="36"/>
          <w:lang w:val="en-US" w:eastAsia="zh-CN"/>
          <w14:textFill>
            <w14:solidFill>
              <w14:schemeClr w14:val="tx1"/>
            </w14:solidFill>
          </w14:textFill>
        </w:rPr>
        <w:t>新丰县住房和城乡建设管理局</w:t>
      </w:r>
    </w:p>
    <w:p w14:paraId="2FCA76AB">
      <w:pPr>
        <w:spacing w:beforeAutospacing="0" w:afterAutospacing="0" w:line="360" w:lineRule="auto"/>
        <w:ind w:firstLine="723" w:firstLineChars="200"/>
        <w:rPr>
          <w:rFonts w:hint="eastAsia" w:ascii="宋体" w:hAnsi="宋体" w:eastAsia="宋体" w:cs="宋体"/>
          <w:bCs/>
          <w:sz w:val="36"/>
          <w:lang w:val="en-US" w:eastAsia="zh-CN"/>
        </w:rPr>
      </w:pPr>
      <w:r>
        <w:rPr>
          <w:rFonts w:hint="eastAsia" w:ascii="宋体" w:hAnsi="宋体" w:eastAsia="宋体" w:cs="宋体"/>
          <w:b/>
          <w:sz w:val="36"/>
        </w:rPr>
        <w:t>招标代理机构：</w:t>
      </w:r>
      <w:r>
        <w:rPr>
          <w:rFonts w:hint="eastAsia" w:ascii="宋体" w:hAnsi="宋体" w:eastAsia="宋体" w:cs="宋体"/>
          <w:bCs/>
          <w:sz w:val="36"/>
        </w:rPr>
        <w:t>韶关市鸿鑫招标代理有限公司</w:t>
      </w:r>
    </w:p>
    <w:p w14:paraId="1D655DE9">
      <w:pPr>
        <w:spacing w:beforeAutospacing="0" w:afterAutospacing="0" w:line="360" w:lineRule="auto"/>
        <w:jc w:val="center"/>
        <w:rPr>
          <w:rFonts w:ascii="宋体" w:hAnsi="宋体" w:eastAsia="宋体" w:cs="宋体"/>
          <w:b/>
          <w:bCs/>
          <w:sz w:val="48"/>
          <w:szCs w:val="48"/>
        </w:rPr>
        <w:sectPr>
          <w:footerReference r:id="rId5" w:type="first"/>
          <w:headerReference r:id="rId3" w:type="default"/>
          <w:footerReference r:id="rId4" w:type="default"/>
          <w:pgSz w:w="11905" w:h="16838"/>
          <w:pgMar w:top="1440" w:right="1803" w:bottom="1440" w:left="1803" w:header="283" w:footer="1077" w:gutter="0"/>
          <w:pgNumType w:fmt="decimal" w:start="1"/>
          <w:cols w:space="0" w:num="1"/>
          <w:rtlGutter w:val="0"/>
          <w:docGrid w:type="lines" w:linePitch="317" w:charSpace="0"/>
        </w:sectPr>
      </w:pPr>
      <w:r>
        <w:rPr>
          <w:rFonts w:hint="eastAsia" w:ascii="宋体" w:hAnsi="宋体" w:eastAsia="宋体" w:cs="宋体"/>
          <w:bCs/>
          <w:sz w:val="36"/>
          <w:lang w:val="en-US" w:eastAsia="zh-CN"/>
        </w:rPr>
        <w:t>202</w:t>
      </w:r>
      <w:r>
        <w:rPr>
          <w:rFonts w:hint="eastAsia" w:ascii="宋体" w:hAnsi="宋体" w:cs="宋体"/>
          <w:bCs/>
          <w:sz w:val="36"/>
          <w:lang w:val="en-US" w:eastAsia="zh-CN"/>
        </w:rPr>
        <w:t>5</w:t>
      </w:r>
      <w:r>
        <w:rPr>
          <w:rFonts w:hint="eastAsia" w:ascii="宋体" w:hAnsi="宋体" w:eastAsia="宋体" w:cs="宋体"/>
          <w:bCs/>
          <w:sz w:val="36"/>
        </w:rPr>
        <w:t>年</w:t>
      </w:r>
      <w:r>
        <w:rPr>
          <w:rFonts w:hint="eastAsia" w:ascii="宋体" w:hAnsi="宋体" w:cs="宋体"/>
          <w:bCs/>
          <w:sz w:val="36"/>
          <w:lang w:val="en-US" w:eastAsia="zh-CN"/>
        </w:rPr>
        <w:t>09</w:t>
      </w:r>
      <w:r>
        <w:rPr>
          <w:rFonts w:hint="eastAsia" w:ascii="宋体" w:hAnsi="宋体" w:eastAsia="宋体" w:cs="宋体"/>
          <w:bCs/>
          <w:sz w:val="36"/>
        </w:rPr>
        <w:t>月</w:t>
      </w:r>
    </w:p>
    <w:p w14:paraId="557B3ED9">
      <w:pPr>
        <w:spacing w:beforeAutospacing="0" w:afterAutospacing="0" w:line="360" w:lineRule="auto"/>
        <w:jc w:val="center"/>
        <w:rPr>
          <w:rFonts w:ascii="宋体" w:hAnsi="宋体" w:eastAsia="宋体" w:cs="宋体"/>
          <w:b/>
          <w:bCs/>
          <w:sz w:val="48"/>
          <w:szCs w:val="48"/>
        </w:rPr>
      </w:pPr>
      <w:r>
        <w:rPr>
          <w:rFonts w:hint="eastAsia" w:ascii="宋体" w:hAnsi="宋体" w:eastAsia="宋体" w:cs="宋体"/>
          <w:b/>
          <w:bCs/>
          <w:sz w:val="48"/>
          <w:szCs w:val="48"/>
        </w:rPr>
        <w:t>温 馨 提 示</w:t>
      </w:r>
    </w:p>
    <w:p w14:paraId="29F5E7E9">
      <w:pPr>
        <w:spacing w:beforeAutospacing="0" w:afterAutospacing="0" w:line="360" w:lineRule="auto"/>
        <w:jc w:val="both"/>
        <w:rPr>
          <w:rFonts w:ascii="宋体" w:hAnsi="宋体" w:eastAsia="宋体" w:cs="宋体"/>
          <w:kern w:val="16"/>
          <w:sz w:val="48"/>
          <w:szCs w:val="48"/>
        </w:rPr>
      </w:pPr>
      <w:r>
        <w:rPr>
          <w:rFonts w:hint="eastAsia" w:ascii="宋体" w:hAnsi="宋体" w:eastAsia="宋体" w:cs="宋体"/>
          <w:b/>
          <w:bCs/>
          <w:kern w:val="16"/>
          <w:szCs w:val="21"/>
        </w:rPr>
        <w:t>（本提示内容非招标文件的组成部分，仅为善意提醒。如有不一致的地方，以招标文件为准）</w:t>
      </w:r>
    </w:p>
    <w:p w14:paraId="2AE37D1D">
      <w:pPr>
        <w:spacing w:beforeAutospacing="0" w:afterAutospacing="0" w:line="360" w:lineRule="auto"/>
        <w:rPr>
          <w:rFonts w:ascii="宋体" w:hAnsi="宋体" w:eastAsia="宋体" w:cs="宋体"/>
          <w:szCs w:val="21"/>
        </w:rPr>
      </w:pPr>
      <w:r>
        <w:rPr>
          <w:rFonts w:hint="eastAsia" w:ascii="宋体" w:hAnsi="宋体" w:eastAsia="宋体" w:cs="宋体"/>
          <w:szCs w:val="21"/>
        </w:rPr>
        <w:t>一、投标文件递交时间为</w:t>
      </w:r>
      <w:r>
        <w:rPr>
          <w:rFonts w:hint="eastAsia" w:ascii="宋体" w:hAnsi="宋体" w:eastAsia="宋体" w:cs="宋体"/>
          <w:b/>
          <w:bCs/>
          <w:szCs w:val="21"/>
        </w:rPr>
        <w:t>投标截止时间前30分钟</w:t>
      </w:r>
      <w:r>
        <w:rPr>
          <w:rFonts w:hint="eastAsia" w:ascii="宋体" w:hAnsi="宋体" w:eastAsia="宋体" w:cs="宋体"/>
          <w:szCs w:val="21"/>
        </w:rPr>
        <w:t>内。为避免因迟到而失去投标资格，</w:t>
      </w:r>
      <w:r>
        <w:rPr>
          <w:rFonts w:hint="eastAsia" w:ascii="宋体" w:hAnsi="宋体" w:eastAsia="宋体" w:cs="宋体"/>
          <w:b/>
          <w:bCs/>
          <w:szCs w:val="21"/>
        </w:rPr>
        <w:t>请适当提前到达</w:t>
      </w:r>
      <w:r>
        <w:rPr>
          <w:rFonts w:hint="eastAsia" w:ascii="宋体" w:hAnsi="宋体" w:eastAsia="宋体" w:cs="宋体"/>
          <w:szCs w:val="21"/>
        </w:rPr>
        <w:t>。</w:t>
      </w:r>
    </w:p>
    <w:p w14:paraId="6A79D405">
      <w:pPr>
        <w:spacing w:beforeAutospacing="0" w:afterAutospacing="0" w:line="360" w:lineRule="auto"/>
        <w:rPr>
          <w:rFonts w:ascii="宋体" w:hAnsi="宋体" w:eastAsia="宋体" w:cs="宋体"/>
          <w:szCs w:val="21"/>
        </w:rPr>
      </w:pPr>
      <w:r>
        <w:rPr>
          <w:rFonts w:hint="eastAsia" w:ascii="宋体" w:hAnsi="宋体" w:eastAsia="宋体" w:cs="宋体"/>
          <w:szCs w:val="21"/>
        </w:rPr>
        <w:t>二、投标保证金必须于投标截止时间前到达招标文件指定的投标保证金缴纳</w:t>
      </w:r>
      <w:r>
        <w:rPr>
          <w:rFonts w:hint="eastAsia" w:ascii="宋体" w:hAnsi="宋体" w:cs="宋体"/>
          <w:szCs w:val="21"/>
          <w:highlight w:val="none"/>
          <w:lang w:eastAsia="zh-CN"/>
        </w:rPr>
        <w:t>账户</w:t>
      </w:r>
      <w:r>
        <w:rPr>
          <w:rFonts w:hint="eastAsia" w:ascii="宋体" w:hAnsi="宋体" w:eastAsia="宋体" w:cs="宋体"/>
          <w:szCs w:val="21"/>
        </w:rPr>
        <w:t>。投标人应充分考虑跨行、异地、网络系统延迟等因素，转帐当天不一定能够到帐，为避免因投标保证金未到帐而导致投标被拒绝，建议</w:t>
      </w:r>
      <w:r>
        <w:rPr>
          <w:rFonts w:hint="eastAsia" w:ascii="宋体" w:hAnsi="宋体" w:eastAsia="宋体" w:cs="宋体"/>
          <w:b/>
          <w:bCs/>
          <w:szCs w:val="21"/>
        </w:rPr>
        <w:t>至少提前2个工作日转帐</w:t>
      </w:r>
      <w:r>
        <w:rPr>
          <w:rFonts w:hint="eastAsia" w:ascii="宋体" w:hAnsi="宋体" w:eastAsia="宋体" w:cs="宋体"/>
          <w:szCs w:val="21"/>
        </w:rPr>
        <w:t>。</w:t>
      </w:r>
    </w:p>
    <w:p w14:paraId="3EC5DA12">
      <w:pPr>
        <w:spacing w:beforeAutospacing="0" w:afterAutospacing="0" w:line="360" w:lineRule="auto"/>
        <w:rPr>
          <w:rFonts w:ascii="宋体" w:hAnsi="宋体" w:eastAsia="宋体" w:cs="宋体"/>
          <w:szCs w:val="21"/>
        </w:rPr>
      </w:pPr>
      <w:r>
        <w:rPr>
          <w:rFonts w:hint="eastAsia" w:ascii="宋体" w:hAnsi="宋体" w:eastAsia="宋体" w:cs="宋体"/>
          <w:szCs w:val="21"/>
        </w:rPr>
        <w:t>三、投标人请注意</w:t>
      </w:r>
      <w:r>
        <w:rPr>
          <w:rFonts w:hint="eastAsia" w:ascii="宋体" w:hAnsi="宋体" w:eastAsia="宋体" w:cs="宋体"/>
          <w:b/>
          <w:bCs/>
          <w:szCs w:val="21"/>
        </w:rPr>
        <w:t>区分投标保证金缴纳账户与招标代理服务费缴纳</w:t>
      </w:r>
      <w:r>
        <w:rPr>
          <w:rFonts w:hint="eastAsia" w:ascii="宋体" w:hAnsi="宋体" w:cs="宋体"/>
          <w:b/>
          <w:bCs/>
          <w:szCs w:val="21"/>
          <w:lang w:eastAsia="zh-CN"/>
        </w:rPr>
        <w:t>账户</w:t>
      </w:r>
      <w:r>
        <w:rPr>
          <w:rFonts w:hint="eastAsia" w:ascii="宋体" w:hAnsi="宋体" w:eastAsia="宋体" w:cs="宋体"/>
          <w:szCs w:val="21"/>
        </w:rPr>
        <w:t>，切勿转错账户，以免导致无效投标或影响投标保证金退还的速度。</w:t>
      </w:r>
    </w:p>
    <w:p w14:paraId="0EA381A7">
      <w:pPr>
        <w:spacing w:beforeAutospacing="0" w:afterAutospacing="0" w:line="360" w:lineRule="auto"/>
        <w:rPr>
          <w:rFonts w:ascii="宋体" w:hAnsi="宋体" w:eastAsia="宋体" w:cs="宋体"/>
          <w:szCs w:val="21"/>
        </w:rPr>
      </w:pPr>
      <w:r>
        <w:rPr>
          <w:rFonts w:hint="eastAsia" w:ascii="宋体" w:hAnsi="宋体" w:eastAsia="宋体" w:cs="宋体"/>
          <w:szCs w:val="21"/>
        </w:rPr>
        <w:t>四、重招的招标项目，在第一次招标时已报名的投标人须按重招招标文件要求</w:t>
      </w:r>
      <w:r>
        <w:rPr>
          <w:rFonts w:hint="eastAsia" w:ascii="宋体" w:hAnsi="宋体" w:eastAsia="宋体" w:cs="宋体"/>
          <w:b/>
          <w:bCs/>
          <w:szCs w:val="21"/>
        </w:rPr>
        <w:t>重新递交报名材料和</w:t>
      </w:r>
      <w:r>
        <w:rPr>
          <w:rFonts w:hint="eastAsia" w:ascii="宋体" w:hAnsi="宋体" w:cs="宋体"/>
          <w:b/>
          <w:bCs/>
          <w:szCs w:val="21"/>
          <w:lang w:eastAsia="zh-CN"/>
        </w:rPr>
        <w:t>缴纳</w:t>
      </w:r>
      <w:r>
        <w:rPr>
          <w:rFonts w:hint="eastAsia" w:ascii="宋体" w:hAnsi="宋体" w:eastAsia="宋体" w:cs="宋体"/>
          <w:b/>
          <w:bCs/>
          <w:szCs w:val="21"/>
        </w:rPr>
        <w:t>标书工本费</w:t>
      </w:r>
      <w:r>
        <w:rPr>
          <w:rFonts w:hint="eastAsia" w:ascii="宋体" w:hAnsi="宋体" w:eastAsia="宋体" w:cs="宋体"/>
          <w:szCs w:val="21"/>
        </w:rPr>
        <w:t>，并</w:t>
      </w:r>
      <w:r>
        <w:rPr>
          <w:rFonts w:hint="eastAsia" w:ascii="宋体" w:hAnsi="宋体" w:eastAsia="宋体" w:cs="宋体"/>
          <w:b/>
          <w:bCs/>
          <w:szCs w:val="21"/>
        </w:rPr>
        <w:t>重新缴纳投标保证金。</w:t>
      </w:r>
    </w:p>
    <w:p w14:paraId="1FA38988">
      <w:pPr>
        <w:spacing w:beforeAutospacing="0" w:afterAutospacing="0" w:line="360" w:lineRule="auto"/>
        <w:rPr>
          <w:rFonts w:ascii="宋体" w:hAnsi="宋体" w:eastAsia="宋体" w:cs="宋体"/>
          <w:szCs w:val="21"/>
        </w:rPr>
      </w:pPr>
      <w:r>
        <w:rPr>
          <w:rFonts w:hint="eastAsia" w:ascii="宋体" w:hAnsi="宋体" w:eastAsia="宋体" w:cs="宋体"/>
          <w:szCs w:val="21"/>
        </w:rPr>
        <w:t>五、分包组的招标项目，投标人参与多个包组投标的，应按不同包组</w:t>
      </w:r>
      <w:r>
        <w:rPr>
          <w:rFonts w:hint="eastAsia" w:ascii="宋体" w:hAnsi="宋体" w:eastAsia="宋体" w:cs="宋体"/>
          <w:b/>
          <w:bCs/>
          <w:szCs w:val="21"/>
        </w:rPr>
        <w:t>分开编制投标文件</w:t>
      </w:r>
      <w:r>
        <w:rPr>
          <w:rFonts w:hint="eastAsia" w:ascii="宋体" w:hAnsi="宋体" w:eastAsia="宋体" w:cs="宋体"/>
          <w:szCs w:val="21"/>
        </w:rPr>
        <w:t>，并分开密封提交。</w:t>
      </w:r>
    </w:p>
    <w:p w14:paraId="33780EFA">
      <w:pPr>
        <w:spacing w:beforeAutospacing="0" w:afterAutospacing="0" w:line="360" w:lineRule="auto"/>
        <w:rPr>
          <w:rFonts w:ascii="宋体" w:hAnsi="宋体" w:eastAsia="宋体" w:cs="宋体"/>
          <w:szCs w:val="21"/>
        </w:rPr>
      </w:pPr>
      <w:r>
        <w:rPr>
          <w:rFonts w:hint="eastAsia" w:ascii="宋体" w:hAnsi="宋体" w:eastAsia="宋体" w:cs="宋体"/>
          <w:szCs w:val="21"/>
        </w:rPr>
        <w:t>六、投标文件须按顺序</w:t>
      </w:r>
      <w:r>
        <w:rPr>
          <w:rFonts w:hint="eastAsia" w:ascii="宋体" w:hAnsi="宋体" w:eastAsia="宋体" w:cs="宋体"/>
          <w:b/>
          <w:bCs/>
          <w:szCs w:val="21"/>
        </w:rPr>
        <w:t>编制页码</w:t>
      </w:r>
      <w:r>
        <w:rPr>
          <w:rFonts w:hint="eastAsia" w:ascii="宋体" w:hAnsi="宋体" w:eastAsia="宋体" w:cs="宋体"/>
          <w:szCs w:val="21"/>
        </w:rPr>
        <w:t>，并仔细检查是否已按招标文件要求</w:t>
      </w:r>
      <w:r>
        <w:rPr>
          <w:rFonts w:hint="eastAsia" w:ascii="宋体" w:hAnsi="宋体" w:eastAsia="宋体" w:cs="宋体"/>
          <w:b/>
          <w:bCs/>
          <w:szCs w:val="21"/>
        </w:rPr>
        <w:t>盖章、签名及密封包装</w:t>
      </w:r>
      <w:r>
        <w:rPr>
          <w:rFonts w:hint="eastAsia" w:ascii="宋体" w:hAnsi="宋体" w:eastAsia="宋体" w:cs="宋体"/>
          <w:szCs w:val="21"/>
        </w:rPr>
        <w:t>。</w:t>
      </w:r>
    </w:p>
    <w:p w14:paraId="1586221C">
      <w:pPr>
        <w:spacing w:beforeAutospacing="0" w:afterAutospacing="0" w:line="360" w:lineRule="auto"/>
        <w:rPr>
          <w:rFonts w:ascii="宋体" w:hAnsi="宋体" w:eastAsia="宋体" w:cs="宋体"/>
          <w:szCs w:val="21"/>
        </w:rPr>
      </w:pPr>
      <w:r>
        <w:rPr>
          <w:rFonts w:hint="eastAsia" w:ascii="宋体" w:hAnsi="宋体" w:eastAsia="宋体" w:cs="宋体"/>
          <w:szCs w:val="21"/>
        </w:rPr>
        <w:t>七、同一投标人及其授权代表不能以两家投标人名义报名同一项目同一子包，对一家投标人递交两份报名材料的，招标代理机构只接受一份报名材料。</w:t>
      </w:r>
    </w:p>
    <w:p w14:paraId="523F1875">
      <w:pPr>
        <w:spacing w:beforeAutospacing="0" w:afterAutospacing="0" w:line="360" w:lineRule="auto"/>
        <w:rPr>
          <w:rFonts w:ascii="宋体" w:hAnsi="宋体" w:eastAsia="宋体" w:cs="宋体"/>
          <w:szCs w:val="21"/>
        </w:rPr>
      </w:pPr>
      <w:r>
        <w:rPr>
          <w:rFonts w:hint="eastAsia" w:ascii="宋体" w:hAnsi="宋体" w:eastAsia="宋体" w:cs="宋体"/>
          <w:szCs w:val="21"/>
        </w:rPr>
        <w:t>八、投标人代表参加开标会应</w:t>
      </w:r>
      <w:r>
        <w:rPr>
          <w:rFonts w:hint="eastAsia" w:ascii="宋体" w:hAnsi="宋体" w:eastAsia="宋体" w:cs="宋体"/>
          <w:b/>
          <w:bCs/>
          <w:szCs w:val="21"/>
        </w:rPr>
        <w:t>携带本人身份证原件</w:t>
      </w:r>
      <w:r>
        <w:rPr>
          <w:rFonts w:hint="eastAsia" w:ascii="宋体" w:hAnsi="宋体" w:eastAsia="宋体" w:cs="宋体"/>
          <w:szCs w:val="21"/>
        </w:rPr>
        <w:t>到场，以便招标代理机构开标时核实参会代表是否与投标授权代表一致。</w:t>
      </w:r>
    </w:p>
    <w:p w14:paraId="3BB1DAFA">
      <w:pPr>
        <w:spacing w:beforeAutospacing="0" w:afterAutospacing="0" w:line="360" w:lineRule="auto"/>
        <w:rPr>
          <w:rFonts w:ascii="宋体" w:hAnsi="宋体" w:eastAsia="宋体" w:cs="宋体"/>
          <w:szCs w:val="21"/>
        </w:rPr>
      </w:pPr>
      <w:r>
        <w:rPr>
          <w:rFonts w:hint="eastAsia" w:ascii="宋体" w:hAnsi="宋体" w:eastAsia="宋体" w:cs="宋体"/>
          <w:szCs w:val="21"/>
        </w:rPr>
        <w:t>九、购买了招标文件的公司决定不参加投标，应在投标截止时间前3日</w:t>
      </w:r>
      <w:r>
        <w:rPr>
          <w:rFonts w:hint="eastAsia" w:ascii="宋体" w:hAnsi="宋体" w:eastAsia="宋体" w:cs="宋体"/>
          <w:b/>
          <w:bCs/>
          <w:szCs w:val="21"/>
        </w:rPr>
        <w:t>以书面形式通知</w:t>
      </w:r>
      <w:r>
        <w:rPr>
          <w:rFonts w:hint="eastAsia" w:ascii="宋体" w:hAnsi="宋体" w:eastAsia="宋体" w:cs="宋体"/>
          <w:szCs w:val="21"/>
        </w:rPr>
        <w:t>招标代理机构。</w:t>
      </w:r>
    </w:p>
    <w:p w14:paraId="3FDED21F">
      <w:pPr>
        <w:pStyle w:val="19"/>
        <w:rPr>
          <w:rFonts w:ascii="宋体" w:hAnsi="宋体"/>
          <w:sz w:val="21"/>
          <w:szCs w:val="21"/>
        </w:rPr>
        <w:sectPr>
          <w:pgSz w:w="11905" w:h="16838"/>
          <w:pgMar w:top="1440" w:right="1803" w:bottom="1440" w:left="1803" w:header="283" w:footer="1077" w:gutter="0"/>
          <w:pgNumType w:fmt="decimal" w:start="2"/>
          <w:cols w:space="0" w:num="1"/>
          <w:rtlGutter w:val="0"/>
          <w:docGrid w:type="lines" w:linePitch="317" w:charSpace="0"/>
        </w:sectPr>
      </w:pPr>
    </w:p>
    <w:p w14:paraId="100EE052">
      <w:pPr>
        <w:spacing w:beforeAutospacing="0" w:afterAutospacing="0" w:line="360" w:lineRule="auto"/>
        <w:jc w:val="center"/>
        <w:rPr>
          <w:rFonts w:ascii="宋体" w:hAnsi="宋体" w:eastAsia="宋体" w:cs="宋体"/>
          <w:b/>
          <w:bCs/>
          <w:sz w:val="44"/>
          <w:szCs w:val="44"/>
        </w:rPr>
      </w:pPr>
      <w:r>
        <w:rPr>
          <w:rFonts w:hint="eastAsia" w:ascii="宋体" w:hAnsi="宋体" w:eastAsia="宋体" w:cs="宋体"/>
          <w:b/>
          <w:bCs/>
          <w:sz w:val="44"/>
          <w:szCs w:val="44"/>
        </w:rPr>
        <w:t>目  录</w:t>
      </w:r>
    </w:p>
    <w:p w14:paraId="06FED41C">
      <w:pPr>
        <w:pStyle w:val="109"/>
        <w:spacing w:beforeAutospacing="0" w:afterAutospacing="0" w:line="360" w:lineRule="auto"/>
        <w:rPr>
          <w:rFonts w:ascii="宋体" w:hAnsi="宋体" w:eastAsia="宋体" w:cs="宋体"/>
        </w:rPr>
      </w:pPr>
    </w:p>
    <w:p w14:paraId="6B323FB1">
      <w:pPr>
        <w:pStyle w:val="165"/>
        <w:tabs>
          <w:tab w:val="right" w:leader="dot" w:pos="8640"/>
        </w:tabs>
        <w:spacing w:beforeAutospacing="0" w:afterAutospacing="0" w:line="360" w:lineRule="auto"/>
        <w:rPr>
          <w:rFonts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"1-1" \h \u </w:instrText>
      </w:r>
      <w:r>
        <w:rPr>
          <w:rFonts w:hint="eastAsia" w:ascii="宋体" w:hAnsi="宋体" w:eastAsia="宋体" w:cs="宋体"/>
          <w:b/>
          <w:bCs/>
          <w:sz w:val="24"/>
          <w:szCs w:val="24"/>
        </w:rPr>
        <w:fldChar w:fldCharType="separate"/>
      </w:r>
      <w:r>
        <w:fldChar w:fldCharType="begin"/>
      </w:r>
      <w:r>
        <w:instrText xml:space="preserve"> HYPERLINK \l "_Toc27373" </w:instrText>
      </w:r>
      <w:r>
        <w:fldChar w:fldCharType="separate"/>
      </w:r>
      <w:r>
        <w:rPr>
          <w:rFonts w:hint="eastAsia" w:ascii="宋体" w:hAnsi="宋体" w:eastAsia="宋体" w:cs="宋体"/>
          <w:b/>
          <w:bCs/>
          <w:sz w:val="24"/>
          <w:szCs w:val="24"/>
        </w:rPr>
        <w:t>第一部分 投标邀请</w:t>
      </w:r>
      <w:r>
        <w:rPr>
          <w:rFonts w:hint="eastAsia" w:ascii="宋体" w:hAnsi="宋体" w:cs="宋体"/>
          <w:b/>
          <w:bCs/>
          <w:sz w:val="24"/>
          <w:szCs w:val="24"/>
          <w:lang w:val="en-US" w:eastAsia="zh-CN"/>
        </w:rPr>
        <w:t>.</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w:t>
      </w:r>
      <w:r>
        <w:rPr>
          <w:rFonts w:hint="eastAsia" w:ascii="宋体" w:hAnsi="宋体" w:eastAsia="宋体" w:cs="宋体"/>
          <w:b/>
          <w:bCs/>
          <w:sz w:val="24"/>
          <w:szCs w:val="24"/>
        </w:rPr>
        <w:t>4</w:t>
      </w:r>
    </w:p>
    <w:p w14:paraId="39005B22">
      <w:pPr>
        <w:pStyle w:val="165"/>
        <w:tabs>
          <w:tab w:val="right" w:leader="dot" w:pos="8640"/>
        </w:tabs>
        <w:spacing w:beforeAutospacing="0" w:afterAutospacing="0" w:line="360" w:lineRule="auto"/>
        <w:rPr>
          <w:rFonts w:ascii="宋体" w:hAnsi="宋体" w:eastAsia="宋体" w:cs="宋体"/>
          <w:b/>
          <w:bCs/>
          <w:sz w:val="24"/>
          <w:szCs w:val="24"/>
        </w:rPr>
      </w:pPr>
      <w:r>
        <w:fldChar w:fldCharType="begin"/>
      </w:r>
      <w:r>
        <w:instrText xml:space="preserve"> HYPERLINK \l "_Toc20316" </w:instrText>
      </w:r>
      <w:r>
        <w:fldChar w:fldCharType="separate"/>
      </w:r>
      <w:r>
        <w:rPr>
          <w:rFonts w:hint="eastAsia" w:ascii="宋体" w:hAnsi="宋体" w:eastAsia="宋体" w:cs="宋体"/>
          <w:b/>
          <w:bCs/>
          <w:sz w:val="24"/>
          <w:szCs w:val="24"/>
        </w:rPr>
        <w:t>第二部分 招标需求</w:t>
      </w:r>
      <w:r>
        <w:rPr>
          <w:rFonts w:hint="eastAsia" w:ascii="宋体" w:hAnsi="宋体" w:cs="宋体"/>
          <w:b/>
          <w:bCs/>
          <w:sz w:val="24"/>
          <w:szCs w:val="24"/>
          <w:lang w:val="en-US" w:eastAsia="zh-CN"/>
        </w:rPr>
        <w:t>..................................................9</w:t>
      </w:r>
      <w:r>
        <w:rPr>
          <w:rFonts w:hint="eastAsia" w:ascii="宋体" w:hAnsi="宋体" w:eastAsia="宋体" w:cs="宋体"/>
          <w:b/>
          <w:bCs/>
          <w:sz w:val="24"/>
          <w:szCs w:val="24"/>
        </w:rPr>
        <w:fldChar w:fldCharType="end"/>
      </w:r>
    </w:p>
    <w:p w14:paraId="14357C14">
      <w:pPr>
        <w:pStyle w:val="165"/>
        <w:tabs>
          <w:tab w:val="right" w:leader="dot" w:pos="8640"/>
        </w:tabs>
        <w:spacing w:beforeAutospacing="0" w:afterAutospacing="0" w:line="360" w:lineRule="auto"/>
        <w:rPr>
          <w:rFonts w:hint="default" w:ascii="宋体" w:hAnsi="宋体" w:eastAsia="宋体" w:cs="宋体"/>
          <w:b/>
          <w:bCs/>
          <w:sz w:val="24"/>
          <w:szCs w:val="24"/>
          <w:lang w:val="en-US" w:eastAsia="zh-CN"/>
        </w:rPr>
      </w:pPr>
      <w:r>
        <w:fldChar w:fldCharType="begin"/>
      </w:r>
      <w:r>
        <w:instrText xml:space="preserve"> HYPERLINK \l "_Toc32176" </w:instrText>
      </w:r>
      <w:r>
        <w:fldChar w:fldCharType="separate"/>
      </w:r>
      <w:r>
        <w:rPr>
          <w:rFonts w:hint="eastAsia" w:ascii="宋体" w:hAnsi="宋体" w:eastAsia="宋体" w:cs="宋体"/>
          <w:b/>
          <w:bCs/>
          <w:sz w:val="24"/>
          <w:szCs w:val="24"/>
        </w:rPr>
        <w:t>第三部分 投标人须知</w:t>
      </w:r>
      <w:r>
        <w:rPr>
          <w:rFonts w:hint="eastAsia" w:ascii="宋体" w:hAnsi="宋体" w:cs="宋体"/>
          <w:b/>
          <w:bCs/>
          <w:sz w:val="24"/>
          <w:szCs w:val="24"/>
          <w:lang w:val="en-US" w:eastAsia="zh-CN"/>
        </w:rPr>
        <w:t>...............................................3</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1</w:t>
      </w:r>
    </w:p>
    <w:p w14:paraId="04000966">
      <w:pPr>
        <w:pStyle w:val="165"/>
        <w:tabs>
          <w:tab w:val="right" w:leader="dot" w:pos="8640"/>
        </w:tabs>
        <w:spacing w:beforeAutospacing="0" w:afterAutospacing="0" w:line="360" w:lineRule="auto"/>
        <w:rPr>
          <w:rFonts w:hint="eastAsia" w:ascii="宋体" w:hAnsi="宋体" w:eastAsia="宋体" w:cs="宋体"/>
          <w:b/>
          <w:bCs/>
          <w:sz w:val="24"/>
          <w:szCs w:val="24"/>
          <w:lang w:eastAsia="zh-CN"/>
        </w:rPr>
      </w:pPr>
      <w:r>
        <w:fldChar w:fldCharType="begin"/>
      </w:r>
      <w:r>
        <w:instrText xml:space="preserve"> HYPERLINK \l "_Toc21887" </w:instrText>
      </w:r>
      <w:r>
        <w:fldChar w:fldCharType="separate"/>
      </w:r>
      <w:r>
        <w:rPr>
          <w:rFonts w:hint="eastAsia" w:ascii="宋体" w:hAnsi="宋体" w:eastAsia="宋体" w:cs="宋体"/>
          <w:b/>
          <w:bCs/>
          <w:sz w:val="24"/>
          <w:szCs w:val="24"/>
        </w:rPr>
        <w:t>第四部分 开标、评标和定标</w:t>
      </w:r>
      <w:r>
        <w:rPr>
          <w:rFonts w:hint="eastAsia" w:ascii="宋体" w:hAnsi="宋体" w:cs="宋体"/>
          <w:b/>
          <w:bCs/>
          <w:sz w:val="24"/>
          <w:szCs w:val="24"/>
          <w:lang w:val="en-US" w:eastAsia="zh-CN"/>
        </w:rPr>
        <w:t>.........................................4</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2</w:t>
      </w:r>
    </w:p>
    <w:p w14:paraId="7F236EC3">
      <w:pPr>
        <w:pStyle w:val="165"/>
        <w:tabs>
          <w:tab w:val="right" w:leader="dot" w:pos="8640"/>
        </w:tabs>
        <w:spacing w:beforeAutospacing="0" w:afterAutospacing="0" w:line="360" w:lineRule="auto"/>
        <w:rPr>
          <w:rFonts w:hint="eastAsia" w:ascii="宋体" w:hAnsi="宋体" w:eastAsia="宋体" w:cs="宋体"/>
          <w:b/>
          <w:bCs/>
          <w:sz w:val="24"/>
          <w:szCs w:val="24"/>
          <w:lang w:eastAsia="zh-CN"/>
        </w:rPr>
      </w:pPr>
      <w:r>
        <w:fldChar w:fldCharType="begin"/>
      </w:r>
      <w:r>
        <w:instrText xml:space="preserve"> HYPERLINK \l "_Toc21887" </w:instrText>
      </w:r>
      <w:r>
        <w:fldChar w:fldCharType="separate"/>
      </w:r>
      <w:r>
        <w:rPr>
          <w:rFonts w:hint="eastAsia" w:ascii="宋体" w:hAnsi="宋体" w:eastAsia="宋体" w:cs="宋体"/>
          <w:b/>
          <w:bCs/>
          <w:sz w:val="24"/>
          <w:szCs w:val="24"/>
        </w:rPr>
        <w:t>第五部分 合同书</w:t>
      </w:r>
      <w:r>
        <w:rPr>
          <w:rFonts w:hint="eastAsia" w:ascii="宋体" w:hAnsi="宋体" w:cs="宋体"/>
          <w:b/>
          <w:bCs/>
          <w:sz w:val="24"/>
          <w:szCs w:val="24"/>
          <w:lang w:val="en-US" w:eastAsia="zh-CN"/>
        </w:rPr>
        <w:t>...................................................5</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1</w:t>
      </w:r>
    </w:p>
    <w:p w14:paraId="7A698DDC">
      <w:pPr>
        <w:pStyle w:val="165"/>
        <w:tabs>
          <w:tab w:val="right" w:leader="dot" w:pos="8640"/>
        </w:tabs>
        <w:spacing w:beforeAutospacing="0" w:afterAutospacing="0" w:line="360" w:lineRule="auto"/>
        <w:rPr>
          <w:rFonts w:hint="eastAsia" w:ascii="宋体" w:hAnsi="宋体" w:eastAsia="宋体" w:cs="宋体"/>
          <w:b/>
          <w:bCs/>
          <w:sz w:val="24"/>
          <w:szCs w:val="24"/>
          <w:lang w:eastAsia="zh-CN"/>
        </w:rPr>
      </w:pPr>
      <w:r>
        <w:fldChar w:fldCharType="begin"/>
      </w:r>
      <w:r>
        <w:instrText xml:space="preserve"> HYPERLINK \l "_Toc30400" </w:instrText>
      </w:r>
      <w:r>
        <w:fldChar w:fldCharType="separate"/>
      </w:r>
      <w:r>
        <w:rPr>
          <w:rFonts w:hint="eastAsia" w:ascii="宋体" w:hAnsi="宋体" w:eastAsia="宋体" w:cs="宋体"/>
          <w:b/>
          <w:bCs/>
          <w:sz w:val="24"/>
          <w:szCs w:val="24"/>
        </w:rPr>
        <w:t>第六部分 投标文件格式</w:t>
      </w:r>
      <w:r>
        <w:rPr>
          <w:rFonts w:hint="eastAsia" w:ascii="宋体" w:hAnsi="宋体" w:cs="宋体"/>
          <w:b/>
          <w:bCs/>
          <w:sz w:val="24"/>
          <w:szCs w:val="24"/>
          <w:lang w:val="en-US" w:eastAsia="zh-CN"/>
        </w:rPr>
        <w:t>.............................................5</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7</w:t>
      </w:r>
    </w:p>
    <w:p w14:paraId="4FB9B852">
      <w:pPr>
        <w:spacing w:beforeAutospacing="0" w:afterAutospacing="0" w:line="360" w:lineRule="auto"/>
        <w:rPr>
          <w:rFonts w:ascii="宋体" w:hAnsi="宋体" w:eastAsia="宋体" w:cs="宋体"/>
          <w:b/>
          <w:bCs/>
          <w:sz w:val="24"/>
          <w:szCs w:val="24"/>
        </w:rPr>
      </w:pPr>
      <w:r>
        <w:rPr>
          <w:rFonts w:hint="eastAsia" w:ascii="宋体" w:hAnsi="宋体" w:eastAsia="宋体" w:cs="宋体"/>
          <w:b/>
          <w:bCs/>
          <w:sz w:val="24"/>
          <w:szCs w:val="24"/>
        </w:rPr>
        <w:fldChar w:fldCharType="end"/>
      </w:r>
    </w:p>
    <w:p w14:paraId="7EBC0BF4">
      <w:pPr>
        <w:spacing w:beforeAutospacing="0" w:afterAutospacing="0" w:line="360" w:lineRule="auto"/>
        <w:rPr>
          <w:rFonts w:ascii="宋体" w:hAnsi="宋体" w:eastAsia="宋体" w:cs="宋体"/>
        </w:rPr>
      </w:pPr>
    </w:p>
    <w:p w14:paraId="154B0391">
      <w:pPr>
        <w:spacing w:beforeAutospacing="0" w:afterAutospacing="0" w:line="360" w:lineRule="auto"/>
        <w:rPr>
          <w:rFonts w:ascii="宋体" w:hAnsi="宋体" w:eastAsia="宋体" w:cs="宋体"/>
        </w:rPr>
      </w:pPr>
    </w:p>
    <w:p w14:paraId="5032CE3C">
      <w:pPr>
        <w:spacing w:beforeAutospacing="0" w:afterAutospacing="0" w:line="360" w:lineRule="auto"/>
        <w:rPr>
          <w:rFonts w:ascii="宋体" w:hAnsi="宋体" w:eastAsia="宋体" w:cs="宋体"/>
        </w:rPr>
      </w:pPr>
    </w:p>
    <w:p w14:paraId="7B1CC774">
      <w:pPr>
        <w:pStyle w:val="109"/>
        <w:spacing w:beforeAutospacing="0" w:afterAutospacing="0" w:line="360" w:lineRule="auto"/>
        <w:rPr>
          <w:rFonts w:ascii="宋体" w:hAnsi="宋体" w:eastAsia="宋体" w:cs="宋体"/>
        </w:rPr>
      </w:pPr>
    </w:p>
    <w:p w14:paraId="43B0416A">
      <w:pPr>
        <w:pStyle w:val="109"/>
        <w:spacing w:beforeAutospacing="0" w:afterAutospacing="0" w:line="360" w:lineRule="auto"/>
        <w:rPr>
          <w:rFonts w:ascii="宋体" w:hAnsi="宋体" w:eastAsia="宋体" w:cs="宋体"/>
        </w:rPr>
      </w:pPr>
    </w:p>
    <w:p w14:paraId="2512686A">
      <w:pPr>
        <w:pStyle w:val="109"/>
        <w:spacing w:beforeAutospacing="0" w:afterAutospacing="0" w:line="360" w:lineRule="auto"/>
        <w:rPr>
          <w:rFonts w:ascii="宋体" w:hAnsi="宋体" w:eastAsia="宋体" w:cs="宋体"/>
        </w:rPr>
      </w:pPr>
    </w:p>
    <w:p w14:paraId="33D4EFE8">
      <w:pPr>
        <w:pStyle w:val="109"/>
        <w:spacing w:beforeAutospacing="0" w:afterAutospacing="0" w:line="360" w:lineRule="auto"/>
        <w:rPr>
          <w:rFonts w:ascii="宋体" w:hAnsi="宋体" w:eastAsia="宋体" w:cs="宋体"/>
        </w:rPr>
      </w:pPr>
    </w:p>
    <w:p w14:paraId="72595C79">
      <w:pPr>
        <w:pStyle w:val="109"/>
        <w:spacing w:beforeAutospacing="0" w:afterAutospacing="0" w:line="360" w:lineRule="auto"/>
        <w:rPr>
          <w:rFonts w:ascii="宋体" w:hAnsi="宋体" w:eastAsia="宋体" w:cs="宋体"/>
        </w:rPr>
      </w:pPr>
    </w:p>
    <w:p w14:paraId="47C8A1A0">
      <w:pPr>
        <w:pStyle w:val="109"/>
        <w:spacing w:beforeAutospacing="0" w:afterAutospacing="0" w:line="360" w:lineRule="auto"/>
        <w:rPr>
          <w:rFonts w:ascii="宋体" w:hAnsi="宋体" w:eastAsia="宋体" w:cs="宋体"/>
        </w:rPr>
      </w:pPr>
    </w:p>
    <w:p w14:paraId="040D55C8">
      <w:pPr>
        <w:pStyle w:val="109"/>
        <w:spacing w:beforeAutospacing="0" w:afterAutospacing="0" w:line="360" w:lineRule="auto"/>
        <w:rPr>
          <w:rFonts w:ascii="宋体" w:hAnsi="宋体" w:eastAsia="宋体" w:cs="宋体"/>
        </w:rPr>
      </w:pPr>
    </w:p>
    <w:p w14:paraId="4D23BF7A">
      <w:pPr>
        <w:pStyle w:val="109"/>
        <w:spacing w:beforeAutospacing="0" w:afterAutospacing="0" w:line="360" w:lineRule="auto"/>
        <w:rPr>
          <w:rFonts w:ascii="宋体" w:hAnsi="宋体" w:eastAsia="宋体" w:cs="宋体"/>
        </w:rPr>
      </w:pPr>
    </w:p>
    <w:p w14:paraId="67B67951">
      <w:pPr>
        <w:pStyle w:val="109"/>
        <w:spacing w:beforeAutospacing="0" w:afterAutospacing="0" w:line="360" w:lineRule="auto"/>
        <w:rPr>
          <w:rFonts w:ascii="宋体" w:hAnsi="宋体" w:eastAsia="宋体" w:cs="宋体"/>
        </w:rPr>
      </w:pPr>
    </w:p>
    <w:p w14:paraId="623FBC13">
      <w:pPr>
        <w:pStyle w:val="109"/>
        <w:spacing w:beforeAutospacing="0" w:afterAutospacing="0" w:line="360" w:lineRule="auto"/>
        <w:rPr>
          <w:rFonts w:ascii="宋体" w:hAnsi="宋体" w:eastAsia="宋体" w:cs="宋体"/>
        </w:rPr>
      </w:pPr>
    </w:p>
    <w:p w14:paraId="5F2616EC">
      <w:pPr>
        <w:pStyle w:val="109"/>
        <w:spacing w:beforeAutospacing="0" w:afterAutospacing="0" w:line="360" w:lineRule="auto"/>
        <w:rPr>
          <w:rFonts w:ascii="宋体" w:hAnsi="宋体" w:eastAsia="宋体" w:cs="宋体"/>
        </w:rPr>
      </w:pPr>
    </w:p>
    <w:p w14:paraId="7B534E91">
      <w:pPr>
        <w:pStyle w:val="109"/>
        <w:spacing w:beforeAutospacing="0" w:afterAutospacing="0" w:line="360" w:lineRule="auto"/>
        <w:rPr>
          <w:rFonts w:ascii="宋体" w:hAnsi="宋体" w:eastAsia="宋体" w:cs="宋体"/>
        </w:rPr>
      </w:pPr>
    </w:p>
    <w:p w14:paraId="7FCF2E24">
      <w:pPr>
        <w:pStyle w:val="109"/>
        <w:spacing w:beforeAutospacing="0" w:afterAutospacing="0" w:line="360" w:lineRule="auto"/>
        <w:rPr>
          <w:rFonts w:ascii="宋体" w:hAnsi="宋体" w:eastAsia="宋体" w:cs="宋体"/>
        </w:rPr>
      </w:pPr>
    </w:p>
    <w:p w14:paraId="69D7FA74">
      <w:pPr>
        <w:pStyle w:val="109"/>
        <w:spacing w:beforeAutospacing="0" w:afterAutospacing="0" w:line="360" w:lineRule="auto"/>
        <w:rPr>
          <w:rFonts w:ascii="宋体" w:hAnsi="宋体" w:eastAsia="宋体" w:cs="宋体"/>
        </w:rPr>
      </w:pPr>
    </w:p>
    <w:p w14:paraId="06BE4761">
      <w:pPr>
        <w:pStyle w:val="109"/>
        <w:spacing w:beforeAutospacing="0" w:afterAutospacing="0" w:line="360" w:lineRule="auto"/>
        <w:rPr>
          <w:rFonts w:ascii="宋体" w:hAnsi="宋体" w:eastAsia="宋体" w:cs="宋体"/>
        </w:rPr>
      </w:pPr>
    </w:p>
    <w:p w14:paraId="69932072">
      <w:pPr>
        <w:pStyle w:val="109"/>
        <w:spacing w:beforeAutospacing="0" w:afterAutospacing="0" w:line="360" w:lineRule="auto"/>
        <w:rPr>
          <w:rFonts w:ascii="宋体" w:hAnsi="宋体" w:eastAsia="宋体" w:cs="宋体"/>
        </w:rPr>
      </w:pPr>
    </w:p>
    <w:p w14:paraId="25AC42D8">
      <w:pPr>
        <w:pStyle w:val="2"/>
        <w:autoSpaceDE w:val="0"/>
        <w:autoSpaceDN w:val="0"/>
        <w:adjustRightInd w:val="0"/>
        <w:snapToGrid w:val="0"/>
        <w:spacing w:before="40" w:beforeAutospacing="0" w:after="40" w:afterAutospacing="0" w:line="480" w:lineRule="auto"/>
        <w:jc w:val="center"/>
        <w:textAlignment w:val="baseline"/>
        <w:rPr>
          <w:rFonts w:ascii="宋体" w:hAnsi="宋体" w:eastAsia="宋体" w:cs="宋体"/>
          <w:b/>
          <w:bCs/>
          <w:sz w:val="36"/>
          <w:szCs w:val="36"/>
        </w:rPr>
        <w:sectPr>
          <w:pgSz w:w="11905" w:h="16838"/>
          <w:pgMar w:top="1440" w:right="1803" w:bottom="1440" w:left="1803" w:header="283" w:footer="1077" w:gutter="0"/>
          <w:pgNumType w:fmt="decimal"/>
          <w:cols w:space="0" w:num="1"/>
          <w:rtlGutter w:val="0"/>
          <w:docGrid w:type="lines" w:linePitch="317" w:charSpace="0"/>
        </w:sectPr>
      </w:pPr>
    </w:p>
    <w:p w14:paraId="58E8A60B">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auto"/>
        <w:jc w:val="center"/>
        <w:textAlignment w:val="baseline"/>
        <w:rPr>
          <w:rFonts w:ascii="宋体" w:hAnsi="宋体" w:eastAsia="宋体" w:cs="宋体"/>
          <w:b/>
          <w:bCs/>
        </w:rPr>
      </w:pPr>
      <w:r>
        <w:rPr>
          <w:rFonts w:hint="eastAsia" w:ascii="宋体" w:hAnsi="宋体" w:eastAsia="宋体" w:cs="宋体"/>
          <w:b/>
          <w:bCs/>
          <w:sz w:val="36"/>
          <w:szCs w:val="36"/>
        </w:rPr>
        <w:t>第一部分  投标邀请</w:t>
      </w:r>
    </w:p>
    <w:p w14:paraId="51DF0F25">
      <w:pPr>
        <w:pStyle w:val="3"/>
        <w:spacing w:before="0" w:beforeAutospacing="0" w:after="0" w:afterAutospacing="0" w:line="480" w:lineRule="exact"/>
        <w:rPr>
          <w:rFonts w:cs="宋体"/>
          <w:b/>
          <w:bCs/>
          <w:color w:val="auto"/>
          <w:sz w:val="21"/>
          <w:szCs w:val="21"/>
        </w:rPr>
      </w:pPr>
      <w:bookmarkStart w:id="0" w:name="_Toc35393621"/>
      <w:bookmarkStart w:id="1" w:name="_Toc28359079"/>
      <w:bookmarkStart w:id="2" w:name="_Toc35393790"/>
      <w:bookmarkStart w:id="3" w:name="_Toc28359002"/>
      <w:bookmarkStart w:id="4" w:name="_Hlk24379207"/>
      <w:r>
        <w:rPr>
          <w:rFonts w:hint="eastAsia" w:cs="宋体"/>
          <w:b/>
          <w:bCs/>
          <w:color w:val="auto"/>
          <w:sz w:val="21"/>
          <w:szCs w:val="21"/>
        </w:rPr>
        <w:t>项目概况</w:t>
      </w:r>
    </w:p>
    <w:p w14:paraId="3CABF81B">
      <w:pPr>
        <w:pStyle w:val="3"/>
        <w:spacing w:before="0" w:beforeAutospacing="0" w:after="0" w:afterAutospacing="0" w:line="480" w:lineRule="exact"/>
        <w:ind w:firstLine="420" w:firstLineChars="200"/>
        <w:rPr>
          <w:rFonts w:cs="宋体"/>
          <w:color w:val="auto"/>
          <w:sz w:val="21"/>
          <w:szCs w:val="21"/>
        </w:rPr>
      </w:pPr>
      <w:r>
        <w:rPr>
          <w:rFonts w:hint="eastAsia" w:cs="宋体"/>
          <w:color w:val="auto"/>
          <w:sz w:val="21"/>
          <w:szCs w:val="21"/>
          <w:u w:val="single"/>
          <w:lang w:eastAsia="zh-CN"/>
        </w:rPr>
        <w:t>新丰县公共智慧体系配套建设项目</w:t>
      </w:r>
      <w:r>
        <w:rPr>
          <w:rFonts w:hint="eastAsia" w:cs="宋体"/>
          <w:color w:val="auto"/>
          <w:sz w:val="21"/>
          <w:szCs w:val="21"/>
        </w:rPr>
        <w:t>的潜在投标人应在</w:t>
      </w:r>
      <w:r>
        <w:rPr>
          <w:rFonts w:hint="eastAsia" w:cs="宋体"/>
          <w:color w:val="auto"/>
          <w:sz w:val="21"/>
          <w:szCs w:val="21"/>
          <w:u w:val="single"/>
        </w:rPr>
        <w:t>（</w:t>
      </w:r>
      <w:r>
        <w:rPr>
          <w:rFonts w:hint="eastAsia" w:cs="宋体"/>
          <w:color w:val="auto"/>
          <w:sz w:val="21"/>
          <w:szCs w:val="21"/>
          <w:u w:val="single"/>
          <w:lang w:val="en-US" w:eastAsia="zh-CN"/>
        </w:rPr>
        <w:t>韶关市公共资源交易一体化平台（网址</w:t>
      </w:r>
      <w:r>
        <w:rPr>
          <w:rFonts w:hint="eastAsia" w:cs="宋体"/>
          <w:color w:val="000000" w:themeColor="text1"/>
          <w:sz w:val="21"/>
          <w:szCs w:val="21"/>
          <w:u w:val="single"/>
          <w:lang w:val="en-US" w:eastAsia="zh-CN"/>
          <w14:textFill>
            <w14:solidFill>
              <w14:schemeClr w14:val="tx1"/>
            </w14:solidFill>
          </w14:textFill>
        </w:rPr>
        <w:t>：</w:t>
      </w:r>
      <w:r>
        <w:rPr>
          <w:rFonts w:hint="eastAsia" w:cs="宋体"/>
          <w:color w:val="000000" w:themeColor="text1"/>
          <w:sz w:val="21"/>
          <w:szCs w:val="21"/>
          <w:u w:val="single"/>
          <w:lang w:val="en-US" w:eastAsia="zh-CN"/>
          <w14:textFill>
            <w14:solidFill>
              <w14:schemeClr w14:val="tx1"/>
            </w14:solidFill>
          </w14:textFill>
        </w:rPr>
        <w:fldChar w:fldCharType="begin"/>
      </w:r>
      <w:r>
        <w:rPr>
          <w:rFonts w:hint="eastAsia" w:cs="宋体"/>
          <w:color w:val="000000" w:themeColor="text1"/>
          <w:sz w:val="21"/>
          <w:szCs w:val="21"/>
          <w:u w:val="single"/>
          <w:lang w:val="en-US" w:eastAsia="zh-CN"/>
          <w14:textFill>
            <w14:solidFill>
              <w14:schemeClr w14:val="tx1"/>
            </w14:solidFill>
          </w14:textFill>
        </w:rPr>
        <w:instrText xml:space="preserve"> HYPERLINK "http://portal.ythpt.sg.gov.cn）或产权招标交易系统）获取招标文件，并于2023年" </w:instrText>
      </w:r>
      <w:r>
        <w:rPr>
          <w:rFonts w:hint="eastAsia" w:cs="宋体"/>
          <w:color w:val="000000" w:themeColor="text1"/>
          <w:sz w:val="21"/>
          <w:szCs w:val="21"/>
          <w:u w:val="single"/>
          <w:lang w:val="en-US" w:eastAsia="zh-CN"/>
          <w14:textFill>
            <w14:solidFill>
              <w14:schemeClr w14:val="tx1"/>
            </w14:solidFill>
          </w14:textFill>
        </w:rPr>
        <w:fldChar w:fldCharType="separate"/>
      </w:r>
      <w:r>
        <w:rPr>
          <w:rStyle w:val="54"/>
          <w:rFonts w:hint="eastAsia" w:cs="宋体"/>
          <w:color w:val="000000" w:themeColor="text1"/>
          <w:sz w:val="21"/>
          <w:szCs w:val="21"/>
          <w:lang w:val="en-US" w:eastAsia="zh-CN"/>
          <w14:textFill>
            <w14:solidFill>
              <w14:schemeClr w14:val="tx1"/>
            </w14:solidFill>
          </w14:textFill>
        </w:rPr>
        <w:t>http://portal.ythpt.sg.gov.cn）或产权招标交易系统</w:t>
      </w:r>
      <w:r>
        <w:rPr>
          <w:rStyle w:val="54"/>
          <w:rFonts w:hint="eastAsia" w:cs="宋体"/>
          <w:color w:val="000000" w:themeColor="text1"/>
          <w:sz w:val="21"/>
          <w:szCs w:val="21"/>
          <w14:textFill>
            <w14:solidFill>
              <w14:schemeClr w14:val="tx1"/>
            </w14:solidFill>
          </w14:textFill>
        </w:rPr>
        <w:t>）获取招标文件，并于202</w:t>
      </w:r>
      <w:r>
        <w:rPr>
          <w:rStyle w:val="54"/>
          <w:rFonts w:hint="eastAsia" w:cs="宋体"/>
          <w:color w:val="000000" w:themeColor="text1"/>
          <w:sz w:val="21"/>
          <w:szCs w:val="21"/>
          <w:lang w:val="en-US" w:eastAsia="zh-CN"/>
          <w14:textFill>
            <w14:solidFill>
              <w14:schemeClr w14:val="tx1"/>
            </w14:solidFill>
          </w14:textFill>
        </w:rPr>
        <w:t>5</w:t>
      </w:r>
      <w:r>
        <w:rPr>
          <w:rStyle w:val="54"/>
          <w:rFonts w:hint="eastAsia" w:cs="宋体"/>
          <w:color w:val="000000" w:themeColor="text1"/>
          <w:sz w:val="21"/>
          <w:szCs w:val="21"/>
          <w14:textFill>
            <w14:solidFill>
              <w14:schemeClr w14:val="tx1"/>
            </w14:solidFill>
          </w14:textFill>
        </w:rPr>
        <w:t>年</w:t>
      </w:r>
      <w:r>
        <w:rPr>
          <w:rFonts w:hint="eastAsia" w:cs="宋体"/>
          <w:color w:val="000000" w:themeColor="text1"/>
          <w:sz w:val="21"/>
          <w:szCs w:val="21"/>
          <w:u w:val="single"/>
          <w:lang w:val="en-US" w:eastAsia="zh-CN"/>
          <w14:textFill>
            <w14:solidFill>
              <w14:schemeClr w14:val="tx1"/>
            </w14:solidFill>
          </w14:textFill>
        </w:rPr>
        <w:fldChar w:fldCharType="end"/>
      </w:r>
      <w:r>
        <w:rPr>
          <w:rFonts w:hint="eastAsia" w:cs="宋体"/>
          <w:color w:val="000000" w:themeColor="text1"/>
          <w:sz w:val="21"/>
          <w:szCs w:val="21"/>
          <w:u w:val="single"/>
          <w:lang w:val="en-US" w:eastAsia="zh-CN"/>
          <w14:textFill>
            <w14:solidFill>
              <w14:schemeClr w14:val="tx1"/>
            </w14:solidFill>
          </w14:textFill>
        </w:rPr>
        <w:t>10</w:t>
      </w:r>
      <w:r>
        <w:rPr>
          <w:rFonts w:hint="eastAsia" w:cs="宋体"/>
          <w:color w:val="000000" w:themeColor="text1"/>
          <w:sz w:val="21"/>
          <w:szCs w:val="21"/>
          <w:u w:val="single"/>
          <w14:textFill>
            <w14:solidFill>
              <w14:schemeClr w14:val="tx1"/>
            </w14:solidFill>
          </w14:textFill>
        </w:rPr>
        <w:t>月</w:t>
      </w:r>
      <w:r>
        <w:rPr>
          <w:rFonts w:hint="eastAsia" w:cs="宋体"/>
          <w:color w:val="000000" w:themeColor="text1"/>
          <w:sz w:val="21"/>
          <w:szCs w:val="21"/>
          <w:u w:val="single"/>
          <w:lang w:val="en-US" w:eastAsia="zh-CN"/>
          <w14:textFill>
            <w14:solidFill>
              <w14:schemeClr w14:val="tx1"/>
            </w14:solidFill>
          </w14:textFill>
        </w:rPr>
        <w:t>23</w:t>
      </w:r>
      <w:r>
        <w:rPr>
          <w:rFonts w:hint="eastAsia" w:cs="宋体"/>
          <w:color w:val="000000" w:themeColor="text1"/>
          <w:sz w:val="21"/>
          <w:szCs w:val="21"/>
          <w:u w:val="single"/>
          <w14:textFill>
            <w14:solidFill>
              <w14:schemeClr w14:val="tx1"/>
            </w14:solidFill>
          </w14:textFill>
        </w:rPr>
        <w:t>日</w:t>
      </w:r>
      <w:r>
        <w:rPr>
          <w:rFonts w:hint="eastAsia" w:cs="宋体"/>
          <w:color w:val="000000" w:themeColor="text1"/>
          <w:sz w:val="21"/>
          <w:szCs w:val="21"/>
          <w:u w:val="single"/>
          <w:lang w:val="en-US" w:eastAsia="zh-CN"/>
          <w14:textFill>
            <w14:solidFill>
              <w14:schemeClr w14:val="tx1"/>
            </w14:solidFill>
          </w14:textFill>
        </w:rPr>
        <w:t>09</w:t>
      </w:r>
      <w:r>
        <w:rPr>
          <w:rFonts w:hint="eastAsia" w:cs="宋体"/>
          <w:color w:val="000000" w:themeColor="text1"/>
          <w:sz w:val="21"/>
          <w:szCs w:val="21"/>
          <w:u w:val="single"/>
          <w14:textFill>
            <w14:solidFill>
              <w14:schemeClr w14:val="tx1"/>
            </w14:solidFill>
          </w14:textFill>
        </w:rPr>
        <w:t>点</w:t>
      </w:r>
      <w:r>
        <w:rPr>
          <w:rFonts w:hint="eastAsia" w:cs="宋体"/>
          <w:color w:val="000000" w:themeColor="text1"/>
          <w:sz w:val="21"/>
          <w:szCs w:val="21"/>
          <w:u w:val="single"/>
          <w:lang w:val="en-US" w:eastAsia="zh-CN"/>
          <w14:textFill>
            <w14:solidFill>
              <w14:schemeClr w14:val="tx1"/>
            </w14:solidFill>
          </w14:textFill>
        </w:rPr>
        <w:t>30</w:t>
      </w:r>
      <w:r>
        <w:rPr>
          <w:rFonts w:hint="eastAsia" w:cs="宋体"/>
          <w:color w:val="000000" w:themeColor="text1"/>
          <w:sz w:val="21"/>
          <w:szCs w:val="21"/>
          <w:u w:val="single"/>
          <w14:textFill>
            <w14:solidFill>
              <w14:schemeClr w14:val="tx1"/>
            </w14:solidFill>
          </w14:textFill>
        </w:rPr>
        <w:t>分（</w:t>
      </w:r>
      <w:r>
        <w:rPr>
          <w:rFonts w:hint="eastAsia" w:cs="宋体"/>
          <w:color w:val="auto"/>
          <w:sz w:val="21"/>
          <w:szCs w:val="21"/>
          <w:u w:val="single"/>
        </w:rPr>
        <w:t>北京时间）</w:t>
      </w:r>
      <w:r>
        <w:rPr>
          <w:rFonts w:hint="eastAsia" w:cs="宋体"/>
          <w:color w:val="auto"/>
          <w:sz w:val="21"/>
          <w:szCs w:val="21"/>
        </w:rPr>
        <w:t>前递交投标文件。</w:t>
      </w:r>
    </w:p>
    <w:bookmarkEnd w:id="0"/>
    <w:bookmarkEnd w:id="1"/>
    <w:bookmarkEnd w:id="2"/>
    <w:bookmarkEnd w:id="3"/>
    <w:p w14:paraId="3C46C703">
      <w:pPr>
        <w:pStyle w:val="3"/>
        <w:spacing w:before="0" w:beforeAutospacing="0" w:after="0" w:afterAutospacing="0" w:line="480" w:lineRule="exact"/>
        <w:rPr>
          <w:rFonts w:cs="宋体"/>
          <w:b/>
          <w:bCs/>
          <w:color w:val="auto"/>
          <w:sz w:val="21"/>
          <w:szCs w:val="21"/>
        </w:rPr>
      </w:pPr>
      <w:r>
        <w:rPr>
          <w:rFonts w:hint="eastAsia" w:cs="宋体"/>
          <w:b/>
          <w:bCs/>
          <w:color w:val="auto"/>
          <w:sz w:val="21"/>
          <w:szCs w:val="21"/>
        </w:rPr>
        <w:t>一、项目基本情况</w:t>
      </w:r>
    </w:p>
    <w:p w14:paraId="06B2C6CC">
      <w:pPr>
        <w:pStyle w:val="45"/>
        <w:adjustRightInd/>
        <w:spacing w:beforeAutospacing="0" w:afterAutospacing="0" w:line="36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1.项目</w:t>
      </w:r>
      <w:r>
        <w:rPr>
          <w:rFonts w:hint="eastAsia" w:ascii="Times New Roman" w:hAnsi="Times New Roman" w:eastAsia="宋体" w:cs="宋体"/>
          <w:color w:val="auto"/>
          <w:kern w:val="2"/>
          <w:sz w:val="21"/>
          <w:szCs w:val="21"/>
          <w:u w:val="none"/>
          <w:lang w:val="en-US" w:eastAsia="zh-CN" w:bidi="ar-SA"/>
        </w:rPr>
        <w:t>编号</w:t>
      </w:r>
      <w:r>
        <w:rPr>
          <w:rFonts w:hint="eastAsia" w:ascii="宋体" w:hAnsi="宋体" w:eastAsia="宋体" w:cs="宋体"/>
          <w:color w:val="auto"/>
          <w:kern w:val="2"/>
          <w:sz w:val="21"/>
          <w:szCs w:val="21"/>
          <w:u w:val="none"/>
          <w:lang w:val="en-US" w:eastAsia="zh-CN" w:bidi="ar-SA"/>
        </w:rPr>
        <w:t xml:space="preserve">：HXZB2509087FG </w:t>
      </w:r>
    </w:p>
    <w:p w14:paraId="08EC3014">
      <w:pPr>
        <w:pStyle w:val="17"/>
        <w:spacing w:beforeAutospacing="0" w:afterAutospacing="0" w:line="360" w:lineRule="auto"/>
        <w:rPr>
          <w:rFonts w:hint="default" w:eastAsia="宋体"/>
          <w:lang w:val="en-US" w:eastAsia="zh-CN"/>
        </w:rPr>
      </w:pPr>
      <w:r>
        <w:rPr>
          <w:rFonts w:hint="eastAsia" w:ascii="宋体" w:hAnsi="宋体" w:eastAsia="宋体" w:cs="宋体"/>
          <w:kern w:val="2"/>
          <w:sz w:val="21"/>
          <w:szCs w:val="21"/>
          <w:lang w:val="en-US" w:eastAsia="zh-CN" w:bidi="ar-SA"/>
        </w:rPr>
        <w:t>2.项目名称：</w:t>
      </w:r>
      <w:r>
        <w:rPr>
          <w:rFonts w:hint="eastAsia" w:cs="宋体"/>
          <w:color w:val="auto"/>
          <w:sz w:val="21"/>
          <w:szCs w:val="21"/>
          <w:u w:val="none"/>
          <w:lang w:eastAsia="zh-CN"/>
        </w:rPr>
        <w:t>新丰县公共智慧体系配套建设项目</w:t>
      </w:r>
    </w:p>
    <w:bookmarkEnd w:id="4"/>
    <w:p w14:paraId="091340C7">
      <w:pPr>
        <w:pStyle w:val="45"/>
        <w:adjustRightInd/>
        <w:spacing w:beforeAutospacing="0" w:afterAutospacing="0" w:line="36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3.采购方式：公开招标</w:t>
      </w:r>
    </w:p>
    <w:p w14:paraId="4054E91B">
      <w:pPr>
        <w:adjustRightInd/>
        <w:spacing w:beforeAutospacing="0" w:afterAutospacing="0" w:line="360" w:lineRule="auto"/>
        <w:textAlignment w:val="auto"/>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4.</w:t>
      </w:r>
      <w:r>
        <w:rPr>
          <w:rFonts w:hint="eastAsia" w:ascii="宋体" w:hAnsi="宋体" w:cs="宋体"/>
          <w:kern w:val="2"/>
          <w:sz w:val="21"/>
          <w:szCs w:val="21"/>
          <w:lang w:val="en-US" w:eastAsia="zh-CN" w:bidi="ar-SA"/>
        </w:rPr>
        <w:t>最高限价：150000000元</w:t>
      </w:r>
    </w:p>
    <w:p w14:paraId="31EDC9E1">
      <w:pPr>
        <w:adjustRightInd/>
        <w:spacing w:beforeAutospacing="0" w:afterAutospacing="0" w:line="360" w:lineRule="auto"/>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5.</w:t>
      </w:r>
      <w:r>
        <w:rPr>
          <w:rFonts w:hint="eastAsia" w:ascii="宋体" w:hAnsi="宋体" w:eastAsia="宋体" w:cs="宋体"/>
          <w:kern w:val="2"/>
          <w:sz w:val="21"/>
          <w:szCs w:val="21"/>
          <w:lang w:val="en-US" w:eastAsia="zh-CN" w:bidi="ar-SA"/>
        </w:rPr>
        <w:t>项目需求：</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189"/>
        <w:gridCol w:w="1039"/>
        <w:gridCol w:w="1550"/>
        <w:gridCol w:w="1857"/>
        <w:gridCol w:w="1329"/>
        <w:gridCol w:w="860"/>
      </w:tblGrid>
      <w:tr w14:paraId="21D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04" w:type="pct"/>
            <w:vAlign w:val="center"/>
          </w:tcPr>
          <w:p w14:paraId="3E063955">
            <w:pPr>
              <w:spacing w:beforeAutospacing="0" w:afterAutospacing="0" w:line="480" w:lineRule="exact"/>
              <w:jc w:val="center"/>
              <w:rPr>
                <w:rFonts w:ascii="宋体" w:hAnsi="宋体"/>
                <w:b/>
                <w:bCs/>
                <w:szCs w:val="21"/>
              </w:rPr>
            </w:pPr>
            <w:r>
              <w:rPr>
                <w:rFonts w:hint="eastAsia" w:ascii="宋体" w:hAnsi="宋体"/>
                <w:b/>
                <w:bCs/>
                <w:szCs w:val="21"/>
              </w:rPr>
              <w:t>序号</w:t>
            </w:r>
          </w:p>
        </w:tc>
        <w:tc>
          <w:tcPr>
            <w:tcW w:w="698" w:type="pct"/>
            <w:vAlign w:val="center"/>
          </w:tcPr>
          <w:p w14:paraId="151F2F63">
            <w:pPr>
              <w:spacing w:beforeAutospacing="0" w:afterAutospacing="0" w:line="480" w:lineRule="exact"/>
              <w:jc w:val="center"/>
              <w:rPr>
                <w:rFonts w:hint="eastAsia" w:ascii="宋体" w:hAnsi="宋体" w:eastAsia="宋体"/>
                <w:b/>
                <w:bCs/>
                <w:szCs w:val="21"/>
                <w:highlight w:val="none"/>
                <w:lang w:val="en-US" w:eastAsia="zh-CN"/>
              </w:rPr>
            </w:pPr>
            <w:r>
              <w:rPr>
                <w:rFonts w:hint="eastAsia" w:ascii="宋体" w:hAnsi="宋体"/>
                <w:b/>
                <w:bCs/>
                <w:szCs w:val="21"/>
                <w:highlight w:val="none"/>
                <w:lang w:val="en-US" w:eastAsia="zh-CN"/>
              </w:rPr>
              <w:t>项目名称</w:t>
            </w:r>
          </w:p>
        </w:tc>
        <w:tc>
          <w:tcPr>
            <w:tcW w:w="610" w:type="pct"/>
            <w:vAlign w:val="center"/>
          </w:tcPr>
          <w:p w14:paraId="0EDF644F">
            <w:pPr>
              <w:spacing w:beforeAutospacing="0" w:afterAutospacing="0" w:line="480" w:lineRule="exact"/>
              <w:jc w:val="center"/>
              <w:rPr>
                <w:rFonts w:hint="eastAsia" w:ascii="宋体" w:hAnsi="宋体"/>
                <w:b/>
                <w:bCs/>
                <w:szCs w:val="21"/>
                <w:highlight w:val="none"/>
              </w:rPr>
            </w:pPr>
            <w:r>
              <w:rPr>
                <w:rFonts w:hint="eastAsia" w:ascii="宋体" w:hAnsi="宋体"/>
                <w:b/>
                <w:bCs/>
                <w:szCs w:val="21"/>
                <w:highlight w:val="none"/>
              </w:rPr>
              <w:t>数量</w:t>
            </w:r>
          </w:p>
          <w:p w14:paraId="08841FA8">
            <w:pPr>
              <w:spacing w:beforeAutospacing="0" w:afterAutospacing="0" w:line="480" w:lineRule="exact"/>
              <w:jc w:val="center"/>
              <w:rPr>
                <w:rFonts w:ascii="宋体" w:hAnsi="宋体"/>
                <w:b/>
                <w:bCs/>
                <w:szCs w:val="21"/>
                <w:highlight w:val="none"/>
              </w:rPr>
            </w:pPr>
            <w:r>
              <w:rPr>
                <w:rFonts w:hint="eastAsia" w:ascii="宋体" w:hAnsi="宋体"/>
                <w:b/>
                <w:bCs/>
                <w:szCs w:val="21"/>
                <w:highlight w:val="none"/>
              </w:rPr>
              <w:t>（单位）</w:t>
            </w:r>
          </w:p>
        </w:tc>
        <w:tc>
          <w:tcPr>
            <w:tcW w:w="910" w:type="pct"/>
            <w:vAlign w:val="center"/>
          </w:tcPr>
          <w:p w14:paraId="0AD60FDA">
            <w:pPr>
              <w:spacing w:beforeAutospacing="0" w:afterAutospacing="0" w:line="480" w:lineRule="exact"/>
              <w:jc w:val="center"/>
              <w:rPr>
                <w:rFonts w:hint="eastAsia" w:ascii="宋体" w:hAnsi="宋体" w:eastAsia="宋体"/>
                <w:b/>
                <w:bCs/>
                <w:szCs w:val="21"/>
                <w:highlight w:val="none"/>
                <w:lang w:val="en-US" w:eastAsia="zh-CN"/>
              </w:rPr>
            </w:pPr>
            <w:r>
              <w:rPr>
                <w:rFonts w:hint="eastAsia" w:ascii="宋体" w:hAnsi="宋体"/>
                <w:b/>
                <w:bCs/>
                <w:szCs w:val="21"/>
                <w:highlight w:val="none"/>
                <w:lang w:val="en-US" w:eastAsia="zh-CN"/>
              </w:rPr>
              <w:t>招标内容</w:t>
            </w:r>
          </w:p>
        </w:tc>
        <w:tc>
          <w:tcPr>
            <w:tcW w:w="1090" w:type="pct"/>
            <w:vAlign w:val="center"/>
          </w:tcPr>
          <w:p w14:paraId="0006D8E7">
            <w:pPr>
              <w:spacing w:beforeAutospacing="0" w:afterAutospacing="0" w:line="480" w:lineRule="exact"/>
              <w:jc w:val="center"/>
              <w:rPr>
                <w:rFonts w:hint="default" w:ascii="宋体" w:hAnsi="宋体" w:eastAsia="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合同履约期限</w:t>
            </w:r>
          </w:p>
        </w:tc>
        <w:tc>
          <w:tcPr>
            <w:tcW w:w="780" w:type="pct"/>
            <w:vAlign w:val="center"/>
          </w:tcPr>
          <w:p w14:paraId="520EA735">
            <w:pPr>
              <w:spacing w:beforeAutospacing="0" w:afterAutospacing="0" w:line="480" w:lineRule="exact"/>
              <w:jc w:val="center"/>
              <w:rPr>
                <w:rFonts w:hint="default" w:ascii="宋体" w:hAnsi="宋体"/>
                <w:b/>
                <w:bCs/>
                <w:strike w:val="0"/>
                <w:dstrike w:val="0"/>
                <w:color w:val="000000" w:themeColor="text1"/>
                <w:szCs w:val="21"/>
                <w:highlight w:val="none"/>
                <w:lang w:val="en-US" w:eastAsia="zh-CN"/>
                <w14:textFill>
                  <w14:solidFill>
                    <w14:schemeClr w14:val="tx1"/>
                  </w14:solidFill>
                </w14:textFill>
              </w:rPr>
            </w:pPr>
            <w:r>
              <w:rPr>
                <w:rFonts w:hint="eastAsia" w:ascii="宋体" w:hAnsi="宋体"/>
                <w:b/>
                <w:bCs/>
                <w:strike w:val="0"/>
                <w:dstrike w:val="0"/>
                <w:color w:val="000000" w:themeColor="text1"/>
                <w:szCs w:val="21"/>
                <w:highlight w:val="none"/>
                <w:lang w:val="en-US" w:eastAsia="zh-CN"/>
                <w14:textFill>
                  <w14:solidFill>
                    <w14:schemeClr w14:val="tx1"/>
                  </w14:solidFill>
                </w14:textFill>
              </w:rPr>
              <w:t>最高限价（元）</w:t>
            </w:r>
          </w:p>
        </w:tc>
        <w:tc>
          <w:tcPr>
            <w:tcW w:w="505" w:type="pct"/>
            <w:vAlign w:val="center"/>
          </w:tcPr>
          <w:p w14:paraId="3055A140">
            <w:pPr>
              <w:spacing w:beforeAutospacing="0" w:afterAutospacing="0" w:line="480" w:lineRule="exact"/>
              <w:jc w:val="center"/>
              <w:rPr>
                <w:rFonts w:hint="default" w:ascii="宋体" w:hAnsi="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中标人数量</w:t>
            </w:r>
          </w:p>
        </w:tc>
      </w:tr>
      <w:tr w14:paraId="49FB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04" w:type="pct"/>
            <w:vAlign w:val="center"/>
          </w:tcPr>
          <w:p w14:paraId="4EE1225A">
            <w:pPr>
              <w:spacing w:beforeAutospacing="0" w:afterAutospacing="0" w:line="480" w:lineRule="exact"/>
              <w:jc w:val="center"/>
              <w:rPr>
                <w:rFonts w:ascii="宋体" w:hAnsi="宋体"/>
                <w:szCs w:val="21"/>
              </w:rPr>
            </w:pPr>
            <w:r>
              <w:rPr>
                <w:rFonts w:hint="eastAsia" w:ascii="宋体" w:hAnsi="宋体"/>
                <w:szCs w:val="21"/>
              </w:rPr>
              <w:t>1</w:t>
            </w:r>
          </w:p>
        </w:tc>
        <w:tc>
          <w:tcPr>
            <w:tcW w:w="698" w:type="pct"/>
            <w:vAlign w:val="center"/>
          </w:tcPr>
          <w:p w14:paraId="652E58F0">
            <w:pPr>
              <w:spacing w:beforeAutospacing="0" w:afterAutospacing="0" w:line="480" w:lineRule="exact"/>
              <w:jc w:val="center"/>
              <w:rPr>
                <w:rFonts w:ascii="宋体" w:hAnsi="宋体"/>
                <w:szCs w:val="21"/>
              </w:rPr>
            </w:pPr>
            <w:r>
              <w:rPr>
                <w:rFonts w:hint="eastAsia" w:cs="宋体"/>
                <w:color w:val="auto"/>
                <w:sz w:val="21"/>
                <w:szCs w:val="21"/>
                <w:u w:val="none"/>
                <w:lang w:eastAsia="zh-CN"/>
              </w:rPr>
              <w:t>新丰县公共智慧体系配套建设项目</w:t>
            </w:r>
          </w:p>
        </w:tc>
        <w:tc>
          <w:tcPr>
            <w:tcW w:w="610" w:type="pct"/>
            <w:vAlign w:val="center"/>
          </w:tcPr>
          <w:p w14:paraId="093A4D43">
            <w:pPr>
              <w:spacing w:beforeAutospacing="0" w:afterAutospacing="0" w:line="480" w:lineRule="exact"/>
              <w:jc w:val="center"/>
              <w:rPr>
                <w:rFonts w:ascii="宋体" w:hAnsi="宋体"/>
                <w:szCs w:val="21"/>
              </w:rPr>
            </w:pPr>
            <w:r>
              <w:rPr>
                <w:rFonts w:hint="eastAsia" w:ascii="宋体" w:hAnsi="宋体"/>
                <w:szCs w:val="21"/>
              </w:rPr>
              <w:t>1项</w:t>
            </w:r>
          </w:p>
        </w:tc>
        <w:tc>
          <w:tcPr>
            <w:tcW w:w="910" w:type="pct"/>
            <w:vAlign w:val="center"/>
          </w:tcPr>
          <w:p w14:paraId="37751ADF">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公共资源进行</w:t>
            </w:r>
          </w:p>
          <w:p w14:paraId="6CA8ED22">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有偿使用出让</w:t>
            </w:r>
          </w:p>
        </w:tc>
        <w:tc>
          <w:tcPr>
            <w:tcW w:w="1090" w:type="pct"/>
            <w:vAlign w:val="center"/>
          </w:tcPr>
          <w:p w14:paraId="4EAD7BE0">
            <w:pPr>
              <w:spacing w:beforeAutospacing="0" w:afterAutospacing="0" w:line="480" w:lineRule="exact"/>
              <w:jc w:val="center"/>
              <w:rPr>
                <w:rFonts w:ascii="宋体" w:hAnsi="宋体"/>
                <w:color w:val="000000" w:themeColor="text1"/>
                <w:szCs w:val="21"/>
                <w:highlight w:val="none"/>
                <w14:textFill>
                  <w14:solidFill>
                    <w14:schemeClr w14:val="tx1"/>
                  </w14:solidFill>
                </w14:textFill>
              </w:rPr>
            </w:pPr>
            <w:r>
              <w:rPr>
                <w:rFonts w:hint="eastAsia" w:ascii="宋体" w:hAnsi="宋体" w:eastAsia="宋体" w:cs="Times New Roman"/>
                <w:szCs w:val="21"/>
                <w:lang w:val="en-US" w:eastAsia="zh-CN"/>
              </w:rPr>
              <w:t>本项目有偿使用期限为20年，其中：第1～2年为建设期，第3～20年为运营期。</w:t>
            </w:r>
          </w:p>
        </w:tc>
        <w:tc>
          <w:tcPr>
            <w:tcW w:w="780" w:type="pct"/>
            <w:vAlign w:val="center"/>
          </w:tcPr>
          <w:p w14:paraId="1DA4F99A">
            <w:pPr>
              <w:spacing w:beforeAutospacing="0" w:afterAutospacing="0" w:line="480" w:lineRule="exact"/>
              <w:jc w:val="center"/>
              <w:rPr>
                <w:rFonts w:hint="eastAsia" w:ascii="宋体" w:hAnsi="宋体" w:eastAsia="宋体" w:cs="Times New Roman"/>
                <w:szCs w:val="21"/>
                <w:lang w:val="en-US" w:eastAsia="zh-CN"/>
              </w:rPr>
            </w:pPr>
            <w:r>
              <w:rPr>
                <w:rFonts w:hint="eastAsia" w:ascii="宋体" w:hAnsi="宋体" w:cs="宋体"/>
                <w:kern w:val="2"/>
                <w:sz w:val="21"/>
                <w:szCs w:val="21"/>
                <w:lang w:val="en-US" w:eastAsia="zh-CN" w:bidi="ar-SA"/>
              </w:rPr>
              <w:t>150000000</w:t>
            </w:r>
          </w:p>
        </w:tc>
        <w:tc>
          <w:tcPr>
            <w:tcW w:w="505" w:type="pct"/>
            <w:vAlign w:val="center"/>
          </w:tcPr>
          <w:p w14:paraId="11493AFB">
            <w:pPr>
              <w:spacing w:beforeAutospacing="0" w:afterAutospacing="0" w:line="48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1家</w:t>
            </w:r>
          </w:p>
        </w:tc>
      </w:tr>
    </w:tbl>
    <w:p w14:paraId="69759321">
      <w:pPr>
        <w:numPr>
          <w:ilvl w:val="0"/>
          <w:numId w:val="0"/>
        </w:numPr>
        <w:spacing w:beforeAutospacing="0" w:afterAutospacing="0" w:line="480" w:lineRule="exact"/>
        <w:rPr>
          <w:rFonts w:hint="eastAsia" w:ascii="宋体" w:hAnsi="宋体"/>
          <w:szCs w:val="21"/>
        </w:rPr>
      </w:pPr>
      <w:bookmarkStart w:id="5" w:name="_Toc28359003"/>
      <w:bookmarkStart w:id="6" w:name="_Toc35393622"/>
      <w:bookmarkStart w:id="7" w:name="_Toc35393791"/>
      <w:bookmarkStart w:id="8" w:name="_Toc28359080"/>
      <w:r>
        <w:rPr>
          <w:rFonts w:hint="eastAsia" w:ascii="宋体" w:hAnsi="宋体"/>
          <w:szCs w:val="21"/>
          <w:highlight w:val="none"/>
          <w:lang w:val="en-US" w:eastAsia="zh-CN"/>
        </w:rPr>
        <w:t>6.</w:t>
      </w:r>
      <w:r>
        <w:rPr>
          <w:rFonts w:hint="eastAsia" w:ascii="宋体" w:hAnsi="宋体"/>
          <w:szCs w:val="21"/>
          <w:highlight w:val="none"/>
        </w:rPr>
        <w:t>本项目不接受联合体</w:t>
      </w:r>
      <w:r>
        <w:rPr>
          <w:rFonts w:hint="eastAsia" w:ascii="宋体" w:hAnsi="宋体"/>
          <w:szCs w:val="21"/>
          <w:highlight w:val="none"/>
          <w:lang w:val="en-US" w:eastAsia="zh-CN"/>
        </w:rPr>
        <w:t>投标</w:t>
      </w:r>
      <w:r>
        <w:rPr>
          <w:rFonts w:hint="eastAsia" w:ascii="宋体" w:hAnsi="宋体"/>
          <w:szCs w:val="21"/>
        </w:rPr>
        <w:t>。</w:t>
      </w:r>
    </w:p>
    <w:bookmarkEnd w:id="5"/>
    <w:bookmarkEnd w:id="6"/>
    <w:bookmarkEnd w:id="7"/>
    <w:bookmarkEnd w:id="8"/>
    <w:p w14:paraId="2D0D76F1">
      <w:pPr>
        <w:pStyle w:val="45"/>
        <w:adjustRightInd/>
        <w:spacing w:beforeAutospacing="0" w:afterAutospacing="0" w:line="480" w:lineRule="exact"/>
        <w:ind w:firstLine="0" w:firstLineChars="0"/>
        <w:textAlignment w:val="auto"/>
        <w:rPr>
          <w:rFonts w:ascii="宋体" w:hAnsi="宋体" w:cs="宋体"/>
          <w:b/>
          <w:bCs/>
          <w:szCs w:val="21"/>
        </w:rPr>
      </w:pPr>
      <w:r>
        <w:rPr>
          <w:rFonts w:hint="eastAsia" w:ascii="宋体" w:hAnsi="宋体" w:cs="宋体"/>
          <w:b/>
          <w:bCs/>
          <w:szCs w:val="21"/>
        </w:rPr>
        <w:t>二、投标人的资格要求：</w:t>
      </w:r>
    </w:p>
    <w:p w14:paraId="730DC3D8">
      <w:pPr>
        <w:pStyle w:val="42"/>
        <w:widowControl/>
        <w:shd w:val="clear" w:color="auto" w:fill="FFFFFF"/>
        <w:spacing w:line="480" w:lineRule="exact"/>
        <w:ind w:firstLine="482"/>
        <w:textAlignment w:val="baseline"/>
        <w:rPr>
          <w:rFonts w:hint="eastAsia" w:ascii="宋体" w:hAnsi="宋体" w:cs="宋体"/>
          <w:b/>
          <w:bCs/>
          <w:color w:val="auto"/>
          <w:sz w:val="21"/>
          <w:szCs w:val="21"/>
        </w:rPr>
      </w:pPr>
      <w:r>
        <w:rPr>
          <w:rFonts w:hint="eastAsia" w:ascii="宋体" w:hAnsi="宋体" w:cs="宋体"/>
          <w:b/>
          <w:bCs/>
          <w:color w:val="auto"/>
          <w:sz w:val="21"/>
          <w:szCs w:val="21"/>
        </w:rPr>
        <w:t>1.</w:t>
      </w:r>
      <w:r>
        <w:rPr>
          <w:rFonts w:hint="eastAsia" w:ascii="宋体" w:hAnsi="宋体" w:cs="宋体"/>
          <w:b/>
          <w:bCs/>
          <w:color w:val="auto"/>
          <w:sz w:val="21"/>
          <w:szCs w:val="21"/>
          <w:lang w:val="en-US" w:eastAsia="zh-CN"/>
        </w:rPr>
        <w:t>投标人</w:t>
      </w:r>
      <w:r>
        <w:rPr>
          <w:rFonts w:hint="eastAsia" w:ascii="宋体" w:hAnsi="宋体" w:cs="宋体"/>
          <w:b/>
          <w:bCs/>
          <w:color w:val="auto"/>
          <w:sz w:val="21"/>
          <w:szCs w:val="21"/>
        </w:rPr>
        <w:t>应具备</w:t>
      </w:r>
      <w:r>
        <w:rPr>
          <w:rFonts w:hint="eastAsia" w:ascii="宋体" w:hAnsi="宋体" w:cs="宋体"/>
          <w:b/>
          <w:bCs/>
          <w:color w:val="auto"/>
          <w:sz w:val="21"/>
          <w:szCs w:val="21"/>
          <w:lang w:val="en-US" w:eastAsia="zh-CN"/>
        </w:rPr>
        <w:t>以下要求并</w:t>
      </w:r>
      <w:r>
        <w:rPr>
          <w:rFonts w:hint="eastAsia" w:ascii="宋体" w:hAnsi="宋体" w:cs="宋体"/>
          <w:b/>
          <w:bCs/>
          <w:color w:val="auto"/>
          <w:sz w:val="21"/>
          <w:szCs w:val="21"/>
        </w:rPr>
        <w:t>提供下列材料：</w:t>
      </w:r>
    </w:p>
    <w:p w14:paraId="4F519275">
      <w:pPr>
        <w:pStyle w:val="42"/>
        <w:widowControl/>
        <w:shd w:val="clear" w:color="auto" w:fill="FFFFFF"/>
        <w:spacing w:line="480" w:lineRule="exact"/>
        <w:ind w:firstLine="482"/>
        <w:textAlignment w:val="baseline"/>
        <w:rPr>
          <w:rFonts w:hint="eastAsia" w:ascii="宋体" w:hAnsi="宋体" w:cs="宋体"/>
          <w:color w:val="auto"/>
          <w:sz w:val="21"/>
          <w:szCs w:val="21"/>
        </w:rPr>
      </w:pPr>
      <w:r>
        <w:rPr>
          <w:rFonts w:hint="eastAsia" w:ascii="宋体" w:hAnsi="宋体" w:cs="宋体"/>
          <w:color w:val="auto"/>
          <w:sz w:val="21"/>
          <w:szCs w:val="21"/>
        </w:rPr>
        <w:t>（1）具有独立承担民事责任的能力：在中华人民共和国境内注册的法人或其他组织或自然人，</w:t>
      </w:r>
      <w:r>
        <w:rPr>
          <w:rFonts w:hint="eastAsia" w:ascii="宋体" w:hAnsi="宋体" w:cs="宋体"/>
          <w:color w:val="auto"/>
          <w:sz w:val="21"/>
          <w:szCs w:val="21"/>
          <w:lang w:val="en-US" w:eastAsia="zh-CN"/>
        </w:rPr>
        <w:t>投标</w:t>
      </w:r>
      <w:r>
        <w:rPr>
          <w:rFonts w:hint="eastAsia" w:ascii="宋体" w:hAnsi="宋体" w:cs="宋体"/>
          <w:color w:val="auto"/>
          <w:sz w:val="21"/>
          <w:szCs w:val="21"/>
        </w:rPr>
        <w:t>时提交有效的营业执照（或事业法人登记证或身份证等相关证明）副本复印件。分支机构投标的，须提供总公司和分公司营业执照副本复印件，总公司出具给分支机构的授权书。</w:t>
      </w:r>
    </w:p>
    <w:p w14:paraId="555EAD85">
      <w:pPr>
        <w:spacing w:line="360" w:lineRule="auto"/>
        <w:ind w:firstLine="420" w:firstLineChars="200"/>
        <w:rPr>
          <w:rFonts w:hint="eastAsia" w:ascii="宋体" w:hAnsi="宋体" w:cs="宋体"/>
          <w:color w:val="auto"/>
          <w:sz w:val="21"/>
          <w:szCs w:val="21"/>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b w:val="0"/>
          <w:i w:val="0"/>
          <w:caps w:val="0"/>
          <w:spacing w:val="0"/>
          <w:w w:val="100"/>
          <w:sz w:val="21"/>
          <w:szCs w:val="21"/>
          <w:lang w:eastAsia="zh-CN"/>
        </w:rPr>
        <w:t>参加</w:t>
      </w:r>
      <w:r>
        <w:rPr>
          <w:rFonts w:hint="eastAsia" w:ascii="宋体" w:hAnsi="宋体" w:cs="宋体"/>
          <w:b w:val="0"/>
          <w:i w:val="0"/>
          <w:caps w:val="0"/>
          <w:spacing w:val="0"/>
          <w:w w:val="100"/>
          <w:sz w:val="21"/>
          <w:szCs w:val="21"/>
          <w:lang w:val="en-US" w:eastAsia="zh-CN"/>
        </w:rPr>
        <w:t>投标</w:t>
      </w:r>
      <w:r>
        <w:rPr>
          <w:rFonts w:hint="eastAsia" w:ascii="宋体" w:hAnsi="宋体" w:eastAsia="宋体" w:cs="宋体"/>
          <w:b w:val="0"/>
          <w:i w:val="0"/>
          <w:caps w:val="0"/>
          <w:spacing w:val="0"/>
          <w:w w:val="100"/>
          <w:sz w:val="21"/>
          <w:szCs w:val="21"/>
          <w:lang w:eastAsia="zh-CN"/>
        </w:rPr>
        <w:t>活动前3年内，在经营活动中没有重大违法记录：</w:t>
      </w:r>
      <w:r>
        <w:rPr>
          <w:rFonts w:hint="eastAsia" w:ascii="宋体" w:hAnsi="宋体" w:eastAsia="宋体" w:cs="宋体"/>
          <w:color w:val="auto"/>
          <w:sz w:val="21"/>
          <w:szCs w:val="21"/>
          <w:highlight w:val="none"/>
          <w:lang w:val="en-US" w:eastAsia="zh-CN"/>
        </w:rPr>
        <w:t>提供《资格条件承诺函》</w:t>
      </w:r>
      <w:r>
        <w:rPr>
          <w:rFonts w:hint="eastAsia" w:ascii="宋体" w:hAnsi="宋体" w:eastAsia="宋体" w:cs="宋体"/>
          <w:b w:val="0"/>
          <w:i w:val="0"/>
          <w:caps w:val="0"/>
          <w:spacing w:val="0"/>
          <w:w w:val="100"/>
          <w:sz w:val="21"/>
          <w:szCs w:val="21"/>
          <w:lang w:eastAsia="zh-CN"/>
        </w:rPr>
        <w:t>。 重大违法记录，是指</w:t>
      </w:r>
      <w:r>
        <w:rPr>
          <w:rFonts w:hint="eastAsia" w:ascii="宋体" w:hAnsi="宋体" w:cs="宋体"/>
          <w:b w:val="0"/>
          <w:i w:val="0"/>
          <w:caps w:val="0"/>
          <w:spacing w:val="0"/>
          <w:w w:val="100"/>
          <w:sz w:val="21"/>
          <w:szCs w:val="21"/>
          <w:lang w:eastAsia="zh-CN"/>
        </w:rPr>
        <w:t>投标人</w:t>
      </w:r>
      <w:r>
        <w:rPr>
          <w:rFonts w:hint="eastAsia" w:ascii="宋体" w:hAnsi="宋体" w:eastAsia="宋体" w:cs="宋体"/>
          <w:b w:val="0"/>
          <w:i w:val="0"/>
          <w:caps w:val="0"/>
          <w:spacing w:val="0"/>
          <w:w w:val="100"/>
          <w:sz w:val="21"/>
          <w:szCs w:val="21"/>
          <w:lang w:eastAsia="zh-CN"/>
        </w:rPr>
        <w:t>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14:paraId="5A5A9D42">
      <w:pPr>
        <w:pStyle w:val="42"/>
        <w:widowControl/>
        <w:shd w:val="clear" w:color="auto" w:fill="FFFFFF"/>
        <w:spacing w:line="480" w:lineRule="exact"/>
        <w:ind w:firstLine="422" w:firstLineChars="200"/>
        <w:textAlignment w:val="baseline"/>
        <w:rPr>
          <w:rFonts w:hint="eastAsia" w:ascii="宋体" w:hAnsi="宋体" w:cs="宋体"/>
          <w:b/>
          <w:bCs/>
          <w:color w:val="auto"/>
          <w:sz w:val="21"/>
          <w:szCs w:val="21"/>
        </w:rPr>
      </w:pPr>
      <w:r>
        <w:rPr>
          <w:rFonts w:hint="eastAsia" w:ascii="宋体" w:hAnsi="宋体" w:cs="宋体"/>
          <w:b/>
          <w:bCs/>
          <w:color w:val="auto"/>
          <w:sz w:val="21"/>
          <w:szCs w:val="21"/>
        </w:rPr>
        <w:t>2.本项目的特定资格要求：</w:t>
      </w:r>
    </w:p>
    <w:p w14:paraId="519C6A7E">
      <w:pPr>
        <w:pStyle w:val="42"/>
        <w:widowControl/>
        <w:shd w:val="clear" w:color="auto" w:fill="FFFFFF"/>
        <w:spacing w:line="480" w:lineRule="exact"/>
        <w:ind w:firstLine="420" w:firstLineChars="200"/>
        <w:textAlignment w:val="baseline"/>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b w:val="0"/>
          <w:i w:val="0"/>
          <w:caps w:val="0"/>
          <w:spacing w:val="0"/>
          <w:w w:val="100"/>
          <w:sz w:val="21"/>
          <w:szCs w:val="21"/>
          <w:lang w:val="en-US" w:eastAsia="zh-CN"/>
        </w:rPr>
        <w:t>投标人</w:t>
      </w:r>
      <w:r>
        <w:rPr>
          <w:rFonts w:hint="eastAsia" w:ascii="宋体" w:hAnsi="宋体" w:eastAsia="宋体" w:cs="宋体"/>
          <w:b w:val="0"/>
          <w:i w:val="0"/>
          <w:caps w:val="0"/>
          <w:spacing w:val="0"/>
          <w:w w:val="100"/>
          <w:sz w:val="21"/>
          <w:szCs w:val="21"/>
          <w:lang w:eastAsia="zh-CN"/>
        </w:rPr>
        <w:t>未被列入“信用中国”网站(www.creditchina.gov.cn)“失信被执行人或重大税收违法失信主体”记录名单。（以资格审查人员于投标（响应）截止时间当天在“信用中国”网站（www.creditchina.gov.cn）查询结果为准，如相关失信记录已失效，</w:t>
      </w:r>
      <w:r>
        <w:rPr>
          <w:rFonts w:hint="eastAsia" w:ascii="宋体" w:hAnsi="宋体" w:cs="宋体"/>
          <w:b w:val="0"/>
          <w:i w:val="0"/>
          <w:caps w:val="0"/>
          <w:spacing w:val="0"/>
          <w:w w:val="100"/>
          <w:sz w:val="21"/>
          <w:szCs w:val="21"/>
          <w:lang w:val="en-US" w:eastAsia="zh-CN"/>
        </w:rPr>
        <w:t>投标人</w:t>
      </w:r>
      <w:r>
        <w:rPr>
          <w:rFonts w:hint="eastAsia" w:ascii="宋体" w:hAnsi="宋体" w:eastAsia="宋体" w:cs="宋体"/>
          <w:b w:val="0"/>
          <w:i w:val="0"/>
          <w:caps w:val="0"/>
          <w:spacing w:val="0"/>
          <w:w w:val="100"/>
          <w:sz w:val="21"/>
          <w:szCs w:val="21"/>
          <w:lang w:eastAsia="zh-CN"/>
        </w:rPr>
        <w:t>需提供相关证明资料）。</w:t>
      </w:r>
    </w:p>
    <w:p w14:paraId="30F4C088">
      <w:pPr>
        <w:pStyle w:val="42"/>
        <w:widowControl/>
        <w:shd w:val="clear" w:color="auto" w:fill="FFFFFF"/>
        <w:spacing w:line="480" w:lineRule="exact"/>
        <w:ind w:firstLine="420" w:firstLineChars="200"/>
        <w:textAlignment w:val="baseline"/>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val="en-US" w:eastAsia="zh-CN"/>
        </w:rPr>
        <w:t>投标人</w:t>
      </w:r>
      <w:r>
        <w:rPr>
          <w:rFonts w:hint="eastAsia" w:ascii="宋体" w:hAnsi="宋体" w:cs="宋体"/>
          <w:color w:val="auto"/>
          <w:sz w:val="21"/>
          <w:szCs w:val="21"/>
        </w:rPr>
        <w:t>必须符合法律、行政法规规定的其他条件：单位负责人为同一人或者存在直接控股、管理关系的不同</w:t>
      </w:r>
      <w:r>
        <w:rPr>
          <w:rFonts w:hint="eastAsia" w:ascii="宋体" w:hAnsi="宋体" w:cs="宋体"/>
          <w:color w:val="auto"/>
          <w:sz w:val="21"/>
          <w:szCs w:val="21"/>
          <w:lang w:eastAsia="zh-CN"/>
        </w:rPr>
        <w:t>投标人</w:t>
      </w:r>
      <w:r>
        <w:rPr>
          <w:rFonts w:hint="eastAsia" w:ascii="宋体" w:hAnsi="宋体" w:cs="宋体"/>
          <w:color w:val="auto"/>
          <w:sz w:val="21"/>
          <w:szCs w:val="21"/>
        </w:rPr>
        <w:t>，不得同时参加本采购项目（或采购包）投标（响应）。 为本项目提供整体设计、规范编制或者项目管理、监理、检测等服务的</w:t>
      </w:r>
      <w:r>
        <w:rPr>
          <w:rFonts w:hint="eastAsia" w:ascii="宋体" w:hAnsi="宋体" w:cs="宋体"/>
          <w:color w:val="auto"/>
          <w:sz w:val="21"/>
          <w:szCs w:val="21"/>
          <w:lang w:eastAsia="zh-CN"/>
        </w:rPr>
        <w:t>投标人</w:t>
      </w:r>
      <w:r>
        <w:rPr>
          <w:rFonts w:hint="eastAsia" w:ascii="宋体" w:hAnsi="宋体" w:cs="宋体"/>
          <w:color w:val="auto"/>
          <w:sz w:val="21"/>
          <w:szCs w:val="21"/>
        </w:rPr>
        <w:t>，不得再参与本项目投标（响应）。</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投标（报价）函</w:t>
      </w:r>
      <w:r>
        <w:rPr>
          <w:rFonts w:hint="eastAsia" w:ascii="宋体" w:hAnsi="宋体" w:eastAsia="宋体" w:cs="宋体"/>
          <w:color w:val="auto"/>
          <w:sz w:val="21"/>
          <w:szCs w:val="21"/>
        </w:rPr>
        <w:t>相关承诺要求内</w:t>
      </w:r>
      <w:r>
        <w:rPr>
          <w:rFonts w:hint="eastAsia" w:ascii="宋体" w:hAnsi="宋体" w:cs="宋体"/>
          <w:color w:val="auto"/>
          <w:sz w:val="21"/>
          <w:szCs w:val="21"/>
        </w:rPr>
        <w:t>容。</w:t>
      </w:r>
    </w:p>
    <w:p w14:paraId="6CEF112E">
      <w:pPr>
        <w:pStyle w:val="3"/>
        <w:spacing w:before="0" w:beforeAutospacing="0" w:after="0" w:afterAutospacing="0" w:line="480" w:lineRule="exact"/>
        <w:rPr>
          <w:rFonts w:hint="eastAsia" w:ascii="宋体" w:hAnsi="宋体" w:eastAsia="宋体"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三、获取</w:t>
      </w:r>
      <w:r>
        <w:rPr>
          <w:rFonts w:hint="eastAsia" w:ascii="宋体" w:hAnsi="宋体" w:eastAsia="宋体" w:cs="宋体"/>
          <w:b/>
          <w:bCs/>
          <w:color w:val="000000" w:themeColor="text1"/>
          <w:sz w:val="21"/>
          <w:szCs w:val="21"/>
          <w14:textFill>
            <w14:solidFill>
              <w14:schemeClr w14:val="tx1"/>
            </w14:solidFill>
          </w14:textFill>
        </w:rPr>
        <w:t>招标文件</w:t>
      </w:r>
    </w:p>
    <w:p w14:paraId="0780DD09">
      <w:pPr>
        <w:spacing w:beforeAutospacing="0" w:afterAutospacing="0" w:line="480" w:lineRule="exact"/>
        <w:ind w:firstLine="422"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时间：</w:t>
      </w:r>
      <w:r>
        <w:rPr>
          <w:rFonts w:hint="eastAsia" w:ascii="宋体" w:hAnsi="宋体" w:eastAsia="宋体" w:cs="宋体"/>
          <w:color w:val="000000" w:themeColor="text1"/>
          <w:szCs w:val="21"/>
          <w:u w:val="single"/>
          <w14:textFill>
            <w14:solidFill>
              <w14:schemeClr w14:val="tx1"/>
            </w14:solidFill>
          </w14:textFill>
        </w:rPr>
        <w:t>202</w:t>
      </w:r>
      <w:r>
        <w:rPr>
          <w:rFonts w:hint="eastAsia" w:ascii="宋体" w:hAnsi="宋体" w:cs="宋体"/>
          <w:color w:val="000000" w:themeColor="text1"/>
          <w:szCs w:val="21"/>
          <w:u w:val="single"/>
          <w:lang w:val="en-US" w:eastAsia="zh-CN"/>
          <w14:textFill>
            <w14:solidFill>
              <w14:schemeClr w14:val="tx1"/>
            </w14:solidFill>
          </w14:textFill>
        </w:rPr>
        <w:t>5</w:t>
      </w:r>
      <w:r>
        <w:rPr>
          <w:rFonts w:hint="eastAsia" w:ascii="宋体" w:hAnsi="宋体" w:eastAsia="宋体" w:cs="宋体"/>
          <w:color w:val="000000" w:themeColor="text1"/>
          <w:szCs w:val="21"/>
          <w:u w:val="single"/>
          <w14:textFill>
            <w14:solidFill>
              <w14:schemeClr w14:val="tx1"/>
            </w14:solidFill>
          </w14:textFill>
        </w:rPr>
        <w:t>年</w:t>
      </w:r>
      <w:r>
        <w:rPr>
          <w:rFonts w:hint="eastAsia" w:ascii="宋体" w:hAnsi="宋体" w:cs="宋体"/>
          <w:color w:val="000000" w:themeColor="text1"/>
          <w:szCs w:val="21"/>
          <w:u w:val="single"/>
          <w:lang w:val="en-US" w:eastAsia="zh-CN"/>
          <w14:textFill>
            <w14:solidFill>
              <w14:schemeClr w14:val="tx1"/>
            </w14:solidFill>
          </w14:textFill>
        </w:rPr>
        <w:t>09</w:t>
      </w:r>
      <w:r>
        <w:rPr>
          <w:rFonts w:hint="eastAsia" w:ascii="宋体" w:hAnsi="宋体" w:eastAsia="宋体" w:cs="宋体"/>
          <w:color w:val="000000" w:themeColor="text1"/>
          <w:szCs w:val="21"/>
          <w:u w:val="single"/>
          <w14:textFill>
            <w14:solidFill>
              <w14:schemeClr w14:val="tx1"/>
            </w14:solidFill>
          </w14:textFill>
        </w:rPr>
        <w:t>月</w:t>
      </w:r>
      <w:r>
        <w:rPr>
          <w:rFonts w:hint="eastAsia" w:ascii="宋体" w:hAnsi="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14:textFill>
            <w14:solidFill>
              <w14:schemeClr w14:val="tx1"/>
            </w14:solidFill>
          </w14:textFill>
        </w:rPr>
        <w:t>日</w:t>
      </w:r>
      <w:r>
        <w:rPr>
          <w:rFonts w:hint="eastAsia" w:ascii="宋体" w:hAnsi="宋体" w:cs="宋体"/>
          <w:color w:val="000000" w:themeColor="text1"/>
          <w:szCs w:val="21"/>
          <w:u w:val="single"/>
          <w:lang w:val="en-US" w:eastAsia="zh-CN"/>
          <w14:textFill>
            <w14:solidFill>
              <w14:schemeClr w14:val="tx1"/>
            </w14:solidFill>
          </w14:textFill>
        </w:rPr>
        <w:t>17点30分</w:t>
      </w:r>
      <w:r>
        <w:rPr>
          <w:rFonts w:hint="eastAsia" w:ascii="宋体" w:hAnsi="宋体" w:eastAsia="宋体" w:cs="宋体"/>
          <w:color w:val="000000" w:themeColor="text1"/>
          <w:szCs w:val="21"/>
          <w14:textFill>
            <w14:solidFill>
              <w14:schemeClr w14:val="tx1"/>
            </w14:solidFill>
          </w14:textFill>
        </w:rPr>
        <w:t>至</w:t>
      </w:r>
      <w:r>
        <w:rPr>
          <w:rFonts w:hint="eastAsia" w:ascii="宋体" w:hAnsi="宋体" w:eastAsia="宋体" w:cs="宋体"/>
          <w:color w:val="000000" w:themeColor="text1"/>
          <w:szCs w:val="21"/>
          <w:u w:val="single"/>
          <w14:textFill>
            <w14:solidFill>
              <w14:schemeClr w14:val="tx1"/>
            </w14:solidFill>
          </w14:textFill>
        </w:rPr>
        <w:t>202</w:t>
      </w:r>
      <w:r>
        <w:rPr>
          <w:rFonts w:hint="eastAsia" w:ascii="宋体" w:hAnsi="宋体" w:cs="宋体"/>
          <w:color w:val="000000" w:themeColor="text1"/>
          <w:szCs w:val="21"/>
          <w:u w:val="single"/>
          <w:lang w:val="en-US" w:eastAsia="zh-CN"/>
          <w14:textFill>
            <w14:solidFill>
              <w14:schemeClr w14:val="tx1"/>
            </w14:solidFill>
          </w14:textFill>
        </w:rPr>
        <w:t>5</w:t>
      </w:r>
      <w:r>
        <w:rPr>
          <w:rFonts w:hint="eastAsia" w:ascii="宋体" w:hAnsi="宋体" w:eastAsia="宋体" w:cs="宋体"/>
          <w:color w:val="000000" w:themeColor="text1"/>
          <w:szCs w:val="21"/>
          <w:u w:val="single"/>
          <w14:textFill>
            <w14:solidFill>
              <w14:schemeClr w14:val="tx1"/>
            </w14:solidFill>
          </w14:textFill>
        </w:rPr>
        <w:t>年</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14:textFill>
            <w14:solidFill>
              <w14:schemeClr w14:val="tx1"/>
            </w14:solidFill>
          </w14:textFill>
        </w:rPr>
        <w:t>月</w:t>
      </w:r>
      <w:r>
        <w:rPr>
          <w:rFonts w:hint="eastAsia" w:ascii="宋体" w:hAnsi="宋体" w:cs="宋体"/>
          <w:color w:val="000000" w:themeColor="text1"/>
          <w:szCs w:val="21"/>
          <w:u w:val="single"/>
          <w:lang w:val="en-US" w:eastAsia="zh-CN"/>
          <w14:textFill>
            <w14:solidFill>
              <w14:schemeClr w14:val="tx1"/>
            </w14:solidFill>
          </w14:textFill>
        </w:rPr>
        <w:t>14</w:t>
      </w:r>
      <w:r>
        <w:rPr>
          <w:rFonts w:hint="eastAsia" w:ascii="宋体" w:hAnsi="宋体" w:eastAsia="宋体" w:cs="宋体"/>
          <w:color w:val="000000" w:themeColor="text1"/>
          <w:szCs w:val="21"/>
          <w:u w:val="single"/>
          <w14:textFill>
            <w14:solidFill>
              <w14:schemeClr w14:val="tx1"/>
            </w14:solidFill>
          </w14:textFill>
        </w:rPr>
        <w:t>日</w:t>
      </w:r>
      <w:r>
        <w:rPr>
          <w:rFonts w:hint="eastAsia" w:ascii="宋体" w:hAnsi="宋体" w:cs="宋体"/>
          <w:color w:val="000000" w:themeColor="text1"/>
          <w:szCs w:val="21"/>
          <w:u w:val="single"/>
          <w:lang w:val="en-US" w:eastAsia="zh-CN"/>
          <w14:textFill>
            <w14:solidFill>
              <w14:schemeClr w14:val="tx1"/>
            </w14:solidFill>
          </w14:textFill>
        </w:rPr>
        <w:t>23点59分</w:t>
      </w:r>
      <w:r>
        <w:rPr>
          <w:rFonts w:hint="eastAsia" w:ascii="宋体" w:hAnsi="宋体" w:eastAsia="宋体" w:cs="宋体"/>
          <w:b/>
          <w:bCs/>
          <w:color w:val="000000" w:themeColor="text1"/>
          <w:szCs w:val="21"/>
          <w14:textFill>
            <w14:solidFill>
              <w14:schemeClr w14:val="tx1"/>
            </w14:solidFill>
          </w14:textFill>
        </w:rPr>
        <w:t>（提供期限自本公告发布之日起不得少于5个工作日）</w:t>
      </w:r>
      <w:r>
        <w:rPr>
          <w:rFonts w:hint="eastAsia" w:ascii="宋体" w:hAnsi="宋体" w:eastAsia="宋体" w:cs="宋体"/>
          <w:color w:val="000000" w:themeColor="text1"/>
          <w:szCs w:val="21"/>
          <w14:textFill>
            <w14:solidFill>
              <w14:schemeClr w14:val="tx1"/>
            </w14:solidFill>
          </w14:textFill>
        </w:rPr>
        <w:t>，（北京时间，法定节假日除外）</w:t>
      </w:r>
    </w:p>
    <w:p w14:paraId="19B4F8A1">
      <w:pPr>
        <w:spacing w:beforeAutospacing="0" w:afterAutospacing="0" w:line="480" w:lineRule="exact"/>
        <w:ind w:firstLine="422"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地点：</w:t>
      </w:r>
      <w:r>
        <w:rPr>
          <w:rFonts w:hint="eastAsia" w:asciiTheme="minorEastAsia" w:hAnsiTheme="minorEastAsia" w:eastAsiaTheme="minorEastAsia" w:cstheme="minorEastAsia"/>
          <w:color w:val="auto"/>
          <w:sz w:val="21"/>
          <w:szCs w:val="21"/>
          <w:u w:val="single"/>
          <w:lang w:val="en-US" w:eastAsia="zh-CN"/>
        </w:rPr>
        <w:t>韶关市公共资源交易一体化平台（网址： http://portal.ythpt.sg.gov.cn）或产权招标交易系统</w:t>
      </w:r>
    </w:p>
    <w:p w14:paraId="5AE9B5E9">
      <w:pPr>
        <w:spacing w:beforeAutospacing="0" w:afterAutospacing="0" w:line="480" w:lineRule="exact"/>
        <w:ind w:firstLine="422"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方式：</w:t>
      </w:r>
      <w:r>
        <w:rPr>
          <w:rFonts w:hint="eastAsia" w:ascii="宋体" w:hAnsi="宋体" w:cs="宋体"/>
          <w:color w:val="000000" w:themeColor="text1"/>
          <w:szCs w:val="21"/>
          <w:lang w:val="en-US" w:eastAsia="zh-CN"/>
          <w14:textFill>
            <w14:solidFill>
              <w14:schemeClr w14:val="tx1"/>
            </w14:solidFill>
          </w14:textFill>
        </w:rPr>
        <w:t>网上</w:t>
      </w:r>
      <w:r>
        <w:rPr>
          <w:rFonts w:hint="eastAsia" w:ascii="宋体" w:hAnsi="宋体" w:eastAsia="宋体" w:cs="宋体"/>
          <w:color w:val="000000" w:themeColor="text1"/>
          <w:szCs w:val="21"/>
          <w14:textFill>
            <w14:solidFill>
              <w14:schemeClr w14:val="tx1"/>
            </w14:solidFill>
          </w14:textFill>
        </w:rPr>
        <w:t>获取</w:t>
      </w:r>
      <w:r>
        <w:rPr>
          <w:rFonts w:hint="eastAsia" w:ascii="宋体" w:hAnsi="宋体" w:eastAsia="宋体" w:cs="宋体"/>
          <w:b/>
          <w:bCs/>
          <w:color w:val="000000" w:themeColor="text1"/>
          <w:szCs w:val="21"/>
          <w14:textFill>
            <w14:solidFill>
              <w14:schemeClr w14:val="tx1"/>
            </w14:solidFill>
          </w14:textFill>
        </w:rPr>
        <w:t>（详见“其他补充事宜”）</w:t>
      </w:r>
    </w:p>
    <w:p w14:paraId="48D1EEAC">
      <w:pPr>
        <w:pStyle w:val="3"/>
        <w:spacing w:before="0" w:beforeAutospacing="0" w:after="0" w:afterAutospacing="0" w:line="480" w:lineRule="exact"/>
        <w:rPr>
          <w:rFonts w:hint="eastAsia" w:ascii="宋体" w:hAnsi="宋体" w:eastAsia="宋体" w:cs="宋体"/>
          <w:b/>
          <w:bCs/>
          <w:color w:val="000000" w:themeColor="text1"/>
          <w:sz w:val="21"/>
          <w:szCs w:val="21"/>
          <w14:textFill>
            <w14:solidFill>
              <w14:schemeClr w14:val="tx1"/>
            </w14:solidFill>
          </w14:textFill>
        </w:rPr>
      </w:pPr>
      <w:bookmarkStart w:id="9" w:name="_Toc35393793"/>
      <w:bookmarkEnd w:id="9"/>
      <w:bookmarkStart w:id="10" w:name="_Toc28359082"/>
      <w:bookmarkEnd w:id="10"/>
      <w:bookmarkStart w:id="11" w:name="_Toc35393624"/>
      <w:bookmarkEnd w:id="11"/>
      <w:bookmarkStart w:id="12" w:name="_Toc28359005"/>
      <w:bookmarkEnd w:id="12"/>
      <w:r>
        <w:rPr>
          <w:rFonts w:hint="eastAsia" w:ascii="宋体" w:hAnsi="宋体" w:eastAsia="宋体" w:cs="宋体"/>
          <w:b/>
          <w:bCs/>
          <w:color w:val="000000" w:themeColor="text1"/>
          <w:sz w:val="21"/>
          <w:szCs w:val="21"/>
          <w14:textFill>
            <w14:solidFill>
              <w14:schemeClr w14:val="tx1"/>
            </w14:solidFill>
          </w14:textFill>
        </w:rPr>
        <w:t>四、提交投标文件截止时间、开标时间和地点</w:t>
      </w:r>
    </w:p>
    <w:p w14:paraId="706328A7">
      <w:pPr>
        <w:spacing w:beforeAutospacing="0" w:afterAutospacing="0" w:line="480" w:lineRule="exact"/>
        <w:ind w:firstLine="422" w:firstLineChars="20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时间：</w:t>
      </w:r>
      <w:r>
        <w:rPr>
          <w:rFonts w:hint="eastAsia" w:ascii="宋体" w:hAnsi="宋体" w:eastAsia="宋体" w:cs="宋体"/>
          <w:color w:val="000000" w:themeColor="text1"/>
          <w:szCs w:val="21"/>
          <w:u w:val="single"/>
          <w14:textFill>
            <w14:solidFill>
              <w14:schemeClr w14:val="tx1"/>
            </w14:solidFill>
          </w14:textFill>
        </w:rPr>
        <w:t>202</w:t>
      </w:r>
      <w:r>
        <w:rPr>
          <w:rFonts w:hint="eastAsia" w:ascii="宋体" w:hAnsi="宋体" w:cs="宋体"/>
          <w:color w:val="000000" w:themeColor="text1"/>
          <w:szCs w:val="21"/>
          <w:u w:val="single"/>
          <w:lang w:val="en-US" w:eastAsia="zh-CN"/>
          <w14:textFill>
            <w14:solidFill>
              <w14:schemeClr w14:val="tx1"/>
            </w14:solidFill>
          </w14:textFill>
        </w:rPr>
        <w:t>5</w:t>
      </w:r>
      <w:r>
        <w:rPr>
          <w:rFonts w:hint="eastAsia" w:ascii="宋体" w:hAnsi="宋体" w:eastAsia="宋体" w:cs="宋体"/>
          <w:color w:val="000000" w:themeColor="text1"/>
          <w:szCs w:val="21"/>
          <w:u w:val="single"/>
          <w14:textFill>
            <w14:solidFill>
              <w14:schemeClr w14:val="tx1"/>
            </w14:solidFill>
          </w14:textFill>
        </w:rPr>
        <w:t>年</w:t>
      </w:r>
      <w:r>
        <w:rPr>
          <w:rFonts w:hint="eastAsia" w:ascii="宋体" w:hAnsi="宋体" w:cs="宋体"/>
          <w:color w:val="000000" w:themeColor="text1"/>
          <w:szCs w:val="21"/>
          <w:u w:val="single"/>
          <w:lang w:val="en-US" w:eastAsia="zh-CN"/>
          <w14:textFill>
            <w14:solidFill>
              <w14:schemeClr w14:val="tx1"/>
            </w14:solidFill>
          </w14:textFill>
        </w:rPr>
        <w:t>10</w:t>
      </w:r>
      <w:r>
        <w:rPr>
          <w:rFonts w:hint="eastAsia" w:ascii="宋体" w:hAnsi="宋体" w:eastAsia="宋体" w:cs="宋体"/>
          <w:color w:val="000000" w:themeColor="text1"/>
          <w:szCs w:val="21"/>
          <w:u w:val="single"/>
          <w14:textFill>
            <w14:solidFill>
              <w14:schemeClr w14:val="tx1"/>
            </w14:solidFill>
          </w14:textFill>
        </w:rPr>
        <w:t>月</w:t>
      </w:r>
      <w:r>
        <w:rPr>
          <w:rFonts w:hint="eastAsia" w:ascii="宋体" w:hAnsi="宋体" w:cs="宋体"/>
          <w:color w:val="000000" w:themeColor="text1"/>
          <w:szCs w:val="21"/>
          <w:u w:val="single"/>
          <w:lang w:val="en-US" w:eastAsia="zh-CN"/>
          <w14:textFill>
            <w14:solidFill>
              <w14:schemeClr w14:val="tx1"/>
            </w14:solidFill>
          </w14:textFill>
        </w:rPr>
        <w:t>23</w:t>
      </w:r>
      <w:r>
        <w:rPr>
          <w:rFonts w:hint="eastAsia" w:ascii="宋体" w:hAnsi="宋体" w:eastAsia="宋体" w:cs="宋体"/>
          <w:color w:val="000000" w:themeColor="text1"/>
          <w:szCs w:val="21"/>
          <w:u w:val="single"/>
          <w14:textFill>
            <w14:solidFill>
              <w14:schemeClr w14:val="tx1"/>
            </w14:solidFill>
          </w14:textFill>
        </w:rPr>
        <w:t>日</w:t>
      </w:r>
      <w:r>
        <w:rPr>
          <w:rFonts w:hint="eastAsia" w:ascii="宋体" w:hAnsi="宋体" w:cs="宋体"/>
          <w:color w:val="000000" w:themeColor="text1"/>
          <w:szCs w:val="21"/>
          <w:u w:val="single"/>
          <w:lang w:val="en-US" w:eastAsia="zh-CN"/>
          <w14:textFill>
            <w14:solidFill>
              <w14:schemeClr w14:val="tx1"/>
            </w14:solidFill>
          </w14:textFill>
        </w:rPr>
        <w:t>09</w:t>
      </w:r>
      <w:r>
        <w:rPr>
          <w:rFonts w:hint="eastAsia" w:ascii="宋体" w:hAnsi="宋体" w:eastAsia="宋体" w:cs="宋体"/>
          <w:color w:val="000000" w:themeColor="text1"/>
          <w:szCs w:val="21"/>
          <w:u w:val="single"/>
          <w14:textFill>
            <w14:solidFill>
              <w14:schemeClr w14:val="tx1"/>
            </w14:solidFill>
          </w14:textFill>
        </w:rPr>
        <w:t>点</w:t>
      </w:r>
      <w:r>
        <w:rPr>
          <w:rFonts w:hint="eastAsia" w:ascii="宋体" w:hAnsi="宋体" w:cs="宋体"/>
          <w:color w:val="000000" w:themeColor="text1"/>
          <w:szCs w:val="21"/>
          <w:u w:val="single"/>
          <w:lang w:val="en-US" w:eastAsia="zh-CN"/>
          <w14:textFill>
            <w14:solidFill>
              <w14:schemeClr w14:val="tx1"/>
            </w14:solidFill>
          </w14:textFill>
        </w:rPr>
        <w:t>30</w:t>
      </w:r>
      <w:r>
        <w:rPr>
          <w:rFonts w:hint="eastAsia" w:ascii="宋体" w:hAnsi="宋体" w:eastAsia="宋体" w:cs="宋体"/>
          <w:color w:val="000000" w:themeColor="text1"/>
          <w:szCs w:val="21"/>
          <w:u w:val="single"/>
          <w14:textFill>
            <w14:solidFill>
              <w14:schemeClr w14:val="tx1"/>
            </w14:solidFill>
          </w14:textFill>
        </w:rPr>
        <w:t>分</w:t>
      </w:r>
      <w:r>
        <w:rPr>
          <w:rFonts w:hint="eastAsia" w:ascii="宋体" w:hAnsi="宋体" w:eastAsia="宋体" w:cs="宋体"/>
          <w:bCs/>
          <w:color w:val="000000" w:themeColor="text1"/>
          <w:szCs w:val="21"/>
          <w14:textFill>
            <w14:solidFill>
              <w14:schemeClr w14:val="tx1"/>
            </w14:solidFill>
          </w14:textFill>
        </w:rPr>
        <w:t>（北京时间）</w:t>
      </w:r>
      <w:r>
        <w:rPr>
          <w:rFonts w:hint="eastAsia" w:ascii="宋体" w:hAnsi="宋体" w:eastAsia="宋体" w:cs="宋体"/>
          <w:b/>
          <w:color w:val="000000" w:themeColor="text1"/>
          <w:szCs w:val="21"/>
          <w14:textFill>
            <w14:solidFill>
              <w14:schemeClr w14:val="tx1"/>
            </w14:solidFill>
          </w14:textFill>
        </w:rPr>
        <w:t>（自招标文件开始发出之日起至投标人提交投标文件截止之日止，不得少于20日）</w:t>
      </w:r>
    </w:p>
    <w:p w14:paraId="4C1CF326">
      <w:pPr>
        <w:spacing w:beforeAutospacing="0" w:afterAutospacing="0" w:line="480" w:lineRule="exact"/>
        <w:ind w:firstLine="422" w:firstLineChars="200"/>
        <w:rPr>
          <w:rFonts w:hint="eastAsia" w:ascii="宋体" w:hAnsi="宋体" w:eastAsia="宋体" w:cs="宋体"/>
          <w:bCs/>
          <w:color w:val="000000" w:themeColor="text1"/>
          <w:szCs w:val="21"/>
          <w:u w:val="single"/>
          <w:lang w:eastAsia="zh-CN"/>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地点：</w:t>
      </w:r>
      <w:r>
        <w:rPr>
          <w:rFonts w:hint="eastAsia" w:ascii="宋体" w:hAnsi="宋体"/>
          <w:color w:val="auto"/>
          <w:highlight w:val="none"/>
        </w:rPr>
        <w:t>韶关市</w:t>
      </w:r>
      <w:r>
        <w:rPr>
          <w:rFonts w:hint="eastAsia" w:ascii="宋体" w:hAnsi="宋体"/>
          <w:color w:val="auto"/>
          <w:highlight w:val="none"/>
          <w:lang w:val="en-US" w:eastAsia="zh-CN"/>
        </w:rPr>
        <w:t>新丰县</w:t>
      </w:r>
      <w:r>
        <w:rPr>
          <w:rFonts w:hint="eastAsia" w:ascii="宋体" w:hAnsi="宋体"/>
          <w:color w:val="auto"/>
          <w:highlight w:val="none"/>
        </w:rPr>
        <w:t>公共资源交易中心</w:t>
      </w:r>
    </w:p>
    <w:p w14:paraId="5A42899F">
      <w:pPr>
        <w:pStyle w:val="3"/>
        <w:spacing w:before="0" w:beforeAutospacing="0" w:after="0" w:afterAutospacing="0" w:line="480" w:lineRule="exact"/>
        <w:rPr>
          <w:rFonts w:cs="宋体"/>
          <w:b/>
          <w:bCs/>
          <w:color w:val="000000" w:themeColor="text1"/>
          <w:sz w:val="21"/>
          <w:szCs w:val="21"/>
          <w14:textFill>
            <w14:solidFill>
              <w14:schemeClr w14:val="tx1"/>
            </w14:solidFill>
          </w14:textFill>
        </w:rPr>
      </w:pPr>
      <w:bookmarkStart w:id="13" w:name="_Toc35393794"/>
      <w:bookmarkEnd w:id="13"/>
      <w:bookmarkStart w:id="14" w:name="_Toc28359084"/>
      <w:bookmarkEnd w:id="14"/>
      <w:bookmarkStart w:id="15" w:name="_Toc35393625"/>
      <w:bookmarkEnd w:id="15"/>
      <w:bookmarkStart w:id="16" w:name="_Toc28359007"/>
      <w:bookmarkEnd w:id="16"/>
      <w:r>
        <w:rPr>
          <w:rFonts w:hint="eastAsia" w:cs="宋体"/>
          <w:b/>
          <w:bCs/>
          <w:color w:val="000000" w:themeColor="text1"/>
          <w:sz w:val="21"/>
          <w:szCs w:val="21"/>
          <w14:textFill>
            <w14:solidFill>
              <w14:schemeClr w14:val="tx1"/>
            </w14:solidFill>
          </w14:textFill>
        </w:rPr>
        <w:t>五、公告期限</w:t>
      </w:r>
    </w:p>
    <w:p w14:paraId="1CFC48BD">
      <w:pPr>
        <w:spacing w:beforeAutospacing="0" w:afterAutospacing="0" w:line="480" w:lineRule="exact"/>
        <w:ind w:firstLine="420" w:firstLineChars="200"/>
        <w:rPr>
          <w:rFonts w:ascii="宋体" w:hAnsi="宋体" w:cs="宋体"/>
          <w:kern w:val="0"/>
          <w:szCs w:val="21"/>
        </w:rPr>
      </w:pPr>
      <w:bookmarkStart w:id="17" w:name="_Toc35393626"/>
      <w:bookmarkStart w:id="18" w:name="_Toc35393795"/>
      <w:r>
        <w:rPr>
          <w:rFonts w:hint="eastAsia" w:ascii="宋体" w:hAnsi="宋体" w:cs="宋体"/>
          <w:kern w:val="0"/>
          <w:szCs w:val="21"/>
        </w:rPr>
        <w:t>自本公告发布之日起5个工作日。</w:t>
      </w:r>
    </w:p>
    <w:bookmarkEnd w:id="17"/>
    <w:bookmarkEnd w:id="18"/>
    <w:p w14:paraId="075CCF8E">
      <w:pPr>
        <w:spacing w:beforeAutospacing="0" w:afterAutospacing="0" w:line="480" w:lineRule="exact"/>
        <w:rPr>
          <w:rFonts w:ascii="宋体" w:hAnsi="宋体" w:cs="宋体"/>
          <w:b/>
          <w:bCs/>
          <w:szCs w:val="21"/>
        </w:rPr>
      </w:pPr>
      <w:r>
        <w:rPr>
          <w:rFonts w:hint="eastAsia" w:ascii="宋体" w:hAnsi="宋体" w:cs="宋体"/>
          <w:b/>
          <w:bCs/>
          <w:kern w:val="0"/>
          <w:szCs w:val="21"/>
        </w:rPr>
        <w:t>六、</w:t>
      </w:r>
      <w:r>
        <w:rPr>
          <w:rFonts w:hint="eastAsia" w:ascii="宋体" w:hAnsi="宋体" w:cs="宋体"/>
          <w:b/>
          <w:bCs/>
          <w:szCs w:val="21"/>
        </w:rPr>
        <w:t>其他补充事宜</w:t>
      </w:r>
    </w:p>
    <w:p w14:paraId="66C4911C">
      <w:pPr>
        <w:tabs>
          <w:tab w:val="left" w:pos="567"/>
        </w:tabs>
        <w:autoSpaceDE w:val="0"/>
        <w:autoSpaceDN w:val="0"/>
        <w:spacing w:beforeAutospacing="0" w:afterAutospacing="0" w:line="400" w:lineRule="exact"/>
        <w:ind w:firstLine="141" w:firstLineChars="67"/>
        <w:textAlignment w:val="bottom"/>
        <w:outlineLvl w:val="0"/>
        <w:rPr>
          <w:rFonts w:hint="eastAsia" w:ascii="宋体" w:hAnsi="宋体" w:eastAsia="宋体" w:cs="宋体"/>
          <w:b/>
          <w:color w:val="000000" w:themeColor="text1"/>
          <w:kern w:val="2"/>
          <w:sz w:val="21"/>
          <w:szCs w:val="21"/>
          <w:lang w:val="en-US" w:eastAsia="zh-CN" w:bidi="ar-SA"/>
          <w14:textFill>
            <w14:solidFill>
              <w14:schemeClr w14:val="tx1"/>
            </w14:solidFill>
          </w14:textFill>
        </w:rPr>
      </w:pPr>
      <w:bookmarkStart w:id="19" w:name="_Toc28359085"/>
      <w:bookmarkStart w:id="20" w:name="_Toc35393627"/>
      <w:bookmarkStart w:id="21" w:name="_Toc28359008"/>
      <w:bookmarkStart w:id="22" w:name="_Toc35393796"/>
      <w:r>
        <w:rPr>
          <w:rFonts w:hint="eastAsia" w:cs="宋体"/>
          <w:b/>
          <w:color w:val="auto"/>
          <w:sz w:val="21"/>
          <w:szCs w:val="21"/>
          <w:lang w:val="en-US" w:eastAsia="zh-CN"/>
        </w:rPr>
        <w:t>1.</w:t>
      </w:r>
      <w:r>
        <w:rPr>
          <w:rFonts w:hint="eastAsia" w:ascii="宋体" w:hAnsi="宋体" w:eastAsia="宋体" w:cs="宋体"/>
          <w:b/>
          <w:color w:val="000000" w:themeColor="text1"/>
          <w:kern w:val="2"/>
          <w:sz w:val="21"/>
          <w:szCs w:val="21"/>
          <w:lang w:val="en-US" w:eastAsia="zh-CN" w:bidi="ar-SA"/>
          <w14:textFill>
            <w14:solidFill>
              <w14:schemeClr w14:val="tx1"/>
            </w14:solidFill>
          </w14:textFill>
        </w:rPr>
        <w:t>报名事宜</w:t>
      </w:r>
      <w:r>
        <w:rPr>
          <w:rFonts w:hint="eastAsia" w:ascii="宋体" w:hAnsi="宋体" w:cs="宋体"/>
          <w:b/>
          <w:color w:val="000000" w:themeColor="text1"/>
          <w:kern w:val="2"/>
          <w:sz w:val="21"/>
          <w:szCs w:val="21"/>
          <w:lang w:val="en-US" w:eastAsia="zh-CN" w:bidi="ar-SA"/>
          <w14:textFill>
            <w14:solidFill>
              <w14:schemeClr w14:val="tx1"/>
            </w14:solidFill>
          </w14:textFill>
        </w:rPr>
        <w:t>：</w:t>
      </w:r>
    </w:p>
    <w:p w14:paraId="06E5FBDF">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（1）报名流程：</w:t>
      </w:r>
      <w:r>
        <w:rPr>
          <w:rFonts w:hint="eastAsia" w:ascii="宋体" w:hAnsi="宋体" w:cs="宋体"/>
          <w:color w:val="000000" w:themeColor="text1"/>
          <w:highlight w:val="none"/>
          <w:lang w:val="en-US" w:eastAsia="zh-CN"/>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必须在报名时间内登录韶关市公共资源交易一体化平台（请使用 360 浏览器登录网址：http://ythpt.sg.gov.cn），在用户登录窗口登录。登录成功后，点击“产权招标交易系统”进入产权招标交易系统，点击“系统功能菜单”中的“投标报名 &gt; 项目列表”查看可报名的项目，选择需参与的项目分包，点击“报名”，输入联系人、联系电话，输入Pin码验证成功后，点击“确认”即可。在“已报项目”栏中看到已报项目，即为报名成功。</w:t>
      </w:r>
    </w:p>
    <w:p w14:paraId="2FC380E2">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lang w:val="en-US" w:eastAsia="zh-CN"/>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报名参与重新采购的项目，应当登录产权招标交易系统按报名流程在招标文件规定的期限内重新报名。</w:t>
      </w:r>
    </w:p>
    <w:p w14:paraId="005C0195">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）未在韶关市公共资源交易中心办理韶关市电子交易平台数字证书和产权招标交易系统</w:t>
      </w:r>
      <w:r>
        <w:rPr>
          <w:rFonts w:hint="eastAsia" w:ascii="宋体" w:hAnsi="宋体" w:cs="宋体"/>
          <w:color w:val="000000" w:themeColor="text1"/>
          <w:highlight w:val="none"/>
          <w:lang w:val="en-US" w:eastAsia="zh-CN"/>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入库手续的，</w:t>
      </w:r>
      <w:r>
        <w:rPr>
          <w:rFonts w:hint="eastAsia" w:ascii="宋体" w:hAnsi="宋体" w:cs="宋体"/>
          <w:color w:val="000000" w:themeColor="text1"/>
          <w:highlight w:val="none"/>
          <w:lang w:val="en-US" w:eastAsia="zh-CN"/>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 xml:space="preserve">应当登录韶关市公共资源交易一体化平台（网址： http://portal.ythpt.sg.gov.cn）用户注册及完善企业信息、上传资料，携带相关资料到韶关市公共资源交易中心1号楼一楼办事大厅办理相关手续（详见韶关市公共资源交易一体化平台的《韶关市公共资源交易一体化平台使用产权招标交易系统注意事项》的附件《韶关市公共资源交易一体化平台产权招标交易-投标人用户手册》）。 </w:t>
      </w:r>
    </w:p>
    <w:p w14:paraId="404609B6">
      <w:pPr>
        <w:spacing w:beforeAutospacing="0" w:afterAutospacing="0" w:line="480" w:lineRule="exact"/>
        <w:rPr>
          <w:rFonts w:hint="eastAsia" w:ascii="宋体" w:hAnsi="宋体" w:cs="宋体"/>
          <w:b/>
          <w:color w:val="000000" w:themeColor="text1"/>
          <w:szCs w:val="21"/>
          <w:u w:val="singl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）报名成功后，</w:t>
      </w:r>
      <w:r>
        <w:rPr>
          <w:rFonts w:hint="eastAsia" w:ascii="宋体" w:hAnsi="宋体" w:cs="宋体"/>
          <w:color w:val="000000" w:themeColor="text1"/>
          <w:highlight w:val="none"/>
          <w:lang w:val="en-US" w:eastAsia="zh-CN"/>
          <w14:textFill>
            <w14:solidFill>
              <w14:schemeClr w14:val="tx1"/>
            </w14:solidFill>
          </w14:textFill>
        </w:rPr>
        <w:t>投标人</w:t>
      </w:r>
      <w:r>
        <w:rPr>
          <w:rFonts w:hint="eastAsia" w:ascii="宋体" w:hAnsi="宋体" w:eastAsia="宋体" w:cs="宋体"/>
          <w:color w:val="000000" w:themeColor="text1"/>
          <w:highlight w:val="none"/>
          <w:lang w:val="en-US" w:eastAsia="zh-CN"/>
          <w14:textFill>
            <w14:solidFill>
              <w14:schemeClr w14:val="tx1"/>
            </w14:solidFill>
          </w14:textFill>
        </w:rPr>
        <w:t>自行登录韶关市公共资源交易一体化平台（网址： http://portal.ythpt.sg.gov.cn）或产权招标交易系统下载招标文件、操作指南（以最新日期版本为准）参加投标活动。</w:t>
      </w:r>
    </w:p>
    <w:p w14:paraId="1C2374B5">
      <w:pPr>
        <w:pStyle w:val="3"/>
        <w:spacing w:before="0" w:beforeAutospacing="0" w:after="0" w:afterAutospacing="0" w:line="480" w:lineRule="exact"/>
        <w:rPr>
          <w:rFonts w:hint="eastAsia" w:cs="宋体"/>
          <w:b/>
          <w:color w:val="000000" w:themeColor="text1"/>
          <w:sz w:val="21"/>
          <w:szCs w:val="21"/>
          <w:lang w:val="en-US" w:eastAsia="zh-CN"/>
          <w14:textFill>
            <w14:solidFill>
              <w14:schemeClr w14:val="tx1"/>
            </w14:solidFill>
          </w14:textFill>
        </w:rPr>
      </w:pPr>
      <w:r>
        <w:rPr>
          <w:rFonts w:hint="eastAsia" w:cs="宋体"/>
          <w:b/>
          <w:color w:val="000000" w:themeColor="text1"/>
          <w:sz w:val="21"/>
          <w:szCs w:val="21"/>
          <w:lang w:val="en-US" w:eastAsia="zh-CN"/>
          <w14:textFill>
            <w14:solidFill>
              <w14:schemeClr w14:val="tx1"/>
            </w14:solidFill>
          </w14:textFill>
        </w:rPr>
        <w:t xml:space="preserve">  2.需要落实的相关政策法规：</w:t>
      </w:r>
    </w:p>
    <w:p w14:paraId="57E6736C">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）《中华人民共和国招标投标法》</w:t>
      </w:r>
      <w:r>
        <w:rPr>
          <w:rFonts w:hint="eastAsia" w:ascii="宋体" w:hAnsi="宋体" w:eastAsia="宋体" w:cs="宋体"/>
          <w:color w:val="000000" w:themeColor="text1"/>
          <w:highlight w:val="none"/>
          <w:lang w:eastAsia="zh-CN"/>
          <w14:textFill>
            <w14:solidFill>
              <w14:schemeClr w14:val="tx1"/>
            </w14:solidFill>
          </w14:textFill>
        </w:rPr>
        <w:t>。</w:t>
      </w:r>
    </w:p>
    <w:p w14:paraId="50BB0E29">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）《中华人民共和国招标投标法实施条例》</w:t>
      </w:r>
      <w:r>
        <w:rPr>
          <w:rFonts w:hint="eastAsia" w:ascii="宋体" w:hAnsi="宋体" w:eastAsia="宋体" w:cs="宋体"/>
          <w:color w:val="000000" w:themeColor="text1"/>
          <w:highlight w:val="none"/>
          <w:lang w:eastAsia="zh-CN"/>
          <w14:textFill>
            <w14:solidFill>
              <w14:schemeClr w14:val="tx1"/>
            </w14:solidFill>
          </w14:textFill>
        </w:rPr>
        <w:t>。</w:t>
      </w:r>
    </w:p>
    <w:bookmarkEnd w:id="19"/>
    <w:bookmarkEnd w:id="20"/>
    <w:bookmarkEnd w:id="21"/>
    <w:bookmarkEnd w:id="22"/>
    <w:p w14:paraId="787D84AA">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《中华人民共和国预算法》；</w:t>
      </w:r>
    </w:p>
    <w:p w14:paraId="68961B78">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《关于进一步完善政策环境加大力度支持民间投资发展的意见》（发改投资〔2022〕1652号）；</w:t>
      </w:r>
    </w:p>
    <w:p w14:paraId="2E01129E">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《中共中央办公厅国务院办公厅印发〈关于创新政府配置资源方式的指导意见〉的通知》；</w:t>
      </w:r>
    </w:p>
    <w:p w14:paraId="4F16008D">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《国务院关于全民所有自然资源资产有偿使用制度改革的指导意见》(国发〔2016〕82号)</w:t>
      </w:r>
      <w:r>
        <w:rPr>
          <w:rFonts w:hint="eastAsia" w:ascii="宋体" w:hAnsi="宋体" w:eastAsia="宋体" w:cs="宋体"/>
          <w:color w:val="000000" w:themeColor="text1"/>
          <w:highlight w:val="none"/>
          <w:lang w:eastAsia="zh-CN"/>
          <w14:textFill>
            <w14:solidFill>
              <w14:schemeClr w14:val="tx1"/>
            </w14:solidFill>
          </w14:textFill>
        </w:rPr>
        <w:t>；</w:t>
      </w:r>
    </w:p>
    <w:p w14:paraId="1743C270">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《财政部国家发展和改革委员会住房和城乡建设部关于印发〈市政公共资源有偿使用收入管理办法〉的通知》（财税〔2016〕116号）；</w:t>
      </w:r>
    </w:p>
    <w:p w14:paraId="5D0C0352">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《关于进一步盘活存量资产扩大有效投资的意见》（国办发〔2022〕19号）</w:t>
      </w:r>
      <w:r>
        <w:rPr>
          <w:rFonts w:hint="eastAsia" w:ascii="宋体" w:hAnsi="宋体" w:eastAsia="宋体" w:cs="宋体"/>
          <w:color w:val="000000" w:themeColor="text1"/>
          <w:highlight w:val="none"/>
          <w:lang w:eastAsia="zh-CN"/>
          <w14:textFill>
            <w14:solidFill>
              <w14:schemeClr w14:val="tx1"/>
            </w14:solidFill>
          </w14:textFill>
        </w:rPr>
        <w:t>；</w:t>
      </w:r>
    </w:p>
    <w:p w14:paraId="6865CF53">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《关于做好盘活存量资产扩大有效投资有关工作的通知》（发改办投资〔2022〕561号）</w:t>
      </w:r>
      <w:r>
        <w:rPr>
          <w:rFonts w:hint="eastAsia" w:ascii="宋体" w:hAnsi="宋体" w:eastAsia="宋体" w:cs="宋体"/>
          <w:color w:val="000000" w:themeColor="text1"/>
          <w:highlight w:val="none"/>
          <w:lang w:eastAsia="zh-CN"/>
          <w14:textFill>
            <w14:solidFill>
              <w14:schemeClr w14:val="tx1"/>
            </w14:solidFill>
          </w14:textFill>
        </w:rPr>
        <w:t>；</w:t>
      </w:r>
    </w:p>
    <w:p w14:paraId="76E1112B">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《国务院办公厅转发国家发展改革委等部门关于推动城市停车设施发展意见的通知》（国办函〔2021〕46号）；</w:t>
      </w:r>
    </w:p>
    <w:p w14:paraId="404EA1DC">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《国务院办公厅关于进一步构建高质量充电基础设施体系的指导意见》（国办发〔2023〕19号）；</w:t>
      </w:r>
    </w:p>
    <w:p w14:paraId="4A35DAF1">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《企业国有资产交易监督管理办法》；</w:t>
      </w:r>
    </w:p>
    <w:p w14:paraId="456A8036">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行政事业性国有资产管理条例</w:t>
      </w:r>
      <w:r>
        <w:rPr>
          <w:rFonts w:hint="eastAsia" w:ascii="宋体" w:hAnsi="宋体" w:eastAsia="宋体" w:cs="宋体"/>
          <w:color w:val="000000" w:themeColor="text1"/>
          <w:highlight w:val="none"/>
          <w:lang w:val="en-US" w:eastAsia="zh-CN"/>
          <w14:textFill>
            <w14:solidFill>
              <w14:schemeClr w14:val="tx1"/>
            </w14:solidFill>
          </w14:textFill>
        </w:rPr>
        <w:t>》；</w:t>
      </w:r>
    </w:p>
    <w:p w14:paraId="7CEC63E2">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14</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《关于企业国有资产交易流转有关事项的通知》（国资发产权规〔2022〕39号）；</w:t>
      </w:r>
    </w:p>
    <w:p w14:paraId="2D4639F3">
      <w:pPr>
        <w:tabs>
          <w:tab w:val="left" w:pos="567"/>
        </w:tabs>
        <w:autoSpaceDE w:val="0"/>
        <w:autoSpaceDN w:val="0"/>
        <w:spacing w:beforeAutospacing="0" w:afterAutospacing="0" w:line="360" w:lineRule="auto"/>
        <w:ind w:firstLine="140" w:firstLineChars="67"/>
        <w:textAlignment w:val="bottom"/>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新丰县人民政府关于印发新丰县公共资源有偿使用管理办法（试行）的通知（新府规〔2025〕2号）</w:t>
      </w:r>
      <w:r>
        <w:rPr>
          <w:rFonts w:hint="eastAsia" w:ascii="宋体" w:hAnsi="宋体" w:eastAsia="宋体" w:cs="宋体"/>
          <w:color w:val="000000" w:themeColor="text1"/>
          <w:highlight w:val="none"/>
          <w:lang w:val="en-US" w:eastAsia="zh-CN"/>
          <w14:textFill>
            <w14:solidFill>
              <w14:schemeClr w14:val="tx1"/>
            </w14:solidFill>
          </w14:textFill>
        </w:rPr>
        <w:t>等相关法律法规</w:t>
      </w:r>
      <w:r>
        <w:rPr>
          <w:rFonts w:hint="eastAsia" w:ascii="宋体" w:hAnsi="宋体" w:eastAsia="宋体" w:cs="宋体"/>
          <w:color w:val="000000" w:themeColor="text1"/>
          <w:highlight w:val="none"/>
          <w:lang w:eastAsia="zh-CN"/>
          <w14:textFill>
            <w14:solidFill>
              <w14:schemeClr w14:val="tx1"/>
            </w14:solidFill>
          </w14:textFill>
        </w:rPr>
        <w:t>。</w:t>
      </w:r>
    </w:p>
    <w:p w14:paraId="2156DBDF">
      <w:pPr>
        <w:pStyle w:val="3"/>
        <w:spacing w:before="0" w:beforeAutospacing="0" w:after="0" w:afterAutospacing="0" w:line="480" w:lineRule="exact"/>
        <w:rPr>
          <w:rFonts w:cs="宋体"/>
          <w:b/>
          <w:bCs/>
          <w:color w:val="000000" w:themeColor="text1"/>
          <w:sz w:val="21"/>
          <w:szCs w:val="21"/>
          <w14:textFill>
            <w14:solidFill>
              <w14:schemeClr w14:val="tx1"/>
            </w14:solidFill>
          </w14:textFill>
        </w:rPr>
      </w:pPr>
      <w:r>
        <w:rPr>
          <w:rFonts w:hint="eastAsia" w:cs="宋体"/>
          <w:b/>
          <w:bCs/>
          <w:color w:val="000000" w:themeColor="text1"/>
          <w:sz w:val="21"/>
          <w:szCs w:val="21"/>
          <w14:textFill>
            <w14:solidFill>
              <w14:schemeClr w14:val="tx1"/>
            </w14:solidFill>
          </w14:textFill>
        </w:rPr>
        <w:t>七、对本次招标提出询问，请按以下方式联系</w:t>
      </w:r>
    </w:p>
    <w:p w14:paraId="541759B4">
      <w:pPr>
        <w:spacing w:beforeAutospacing="0" w:afterAutospacing="0" w:line="48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1.招标人信息</w:t>
      </w:r>
    </w:p>
    <w:p w14:paraId="6FBAC2EF">
      <w:pPr>
        <w:spacing w:beforeAutospacing="0" w:afterAutospacing="0" w:line="480" w:lineRule="exact"/>
        <w:ind w:firstLine="420" w:firstLineChars="20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w:t>
      </w:r>
      <w:r>
        <w:rPr>
          <w:rFonts w:hint="eastAsia" w:ascii="宋体" w:hAnsi="宋体" w:eastAsia="宋体" w:cs="宋体"/>
          <w:color w:val="000000" w:themeColor="text1"/>
          <w:szCs w:val="21"/>
          <w:lang w:val="en-US" w:eastAsia="zh-CN"/>
          <w14:textFill>
            <w14:solidFill>
              <w14:schemeClr w14:val="tx1"/>
            </w14:solidFill>
          </w14:textFill>
        </w:rPr>
        <w:t xml:space="preserve"> 称：</w:t>
      </w:r>
      <w:r>
        <w:rPr>
          <w:rFonts w:hint="eastAsia" w:ascii="宋体" w:hAnsi="宋体" w:cs="宋体"/>
          <w:color w:val="000000" w:themeColor="text1"/>
          <w:szCs w:val="21"/>
          <w:lang w:val="en-US" w:eastAsia="zh-CN"/>
          <w14:textFill>
            <w14:solidFill>
              <w14:schemeClr w14:val="tx1"/>
            </w14:solidFill>
          </w14:textFill>
        </w:rPr>
        <w:t>新丰县住房和城乡建设管理局</w:t>
      </w:r>
    </w:p>
    <w:p w14:paraId="5802BAF0">
      <w:pPr>
        <w:spacing w:beforeAutospacing="0" w:afterAutospacing="0" w:line="480" w:lineRule="exact"/>
        <w:ind w:firstLine="420" w:firstLineChars="200"/>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地 址：</w:t>
      </w:r>
      <w:r>
        <w:rPr>
          <w:rFonts w:hint="eastAsia" w:ascii="宋体" w:hAnsi="宋体" w:cs="宋体"/>
          <w:color w:val="auto"/>
          <w:sz w:val="21"/>
          <w:szCs w:val="21"/>
          <w:lang w:val="en-US" w:eastAsia="zh-CN"/>
        </w:rPr>
        <w:t>韶关市新丰县丰城街道金园路53号六楼</w:t>
      </w:r>
    </w:p>
    <w:p w14:paraId="12EC48B4">
      <w:pPr>
        <w:spacing w:beforeAutospacing="0" w:afterAutospacing="0" w:line="480" w:lineRule="exact"/>
        <w:ind w:firstLine="420" w:firstLineChars="200"/>
        <w:jc w:val="left"/>
        <w:rPr>
          <w:rFonts w:hint="default"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联系方</w:t>
      </w:r>
      <w:r>
        <w:rPr>
          <w:rFonts w:hint="eastAsia" w:ascii="宋体" w:hAnsi="宋体" w:eastAsia="宋体" w:cs="宋体"/>
          <w:color w:val="000000" w:themeColor="text1"/>
          <w:szCs w:val="21"/>
          <w:lang w:eastAsia="zh-CN"/>
          <w14:textFill>
            <w14:solidFill>
              <w14:schemeClr w14:val="tx1"/>
            </w14:solidFill>
          </w14:textFill>
        </w:rPr>
        <w:t>式：</w:t>
      </w:r>
      <w:r>
        <w:rPr>
          <w:rFonts w:hint="eastAsia" w:ascii="宋体" w:hAnsi="宋体" w:cs="宋体"/>
          <w:color w:val="000000" w:themeColor="text1"/>
          <w:szCs w:val="21"/>
          <w:lang w:val="en-US" w:eastAsia="zh-CN"/>
          <w14:textFill>
            <w14:solidFill>
              <w14:schemeClr w14:val="tx1"/>
            </w14:solidFill>
          </w14:textFill>
        </w:rPr>
        <w:t>0751-6921027</w:t>
      </w:r>
    </w:p>
    <w:p w14:paraId="2E58CCB8">
      <w:pPr>
        <w:spacing w:beforeAutospacing="0" w:afterAutospacing="0" w:line="480" w:lineRule="exact"/>
        <w:jc w:val="left"/>
        <w:rPr>
          <w:rFonts w:ascii="宋体" w:hAnsi="宋体" w:cs="宋体"/>
          <w:color w:val="000000" w:themeColor="text1"/>
          <w:szCs w:val="21"/>
          <w14:textFill>
            <w14:solidFill>
              <w14:schemeClr w14:val="tx1"/>
            </w14:solidFill>
          </w14:textFill>
        </w:rPr>
      </w:pPr>
      <w:bookmarkStart w:id="23" w:name="_Toc28359086"/>
      <w:bookmarkEnd w:id="23"/>
      <w:bookmarkStart w:id="24" w:name="_Toc28359009"/>
      <w:bookmarkEnd w:id="24"/>
      <w:r>
        <w:rPr>
          <w:rFonts w:hint="eastAsia" w:ascii="宋体" w:hAnsi="宋体" w:cs="宋体"/>
          <w:color w:val="000000" w:themeColor="text1"/>
          <w:szCs w:val="21"/>
          <w14:textFill>
            <w14:solidFill>
              <w14:schemeClr w14:val="tx1"/>
            </w14:solidFill>
          </w14:textFill>
        </w:rPr>
        <w:t>2.招标代理机构信息</w:t>
      </w:r>
    </w:p>
    <w:p w14:paraId="5875F628">
      <w:pPr>
        <w:spacing w:beforeAutospacing="0" w:afterAutospacing="0" w:line="480" w:lineRule="exact"/>
        <w:ind w:firstLine="420" w:firstLineChars="200"/>
        <w:rPr>
          <w:rFonts w:ascii="宋体" w:hAnsi="宋体" w:cs="宋体"/>
          <w:szCs w:val="21"/>
        </w:rPr>
      </w:pPr>
      <w:r>
        <w:rPr>
          <w:rFonts w:hint="eastAsia" w:ascii="宋体" w:hAnsi="宋体" w:cs="宋体"/>
          <w:szCs w:val="21"/>
        </w:rPr>
        <w:t>名 称：韶关市鸿鑫招标代理有限公司</w:t>
      </w:r>
    </w:p>
    <w:p w14:paraId="3D598685">
      <w:pPr>
        <w:spacing w:beforeAutospacing="0" w:afterAutospacing="0" w:line="480" w:lineRule="exact"/>
        <w:ind w:firstLine="420" w:firstLineChars="200"/>
        <w:rPr>
          <w:rFonts w:ascii="宋体" w:hAnsi="宋体" w:cs="宋体"/>
          <w:szCs w:val="21"/>
        </w:rPr>
      </w:pPr>
      <w:r>
        <w:rPr>
          <w:rFonts w:hint="eastAsia" w:ascii="宋体" w:hAnsi="宋体" w:cs="宋体"/>
          <w:szCs w:val="21"/>
        </w:rPr>
        <w:t>地 址：韶关市浈江区十里亭镇良村坝厂新村（黄金村大桥侧）11号</w:t>
      </w:r>
    </w:p>
    <w:p w14:paraId="5BE6157F">
      <w:pPr>
        <w:spacing w:beforeAutospacing="0" w:afterAutospacing="0" w:line="480" w:lineRule="exact"/>
        <w:ind w:firstLine="420" w:firstLineChars="200"/>
        <w:rPr>
          <w:rFonts w:hint="eastAsia" w:ascii="宋体" w:hAnsi="宋体" w:cs="宋体"/>
          <w:szCs w:val="21"/>
        </w:rPr>
      </w:pPr>
      <w:bookmarkStart w:id="25" w:name="_Toc28359087"/>
      <w:bookmarkStart w:id="26" w:name="_Toc28359010"/>
      <w:r>
        <w:rPr>
          <w:rFonts w:hint="eastAsia" w:ascii="宋体" w:hAnsi="宋体" w:cs="宋体"/>
          <w:szCs w:val="21"/>
        </w:rPr>
        <w:t>项目联系人:胡先生</w:t>
      </w:r>
    </w:p>
    <w:bookmarkEnd w:id="25"/>
    <w:bookmarkEnd w:id="26"/>
    <w:p w14:paraId="552BB5CE">
      <w:pPr>
        <w:spacing w:beforeAutospacing="0" w:afterAutospacing="0" w:line="480" w:lineRule="exact"/>
        <w:ind w:firstLine="420" w:firstLineChars="200"/>
        <w:rPr>
          <w:rFonts w:hint="eastAsia" w:ascii="宋体" w:hAnsi="宋体" w:cs="宋体"/>
          <w:szCs w:val="21"/>
          <w:lang w:val="en-US" w:eastAsia="zh-CN"/>
        </w:rPr>
      </w:pPr>
      <w:r>
        <w:rPr>
          <w:rFonts w:hint="eastAsia" w:ascii="宋体" w:hAnsi="宋体" w:cs="宋体"/>
          <w:szCs w:val="21"/>
        </w:rPr>
        <w:t>联系方式:0751-8887660</w:t>
      </w:r>
    </w:p>
    <w:p w14:paraId="66039A46">
      <w:pPr>
        <w:numPr>
          <w:ilvl w:val="0"/>
          <w:numId w:val="0"/>
        </w:numPr>
        <w:spacing w:beforeAutospacing="0" w:afterAutospacing="0" w:line="360" w:lineRule="auto"/>
        <w:rPr>
          <w:rFonts w:hint="eastAsia" w:ascii="宋体" w:hAnsi="宋体" w:cs="宋体"/>
          <w:szCs w:val="21"/>
          <w:lang w:val="en-US" w:eastAsia="zh-CN"/>
        </w:rPr>
      </w:pPr>
    </w:p>
    <w:p w14:paraId="54443ECE">
      <w:pPr>
        <w:numPr>
          <w:ilvl w:val="0"/>
          <w:numId w:val="0"/>
        </w:numPr>
        <w:spacing w:beforeAutospacing="0" w:afterAutospacing="0" w:line="360" w:lineRule="auto"/>
        <w:rPr>
          <w:rFonts w:hint="eastAsia" w:ascii="宋体" w:hAnsi="宋体" w:cs="宋体"/>
          <w:szCs w:val="21"/>
          <w:lang w:val="en-US" w:eastAsia="zh-CN"/>
        </w:rPr>
      </w:pPr>
    </w:p>
    <w:p w14:paraId="241B2628">
      <w:pPr>
        <w:numPr>
          <w:ilvl w:val="0"/>
          <w:numId w:val="0"/>
        </w:numPr>
        <w:spacing w:beforeAutospacing="0" w:afterAutospacing="0" w:line="360" w:lineRule="auto"/>
        <w:rPr>
          <w:rFonts w:hint="eastAsia" w:ascii="宋体" w:hAnsi="宋体" w:cs="宋体"/>
          <w:szCs w:val="21"/>
        </w:rPr>
      </w:pPr>
      <w:r>
        <w:rPr>
          <w:rFonts w:hint="eastAsia" w:ascii="宋体" w:hAnsi="宋体" w:cs="宋体"/>
          <w:szCs w:val="21"/>
          <w:lang w:val="en-US" w:eastAsia="zh-CN"/>
        </w:rPr>
        <w:t>八、</w:t>
      </w:r>
      <w:r>
        <w:rPr>
          <w:rFonts w:hint="eastAsia" w:ascii="宋体" w:hAnsi="宋体" w:cs="宋体"/>
          <w:szCs w:val="21"/>
        </w:rPr>
        <w:t>本项目的所有相关公告将在：采购与招标网（www.chinabidding.cn）</w:t>
      </w:r>
      <w:r>
        <w:rPr>
          <w:rFonts w:hint="eastAsia" w:ascii="宋体" w:hAnsi="宋体" w:cs="宋体"/>
          <w:szCs w:val="21"/>
          <w:lang w:val="en-US" w:eastAsia="zh-CN"/>
        </w:rPr>
        <w:t>、韶关市公共资源交易一体化平台（网址：http://portal.ythpt.sg.gov.cn）、</w:t>
      </w:r>
      <w:r>
        <w:rPr>
          <w:rFonts w:hint="eastAsia" w:ascii="宋体" w:hAnsi="宋体" w:cs="宋体"/>
          <w:szCs w:val="21"/>
        </w:rPr>
        <w:t>韶关市鸿鑫招标代理有限公司网站（http://www.sghongxin.cn/）上公布，公布之日即视为有效送达之日，不再另行通知。</w:t>
      </w:r>
    </w:p>
    <w:p w14:paraId="71BCF412">
      <w:pPr>
        <w:spacing w:beforeAutospacing="0" w:afterAutospacing="0" w:line="360" w:lineRule="auto"/>
        <w:jc w:val="right"/>
        <w:rPr>
          <w:rFonts w:ascii="宋体" w:hAnsi="宋体" w:cs="宋体"/>
          <w:szCs w:val="21"/>
        </w:rPr>
      </w:pPr>
      <w:r>
        <w:rPr>
          <w:rFonts w:hint="eastAsia" w:ascii="宋体" w:hAnsi="宋体" w:cs="宋体"/>
          <w:szCs w:val="21"/>
        </w:rPr>
        <w:t>发布人：韶关市鸿鑫招标代理有限公司</w:t>
      </w:r>
    </w:p>
    <w:p w14:paraId="52FC7EF2">
      <w:pPr>
        <w:spacing w:beforeAutospacing="0" w:afterAutospacing="0" w:line="360" w:lineRule="auto"/>
        <w:ind w:firstLine="4830" w:firstLineChars="2300"/>
        <w:jc w:val="righ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发布</w:t>
      </w:r>
      <w:r>
        <w:rPr>
          <w:rFonts w:hint="eastAsia" w:ascii="宋体" w:hAnsi="宋体" w:cs="宋体"/>
          <w:color w:val="000000" w:themeColor="text1"/>
          <w:szCs w:val="21"/>
          <w:lang w:val="en-US" w:eastAsia="zh-CN"/>
          <w14:textFill>
            <w14:solidFill>
              <w14:schemeClr w14:val="tx1"/>
            </w14:solidFill>
          </w14:textFill>
        </w:rPr>
        <w:t>日期</w:t>
      </w:r>
      <w:r>
        <w:rPr>
          <w:rFonts w:hint="eastAsia" w:ascii="宋体" w:hAnsi="宋体" w:cs="宋体"/>
          <w:color w:val="000000" w:themeColor="text1"/>
          <w:szCs w:val="21"/>
          <w14:textFill>
            <w14:solidFill>
              <w14:schemeClr w14:val="tx1"/>
            </w14:solidFill>
          </w14:textFill>
        </w:rPr>
        <w:t>：202</w:t>
      </w:r>
      <w:r>
        <w:rPr>
          <w:rFonts w:hint="eastAsia" w:ascii="宋体" w:hAnsi="宋体" w:cs="宋体"/>
          <w:color w:val="000000" w:themeColor="text1"/>
          <w:szCs w:val="21"/>
          <w:lang w:val="en-US" w:eastAsia="zh-CN"/>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lang w:val="en-US" w:eastAsia="zh-CN"/>
          <w14:textFill>
            <w14:solidFill>
              <w14:schemeClr w14:val="tx1"/>
            </w14:solidFill>
          </w14:textFill>
        </w:rPr>
        <w:t>09</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lang w:val="en-US" w:eastAsia="zh-CN"/>
          <w14:textFill>
            <w14:solidFill>
              <w14:schemeClr w14:val="tx1"/>
            </w14:solidFill>
          </w14:textFill>
        </w:rPr>
        <w:t>30</w:t>
      </w:r>
      <w:r>
        <w:rPr>
          <w:rFonts w:hint="eastAsia" w:ascii="宋体" w:hAnsi="宋体" w:cs="宋体"/>
          <w:color w:val="000000" w:themeColor="text1"/>
          <w:szCs w:val="21"/>
          <w14:textFill>
            <w14:solidFill>
              <w14:schemeClr w14:val="tx1"/>
            </w14:solidFill>
          </w14:textFill>
        </w:rPr>
        <w:t>日</w:t>
      </w:r>
    </w:p>
    <w:p w14:paraId="311661FB">
      <w:pPr>
        <w:pStyle w:val="2"/>
        <w:spacing w:beforeAutospacing="0" w:afterAutospacing="0" w:line="360" w:lineRule="auto"/>
        <w:jc w:val="center"/>
        <w:rPr>
          <w:rFonts w:ascii="宋体" w:hAnsi="宋体" w:eastAsia="宋体" w:cs="宋体"/>
          <w:sz w:val="36"/>
          <w:szCs w:val="36"/>
        </w:rPr>
      </w:pPr>
      <w:bookmarkStart w:id="27" w:name="_Toc30476633"/>
      <w:bookmarkStart w:id="28" w:name="_Toc10525517"/>
      <w:bookmarkStart w:id="29" w:name="_Toc27840476"/>
      <w:bookmarkStart w:id="30" w:name="_Toc20316"/>
      <w:bookmarkStart w:id="31" w:name="_Toc17252682"/>
      <w:bookmarkStart w:id="32" w:name="_Toc14450813"/>
      <w:bookmarkStart w:id="33" w:name="_Toc461991233"/>
    </w:p>
    <w:p w14:paraId="793F52CE">
      <w:pPr>
        <w:pStyle w:val="46"/>
        <w:jc w:val="center"/>
        <w:sectPr>
          <w:pgSz w:w="11905" w:h="16838"/>
          <w:pgMar w:top="1440" w:right="1803" w:bottom="1440" w:left="1803" w:header="283" w:footer="1077" w:gutter="0"/>
          <w:pgNumType w:fmt="decimal"/>
          <w:cols w:space="0" w:num="1"/>
          <w:rtlGutter w:val="0"/>
          <w:docGrid w:type="lines" w:linePitch="317" w:charSpace="0"/>
        </w:sectPr>
      </w:pPr>
    </w:p>
    <w:bookmarkEnd w:id="27"/>
    <w:bookmarkEnd w:id="28"/>
    <w:bookmarkEnd w:id="29"/>
    <w:bookmarkEnd w:id="30"/>
    <w:bookmarkEnd w:id="31"/>
    <w:bookmarkEnd w:id="32"/>
    <w:bookmarkEnd w:id="33"/>
    <w:p w14:paraId="177ABE21">
      <w:pPr>
        <w:jc w:val="center"/>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第二部分  招标需求</w:t>
      </w:r>
    </w:p>
    <w:p w14:paraId="16BA0CAD">
      <w:pPr>
        <w:pageBreakBefore w:val="0"/>
        <w:tabs>
          <w:tab w:val="left" w:pos="425"/>
        </w:tabs>
        <w:kinsoku/>
        <w:overflowPunct/>
        <w:topLinePunct w:val="0"/>
        <w:bidi w:val="0"/>
        <w:adjustRightInd/>
        <w:spacing w:beforeAutospacing="0" w:afterAutospacing="0" w:line="480" w:lineRule="exact"/>
        <w:ind w:left="0" w:hanging="1205" w:hangingChars="500"/>
        <w:jc w:val="left"/>
        <w:rPr>
          <w:rFonts w:ascii="宋体" w:hAnsi="宋体" w:eastAsia="宋体" w:cs="宋体"/>
          <w:b/>
          <w:bCs/>
          <w:color w:val="000000" w:themeColor="text1"/>
          <w:sz w:val="24"/>
          <w:szCs w:val="24"/>
          <w14:textFill>
            <w14:solidFill>
              <w14:schemeClr w14:val="tx1"/>
            </w14:solidFill>
          </w14:textFill>
        </w:rPr>
      </w:pPr>
      <w:bookmarkStart w:id="34" w:name="_Toc323_WPSOffice_Level1"/>
      <w:bookmarkStart w:id="35" w:name="_Toc30588_WPSOffice_Level1"/>
      <w:bookmarkStart w:id="36" w:name="_Toc10525515"/>
      <w:bookmarkStart w:id="37" w:name="_Toc21877"/>
      <w:r>
        <w:rPr>
          <w:rFonts w:hint="eastAsia" w:ascii="宋体" w:hAnsi="宋体" w:eastAsia="宋体" w:cs="宋体"/>
          <w:b/>
          <w:bCs/>
          <w:color w:val="000000" w:themeColor="text1"/>
          <w:sz w:val="24"/>
          <w:szCs w:val="24"/>
          <w14:textFill>
            <w14:solidFill>
              <w14:schemeClr w14:val="tx1"/>
            </w14:solidFill>
          </w14:textFill>
        </w:rPr>
        <w:t>【特别说明】</w:t>
      </w:r>
    </w:p>
    <w:p w14:paraId="71482B28">
      <w:pPr>
        <w:pageBreakBefore w:val="0"/>
        <w:kinsoku/>
        <w:overflowPunct/>
        <w:topLinePunct w:val="0"/>
        <w:bidi w:val="0"/>
        <w:adjustRightInd/>
        <w:spacing w:beforeAutospacing="0" w:afterAutospacing="0" w:line="480" w:lineRule="exact"/>
        <w:ind w:left="0" w:firstLine="422" w:firstLineChars="200"/>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《招标需求》凡标有“★”条款为实质性条款，</w:t>
      </w:r>
      <w:r>
        <w:rPr>
          <w:rFonts w:hint="eastAsia" w:ascii="宋体" w:hAnsi="宋体" w:eastAsia="宋体" w:cs="宋体"/>
          <w:b/>
          <w:bCs/>
          <w:color w:val="000000" w:themeColor="text1"/>
          <w:szCs w:val="21"/>
          <w:lang w:val="en-US" w:eastAsia="zh-CN"/>
          <w14:textFill>
            <w14:solidFill>
              <w14:schemeClr w14:val="tx1"/>
            </w14:solidFill>
          </w14:textFill>
        </w:rPr>
        <w:t>投标人</w:t>
      </w:r>
      <w:r>
        <w:rPr>
          <w:rFonts w:hint="eastAsia" w:ascii="宋体" w:hAnsi="宋体" w:eastAsia="宋体" w:cs="宋体"/>
          <w:b/>
          <w:bCs/>
          <w:color w:val="000000" w:themeColor="text1"/>
          <w:szCs w:val="21"/>
          <w14:textFill>
            <w14:solidFill>
              <w14:schemeClr w14:val="tx1"/>
            </w14:solidFill>
          </w14:textFill>
        </w:rPr>
        <w:t>必须完全响应这些要求，若有一项未响应或不满足，评标委员会将对其投标文件作无效投标处理。</w:t>
      </w:r>
    </w:p>
    <w:p w14:paraId="0053150B">
      <w:pPr>
        <w:pageBreakBefore w:val="0"/>
        <w:kinsoku/>
        <w:overflowPunct/>
        <w:topLinePunct w:val="0"/>
        <w:bidi w:val="0"/>
        <w:adjustRightInd/>
        <w:spacing w:beforeAutospacing="0" w:afterAutospacing="0" w:line="480" w:lineRule="exact"/>
        <w:ind w:left="0" w:firstLine="422" w:firstLineChars="200"/>
        <w:rPr>
          <w:rFonts w:hint="eastAsia" w:ascii="宋体" w:hAnsi="宋体" w:eastAsia="宋体" w:cs="宋体"/>
          <w:b/>
          <w:bCs/>
          <w:color w:val="000000" w:themeColor="text1"/>
          <w:szCs w:val="21"/>
          <w14:textFill>
            <w14:solidFill>
              <w14:schemeClr w14:val="tx1"/>
            </w14:solidFill>
          </w14:textFill>
        </w:rPr>
      </w:pPr>
      <w:bookmarkStart w:id="38" w:name="_Toc32176"/>
      <w:r>
        <w:rPr>
          <w:rFonts w:hint="eastAsia" w:ascii="宋体" w:hAnsi="宋体" w:eastAsia="宋体" w:cs="宋体"/>
          <w:b/>
          <w:bCs/>
          <w:color w:val="000000" w:themeColor="text1"/>
          <w:szCs w:val="21"/>
          <w14:textFill>
            <w14:solidFill>
              <w14:schemeClr w14:val="tx1"/>
            </w14:solidFill>
          </w14:textFill>
        </w:rPr>
        <w:t>《招标需求》凡标有“▲”参数为重要条款，</w:t>
      </w:r>
      <w:r>
        <w:rPr>
          <w:rFonts w:hint="eastAsia" w:ascii="宋体" w:hAnsi="宋体" w:eastAsia="宋体" w:cs="宋体"/>
          <w:b/>
          <w:bCs/>
          <w:color w:val="000000" w:themeColor="text1"/>
          <w:szCs w:val="21"/>
          <w:lang w:val="en-US" w:eastAsia="zh-CN"/>
          <w14:textFill>
            <w14:solidFill>
              <w14:schemeClr w14:val="tx1"/>
            </w14:solidFill>
          </w14:textFill>
        </w:rPr>
        <w:t>投标人</w:t>
      </w:r>
      <w:r>
        <w:rPr>
          <w:rFonts w:hint="eastAsia" w:ascii="宋体" w:hAnsi="宋体" w:eastAsia="宋体" w:cs="宋体"/>
          <w:b/>
          <w:bCs/>
          <w:color w:val="000000" w:themeColor="text1"/>
          <w:szCs w:val="21"/>
          <w14:textFill>
            <w14:solidFill>
              <w14:schemeClr w14:val="tx1"/>
            </w14:solidFill>
          </w14:textFill>
        </w:rPr>
        <w:t>需要逐条响应，如不满足要求将可能影响评分。</w:t>
      </w:r>
    </w:p>
    <w:p w14:paraId="5D944204">
      <w:pPr>
        <w:keepNext w:val="0"/>
        <w:keepLines w:val="0"/>
        <w:pageBreakBefore w:val="0"/>
        <w:numPr>
          <w:ilvl w:val="0"/>
          <w:numId w:val="0"/>
        </w:numPr>
        <w:kinsoku/>
        <w:overflowPunct/>
        <w:topLinePunct w:val="0"/>
        <w:autoSpaceDE w:val="0"/>
        <w:autoSpaceDN w:val="0"/>
        <w:bidi w:val="0"/>
        <w:adjustRightInd/>
        <w:spacing w:beforeAutospacing="0" w:afterAutospacing="0" w:line="360" w:lineRule="auto"/>
        <w:rPr>
          <w:rFonts w:ascii="宋体" w:hAnsi="宋体" w:cs="宋体"/>
          <w:b/>
          <w:sz w:val="28"/>
          <w:szCs w:val="28"/>
        </w:rPr>
      </w:pPr>
      <w:r>
        <w:rPr>
          <w:rFonts w:hint="eastAsia" w:ascii="宋体" w:hAnsi="宋体" w:cs="宋体"/>
          <w:b/>
          <w:sz w:val="28"/>
          <w:szCs w:val="28"/>
          <w:lang w:val="en-US" w:eastAsia="zh-CN"/>
        </w:rPr>
        <w:t>一、</w:t>
      </w:r>
      <w:r>
        <w:rPr>
          <w:rFonts w:hint="eastAsia" w:ascii="宋体" w:hAnsi="宋体" w:cs="宋体"/>
          <w:b/>
          <w:sz w:val="28"/>
          <w:szCs w:val="28"/>
        </w:rPr>
        <w:t>项目概况</w:t>
      </w:r>
    </w:p>
    <w:p w14:paraId="1937D4C8">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Times New Roman" w:hAnsi="Times New Roman" w:eastAsia="宋体" w:cs="宋体"/>
          <w:color w:val="auto"/>
          <w:kern w:val="2"/>
          <w:sz w:val="21"/>
          <w:szCs w:val="21"/>
          <w:u w:val="none"/>
          <w:lang w:val="en-US" w:eastAsia="zh-CN" w:bidi="ar-SA"/>
        </w:rPr>
      </w:pPr>
      <w:r>
        <w:rPr>
          <w:rFonts w:hint="eastAsia" w:ascii="Times New Roman" w:hAnsi="Times New Roman" w:eastAsia="宋体" w:cs="宋体"/>
          <w:color w:val="auto"/>
          <w:kern w:val="2"/>
          <w:sz w:val="21"/>
          <w:szCs w:val="21"/>
          <w:u w:val="none"/>
          <w:lang w:val="en-US" w:eastAsia="zh-CN" w:bidi="ar-SA"/>
        </w:rPr>
        <w:t>本项目为新丰县公共智慧体系配套建设项目，拟采用有偿使用模式，利用项目的城市公共停车泊位和新能源汽车充电桩及配套设施场址，通过移交加改建相结合方式，提升新丰县城区公共停车泊位和新能源汽车充电桩及配套设施的运营管理水平、拓宽社会投资渠道、合理扩大有效投资。</w:t>
      </w:r>
    </w:p>
    <w:p w14:paraId="18C2B0D1">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u w:val="none"/>
          <w:lang w:val="en-US" w:eastAsia="zh-CN" w:bidi="ar-SA"/>
        </w:rPr>
      </w:pPr>
      <w:r>
        <w:rPr>
          <w:rFonts w:hint="eastAsia" w:ascii="Times New Roman" w:hAnsi="Times New Roman" w:eastAsia="宋体" w:cs="宋体"/>
          <w:color w:val="auto"/>
          <w:kern w:val="2"/>
          <w:sz w:val="21"/>
          <w:szCs w:val="21"/>
          <w:u w:val="none"/>
          <w:lang w:val="en-US" w:eastAsia="zh-CN" w:bidi="ar-SA"/>
        </w:rPr>
        <w:t>本项目对公共资源进行有偿使用出</w:t>
      </w:r>
      <w:r>
        <w:rPr>
          <w:rFonts w:hint="eastAsia" w:ascii="宋体" w:hAnsi="宋体" w:eastAsia="宋体" w:cs="宋体"/>
          <w:color w:val="auto"/>
          <w:kern w:val="2"/>
          <w:sz w:val="21"/>
          <w:szCs w:val="21"/>
          <w:u w:val="none"/>
          <w:lang w:val="en-US" w:eastAsia="zh-CN" w:bidi="ar-SA"/>
        </w:rPr>
        <w:t>让，将政府出让或者以其他有偿方式（出租、出借等）转让市政公共资源的占有权、使用权、收益权、经营权统称为“有偿使用权”，享有上述公共资源的有偿使用权的受让方或其成立的项目公司称“有偿使用者”。通过公开竞争方式将新丰县公共智慧体系配套建设项目的20年（2年建设期加18年运营期）有偿使用权授予给有偿使用者，由有偿使用者向政府指定单位支付有偿使用权价款，有偿使用期满后将项目无偿、完好一并移交</w:t>
      </w:r>
      <w:r>
        <w:rPr>
          <w:rFonts w:hint="eastAsia" w:ascii="宋体" w:hAnsi="宋体" w:cs="宋体"/>
          <w:color w:val="auto"/>
          <w:kern w:val="2"/>
          <w:sz w:val="21"/>
          <w:szCs w:val="21"/>
          <w:u w:val="none"/>
          <w:lang w:val="en-US" w:eastAsia="zh-CN" w:bidi="ar-SA"/>
        </w:rPr>
        <w:t>新丰县</w:t>
      </w:r>
      <w:r>
        <w:rPr>
          <w:rFonts w:hint="eastAsia" w:ascii="宋体" w:hAnsi="宋体" w:eastAsia="宋体" w:cs="宋体"/>
          <w:color w:val="auto"/>
          <w:kern w:val="2"/>
          <w:sz w:val="21"/>
          <w:szCs w:val="21"/>
          <w:u w:val="none"/>
          <w:lang w:val="en-US" w:eastAsia="zh-CN" w:bidi="ar-SA"/>
        </w:rPr>
        <w:t>政府或</w:t>
      </w:r>
      <w:r>
        <w:rPr>
          <w:rFonts w:hint="eastAsia" w:ascii="宋体" w:hAnsi="宋体" w:cs="宋体"/>
          <w:color w:val="auto"/>
          <w:kern w:val="2"/>
          <w:sz w:val="21"/>
          <w:szCs w:val="21"/>
          <w:u w:val="none"/>
          <w:lang w:val="en-US" w:eastAsia="zh-CN" w:bidi="ar-SA"/>
        </w:rPr>
        <w:t>新丰县</w:t>
      </w:r>
      <w:r>
        <w:rPr>
          <w:rFonts w:hint="eastAsia" w:ascii="宋体" w:hAnsi="宋体" w:eastAsia="宋体" w:cs="宋体"/>
          <w:color w:val="auto"/>
          <w:kern w:val="2"/>
          <w:sz w:val="21"/>
          <w:szCs w:val="21"/>
          <w:u w:val="none"/>
          <w:lang w:val="en-US" w:eastAsia="zh-CN" w:bidi="ar-SA"/>
        </w:rPr>
        <w:t>政府</w:t>
      </w:r>
      <w:r>
        <w:rPr>
          <w:rFonts w:hint="eastAsia" w:ascii="宋体" w:hAnsi="宋体" w:cs="宋体"/>
          <w:color w:val="auto"/>
          <w:kern w:val="2"/>
          <w:sz w:val="21"/>
          <w:szCs w:val="21"/>
          <w:u w:val="none"/>
          <w:lang w:val="en-US" w:eastAsia="zh-CN" w:bidi="ar-SA"/>
        </w:rPr>
        <w:t>授权</w:t>
      </w:r>
      <w:r>
        <w:rPr>
          <w:rFonts w:hint="eastAsia" w:ascii="宋体" w:hAnsi="宋体" w:eastAsia="宋体" w:cs="宋体"/>
          <w:color w:val="auto"/>
          <w:kern w:val="2"/>
          <w:sz w:val="21"/>
          <w:szCs w:val="21"/>
          <w:u w:val="none"/>
          <w:lang w:val="en-US" w:eastAsia="zh-CN" w:bidi="ar-SA"/>
        </w:rPr>
        <w:t>部门，最终实现存量资产价值的盘活。</w:t>
      </w:r>
    </w:p>
    <w:p w14:paraId="260B5536">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有偿使用者须按照实施方案及公开招标文件的要求实施项目的投资、建设和运营管理，在有偿使用期满后移交政府相关部门。</w:t>
      </w:r>
    </w:p>
    <w:p w14:paraId="3A05B920">
      <w:pPr>
        <w:keepNext w:val="0"/>
        <w:keepLines w:val="0"/>
        <w:pageBreakBefore w:val="0"/>
        <w:numPr>
          <w:ilvl w:val="0"/>
          <w:numId w:val="0"/>
        </w:numPr>
        <w:kinsoku/>
        <w:overflowPunct/>
        <w:topLinePunct w:val="0"/>
        <w:autoSpaceDE w:val="0"/>
        <w:autoSpaceDN w:val="0"/>
        <w:bidi w:val="0"/>
        <w:adjustRightInd/>
        <w:spacing w:beforeAutospacing="0" w:afterAutospacing="0" w:line="360" w:lineRule="auto"/>
        <w:rPr>
          <w:rFonts w:hint="default" w:ascii="Times New Roman" w:hAnsi="Times New Roman" w:eastAsia="宋体" w:cs="宋体"/>
          <w:b/>
          <w:bCs/>
          <w:color w:val="auto"/>
          <w:kern w:val="2"/>
          <w:sz w:val="21"/>
          <w:szCs w:val="21"/>
          <w:u w:val="none"/>
          <w:lang w:val="en-US" w:eastAsia="zh-CN" w:bidi="ar-SA"/>
        </w:rPr>
      </w:pPr>
      <w:r>
        <w:rPr>
          <w:rFonts w:hint="eastAsia" w:cs="宋体"/>
          <w:b/>
          <w:bCs/>
          <w:color w:val="auto"/>
          <w:kern w:val="2"/>
          <w:sz w:val="21"/>
          <w:szCs w:val="21"/>
          <w:u w:val="none"/>
          <w:lang w:val="en-US" w:eastAsia="zh-CN" w:bidi="ar-SA"/>
        </w:rPr>
        <w:t>注：实施机构为本项目的招标人，</w:t>
      </w:r>
      <w:r>
        <w:rPr>
          <w:rFonts w:hint="eastAsia" w:ascii="Times New Roman" w:hAnsi="Times New Roman" w:eastAsia="宋体" w:cs="宋体"/>
          <w:b/>
          <w:bCs/>
          <w:color w:val="auto"/>
          <w:kern w:val="2"/>
          <w:sz w:val="21"/>
          <w:szCs w:val="21"/>
          <w:u w:val="none"/>
          <w:lang w:val="en-US" w:eastAsia="zh-CN" w:bidi="ar-SA"/>
        </w:rPr>
        <w:t>有偿使用者</w:t>
      </w:r>
      <w:r>
        <w:rPr>
          <w:rFonts w:hint="eastAsia" w:eastAsia="宋体" w:cs="宋体"/>
          <w:b/>
          <w:bCs/>
          <w:color w:val="auto"/>
          <w:kern w:val="2"/>
          <w:sz w:val="21"/>
          <w:szCs w:val="21"/>
          <w:u w:val="none"/>
          <w:lang w:val="en-US" w:eastAsia="zh-CN" w:bidi="ar-SA"/>
        </w:rPr>
        <w:t>为本项目的投标人。</w:t>
      </w:r>
    </w:p>
    <w:p w14:paraId="157AB26E">
      <w:pPr>
        <w:keepNext w:val="0"/>
        <w:keepLines w:val="0"/>
        <w:pageBreakBefore w:val="0"/>
        <w:numPr>
          <w:ilvl w:val="0"/>
          <w:numId w:val="0"/>
        </w:numPr>
        <w:kinsoku/>
        <w:overflowPunct/>
        <w:topLinePunct w:val="0"/>
        <w:autoSpaceDE w:val="0"/>
        <w:autoSpaceDN w:val="0"/>
        <w:bidi w:val="0"/>
        <w:adjustRightInd/>
        <w:spacing w:beforeAutospacing="0" w:afterAutospacing="0" w:line="360" w:lineRule="auto"/>
        <w:rPr>
          <w:rFonts w:hint="eastAsia" w:ascii="宋体" w:hAnsi="宋体" w:eastAsia="宋体" w:cs="宋体"/>
          <w:b/>
          <w:sz w:val="28"/>
          <w:szCs w:val="28"/>
        </w:rPr>
      </w:pPr>
      <w:r>
        <w:rPr>
          <w:rFonts w:hint="eastAsia" w:ascii="宋体" w:hAnsi="宋体" w:eastAsia="宋体" w:cs="宋体"/>
          <w:b/>
          <w:sz w:val="28"/>
          <w:szCs w:val="28"/>
        </w:rPr>
        <w:t>二、项目基本内容</w:t>
      </w:r>
    </w:p>
    <w:p w14:paraId="3A1519A1">
      <w:pPr>
        <w:pStyle w:val="45"/>
        <w:adjustRightInd/>
        <w:spacing w:beforeAutospacing="0" w:afterAutospacing="0" w:line="36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1.项目</w:t>
      </w:r>
      <w:r>
        <w:rPr>
          <w:rFonts w:hint="eastAsia" w:ascii="Times New Roman" w:hAnsi="Times New Roman" w:eastAsia="宋体" w:cs="宋体"/>
          <w:color w:val="auto"/>
          <w:kern w:val="2"/>
          <w:sz w:val="21"/>
          <w:szCs w:val="21"/>
          <w:u w:val="none"/>
          <w:lang w:val="en-US" w:eastAsia="zh-CN" w:bidi="ar-SA"/>
        </w:rPr>
        <w:t>编号</w:t>
      </w:r>
      <w:r>
        <w:rPr>
          <w:rFonts w:hint="eastAsia" w:ascii="宋体" w:hAnsi="宋体" w:eastAsia="宋体" w:cs="宋体"/>
          <w:color w:val="auto"/>
          <w:kern w:val="2"/>
          <w:sz w:val="21"/>
          <w:szCs w:val="21"/>
          <w:u w:val="none"/>
          <w:lang w:val="en-US" w:eastAsia="zh-CN" w:bidi="ar-SA"/>
        </w:rPr>
        <w:t xml:space="preserve">：HXZB2509087FG </w:t>
      </w:r>
    </w:p>
    <w:p w14:paraId="2308C0F7">
      <w:pPr>
        <w:pStyle w:val="17"/>
        <w:spacing w:beforeAutospacing="0" w:afterAutospacing="0" w:line="360" w:lineRule="auto"/>
        <w:rPr>
          <w:rFonts w:hint="default" w:eastAsia="宋体"/>
          <w:lang w:val="en-US" w:eastAsia="zh-CN"/>
        </w:rPr>
      </w:pPr>
      <w:r>
        <w:rPr>
          <w:rFonts w:hint="eastAsia" w:ascii="宋体" w:hAnsi="宋体" w:eastAsia="宋体" w:cs="宋体"/>
          <w:kern w:val="2"/>
          <w:sz w:val="21"/>
          <w:szCs w:val="21"/>
          <w:lang w:val="en-US" w:eastAsia="zh-CN" w:bidi="ar-SA"/>
        </w:rPr>
        <w:t>2.项目名称：</w:t>
      </w:r>
      <w:r>
        <w:rPr>
          <w:rFonts w:hint="eastAsia" w:cs="宋体"/>
          <w:color w:val="auto"/>
          <w:sz w:val="21"/>
          <w:szCs w:val="21"/>
          <w:u w:val="none"/>
          <w:lang w:eastAsia="zh-CN"/>
        </w:rPr>
        <w:t>新丰县公共智慧体系配套建设项目</w:t>
      </w:r>
    </w:p>
    <w:p w14:paraId="2479592B">
      <w:pPr>
        <w:pStyle w:val="45"/>
        <w:adjustRightInd/>
        <w:spacing w:beforeAutospacing="0" w:afterAutospacing="0" w:line="36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3.采购方式：公开招标</w:t>
      </w:r>
    </w:p>
    <w:p w14:paraId="6A610DCE">
      <w:pPr>
        <w:adjustRightInd/>
        <w:spacing w:beforeAutospacing="0" w:afterAutospacing="0" w:line="360" w:lineRule="auto"/>
        <w:textAlignment w:val="auto"/>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4.</w:t>
      </w:r>
      <w:r>
        <w:rPr>
          <w:rFonts w:hint="eastAsia" w:ascii="宋体" w:hAnsi="宋体" w:cs="宋体"/>
          <w:kern w:val="2"/>
          <w:sz w:val="21"/>
          <w:szCs w:val="21"/>
          <w:lang w:val="en-US" w:eastAsia="zh-CN" w:bidi="ar-SA"/>
        </w:rPr>
        <w:t>最高限价：150000000元</w:t>
      </w:r>
    </w:p>
    <w:p w14:paraId="060FD3AE">
      <w:pPr>
        <w:adjustRightInd/>
        <w:spacing w:beforeAutospacing="0" w:afterAutospacing="0" w:line="360" w:lineRule="auto"/>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5.</w:t>
      </w:r>
      <w:r>
        <w:rPr>
          <w:rFonts w:hint="eastAsia" w:ascii="宋体" w:hAnsi="宋体" w:eastAsia="宋体" w:cs="宋体"/>
          <w:kern w:val="2"/>
          <w:sz w:val="21"/>
          <w:szCs w:val="21"/>
          <w:lang w:val="en-US" w:eastAsia="zh-CN" w:bidi="ar-SA"/>
        </w:rPr>
        <w:t>项目需求：</w:t>
      </w:r>
    </w:p>
    <w:p w14:paraId="2321853D">
      <w:pPr>
        <w:adjustRightInd/>
        <w:spacing w:beforeAutospacing="0" w:afterAutospacing="0" w:line="360" w:lineRule="auto"/>
        <w:textAlignment w:val="auto"/>
        <w:rPr>
          <w:rFonts w:hint="eastAsia" w:ascii="宋体" w:hAnsi="宋体" w:eastAsia="宋体" w:cs="宋体"/>
          <w:kern w:val="2"/>
          <w:sz w:val="21"/>
          <w:szCs w:val="21"/>
          <w:lang w:val="en-US" w:eastAsia="zh-CN" w:bidi="ar-SA"/>
        </w:rPr>
      </w:pP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189"/>
        <w:gridCol w:w="1039"/>
        <w:gridCol w:w="1550"/>
        <w:gridCol w:w="1857"/>
        <w:gridCol w:w="1329"/>
        <w:gridCol w:w="860"/>
      </w:tblGrid>
      <w:tr w14:paraId="2934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04" w:type="pct"/>
            <w:vAlign w:val="center"/>
          </w:tcPr>
          <w:p w14:paraId="62D92589">
            <w:pPr>
              <w:spacing w:beforeAutospacing="0" w:afterAutospacing="0" w:line="480" w:lineRule="exact"/>
              <w:jc w:val="center"/>
              <w:rPr>
                <w:rFonts w:ascii="宋体" w:hAnsi="宋体"/>
                <w:b/>
                <w:bCs/>
                <w:szCs w:val="21"/>
              </w:rPr>
            </w:pPr>
            <w:r>
              <w:rPr>
                <w:rFonts w:hint="eastAsia" w:ascii="宋体" w:hAnsi="宋体"/>
                <w:b/>
                <w:bCs/>
                <w:szCs w:val="21"/>
              </w:rPr>
              <w:t>序号</w:t>
            </w:r>
          </w:p>
        </w:tc>
        <w:tc>
          <w:tcPr>
            <w:tcW w:w="698" w:type="pct"/>
            <w:vAlign w:val="center"/>
          </w:tcPr>
          <w:p w14:paraId="58F98D4E">
            <w:pPr>
              <w:spacing w:beforeAutospacing="0" w:afterAutospacing="0" w:line="480" w:lineRule="exact"/>
              <w:jc w:val="center"/>
              <w:rPr>
                <w:rFonts w:hint="eastAsia" w:ascii="宋体" w:hAnsi="宋体" w:eastAsia="宋体"/>
                <w:b/>
                <w:bCs/>
                <w:szCs w:val="21"/>
                <w:highlight w:val="none"/>
                <w:lang w:val="en-US" w:eastAsia="zh-CN"/>
              </w:rPr>
            </w:pPr>
            <w:r>
              <w:rPr>
                <w:rFonts w:hint="eastAsia" w:ascii="宋体" w:hAnsi="宋体"/>
                <w:b/>
                <w:bCs/>
                <w:szCs w:val="21"/>
                <w:highlight w:val="none"/>
                <w:lang w:val="en-US" w:eastAsia="zh-CN"/>
              </w:rPr>
              <w:t>项目名称</w:t>
            </w:r>
          </w:p>
        </w:tc>
        <w:tc>
          <w:tcPr>
            <w:tcW w:w="610" w:type="pct"/>
            <w:vAlign w:val="center"/>
          </w:tcPr>
          <w:p w14:paraId="684FE9AA">
            <w:pPr>
              <w:spacing w:beforeAutospacing="0" w:afterAutospacing="0" w:line="480" w:lineRule="exact"/>
              <w:jc w:val="center"/>
              <w:rPr>
                <w:rFonts w:hint="eastAsia" w:ascii="宋体" w:hAnsi="宋体"/>
                <w:b/>
                <w:bCs/>
                <w:szCs w:val="21"/>
                <w:highlight w:val="none"/>
              </w:rPr>
            </w:pPr>
            <w:r>
              <w:rPr>
                <w:rFonts w:hint="eastAsia" w:ascii="宋体" w:hAnsi="宋体"/>
                <w:b/>
                <w:bCs/>
                <w:szCs w:val="21"/>
                <w:highlight w:val="none"/>
              </w:rPr>
              <w:t>数量</w:t>
            </w:r>
          </w:p>
          <w:p w14:paraId="23943D39">
            <w:pPr>
              <w:spacing w:beforeAutospacing="0" w:afterAutospacing="0" w:line="480" w:lineRule="exact"/>
              <w:jc w:val="center"/>
              <w:rPr>
                <w:rFonts w:ascii="宋体" w:hAnsi="宋体"/>
                <w:b/>
                <w:bCs/>
                <w:szCs w:val="21"/>
                <w:highlight w:val="none"/>
              </w:rPr>
            </w:pPr>
            <w:r>
              <w:rPr>
                <w:rFonts w:hint="eastAsia" w:ascii="宋体" w:hAnsi="宋体"/>
                <w:b/>
                <w:bCs/>
                <w:szCs w:val="21"/>
                <w:highlight w:val="none"/>
              </w:rPr>
              <w:t>（单位）</w:t>
            </w:r>
          </w:p>
        </w:tc>
        <w:tc>
          <w:tcPr>
            <w:tcW w:w="910" w:type="pct"/>
            <w:vAlign w:val="center"/>
          </w:tcPr>
          <w:p w14:paraId="5304EA45">
            <w:pPr>
              <w:spacing w:beforeAutospacing="0" w:afterAutospacing="0" w:line="480" w:lineRule="exact"/>
              <w:jc w:val="center"/>
              <w:rPr>
                <w:rFonts w:hint="eastAsia" w:ascii="宋体" w:hAnsi="宋体" w:eastAsia="宋体"/>
                <w:b/>
                <w:bCs/>
                <w:szCs w:val="21"/>
                <w:highlight w:val="none"/>
                <w:lang w:val="en-US" w:eastAsia="zh-CN"/>
              </w:rPr>
            </w:pPr>
            <w:r>
              <w:rPr>
                <w:rFonts w:hint="eastAsia" w:ascii="宋体" w:hAnsi="宋体"/>
                <w:b/>
                <w:bCs/>
                <w:szCs w:val="21"/>
                <w:highlight w:val="none"/>
                <w:lang w:val="en-US" w:eastAsia="zh-CN"/>
              </w:rPr>
              <w:t>招标内容</w:t>
            </w:r>
          </w:p>
        </w:tc>
        <w:tc>
          <w:tcPr>
            <w:tcW w:w="1090" w:type="pct"/>
            <w:vAlign w:val="center"/>
          </w:tcPr>
          <w:p w14:paraId="6AC0E0A6">
            <w:pPr>
              <w:spacing w:beforeAutospacing="0" w:afterAutospacing="0" w:line="480" w:lineRule="exact"/>
              <w:jc w:val="center"/>
              <w:rPr>
                <w:rFonts w:hint="default" w:ascii="宋体" w:hAnsi="宋体" w:eastAsia="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合同履约期限</w:t>
            </w:r>
          </w:p>
        </w:tc>
        <w:tc>
          <w:tcPr>
            <w:tcW w:w="780" w:type="pct"/>
            <w:vAlign w:val="center"/>
          </w:tcPr>
          <w:p w14:paraId="51EB101E">
            <w:pPr>
              <w:spacing w:beforeAutospacing="0" w:afterAutospacing="0" w:line="480" w:lineRule="exact"/>
              <w:jc w:val="center"/>
              <w:rPr>
                <w:rFonts w:hint="default" w:ascii="宋体" w:hAnsi="宋体"/>
                <w:b/>
                <w:bCs/>
                <w:strike w:val="0"/>
                <w:dstrike w:val="0"/>
                <w:color w:val="000000" w:themeColor="text1"/>
                <w:szCs w:val="21"/>
                <w:highlight w:val="none"/>
                <w:lang w:val="en-US" w:eastAsia="zh-CN"/>
                <w14:textFill>
                  <w14:solidFill>
                    <w14:schemeClr w14:val="tx1"/>
                  </w14:solidFill>
                </w14:textFill>
              </w:rPr>
            </w:pPr>
            <w:r>
              <w:rPr>
                <w:rFonts w:hint="eastAsia" w:ascii="宋体" w:hAnsi="宋体"/>
                <w:b/>
                <w:bCs/>
                <w:strike w:val="0"/>
                <w:dstrike w:val="0"/>
                <w:color w:val="000000" w:themeColor="text1"/>
                <w:szCs w:val="21"/>
                <w:highlight w:val="none"/>
                <w:lang w:val="en-US" w:eastAsia="zh-CN"/>
                <w14:textFill>
                  <w14:solidFill>
                    <w14:schemeClr w14:val="tx1"/>
                  </w14:solidFill>
                </w14:textFill>
              </w:rPr>
              <w:t>最高限价（元）</w:t>
            </w:r>
          </w:p>
        </w:tc>
        <w:tc>
          <w:tcPr>
            <w:tcW w:w="505" w:type="pct"/>
            <w:vAlign w:val="center"/>
          </w:tcPr>
          <w:p w14:paraId="1C007915">
            <w:pPr>
              <w:spacing w:beforeAutospacing="0" w:afterAutospacing="0" w:line="480" w:lineRule="exact"/>
              <w:jc w:val="center"/>
              <w:rPr>
                <w:rFonts w:hint="default" w:ascii="宋体" w:hAnsi="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中标人数量</w:t>
            </w:r>
          </w:p>
        </w:tc>
      </w:tr>
      <w:tr w14:paraId="4582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04" w:type="pct"/>
            <w:vAlign w:val="center"/>
          </w:tcPr>
          <w:p w14:paraId="5CA5F4B9">
            <w:pPr>
              <w:spacing w:beforeAutospacing="0" w:afterAutospacing="0" w:line="480" w:lineRule="exact"/>
              <w:jc w:val="center"/>
              <w:rPr>
                <w:rFonts w:ascii="宋体" w:hAnsi="宋体"/>
                <w:szCs w:val="21"/>
              </w:rPr>
            </w:pPr>
            <w:r>
              <w:rPr>
                <w:rFonts w:hint="eastAsia" w:ascii="宋体" w:hAnsi="宋体"/>
                <w:szCs w:val="21"/>
              </w:rPr>
              <w:t>1</w:t>
            </w:r>
          </w:p>
        </w:tc>
        <w:tc>
          <w:tcPr>
            <w:tcW w:w="698" w:type="pct"/>
            <w:vAlign w:val="center"/>
          </w:tcPr>
          <w:p w14:paraId="2001BF87">
            <w:pPr>
              <w:spacing w:beforeAutospacing="0" w:afterAutospacing="0" w:line="480" w:lineRule="exact"/>
              <w:jc w:val="center"/>
              <w:rPr>
                <w:rFonts w:ascii="宋体" w:hAnsi="宋体"/>
                <w:szCs w:val="21"/>
              </w:rPr>
            </w:pPr>
            <w:r>
              <w:rPr>
                <w:rFonts w:hint="eastAsia" w:cs="宋体"/>
                <w:color w:val="auto"/>
                <w:sz w:val="21"/>
                <w:szCs w:val="21"/>
                <w:u w:val="none"/>
                <w:lang w:eastAsia="zh-CN"/>
              </w:rPr>
              <w:t>新丰县公共智慧体系配套建设项目</w:t>
            </w:r>
          </w:p>
        </w:tc>
        <w:tc>
          <w:tcPr>
            <w:tcW w:w="610" w:type="pct"/>
            <w:vAlign w:val="center"/>
          </w:tcPr>
          <w:p w14:paraId="6CA65A53">
            <w:pPr>
              <w:spacing w:beforeAutospacing="0" w:afterAutospacing="0" w:line="480" w:lineRule="exact"/>
              <w:jc w:val="center"/>
              <w:rPr>
                <w:rFonts w:ascii="宋体" w:hAnsi="宋体"/>
                <w:szCs w:val="21"/>
              </w:rPr>
            </w:pPr>
            <w:r>
              <w:rPr>
                <w:rFonts w:hint="eastAsia" w:ascii="宋体" w:hAnsi="宋体"/>
                <w:szCs w:val="21"/>
              </w:rPr>
              <w:t>1项</w:t>
            </w:r>
          </w:p>
        </w:tc>
        <w:tc>
          <w:tcPr>
            <w:tcW w:w="910" w:type="pct"/>
            <w:vAlign w:val="center"/>
          </w:tcPr>
          <w:p w14:paraId="67084C92">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公共资源进行</w:t>
            </w:r>
          </w:p>
          <w:p w14:paraId="1779A6D7">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有偿使用出让</w:t>
            </w:r>
          </w:p>
        </w:tc>
        <w:tc>
          <w:tcPr>
            <w:tcW w:w="1090" w:type="pct"/>
            <w:vAlign w:val="center"/>
          </w:tcPr>
          <w:p w14:paraId="55326C06">
            <w:pPr>
              <w:spacing w:beforeAutospacing="0" w:afterAutospacing="0" w:line="480" w:lineRule="exact"/>
              <w:jc w:val="center"/>
              <w:rPr>
                <w:rFonts w:ascii="宋体" w:hAnsi="宋体"/>
                <w:color w:val="000000" w:themeColor="text1"/>
                <w:szCs w:val="21"/>
                <w:highlight w:val="none"/>
                <w14:textFill>
                  <w14:solidFill>
                    <w14:schemeClr w14:val="tx1"/>
                  </w14:solidFill>
                </w14:textFill>
              </w:rPr>
            </w:pPr>
            <w:r>
              <w:rPr>
                <w:rFonts w:hint="eastAsia" w:ascii="宋体" w:hAnsi="宋体" w:eastAsia="宋体" w:cs="Times New Roman"/>
                <w:szCs w:val="21"/>
                <w:lang w:val="en-US" w:eastAsia="zh-CN"/>
              </w:rPr>
              <w:t>本项目有偿使用期限为20年，其中：第1～2年为建设期，第3～20年为运营期。</w:t>
            </w:r>
          </w:p>
        </w:tc>
        <w:tc>
          <w:tcPr>
            <w:tcW w:w="780" w:type="pct"/>
            <w:vAlign w:val="center"/>
          </w:tcPr>
          <w:p w14:paraId="25D703C9">
            <w:pPr>
              <w:spacing w:beforeAutospacing="0" w:afterAutospacing="0" w:line="480" w:lineRule="exact"/>
              <w:jc w:val="center"/>
              <w:rPr>
                <w:rFonts w:hint="eastAsia" w:ascii="宋体" w:hAnsi="宋体" w:eastAsia="宋体" w:cs="Times New Roman"/>
                <w:szCs w:val="21"/>
                <w:lang w:val="en-US" w:eastAsia="zh-CN"/>
              </w:rPr>
            </w:pPr>
            <w:r>
              <w:rPr>
                <w:rFonts w:hint="eastAsia" w:ascii="宋体" w:hAnsi="宋体" w:cs="宋体"/>
                <w:kern w:val="2"/>
                <w:sz w:val="21"/>
                <w:szCs w:val="21"/>
                <w:lang w:val="en-US" w:eastAsia="zh-CN" w:bidi="ar-SA"/>
              </w:rPr>
              <w:t>150000000</w:t>
            </w:r>
          </w:p>
        </w:tc>
        <w:tc>
          <w:tcPr>
            <w:tcW w:w="505" w:type="pct"/>
            <w:vAlign w:val="center"/>
          </w:tcPr>
          <w:p w14:paraId="2EC45C5B">
            <w:pPr>
              <w:spacing w:beforeAutospacing="0" w:afterAutospacing="0" w:line="48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1家</w:t>
            </w:r>
          </w:p>
        </w:tc>
      </w:tr>
    </w:tbl>
    <w:p w14:paraId="1C95443E">
      <w:pPr>
        <w:numPr>
          <w:ilvl w:val="0"/>
          <w:numId w:val="0"/>
        </w:numPr>
        <w:spacing w:beforeAutospacing="0" w:afterAutospacing="0" w:line="480" w:lineRule="exact"/>
        <w:rPr>
          <w:rFonts w:hint="eastAsia" w:ascii="宋体" w:hAnsi="宋体"/>
          <w:szCs w:val="21"/>
        </w:rPr>
      </w:pPr>
      <w:r>
        <w:rPr>
          <w:rFonts w:hint="eastAsia" w:ascii="宋体" w:hAnsi="宋体"/>
          <w:szCs w:val="21"/>
          <w:highlight w:val="none"/>
          <w:lang w:val="en-US" w:eastAsia="zh-CN"/>
        </w:rPr>
        <w:t>6.</w:t>
      </w:r>
      <w:r>
        <w:rPr>
          <w:rFonts w:hint="eastAsia" w:ascii="宋体" w:hAnsi="宋体"/>
          <w:szCs w:val="21"/>
          <w:highlight w:val="none"/>
        </w:rPr>
        <w:t>本项目不接受联合体</w:t>
      </w:r>
      <w:r>
        <w:rPr>
          <w:rFonts w:hint="eastAsia" w:ascii="宋体" w:hAnsi="宋体"/>
          <w:szCs w:val="21"/>
          <w:highlight w:val="none"/>
          <w:lang w:val="en-US" w:eastAsia="zh-CN"/>
        </w:rPr>
        <w:t>投标</w:t>
      </w:r>
      <w:r>
        <w:rPr>
          <w:rFonts w:hint="eastAsia" w:ascii="宋体" w:hAnsi="宋体"/>
          <w:szCs w:val="21"/>
        </w:rPr>
        <w:t>。</w:t>
      </w:r>
    </w:p>
    <w:p w14:paraId="257354B8">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t>三、</w:t>
      </w:r>
      <w:r>
        <w:rPr>
          <w:rFonts w:hint="eastAsia" w:cs="宋体"/>
          <w:b/>
          <w:color w:val="auto"/>
          <w:kern w:val="2"/>
          <w:sz w:val="28"/>
          <w:szCs w:val="28"/>
          <w:lang w:val="en-US" w:eastAsia="zh-CN" w:bidi="ar-SA"/>
        </w:rPr>
        <w:t>商务技术要求</w:t>
      </w:r>
    </w:p>
    <w:p w14:paraId="40E1C224">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ascii="宋体" w:hAnsi="宋体" w:eastAsia="宋体" w:cs="宋体"/>
          <w:b/>
          <w:color w:val="auto"/>
          <w:kern w:val="2"/>
          <w:sz w:val="24"/>
          <w:szCs w:val="24"/>
          <w:lang w:val="en-US" w:eastAsia="zh-CN" w:bidi="ar-SA"/>
        </w:rPr>
      </w:pPr>
      <w:r>
        <w:rPr>
          <w:rFonts w:hint="eastAsia" w:cs="宋体"/>
          <w:b/>
          <w:color w:val="auto"/>
          <w:kern w:val="2"/>
          <w:sz w:val="24"/>
          <w:szCs w:val="24"/>
          <w:lang w:val="en-US" w:eastAsia="zh-CN" w:bidi="ar-SA"/>
        </w:rPr>
        <w:t>（一）</w:t>
      </w:r>
      <w:r>
        <w:rPr>
          <w:rFonts w:hint="eastAsia" w:ascii="宋体" w:hAnsi="宋体" w:eastAsia="宋体" w:cs="宋体"/>
          <w:b/>
          <w:color w:val="auto"/>
          <w:kern w:val="2"/>
          <w:sz w:val="24"/>
          <w:szCs w:val="24"/>
          <w:lang w:val="en-US" w:eastAsia="zh-CN" w:bidi="ar-SA"/>
        </w:rPr>
        <w:t>服务内容要求</w:t>
      </w:r>
    </w:p>
    <w:p w14:paraId="5A5353A8">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项目实施范围包含县城城区、梅坑镇共54条道路、21个公共停车场，共计7311个机动车停车位（其中路段4337个车位）。项目拟进行智慧化改造，规划3103个非机动车停车位，并结合电车充电需求，规划205个电动汽车充电桩（共计290个充电插口），</w:t>
      </w:r>
      <w:r>
        <w:rPr>
          <w:rFonts w:hint="eastAsia" w:ascii="宋体" w:hAnsi="宋体" w:eastAsia="宋体" w:cs="宋体"/>
          <w:color w:val="auto"/>
          <w:kern w:val="2"/>
          <w:sz w:val="21"/>
          <w:szCs w:val="21"/>
          <w:highlight w:val="none"/>
          <w:lang w:val="en-US" w:eastAsia="zh-CN" w:bidi="ar-SA"/>
        </w:rPr>
        <w:t>非</w:t>
      </w:r>
      <w:r>
        <w:rPr>
          <w:rFonts w:hint="default" w:ascii="宋体" w:hAnsi="宋体" w:eastAsia="宋体" w:cs="宋体"/>
          <w:color w:val="auto"/>
          <w:kern w:val="2"/>
          <w:sz w:val="21"/>
          <w:szCs w:val="21"/>
          <w:highlight w:val="none"/>
          <w:lang w:val="en-US" w:eastAsia="zh-CN" w:bidi="ar-SA"/>
        </w:rPr>
        <w:t>机动车充电桩173套（共计1730个充电插口）。项目智慧停车部分拟接入33个社会面停车场（车位共10303个，后续逐步接入停车系统）。另外建设10套停车诱导系统、1套智慧停车运营管理平台及相关智能化设备。</w:t>
      </w:r>
    </w:p>
    <w:p w14:paraId="69996BD4">
      <w:pPr>
        <w:pStyle w:val="238"/>
        <w:spacing w:line="360" w:lineRule="auto"/>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服务</w:t>
      </w:r>
      <w:r>
        <w:rPr>
          <w:rFonts w:hint="default" w:ascii="宋体" w:hAnsi="宋体" w:eastAsia="宋体" w:cs="宋体"/>
          <w:b/>
          <w:bCs/>
          <w:color w:val="auto"/>
          <w:kern w:val="2"/>
          <w:sz w:val="21"/>
          <w:szCs w:val="21"/>
          <w:highlight w:val="none"/>
          <w:lang w:val="en-US" w:eastAsia="zh-CN" w:bidi="ar-SA"/>
        </w:rPr>
        <w:t>内容与规模</w:t>
      </w:r>
    </w:p>
    <w:tbl>
      <w:tblPr>
        <w:tblStyle w:val="47"/>
        <w:tblW w:w="498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7"/>
        <w:gridCol w:w="1682"/>
        <w:gridCol w:w="6154"/>
      </w:tblGrid>
      <w:tr w14:paraId="7440F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405A">
            <w:pPr>
              <w:pStyle w:val="238"/>
              <w:spacing w:line="360" w:lineRule="auto"/>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序号</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A4C5">
            <w:pPr>
              <w:pStyle w:val="238"/>
              <w:spacing w:line="360" w:lineRule="auto"/>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名称</w:t>
            </w:r>
          </w:p>
        </w:tc>
        <w:tc>
          <w:tcPr>
            <w:tcW w:w="3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C6F7">
            <w:pPr>
              <w:pStyle w:val="238"/>
              <w:spacing w:line="360" w:lineRule="auto"/>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内容</w:t>
            </w:r>
            <w:r>
              <w:rPr>
                <w:rFonts w:hint="eastAsia" w:ascii="宋体" w:hAnsi="宋体" w:eastAsia="宋体" w:cs="宋体"/>
                <w:b/>
                <w:bCs/>
                <w:color w:val="auto"/>
                <w:kern w:val="2"/>
                <w:sz w:val="21"/>
                <w:szCs w:val="21"/>
                <w:highlight w:val="none"/>
                <w:lang w:val="en-US" w:eastAsia="zh-CN" w:bidi="ar-SA"/>
              </w:rPr>
              <w:t>要求</w:t>
            </w:r>
          </w:p>
        </w:tc>
      </w:tr>
      <w:tr w14:paraId="63CFF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2B0D">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E350F">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智慧停车运营管理平台</w:t>
            </w:r>
          </w:p>
        </w:tc>
        <w:tc>
          <w:tcPr>
            <w:tcW w:w="3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771E">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包含数据规范接入体系建设、停车大数据分析系统、运营管理系统、 清分结算系统、移动端应用等以及配套云资源租赁。</w:t>
            </w:r>
          </w:p>
        </w:tc>
      </w:tr>
      <w:tr w14:paraId="68BB1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629E">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4657">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泊位施划</w:t>
            </w:r>
          </w:p>
        </w:tc>
        <w:tc>
          <w:tcPr>
            <w:tcW w:w="3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E5F2">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包含4337个停车泊位规划设计、泊位划线、原泊位清洗费用以及移车费用。</w:t>
            </w:r>
          </w:p>
        </w:tc>
      </w:tr>
      <w:tr w14:paraId="4E4BE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E832">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E636">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智能化停车管理</w:t>
            </w:r>
          </w:p>
        </w:tc>
        <w:tc>
          <w:tcPr>
            <w:tcW w:w="3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EFB50">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包含1446套高位视频、14套巡查员等配套设备，停车场的智能化接入，后台智能化管理系统，含设备供货及土建施工、安装调试。</w:t>
            </w:r>
          </w:p>
        </w:tc>
      </w:tr>
      <w:tr w14:paraId="223DB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DAAB">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7A83">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停车诱导系统</w:t>
            </w:r>
          </w:p>
        </w:tc>
        <w:tc>
          <w:tcPr>
            <w:tcW w:w="3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BC037">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一级停车诱导屏10套及停车诱导系统软件1套，含设备及土建施工、安装调试。</w:t>
            </w:r>
          </w:p>
        </w:tc>
      </w:tr>
      <w:tr w14:paraId="30E0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38E0">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5</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0E33">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新建路外停车场</w:t>
            </w:r>
          </w:p>
        </w:tc>
        <w:tc>
          <w:tcPr>
            <w:tcW w:w="3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DAC5">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新建及改造21个路外停车场共2974个泊位。</w:t>
            </w:r>
          </w:p>
        </w:tc>
      </w:tr>
      <w:tr w14:paraId="35ADB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ACB1">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6</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9AB3">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接入社会停车场</w:t>
            </w:r>
          </w:p>
        </w:tc>
        <w:tc>
          <w:tcPr>
            <w:tcW w:w="3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9B7F4">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接入全区33个社会面停车场10303个车位数据，为自愿接入系统的停车场提供新丰智慧停车引流服务。</w:t>
            </w:r>
          </w:p>
        </w:tc>
      </w:tr>
      <w:tr w14:paraId="66D3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3" w:hRule="atLeast"/>
          <w:tblHeader/>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5A75">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7</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34FF0">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充电桩建设</w:t>
            </w:r>
          </w:p>
        </w:tc>
        <w:tc>
          <w:tcPr>
            <w:tcW w:w="3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8AB9B">
            <w:pPr>
              <w:pStyle w:val="238"/>
              <w:spacing w:line="360" w:lineRule="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在县城范围建设205套电动汽车充电桩，173套（1730个）非机动车充电位。</w:t>
            </w:r>
          </w:p>
        </w:tc>
      </w:tr>
    </w:tbl>
    <w:p w14:paraId="5393A2BF">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r>
        <w:rPr>
          <w:rFonts w:hint="eastAsia" w:cs="宋体"/>
          <w:b/>
          <w:color w:val="auto"/>
          <w:kern w:val="2"/>
          <w:sz w:val="24"/>
          <w:szCs w:val="24"/>
          <w:lang w:val="en-US" w:eastAsia="zh-CN" w:bidi="ar-SA"/>
        </w:rPr>
        <w:t>（二）</w:t>
      </w:r>
      <w:r>
        <w:rPr>
          <w:rFonts w:hint="default" w:cs="宋体"/>
          <w:b/>
          <w:color w:val="auto"/>
          <w:kern w:val="2"/>
          <w:sz w:val="24"/>
          <w:szCs w:val="24"/>
          <w:lang w:val="en-US" w:eastAsia="zh-CN" w:bidi="ar-SA"/>
        </w:rPr>
        <w:t>项目地理位置</w:t>
      </w:r>
    </w:p>
    <w:p w14:paraId="1D44096E">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拟建项目位于广东省韶关市新丰县，路内停车位建设范围涉及新丰县城区市政道路路段、梅坑镇路段，公共停车场停车位建设地点为县人民医院停车场、老一中停车场、体育中心停车场和纪念碑停车场等共计21座公共停车场。</w:t>
      </w:r>
    </w:p>
    <w:p w14:paraId="0B146541">
      <w:pPr>
        <w:pStyle w:val="238"/>
        <w:spacing w:line="360" w:lineRule="auto"/>
        <w:ind w:firstLine="422" w:firstLineChars="200"/>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67310</wp:posOffset>
            </wp:positionV>
            <wp:extent cx="5285740" cy="3251835"/>
            <wp:effectExtent l="0" t="0" r="10160" b="571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85740" cy="3251835"/>
                    </a:xfrm>
                    <a:prstGeom prst="rect">
                      <a:avLst/>
                    </a:prstGeom>
                    <a:noFill/>
                    <a:ln>
                      <a:noFill/>
                    </a:ln>
                  </pic:spPr>
                </pic:pic>
              </a:graphicData>
            </a:graphic>
          </wp:anchor>
        </w:drawing>
      </w:r>
      <w:r>
        <w:rPr>
          <w:rFonts w:hint="default" w:ascii="宋体" w:hAnsi="宋体" w:eastAsia="宋体" w:cs="宋体"/>
          <w:b/>
          <w:bCs/>
          <w:color w:val="auto"/>
          <w:kern w:val="2"/>
          <w:sz w:val="21"/>
          <w:szCs w:val="21"/>
          <w:highlight w:val="none"/>
          <w:lang w:val="en-US" w:eastAsia="zh-CN" w:bidi="ar-SA"/>
        </w:rPr>
        <w:t>项目地理位置图</w:t>
      </w:r>
    </w:p>
    <w:p w14:paraId="709A7058">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r>
        <w:rPr>
          <w:rFonts w:hint="eastAsia" w:cs="宋体"/>
          <w:b/>
          <w:color w:val="auto"/>
          <w:kern w:val="2"/>
          <w:sz w:val="24"/>
          <w:szCs w:val="24"/>
          <w:lang w:val="en-US" w:eastAsia="zh-CN" w:bidi="ar-SA"/>
        </w:rPr>
        <w:t>（三）</w:t>
      </w:r>
      <w:r>
        <w:rPr>
          <w:rFonts w:hint="default" w:cs="宋体"/>
          <w:b/>
          <w:color w:val="auto"/>
          <w:kern w:val="2"/>
          <w:sz w:val="24"/>
          <w:szCs w:val="24"/>
          <w:lang w:val="en-US" w:eastAsia="zh-CN" w:bidi="ar-SA"/>
        </w:rPr>
        <w:t>资产概况</w:t>
      </w:r>
    </w:p>
    <w:p w14:paraId="6CB6E3C6">
      <w:pPr>
        <w:pStyle w:val="238"/>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新丰县机动车和非机动车合计10414个车位，378套充电桩（共计2020个充电插口）。其中路内机动车停车位合计4337个，一类路停车位2564个，二类路停车位1773个；路外机动车停车场21个，共2974个车位；路内非机动车位3103个，一类2680个，二类423个；机动车充电桩205套（共计290个充电插口），其中120个充电插口位于机动车路内停车位，164个充电插口位于路外停车场，6个充电插口位于机关部门；非机动车充电桩173套（共计1730个充电插口），其中90个位于停车场，160个位于机关部门，1480个位于非机动车路内停车位及配套设施。</w:t>
      </w:r>
    </w:p>
    <w:p w14:paraId="4F5712BD">
      <w:pPr>
        <w:pStyle w:val="238"/>
        <w:spacing w:line="360" w:lineRule="auto"/>
        <w:ind w:firstLine="422" w:firstLineChars="200"/>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路内机动车停车泊位分布情况汇总表</w:t>
      </w:r>
    </w:p>
    <w:tbl>
      <w:tblPr>
        <w:tblStyle w:val="4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2"/>
        <w:gridCol w:w="1036"/>
        <w:gridCol w:w="850"/>
        <w:gridCol w:w="2753"/>
        <w:gridCol w:w="900"/>
        <w:gridCol w:w="1700"/>
      </w:tblGrid>
      <w:tr w14:paraId="2D766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38AA">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序号</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9090">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辖区</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6595">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分类</w:t>
            </w: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8B5A">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路名</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F6D1">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车位数</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7EEE">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充电插口数</w:t>
            </w:r>
          </w:p>
        </w:tc>
      </w:tr>
      <w:tr w14:paraId="33C3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307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p>
        </w:tc>
        <w:tc>
          <w:tcPr>
            <w:tcW w:w="607" w:type="pct"/>
            <w:vMerge w:val="restart"/>
            <w:tcBorders>
              <w:top w:val="single" w:color="000000" w:sz="4" w:space="0"/>
              <w:left w:val="single" w:color="000000" w:sz="4" w:space="0"/>
              <w:bottom w:val="nil"/>
              <w:right w:val="single" w:color="000000" w:sz="4" w:space="0"/>
            </w:tcBorders>
            <w:shd w:val="clear" w:color="auto" w:fill="auto"/>
            <w:noWrap/>
            <w:vAlign w:val="center"/>
          </w:tcPr>
          <w:p w14:paraId="4F5A8C1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ACF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一类</w:t>
            </w: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A0E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新龙大道（北段）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C55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126</w:t>
            </w:r>
          </w:p>
        </w:tc>
        <w:tc>
          <w:tcPr>
            <w:tcW w:w="998" w:type="pct"/>
            <w:tcBorders>
              <w:top w:val="nil"/>
              <w:left w:val="nil"/>
              <w:bottom w:val="single" w:color="000000" w:sz="4" w:space="0"/>
              <w:right w:val="single" w:color="000000" w:sz="4" w:space="0"/>
            </w:tcBorders>
            <w:shd w:val="clear" w:color="auto" w:fill="auto"/>
            <w:noWrap/>
            <w:vAlign w:val="center"/>
          </w:tcPr>
          <w:p w14:paraId="6CA4BA7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r>
      <w:tr w14:paraId="290D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E6F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42A566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7915">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3F3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宝丰路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306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665213B">
            <w:pPr>
              <w:pStyle w:val="238"/>
              <w:spacing w:line="360" w:lineRule="auto"/>
              <w:jc w:val="center"/>
              <w:rPr>
                <w:rFonts w:hint="eastAsia" w:ascii="宋体" w:hAnsi="宋体" w:eastAsia="宋体" w:cs="宋体"/>
                <w:color w:val="auto"/>
                <w:highlight w:val="none"/>
              </w:rPr>
            </w:pPr>
          </w:p>
        </w:tc>
      </w:tr>
      <w:tr w14:paraId="0FA34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070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F9C9BE0">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92CD">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9710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教育路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D50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66239BCE">
            <w:pPr>
              <w:pStyle w:val="238"/>
              <w:spacing w:line="360" w:lineRule="auto"/>
              <w:jc w:val="center"/>
              <w:rPr>
                <w:rFonts w:hint="eastAsia" w:ascii="宋体" w:hAnsi="宋体" w:eastAsia="宋体" w:cs="宋体"/>
                <w:color w:val="auto"/>
                <w:highlight w:val="none"/>
              </w:rPr>
            </w:pPr>
          </w:p>
        </w:tc>
      </w:tr>
      <w:tr w14:paraId="0A81D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58A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74764D2">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0904">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B5A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黄陂路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70A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106</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867E88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14:paraId="07DAE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E3A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CE23F2F">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B70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DAC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5F0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10113E0C">
            <w:pPr>
              <w:pStyle w:val="238"/>
              <w:spacing w:line="360" w:lineRule="auto"/>
              <w:jc w:val="center"/>
              <w:rPr>
                <w:rFonts w:hint="eastAsia" w:ascii="宋体" w:hAnsi="宋体" w:eastAsia="宋体" w:cs="宋体"/>
                <w:color w:val="auto"/>
                <w:highlight w:val="none"/>
              </w:rPr>
            </w:pPr>
          </w:p>
        </w:tc>
      </w:tr>
      <w:tr w14:paraId="1623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303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3BEB44D">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C7732">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5E3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江南中路（银晶酒店段）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6D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6AC66658">
            <w:pPr>
              <w:pStyle w:val="238"/>
              <w:spacing w:line="360" w:lineRule="auto"/>
              <w:jc w:val="center"/>
              <w:rPr>
                <w:rFonts w:hint="eastAsia" w:ascii="宋体" w:hAnsi="宋体" w:eastAsia="宋体" w:cs="宋体"/>
                <w:color w:val="auto"/>
                <w:highlight w:val="none"/>
              </w:rPr>
            </w:pPr>
          </w:p>
        </w:tc>
      </w:tr>
      <w:tr w14:paraId="6BF59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71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4EF8E57">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642B">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4946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江南中路（滨江花园西侧）</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E0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FDCE919">
            <w:pPr>
              <w:pStyle w:val="238"/>
              <w:spacing w:line="360" w:lineRule="auto"/>
              <w:jc w:val="center"/>
              <w:rPr>
                <w:rFonts w:hint="eastAsia" w:ascii="宋体" w:hAnsi="宋体" w:eastAsia="宋体" w:cs="宋体"/>
                <w:color w:val="auto"/>
                <w:highlight w:val="none"/>
              </w:rPr>
            </w:pPr>
          </w:p>
        </w:tc>
      </w:tr>
      <w:tr w14:paraId="63FDB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70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A74ABE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CF03">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4BF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丰宁路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D7F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71EE63F">
            <w:pPr>
              <w:pStyle w:val="238"/>
              <w:spacing w:line="360" w:lineRule="auto"/>
              <w:jc w:val="center"/>
              <w:rPr>
                <w:rFonts w:hint="eastAsia" w:ascii="宋体" w:hAnsi="宋体" w:eastAsia="宋体" w:cs="宋体"/>
                <w:color w:val="auto"/>
                <w:highlight w:val="none"/>
              </w:rPr>
            </w:pPr>
          </w:p>
        </w:tc>
      </w:tr>
      <w:tr w14:paraId="2D9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C95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991FF30">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F820">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CA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客家大院后巷</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224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5232F8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r>
      <w:tr w14:paraId="07BCB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576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CFCBB14">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529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4E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人民西路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E4C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4E4372EF">
            <w:pPr>
              <w:pStyle w:val="238"/>
              <w:spacing w:line="360" w:lineRule="auto"/>
              <w:jc w:val="center"/>
              <w:rPr>
                <w:rFonts w:hint="eastAsia" w:ascii="宋体" w:hAnsi="宋体" w:eastAsia="宋体" w:cs="宋体"/>
                <w:color w:val="auto"/>
                <w:highlight w:val="none"/>
              </w:rPr>
            </w:pPr>
          </w:p>
        </w:tc>
      </w:tr>
      <w:tr w14:paraId="0016D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5F9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7BC271D">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438F">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16D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城西路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3C0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61</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11C9695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r>
      <w:tr w14:paraId="428C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FAB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5B0E754">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F533">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300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文育路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373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C433F6D">
            <w:pPr>
              <w:pStyle w:val="238"/>
              <w:spacing w:line="360" w:lineRule="auto"/>
              <w:jc w:val="center"/>
              <w:rPr>
                <w:rFonts w:hint="eastAsia" w:ascii="宋体" w:hAnsi="宋体" w:eastAsia="宋体" w:cs="宋体"/>
                <w:color w:val="auto"/>
                <w:highlight w:val="none"/>
              </w:rPr>
            </w:pPr>
          </w:p>
        </w:tc>
      </w:tr>
      <w:tr w14:paraId="00CF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4E9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33F6833">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2BD9">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4D9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西岭路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B86B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4270E9A2">
            <w:pPr>
              <w:pStyle w:val="238"/>
              <w:spacing w:line="360" w:lineRule="auto"/>
              <w:jc w:val="center"/>
              <w:rPr>
                <w:rFonts w:hint="eastAsia" w:ascii="宋体" w:hAnsi="宋体" w:eastAsia="宋体" w:cs="宋体"/>
                <w:color w:val="auto"/>
                <w:highlight w:val="none"/>
              </w:rPr>
            </w:pPr>
          </w:p>
        </w:tc>
      </w:tr>
      <w:tr w14:paraId="351E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D9B7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A468EFD">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26D95">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52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新西路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1A4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6A0E9A12">
            <w:pPr>
              <w:pStyle w:val="238"/>
              <w:spacing w:line="360" w:lineRule="auto"/>
              <w:jc w:val="center"/>
              <w:rPr>
                <w:rFonts w:hint="eastAsia" w:ascii="宋体" w:hAnsi="宋体" w:eastAsia="宋体" w:cs="宋体"/>
                <w:color w:val="auto"/>
                <w:highlight w:val="none"/>
              </w:rPr>
            </w:pPr>
          </w:p>
        </w:tc>
      </w:tr>
      <w:tr w14:paraId="2AFE2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8DF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3EB3BE7">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2B0E">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F89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群英路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496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1D0D9A4E">
            <w:pPr>
              <w:pStyle w:val="238"/>
              <w:spacing w:line="360" w:lineRule="auto"/>
              <w:jc w:val="center"/>
              <w:rPr>
                <w:rFonts w:hint="eastAsia" w:ascii="宋体" w:hAnsi="宋体" w:eastAsia="宋体" w:cs="宋体"/>
                <w:color w:val="auto"/>
                <w:highlight w:val="none"/>
              </w:rPr>
            </w:pPr>
          </w:p>
        </w:tc>
      </w:tr>
      <w:tr w14:paraId="4CC2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617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75EB8B8">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D59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B0C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新城一街</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9FC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24</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8FDDFAE">
            <w:pPr>
              <w:pStyle w:val="238"/>
              <w:spacing w:line="360" w:lineRule="auto"/>
              <w:jc w:val="center"/>
              <w:rPr>
                <w:rFonts w:hint="eastAsia" w:ascii="宋体" w:hAnsi="宋体" w:eastAsia="宋体" w:cs="宋体"/>
                <w:color w:val="auto"/>
                <w:highlight w:val="none"/>
              </w:rPr>
            </w:pPr>
          </w:p>
        </w:tc>
      </w:tr>
      <w:tr w14:paraId="30EB2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1B6A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E5DC9CB">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41F6">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821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新城二街</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6DA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939B42E">
            <w:pPr>
              <w:pStyle w:val="238"/>
              <w:spacing w:line="360" w:lineRule="auto"/>
              <w:jc w:val="center"/>
              <w:rPr>
                <w:rFonts w:hint="eastAsia" w:ascii="宋体" w:hAnsi="宋体" w:eastAsia="宋体" w:cs="宋体"/>
                <w:color w:val="auto"/>
                <w:highlight w:val="none"/>
              </w:rPr>
            </w:pPr>
          </w:p>
        </w:tc>
      </w:tr>
      <w:tr w14:paraId="2CD6D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687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6383634">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A20E">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1AB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新城三街</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D5C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44E6003">
            <w:pPr>
              <w:pStyle w:val="238"/>
              <w:spacing w:line="360" w:lineRule="auto"/>
              <w:jc w:val="center"/>
              <w:rPr>
                <w:rFonts w:hint="eastAsia" w:ascii="宋体" w:hAnsi="宋体" w:eastAsia="宋体" w:cs="宋体"/>
                <w:color w:val="auto"/>
                <w:highlight w:val="none"/>
              </w:rPr>
            </w:pPr>
          </w:p>
        </w:tc>
      </w:tr>
      <w:tr w14:paraId="0356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C74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B5014F2">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B2BC">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E0B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新南路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CA0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7F4BE4C">
            <w:pPr>
              <w:pStyle w:val="238"/>
              <w:spacing w:line="360" w:lineRule="auto"/>
              <w:jc w:val="center"/>
              <w:rPr>
                <w:rFonts w:hint="eastAsia" w:ascii="宋体" w:hAnsi="宋体" w:eastAsia="宋体" w:cs="宋体"/>
                <w:color w:val="auto"/>
                <w:highlight w:val="none"/>
              </w:rPr>
            </w:pPr>
          </w:p>
        </w:tc>
      </w:tr>
      <w:tr w14:paraId="54D2F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52F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CDE2D52">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3680">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871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迎宾路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A85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1209974">
            <w:pPr>
              <w:pStyle w:val="238"/>
              <w:spacing w:line="360" w:lineRule="auto"/>
              <w:jc w:val="center"/>
              <w:rPr>
                <w:rFonts w:hint="eastAsia" w:ascii="宋体" w:hAnsi="宋体" w:eastAsia="宋体" w:cs="宋体"/>
                <w:color w:val="auto"/>
                <w:highlight w:val="none"/>
              </w:rPr>
            </w:pPr>
          </w:p>
        </w:tc>
      </w:tr>
      <w:tr w14:paraId="5D85F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DCC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FCB409A">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B120">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2AB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新东路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FEB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10BE77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r>
      <w:tr w14:paraId="5A53D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9C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0D31E1B">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E0B6">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D74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东明路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469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54</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61DB8CA1">
            <w:pPr>
              <w:pStyle w:val="238"/>
              <w:spacing w:line="360" w:lineRule="auto"/>
              <w:jc w:val="center"/>
              <w:rPr>
                <w:rFonts w:hint="eastAsia" w:ascii="宋体" w:hAnsi="宋体" w:eastAsia="宋体" w:cs="宋体"/>
                <w:color w:val="auto"/>
                <w:highlight w:val="none"/>
              </w:rPr>
            </w:pPr>
          </w:p>
        </w:tc>
      </w:tr>
      <w:tr w14:paraId="5F5C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BC3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23</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3AA706F">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A84D">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E9E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车田路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A68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62</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4C0E8FD">
            <w:pPr>
              <w:pStyle w:val="238"/>
              <w:spacing w:line="360" w:lineRule="auto"/>
              <w:jc w:val="center"/>
              <w:rPr>
                <w:rFonts w:hint="eastAsia" w:ascii="宋体" w:hAnsi="宋体" w:eastAsia="宋体" w:cs="宋体"/>
                <w:color w:val="auto"/>
                <w:highlight w:val="none"/>
              </w:rPr>
            </w:pPr>
          </w:p>
        </w:tc>
      </w:tr>
      <w:tr w14:paraId="5D14E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A5B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24</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34BBAAF">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B76A">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DE6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新建路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C90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17DE57A0">
            <w:pPr>
              <w:pStyle w:val="238"/>
              <w:spacing w:line="360" w:lineRule="auto"/>
              <w:jc w:val="center"/>
              <w:rPr>
                <w:rFonts w:hint="eastAsia" w:ascii="宋体" w:hAnsi="宋体" w:eastAsia="宋体" w:cs="宋体"/>
                <w:color w:val="auto"/>
                <w:highlight w:val="none"/>
              </w:rPr>
            </w:pPr>
          </w:p>
        </w:tc>
      </w:tr>
      <w:tr w14:paraId="74C8B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D48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5312218">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FDD6">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91F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人民东路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275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888284C">
            <w:pPr>
              <w:pStyle w:val="238"/>
              <w:spacing w:line="360" w:lineRule="auto"/>
              <w:jc w:val="center"/>
              <w:rPr>
                <w:rFonts w:hint="eastAsia" w:ascii="宋体" w:hAnsi="宋体" w:eastAsia="宋体" w:cs="宋体"/>
                <w:color w:val="auto"/>
                <w:highlight w:val="none"/>
              </w:rPr>
            </w:pPr>
          </w:p>
        </w:tc>
      </w:tr>
      <w:tr w14:paraId="767A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B8A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26</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E95F965">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1097">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A75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建设路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540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E8BAC0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r>
      <w:tr w14:paraId="5F741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ED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27</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1282A75">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ECC7">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F99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东风路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8802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FD249DD">
            <w:pPr>
              <w:pStyle w:val="238"/>
              <w:spacing w:line="360" w:lineRule="auto"/>
              <w:jc w:val="center"/>
              <w:rPr>
                <w:rFonts w:hint="eastAsia" w:ascii="宋体" w:hAnsi="宋体" w:eastAsia="宋体" w:cs="宋体"/>
                <w:color w:val="auto"/>
                <w:highlight w:val="none"/>
              </w:rPr>
            </w:pPr>
          </w:p>
        </w:tc>
      </w:tr>
      <w:tr w14:paraId="40ED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FAD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28</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535E2F8">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17E7">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E40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法政路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5C8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DD9E2C7">
            <w:pPr>
              <w:pStyle w:val="238"/>
              <w:spacing w:line="360" w:lineRule="auto"/>
              <w:jc w:val="center"/>
              <w:rPr>
                <w:rFonts w:hint="eastAsia" w:ascii="宋体" w:hAnsi="宋体" w:eastAsia="宋体" w:cs="宋体"/>
                <w:color w:val="auto"/>
                <w:highlight w:val="none"/>
              </w:rPr>
            </w:pPr>
          </w:p>
        </w:tc>
      </w:tr>
      <w:tr w14:paraId="20F1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DC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A4F4F9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C9D1">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9C0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东田路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F2E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606E14CE">
            <w:pPr>
              <w:pStyle w:val="238"/>
              <w:spacing w:line="360" w:lineRule="auto"/>
              <w:jc w:val="center"/>
              <w:rPr>
                <w:rFonts w:hint="eastAsia" w:ascii="宋体" w:hAnsi="宋体" w:eastAsia="宋体" w:cs="宋体"/>
                <w:color w:val="auto"/>
                <w:highlight w:val="none"/>
              </w:rPr>
            </w:pPr>
          </w:p>
        </w:tc>
      </w:tr>
      <w:tr w14:paraId="0BB2F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9D7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692D4C6">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9ECC">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600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城东路（北段）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93C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96</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5B7EE0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r>
      <w:tr w14:paraId="61C09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9EF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12308C3">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26F">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562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东门路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3EF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86</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3CD15E5">
            <w:pPr>
              <w:pStyle w:val="238"/>
              <w:spacing w:line="360" w:lineRule="auto"/>
              <w:jc w:val="center"/>
              <w:rPr>
                <w:rFonts w:hint="eastAsia" w:ascii="宋体" w:hAnsi="宋体" w:eastAsia="宋体" w:cs="宋体"/>
                <w:color w:val="auto"/>
                <w:highlight w:val="none"/>
              </w:rPr>
            </w:pPr>
          </w:p>
        </w:tc>
      </w:tr>
      <w:tr w14:paraId="03C6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EAD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32</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75C3503E">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B7D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0B0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丰城大道</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F1E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472</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226D55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60</w:t>
            </w:r>
          </w:p>
        </w:tc>
      </w:tr>
      <w:tr w14:paraId="42C66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43D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33</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66B3B05">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8AEB">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89A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珠城路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9F6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41</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834986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r>
      <w:tr w14:paraId="48F8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447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34</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AD250DC">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93D5">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F3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双龙路（南段）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3C49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53</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61A9CA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r>
      <w:tr w14:paraId="3BCB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20F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35</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CBB676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92E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180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双龙路（北段）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C19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25B5128">
            <w:pPr>
              <w:pStyle w:val="238"/>
              <w:spacing w:line="360" w:lineRule="auto"/>
              <w:jc w:val="center"/>
              <w:rPr>
                <w:rFonts w:hint="eastAsia" w:ascii="宋体" w:hAnsi="宋体" w:eastAsia="宋体" w:cs="宋体"/>
                <w:color w:val="auto"/>
                <w:highlight w:val="none"/>
              </w:rPr>
            </w:pPr>
          </w:p>
        </w:tc>
      </w:tr>
      <w:tr w14:paraId="531B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4AB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36</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AFCC122">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AA7D">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FE6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沿江路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31E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222</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AC5078C">
            <w:pPr>
              <w:pStyle w:val="238"/>
              <w:spacing w:line="360" w:lineRule="auto"/>
              <w:jc w:val="center"/>
              <w:rPr>
                <w:rFonts w:hint="eastAsia" w:ascii="宋体" w:hAnsi="宋体" w:eastAsia="宋体" w:cs="宋体"/>
                <w:color w:val="auto"/>
                <w:highlight w:val="none"/>
              </w:rPr>
            </w:pPr>
          </w:p>
        </w:tc>
      </w:tr>
      <w:tr w14:paraId="41B5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993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37</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1FB0052">
            <w:pPr>
              <w:pStyle w:val="238"/>
              <w:spacing w:line="360" w:lineRule="auto"/>
              <w:rPr>
                <w:rFonts w:hint="eastAsia" w:ascii="宋体" w:hAnsi="宋体" w:eastAsia="宋体" w:cs="宋体"/>
                <w:color w:val="auto"/>
                <w:highlight w:val="none"/>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1EB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二类</w:t>
            </w: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908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新龙公路（南段）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74F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07EE765F">
            <w:pPr>
              <w:pStyle w:val="238"/>
              <w:spacing w:line="360" w:lineRule="auto"/>
              <w:jc w:val="center"/>
              <w:rPr>
                <w:rFonts w:hint="eastAsia" w:ascii="宋体" w:hAnsi="宋体" w:eastAsia="宋体" w:cs="宋体"/>
                <w:color w:val="auto"/>
                <w:highlight w:val="none"/>
              </w:rPr>
            </w:pPr>
          </w:p>
        </w:tc>
      </w:tr>
      <w:tr w14:paraId="2108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32BC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38</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8CF4E73">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D3E7">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724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滨江中路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E98A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F35F4E6">
            <w:pPr>
              <w:pStyle w:val="238"/>
              <w:spacing w:line="360" w:lineRule="auto"/>
              <w:jc w:val="center"/>
              <w:rPr>
                <w:rFonts w:hint="eastAsia" w:ascii="宋体" w:hAnsi="宋体" w:eastAsia="宋体" w:cs="宋体"/>
                <w:color w:val="auto"/>
                <w:highlight w:val="none"/>
              </w:rPr>
            </w:pPr>
          </w:p>
        </w:tc>
      </w:tr>
      <w:tr w14:paraId="2822B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3B3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39</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1802C2E">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F9B0">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61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文体东路（东段）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B9D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110</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08FF3E2B">
            <w:pPr>
              <w:pStyle w:val="238"/>
              <w:spacing w:line="360" w:lineRule="auto"/>
              <w:jc w:val="center"/>
              <w:rPr>
                <w:rFonts w:hint="eastAsia" w:ascii="宋体" w:hAnsi="宋体" w:eastAsia="宋体" w:cs="宋体"/>
                <w:color w:val="auto"/>
                <w:highlight w:val="none"/>
              </w:rPr>
            </w:pPr>
          </w:p>
        </w:tc>
      </w:tr>
      <w:tr w14:paraId="4BCC9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CBA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D94CC55">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783F">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D60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校前路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711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54</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7ABCA8C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r>
      <w:tr w14:paraId="6D2A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11B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41</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426E7A3">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0BA1">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96C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城东路（南段）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81C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14D5794">
            <w:pPr>
              <w:pStyle w:val="238"/>
              <w:spacing w:line="360" w:lineRule="auto"/>
              <w:jc w:val="center"/>
              <w:rPr>
                <w:rFonts w:hint="eastAsia" w:ascii="宋体" w:hAnsi="宋体" w:eastAsia="宋体" w:cs="宋体"/>
                <w:color w:val="auto"/>
                <w:highlight w:val="none"/>
              </w:rPr>
            </w:pPr>
          </w:p>
        </w:tc>
      </w:tr>
      <w:tr w14:paraId="69CFB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561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82A1F8A">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03B9">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365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文体东路（西段）</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1079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0F19B4C3">
            <w:pPr>
              <w:pStyle w:val="238"/>
              <w:spacing w:line="360" w:lineRule="auto"/>
              <w:jc w:val="center"/>
              <w:rPr>
                <w:rFonts w:hint="eastAsia" w:ascii="宋体" w:hAnsi="宋体" w:eastAsia="宋体" w:cs="宋体"/>
                <w:color w:val="auto"/>
                <w:highlight w:val="none"/>
              </w:rPr>
            </w:pPr>
          </w:p>
        </w:tc>
      </w:tr>
      <w:tr w14:paraId="02666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CD5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F4536F2">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A2EB">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BACB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滨江国际城南侧道路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C8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255</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DD5E7A9">
            <w:pPr>
              <w:pStyle w:val="238"/>
              <w:spacing w:line="360" w:lineRule="auto"/>
              <w:jc w:val="center"/>
              <w:rPr>
                <w:rFonts w:hint="eastAsia" w:ascii="宋体" w:hAnsi="宋体" w:eastAsia="宋体" w:cs="宋体"/>
                <w:color w:val="auto"/>
                <w:highlight w:val="none"/>
              </w:rPr>
            </w:pPr>
          </w:p>
        </w:tc>
      </w:tr>
      <w:tr w14:paraId="18FEE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86D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44</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363E6BE">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6BC6">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04E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新丰五小至碧桂园青云台路口</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EC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40E29B6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r>
      <w:tr w14:paraId="23FC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B96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45</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465765C">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55CC">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4AC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东环路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8E3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129</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083FE2BE">
            <w:pPr>
              <w:pStyle w:val="238"/>
              <w:spacing w:line="360" w:lineRule="auto"/>
              <w:jc w:val="center"/>
              <w:rPr>
                <w:rFonts w:hint="eastAsia" w:ascii="宋体" w:hAnsi="宋体" w:eastAsia="宋体" w:cs="宋体"/>
                <w:color w:val="auto"/>
                <w:highlight w:val="none"/>
              </w:rPr>
            </w:pPr>
          </w:p>
        </w:tc>
      </w:tr>
      <w:tr w14:paraId="21533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353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46</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B571F8D">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72763">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7F5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南环路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F73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2553ADD8">
            <w:pPr>
              <w:pStyle w:val="238"/>
              <w:spacing w:line="360" w:lineRule="auto"/>
              <w:jc w:val="center"/>
              <w:rPr>
                <w:rFonts w:hint="eastAsia" w:ascii="宋体" w:hAnsi="宋体" w:eastAsia="宋体" w:cs="宋体"/>
                <w:color w:val="auto"/>
                <w:highlight w:val="none"/>
              </w:rPr>
            </w:pPr>
          </w:p>
        </w:tc>
      </w:tr>
      <w:tr w14:paraId="25654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448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47</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0B18E9C">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009B">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DA5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宝丰隆城南侧道路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E18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37</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488A89AE">
            <w:pPr>
              <w:pStyle w:val="238"/>
              <w:spacing w:line="360" w:lineRule="auto"/>
              <w:jc w:val="center"/>
              <w:rPr>
                <w:rFonts w:hint="eastAsia" w:ascii="宋体" w:hAnsi="宋体" w:eastAsia="宋体" w:cs="宋体"/>
                <w:color w:val="auto"/>
                <w:highlight w:val="none"/>
              </w:rPr>
            </w:pPr>
          </w:p>
        </w:tc>
      </w:tr>
      <w:tr w14:paraId="3899E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87C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48</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696AF11">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CE75">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ECA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宝龙路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30F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52FF1961">
            <w:pPr>
              <w:pStyle w:val="238"/>
              <w:spacing w:line="360" w:lineRule="auto"/>
              <w:jc w:val="center"/>
              <w:rPr>
                <w:rFonts w:hint="eastAsia" w:ascii="宋体" w:hAnsi="宋体" w:eastAsia="宋体" w:cs="宋体"/>
                <w:color w:val="auto"/>
                <w:highlight w:val="none"/>
              </w:rPr>
            </w:pPr>
          </w:p>
        </w:tc>
      </w:tr>
      <w:tr w14:paraId="4C15C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BE49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49</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2D013E7">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EB6D">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817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沿江东路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F32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108</w:t>
            </w:r>
          </w:p>
        </w:tc>
        <w:tc>
          <w:tcPr>
            <w:tcW w:w="998" w:type="pct"/>
            <w:tcBorders>
              <w:top w:val="single" w:color="000000" w:sz="4" w:space="0"/>
              <w:left w:val="nil"/>
              <w:bottom w:val="single" w:color="000000" w:sz="4" w:space="0"/>
              <w:right w:val="single" w:color="000000" w:sz="4" w:space="0"/>
            </w:tcBorders>
            <w:shd w:val="clear" w:color="auto" w:fill="auto"/>
            <w:noWrap/>
            <w:vAlign w:val="center"/>
          </w:tcPr>
          <w:p w14:paraId="3475D41C">
            <w:pPr>
              <w:pStyle w:val="238"/>
              <w:spacing w:line="360" w:lineRule="auto"/>
              <w:jc w:val="center"/>
              <w:rPr>
                <w:rFonts w:hint="eastAsia" w:ascii="宋体" w:hAnsi="宋体" w:eastAsia="宋体" w:cs="宋体"/>
                <w:color w:val="auto"/>
                <w:highlight w:val="none"/>
              </w:rPr>
            </w:pPr>
          </w:p>
        </w:tc>
      </w:tr>
      <w:tr w14:paraId="777CE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nil"/>
              <w:right w:val="single" w:color="000000" w:sz="4" w:space="0"/>
            </w:tcBorders>
            <w:shd w:val="clear" w:color="auto" w:fill="auto"/>
            <w:noWrap/>
            <w:vAlign w:val="center"/>
          </w:tcPr>
          <w:p w14:paraId="5B19DE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c>
          <w:tcPr>
            <w:tcW w:w="6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833B79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6F8B0">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nil"/>
              <w:right w:val="single" w:color="000000" w:sz="4" w:space="0"/>
            </w:tcBorders>
            <w:shd w:val="clear" w:color="auto" w:fill="auto"/>
            <w:noWrap/>
            <w:vAlign w:val="center"/>
          </w:tcPr>
          <w:p w14:paraId="49968E7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龙围大道</w:t>
            </w:r>
          </w:p>
        </w:tc>
        <w:tc>
          <w:tcPr>
            <w:tcW w:w="529" w:type="pct"/>
            <w:tcBorders>
              <w:top w:val="single" w:color="000000" w:sz="4" w:space="0"/>
              <w:left w:val="single" w:color="000000" w:sz="4" w:space="0"/>
              <w:bottom w:val="nil"/>
              <w:right w:val="single" w:color="000000" w:sz="4" w:space="0"/>
            </w:tcBorders>
            <w:shd w:val="clear" w:color="auto" w:fill="auto"/>
            <w:noWrap/>
            <w:vAlign w:val="center"/>
          </w:tcPr>
          <w:p w14:paraId="53707AF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300</w:t>
            </w:r>
          </w:p>
        </w:tc>
        <w:tc>
          <w:tcPr>
            <w:tcW w:w="998" w:type="pct"/>
            <w:tcBorders>
              <w:top w:val="single" w:color="000000" w:sz="4" w:space="0"/>
              <w:left w:val="nil"/>
              <w:bottom w:val="nil"/>
              <w:right w:val="single" w:color="000000" w:sz="4" w:space="0"/>
            </w:tcBorders>
            <w:shd w:val="clear" w:color="auto" w:fill="auto"/>
            <w:noWrap/>
            <w:vAlign w:val="center"/>
          </w:tcPr>
          <w:p w14:paraId="46E114CA">
            <w:pPr>
              <w:pStyle w:val="238"/>
              <w:spacing w:line="360" w:lineRule="auto"/>
              <w:jc w:val="center"/>
              <w:rPr>
                <w:rFonts w:hint="eastAsia" w:ascii="宋体" w:hAnsi="宋体" w:eastAsia="宋体" w:cs="宋体"/>
                <w:color w:val="auto"/>
                <w:highlight w:val="none"/>
              </w:rPr>
            </w:pPr>
          </w:p>
        </w:tc>
      </w:tr>
      <w:tr w14:paraId="2D316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EC7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p>
        </w:tc>
        <w:tc>
          <w:tcPr>
            <w:tcW w:w="6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810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梅坑镇</w:t>
            </w: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DF58">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FC8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梅坑镇梅北路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8A9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D68E">
            <w:pPr>
              <w:pStyle w:val="238"/>
              <w:spacing w:line="360" w:lineRule="auto"/>
              <w:jc w:val="center"/>
              <w:rPr>
                <w:rFonts w:hint="eastAsia" w:ascii="宋体" w:hAnsi="宋体" w:eastAsia="宋体" w:cs="宋体"/>
                <w:color w:val="auto"/>
                <w:highlight w:val="none"/>
              </w:rPr>
            </w:pPr>
          </w:p>
        </w:tc>
      </w:tr>
      <w:tr w14:paraId="5B7B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4BD4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52</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CC9F">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3C2C">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57F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梅坑镇幸福街</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380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FD3C">
            <w:pPr>
              <w:pStyle w:val="238"/>
              <w:spacing w:line="360" w:lineRule="auto"/>
              <w:jc w:val="center"/>
              <w:rPr>
                <w:rFonts w:hint="eastAsia" w:ascii="宋体" w:hAnsi="宋体" w:eastAsia="宋体" w:cs="宋体"/>
                <w:color w:val="auto"/>
                <w:highlight w:val="none"/>
              </w:rPr>
            </w:pPr>
          </w:p>
        </w:tc>
      </w:tr>
      <w:tr w14:paraId="5E5AC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E1D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53</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7939">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F54D">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3C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梅坑镇梅桥路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99C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C530">
            <w:pPr>
              <w:pStyle w:val="238"/>
              <w:spacing w:line="360" w:lineRule="auto"/>
              <w:jc w:val="center"/>
              <w:rPr>
                <w:rFonts w:hint="eastAsia" w:ascii="宋体" w:hAnsi="宋体" w:eastAsia="宋体" w:cs="宋体"/>
                <w:color w:val="auto"/>
                <w:highlight w:val="none"/>
              </w:rPr>
            </w:pPr>
          </w:p>
        </w:tc>
      </w:tr>
      <w:tr w14:paraId="682B5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2A2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54</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7FB4">
            <w:pPr>
              <w:pStyle w:val="238"/>
              <w:spacing w:line="360" w:lineRule="auto"/>
              <w:rPr>
                <w:rFonts w:hint="eastAsia" w:ascii="宋体" w:hAnsi="宋体" w:eastAsia="宋体" w:cs="宋体"/>
                <w:color w:val="auto"/>
                <w:highlight w:val="none"/>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D533">
            <w:pPr>
              <w:pStyle w:val="238"/>
              <w:spacing w:line="360" w:lineRule="auto"/>
              <w:rPr>
                <w:rFonts w:hint="eastAsia" w:ascii="宋体" w:hAnsi="宋体" w:eastAsia="宋体" w:cs="宋体"/>
                <w:color w:val="auto"/>
                <w:highlight w:val="none"/>
              </w:rPr>
            </w:pPr>
          </w:p>
        </w:tc>
        <w:tc>
          <w:tcPr>
            <w:tcW w:w="16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76A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梅坑镇新梅路</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F3F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41</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A3BE">
            <w:pPr>
              <w:pStyle w:val="238"/>
              <w:spacing w:line="360" w:lineRule="auto"/>
              <w:jc w:val="center"/>
              <w:rPr>
                <w:rFonts w:hint="eastAsia" w:ascii="宋体" w:hAnsi="宋体" w:eastAsia="宋体" w:cs="宋体"/>
                <w:color w:val="auto"/>
                <w:highlight w:val="none"/>
              </w:rPr>
            </w:pPr>
          </w:p>
        </w:tc>
      </w:tr>
    </w:tbl>
    <w:p w14:paraId="31AAAEC4">
      <w:pPr>
        <w:pStyle w:val="238"/>
        <w:spacing w:line="360" w:lineRule="auto"/>
        <w:ind w:firstLine="422" w:firstLineChars="20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路外停车场分布情况汇总表</w:t>
      </w:r>
    </w:p>
    <w:tbl>
      <w:tblPr>
        <w:tblStyle w:val="4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2"/>
        <w:gridCol w:w="1022"/>
        <w:gridCol w:w="3399"/>
        <w:gridCol w:w="1465"/>
        <w:gridCol w:w="1814"/>
      </w:tblGrid>
      <w:tr w14:paraId="1E95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noWrap/>
            <w:vAlign w:val="center"/>
          </w:tcPr>
          <w:p w14:paraId="2A770F08">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序号</w:t>
            </w:r>
          </w:p>
        </w:tc>
        <w:tc>
          <w:tcPr>
            <w:tcW w:w="600" w:type="pct"/>
            <w:tcBorders>
              <w:tl2br w:val="nil"/>
              <w:tr2bl w:val="nil"/>
            </w:tcBorders>
            <w:shd w:val="clear" w:color="auto" w:fill="auto"/>
            <w:noWrap/>
            <w:vAlign w:val="center"/>
          </w:tcPr>
          <w:p w14:paraId="43E23708">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辖区</w:t>
            </w:r>
          </w:p>
        </w:tc>
        <w:tc>
          <w:tcPr>
            <w:tcW w:w="1996" w:type="pct"/>
            <w:tcBorders>
              <w:tl2br w:val="nil"/>
              <w:tr2bl w:val="nil"/>
            </w:tcBorders>
            <w:shd w:val="clear" w:color="auto" w:fill="auto"/>
            <w:noWrap/>
            <w:vAlign w:val="center"/>
          </w:tcPr>
          <w:p w14:paraId="5A5E6625">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名称</w:t>
            </w:r>
          </w:p>
        </w:tc>
        <w:tc>
          <w:tcPr>
            <w:tcW w:w="860" w:type="pct"/>
            <w:tcBorders>
              <w:tl2br w:val="nil"/>
              <w:tr2bl w:val="nil"/>
            </w:tcBorders>
            <w:shd w:val="clear" w:color="auto" w:fill="auto"/>
            <w:noWrap/>
            <w:vAlign w:val="center"/>
          </w:tcPr>
          <w:p w14:paraId="098B1E37">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车位数</w:t>
            </w:r>
          </w:p>
        </w:tc>
        <w:tc>
          <w:tcPr>
            <w:tcW w:w="1065" w:type="pct"/>
            <w:tcBorders>
              <w:tl2br w:val="nil"/>
              <w:tr2bl w:val="nil"/>
            </w:tcBorders>
            <w:shd w:val="clear" w:color="auto" w:fill="auto"/>
            <w:noWrap/>
            <w:vAlign w:val="center"/>
          </w:tcPr>
          <w:p w14:paraId="18BF64B0">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充电插口数</w:t>
            </w:r>
          </w:p>
        </w:tc>
      </w:tr>
      <w:tr w14:paraId="2F436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4CF6220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p>
        </w:tc>
        <w:tc>
          <w:tcPr>
            <w:tcW w:w="600" w:type="pct"/>
            <w:tcBorders>
              <w:tl2br w:val="nil"/>
              <w:tr2bl w:val="nil"/>
            </w:tcBorders>
            <w:shd w:val="clear" w:color="auto" w:fill="auto"/>
            <w:vAlign w:val="center"/>
          </w:tcPr>
          <w:p w14:paraId="1F4BD74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6157554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县人民医院停车场</w:t>
            </w:r>
          </w:p>
        </w:tc>
        <w:tc>
          <w:tcPr>
            <w:tcW w:w="860" w:type="pct"/>
            <w:tcBorders>
              <w:tl2br w:val="nil"/>
              <w:tr2bl w:val="nil"/>
            </w:tcBorders>
            <w:shd w:val="clear" w:color="auto" w:fill="auto"/>
            <w:vAlign w:val="center"/>
          </w:tcPr>
          <w:p w14:paraId="363A81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c>
          <w:tcPr>
            <w:tcW w:w="1065" w:type="pct"/>
            <w:tcBorders>
              <w:tl2br w:val="nil"/>
              <w:tr2bl w:val="nil"/>
            </w:tcBorders>
            <w:shd w:val="clear" w:color="auto" w:fill="auto"/>
            <w:vAlign w:val="center"/>
          </w:tcPr>
          <w:p w14:paraId="48CE938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r>
      <w:tr w14:paraId="27889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3932CC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600" w:type="pct"/>
            <w:tcBorders>
              <w:tl2br w:val="nil"/>
              <w:tr2bl w:val="nil"/>
            </w:tcBorders>
            <w:shd w:val="clear" w:color="auto" w:fill="auto"/>
            <w:vAlign w:val="center"/>
          </w:tcPr>
          <w:p w14:paraId="42E0A21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242ECD1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谢屋街停车场</w:t>
            </w:r>
          </w:p>
        </w:tc>
        <w:tc>
          <w:tcPr>
            <w:tcW w:w="860" w:type="pct"/>
            <w:tcBorders>
              <w:tl2br w:val="nil"/>
              <w:tr2bl w:val="nil"/>
            </w:tcBorders>
            <w:shd w:val="clear" w:color="auto" w:fill="auto"/>
            <w:vAlign w:val="center"/>
          </w:tcPr>
          <w:p w14:paraId="0AE4151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60</w:t>
            </w:r>
          </w:p>
        </w:tc>
        <w:tc>
          <w:tcPr>
            <w:tcW w:w="1065" w:type="pct"/>
            <w:tcBorders>
              <w:tl2br w:val="nil"/>
              <w:tr2bl w:val="nil"/>
            </w:tcBorders>
            <w:shd w:val="clear" w:color="auto" w:fill="auto"/>
            <w:vAlign w:val="center"/>
          </w:tcPr>
          <w:p w14:paraId="7DC95B4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r>
      <w:tr w14:paraId="7BC18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53F0CE5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600" w:type="pct"/>
            <w:tcBorders>
              <w:tl2br w:val="nil"/>
              <w:tr2bl w:val="nil"/>
            </w:tcBorders>
            <w:shd w:val="clear" w:color="auto" w:fill="auto"/>
            <w:vAlign w:val="center"/>
          </w:tcPr>
          <w:p w14:paraId="67ABAFC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679BB89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妇幼停车场</w:t>
            </w:r>
          </w:p>
        </w:tc>
        <w:tc>
          <w:tcPr>
            <w:tcW w:w="860" w:type="pct"/>
            <w:tcBorders>
              <w:tl2br w:val="nil"/>
              <w:tr2bl w:val="nil"/>
            </w:tcBorders>
            <w:shd w:val="clear" w:color="auto" w:fill="auto"/>
            <w:vAlign w:val="center"/>
          </w:tcPr>
          <w:p w14:paraId="161B6E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78</w:t>
            </w:r>
          </w:p>
        </w:tc>
        <w:tc>
          <w:tcPr>
            <w:tcW w:w="1065" w:type="pct"/>
            <w:tcBorders>
              <w:tl2br w:val="nil"/>
              <w:tr2bl w:val="nil"/>
            </w:tcBorders>
            <w:shd w:val="clear" w:color="auto" w:fill="auto"/>
            <w:vAlign w:val="center"/>
          </w:tcPr>
          <w:p w14:paraId="736DC8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r>
      <w:tr w14:paraId="10A7A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6D1332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600" w:type="pct"/>
            <w:tcBorders>
              <w:tl2br w:val="nil"/>
              <w:tr2bl w:val="nil"/>
            </w:tcBorders>
            <w:shd w:val="clear" w:color="auto" w:fill="auto"/>
            <w:vAlign w:val="center"/>
          </w:tcPr>
          <w:p w14:paraId="530A85C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5408402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东盛一期停车场</w:t>
            </w:r>
          </w:p>
        </w:tc>
        <w:tc>
          <w:tcPr>
            <w:tcW w:w="860" w:type="pct"/>
            <w:tcBorders>
              <w:tl2br w:val="nil"/>
              <w:tr2bl w:val="nil"/>
            </w:tcBorders>
            <w:shd w:val="clear" w:color="auto" w:fill="auto"/>
            <w:vAlign w:val="center"/>
          </w:tcPr>
          <w:p w14:paraId="0D31181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28</w:t>
            </w:r>
          </w:p>
        </w:tc>
        <w:tc>
          <w:tcPr>
            <w:tcW w:w="1065" w:type="pct"/>
            <w:tcBorders>
              <w:tl2br w:val="nil"/>
              <w:tr2bl w:val="nil"/>
            </w:tcBorders>
            <w:shd w:val="clear" w:color="auto" w:fill="auto"/>
            <w:vAlign w:val="center"/>
          </w:tcPr>
          <w:p w14:paraId="3FA98DC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r>
      <w:tr w14:paraId="509C1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576A694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600" w:type="pct"/>
            <w:tcBorders>
              <w:tl2br w:val="nil"/>
              <w:tr2bl w:val="nil"/>
            </w:tcBorders>
            <w:shd w:val="clear" w:color="auto" w:fill="auto"/>
            <w:vAlign w:val="center"/>
          </w:tcPr>
          <w:p w14:paraId="098B450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4860B69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老一中停车场</w:t>
            </w:r>
          </w:p>
        </w:tc>
        <w:tc>
          <w:tcPr>
            <w:tcW w:w="860" w:type="pct"/>
            <w:tcBorders>
              <w:tl2br w:val="nil"/>
              <w:tr2bl w:val="nil"/>
            </w:tcBorders>
            <w:shd w:val="clear" w:color="auto" w:fill="auto"/>
            <w:vAlign w:val="center"/>
          </w:tcPr>
          <w:p w14:paraId="3522EC3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800</w:t>
            </w:r>
          </w:p>
        </w:tc>
        <w:tc>
          <w:tcPr>
            <w:tcW w:w="1065" w:type="pct"/>
            <w:tcBorders>
              <w:tl2br w:val="nil"/>
              <w:tr2bl w:val="nil"/>
            </w:tcBorders>
            <w:shd w:val="clear" w:color="auto" w:fill="auto"/>
            <w:vAlign w:val="center"/>
          </w:tcPr>
          <w:p w14:paraId="56085B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r>
      <w:tr w14:paraId="1C41A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0AA9142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600" w:type="pct"/>
            <w:tcBorders>
              <w:tl2br w:val="nil"/>
              <w:tr2bl w:val="nil"/>
            </w:tcBorders>
            <w:shd w:val="clear" w:color="auto" w:fill="auto"/>
            <w:vAlign w:val="center"/>
          </w:tcPr>
          <w:p w14:paraId="670068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771C68C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纪念碑停车场</w:t>
            </w:r>
          </w:p>
        </w:tc>
        <w:tc>
          <w:tcPr>
            <w:tcW w:w="860" w:type="pct"/>
            <w:tcBorders>
              <w:tl2br w:val="nil"/>
              <w:tr2bl w:val="nil"/>
            </w:tcBorders>
            <w:shd w:val="clear" w:color="auto" w:fill="auto"/>
            <w:vAlign w:val="center"/>
          </w:tcPr>
          <w:p w14:paraId="1050ED6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w:t>
            </w:r>
          </w:p>
        </w:tc>
        <w:tc>
          <w:tcPr>
            <w:tcW w:w="1065" w:type="pct"/>
            <w:tcBorders>
              <w:tl2br w:val="nil"/>
              <w:tr2bl w:val="nil"/>
            </w:tcBorders>
            <w:shd w:val="clear" w:color="auto" w:fill="auto"/>
            <w:vAlign w:val="center"/>
          </w:tcPr>
          <w:p w14:paraId="61D372A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r>
      <w:tr w14:paraId="24BC9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69926F1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600" w:type="pct"/>
            <w:tcBorders>
              <w:tl2br w:val="nil"/>
              <w:tr2bl w:val="nil"/>
            </w:tcBorders>
            <w:shd w:val="clear" w:color="auto" w:fill="auto"/>
            <w:vAlign w:val="center"/>
          </w:tcPr>
          <w:p w14:paraId="7DFF91E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5A49B70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文体广场停车场</w:t>
            </w:r>
          </w:p>
        </w:tc>
        <w:tc>
          <w:tcPr>
            <w:tcW w:w="860" w:type="pct"/>
            <w:tcBorders>
              <w:tl2br w:val="nil"/>
              <w:tr2bl w:val="nil"/>
            </w:tcBorders>
            <w:shd w:val="clear" w:color="auto" w:fill="auto"/>
            <w:vAlign w:val="center"/>
          </w:tcPr>
          <w:p w14:paraId="1F3A3E7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41</w:t>
            </w:r>
          </w:p>
        </w:tc>
        <w:tc>
          <w:tcPr>
            <w:tcW w:w="1065" w:type="pct"/>
            <w:tcBorders>
              <w:tl2br w:val="nil"/>
              <w:tr2bl w:val="nil"/>
            </w:tcBorders>
            <w:shd w:val="clear" w:color="auto" w:fill="auto"/>
            <w:vAlign w:val="center"/>
          </w:tcPr>
          <w:p w14:paraId="4A533E2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r>
      <w:tr w14:paraId="5E299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73704F8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600" w:type="pct"/>
            <w:tcBorders>
              <w:tl2br w:val="nil"/>
              <w:tr2bl w:val="nil"/>
            </w:tcBorders>
            <w:shd w:val="clear" w:color="auto" w:fill="auto"/>
            <w:vAlign w:val="center"/>
          </w:tcPr>
          <w:p w14:paraId="3961220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7EEB700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体育中心停车场</w:t>
            </w:r>
          </w:p>
        </w:tc>
        <w:tc>
          <w:tcPr>
            <w:tcW w:w="860" w:type="pct"/>
            <w:tcBorders>
              <w:tl2br w:val="nil"/>
              <w:tr2bl w:val="nil"/>
            </w:tcBorders>
            <w:shd w:val="clear" w:color="auto" w:fill="auto"/>
            <w:vAlign w:val="center"/>
          </w:tcPr>
          <w:p w14:paraId="0E98031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200</w:t>
            </w:r>
          </w:p>
        </w:tc>
        <w:tc>
          <w:tcPr>
            <w:tcW w:w="1065" w:type="pct"/>
            <w:tcBorders>
              <w:tl2br w:val="nil"/>
              <w:tr2bl w:val="nil"/>
            </w:tcBorders>
            <w:shd w:val="clear" w:color="auto" w:fill="auto"/>
            <w:vAlign w:val="center"/>
          </w:tcPr>
          <w:p w14:paraId="03CC5F4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r>
      <w:tr w14:paraId="34BC3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0AC7920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600" w:type="pct"/>
            <w:tcBorders>
              <w:tl2br w:val="nil"/>
              <w:tr2bl w:val="nil"/>
            </w:tcBorders>
            <w:shd w:val="clear" w:color="auto" w:fill="auto"/>
            <w:vAlign w:val="center"/>
          </w:tcPr>
          <w:p w14:paraId="30A4757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191202C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行政服务中心停车场</w:t>
            </w:r>
          </w:p>
        </w:tc>
        <w:tc>
          <w:tcPr>
            <w:tcW w:w="860" w:type="pct"/>
            <w:tcBorders>
              <w:tl2br w:val="nil"/>
              <w:tr2bl w:val="nil"/>
            </w:tcBorders>
            <w:shd w:val="clear" w:color="auto" w:fill="auto"/>
            <w:vAlign w:val="center"/>
          </w:tcPr>
          <w:p w14:paraId="6D84A2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235</w:t>
            </w:r>
          </w:p>
        </w:tc>
        <w:tc>
          <w:tcPr>
            <w:tcW w:w="1065" w:type="pct"/>
            <w:tcBorders>
              <w:tl2br w:val="nil"/>
              <w:tr2bl w:val="nil"/>
            </w:tcBorders>
            <w:shd w:val="clear" w:color="auto" w:fill="auto"/>
            <w:vAlign w:val="center"/>
          </w:tcPr>
          <w:p w14:paraId="1FF8F9A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r>
      <w:tr w14:paraId="4178E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6FA7ECC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600" w:type="pct"/>
            <w:tcBorders>
              <w:tl2br w:val="nil"/>
              <w:tr2bl w:val="nil"/>
            </w:tcBorders>
            <w:shd w:val="clear" w:color="auto" w:fill="auto"/>
            <w:vAlign w:val="center"/>
          </w:tcPr>
          <w:p w14:paraId="243F19C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7196696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县人民医院停车场（新院区）</w:t>
            </w:r>
          </w:p>
        </w:tc>
        <w:tc>
          <w:tcPr>
            <w:tcW w:w="860" w:type="pct"/>
            <w:tcBorders>
              <w:tl2br w:val="nil"/>
              <w:tr2bl w:val="nil"/>
            </w:tcBorders>
            <w:shd w:val="clear" w:color="auto" w:fill="auto"/>
            <w:vAlign w:val="center"/>
          </w:tcPr>
          <w:p w14:paraId="35178F1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457</w:t>
            </w:r>
          </w:p>
        </w:tc>
        <w:tc>
          <w:tcPr>
            <w:tcW w:w="1065" w:type="pct"/>
            <w:tcBorders>
              <w:tl2br w:val="nil"/>
              <w:tr2bl w:val="nil"/>
            </w:tcBorders>
            <w:shd w:val="clear" w:color="auto" w:fill="auto"/>
            <w:vAlign w:val="center"/>
          </w:tcPr>
          <w:p w14:paraId="136361F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r>
      <w:tr w14:paraId="08829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6DF9629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600" w:type="pct"/>
            <w:tcBorders>
              <w:tl2br w:val="nil"/>
              <w:tr2bl w:val="nil"/>
            </w:tcBorders>
            <w:shd w:val="clear" w:color="auto" w:fill="auto"/>
            <w:vAlign w:val="center"/>
          </w:tcPr>
          <w:p w14:paraId="033DA08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414764D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沙塘小区停车场</w:t>
            </w:r>
          </w:p>
        </w:tc>
        <w:tc>
          <w:tcPr>
            <w:tcW w:w="860" w:type="pct"/>
            <w:tcBorders>
              <w:tl2br w:val="nil"/>
              <w:tr2bl w:val="nil"/>
            </w:tcBorders>
            <w:shd w:val="clear" w:color="auto" w:fill="auto"/>
            <w:vAlign w:val="center"/>
          </w:tcPr>
          <w:p w14:paraId="4DF9740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c>
          <w:tcPr>
            <w:tcW w:w="1065" w:type="pct"/>
            <w:tcBorders>
              <w:tl2br w:val="nil"/>
              <w:tr2bl w:val="nil"/>
            </w:tcBorders>
            <w:shd w:val="clear" w:color="auto" w:fill="auto"/>
            <w:vAlign w:val="center"/>
          </w:tcPr>
          <w:p w14:paraId="3D3D75E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r>
      <w:tr w14:paraId="3A5FD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7A1B343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600" w:type="pct"/>
            <w:tcBorders>
              <w:tl2br w:val="nil"/>
              <w:tr2bl w:val="nil"/>
            </w:tcBorders>
            <w:shd w:val="clear" w:color="auto" w:fill="auto"/>
            <w:vAlign w:val="center"/>
          </w:tcPr>
          <w:p w14:paraId="7986E41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3A308E5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新一中图书馆停车场</w:t>
            </w:r>
          </w:p>
        </w:tc>
        <w:tc>
          <w:tcPr>
            <w:tcW w:w="860" w:type="pct"/>
            <w:tcBorders>
              <w:tl2br w:val="nil"/>
              <w:tr2bl w:val="nil"/>
            </w:tcBorders>
            <w:shd w:val="clear" w:color="auto" w:fill="auto"/>
            <w:vAlign w:val="center"/>
          </w:tcPr>
          <w:p w14:paraId="0854F0E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26</w:t>
            </w:r>
          </w:p>
        </w:tc>
        <w:tc>
          <w:tcPr>
            <w:tcW w:w="1065" w:type="pct"/>
            <w:tcBorders>
              <w:tl2br w:val="nil"/>
              <w:tr2bl w:val="nil"/>
            </w:tcBorders>
            <w:shd w:val="clear" w:color="auto" w:fill="auto"/>
            <w:vAlign w:val="center"/>
          </w:tcPr>
          <w:p w14:paraId="398C4C6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r>
      <w:tr w14:paraId="25F40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06DC76D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w:t>
            </w:r>
          </w:p>
        </w:tc>
        <w:tc>
          <w:tcPr>
            <w:tcW w:w="600" w:type="pct"/>
            <w:tcBorders>
              <w:tl2br w:val="nil"/>
              <w:tr2bl w:val="nil"/>
            </w:tcBorders>
            <w:shd w:val="clear" w:color="auto" w:fill="auto"/>
            <w:vAlign w:val="center"/>
          </w:tcPr>
          <w:p w14:paraId="4D81C8B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0ECB0E0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立体停车场</w:t>
            </w:r>
          </w:p>
        </w:tc>
        <w:tc>
          <w:tcPr>
            <w:tcW w:w="860" w:type="pct"/>
            <w:tcBorders>
              <w:tl2br w:val="nil"/>
              <w:tr2bl w:val="nil"/>
            </w:tcBorders>
            <w:shd w:val="clear" w:color="auto" w:fill="auto"/>
            <w:vAlign w:val="center"/>
          </w:tcPr>
          <w:p w14:paraId="51CDCE6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c>
          <w:tcPr>
            <w:tcW w:w="1065" w:type="pct"/>
            <w:tcBorders>
              <w:tl2br w:val="nil"/>
              <w:tr2bl w:val="nil"/>
            </w:tcBorders>
            <w:shd w:val="clear" w:color="auto" w:fill="auto"/>
            <w:vAlign w:val="center"/>
          </w:tcPr>
          <w:p w14:paraId="41B070CF">
            <w:pPr>
              <w:pStyle w:val="238"/>
              <w:spacing w:line="360" w:lineRule="auto"/>
              <w:jc w:val="center"/>
              <w:rPr>
                <w:rFonts w:hint="eastAsia" w:ascii="宋体" w:hAnsi="宋体" w:eastAsia="宋体" w:cs="宋体"/>
                <w:color w:val="auto"/>
                <w:highlight w:val="none"/>
              </w:rPr>
            </w:pPr>
          </w:p>
        </w:tc>
      </w:tr>
      <w:tr w14:paraId="5144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29233AF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600" w:type="pct"/>
            <w:tcBorders>
              <w:tl2br w:val="nil"/>
              <w:tr2bl w:val="nil"/>
            </w:tcBorders>
            <w:shd w:val="clear" w:color="auto" w:fill="auto"/>
            <w:vAlign w:val="center"/>
          </w:tcPr>
          <w:p w14:paraId="7F9C9F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6B649B0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万丰花园停车场</w:t>
            </w:r>
          </w:p>
        </w:tc>
        <w:tc>
          <w:tcPr>
            <w:tcW w:w="860" w:type="pct"/>
            <w:tcBorders>
              <w:tl2br w:val="nil"/>
              <w:tr2bl w:val="nil"/>
            </w:tcBorders>
            <w:shd w:val="clear" w:color="auto" w:fill="auto"/>
            <w:vAlign w:val="center"/>
          </w:tcPr>
          <w:p w14:paraId="0EFE1B4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192</w:t>
            </w:r>
          </w:p>
        </w:tc>
        <w:tc>
          <w:tcPr>
            <w:tcW w:w="1065" w:type="pct"/>
            <w:tcBorders>
              <w:tl2br w:val="nil"/>
              <w:tr2bl w:val="nil"/>
            </w:tcBorders>
            <w:shd w:val="clear" w:color="auto" w:fill="auto"/>
            <w:vAlign w:val="center"/>
          </w:tcPr>
          <w:p w14:paraId="4E6BA773">
            <w:pPr>
              <w:pStyle w:val="238"/>
              <w:spacing w:line="360" w:lineRule="auto"/>
              <w:jc w:val="center"/>
              <w:rPr>
                <w:rFonts w:hint="eastAsia" w:ascii="宋体" w:hAnsi="宋体" w:eastAsia="宋体" w:cs="宋体"/>
                <w:color w:val="auto"/>
                <w:highlight w:val="none"/>
              </w:rPr>
            </w:pPr>
          </w:p>
        </w:tc>
      </w:tr>
      <w:tr w14:paraId="5314A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5450843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600" w:type="pct"/>
            <w:tcBorders>
              <w:tl2br w:val="nil"/>
              <w:tr2bl w:val="nil"/>
            </w:tcBorders>
            <w:shd w:val="clear" w:color="auto" w:fill="auto"/>
            <w:vAlign w:val="center"/>
          </w:tcPr>
          <w:p w14:paraId="613B845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7D500C7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中医院停车场</w:t>
            </w:r>
          </w:p>
        </w:tc>
        <w:tc>
          <w:tcPr>
            <w:tcW w:w="860" w:type="pct"/>
            <w:tcBorders>
              <w:tl2br w:val="nil"/>
              <w:tr2bl w:val="nil"/>
            </w:tcBorders>
            <w:shd w:val="clear" w:color="auto" w:fill="auto"/>
            <w:vAlign w:val="center"/>
          </w:tcPr>
          <w:p w14:paraId="090E2D6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1065" w:type="pct"/>
            <w:tcBorders>
              <w:tl2br w:val="nil"/>
              <w:tr2bl w:val="nil"/>
            </w:tcBorders>
            <w:shd w:val="clear" w:color="auto" w:fill="auto"/>
            <w:vAlign w:val="center"/>
          </w:tcPr>
          <w:p w14:paraId="41FA743A">
            <w:pPr>
              <w:pStyle w:val="238"/>
              <w:spacing w:line="360" w:lineRule="auto"/>
              <w:jc w:val="center"/>
              <w:rPr>
                <w:rFonts w:hint="eastAsia" w:ascii="宋体" w:hAnsi="宋体" w:eastAsia="宋体" w:cs="宋体"/>
                <w:color w:val="auto"/>
                <w:highlight w:val="none"/>
              </w:rPr>
            </w:pPr>
          </w:p>
        </w:tc>
      </w:tr>
      <w:tr w14:paraId="7A67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2B1CAFF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600" w:type="pct"/>
            <w:tcBorders>
              <w:tl2br w:val="nil"/>
              <w:tr2bl w:val="nil"/>
            </w:tcBorders>
            <w:shd w:val="clear" w:color="auto" w:fill="auto"/>
            <w:vAlign w:val="center"/>
          </w:tcPr>
          <w:p w14:paraId="14FDCFA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0225E08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西岭路停车场</w:t>
            </w:r>
          </w:p>
        </w:tc>
        <w:tc>
          <w:tcPr>
            <w:tcW w:w="860" w:type="pct"/>
            <w:tcBorders>
              <w:tl2br w:val="nil"/>
              <w:tr2bl w:val="nil"/>
            </w:tcBorders>
            <w:shd w:val="clear" w:color="auto" w:fill="auto"/>
            <w:vAlign w:val="center"/>
          </w:tcPr>
          <w:p w14:paraId="10240B3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150</w:t>
            </w:r>
          </w:p>
        </w:tc>
        <w:tc>
          <w:tcPr>
            <w:tcW w:w="1065" w:type="pct"/>
            <w:tcBorders>
              <w:tl2br w:val="nil"/>
              <w:tr2bl w:val="nil"/>
            </w:tcBorders>
            <w:shd w:val="clear" w:color="auto" w:fill="auto"/>
            <w:vAlign w:val="center"/>
          </w:tcPr>
          <w:p w14:paraId="64EEFAA6">
            <w:pPr>
              <w:pStyle w:val="238"/>
              <w:spacing w:line="360" w:lineRule="auto"/>
              <w:jc w:val="center"/>
              <w:rPr>
                <w:rFonts w:hint="eastAsia" w:ascii="宋体" w:hAnsi="宋体" w:eastAsia="宋体" w:cs="宋体"/>
                <w:color w:val="auto"/>
                <w:highlight w:val="none"/>
              </w:rPr>
            </w:pPr>
          </w:p>
        </w:tc>
      </w:tr>
      <w:tr w14:paraId="108F0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506C91A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600" w:type="pct"/>
            <w:tcBorders>
              <w:tl2br w:val="nil"/>
              <w:tr2bl w:val="nil"/>
            </w:tcBorders>
            <w:shd w:val="clear" w:color="auto" w:fill="auto"/>
            <w:vAlign w:val="center"/>
          </w:tcPr>
          <w:p w14:paraId="0467C96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0764660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五幼、丰城卫生院（新院区）</w:t>
            </w:r>
          </w:p>
        </w:tc>
        <w:tc>
          <w:tcPr>
            <w:tcW w:w="860" w:type="pct"/>
            <w:tcBorders>
              <w:tl2br w:val="nil"/>
              <w:tr2bl w:val="nil"/>
            </w:tcBorders>
            <w:shd w:val="clear" w:color="auto" w:fill="auto"/>
            <w:vAlign w:val="center"/>
          </w:tcPr>
          <w:p w14:paraId="4DC4AC8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70</w:t>
            </w:r>
          </w:p>
        </w:tc>
        <w:tc>
          <w:tcPr>
            <w:tcW w:w="1065" w:type="pct"/>
            <w:tcBorders>
              <w:tl2br w:val="nil"/>
              <w:tr2bl w:val="nil"/>
            </w:tcBorders>
            <w:shd w:val="clear" w:color="auto" w:fill="auto"/>
            <w:vAlign w:val="center"/>
          </w:tcPr>
          <w:p w14:paraId="63944B8D">
            <w:pPr>
              <w:pStyle w:val="238"/>
              <w:spacing w:line="360" w:lineRule="auto"/>
              <w:jc w:val="center"/>
              <w:rPr>
                <w:rFonts w:hint="eastAsia" w:ascii="宋体" w:hAnsi="宋体" w:eastAsia="宋体" w:cs="宋体"/>
                <w:color w:val="auto"/>
                <w:highlight w:val="none"/>
              </w:rPr>
            </w:pPr>
          </w:p>
        </w:tc>
      </w:tr>
      <w:tr w14:paraId="58E40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26A635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600" w:type="pct"/>
            <w:tcBorders>
              <w:tl2br w:val="nil"/>
              <w:tr2bl w:val="nil"/>
            </w:tcBorders>
            <w:shd w:val="clear" w:color="auto" w:fill="auto"/>
            <w:vAlign w:val="center"/>
          </w:tcPr>
          <w:p w14:paraId="1794B4C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4667DCB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第五小学</w:t>
            </w:r>
          </w:p>
        </w:tc>
        <w:tc>
          <w:tcPr>
            <w:tcW w:w="860" w:type="pct"/>
            <w:tcBorders>
              <w:tl2br w:val="nil"/>
              <w:tr2bl w:val="nil"/>
            </w:tcBorders>
            <w:shd w:val="clear" w:color="auto" w:fill="auto"/>
            <w:vAlign w:val="center"/>
          </w:tcPr>
          <w:p w14:paraId="25D8F5D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1065" w:type="pct"/>
            <w:tcBorders>
              <w:tl2br w:val="nil"/>
              <w:tr2bl w:val="nil"/>
            </w:tcBorders>
            <w:shd w:val="clear" w:color="auto" w:fill="auto"/>
            <w:vAlign w:val="center"/>
          </w:tcPr>
          <w:p w14:paraId="7B531885">
            <w:pPr>
              <w:pStyle w:val="238"/>
              <w:spacing w:line="360" w:lineRule="auto"/>
              <w:jc w:val="center"/>
              <w:rPr>
                <w:rFonts w:hint="eastAsia" w:ascii="宋体" w:hAnsi="宋体" w:eastAsia="宋体" w:cs="宋体"/>
                <w:color w:val="auto"/>
                <w:highlight w:val="none"/>
              </w:rPr>
            </w:pPr>
          </w:p>
        </w:tc>
      </w:tr>
      <w:tr w14:paraId="0A905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1C6E03B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600" w:type="pct"/>
            <w:tcBorders>
              <w:tl2br w:val="nil"/>
              <w:tr2bl w:val="nil"/>
            </w:tcBorders>
            <w:shd w:val="clear" w:color="auto" w:fill="auto"/>
            <w:vAlign w:val="center"/>
          </w:tcPr>
          <w:p w14:paraId="2E1B545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537B6F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第六小学</w:t>
            </w:r>
          </w:p>
        </w:tc>
        <w:tc>
          <w:tcPr>
            <w:tcW w:w="860" w:type="pct"/>
            <w:tcBorders>
              <w:tl2br w:val="nil"/>
              <w:tr2bl w:val="nil"/>
            </w:tcBorders>
            <w:shd w:val="clear" w:color="auto" w:fill="auto"/>
            <w:vAlign w:val="center"/>
          </w:tcPr>
          <w:p w14:paraId="79D4CE2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52</w:t>
            </w:r>
          </w:p>
        </w:tc>
        <w:tc>
          <w:tcPr>
            <w:tcW w:w="1065" w:type="pct"/>
            <w:tcBorders>
              <w:tl2br w:val="nil"/>
              <w:tr2bl w:val="nil"/>
            </w:tcBorders>
            <w:shd w:val="clear" w:color="auto" w:fill="auto"/>
            <w:vAlign w:val="center"/>
          </w:tcPr>
          <w:p w14:paraId="06BD6604">
            <w:pPr>
              <w:pStyle w:val="238"/>
              <w:spacing w:line="360" w:lineRule="auto"/>
              <w:jc w:val="center"/>
              <w:rPr>
                <w:rFonts w:hint="eastAsia" w:ascii="宋体" w:hAnsi="宋体" w:eastAsia="宋体" w:cs="宋体"/>
                <w:color w:val="auto"/>
                <w:highlight w:val="none"/>
              </w:rPr>
            </w:pPr>
          </w:p>
        </w:tc>
      </w:tr>
      <w:tr w14:paraId="763D2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5631CF5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600" w:type="pct"/>
            <w:tcBorders>
              <w:tl2br w:val="nil"/>
              <w:tr2bl w:val="nil"/>
            </w:tcBorders>
            <w:shd w:val="clear" w:color="auto" w:fill="auto"/>
            <w:vAlign w:val="center"/>
          </w:tcPr>
          <w:p w14:paraId="4AB1E03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3BF6E9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旅游集散中心</w:t>
            </w:r>
          </w:p>
        </w:tc>
        <w:tc>
          <w:tcPr>
            <w:tcW w:w="860" w:type="pct"/>
            <w:tcBorders>
              <w:tl2br w:val="nil"/>
              <w:tr2bl w:val="nil"/>
            </w:tcBorders>
            <w:shd w:val="clear" w:color="auto" w:fill="auto"/>
            <w:vAlign w:val="center"/>
          </w:tcPr>
          <w:p w14:paraId="6B44B0A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80</w:t>
            </w:r>
          </w:p>
        </w:tc>
        <w:tc>
          <w:tcPr>
            <w:tcW w:w="1065" w:type="pct"/>
            <w:tcBorders>
              <w:tl2br w:val="nil"/>
              <w:tr2bl w:val="nil"/>
            </w:tcBorders>
            <w:shd w:val="clear" w:color="auto" w:fill="auto"/>
            <w:vAlign w:val="center"/>
          </w:tcPr>
          <w:p w14:paraId="7F5EE92C">
            <w:pPr>
              <w:pStyle w:val="238"/>
              <w:spacing w:line="360" w:lineRule="auto"/>
              <w:jc w:val="center"/>
              <w:rPr>
                <w:rFonts w:hint="eastAsia" w:ascii="宋体" w:hAnsi="宋体" w:eastAsia="宋体" w:cs="宋体"/>
                <w:color w:val="auto"/>
                <w:highlight w:val="none"/>
              </w:rPr>
            </w:pPr>
          </w:p>
        </w:tc>
      </w:tr>
      <w:tr w14:paraId="24F77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477" w:type="pct"/>
            <w:tcBorders>
              <w:tl2br w:val="nil"/>
              <w:tr2bl w:val="nil"/>
            </w:tcBorders>
            <w:shd w:val="clear" w:color="auto" w:fill="auto"/>
            <w:vAlign w:val="center"/>
          </w:tcPr>
          <w:p w14:paraId="341D554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c>
          <w:tcPr>
            <w:tcW w:w="600" w:type="pct"/>
            <w:tcBorders>
              <w:tl2br w:val="nil"/>
              <w:tr2bl w:val="nil"/>
            </w:tcBorders>
            <w:shd w:val="clear" w:color="auto" w:fill="auto"/>
            <w:vAlign w:val="center"/>
          </w:tcPr>
          <w:p w14:paraId="6F65207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996" w:type="pct"/>
            <w:tcBorders>
              <w:tl2br w:val="nil"/>
              <w:tr2bl w:val="nil"/>
            </w:tcBorders>
            <w:shd w:val="clear" w:color="auto" w:fill="auto"/>
            <w:vAlign w:val="center"/>
          </w:tcPr>
          <w:p w14:paraId="36AF156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低空经济总部停车场</w:t>
            </w:r>
          </w:p>
        </w:tc>
        <w:tc>
          <w:tcPr>
            <w:tcW w:w="860" w:type="pct"/>
            <w:tcBorders>
              <w:tl2br w:val="nil"/>
              <w:tr2bl w:val="nil"/>
            </w:tcBorders>
            <w:shd w:val="clear" w:color="auto" w:fill="auto"/>
            <w:vAlign w:val="center"/>
          </w:tcPr>
          <w:p w14:paraId="545711D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230</w:t>
            </w:r>
          </w:p>
        </w:tc>
        <w:tc>
          <w:tcPr>
            <w:tcW w:w="1065" w:type="pct"/>
            <w:tcBorders>
              <w:tl2br w:val="nil"/>
              <w:tr2bl w:val="nil"/>
            </w:tcBorders>
            <w:shd w:val="clear" w:color="auto" w:fill="auto"/>
            <w:vAlign w:val="center"/>
          </w:tcPr>
          <w:p w14:paraId="5DC89BD5">
            <w:pPr>
              <w:pStyle w:val="238"/>
              <w:spacing w:line="360" w:lineRule="auto"/>
              <w:jc w:val="center"/>
              <w:rPr>
                <w:rFonts w:hint="eastAsia" w:ascii="宋体" w:hAnsi="宋体" w:eastAsia="宋体" w:cs="宋体"/>
                <w:color w:val="auto"/>
                <w:highlight w:val="none"/>
              </w:rPr>
            </w:pPr>
          </w:p>
        </w:tc>
      </w:tr>
    </w:tbl>
    <w:p w14:paraId="7686BD68">
      <w:pPr>
        <w:pStyle w:val="238"/>
        <w:spacing w:line="360" w:lineRule="auto"/>
        <w:ind w:firstLine="40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另有</w:t>
      </w:r>
      <w:r>
        <w:rPr>
          <w:rFonts w:hint="eastAsia" w:ascii="宋体" w:hAnsi="宋体" w:eastAsia="宋体" w:cs="宋体"/>
          <w:color w:val="auto"/>
          <w:highlight w:val="none"/>
          <w:lang w:val="en-US" w:eastAsia="zh-CN"/>
        </w:rPr>
        <w:t>6个机动车充电插口位于新丰县人社局和税务局，共计170个路外充电插口，本次规划并未将人社局和税务局停车位纳入项目范围，仅纳入了充电桩。</w:t>
      </w:r>
    </w:p>
    <w:p w14:paraId="491C1B4D">
      <w:pPr>
        <w:pStyle w:val="238"/>
        <w:spacing w:line="360" w:lineRule="auto"/>
        <w:ind w:firstLine="422" w:firstLineChars="20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路内非机动车停车泊位分布情况汇总表</w:t>
      </w:r>
    </w:p>
    <w:tbl>
      <w:tblPr>
        <w:tblStyle w:val="47"/>
        <w:tblW w:w="499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8"/>
        <w:gridCol w:w="1721"/>
        <w:gridCol w:w="1481"/>
        <w:gridCol w:w="2731"/>
        <w:gridCol w:w="1230"/>
      </w:tblGrid>
      <w:tr w14:paraId="7806C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blHeader/>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28FB">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序号</w:t>
            </w:r>
          </w:p>
        </w:tc>
        <w:tc>
          <w:tcPr>
            <w:tcW w:w="10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8ECC">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辖区</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A62F">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分类</w:t>
            </w: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8269">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路名</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250A">
            <w:pPr>
              <w:pStyle w:val="238"/>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车位数</w:t>
            </w:r>
          </w:p>
        </w:tc>
      </w:tr>
      <w:tr w14:paraId="6337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0C9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p>
        </w:tc>
        <w:tc>
          <w:tcPr>
            <w:tcW w:w="10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B38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BB7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一类</w:t>
            </w: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72F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新龙大道（北段）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F33C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280</w:t>
            </w:r>
          </w:p>
        </w:tc>
      </w:tr>
      <w:tr w14:paraId="409F4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B5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7341A">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CBC6">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00C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教育路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388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r>
      <w:tr w14:paraId="7104C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775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BD1D">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6F70">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BF7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黄陂路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E86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167</w:t>
            </w:r>
          </w:p>
        </w:tc>
      </w:tr>
      <w:tr w14:paraId="09A55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009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5BE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D8A4">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680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89E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4C73F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958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424E">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9D0C">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0D5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城西路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839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189</w:t>
            </w:r>
          </w:p>
        </w:tc>
      </w:tr>
      <w:tr w14:paraId="52D6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2F1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C2DD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28A2">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48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西岭路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A20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r>
      <w:tr w14:paraId="18CB2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FAD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C7F06">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D057">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C64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新西路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0A3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39</w:t>
            </w:r>
          </w:p>
        </w:tc>
      </w:tr>
      <w:tr w14:paraId="259CB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E66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6924">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DF93">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611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群英路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16A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74</w:t>
            </w:r>
          </w:p>
        </w:tc>
      </w:tr>
      <w:tr w14:paraId="5686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E71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6BE1">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8ECF">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279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新城二街</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92AB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p>
        </w:tc>
      </w:tr>
      <w:tr w14:paraId="45DA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93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55E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1137">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49B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新城三街</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950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37</w:t>
            </w:r>
          </w:p>
        </w:tc>
      </w:tr>
      <w:tr w14:paraId="7C8D5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021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1E3D">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5425">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2BC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新南路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D5A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60</w:t>
            </w:r>
          </w:p>
        </w:tc>
      </w:tr>
      <w:tr w14:paraId="3502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B28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58504">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C4CB">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E7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新东路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A4E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r>
      <w:tr w14:paraId="78724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40D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822C">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DA72">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002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府前路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F53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102</w:t>
            </w:r>
          </w:p>
        </w:tc>
      </w:tr>
      <w:tr w14:paraId="4191A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86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EE3A">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DC1C">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C06E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东明路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007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45</w:t>
            </w:r>
          </w:p>
        </w:tc>
      </w:tr>
      <w:tr w14:paraId="46C5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7F0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D9AE">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1F35">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4B9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车田路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355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58</w:t>
            </w:r>
          </w:p>
        </w:tc>
      </w:tr>
      <w:tr w14:paraId="33CC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12A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A1D7">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1D93">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C9B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新建路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BC4A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r>
      <w:tr w14:paraId="5152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29F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2FC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34A9">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2CE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人民东路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64B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198</w:t>
            </w:r>
          </w:p>
        </w:tc>
      </w:tr>
      <w:tr w14:paraId="2771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5A4B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E0A6">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EF58">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86B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法政路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33B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59</w:t>
            </w:r>
          </w:p>
        </w:tc>
      </w:tr>
      <w:tr w14:paraId="64C5D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A7A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58D1">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1C8C">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D8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东田路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B50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68</w:t>
            </w:r>
          </w:p>
        </w:tc>
      </w:tr>
      <w:tr w14:paraId="3F2AE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418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80FE">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224F">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AC4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城东路（北段）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CA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327</w:t>
            </w:r>
          </w:p>
        </w:tc>
      </w:tr>
      <w:tr w14:paraId="2DF1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1C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9390">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FBA5">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FA5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东门路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506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130</w:t>
            </w:r>
          </w:p>
        </w:tc>
      </w:tr>
      <w:tr w14:paraId="2BD79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C1E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33BB">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010D6">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941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丰城大道</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0DF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405</w:t>
            </w:r>
          </w:p>
        </w:tc>
      </w:tr>
      <w:tr w14:paraId="2ECE2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5606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23</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FC7B">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8B78">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41E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珠城路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13A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r>
      <w:tr w14:paraId="2431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70E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24</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611B">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67BD">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22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沿江路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716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r>
      <w:tr w14:paraId="77369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7F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B0D7">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FD40">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04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双龙路（北段）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024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w:t>
            </w:r>
          </w:p>
        </w:tc>
      </w:tr>
      <w:tr w14:paraId="3D5AB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2FD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26</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5420">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8A78">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0DF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双龙路（南段）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4DA9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102</w:t>
            </w:r>
          </w:p>
        </w:tc>
      </w:tr>
      <w:tr w14:paraId="098BE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305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27</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8329E">
            <w:pPr>
              <w:pStyle w:val="238"/>
              <w:spacing w:line="360" w:lineRule="auto"/>
              <w:jc w:val="center"/>
              <w:rPr>
                <w:rFonts w:hint="eastAsia" w:ascii="宋体" w:hAnsi="宋体" w:eastAsia="宋体" w:cs="宋体"/>
                <w:color w:val="auto"/>
                <w:highlight w:val="none"/>
              </w:rPr>
            </w:pP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5CA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二类</w:t>
            </w: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353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新龙公路（南段）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A72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80</w:t>
            </w:r>
          </w:p>
        </w:tc>
      </w:tr>
      <w:tr w14:paraId="353FC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4CD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28</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AD3D">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37D7">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0D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文体东路（东段）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4E7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r>
      <w:tr w14:paraId="1EA68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4FA0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8DE60">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1B11">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E06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校前路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8FA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80</w:t>
            </w:r>
          </w:p>
        </w:tc>
      </w:tr>
      <w:tr w14:paraId="4F670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EBB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43FA">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6373">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63D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城东路（南段）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CD42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r>
      <w:tr w14:paraId="51662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EAD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A05D">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88E5">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DE7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文体东路（西段）</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4E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w:t>
            </w:r>
          </w:p>
        </w:tc>
      </w:tr>
      <w:tr w14:paraId="5A214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08C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32</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783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6A50">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C0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一中北侧道路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29C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70</w:t>
            </w:r>
          </w:p>
        </w:tc>
      </w:tr>
      <w:tr w14:paraId="21AE3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899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33</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09E3">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6C45">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4C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滨江国际城南侧道路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79A8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r>
      <w:tr w14:paraId="1BA42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A1A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34</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05AA2">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8101">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572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东环路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EE3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47</w:t>
            </w:r>
          </w:p>
        </w:tc>
      </w:tr>
      <w:tr w14:paraId="31FF1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7B6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35</w:t>
            </w:r>
          </w:p>
        </w:tc>
        <w:tc>
          <w:tcPr>
            <w:tcW w:w="10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42B8">
            <w:pPr>
              <w:pStyle w:val="238"/>
              <w:spacing w:line="360" w:lineRule="auto"/>
              <w:jc w:val="center"/>
              <w:rPr>
                <w:rFonts w:hint="eastAsia" w:ascii="宋体" w:hAnsi="宋体" w:eastAsia="宋体" w:cs="宋体"/>
                <w:color w:val="auto"/>
                <w:highlight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226F">
            <w:pPr>
              <w:pStyle w:val="238"/>
              <w:spacing w:line="360" w:lineRule="auto"/>
              <w:jc w:val="center"/>
              <w:rPr>
                <w:rFonts w:hint="eastAsia" w:ascii="宋体" w:hAnsi="宋体" w:eastAsia="宋体" w:cs="宋体"/>
                <w:color w:val="auto"/>
                <w:highlight w:val="none"/>
              </w:rPr>
            </w:pP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EBB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沿江东路</w:t>
            </w: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BB0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43A80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266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32C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合计</w:t>
            </w:r>
          </w:p>
        </w:tc>
        <w:tc>
          <w:tcPr>
            <w:tcW w:w="16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0E52">
            <w:pPr>
              <w:pStyle w:val="238"/>
              <w:spacing w:line="360" w:lineRule="auto"/>
              <w:jc w:val="center"/>
              <w:rPr>
                <w:rFonts w:hint="eastAsia" w:ascii="宋体" w:hAnsi="宋体" w:eastAsia="宋体" w:cs="宋体"/>
                <w:color w:val="auto"/>
                <w:highlight w:val="none"/>
              </w:rPr>
            </w:pPr>
          </w:p>
        </w:tc>
        <w:tc>
          <w:tcPr>
            <w:tcW w:w="7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E99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3103</w:t>
            </w:r>
          </w:p>
        </w:tc>
      </w:tr>
    </w:tbl>
    <w:p w14:paraId="1F7506FB">
      <w:pPr>
        <w:pStyle w:val="238"/>
        <w:spacing w:line="360" w:lineRule="auto"/>
        <w:ind w:firstLine="422" w:firstLineChars="200"/>
        <w:jc w:val="center"/>
        <w:rPr>
          <w:rFonts w:hint="default" w:ascii="宋体" w:hAnsi="宋体" w:eastAsia="宋体" w:cs="宋体"/>
          <w:b/>
          <w:bCs/>
          <w:color w:val="auto"/>
          <w:kern w:val="2"/>
          <w:sz w:val="21"/>
          <w:szCs w:val="21"/>
          <w:highlight w:val="none"/>
          <w:lang w:val="en-US" w:eastAsia="zh-CN" w:bidi="ar-SA"/>
        </w:rPr>
      </w:pPr>
      <w:r>
        <w:rPr>
          <w:rFonts w:hint="default" w:ascii="宋体" w:hAnsi="宋体" w:eastAsia="宋体" w:cs="宋体"/>
          <w:b/>
          <w:bCs/>
          <w:color w:val="auto"/>
          <w:kern w:val="2"/>
          <w:sz w:val="21"/>
          <w:szCs w:val="21"/>
          <w:highlight w:val="none"/>
          <w:lang w:val="en-US" w:eastAsia="zh-CN" w:bidi="ar-SA"/>
        </w:rPr>
        <w:t>非机动车充电桩分布情况汇总表</w:t>
      </w:r>
    </w:p>
    <w:tbl>
      <w:tblPr>
        <w:tblStyle w:val="4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90"/>
        <w:gridCol w:w="1248"/>
        <w:gridCol w:w="1810"/>
        <w:gridCol w:w="2391"/>
        <w:gridCol w:w="1075"/>
        <w:gridCol w:w="1298"/>
      </w:tblGrid>
      <w:tr w14:paraId="37F81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cantSplit/>
          <w:trHeight w:val="575" w:hRule="atLeast"/>
          <w:tblHeader/>
          <w:jc w:val="center"/>
        </w:trPr>
        <w:tc>
          <w:tcPr>
            <w:tcW w:w="405" w:type="pct"/>
            <w:tcBorders>
              <w:tl2br w:val="nil"/>
              <w:tr2bl w:val="nil"/>
            </w:tcBorders>
            <w:shd w:val="clear" w:color="auto" w:fill="auto"/>
            <w:noWrap/>
            <w:vAlign w:val="center"/>
          </w:tcPr>
          <w:p w14:paraId="595380B1">
            <w:pPr>
              <w:pStyle w:val="238"/>
              <w:spacing w:line="360" w:lineRule="auto"/>
              <w:jc w:val="center"/>
              <w:rPr>
                <w:rFonts w:hint="default"/>
                <w:b/>
                <w:bCs/>
                <w:color w:val="auto"/>
                <w:highlight w:val="none"/>
              </w:rPr>
            </w:pPr>
            <w:r>
              <w:rPr>
                <w:rFonts w:hint="default"/>
                <w:b/>
                <w:bCs/>
                <w:color w:val="auto"/>
                <w:highlight w:val="none"/>
                <w:lang w:val="en-US" w:eastAsia="zh-CN"/>
              </w:rPr>
              <w:t>序号</w:t>
            </w:r>
          </w:p>
        </w:tc>
        <w:tc>
          <w:tcPr>
            <w:tcW w:w="733" w:type="pct"/>
            <w:tcBorders>
              <w:tl2br w:val="nil"/>
              <w:tr2bl w:val="nil"/>
            </w:tcBorders>
            <w:shd w:val="clear" w:color="auto" w:fill="auto"/>
            <w:noWrap/>
            <w:vAlign w:val="center"/>
          </w:tcPr>
          <w:p w14:paraId="200D22BA">
            <w:pPr>
              <w:pStyle w:val="238"/>
              <w:spacing w:line="360" w:lineRule="auto"/>
              <w:jc w:val="center"/>
              <w:rPr>
                <w:rFonts w:hint="default"/>
                <w:b/>
                <w:bCs/>
                <w:color w:val="auto"/>
                <w:highlight w:val="none"/>
              </w:rPr>
            </w:pPr>
            <w:r>
              <w:rPr>
                <w:rFonts w:hint="default"/>
                <w:b/>
                <w:bCs/>
                <w:color w:val="auto"/>
                <w:highlight w:val="none"/>
                <w:lang w:val="en-US" w:eastAsia="zh-CN"/>
              </w:rPr>
              <w:t>辖区</w:t>
            </w:r>
          </w:p>
        </w:tc>
        <w:tc>
          <w:tcPr>
            <w:tcW w:w="1062" w:type="pct"/>
            <w:tcBorders>
              <w:tl2br w:val="nil"/>
              <w:tr2bl w:val="nil"/>
            </w:tcBorders>
            <w:shd w:val="clear" w:color="auto" w:fill="auto"/>
            <w:vAlign w:val="center"/>
          </w:tcPr>
          <w:p w14:paraId="641A47F2">
            <w:pPr>
              <w:pStyle w:val="238"/>
              <w:spacing w:line="360" w:lineRule="auto"/>
              <w:jc w:val="center"/>
              <w:rPr>
                <w:rFonts w:hint="default"/>
                <w:b/>
                <w:bCs/>
                <w:color w:val="auto"/>
                <w:highlight w:val="none"/>
              </w:rPr>
            </w:pPr>
            <w:r>
              <w:rPr>
                <w:rFonts w:hint="default"/>
                <w:b/>
                <w:bCs/>
                <w:color w:val="auto"/>
                <w:highlight w:val="none"/>
                <w:lang w:val="en-US" w:eastAsia="zh-CN"/>
              </w:rPr>
              <w:t>类型</w:t>
            </w:r>
          </w:p>
        </w:tc>
        <w:tc>
          <w:tcPr>
            <w:tcW w:w="1404" w:type="pct"/>
            <w:tcBorders>
              <w:tl2br w:val="nil"/>
              <w:tr2bl w:val="nil"/>
            </w:tcBorders>
            <w:shd w:val="clear" w:color="auto" w:fill="auto"/>
            <w:vAlign w:val="center"/>
          </w:tcPr>
          <w:p w14:paraId="5B007FEB">
            <w:pPr>
              <w:pStyle w:val="238"/>
              <w:spacing w:line="360" w:lineRule="auto"/>
              <w:jc w:val="center"/>
              <w:rPr>
                <w:rFonts w:hint="default"/>
                <w:b/>
                <w:bCs/>
                <w:color w:val="auto"/>
                <w:highlight w:val="none"/>
              </w:rPr>
            </w:pPr>
            <w:r>
              <w:rPr>
                <w:rFonts w:hint="default"/>
                <w:b/>
                <w:bCs/>
                <w:color w:val="auto"/>
                <w:highlight w:val="none"/>
                <w:lang w:val="en-US" w:eastAsia="zh-CN"/>
              </w:rPr>
              <w:t>名称</w:t>
            </w:r>
          </w:p>
        </w:tc>
        <w:tc>
          <w:tcPr>
            <w:tcW w:w="631" w:type="pct"/>
            <w:tcBorders>
              <w:tl2br w:val="nil"/>
              <w:tr2bl w:val="nil"/>
            </w:tcBorders>
            <w:shd w:val="clear" w:color="auto" w:fill="auto"/>
            <w:noWrap/>
            <w:vAlign w:val="center"/>
          </w:tcPr>
          <w:p w14:paraId="18CDE322">
            <w:pPr>
              <w:pStyle w:val="238"/>
              <w:spacing w:line="360" w:lineRule="auto"/>
              <w:jc w:val="center"/>
              <w:rPr>
                <w:rFonts w:hint="default"/>
                <w:b/>
                <w:bCs/>
                <w:color w:val="auto"/>
                <w:highlight w:val="none"/>
              </w:rPr>
            </w:pPr>
            <w:r>
              <w:rPr>
                <w:rFonts w:hint="default"/>
                <w:b/>
                <w:bCs/>
                <w:color w:val="auto"/>
                <w:highlight w:val="none"/>
                <w:lang w:val="en-US" w:eastAsia="zh-CN"/>
              </w:rPr>
              <w:t>充电桩</w:t>
            </w:r>
          </w:p>
        </w:tc>
        <w:tc>
          <w:tcPr>
            <w:tcW w:w="762" w:type="pct"/>
            <w:tcBorders>
              <w:tl2br w:val="nil"/>
              <w:tr2bl w:val="nil"/>
            </w:tcBorders>
            <w:shd w:val="clear" w:color="auto" w:fill="auto"/>
            <w:noWrap/>
            <w:vAlign w:val="center"/>
          </w:tcPr>
          <w:p w14:paraId="256525C5">
            <w:pPr>
              <w:pStyle w:val="238"/>
              <w:spacing w:line="360" w:lineRule="auto"/>
              <w:jc w:val="center"/>
              <w:rPr>
                <w:rFonts w:hint="default"/>
                <w:b/>
                <w:bCs/>
                <w:color w:val="auto"/>
                <w:highlight w:val="none"/>
              </w:rPr>
            </w:pPr>
            <w:r>
              <w:rPr>
                <w:rFonts w:hint="default"/>
                <w:b/>
                <w:bCs/>
                <w:color w:val="auto"/>
                <w:highlight w:val="none"/>
                <w:lang w:val="en-US" w:eastAsia="zh-CN"/>
              </w:rPr>
              <w:t>充电插口</w:t>
            </w:r>
          </w:p>
        </w:tc>
      </w:tr>
      <w:tr w14:paraId="22B99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549FB9D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p>
        </w:tc>
        <w:tc>
          <w:tcPr>
            <w:tcW w:w="733" w:type="pct"/>
            <w:tcBorders>
              <w:tl2br w:val="nil"/>
              <w:tr2bl w:val="nil"/>
            </w:tcBorders>
            <w:shd w:val="clear" w:color="auto" w:fill="auto"/>
            <w:vAlign w:val="center"/>
          </w:tcPr>
          <w:p w14:paraId="313DF8D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restart"/>
            <w:tcBorders>
              <w:tl2br w:val="nil"/>
              <w:tr2bl w:val="nil"/>
            </w:tcBorders>
            <w:shd w:val="clear" w:color="auto" w:fill="auto"/>
            <w:vAlign w:val="center"/>
          </w:tcPr>
          <w:p w14:paraId="01ADBB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停车场</w:t>
            </w:r>
          </w:p>
        </w:tc>
        <w:tc>
          <w:tcPr>
            <w:tcW w:w="1404" w:type="pct"/>
            <w:tcBorders>
              <w:tl2br w:val="nil"/>
              <w:tr2bl w:val="nil"/>
            </w:tcBorders>
            <w:shd w:val="clear" w:color="auto" w:fill="auto"/>
            <w:vAlign w:val="center"/>
          </w:tcPr>
          <w:p w14:paraId="1EE010E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老一中停车场</w:t>
            </w:r>
          </w:p>
        </w:tc>
        <w:tc>
          <w:tcPr>
            <w:tcW w:w="631" w:type="pct"/>
            <w:tcBorders>
              <w:tl2br w:val="nil"/>
              <w:tr2bl w:val="nil"/>
            </w:tcBorders>
            <w:shd w:val="clear" w:color="auto" w:fill="auto"/>
            <w:vAlign w:val="center"/>
          </w:tcPr>
          <w:p w14:paraId="4B3603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3CB77D8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6C264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564B398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33" w:type="pct"/>
            <w:tcBorders>
              <w:tl2br w:val="nil"/>
              <w:tr2bl w:val="nil"/>
            </w:tcBorders>
            <w:shd w:val="clear" w:color="auto" w:fill="auto"/>
            <w:vAlign w:val="center"/>
          </w:tcPr>
          <w:p w14:paraId="07FE064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12882172">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3F56E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新一中停车场</w:t>
            </w:r>
          </w:p>
        </w:tc>
        <w:tc>
          <w:tcPr>
            <w:tcW w:w="631" w:type="pct"/>
            <w:tcBorders>
              <w:tl2br w:val="nil"/>
              <w:tr2bl w:val="nil"/>
            </w:tcBorders>
            <w:shd w:val="clear" w:color="auto" w:fill="auto"/>
            <w:vAlign w:val="center"/>
          </w:tcPr>
          <w:p w14:paraId="55FB53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762" w:type="pct"/>
            <w:tcBorders>
              <w:tl2br w:val="nil"/>
              <w:tr2bl w:val="nil"/>
            </w:tcBorders>
            <w:shd w:val="clear" w:color="auto" w:fill="auto"/>
            <w:vAlign w:val="center"/>
          </w:tcPr>
          <w:p w14:paraId="593164E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r>
      <w:tr w14:paraId="00AB7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405" w:type="pct"/>
            <w:tcBorders>
              <w:tl2br w:val="nil"/>
              <w:tr2bl w:val="nil"/>
            </w:tcBorders>
            <w:shd w:val="clear" w:color="auto" w:fill="auto"/>
            <w:vAlign w:val="center"/>
          </w:tcPr>
          <w:p w14:paraId="5D93443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733" w:type="pct"/>
            <w:tcBorders>
              <w:tl2br w:val="nil"/>
              <w:tr2bl w:val="nil"/>
            </w:tcBorders>
            <w:shd w:val="clear" w:color="auto" w:fill="auto"/>
            <w:vAlign w:val="center"/>
          </w:tcPr>
          <w:p w14:paraId="0858183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7E93763D">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5380889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县行政服务中心停车场</w:t>
            </w:r>
          </w:p>
        </w:tc>
        <w:tc>
          <w:tcPr>
            <w:tcW w:w="631" w:type="pct"/>
            <w:tcBorders>
              <w:tl2br w:val="nil"/>
              <w:tr2bl w:val="nil"/>
            </w:tcBorders>
            <w:shd w:val="clear" w:color="auto" w:fill="auto"/>
            <w:vAlign w:val="center"/>
          </w:tcPr>
          <w:p w14:paraId="31FB7C6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7C6485F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23585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18E91C5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733" w:type="pct"/>
            <w:tcBorders>
              <w:tl2br w:val="nil"/>
              <w:tr2bl w:val="nil"/>
            </w:tcBorders>
            <w:shd w:val="clear" w:color="auto" w:fill="auto"/>
            <w:vAlign w:val="center"/>
          </w:tcPr>
          <w:p w14:paraId="4243600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restart"/>
            <w:tcBorders>
              <w:tl2br w:val="nil"/>
              <w:tr2bl w:val="nil"/>
            </w:tcBorders>
            <w:shd w:val="clear" w:color="auto" w:fill="auto"/>
            <w:vAlign w:val="center"/>
          </w:tcPr>
          <w:p w14:paraId="44B84C7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机关部门</w:t>
            </w:r>
          </w:p>
        </w:tc>
        <w:tc>
          <w:tcPr>
            <w:tcW w:w="1404" w:type="pct"/>
            <w:tcBorders>
              <w:tl2br w:val="nil"/>
              <w:tr2bl w:val="nil"/>
            </w:tcBorders>
            <w:shd w:val="clear" w:color="auto" w:fill="auto"/>
            <w:vAlign w:val="center"/>
          </w:tcPr>
          <w:p w14:paraId="68F05D5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税务局</w:t>
            </w:r>
          </w:p>
        </w:tc>
        <w:tc>
          <w:tcPr>
            <w:tcW w:w="631" w:type="pct"/>
            <w:tcBorders>
              <w:tl2br w:val="nil"/>
              <w:tr2bl w:val="nil"/>
            </w:tcBorders>
            <w:shd w:val="clear" w:color="auto" w:fill="auto"/>
            <w:vAlign w:val="center"/>
          </w:tcPr>
          <w:p w14:paraId="454D8B3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762" w:type="pct"/>
            <w:tcBorders>
              <w:tl2br w:val="nil"/>
              <w:tr2bl w:val="nil"/>
            </w:tcBorders>
            <w:shd w:val="clear" w:color="auto" w:fill="auto"/>
            <w:vAlign w:val="center"/>
          </w:tcPr>
          <w:p w14:paraId="266A561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r>
      <w:tr w14:paraId="405C8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405" w:type="pct"/>
            <w:tcBorders>
              <w:tl2br w:val="nil"/>
              <w:tr2bl w:val="nil"/>
            </w:tcBorders>
            <w:shd w:val="clear" w:color="auto" w:fill="auto"/>
            <w:vAlign w:val="center"/>
          </w:tcPr>
          <w:p w14:paraId="49A45A4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733" w:type="pct"/>
            <w:tcBorders>
              <w:tl2br w:val="nil"/>
              <w:tr2bl w:val="nil"/>
            </w:tcBorders>
            <w:shd w:val="clear" w:color="auto" w:fill="auto"/>
            <w:vAlign w:val="center"/>
          </w:tcPr>
          <w:p w14:paraId="6EEBFF5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7F2DD9F6">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27ED42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(旧)县人民医院大院</w:t>
            </w:r>
          </w:p>
        </w:tc>
        <w:tc>
          <w:tcPr>
            <w:tcW w:w="631" w:type="pct"/>
            <w:tcBorders>
              <w:tl2br w:val="nil"/>
              <w:tr2bl w:val="nil"/>
            </w:tcBorders>
            <w:shd w:val="clear" w:color="auto" w:fill="auto"/>
            <w:vAlign w:val="center"/>
          </w:tcPr>
          <w:p w14:paraId="258A940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69CB50D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31544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405" w:type="pct"/>
            <w:tcBorders>
              <w:tl2br w:val="nil"/>
              <w:tr2bl w:val="nil"/>
            </w:tcBorders>
            <w:shd w:val="clear" w:color="auto" w:fill="auto"/>
            <w:vAlign w:val="center"/>
          </w:tcPr>
          <w:p w14:paraId="5C45CA7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733" w:type="pct"/>
            <w:tcBorders>
              <w:tl2br w:val="nil"/>
              <w:tr2bl w:val="nil"/>
            </w:tcBorders>
            <w:shd w:val="clear" w:color="auto" w:fill="auto"/>
            <w:vAlign w:val="center"/>
          </w:tcPr>
          <w:p w14:paraId="6D7971D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B3E87A7">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BA8768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(新)县人民医院大院</w:t>
            </w:r>
          </w:p>
        </w:tc>
        <w:tc>
          <w:tcPr>
            <w:tcW w:w="631" w:type="pct"/>
            <w:tcBorders>
              <w:tl2br w:val="nil"/>
              <w:tr2bl w:val="nil"/>
            </w:tcBorders>
            <w:shd w:val="clear" w:color="auto" w:fill="auto"/>
            <w:vAlign w:val="center"/>
          </w:tcPr>
          <w:p w14:paraId="38F9F3A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762" w:type="pct"/>
            <w:tcBorders>
              <w:tl2br w:val="nil"/>
              <w:tr2bl w:val="nil"/>
            </w:tcBorders>
            <w:shd w:val="clear" w:color="auto" w:fill="auto"/>
            <w:vAlign w:val="center"/>
          </w:tcPr>
          <w:p w14:paraId="391CF29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r>
      <w:tr w14:paraId="22E0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0767BFA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733" w:type="pct"/>
            <w:tcBorders>
              <w:tl2br w:val="nil"/>
              <w:tr2bl w:val="nil"/>
            </w:tcBorders>
            <w:shd w:val="clear" w:color="auto" w:fill="auto"/>
            <w:vAlign w:val="center"/>
          </w:tcPr>
          <w:p w14:paraId="581FF5C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7B9436F7">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4EC2098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县人社局</w:t>
            </w:r>
          </w:p>
        </w:tc>
        <w:tc>
          <w:tcPr>
            <w:tcW w:w="631" w:type="pct"/>
            <w:tcBorders>
              <w:tl2br w:val="nil"/>
              <w:tr2bl w:val="nil"/>
            </w:tcBorders>
            <w:shd w:val="clear" w:color="auto" w:fill="auto"/>
            <w:vAlign w:val="center"/>
          </w:tcPr>
          <w:p w14:paraId="7E899CD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15BB8F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018DB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FAAB99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733" w:type="pct"/>
            <w:tcBorders>
              <w:tl2br w:val="nil"/>
              <w:tr2bl w:val="nil"/>
            </w:tcBorders>
            <w:shd w:val="clear" w:color="auto" w:fill="auto"/>
            <w:vAlign w:val="center"/>
          </w:tcPr>
          <w:p w14:paraId="3EE4108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34221281">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05FC7C6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县卫健局</w:t>
            </w:r>
          </w:p>
        </w:tc>
        <w:tc>
          <w:tcPr>
            <w:tcW w:w="631" w:type="pct"/>
            <w:tcBorders>
              <w:tl2br w:val="nil"/>
              <w:tr2bl w:val="nil"/>
            </w:tcBorders>
            <w:shd w:val="clear" w:color="auto" w:fill="auto"/>
            <w:vAlign w:val="center"/>
          </w:tcPr>
          <w:p w14:paraId="3AF8FFA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263BB7B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4CED9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88B63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733" w:type="pct"/>
            <w:tcBorders>
              <w:tl2br w:val="nil"/>
              <w:tr2bl w:val="nil"/>
            </w:tcBorders>
            <w:shd w:val="clear" w:color="auto" w:fill="auto"/>
            <w:vAlign w:val="center"/>
          </w:tcPr>
          <w:p w14:paraId="7E93E6C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6826D0B">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0AFBEF7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县国资集团</w:t>
            </w:r>
          </w:p>
        </w:tc>
        <w:tc>
          <w:tcPr>
            <w:tcW w:w="631" w:type="pct"/>
            <w:tcBorders>
              <w:tl2br w:val="nil"/>
              <w:tr2bl w:val="nil"/>
            </w:tcBorders>
            <w:shd w:val="clear" w:color="auto" w:fill="auto"/>
            <w:vAlign w:val="center"/>
          </w:tcPr>
          <w:p w14:paraId="34C24B2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083A9E3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633B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18271E4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733" w:type="pct"/>
            <w:tcBorders>
              <w:tl2br w:val="nil"/>
              <w:tr2bl w:val="nil"/>
            </w:tcBorders>
            <w:shd w:val="clear" w:color="auto" w:fill="auto"/>
            <w:vAlign w:val="center"/>
          </w:tcPr>
          <w:p w14:paraId="337C429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restart"/>
            <w:tcBorders>
              <w:tl2br w:val="nil"/>
              <w:tr2bl w:val="nil"/>
            </w:tcBorders>
            <w:shd w:val="clear" w:color="auto" w:fill="auto"/>
            <w:vAlign w:val="center"/>
          </w:tcPr>
          <w:p w14:paraId="14A3BB7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路段</w:t>
            </w:r>
          </w:p>
        </w:tc>
        <w:tc>
          <w:tcPr>
            <w:tcW w:w="1404" w:type="pct"/>
            <w:tcBorders>
              <w:tl2br w:val="nil"/>
              <w:tr2bl w:val="nil"/>
            </w:tcBorders>
            <w:shd w:val="clear" w:color="auto" w:fill="auto"/>
            <w:vAlign w:val="center"/>
          </w:tcPr>
          <w:p w14:paraId="094C223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双龙路</w:t>
            </w:r>
          </w:p>
        </w:tc>
        <w:tc>
          <w:tcPr>
            <w:tcW w:w="631" w:type="pct"/>
            <w:tcBorders>
              <w:tl2br w:val="nil"/>
              <w:tr2bl w:val="nil"/>
            </w:tcBorders>
            <w:shd w:val="clear" w:color="auto" w:fill="auto"/>
            <w:vAlign w:val="center"/>
          </w:tcPr>
          <w:p w14:paraId="6842593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c>
          <w:tcPr>
            <w:tcW w:w="762" w:type="pct"/>
            <w:tcBorders>
              <w:tl2br w:val="nil"/>
              <w:tr2bl w:val="nil"/>
            </w:tcBorders>
            <w:shd w:val="clear" w:color="auto" w:fill="auto"/>
            <w:vAlign w:val="center"/>
          </w:tcPr>
          <w:p w14:paraId="117C9EE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300</w:t>
            </w:r>
          </w:p>
        </w:tc>
      </w:tr>
      <w:tr w14:paraId="0779A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4ADE989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733" w:type="pct"/>
            <w:tcBorders>
              <w:tl2br w:val="nil"/>
              <w:tr2bl w:val="nil"/>
            </w:tcBorders>
            <w:shd w:val="clear" w:color="auto" w:fill="auto"/>
            <w:vAlign w:val="center"/>
          </w:tcPr>
          <w:p w14:paraId="160E3FF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53A0E1A">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9E49F3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校前路</w:t>
            </w:r>
          </w:p>
        </w:tc>
        <w:tc>
          <w:tcPr>
            <w:tcW w:w="631" w:type="pct"/>
            <w:tcBorders>
              <w:tl2br w:val="nil"/>
              <w:tr2bl w:val="nil"/>
            </w:tcBorders>
            <w:shd w:val="clear" w:color="auto" w:fill="auto"/>
            <w:vAlign w:val="center"/>
          </w:tcPr>
          <w:p w14:paraId="6FC6866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3DC7FF5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50F0C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756A0F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733" w:type="pct"/>
            <w:tcBorders>
              <w:tl2br w:val="nil"/>
              <w:tr2bl w:val="nil"/>
            </w:tcBorders>
            <w:shd w:val="clear" w:color="auto" w:fill="auto"/>
            <w:vAlign w:val="center"/>
          </w:tcPr>
          <w:p w14:paraId="3DCBB6D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1AF7DA23">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4F29E97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丰城大道</w:t>
            </w:r>
          </w:p>
        </w:tc>
        <w:tc>
          <w:tcPr>
            <w:tcW w:w="631" w:type="pct"/>
            <w:tcBorders>
              <w:tl2br w:val="nil"/>
              <w:tr2bl w:val="nil"/>
            </w:tcBorders>
            <w:shd w:val="clear" w:color="auto" w:fill="auto"/>
            <w:vAlign w:val="center"/>
          </w:tcPr>
          <w:p w14:paraId="72E3842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35</w:t>
            </w:r>
          </w:p>
        </w:tc>
        <w:tc>
          <w:tcPr>
            <w:tcW w:w="762" w:type="pct"/>
            <w:tcBorders>
              <w:tl2br w:val="nil"/>
              <w:tr2bl w:val="nil"/>
            </w:tcBorders>
            <w:shd w:val="clear" w:color="auto" w:fill="auto"/>
            <w:vAlign w:val="center"/>
          </w:tcPr>
          <w:p w14:paraId="0DF66A0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350</w:t>
            </w:r>
          </w:p>
        </w:tc>
      </w:tr>
      <w:tr w14:paraId="74D11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5" w:hRule="atLeast"/>
          <w:jc w:val="center"/>
        </w:trPr>
        <w:tc>
          <w:tcPr>
            <w:tcW w:w="405" w:type="pct"/>
            <w:tcBorders>
              <w:tl2br w:val="nil"/>
              <w:tr2bl w:val="nil"/>
            </w:tcBorders>
            <w:shd w:val="clear" w:color="auto" w:fill="auto"/>
            <w:vAlign w:val="center"/>
          </w:tcPr>
          <w:p w14:paraId="757DE0B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w:t>
            </w:r>
          </w:p>
        </w:tc>
        <w:tc>
          <w:tcPr>
            <w:tcW w:w="733" w:type="pct"/>
            <w:tcBorders>
              <w:tl2br w:val="nil"/>
              <w:tr2bl w:val="nil"/>
            </w:tcBorders>
            <w:shd w:val="clear" w:color="auto" w:fill="auto"/>
            <w:vAlign w:val="center"/>
          </w:tcPr>
          <w:p w14:paraId="57F18DF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0E8497C">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76B2F78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滨江国际南侧道路</w:t>
            </w:r>
          </w:p>
        </w:tc>
        <w:tc>
          <w:tcPr>
            <w:tcW w:w="631" w:type="pct"/>
            <w:tcBorders>
              <w:tl2br w:val="nil"/>
              <w:tr2bl w:val="nil"/>
            </w:tcBorders>
            <w:shd w:val="clear" w:color="auto" w:fill="auto"/>
            <w:vAlign w:val="center"/>
          </w:tcPr>
          <w:p w14:paraId="621EC76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762" w:type="pct"/>
            <w:tcBorders>
              <w:tl2br w:val="nil"/>
              <w:tr2bl w:val="nil"/>
            </w:tcBorders>
            <w:shd w:val="clear" w:color="auto" w:fill="auto"/>
            <w:vAlign w:val="center"/>
          </w:tcPr>
          <w:p w14:paraId="255620C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120</w:t>
            </w:r>
          </w:p>
        </w:tc>
      </w:tr>
      <w:tr w14:paraId="47D3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3C9F961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733" w:type="pct"/>
            <w:tcBorders>
              <w:tl2br w:val="nil"/>
              <w:tr2bl w:val="nil"/>
            </w:tcBorders>
            <w:shd w:val="clear" w:color="auto" w:fill="auto"/>
            <w:vAlign w:val="center"/>
          </w:tcPr>
          <w:p w14:paraId="7BDE001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02E8A763">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7D960B0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沿江东路</w:t>
            </w:r>
          </w:p>
        </w:tc>
        <w:tc>
          <w:tcPr>
            <w:tcW w:w="631" w:type="pct"/>
            <w:tcBorders>
              <w:tl2br w:val="nil"/>
              <w:tr2bl w:val="nil"/>
            </w:tcBorders>
            <w:shd w:val="clear" w:color="auto" w:fill="auto"/>
            <w:vAlign w:val="center"/>
          </w:tcPr>
          <w:p w14:paraId="072B790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762" w:type="pct"/>
            <w:tcBorders>
              <w:tl2br w:val="nil"/>
              <w:tr2bl w:val="nil"/>
            </w:tcBorders>
            <w:shd w:val="clear" w:color="auto" w:fill="auto"/>
            <w:vAlign w:val="center"/>
          </w:tcPr>
          <w:p w14:paraId="6A214B5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200</w:t>
            </w:r>
          </w:p>
        </w:tc>
      </w:tr>
      <w:tr w14:paraId="3A60B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EE0051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733" w:type="pct"/>
            <w:tcBorders>
              <w:tl2br w:val="nil"/>
              <w:tr2bl w:val="nil"/>
            </w:tcBorders>
            <w:shd w:val="clear" w:color="auto" w:fill="auto"/>
            <w:vAlign w:val="center"/>
          </w:tcPr>
          <w:p w14:paraId="6DEE27C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05DAA3C2">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98087C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建设路</w:t>
            </w:r>
          </w:p>
        </w:tc>
        <w:tc>
          <w:tcPr>
            <w:tcW w:w="631" w:type="pct"/>
            <w:tcBorders>
              <w:tl2br w:val="nil"/>
              <w:tr2bl w:val="nil"/>
            </w:tcBorders>
            <w:shd w:val="clear" w:color="auto" w:fill="auto"/>
            <w:vAlign w:val="center"/>
          </w:tcPr>
          <w:p w14:paraId="1896903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4096925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2AF17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6B2857B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733" w:type="pct"/>
            <w:tcBorders>
              <w:tl2br w:val="nil"/>
              <w:tr2bl w:val="nil"/>
            </w:tcBorders>
            <w:shd w:val="clear" w:color="auto" w:fill="auto"/>
            <w:vAlign w:val="center"/>
          </w:tcPr>
          <w:p w14:paraId="5E9077F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5D2D5D57">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28B8495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人民路</w:t>
            </w:r>
          </w:p>
        </w:tc>
        <w:tc>
          <w:tcPr>
            <w:tcW w:w="631" w:type="pct"/>
            <w:tcBorders>
              <w:tl2br w:val="nil"/>
              <w:tr2bl w:val="nil"/>
            </w:tcBorders>
            <w:shd w:val="clear" w:color="auto" w:fill="auto"/>
            <w:vAlign w:val="center"/>
          </w:tcPr>
          <w:p w14:paraId="37567CF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762" w:type="pct"/>
            <w:tcBorders>
              <w:tl2br w:val="nil"/>
              <w:tr2bl w:val="nil"/>
            </w:tcBorders>
            <w:shd w:val="clear" w:color="auto" w:fill="auto"/>
            <w:vAlign w:val="center"/>
          </w:tcPr>
          <w:p w14:paraId="1E1A08F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200</w:t>
            </w:r>
          </w:p>
        </w:tc>
      </w:tr>
      <w:tr w14:paraId="14889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13E3014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733" w:type="pct"/>
            <w:tcBorders>
              <w:tl2br w:val="nil"/>
              <w:tr2bl w:val="nil"/>
            </w:tcBorders>
            <w:shd w:val="clear" w:color="auto" w:fill="auto"/>
            <w:vAlign w:val="center"/>
          </w:tcPr>
          <w:p w14:paraId="5C08F47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1672C2B1">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5BCE63B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东门路</w:t>
            </w:r>
          </w:p>
        </w:tc>
        <w:tc>
          <w:tcPr>
            <w:tcW w:w="631" w:type="pct"/>
            <w:tcBorders>
              <w:tl2br w:val="nil"/>
              <w:tr2bl w:val="nil"/>
            </w:tcBorders>
            <w:shd w:val="clear" w:color="auto" w:fill="auto"/>
            <w:vAlign w:val="center"/>
          </w:tcPr>
          <w:p w14:paraId="4DE0A7E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5846C3C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5F2F5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9C0D5F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733" w:type="pct"/>
            <w:tcBorders>
              <w:tl2br w:val="nil"/>
              <w:tr2bl w:val="nil"/>
            </w:tcBorders>
            <w:shd w:val="clear" w:color="auto" w:fill="auto"/>
            <w:vAlign w:val="center"/>
          </w:tcPr>
          <w:p w14:paraId="050950A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27F00FE0">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268624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城东路</w:t>
            </w:r>
          </w:p>
        </w:tc>
        <w:tc>
          <w:tcPr>
            <w:tcW w:w="631" w:type="pct"/>
            <w:tcBorders>
              <w:tl2br w:val="nil"/>
              <w:tr2bl w:val="nil"/>
            </w:tcBorders>
            <w:shd w:val="clear" w:color="auto" w:fill="auto"/>
            <w:vAlign w:val="center"/>
          </w:tcPr>
          <w:p w14:paraId="5EFC57C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762" w:type="pct"/>
            <w:tcBorders>
              <w:tl2br w:val="nil"/>
              <w:tr2bl w:val="nil"/>
            </w:tcBorders>
            <w:shd w:val="clear" w:color="auto" w:fill="auto"/>
            <w:vAlign w:val="center"/>
          </w:tcPr>
          <w:p w14:paraId="3A640D4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w:t>
            </w:r>
          </w:p>
        </w:tc>
      </w:tr>
      <w:tr w14:paraId="05D93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5851603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733" w:type="pct"/>
            <w:tcBorders>
              <w:tl2br w:val="nil"/>
              <w:tr2bl w:val="nil"/>
            </w:tcBorders>
            <w:shd w:val="clear" w:color="auto" w:fill="auto"/>
            <w:vAlign w:val="center"/>
          </w:tcPr>
          <w:p w14:paraId="41B3237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1BDB2AF6">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49DD0B4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东风路</w:t>
            </w:r>
          </w:p>
        </w:tc>
        <w:tc>
          <w:tcPr>
            <w:tcW w:w="631" w:type="pct"/>
            <w:tcBorders>
              <w:tl2br w:val="nil"/>
              <w:tr2bl w:val="nil"/>
            </w:tcBorders>
            <w:shd w:val="clear" w:color="auto" w:fill="auto"/>
            <w:vAlign w:val="center"/>
          </w:tcPr>
          <w:p w14:paraId="52204EB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4F5AA04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6336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4C4833E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c>
          <w:tcPr>
            <w:tcW w:w="733" w:type="pct"/>
            <w:tcBorders>
              <w:tl2br w:val="nil"/>
              <w:tr2bl w:val="nil"/>
            </w:tcBorders>
            <w:shd w:val="clear" w:color="auto" w:fill="auto"/>
            <w:vAlign w:val="center"/>
          </w:tcPr>
          <w:p w14:paraId="026F63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960EB6E">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4EC09EF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车田路</w:t>
            </w:r>
          </w:p>
        </w:tc>
        <w:tc>
          <w:tcPr>
            <w:tcW w:w="631" w:type="pct"/>
            <w:tcBorders>
              <w:tl2br w:val="nil"/>
              <w:tr2bl w:val="nil"/>
            </w:tcBorders>
            <w:shd w:val="clear" w:color="auto" w:fill="auto"/>
            <w:vAlign w:val="center"/>
          </w:tcPr>
          <w:p w14:paraId="2325B73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23EC88B0">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5D720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2A18761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p>
        </w:tc>
        <w:tc>
          <w:tcPr>
            <w:tcW w:w="733" w:type="pct"/>
            <w:tcBorders>
              <w:tl2br w:val="nil"/>
              <w:tr2bl w:val="nil"/>
            </w:tcBorders>
            <w:shd w:val="clear" w:color="auto" w:fill="auto"/>
            <w:vAlign w:val="center"/>
          </w:tcPr>
          <w:p w14:paraId="3B046C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3275423B">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49E0D8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东明路</w:t>
            </w:r>
          </w:p>
        </w:tc>
        <w:tc>
          <w:tcPr>
            <w:tcW w:w="631" w:type="pct"/>
            <w:tcBorders>
              <w:tl2br w:val="nil"/>
              <w:tr2bl w:val="nil"/>
            </w:tcBorders>
            <w:shd w:val="clear" w:color="auto" w:fill="auto"/>
            <w:vAlign w:val="center"/>
          </w:tcPr>
          <w:p w14:paraId="7434362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0CB8944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6B5C1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34D99B2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w:t>
            </w:r>
          </w:p>
        </w:tc>
        <w:tc>
          <w:tcPr>
            <w:tcW w:w="733" w:type="pct"/>
            <w:tcBorders>
              <w:tl2br w:val="nil"/>
              <w:tr2bl w:val="nil"/>
            </w:tcBorders>
            <w:shd w:val="clear" w:color="auto" w:fill="auto"/>
            <w:vAlign w:val="center"/>
          </w:tcPr>
          <w:p w14:paraId="3DF7856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67E9CD50">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08F6262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群英路</w:t>
            </w:r>
          </w:p>
        </w:tc>
        <w:tc>
          <w:tcPr>
            <w:tcW w:w="631" w:type="pct"/>
            <w:tcBorders>
              <w:tl2br w:val="nil"/>
              <w:tr2bl w:val="nil"/>
            </w:tcBorders>
            <w:shd w:val="clear" w:color="auto" w:fill="auto"/>
            <w:vAlign w:val="center"/>
          </w:tcPr>
          <w:p w14:paraId="51AC475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762" w:type="pct"/>
            <w:tcBorders>
              <w:tl2br w:val="nil"/>
              <w:tr2bl w:val="nil"/>
            </w:tcBorders>
            <w:shd w:val="clear" w:color="auto" w:fill="auto"/>
            <w:vAlign w:val="center"/>
          </w:tcPr>
          <w:p w14:paraId="09A8D0E9">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r>
      <w:tr w14:paraId="6B763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74B1623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23</w:t>
            </w:r>
          </w:p>
        </w:tc>
        <w:tc>
          <w:tcPr>
            <w:tcW w:w="733" w:type="pct"/>
            <w:tcBorders>
              <w:tl2br w:val="nil"/>
              <w:tr2bl w:val="nil"/>
            </w:tcBorders>
            <w:shd w:val="clear" w:color="auto" w:fill="auto"/>
            <w:vAlign w:val="center"/>
          </w:tcPr>
          <w:p w14:paraId="1F70599B">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72C1FC3A">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051C484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新西路</w:t>
            </w:r>
          </w:p>
        </w:tc>
        <w:tc>
          <w:tcPr>
            <w:tcW w:w="631" w:type="pct"/>
            <w:tcBorders>
              <w:tl2br w:val="nil"/>
              <w:tr2bl w:val="nil"/>
            </w:tcBorders>
            <w:shd w:val="clear" w:color="auto" w:fill="auto"/>
            <w:vAlign w:val="center"/>
          </w:tcPr>
          <w:p w14:paraId="033435E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762" w:type="pct"/>
            <w:tcBorders>
              <w:tl2br w:val="nil"/>
              <w:tr2bl w:val="nil"/>
            </w:tcBorders>
            <w:shd w:val="clear" w:color="auto" w:fill="auto"/>
            <w:vAlign w:val="center"/>
          </w:tcPr>
          <w:p w14:paraId="475416E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30</w:t>
            </w:r>
          </w:p>
        </w:tc>
      </w:tr>
      <w:tr w14:paraId="385BB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23370596">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24</w:t>
            </w:r>
          </w:p>
        </w:tc>
        <w:tc>
          <w:tcPr>
            <w:tcW w:w="733" w:type="pct"/>
            <w:tcBorders>
              <w:tl2br w:val="nil"/>
              <w:tr2bl w:val="nil"/>
            </w:tcBorders>
            <w:shd w:val="clear" w:color="auto" w:fill="auto"/>
            <w:vAlign w:val="center"/>
          </w:tcPr>
          <w:p w14:paraId="6B93BD8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55D13ED9">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6D06B4FA">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滨江路</w:t>
            </w:r>
          </w:p>
        </w:tc>
        <w:tc>
          <w:tcPr>
            <w:tcW w:w="631" w:type="pct"/>
            <w:tcBorders>
              <w:tl2br w:val="nil"/>
              <w:tr2bl w:val="nil"/>
            </w:tcBorders>
            <w:shd w:val="clear" w:color="auto" w:fill="auto"/>
            <w:vAlign w:val="center"/>
          </w:tcPr>
          <w:p w14:paraId="4FD9E6D5">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6F99C9B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0CAC5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581D8B43">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w:t>
            </w:r>
          </w:p>
        </w:tc>
        <w:tc>
          <w:tcPr>
            <w:tcW w:w="733" w:type="pct"/>
            <w:tcBorders>
              <w:tl2br w:val="nil"/>
              <w:tr2bl w:val="nil"/>
            </w:tcBorders>
            <w:shd w:val="clear" w:color="auto" w:fill="auto"/>
            <w:vAlign w:val="center"/>
          </w:tcPr>
          <w:p w14:paraId="1B7EDC1C">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3F6BAB5D">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0A748721">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江南中路</w:t>
            </w:r>
          </w:p>
        </w:tc>
        <w:tc>
          <w:tcPr>
            <w:tcW w:w="631" w:type="pct"/>
            <w:tcBorders>
              <w:tl2br w:val="nil"/>
              <w:tr2bl w:val="nil"/>
            </w:tcBorders>
            <w:shd w:val="clear" w:color="auto" w:fill="auto"/>
            <w:vAlign w:val="center"/>
          </w:tcPr>
          <w:p w14:paraId="09E8510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762" w:type="pct"/>
            <w:tcBorders>
              <w:tl2br w:val="nil"/>
              <w:tr2bl w:val="nil"/>
            </w:tcBorders>
            <w:shd w:val="clear" w:color="auto" w:fill="auto"/>
            <w:vAlign w:val="center"/>
          </w:tcPr>
          <w:p w14:paraId="28EFCC5F">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w:t>
            </w:r>
          </w:p>
        </w:tc>
      </w:tr>
      <w:tr w14:paraId="1DD1A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2" w:hRule="atLeast"/>
          <w:jc w:val="center"/>
        </w:trPr>
        <w:tc>
          <w:tcPr>
            <w:tcW w:w="405" w:type="pct"/>
            <w:tcBorders>
              <w:tl2br w:val="nil"/>
              <w:tr2bl w:val="nil"/>
            </w:tcBorders>
            <w:shd w:val="clear" w:color="auto" w:fill="auto"/>
            <w:vAlign w:val="center"/>
          </w:tcPr>
          <w:p w14:paraId="5BF811E8">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26</w:t>
            </w:r>
          </w:p>
        </w:tc>
        <w:tc>
          <w:tcPr>
            <w:tcW w:w="733" w:type="pct"/>
            <w:tcBorders>
              <w:tl2br w:val="nil"/>
              <w:tr2bl w:val="nil"/>
            </w:tcBorders>
            <w:shd w:val="clear" w:color="auto" w:fill="auto"/>
            <w:vAlign w:val="center"/>
          </w:tcPr>
          <w:p w14:paraId="00917E3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新丰县</w:t>
            </w:r>
          </w:p>
        </w:tc>
        <w:tc>
          <w:tcPr>
            <w:tcW w:w="1062" w:type="pct"/>
            <w:vMerge w:val="continue"/>
            <w:tcBorders>
              <w:tl2br w:val="nil"/>
              <w:tr2bl w:val="nil"/>
            </w:tcBorders>
            <w:shd w:val="clear" w:color="auto" w:fill="auto"/>
            <w:vAlign w:val="center"/>
          </w:tcPr>
          <w:p w14:paraId="41EEB0BB">
            <w:pPr>
              <w:pStyle w:val="238"/>
              <w:spacing w:line="360" w:lineRule="auto"/>
              <w:jc w:val="center"/>
              <w:rPr>
                <w:rFonts w:hint="eastAsia" w:ascii="宋体" w:hAnsi="宋体" w:eastAsia="宋体" w:cs="宋体"/>
                <w:color w:val="auto"/>
                <w:highlight w:val="none"/>
              </w:rPr>
            </w:pPr>
          </w:p>
        </w:tc>
        <w:tc>
          <w:tcPr>
            <w:tcW w:w="1404" w:type="pct"/>
            <w:tcBorders>
              <w:tl2br w:val="nil"/>
              <w:tr2bl w:val="nil"/>
            </w:tcBorders>
            <w:shd w:val="clear" w:color="auto" w:fill="auto"/>
            <w:vAlign w:val="center"/>
          </w:tcPr>
          <w:p w14:paraId="73CF92E7">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客家大院后巷</w:t>
            </w:r>
          </w:p>
        </w:tc>
        <w:tc>
          <w:tcPr>
            <w:tcW w:w="631" w:type="pct"/>
            <w:tcBorders>
              <w:tl2br w:val="nil"/>
              <w:tr2bl w:val="nil"/>
            </w:tcBorders>
            <w:shd w:val="clear" w:color="auto" w:fill="auto"/>
            <w:vAlign w:val="center"/>
          </w:tcPr>
          <w:p w14:paraId="1AF8A5CE">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762" w:type="pct"/>
            <w:tcBorders>
              <w:tl2br w:val="nil"/>
              <w:tr2bl w:val="nil"/>
            </w:tcBorders>
            <w:shd w:val="clear" w:color="auto" w:fill="auto"/>
            <w:vAlign w:val="center"/>
          </w:tcPr>
          <w:p w14:paraId="2E2F129D">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50</w:t>
            </w:r>
          </w:p>
        </w:tc>
      </w:tr>
      <w:tr w14:paraId="7D1FF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2201" w:type="pct"/>
            <w:gridSpan w:val="3"/>
            <w:tcBorders>
              <w:tl2br w:val="nil"/>
              <w:tr2bl w:val="nil"/>
            </w:tcBorders>
            <w:shd w:val="clear" w:color="auto" w:fill="auto"/>
            <w:noWrap/>
            <w:vAlign w:val="center"/>
          </w:tcPr>
          <w:p w14:paraId="1D3F7CF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合计</w:t>
            </w:r>
          </w:p>
        </w:tc>
        <w:tc>
          <w:tcPr>
            <w:tcW w:w="1404" w:type="pct"/>
            <w:tcBorders>
              <w:tl2br w:val="nil"/>
              <w:tr2bl w:val="nil"/>
            </w:tcBorders>
            <w:shd w:val="clear" w:color="auto" w:fill="auto"/>
            <w:noWrap/>
            <w:vAlign w:val="center"/>
          </w:tcPr>
          <w:p w14:paraId="2864903F">
            <w:pPr>
              <w:pStyle w:val="238"/>
              <w:spacing w:line="360" w:lineRule="auto"/>
              <w:jc w:val="center"/>
              <w:rPr>
                <w:rFonts w:hint="eastAsia" w:ascii="宋体" w:hAnsi="宋体" w:eastAsia="宋体" w:cs="宋体"/>
                <w:color w:val="auto"/>
                <w:highlight w:val="none"/>
              </w:rPr>
            </w:pPr>
          </w:p>
        </w:tc>
        <w:tc>
          <w:tcPr>
            <w:tcW w:w="631" w:type="pct"/>
            <w:tcBorders>
              <w:tl2br w:val="nil"/>
              <w:tr2bl w:val="nil"/>
            </w:tcBorders>
            <w:shd w:val="clear" w:color="auto" w:fill="auto"/>
            <w:noWrap/>
            <w:vAlign w:val="center"/>
          </w:tcPr>
          <w:p w14:paraId="4417D382">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173</w:t>
            </w:r>
          </w:p>
        </w:tc>
        <w:tc>
          <w:tcPr>
            <w:tcW w:w="762" w:type="pct"/>
            <w:tcBorders>
              <w:tl2br w:val="nil"/>
              <w:tr2bl w:val="nil"/>
            </w:tcBorders>
            <w:shd w:val="clear" w:color="auto" w:fill="auto"/>
            <w:noWrap/>
            <w:vAlign w:val="center"/>
          </w:tcPr>
          <w:p w14:paraId="52A38304">
            <w:pPr>
              <w:pStyle w:val="238"/>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1730</w:t>
            </w:r>
          </w:p>
        </w:tc>
      </w:tr>
    </w:tbl>
    <w:p w14:paraId="60C577F1">
      <w:pPr>
        <w:pStyle w:val="238"/>
        <w:spacing w:line="360" w:lineRule="auto"/>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drawing>
          <wp:anchor distT="0" distB="0" distL="114300" distR="114300" simplePos="0" relativeHeight="251664384" behindDoc="0" locked="0" layoutInCell="1" allowOverlap="1">
            <wp:simplePos x="0" y="0"/>
            <wp:positionH relativeFrom="column">
              <wp:posOffset>-10160</wp:posOffset>
            </wp:positionH>
            <wp:positionV relativeFrom="paragraph">
              <wp:posOffset>109855</wp:posOffset>
            </wp:positionV>
            <wp:extent cx="5377815" cy="3316605"/>
            <wp:effectExtent l="0" t="0" r="13335" b="1714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377815" cy="3316605"/>
                    </a:xfrm>
                    <a:prstGeom prst="rect">
                      <a:avLst/>
                    </a:prstGeom>
                    <a:noFill/>
                    <a:ln>
                      <a:noFill/>
                    </a:ln>
                  </pic:spPr>
                </pic:pic>
              </a:graphicData>
            </a:graphic>
          </wp:anchor>
        </w:drawing>
      </w:r>
      <w:r>
        <w:rPr>
          <w:rFonts w:hint="default" w:ascii="宋体" w:hAnsi="宋体" w:eastAsia="宋体" w:cs="宋体"/>
          <w:color w:val="auto"/>
          <w:kern w:val="2"/>
          <w:sz w:val="21"/>
          <w:szCs w:val="21"/>
          <w:highlight w:val="none"/>
          <w:lang w:val="en-US" w:eastAsia="zh-CN" w:bidi="ar-SA"/>
        </w:rPr>
        <w:t>县城道路图</w:t>
      </w:r>
    </w:p>
    <w:p w14:paraId="3EB8A6E0">
      <w:pPr>
        <w:pStyle w:val="238"/>
        <w:spacing w:line="360" w:lineRule="auto"/>
        <w:jc w:val="center"/>
        <w:rPr>
          <w:rFonts w:hint="default"/>
          <w:color w:val="auto"/>
          <w:highlight w:val="none"/>
          <w:lang w:val="en-US" w:eastAsia="zh-CN"/>
        </w:rPr>
      </w:pPr>
      <w:bookmarkStart w:id="39" w:name="_Toc2011"/>
      <w:bookmarkStart w:id="40" w:name="_Toc549"/>
      <w:r>
        <w:rPr>
          <w:rFonts w:hint="default" w:ascii="宋体" w:hAnsi="宋体" w:eastAsia="宋体" w:cs="宋体"/>
          <w:color w:val="auto"/>
          <w:kern w:val="2"/>
          <w:sz w:val="21"/>
          <w:szCs w:val="21"/>
          <w:highlight w:val="none"/>
          <w:lang w:val="en-US" w:eastAsia="zh-CN" w:bidi="ar-SA"/>
        </w:rPr>
        <w:t>梅坑镇道路泊位规划涉及路段标注图</w:t>
      </w:r>
      <w:r>
        <w:rPr>
          <w:rFonts w:hint="default"/>
          <w:color w:val="auto"/>
          <w:highlight w:val="none"/>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89535</wp:posOffset>
            </wp:positionV>
            <wp:extent cx="5294630" cy="2929255"/>
            <wp:effectExtent l="0" t="0" r="1270" b="4445"/>
            <wp:wrapSquare wrapText="bothSides"/>
            <wp:docPr id="6" name="图片 6" descr="梅坑停车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梅坑停车点位图"/>
                    <pic:cNvPicPr>
                      <a:picLocks noChangeAspect="1"/>
                    </pic:cNvPicPr>
                  </pic:nvPicPr>
                  <pic:blipFill>
                    <a:blip r:embed="rId11"/>
                    <a:srcRect t="6492" b="14069"/>
                    <a:stretch>
                      <a:fillRect/>
                    </a:stretch>
                  </pic:blipFill>
                  <pic:spPr>
                    <a:xfrm>
                      <a:off x="0" y="0"/>
                      <a:ext cx="5294630" cy="2929255"/>
                    </a:xfrm>
                    <a:prstGeom prst="rect">
                      <a:avLst/>
                    </a:prstGeom>
                  </pic:spPr>
                </pic:pic>
              </a:graphicData>
            </a:graphic>
          </wp:anchor>
        </w:drawing>
      </w:r>
    </w:p>
    <w:bookmarkEnd w:id="39"/>
    <w:bookmarkEnd w:id="40"/>
    <w:p w14:paraId="3D9535C1">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eastAsia" w:cs="宋体"/>
          <w:b/>
          <w:color w:val="auto"/>
          <w:kern w:val="2"/>
          <w:sz w:val="24"/>
          <w:szCs w:val="24"/>
          <w:lang w:val="en-US" w:eastAsia="zh-CN" w:bidi="ar-SA"/>
        </w:rPr>
      </w:pPr>
      <w:r>
        <w:rPr>
          <w:rFonts w:hint="eastAsia" w:cs="宋体"/>
          <w:b/>
          <w:color w:val="auto"/>
          <w:kern w:val="2"/>
          <w:sz w:val="24"/>
          <w:szCs w:val="24"/>
          <w:lang w:val="en-US" w:eastAsia="zh-CN" w:bidi="ar-SA"/>
        </w:rPr>
        <w:t>（四）建设期</w:t>
      </w:r>
    </w:p>
    <w:p w14:paraId="11CB9911">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1.产出范围</w:t>
      </w:r>
    </w:p>
    <w:p w14:paraId="106B13E5">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纳入本次有偿使用项目的城市公共停车泊位共10414个，378套充电桩（共计2020个充电插口）。其中路内机动车停车位合计4337个，一类路停车位2564个，二类路停车位1773个；路外机动车停车场21个，共2974个车位；路内非机动车位3103个，一类2680个，二类423个；机动车充电桩205套（共计290个充电插口），其中120个充电插口位于机动车路内停车位，164个充电插口位于路外停车场，6个充电插口位于机关部门；非机动车充电桩173套（共计1730个充电插口），其中90个位于停车场，160个位于机关部门，1480个位于非机动车路内停车位。对车位进行智能化改造，同时设置新能源汽车充电桩及配套设施。涉及的建设改造内容包括对原车位进行智能化改造，建设智能停车管理车位、停车管理系统、</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新能源汽车充电桩</w:t>
      </w:r>
      <w:r>
        <w:rPr>
          <w:rFonts w:hint="eastAsia" w:ascii="宋体" w:hAnsi="宋体" w:eastAsia="宋体" w:cs="宋体"/>
          <w:color w:val="auto"/>
          <w:kern w:val="2"/>
          <w:sz w:val="21"/>
          <w:szCs w:val="21"/>
          <w:highlight w:val="none"/>
          <w:lang w:val="en-US" w:eastAsia="zh-CN" w:bidi="ar-SA"/>
        </w:rPr>
        <w:t>及配套设施。</w:t>
      </w:r>
    </w:p>
    <w:p w14:paraId="66E5F211">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2.产出标准</w:t>
      </w:r>
    </w:p>
    <w:p w14:paraId="36FA8FFC">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2.1.严格遵守国家法律法规和项目建设所在地的建设工程基本建设程序及流程要求，依法依规建设。</w:t>
      </w:r>
    </w:p>
    <w:p w14:paraId="130139CB">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2.2.项目需满足公安、交通、住建管理部门对于信息系统接入的相关要求，并接受相关部门的日常监管。</w:t>
      </w:r>
    </w:p>
    <w:p w14:paraId="35412DB7">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rPr>
          <w:rFonts w:hint="default" w:ascii="宋体" w:hAnsi="宋体" w:eastAsia="宋体" w:cs="宋体"/>
          <w:b/>
          <w:color w:val="auto"/>
          <w:kern w:val="2"/>
          <w:sz w:val="28"/>
          <w:szCs w:val="28"/>
          <w:highlight w:val="none"/>
          <w:lang w:val="en-US" w:eastAsia="zh-CN" w:bidi="ar-SA"/>
        </w:rPr>
      </w:pPr>
      <w:r>
        <w:rPr>
          <w:rFonts w:hint="eastAsia" w:ascii="宋体" w:hAnsi="宋体" w:eastAsia="宋体" w:cs="宋体"/>
          <w:color w:val="auto"/>
          <w:kern w:val="2"/>
          <w:sz w:val="21"/>
          <w:szCs w:val="21"/>
          <w:highlight w:val="none"/>
          <w:lang w:val="en-US" w:eastAsia="zh-CN" w:bidi="ar-SA"/>
        </w:rPr>
        <w:t>2.3.鼓励技术和节能环保方面的创新，鼓励使用新技术或新型节能环保材料。</w:t>
      </w:r>
    </w:p>
    <w:p w14:paraId="5DC6725F">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r>
        <w:rPr>
          <w:rFonts w:hint="eastAsia" w:cs="宋体"/>
          <w:b/>
          <w:color w:val="auto"/>
          <w:kern w:val="2"/>
          <w:sz w:val="24"/>
          <w:szCs w:val="24"/>
          <w:lang w:val="en-US" w:eastAsia="zh-CN" w:bidi="ar-SA"/>
        </w:rPr>
        <w:t>（五）</w:t>
      </w:r>
      <w:r>
        <w:rPr>
          <w:rFonts w:hint="default" w:cs="宋体"/>
          <w:b/>
          <w:color w:val="auto"/>
          <w:kern w:val="2"/>
          <w:sz w:val="24"/>
          <w:szCs w:val="24"/>
          <w:lang w:val="en-US" w:eastAsia="zh-CN" w:bidi="ar-SA"/>
        </w:rPr>
        <w:t>运营期</w:t>
      </w:r>
    </w:p>
    <w:p w14:paraId="51FCC8B5">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.产出范围</w:t>
      </w:r>
    </w:p>
    <w:p w14:paraId="5278A14A">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公共资源有偿使用者（中标人）</w:t>
      </w:r>
      <w:r>
        <w:rPr>
          <w:rFonts w:hint="default" w:ascii="宋体" w:hAnsi="宋体" w:eastAsia="宋体" w:cs="宋体"/>
          <w:color w:val="auto"/>
          <w:kern w:val="2"/>
          <w:sz w:val="21"/>
          <w:szCs w:val="21"/>
          <w:highlight w:val="none"/>
          <w:lang w:val="en-US" w:eastAsia="zh-CN" w:bidi="ar-SA"/>
        </w:rPr>
        <w:t>将在项目有偿使用期内对项目范围内新丰县城区城市公共停车泊位、新能源汽车充电桩及配套设施实施运营维护，提供停车管理、收费管理、客服管理、充电服务和其他相应的服务。</w:t>
      </w:r>
    </w:p>
    <w:p w14:paraId="671DD025">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.产出标准</w:t>
      </w:r>
    </w:p>
    <w:p w14:paraId="02B5E288">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2.1</w:t>
      </w:r>
      <w:r>
        <w:rPr>
          <w:rFonts w:hint="default" w:ascii="宋体" w:hAnsi="宋体" w:eastAsia="宋体" w:cs="宋体"/>
          <w:color w:val="auto"/>
          <w:kern w:val="2"/>
          <w:sz w:val="21"/>
          <w:szCs w:val="21"/>
          <w:highlight w:val="none"/>
          <w:lang w:val="en-US" w:eastAsia="zh-CN" w:bidi="ar-SA"/>
        </w:rPr>
        <w:t>.严格按照约定的运维服务范围和标准提供全面、及时、优质的服务。</w:t>
      </w:r>
    </w:p>
    <w:p w14:paraId="3116520C">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2.2</w:t>
      </w:r>
      <w:r>
        <w:rPr>
          <w:rFonts w:hint="default" w:ascii="宋体" w:hAnsi="宋体" w:eastAsia="宋体" w:cs="宋体"/>
          <w:color w:val="auto"/>
          <w:kern w:val="2"/>
          <w:sz w:val="21"/>
          <w:szCs w:val="21"/>
          <w:highlight w:val="none"/>
          <w:lang w:val="en-US" w:eastAsia="zh-CN" w:bidi="ar-SA"/>
        </w:rPr>
        <w:t>.根据区域功能，明确项目定位，挖掘项目经营价值，实现城市停车资源的统一运营及共享。</w:t>
      </w:r>
    </w:p>
    <w:p w14:paraId="7B31CFB7">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2.3</w:t>
      </w:r>
      <w:r>
        <w:rPr>
          <w:rFonts w:hint="default" w:ascii="宋体" w:hAnsi="宋体" w:eastAsia="宋体" w:cs="宋体"/>
          <w:color w:val="auto"/>
          <w:kern w:val="2"/>
          <w:sz w:val="21"/>
          <w:szCs w:val="21"/>
          <w:highlight w:val="none"/>
          <w:lang w:val="en-US" w:eastAsia="zh-CN" w:bidi="ar-SA"/>
        </w:rPr>
        <w:t>.依据国家、地方和各行业适用于本项目不同子项的维护、维修规范和标准以及项目实施机构要求，规范维护、维修和保养作业，建立完善的日常运营维护制度，对项目的涉及建筑安全和正常运营的各类机电设备系统实行24小时监控制度和日常巡检记录制度，及时掌握供配电系统运行动态，排除设备隐患，保障供配电系统的正常运行；及时根据工程质量状况和设备运行情况进行检修和更新改造，确保工程实体和机电设备始终处于完好状态。</w:t>
      </w:r>
    </w:p>
    <w:p w14:paraId="574C736F">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2.4</w:t>
      </w:r>
      <w:r>
        <w:rPr>
          <w:rFonts w:hint="default" w:ascii="宋体" w:hAnsi="宋体" w:eastAsia="宋体" w:cs="宋体"/>
          <w:color w:val="auto"/>
          <w:kern w:val="2"/>
          <w:sz w:val="21"/>
          <w:szCs w:val="21"/>
          <w:highlight w:val="none"/>
          <w:lang w:val="en-US" w:eastAsia="zh-CN" w:bidi="ar-SA"/>
        </w:rPr>
        <w:t>.建立、健全突发事件的应急处理机制，确保公共利益和公众安全；服从政府相关职能部门的管理，在特殊情况下，政府有权临时接管项目，</w:t>
      </w:r>
      <w:r>
        <w:rPr>
          <w:rFonts w:hint="eastAsia" w:ascii="宋体" w:hAnsi="宋体" w:eastAsia="宋体" w:cs="宋体"/>
          <w:color w:val="auto"/>
          <w:kern w:val="2"/>
          <w:sz w:val="21"/>
          <w:szCs w:val="21"/>
          <w:highlight w:val="none"/>
          <w:lang w:val="en-US" w:eastAsia="zh-CN" w:bidi="ar-SA"/>
        </w:rPr>
        <w:t>公共资源有偿使用者（中标人）</w:t>
      </w:r>
      <w:r>
        <w:rPr>
          <w:rFonts w:hint="default" w:ascii="宋体" w:hAnsi="宋体" w:eastAsia="宋体" w:cs="宋体"/>
          <w:color w:val="auto"/>
          <w:kern w:val="2"/>
          <w:sz w:val="21"/>
          <w:szCs w:val="21"/>
          <w:highlight w:val="none"/>
          <w:lang w:val="en-US" w:eastAsia="zh-CN" w:bidi="ar-SA"/>
        </w:rPr>
        <w:t>必须无条件执行。</w:t>
      </w:r>
    </w:p>
    <w:p w14:paraId="6984B86A">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2.5</w:t>
      </w:r>
      <w:r>
        <w:rPr>
          <w:rFonts w:hint="default" w:ascii="宋体" w:hAnsi="宋体" w:eastAsia="宋体" w:cs="宋体"/>
          <w:color w:val="auto"/>
          <w:kern w:val="2"/>
          <w:sz w:val="21"/>
          <w:szCs w:val="21"/>
          <w:highlight w:val="none"/>
          <w:lang w:val="en-US" w:eastAsia="zh-CN" w:bidi="ar-SA"/>
        </w:rPr>
        <w:t>.全面响应和满足项目实施机构制定的运维绩效考核标准。</w:t>
      </w:r>
    </w:p>
    <w:p w14:paraId="359A6D31">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2.6</w:t>
      </w:r>
      <w:r>
        <w:rPr>
          <w:rFonts w:hint="default" w:ascii="宋体" w:hAnsi="宋体" w:eastAsia="宋体" w:cs="宋体"/>
          <w:color w:val="auto"/>
          <w:kern w:val="2"/>
          <w:sz w:val="21"/>
          <w:szCs w:val="21"/>
          <w:highlight w:val="none"/>
          <w:lang w:val="en-US" w:eastAsia="zh-CN" w:bidi="ar-SA"/>
        </w:rPr>
        <w:t>.持续提高自身经营管理能力，合理控制经营成本，使项目经营收益水平始终处于同类项目经营收益水平。</w:t>
      </w:r>
    </w:p>
    <w:p w14:paraId="6B30DFB7">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2.7</w:t>
      </w:r>
      <w:r>
        <w:rPr>
          <w:rFonts w:hint="default" w:ascii="宋体" w:hAnsi="宋体" w:eastAsia="宋体" w:cs="宋体"/>
          <w:color w:val="auto"/>
          <w:kern w:val="2"/>
          <w:sz w:val="21"/>
          <w:szCs w:val="21"/>
          <w:highlight w:val="none"/>
          <w:lang w:val="en-US" w:eastAsia="zh-CN" w:bidi="ar-SA"/>
        </w:rPr>
        <w:t>以上运营内容需符合有偿使用协议及其补充合同约定和相关运营标准。</w:t>
      </w:r>
    </w:p>
    <w:p w14:paraId="25108E0B">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bookmarkStart w:id="41" w:name="bookmark7"/>
      <w:bookmarkEnd w:id="41"/>
      <w:bookmarkStart w:id="42" w:name="bookmark9"/>
      <w:bookmarkEnd w:id="42"/>
      <w:bookmarkStart w:id="43" w:name="_Toc22769"/>
      <w:r>
        <w:rPr>
          <w:rFonts w:hint="eastAsia" w:cs="宋体"/>
          <w:b/>
          <w:color w:val="auto"/>
          <w:kern w:val="2"/>
          <w:sz w:val="24"/>
          <w:szCs w:val="24"/>
          <w:lang w:val="en-US" w:eastAsia="zh-CN" w:bidi="ar-SA"/>
        </w:rPr>
        <w:t>（六）</w:t>
      </w:r>
      <w:r>
        <w:rPr>
          <w:rFonts w:hint="default" w:cs="宋体"/>
          <w:b/>
          <w:color w:val="auto"/>
          <w:kern w:val="2"/>
          <w:sz w:val="24"/>
          <w:szCs w:val="24"/>
          <w:lang w:val="en-US" w:eastAsia="zh-CN" w:bidi="ar-SA"/>
        </w:rPr>
        <w:t>项目有偿使用范围及期限</w:t>
      </w:r>
      <w:bookmarkEnd w:id="43"/>
    </w:p>
    <w:p w14:paraId="621547BA">
      <w:pPr>
        <w:pStyle w:val="238"/>
        <w:spacing w:line="360" w:lineRule="auto"/>
        <w:rPr>
          <w:rFonts w:hint="default" w:ascii="宋体" w:hAnsi="宋体" w:eastAsia="宋体" w:cs="宋体"/>
          <w:b/>
          <w:bCs/>
          <w:color w:val="auto"/>
          <w:kern w:val="2"/>
          <w:sz w:val="21"/>
          <w:szCs w:val="21"/>
          <w:highlight w:val="none"/>
          <w:lang w:val="en-US" w:eastAsia="zh-CN" w:bidi="ar-SA"/>
        </w:rPr>
      </w:pPr>
      <w:bookmarkStart w:id="44" w:name="_Toc27508"/>
      <w:bookmarkStart w:id="45" w:name="_Toc18222"/>
      <w:r>
        <w:rPr>
          <w:rFonts w:hint="default" w:ascii="宋体" w:hAnsi="宋体" w:eastAsia="宋体" w:cs="宋体"/>
          <w:b/>
          <w:bCs/>
          <w:color w:val="auto"/>
          <w:kern w:val="2"/>
          <w:sz w:val="21"/>
          <w:szCs w:val="21"/>
          <w:highlight w:val="none"/>
          <w:lang w:val="en-US" w:eastAsia="zh-CN" w:bidi="ar-SA"/>
        </w:rPr>
        <w:t>1.项目有偿使用范围</w:t>
      </w:r>
      <w:bookmarkEnd w:id="44"/>
      <w:bookmarkEnd w:id="45"/>
    </w:p>
    <w:p w14:paraId="744F0BBF">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新丰县人民政府授权项目实施机构，通过公开招标方式确定本项目有偿使用者，并与有偿使用者签订有偿使用协议，约定由有偿使用者负责新丰县公共智慧体系配套建设项目的投融资、智能化改造、运营维护、移交，设置新能源汽车充电桩及配套设施，同时享有获取收益的权利。</w:t>
      </w:r>
    </w:p>
    <w:p w14:paraId="51103185">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本项目有偿使用项目的城市公共停车泊位共10414个，其中路外停车场停车泊位2974个，路内机动车停车泊位4337个，路内非机动车停车泊位3103个(用于经营部份)，对车位进行智能化改造，同时设置新能源汽车充电桩及配套设施。涉及的建设改造内容包括对原车位进行智能化改造，建设智能停车管理车位、停车管理系统、新能源汽车充电桩及配套设施。在本项目有偿使用范围内，项目实施机构授予有偿使用者对合作区域的有偿使用权系独家的权利。除非依照有偿使用协议约定提前终止的，项目实施机构承诺不擅自收回有偿使用权、不减少有偿使用权的内容、不再将有偿使用权授予任何第三方。</w:t>
      </w:r>
    </w:p>
    <w:p w14:paraId="091B8AC4">
      <w:pPr>
        <w:pStyle w:val="238"/>
        <w:spacing w:line="360" w:lineRule="auto"/>
        <w:rPr>
          <w:rFonts w:hint="default" w:ascii="宋体" w:hAnsi="宋体" w:eastAsia="宋体" w:cs="宋体"/>
          <w:b/>
          <w:bCs/>
          <w:color w:val="auto"/>
          <w:kern w:val="2"/>
          <w:sz w:val="21"/>
          <w:szCs w:val="21"/>
          <w:highlight w:val="none"/>
          <w:lang w:val="en-US" w:eastAsia="zh-CN" w:bidi="ar-SA"/>
        </w:rPr>
      </w:pPr>
      <w:bookmarkStart w:id="46" w:name="_Toc9845"/>
      <w:bookmarkStart w:id="47" w:name="_Toc31044"/>
      <w:r>
        <w:rPr>
          <w:rFonts w:hint="default" w:ascii="宋体" w:hAnsi="宋体" w:eastAsia="宋体" w:cs="宋体"/>
          <w:b/>
          <w:bCs/>
          <w:color w:val="auto"/>
          <w:kern w:val="2"/>
          <w:sz w:val="21"/>
          <w:szCs w:val="21"/>
          <w:highlight w:val="none"/>
          <w:lang w:val="en-US" w:eastAsia="zh-CN" w:bidi="ar-SA"/>
        </w:rPr>
        <w:t>2.项目有偿使用期限</w:t>
      </w:r>
      <w:bookmarkEnd w:id="46"/>
      <w:bookmarkEnd w:id="47"/>
    </w:p>
    <w:p w14:paraId="37DD06F5">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综合考虑本项目的行业特点、投资规模、投资回收期等因素，本项目有偿使用期限共计为20年，其中建设期预计为2年，项目完成竣工验收后即进入运营期，运营期为18年。</w:t>
      </w:r>
    </w:p>
    <w:p w14:paraId="6FC92A1D">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bookmarkStart w:id="48" w:name="bookmark11"/>
      <w:bookmarkEnd w:id="48"/>
      <w:bookmarkStart w:id="49" w:name="_Toc21890"/>
      <w:r>
        <w:rPr>
          <w:rFonts w:hint="eastAsia" w:cs="宋体"/>
          <w:b/>
          <w:color w:val="auto"/>
          <w:kern w:val="2"/>
          <w:sz w:val="24"/>
          <w:szCs w:val="24"/>
          <w:lang w:val="en-US" w:eastAsia="zh-CN" w:bidi="ar-SA"/>
        </w:rPr>
        <w:t>（七）</w:t>
      </w:r>
      <w:r>
        <w:rPr>
          <w:rFonts w:hint="default" w:cs="宋体"/>
          <w:b/>
          <w:color w:val="auto"/>
          <w:kern w:val="2"/>
          <w:sz w:val="24"/>
          <w:szCs w:val="24"/>
          <w:lang w:val="en-US" w:eastAsia="zh-CN" w:bidi="ar-SA"/>
        </w:rPr>
        <w:t>项目运作方式</w:t>
      </w:r>
      <w:bookmarkEnd w:id="49"/>
    </w:p>
    <w:p w14:paraId="7B5D2DE0">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根据项目实际情况和参与各方的利益诉求，拟引进有实力、有相应运作经验的投资人参与本项目运作。项目采用资产移交加有偿使用的运作方式：</w:t>
      </w:r>
    </w:p>
    <w:p w14:paraId="496E245A">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1.项目实施机构将本项目有偿使用权授予给有偿使用者，由有偿使用者向政府指定单位支付有偿使用权出让金。</w:t>
      </w:r>
    </w:p>
    <w:p w14:paraId="66E7EC39">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2.有偿使用者获得开发和运营新丰县公共智慧体系配套建设项目中有偿使用权后，对项目进行智能化升级改造，同时设置新能源汽车充电桩及配套设施，通过项目运营取得经营收入。</w:t>
      </w:r>
    </w:p>
    <w:p w14:paraId="073BB1D1">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3.项目有偿使用期满后，有偿使用者将项目无偿、完好地移交给实施机构或政府指定部门。</w:t>
      </w:r>
    </w:p>
    <w:p w14:paraId="3A63C3DA">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bookmarkStart w:id="50" w:name="bookmark13"/>
      <w:bookmarkEnd w:id="50"/>
      <w:bookmarkStart w:id="51" w:name="_Toc16663"/>
      <w:r>
        <w:rPr>
          <w:rFonts w:hint="eastAsia" w:cs="宋体"/>
          <w:b/>
          <w:color w:val="auto"/>
          <w:kern w:val="2"/>
          <w:sz w:val="24"/>
          <w:szCs w:val="24"/>
          <w:lang w:val="en-US" w:eastAsia="zh-CN" w:bidi="ar-SA"/>
        </w:rPr>
        <w:t>（八）</w:t>
      </w:r>
      <w:r>
        <w:rPr>
          <w:rFonts w:hint="default" w:cs="宋体"/>
          <w:b/>
          <w:color w:val="auto"/>
          <w:kern w:val="2"/>
          <w:sz w:val="24"/>
          <w:szCs w:val="24"/>
          <w:lang w:val="en-US" w:eastAsia="zh-CN" w:bidi="ar-SA"/>
        </w:rPr>
        <w:t>有偿使用权方案</w:t>
      </w:r>
      <w:bookmarkEnd w:id="51"/>
    </w:p>
    <w:p w14:paraId="3E218381">
      <w:pPr>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szCs w:val="21"/>
          <w:highlight w:val="none"/>
          <w:lang w:val="en-US" w:eastAsia="zh-CN"/>
        </w:rPr>
      </w:pPr>
      <w:bookmarkStart w:id="52" w:name="_Toc2391"/>
      <w:bookmarkStart w:id="53" w:name="_Toc11165"/>
      <w:r>
        <w:rPr>
          <w:rFonts w:hint="default" w:ascii="宋体" w:hAnsi="宋体" w:eastAsia="宋体" w:cs="宋体"/>
          <w:b/>
          <w:bCs/>
          <w:color w:val="auto"/>
          <w:kern w:val="2"/>
          <w:sz w:val="21"/>
          <w:szCs w:val="21"/>
          <w:highlight w:val="none"/>
          <w:lang w:val="en-US" w:eastAsia="zh-CN" w:bidi="ar-SA"/>
        </w:rPr>
        <w:t>1.</w:t>
      </w:r>
      <w:bookmarkEnd w:id="52"/>
      <w:bookmarkEnd w:id="53"/>
      <w:bookmarkStart w:id="54" w:name="_Toc2171"/>
      <w:bookmarkStart w:id="55" w:name="_Toc28687"/>
      <w:r>
        <w:rPr>
          <w:rFonts w:hint="default" w:ascii="宋体" w:hAnsi="宋体" w:eastAsia="宋体" w:cs="宋体"/>
          <w:b/>
          <w:bCs/>
          <w:color w:val="auto"/>
          <w:szCs w:val="21"/>
          <w:highlight w:val="none"/>
          <w:lang w:val="en-US" w:eastAsia="zh-CN"/>
        </w:rPr>
        <w:t>有偿使用权价格支付</w:t>
      </w:r>
      <w:bookmarkEnd w:id="54"/>
      <w:bookmarkEnd w:id="55"/>
    </w:p>
    <w:p w14:paraId="3FA3570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有偿使用者应在有偿使用协议签署后10个工作日内缴纳有偿使用价款（合同金额）的30%，应在有偿使用协议签署后40个工作日内缴清剩余70%的全部有偿使用价款（合同金额），缴纳账户以实施机构开具的《广东省非税收入一般缴款书（电子）》中指定的收款账户为准。</w:t>
      </w:r>
    </w:p>
    <w:p w14:paraId="53652188">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逾期未付款的，应从到期应付之日起至实际付款之日止，以应付未支付的有偿使用权价款为基数，按照支付日全国银行间同业拆借中心公布5年期以上LPR计息，按照单利计息。</w:t>
      </w:r>
    </w:p>
    <w:p w14:paraId="36585236">
      <w:pPr>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kern w:val="2"/>
          <w:sz w:val="21"/>
          <w:szCs w:val="21"/>
          <w:highlight w:val="none"/>
          <w:lang w:val="en-US" w:eastAsia="zh-CN" w:bidi="ar-SA"/>
        </w:rPr>
      </w:pPr>
      <w:bookmarkStart w:id="56" w:name="_Toc2384"/>
      <w:bookmarkStart w:id="57" w:name="_Toc7214"/>
      <w:r>
        <w:rPr>
          <w:rFonts w:hint="eastAsia" w:ascii="宋体" w:hAnsi="宋体" w:eastAsia="宋体" w:cs="宋体"/>
          <w:b/>
          <w:bCs/>
          <w:color w:val="auto"/>
          <w:kern w:val="2"/>
          <w:sz w:val="21"/>
          <w:szCs w:val="21"/>
          <w:highlight w:val="none"/>
          <w:lang w:val="en-US" w:eastAsia="zh-CN" w:bidi="ar-SA"/>
        </w:rPr>
        <w:t>2</w:t>
      </w:r>
      <w:r>
        <w:rPr>
          <w:rFonts w:hint="default" w:ascii="宋体" w:hAnsi="宋体" w:eastAsia="宋体" w:cs="宋体"/>
          <w:b/>
          <w:bCs/>
          <w:color w:val="auto"/>
          <w:kern w:val="2"/>
          <w:sz w:val="21"/>
          <w:szCs w:val="21"/>
          <w:highlight w:val="none"/>
          <w:lang w:val="en-US" w:eastAsia="zh-CN" w:bidi="ar-SA"/>
        </w:rPr>
        <w:t>.解除权利负担</w:t>
      </w:r>
      <w:bookmarkEnd w:id="56"/>
      <w:bookmarkEnd w:id="57"/>
    </w:p>
    <w:p w14:paraId="531B0715">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项目实施机构应在有偿使用者支付有偿使用权价格之前解除全部有偿使用权范围内资产和权利所设定的任何权利负担，包括但不限于收费权质押担保、有形资产抵押担保及其他任何种类的担保权益或其他权利、主张或利益，并向有偿使用者提供解除上述所设定的权利负担的相关凭证供有偿使用者审核确认。</w:t>
      </w:r>
    </w:p>
    <w:p w14:paraId="2F18FF7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项目实施机构应保证有偿使用权涉及资产建设手续完整合法。</w:t>
      </w:r>
    </w:p>
    <w:p w14:paraId="58B5EE9F">
      <w:pPr>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kern w:val="2"/>
          <w:sz w:val="21"/>
          <w:szCs w:val="21"/>
          <w:highlight w:val="none"/>
          <w:lang w:val="en-US" w:eastAsia="zh-CN" w:bidi="ar-SA"/>
        </w:rPr>
      </w:pPr>
      <w:bookmarkStart w:id="58" w:name="_Toc23274"/>
      <w:bookmarkStart w:id="59" w:name="_Toc21493"/>
      <w:r>
        <w:rPr>
          <w:rFonts w:hint="eastAsia" w:ascii="宋体" w:hAnsi="宋体" w:eastAsia="宋体" w:cs="宋体"/>
          <w:b/>
          <w:bCs/>
          <w:color w:val="auto"/>
          <w:kern w:val="2"/>
          <w:sz w:val="21"/>
          <w:szCs w:val="21"/>
          <w:highlight w:val="none"/>
          <w:lang w:val="en-US" w:eastAsia="zh-CN" w:bidi="ar-SA"/>
        </w:rPr>
        <w:t>3</w:t>
      </w:r>
      <w:r>
        <w:rPr>
          <w:rFonts w:hint="default" w:ascii="宋体" w:hAnsi="宋体" w:eastAsia="宋体" w:cs="宋体"/>
          <w:b/>
          <w:bCs/>
          <w:color w:val="auto"/>
          <w:kern w:val="2"/>
          <w:sz w:val="21"/>
          <w:szCs w:val="21"/>
          <w:highlight w:val="none"/>
          <w:lang w:val="en-US" w:eastAsia="zh-CN" w:bidi="ar-SA"/>
        </w:rPr>
        <w:t>.有偿使用权移交</w:t>
      </w:r>
      <w:bookmarkEnd w:id="58"/>
      <w:bookmarkEnd w:id="59"/>
    </w:p>
    <w:p w14:paraId="5863535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本项目有偿使用范围为10414个城市公共停车泊位，378套充电桩（共计2020个充电插口）。其中路内机动车停车位合计4337个，一类路停车位2564个，二类路停车位1773个；路外机动车停车场21个，共2974个车位；路内非机动车位3103个，一类2680个，二类423个；机动车充电桩205套（共计290个充电插口），其中120个充电插口位于机动车路内停车位，164个充电插口位于路外停车场，6个充电插口位于机关部门；非机动车充电桩173套（共计1730个充电插口），其中90个充电插口位于停车场，160个充电插口位于机关部门，1480个充电插口位于非机动车路内停车位及配套设施，实施机构提供场址支持有偿使用者建设新能源汽车充电桩及配套设施。有偿使用协议的签署就是有偿使用权进行移交，公共停车泊位和新能源汽车充电桩及配套设施场址具体分布情况即是交接清单。有偿使用者可在施工建设过程中对以上市政公共资源进行核对，若出现数量不够的情况，可以书面方式向项目实施机构进行申请，项目实施机构需在收到书面申请后给出解决方案，确保本项目公共停车泊位不少于10414个，机动车停车位不少于7311个，非机动停车位不少于3103个，机动车充电桩不少于205套，非机动车充电桩不少于173套。</w:t>
      </w:r>
    </w:p>
    <w:p w14:paraId="6416B7BD">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eastAsia" w:cs="宋体"/>
          <w:b/>
          <w:color w:val="auto"/>
          <w:kern w:val="2"/>
          <w:sz w:val="24"/>
          <w:szCs w:val="24"/>
          <w:lang w:val="en-US" w:eastAsia="zh-CN" w:bidi="ar-SA"/>
        </w:rPr>
      </w:pPr>
      <w:r>
        <w:rPr>
          <w:rFonts w:hint="eastAsia" w:cs="宋体"/>
          <w:b/>
          <w:color w:val="auto"/>
          <w:kern w:val="2"/>
          <w:sz w:val="24"/>
          <w:szCs w:val="24"/>
          <w:lang w:val="en-US" w:eastAsia="zh-CN" w:bidi="ar-SA"/>
        </w:rPr>
        <w:t>（九）绩效考核方法及标准</w:t>
      </w:r>
    </w:p>
    <w:p w14:paraId="6E90DC7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本项目绩效考核机制建议分为建设期绩效考核和运营期绩效考核，最终以有偿使用协议约定为准。</w:t>
      </w:r>
    </w:p>
    <w:p w14:paraId="69731CE4">
      <w:pPr>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建设期：</w:t>
      </w:r>
    </w:p>
    <w:p w14:paraId="11F034F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建设期绩效考核表为本方案暂定考核表，在有偿使用协议签订前可根据双方谈判进一步详细约定。</w:t>
      </w:r>
    </w:p>
    <w:p w14:paraId="233F473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运营期：</w:t>
      </w:r>
    </w:p>
    <w:p w14:paraId="09754E3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本项目的运营养护主要是对项目进行检查与观测、日常运营维护，维持、恢复原有工程面貌，以保持工程的设计功能。</w:t>
      </w:r>
    </w:p>
    <w:p w14:paraId="4A395C39">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运维期内，项目实施机构组织实施开展绩效考核，考核采用定期考核和不定期抽查相结合的方式，建议以一年作为一个考核周期，不定期抽查时间不确定，可任意时间段抽查项目实际运行情况，考核现场即时进行考核登记，相关扣分在一个考核周期内累计。每次考核需</w:t>
      </w:r>
      <w:bookmarkStart w:id="60" w:name="bookmark130"/>
      <w:bookmarkEnd w:id="60"/>
      <w:r>
        <w:rPr>
          <w:rFonts w:hint="default" w:ascii="宋体" w:hAnsi="宋体" w:eastAsia="宋体" w:cs="宋体"/>
          <w:color w:val="auto"/>
          <w:szCs w:val="21"/>
          <w:highlight w:val="none"/>
          <w:lang w:val="en-US" w:eastAsia="zh-CN"/>
        </w:rPr>
        <w:t>有偿使用者相关负责人签字确认。</w:t>
      </w:r>
    </w:p>
    <w:p w14:paraId="21538DD8">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highlight w:val="none"/>
          <w:lang w:val="en-US" w:eastAsia="zh-CN"/>
        </w:rPr>
      </w:pPr>
      <w:bookmarkStart w:id="61" w:name="bookmark129"/>
      <w:bookmarkEnd w:id="61"/>
      <w:bookmarkStart w:id="62" w:name="_Toc26526"/>
      <w:bookmarkStart w:id="63" w:name="_Toc10715"/>
      <w:r>
        <w:rPr>
          <w:rFonts w:hint="default" w:ascii="宋体" w:hAnsi="宋体" w:eastAsia="宋体" w:cs="宋体"/>
          <w:color w:val="auto"/>
          <w:szCs w:val="21"/>
          <w:highlight w:val="none"/>
          <w:lang w:val="en-US" w:eastAsia="zh-CN"/>
        </w:rPr>
        <w:t>2.运营期绩效考核系数</w:t>
      </w:r>
      <w:bookmarkEnd w:id="62"/>
      <w:bookmarkEnd w:id="63"/>
    </w:p>
    <w:p w14:paraId="0F2DA251">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运营期有偿使用者运营维护内容、运营期绩效考核标准和评分设置应以有偿使用协议及其补充合同的约定为准。运营期绩效考核评分</w:t>
      </w:r>
    </w:p>
    <w:p w14:paraId="0262F1A3">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计算如下：</w:t>
      </w:r>
    </w:p>
    <w:p w14:paraId="2FAC661E">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每次运营期绩效考核按照有偿使用协议约定进行评分，并根据按照评分表加总进行评分。</w:t>
      </w:r>
    </w:p>
    <w:p w14:paraId="63CC5998">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并按如下方式计算得到绩效考核系数K：</w:t>
      </w:r>
    </w:p>
    <w:p w14:paraId="33EB8F66">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（1）100分&gt;考核期综合绩效考核评分≥80分，则绩效考核系数K为100%；</w:t>
      </w:r>
    </w:p>
    <w:p w14:paraId="67B1504D">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（2）80分&gt;考核期综合绩效考核评分≥60分，则绩效考核系数K=（考核期综合绩效考核评分÷80）×100%；</w:t>
      </w:r>
    </w:p>
    <w:p w14:paraId="7A366485">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（3）考核期综合绩效考核评分&lt;60分的，则当期绩效考核系数K</w:t>
      </w:r>
      <w:bookmarkStart w:id="64" w:name="bookmark132"/>
      <w:bookmarkEnd w:id="64"/>
      <w:r>
        <w:rPr>
          <w:rFonts w:hint="default" w:ascii="宋体" w:hAnsi="宋体" w:eastAsia="宋体" w:cs="宋体"/>
          <w:color w:val="auto"/>
          <w:szCs w:val="21"/>
          <w:highlight w:val="none"/>
          <w:lang w:val="en-US" w:eastAsia="zh-CN"/>
        </w:rPr>
        <w:t>为0%。</w:t>
      </w:r>
    </w:p>
    <w:p w14:paraId="7A93F8DF">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highlight w:val="none"/>
          <w:lang w:val="en-US" w:eastAsia="zh-CN"/>
        </w:rPr>
      </w:pPr>
      <w:bookmarkStart w:id="65" w:name="bookmark131"/>
      <w:bookmarkEnd w:id="65"/>
      <w:bookmarkStart w:id="66" w:name="_Toc5535"/>
      <w:bookmarkStart w:id="67" w:name="_Toc1209"/>
      <w:r>
        <w:rPr>
          <w:rFonts w:hint="default" w:ascii="宋体" w:hAnsi="宋体" w:eastAsia="宋体" w:cs="宋体"/>
          <w:color w:val="auto"/>
          <w:szCs w:val="21"/>
          <w:highlight w:val="none"/>
          <w:lang w:val="en-US" w:eastAsia="zh-CN"/>
        </w:rPr>
        <w:t>3.关于考核标准的调整</w:t>
      </w:r>
      <w:bookmarkEnd w:id="66"/>
      <w:bookmarkEnd w:id="67"/>
    </w:p>
    <w:p w14:paraId="0E777DC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因本项目运营周期较长，达18年之久，期间可能发生经营范围改变、相关标准改变、新工艺出现等不可预测情形发生，为保障运营期考核标准的合理性和公平性，在谈判阶段双方可对本考核方案进行调整，双方同意后执行。有偿使用期间，每三年（新标准导致必须调整的不受时间限制）有偿使用者可提出调整申请，若该调整方案合理，有利于提供更高效、更优质的管理服务的，实施机构应予以准许。</w:t>
      </w:r>
    </w:p>
    <w:p w14:paraId="4A1D4B2B">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default" w:ascii="宋体" w:hAnsi="宋体" w:eastAsia="宋体" w:cs="宋体"/>
          <w:color w:val="auto"/>
          <w:szCs w:val="21"/>
          <w:highlight w:val="none"/>
          <w:lang w:val="en-US" w:eastAsia="zh-CN"/>
        </w:rPr>
      </w:pPr>
      <w:bookmarkStart w:id="68" w:name="bookmark133"/>
      <w:bookmarkEnd w:id="68"/>
      <w:bookmarkStart w:id="69" w:name="bookmark134"/>
      <w:bookmarkEnd w:id="69"/>
      <w:bookmarkStart w:id="70" w:name="_Toc11028"/>
      <w:bookmarkStart w:id="71" w:name="_Toc12296"/>
      <w:r>
        <w:rPr>
          <w:rFonts w:hint="default" w:ascii="宋体" w:hAnsi="宋体" w:eastAsia="宋体" w:cs="宋体"/>
          <w:color w:val="auto"/>
          <w:szCs w:val="21"/>
          <w:highlight w:val="none"/>
          <w:lang w:val="en-US" w:eastAsia="zh-CN"/>
        </w:rPr>
        <w:t>4.运营期绩效考核与项目经营收入</w:t>
      </w:r>
      <w:bookmarkEnd w:id="70"/>
      <w:bookmarkEnd w:id="71"/>
    </w:p>
    <w:p w14:paraId="2F164B1E">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本项目运营期最终绩效考核系数与项目经营收入有关，根据绩效考核结果，实施机构有权从运营期保函中扣减。</w:t>
      </w:r>
    </w:p>
    <w:p w14:paraId="7A45D3F2">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有偿使用者每年运营期保函扣减额=（1-运营期绩效考核系数K）×项目年经营收入×5%。当计算扣减额大于保函金额，保函全额扣除。</w:t>
      </w:r>
    </w:p>
    <w:p w14:paraId="647E8395">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具体的绩效考核指标可根据项目实际情况进行确定和调整，最终按照双方盖章认可的绩效考核标准执行。</w:t>
      </w:r>
    </w:p>
    <w:p w14:paraId="1364F264">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绩效考核异议的处理</w:t>
      </w:r>
    </w:p>
    <w:p w14:paraId="0B198A71">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若有偿使用者对考核结果有异议，可在考核结果出台后的三个工作日内向实施机构提起申诉，由双方共同聘请的第三方机构重新进行考核，第三方机构出具的考核结果为最终结果，聘请第三方机构的费用由有偿使用者承担；对于有偿使用者怠于或延误修复缺陷的，实施机构可根据有偿使用协议相关约定提取有偿使用者提交的运营维护期保函中的相应金额。</w:t>
      </w:r>
    </w:p>
    <w:p w14:paraId="49D78C40">
      <w:pPr>
        <w:pStyle w:val="3"/>
        <w:pageBreakBefore w:val="0"/>
        <w:widowControl w:val="0"/>
        <w:numPr>
          <w:ilvl w:val="0"/>
          <w:numId w:val="4"/>
        </w:numPr>
        <w:kinsoku/>
        <w:wordWrap/>
        <w:overflowPunct/>
        <w:topLinePunct w:val="0"/>
        <w:autoSpaceDE/>
        <w:autoSpaceDN/>
        <w:bidi w:val="0"/>
        <w:adjustRightInd/>
        <w:spacing w:before="0" w:beforeLines="0" w:after="0" w:afterLines="0"/>
        <w:rPr>
          <w:rFonts w:hint="eastAsia" w:cs="宋体"/>
          <w:b/>
          <w:color w:val="auto"/>
          <w:kern w:val="2"/>
          <w:sz w:val="24"/>
          <w:szCs w:val="24"/>
          <w:lang w:val="en-US" w:eastAsia="zh-CN" w:bidi="ar-SA"/>
        </w:rPr>
      </w:pPr>
      <w:r>
        <w:rPr>
          <w:rFonts w:hint="eastAsia" w:cs="宋体"/>
          <w:b/>
          <w:color w:val="auto"/>
          <w:kern w:val="2"/>
          <w:sz w:val="24"/>
          <w:szCs w:val="24"/>
          <w:lang w:val="en-US" w:eastAsia="zh-CN" w:bidi="ar-SA"/>
        </w:rPr>
        <w:t>价格调整机制</w:t>
      </w:r>
    </w:p>
    <w:p w14:paraId="5EDBECA5">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bookmarkStart w:id="72" w:name="_Toc7927"/>
      <w:bookmarkStart w:id="73" w:name="_Toc4348"/>
      <w:r>
        <w:rPr>
          <w:rFonts w:hint="eastAsia" w:ascii="宋体" w:hAnsi="宋体" w:eastAsia="宋体" w:cs="宋体"/>
          <w:color w:val="auto"/>
          <w:szCs w:val="21"/>
          <w:highlight w:val="none"/>
          <w:lang w:val="en-US" w:eastAsia="zh-CN"/>
        </w:rPr>
        <w:t>1.调价机制</w:t>
      </w:r>
      <w:bookmarkEnd w:id="72"/>
      <w:bookmarkEnd w:id="73"/>
    </w:p>
    <w:p w14:paraId="4B5C15E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在运营期内因乙方维护成本增加等原因，乙方可向政府主管部门提出调价申请，最终以调整后价格收取服务费。调价日为调价年的第一个运营日，双方按照调价公式对停车收费标准进行调整，且下一个调价日到达之前，停车收费标准维持上一次确定的价格不变，调价程序如下：</w:t>
      </w:r>
    </w:p>
    <w:p w14:paraId="3B359610">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①乙方应提前向甲方提出调价书面申请；</w:t>
      </w:r>
    </w:p>
    <w:p w14:paraId="0419E56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②甲方收到书面申请后，开始评审调价申请，如无异议，由其报送相关主管部门审批；</w:t>
      </w:r>
    </w:p>
    <w:p w14:paraId="66AC6F10">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③在主管部门审批通过与调整价格确定后，于调价日正式生效。调价公式如下：</w:t>
      </w:r>
    </w:p>
    <w:p w14:paraId="26C5438E">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1"/>
          <w:sz w:val="24"/>
          <w:szCs w:val="24"/>
        </w:rPr>
      </w:pPr>
      <w:r>
        <w:rPr>
          <w:rFonts w:hint="eastAsia" w:ascii="宋体" w:hAnsi="宋体" w:eastAsia="宋体" w:cs="宋体"/>
          <w:color w:val="auto"/>
          <w:szCs w:val="21"/>
          <w:highlight w:val="none"/>
          <w:lang w:val="en-US" w:eastAsia="zh-CN"/>
        </w:rPr>
        <w:t>调价公式综合考虑行业平均工资（S）、居民消费者价格总指数（CPI）、贷款利率（LPR）和其他不影响调价的因素。当调价公式中K的系数介于95%至105%之间时（含等于），即95%＜K≤105%，不予调整，K统一取值为1；当调价公式中K的系数小于等于95%或大于105%时，即K≤95%或K＞105%时，启动调价程序。公式如下：</w:t>
      </w:r>
    </w:p>
    <w:p w14:paraId="7BEB67B9">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drawing>
          <wp:anchor distT="0" distB="0" distL="0" distR="0" simplePos="0" relativeHeight="251666432" behindDoc="0" locked="0" layoutInCell="1" allowOverlap="1">
            <wp:simplePos x="0" y="0"/>
            <wp:positionH relativeFrom="column">
              <wp:posOffset>893445</wp:posOffset>
            </wp:positionH>
            <wp:positionV relativeFrom="paragraph">
              <wp:posOffset>230505</wp:posOffset>
            </wp:positionV>
            <wp:extent cx="3474085" cy="970280"/>
            <wp:effectExtent l="0" t="0" r="12065" b="1270"/>
            <wp:wrapTopAndBottom/>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3474719" cy="970788"/>
                    </a:xfrm>
                    <a:prstGeom prst="rect">
                      <a:avLst/>
                    </a:prstGeom>
                  </pic:spPr>
                </pic:pic>
              </a:graphicData>
            </a:graphic>
          </wp:anchor>
        </w:drawing>
      </w:r>
      <w:r>
        <w:rPr>
          <w:rFonts w:hint="eastAsia" w:ascii="宋体" w:hAnsi="宋体" w:eastAsia="宋体" w:cs="宋体"/>
          <w:color w:val="auto"/>
          <w:szCs w:val="21"/>
          <w:highlight w:val="none"/>
          <w:lang w:val="en-US" w:eastAsia="zh-CN"/>
        </w:rPr>
        <w:t>其中：</w:t>
      </w:r>
    </w:p>
    <w:p w14:paraId="23E2ED7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Pn、Pn+1为执行调价后的第n年、第n+1年的停车收费标准；</w:t>
      </w:r>
    </w:p>
    <w:p w14:paraId="7B8F2231">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C1：为正常运行条件下的人工工资占运营成本的比例；</w:t>
      </w:r>
    </w:p>
    <w:p w14:paraId="2C3BD75F">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C2：为正常运行条件下，除人工以外的其他运营成本占运营成本的比例；</w:t>
      </w:r>
    </w:p>
    <w:p w14:paraId="54C5C27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C3：为其他不影响调价的因素，C3=1－C1－C2；</w:t>
      </w:r>
    </w:p>
    <w:p w14:paraId="65209131">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以上C1-C3各参数，政府方有权于运营期内组织审核，根据各影响因素在单位运营成本中所占比例，重新确定以上C1-C3各参数；</w:t>
      </w:r>
    </w:p>
    <w:p w14:paraId="542F2E2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Sn、S1分别为执行首次定价/调价后的第n年、第1年的新丰县统计局公布的全市在岗职工年平均人工工资；</w:t>
      </w:r>
    </w:p>
    <w:p w14:paraId="43245BE5">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Rn、R1分别为首次定价/执行调价后的第n年、第1年由新丰县统计局公布原材料、燃料和动力购进价格指数，若新丰县统计局没有相关统计数据，则采用广东省统计局或国家统计局公布的同期数据；</w:t>
      </w:r>
    </w:p>
    <w:p w14:paraId="38ADD685">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LPRn、LPR1为在首次定价/执行调价后第n年、第1年的五年期以上LPR（即上次调价年采用的五年期以上LPR与本次调价中国人民银行最新公布的五年期以上LPR）。</w:t>
      </w:r>
    </w:p>
    <w:p w14:paraId="1B355AE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bookmarkStart w:id="74" w:name="_Toc4411"/>
      <w:bookmarkStart w:id="75" w:name="_Toc17986"/>
      <w:r>
        <w:rPr>
          <w:rFonts w:hint="eastAsia" w:ascii="宋体" w:hAnsi="宋体" w:eastAsia="宋体" w:cs="宋体"/>
          <w:color w:val="auto"/>
          <w:szCs w:val="21"/>
          <w:highlight w:val="none"/>
          <w:lang w:val="en-US" w:eastAsia="zh-CN"/>
        </w:rPr>
        <w:t>2.政府定价</w:t>
      </w:r>
      <w:bookmarkEnd w:id="74"/>
      <w:bookmarkEnd w:id="75"/>
    </w:p>
    <w:p w14:paraId="684121C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涉及属于政府定价的收费项目，其收费标准的调整，以政府依法制定并公布的最新标准执行。</w:t>
      </w:r>
    </w:p>
    <w:p w14:paraId="64E4960D">
      <w:pPr>
        <w:numPr>
          <w:ilvl w:val="0"/>
          <w:numId w:val="0"/>
        </w:numPr>
        <w:rPr>
          <w:rFonts w:hint="default"/>
          <w:lang w:val="en-US" w:eastAsia="zh-CN"/>
        </w:rPr>
      </w:pPr>
    </w:p>
    <w:p w14:paraId="741D7FB5">
      <w:pPr>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Cs w:val="21"/>
          <w:highlight w:val="none"/>
          <w:lang w:val="en-US" w:eastAsia="zh-CN"/>
        </w:rPr>
        <w:sectPr>
          <w:type w:val="continuous"/>
          <w:pgSz w:w="11905" w:h="16838"/>
          <w:pgMar w:top="1440" w:right="1803" w:bottom="1440" w:left="1803" w:header="283" w:footer="1077" w:gutter="0"/>
          <w:pgNumType w:fmt="decimal"/>
          <w:cols w:space="0" w:num="1"/>
          <w:rtlGutter w:val="0"/>
          <w:docGrid w:type="lines" w:linePitch="317" w:charSpace="0"/>
        </w:sectPr>
      </w:pPr>
    </w:p>
    <w:tbl>
      <w:tblPr>
        <w:tblStyle w:val="236"/>
        <w:tblW w:w="133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1204"/>
        <w:gridCol w:w="2241"/>
        <w:gridCol w:w="670"/>
        <w:gridCol w:w="3414"/>
        <w:gridCol w:w="4601"/>
      </w:tblGrid>
      <w:tr w14:paraId="314A9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0" w:hRule="atLeast"/>
          <w:tblHeader/>
        </w:trPr>
        <w:tc>
          <w:tcPr>
            <w:tcW w:w="1207" w:type="dxa"/>
            <w:tcBorders>
              <w:tl2br w:val="nil"/>
              <w:tr2bl w:val="nil"/>
            </w:tcBorders>
            <w:vAlign w:val="center"/>
          </w:tcPr>
          <w:p w14:paraId="610E387F">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一级指标</w:t>
            </w:r>
          </w:p>
        </w:tc>
        <w:tc>
          <w:tcPr>
            <w:tcW w:w="1204" w:type="dxa"/>
            <w:tcBorders>
              <w:tl2br w:val="nil"/>
              <w:tr2bl w:val="nil"/>
            </w:tcBorders>
            <w:vAlign w:val="center"/>
          </w:tcPr>
          <w:p w14:paraId="005B613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二级指标</w:t>
            </w:r>
          </w:p>
        </w:tc>
        <w:tc>
          <w:tcPr>
            <w:tcW w:w="2241" w:type="dxa"/>
            <w:tcBorders>
              <w:tl2br w:val="nil"/>
              <w:tr2bl w:val="nil"/>
            </w:tcBorders>
            <w:vAlign w:val="center"/>
          </w:tcPr>
          <w:p w14:paraId="0F1B16F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三级指标</w:t>
            </w:r>
          </w:p>
        </w:tc>
        <w:tc>
          <w:tcPr>
            <w:tcW w:w="670" w:type="dxa"/>
            <w:tcBorders>
              <w:tl2br w:val="nil"/>
              <w:tr2bl w:val="nil"/>
            </w:tcBorders>
            <w:vAlign w:val="center"/>
          </w:tcPr>
          <w:p w14:paraId="76F2692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分值</w:t>
            </w:r>
          </w:p>
        </w:tc>
        <w:tc>
          <w:tcPr>
            <w:tcW w:w="3414" w:type="dxa"/>
            <w:tcBorders>
              <w:tl2br w:val="nil"/>
              <w:tr2bl w:val="nil"/>
            </w:tcBorders>
            <w:vAlign w:val="center"/>
          </w:tcPr>
          <w:p w14:paraId="01BD531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指标解释</w:t>
            </w:r>
          </w:p>
        </w:tc>
        <w:tc>
          <w:tcPr>
            <w:tcW w:w="4601" w:type="dxa"/>
            <w:tcBorders>
              <w:tl2br w:val="nil"/>
              <w:tr2bl w:val="nil"/>
            </w:tcBorders>
            <w:vAlign w:val="center"/>
          </w:tcPr>
          <w:p w14:paraId="4301A18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评价标准</w:t>
            </w:r>
          </w:p>
        </w:tc>
      </w:tr>
      <w:tr w14:paraId="5ECA4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0" w:hRule="atLeast"/>
        </w:trPr>
        <w:tc>
          <w:tcPr>
            <w:tcW w:w="1207" w:type="dxa"/>
            <w:vMerge w:val="restart"/>
            <w:tcBorders>
              <w:tl2br w:val="nil"/>
              <w:tr2bl w:val="nil"/>
            </w:tcBorders>
            <w:vAlign w:val="center"/>
          </w:tcPr>
          <w:p w14:paraId="71CAFFF5">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产出</w:t>
            </w:r>
          </w:p>
        </w:tc>
        <w:tc>
          <w:tcPr>
            <w:tcW w:w="1204" w:type="dxa"/>
            <w:vMerge w:val="restart"/>
            <w:tcBorders>
              <w:tl2br w:val="nil"/>
              <w:tr2bl w:val="nil"/>
            </w:tcBorders>
            <w:vAlign w:val="center"/>
          </w:tcPr>
          <w:p w14:paraId="408C436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项目运营维护</w:t>
            </w:r>
          </w:p>
        </w:tc>
        <w:tc>
          <w:tcPr>
            <w:tcW w:w="2241" w:type="dxa"/>
            <w:tcBorders>
              <w:tl2br w:val="nil"/>
              <w:tr2bl w:val="nil"/>
            </w:tcBorders>
            <w:vAlign w:val="center"/>
          </w:tcPr>
          <w:p w14:paraId="225E08A0">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停车位标线</w:t>
            </w:r>
          </w:p>
        </w:tc>
        <w:tc>
          <w:tcPr>
            <w:tcW w:w="670" w:type="dxa"/>
            <w:tcBorders>
              <w:tl2br w:val="nil"/>
              <w:tr2bl w:val="nil"/>
            </w:tcBorders>
            <w:vAlign w:val="center"/>
          </w:tcPr>
          <w:p w14:paraId="4714B09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lang w:val="en-US" w:eastAsia="zh-CN"/>
              </w:rPr>
              <w:t>5</w:t>
            </w:r>
          </w:p>
        </w:tc>
        <w:tc>
          <w:tcPr>
            <w:tcW w:w="3414" w:type="dxa"/>
            <w:tcBorders>
              <w:tl2br w:val="nil"/>
              <w:tr2bl w:val="nil"/>
            </w:tcBorders>
            <w:vAlign w:val="center"/>
          </w:tcPr>
          <w:p w14:paraId="18F64935">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停车位标线清晰</w:t>
            </w:r>
          </w:p>
        </w:tc>
        <w:tc>
          <w:tcPr>
            <w:tcW w:w="4601" w:type="dxa"/>
            <w:tcBorders>
              <w:tl2br w:val="nil"/>
              <w:tr2bl w:val="nil"/>
            </w:tcBorders>
            <w:vAlign w:val="center"/>
          </w:tcPr>
          <w:p w14:paraId="6E239642">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每有一处停车位标线不清晰，扣0.5分</w:t>
            </w:r>
            <w:r>
              <w:rPr>
                <w:rFonts w:hint="eastAsia" w:ascii="宋体" w:hAnsi="宋体" w:eastAsia="宋体" w:cs="宋体"/>
                <w:spacing w:val="6"/>
                <w:sz w:val="20"/>
                <w:szCs w:val="20"/>
                <w:lang w:eastAsia="zh-CN"/>
              </w:rPr>
              <w:t>。</w:t>
            </w:r>
          </w:p>
        </w:tc>
      </w:tr>
      <w:tr w14:paraId="2230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0" w:hRule="atLeast"/>
        </w:trPr>
        <w:tc>
          <w:tcPr>
            <w:tcW w:w="1207" w:type="dxa"/>
            <w:vMerge w:val="continue"/>
            <w:tcBorders>
              <w:tl2br w:val="nil"/>
              <w:tr2bl w:val="nil"/>
            </w:tcBorders>
            <w:vAlign w:val="center"/>
          </w:tcPr>
          <w:p w14:paraId="67C8EBE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7A4FF99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3CC83C8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设备运行</w:t>
            </w:r>
          </w:p>
        </w:tc>
        <w:tc>
          <w:tcPr>
            <w:tcW w:w="670" w:type="dxa"/>
            <w:tcBorders>
              <w:tl2br w:val="nil"/>
              <w:tr2bl w:val="nil"/>
            </w:tcBorders>
            <w:vAlign w:val="center"/>
          </w:tcPr>
          <w:p w14:paraId="043E84F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lang w:val="en-US" w:eastAsia="zh-CN"/>
              </w:rPr>
              <w:t>5</w:t>
            </w:r>
          </w:p>
        </w:tc>
        <w:tc>
          <w:tcPr>
            <w:tcW w:w="3414" w:type="dxa"/>
            <w:tcBorders>
              <w:tl2br w:val="nil"/>
              <w:tr2bl w:val="nil"/>
            </w:tcBorders>
            <w:vAlign w:val="center"/>
          </w:tcPr>
          <w:p w14:paraId="5B710C8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设备正常运行</w:t>
            </w:r>
          </w:p>
        </w:tc>
        <w:tc>
          <w:tcPr>
            <w:tcW w:w="4601" w:type="dxa"/>
            <w:tcBorders>
              <w:tl2br w:val="nil"/>
              <w:tr2bl w:val="nil"/>
            </w:tcBorders>
            <w:vAlign w:val="center"/>
          </w:tcPr>
          <w:p w14:paraId="78D1EBE4">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设备每出现一次故障，扣</w:t>
            </w:r>
            <w:r>
              <w:rPr>
                <w:rFonts w:hint="eastAsia" w:ascii="宋体" w:hAnsi="宋体" w:eastAsia="宋体" w:cs="宋体"/>
                <w:spacing w:val="6"/>
                <w:sz w:val="20"/>
                <w:szCs w:val="20"/>
                <w:lang w:val="en-US" w:eastAsia="zh-CN"/>
              </w:rPr>
              <w:t>0.5</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r w14:paraId="4B6B4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34" w:hRule="atLeast"/>
        </w:trPr>
        <w:tc>
          <w:tcPr>
            <w:tcW w:w="1207" w:type="dxa"/>
            <w:vMerge w:val="restart"/>
            <w:tcBorders>
              <w:tl2br w:val="nil"/>
              <w:tr2bl w:val="nil"/>
            </w:tcBorders>
            <w:vAlign w:val="center"/>
          </w:tcPr>
          <w:p w14:paraId="5B2AF3E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管理</w:t>
            </w:r>
          </w:p>
        </w:tc>
        <w:tc>
          <w:tcPr>
            <w:tcW w:w="1204" w:type="dxa"/>
            <w:vMerge w:val="continue"/>
            <w:tcBorders>
              <w:tl2br w:val="nil"/>
              <w:tr2bl w:val="nil"/>
            </w:tcBorders>
            <w:vAlign w:val="center"/>
          </w:tcPr>
          <w:p w14:paraId="16BF9206">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0E406824">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安全规程、培训</w:t>
            </w:r>
          </w:p>
        </w:tc>
        <w:tc>
          <w:tcPr>
            <w:tcW w:w="670" w:type="dxa"/>
            <w:tcBorders>
              <w:tl2br w:val="nil"/>
              <w:tr2bl w:val="nil"/>
            </w:tcBorders>
            <w:vAlign w:val="center"/>
          </w:tcPr>
          <w:p w14:paraId="732CB66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default"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10</w:t>
            </w:r>
          </w:p>
        </w:tc>
        <w:tc>
          <w:tcPr>
            <w:tcW w:w="3414" w:type="dxa"/>
            <w:tcBorders>
              <w:tl2br w:val="nil"/>
              <w:tr2bl w:val="nil"/>
            </w:tcBorders>
            <w:vAlign w:val="center"/>
          </w:tcPr>
          <w:p w14:paraId="0690ED92">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操纵规程齐全，定期进行安全培训</w:t>
            </w:r>
          </w:p>
        </w:tc>
        <w:tc>
          <w:tcPr>
            <w:tcW w:w="4601" w:type="dxa"/>
            <w:tcBorders>
              <w:tl2br w:val="nil"/>
              <w:tr2bl w:val="nil"/>
            </w:tcBorders>
            <w:vAlign w:val="center"/>
          </w:tcPr>
          <w:p w14:paraId="3817335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无安全规程及培训，扣</w:t>
            </w:r>
            <w:r>
              <w:rPr>
                <w:rFonts w:hint="eastAsia" w:ascii="宋体" w:hAnsi="宋体" w:eastAsia="宋体" w:cs="宋体"/>
                <w:spacing w:val="6"/>
                <w:sz w:val="20"/>
                <w:szCs w:val="20"/>
                <w:lang w:val="en-US" w:eastAsia="zh-CN"/>
              </w:rPr>
              <w:t>10</w:t>
            </w:r>
            <w:r>
              <w:rPr>
                <w:rFonts w:hint="eastAsia" w:ascii="宋体" w:hAnsi="宋体" w:eastAsia="宋体" w:cs="宋体"/>
                <w:spacing w:val="6"/>
                <w:sz w:val="20"/>
                <w:szCs w:val="20"/>
              </w:rPr>
              <w:t>分。</w:t>
            </w:r>
          </w:p>
          <w:p w14:paraId="1E97FC3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安全规程、培训较不完善，扣</w:t>
            </w:r>
            <w:r>
              <w:rPr>
                <w:rFonts w:hint="eastAsia" w:ascii="宋体" w:hAnsi="宋体" w:eastAsia="宋体" w:cs="宋体"/>
                <w:spacing w:val="6"/>
                <w:sz w:val="20"/>
                <w:szCs w:val="20"/>
                <w:lang w:val="en-US" w:eastAsia="zh-CN"/>
              </w:rPr>
              <w:t>5</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r w14:paraId="749CF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34" w:hRule="atLeast"/>
        </w:trPr>
        <w:tc>
          <w:tcPr>
            <w:tcW w:w="1207" w:type="dxa"/>
            <w:vMerge w:val="continue"/>
            <w:tcBorders>
              <w:tl2br w:val="nil"/>
              <w:tr2bl w:val="nil"/>
            </w:tcBorders>
            <w:vAlign w:val="center"/>
          </w:tcPr>
          <w:p w14:paraId="3F2251F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restart"/>
            <w:tcBorders>
              <w:tl2br w:val="nil"/>
              <w:tr2bl w:val="nil"/>
            </w:tcBorders>
            <w:vAlign w:val="center"/>
          </w:tcPr>
          <w:p w14:paraId="16ECE7C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安全保障</w:t>
            </w:r>
          </w:p>
        </w:tc>
        <w:tc>
          <w:tcPr>
            <w:tcW w:w="2241" w:type="dxa"/>
            <w:tcBorders>
              <w:tl2br w:val="nil"/>
              <w:tr2bl w:val="nil"/>
            </w:tcBorders>
            <w:vAlign w:val="center"/>
          </w:tcPr>
          <w:p w14:paraId="31AAFCA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应急预案</w:t>
            </w:r>
          </w:p>
        </w:tc>
        <w:tc>
          <w:tcPr>
            <w:tcW w:w="670" w:type="dxa"/>
            <w:tcBorders>
              <w:tl2br w:val="nil"/>
              <w:tr2bl w:val="nil"/>
            </w:tcBorders>
            <w:vAlign w:val="center"/>
          </w:tcPr>
          <w:p w14:paraId="29A55EF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5</w:t>
            </w:r>
          </w:p>
        </w:tc>
        <w:tc>
          <w:tcPr>
            <w:tcW w:w="3414" w:type="dxa"/>
            <w:tcBorders>
              <w:tl2br w:val="nil"/>
              <w:tr2bl w:val="nil"/>
            </w:tcBorders>
            <w:vAlign w:val="center"/>
          </w:tcPr>
          <w:p w14:paraId="412E4685">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建立完善的应急预案，并定时演练。</w:t>
            </w:r>
          </w:p>
        </w:tc>
        <w:tc>
          <w:tcPr>
            <w:tcW w:w="4601" w:type="dxa"/>
            <w:tcBorders>
              <w:tl2br w:val="nil"/>
              <w:tr2bl w:val="nil"/>
            </w:tcBorders>
            <w:vAlign w:val="center"/>
          </w:tcPr>
          <w:p w14:paraId="140ECEE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没有应急预案，扣5分。</w:t>
            </w:r>
          </w:p>
          <w:p w14:paraId="210D6BD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有应急预案，但实际指导意义不大，扣2分</w:t>
            </w:r>
            <w:r>
              <w:rPr>
                <w:rFonts w:hint="eastAsia" w:ascii="宋体" w:hAnsi="宋体" w:eastAsia="宋体" w:cs="宋体"/>
                <w:spacing w:val="6"/>
                <w:sz w:val="20"/>
                <w:szCs w:val="20"/>
                <w:lang w:eastAsia="zh-CN"/>
              </w:rPr>
              <w:t>。</w:t>
            </w:r>
          </w:p>
        </w:tc>
      </w:tr>
      <w:tr w14:paraId="31C0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34" w:hRule="atLeast"/>
        </w:trPr>
        <w:tc>
          <w:tcPr>
            <w:tcW w:w="1207" w:type="dxa"/>
            <w:vMerge w:val="continue"/>
            <w:tcBorders>
              <w:tl2br w:val="nil"/>
              <w:tr2bl w:val="nil"/>
            </w:tcBorders>
            <w:vAlign w:val="center"/>
          </w:tcPr>
          <w:p w14:paraId="08F968C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68257CC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1A17B94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安全管理</w:t>
            </w:r>
          </w:p>
        </w:tc>
        <w:tc>
          <w:tcPr>
            <w:tcW w:w="670" w:type="dxa"/>
            <w:tcBorders>
              <w:tl2br w:val="nil"/>
              <w:tr2bl w:val="nil"/>
            </w:tcBorders>
            <w:vAlign w:val="center"/>
          </w:tcPr>
          <w:p w14:paraId="2BA8D9E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5</w:t>
            </w:r>
          </w:p>
        </w:tc>
        <w:tc>
          <w:tcPr>
            <w:tcW w:w="3414" w:type="dxa"/>
            <w:tcBorders>
              <w:tl2br w:val="nil"/>
              <w:tr2bl w:val="nil"/>
            </w:tcBorders>
            <w:vAlign w:val="center"/>
          </w:tcPr>
          <w:p w14:paraId="2E796F6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各类设施运营安全管理保障到位。</w:t>
            </w:r>
          </w:p>
        </w:tc>
        <w:tc>
          <w:tcPr>
            <w:tcW w:w="4601" w:type="dxa"/>
            <w:tcBorders>
              <w:tl2br w:val="nil"/>
              <w:tr2bl w:val="nil"/>
            </w:tcBorders>
            <w:vAlign w:val="center"/>
          </w:tcPr>
          <w:p w14:paraId="05BC0DBE">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无安全管理制度和措施，扣5分。</w:t>
            </w:r>
          </w:p>
          <w:p w14:paraId="0131ADE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安全管理制度和措施不齐备，扣2分；</w:t>
            </w:r>
          </w:p>
        </w:tc>
      </w:tr>
      <w:tr w14:paraId="61C5B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87" w:hRule="atLeast"/>
        </w:trPr>
        <w:tc>
          <w:tcPr>
            <w:tcW w:w="1207" w:type="dxa"/>
            <w:vMerge w:val="continue"/>
            <w:tcBorders>
              <w:tl2br w:val="nil"/>
              <w:tr2bl w:val="nil"/>
            </w:tcBorders>
            <w:vAlign w:val="center"/>
          </w:tcPr>
          <w:p w14:paraId="45CBA46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076A76EF">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6CE9903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安全责任事故</w:t>
            </w:r>
          </w:p>
        </w:tc>
        <w:tc>
          <w:tcPr>
            <w:tcW w:w="670" w:type="dxa"/>
            <w:tcBorders>
              <w:tl2br w:val="nil"/>
              <w:tr2bl w:val="nil"/>
            </w:tcBorders>
            <w:vAlign w:val="center"/>
          </w:tcPr>
          <w:p w14:paraId="2128268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default"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20</w:t>
            </w:r>
          </w:p>
        </w:tc>
        <w:tc>
          <w:tcPr>
            <w:tcW w:w="3414" w:type="dxa"/>
            <w:tcBorders>
              <w:tl2br w:val="nil"/>
              <w:tr2bl w:val="nil"/>
            </w:tcBorders>
            <w:vAlign w:val="center"/>
          </w:tcPr>
          <w:p w14:paraId="206250A6">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安全责任事故。</w:t>
            </w:r>
          </w:p>
        </w:tc>
        <w:tc>
          <w:tcPr>
            <w:tcW w:w="4601" w:type="dxa"/>
            <w:tcBorders>
              <w:tl2br w:val="nil"/>
              <w:tr2bl w:val="nil"/>
            </w:tcBorders>
            <w:vAlign w:val="center"/>
          </w:tcPr>
          <w:p w14:paraId="406CC33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每发生一起因管理者存在过错或者责任造成的重大或特别重大安全事故，扣</w:t>
            </w:r>
            <w:r>
              <w:rPr>
                <w:rFonts w:hint="eastAsia" w:ascii="宋体" w:hAnsi="宋体" w:eastAsia="宋体" w:cs="宋体"/>
                <w:spacing w:val="6"/>
                <w:sz w:val="20"/>
                <w:szCs w:val="20"/>
                <w:lang w:val="en-US" w:eastAsia="zh-CN"/>
              </w:rPr>
              <w:t>10</w:t>
            </w:r>
            <w:r>
              <w:rPr>
                <w:rFonts w:hint="eastAsia" w:ascii="宋体" w:hAnsi="宋体" w:eastAsia="宋体" w:cs="宋体"/>
                <w:spacing w:val="6"/>
                <w:sz w:val="20"/>
                <w:szCs w:val="20"/>
              </w:rPr>
              <w:t>分。</w:t>
            </w:r>
          </w:p>
        </w:tc>
      </w:tr>
      <w:tr w14:paraId="3C42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87" w:hRule="atLeast"/>
        </w:trPr>
        <w:tc>
          <w:tcPr>
            <w:tcW w:w="1207" w:type="dxa"/>
            <w:vMerge w:val="continue"/>
            <w:tcBorders>
              <w:tl2br w:val="nil"/>
              <w:tr2bl w:val="nil"/>
            </w:tcBorders>
            <w:vAlign w:val="center"/>
          </w:tcPr>
          <w:p w14:paraId="58CB1B7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6F4D780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5C3A549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舆情影响</w:t>
            </w:r>
          </w:p>
        </w:tc>
        <w:tc>
          <w:tcPr>
            <w:tcW w:w="670" w:type="dxa"/>
            <w:tcBorders>
              <w:tl2br w:val="nil"/>
              <w:tr2bl w:val="nil"/>
            </w:tcBorders>
            <w:vAlign w:val="center"/>
          </w:tcPr>
          <w:p w14:paraId="298AACB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default"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20</w:t>
            </w:r>
          </w:p>
        </w:tc>
        <w:tc>
          <w:tcPr>
            <w:tcW w:w="3414" w:type="dxa"/>
            <w:tcBorders>
              <w:tl2br w:val="nil"/>
              <w:tr2bl w:val="nil"/>
            </w:tcBorders>
            <w:vAlign w:val="center"/>
          </w:tcPr>
          <w:p w14:paraId="19A5216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运营期内，因项目而引起的重大诉讼、公众舆情与群体性事件等。</w:t>
            </w:r>
          </w:p>
        </w:tc>
        <w:tc>
          <w:tcPr>
            <w:tcW w:w="4601" w:type="dxa"/>
            <w:tcBorders>
              <w:tl2br w:val="nil"/>
              <w:tr2bl w:val="nil"/>
            </w:tcBorders>
            <w:vAlign w:val="center"/>
          </w:tcPr>
          <w:p w14:paraId="5FACE851">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每发生一起重大或特别重大群体性事件，扣</w:t>
            </w:r>
            <w:r>
              <w:rPr>
                <w:rFonts w:hint="eastAsia" w:ascii="宋体" w:hAnsi="宋体" w:eastAsia="宋体" w:cs="宋体"/>
                <w:spacing w:val="6"/>
                <w:sz w:val="20"/>
                <w:szCs w:val="20"/>
                <w:lang w:val="en-US" w:eastAsia="zh-CN"/>
              </w:rPr>
              <w:t>10</w:t>
            </w:r>
            <w:r>
              <w:rPr>
                <w:rFonts w:hint="eastAsia" w:ascii="宋体" w:hAnsi="宋体" w:eastAsia="宋体" w:cs="宋体"/>
                <w:spacing w:val="6"/>
                <w:sz w:val="20"/>
                <w:szCs w:val="20"/>
              </w:rPr>
              <w:t>分。</w:t>
            </w:r>
          </w:p>
        </w:tc>
      </w:tr>
      <w:tr w14:paraId="09892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0" w:hRule="atLeast"/>
        </w:trPr>
        <w:tc>
          <w:tcPr>
            <w:tcW w:w="1207" w:type="dxa"/>
            <w:vMerge w:val="continue"/>
            <w:tcBorders>
              <w:tl2br w:val="nil"/>
              <w:tr2bl w:val="nil"/>
            </w:tcBorders>
            <w:vAlign w:val="center"/>
          </w:tcPr>
          <w:p w14:paraId="7B188C0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restart"/>
            <w:tcBorders>
              <w:tl2br w:val="nil"/>
              <w:tr2bl w:val="nil"/>
            </w:tcBorders>
            <w:vAlign w:val="center"/>
          </w:tcPr>
          <w:p w14:paraId="05AC64B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组织管理</w:t>
            </w:r>
          </w:p>
        </w:tc>
        <w:tc>
          <w:tcPr>
            <w:tcW w:w="2241" w:type="dxa"/>
            <w:tcBorders>
              <w:tl2br w:val="nil"/>
              <w:tr2bl w:val="nil"/>
            </w:tcBorders>
            <w:vAlign w:val="center"/>
          </w:tcPr>
          <w:p w14:paraId="46DC462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收费规范</w:t>
            </w:r>
          </w:p>
        </w:tc>
        <w:tc>
          <w:tcPr>
            <w:tcW w:w="670" w:type="dxa"/>
            <w:tcBorders>
              <w:tl2br w:val="nil"/>
              <w:tr2bl w:val="nil"/>
            </w:tcBorders>
            <w:vAlign w:val="center"/>
          </w:tcPr>
          <w:p w14:paraId="68A0C7A1">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lang w:val="en-US" w:eastAsia="zh-CN"/>
              </w:rPr>
              <w:t>5</w:t>
            </w:r>
          </w:p>
        </w:tc>
        <w:tc>
          <w:tcPr>
            <w:tcW w:w="3414" w:type="dxa"/>
            <w:tcBorders>
              <w:tl2br w:val="nil"/>
              <w:tr2bl w:val="nil"/>
            </w:tcBorders>
            <w:vAlign w:val="center"/>
          </w:tcPr>
          <w:p w14:paraId="298FD6C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收费管理规范。</w:t>
            </w:r>
          </w:p>
        </w:tc>
        <w:tc>
          <w:tcPr>
            <w:tcW w:w="4601" w:type="dxa"/>
            <w:tcBorders>
              <w:tl2br w:val="nil"/>
              <w:tr2bl w:val="nil"/>
            </w:tcBorders>
            <w:vAlign w:val="center"/>
          </w:tcPr>
          <w:p w14:paraId="6519E5B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每发生一起违规收费行为，扣</w:t>
            </w:r>
            <w:r>
              <w:rPr>
                <w:rFonts w:hint="eastAsia" w:ascii="宋体" w:hAnsi="宋体" w:eastAsia="宋体" w:cs="宋体"/>
                <w:spacing w:val="6"/>
                <w:sz w:val="20"/>
                <w:szCs w:val="20"/>
                <w:lang w:val="en-US" w:eastAsia="zh-CN"/>
              </w:rPr>
              <w:t>0.5</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r w14:paraId="1987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70" w:hRule="atLeast"/>
        </w:trPr>
        <w:tc>
          <w:tcPr>
            <w:tcW w:w="1207" w:type="dxa"/>
            <w:vMerge w:val="continue"/>
            <w:tcBorders>
              <w:tl2br w:val="nil"/>
              <w:tr2bl w:val="nil"/>
            </w:tcBorders>
            <w:vAlign w:val="center"/>
          </w:tcPr>
          <w:p w14:paraId="614B8B7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4998E7CB">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587A1220">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信息公开</w:t>
            </w:r>
          </w:p>
        </w:tc>
        <w:tc>
          <w:tcPr>
            <w:tcW w:w="670" w:type="dxa"/>
            <w:tcBorders>
              <w:tl2br w:val="nil"/>
              <w:tr2bl w:val="nil"/>
            </w:tcBorders>
            <w:vAlign w:val="center"/>
          </w:tcPr>
          <w:p w14:paraId="37AAB9C0">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lang w:val="en-US" w:eastAsia="zh-CN"/>
              </w:rPr>
              <w:t>5</w:t>
            </w:r>
          </w:p>
        </w:tc>
        <w:tc>
          <w:tcPr>
            <w:tcW w:w="3414" w:type="dxa"/>
            <w:tcBorders>
              <w:tl2br w:val="nil"/>
              <w:tr2bl w:val="nil"/>
            </w:tcBorders>
            <w:vAlign w:val="center"/>
          </w:tcPr>
          <w:p w14:paraId="29748BEE">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有收费标准公开信息</w:t>
            </w:r>
          </w:p>
        </w:tc>
        <w:tc>
          <w:tcPr>
            <w:tcW w:w="4601" w:type="dxa"/>
            <w:tcBorders>
              <w:tl2br w:val="nil"/>
              <w:tr2bl w:val="nil"/>
            </w:tcBorders>
            <w:vAlign w:val="center"/>
          </w:tcPr>
          <w:p w14:paraId="1C4CC4A7">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收费标准每缺失一处，扣</w:t>
            </w:r>
            <w:r>
              <w:rPr>
                <w:rFonts w:hint="eastAsia" w:ascii="宋体" w:hAnsi="宋体" w:eastAsia="宋体" w:cs="宋体"/>
                <w:spacing w:val="6"/>
                <w:sz w:val="20"/>
                <w:szCs w:val="20"/>
                <w:lang w:val="en-US" w:eastAsia="zh-CN"/>
              </w:rPr>
              <w:t>0.5</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r w14:paraId="2E6EB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753" w:hRule="atLeast"/>
        </w:trPr>
        <w:tc>
          <w:tcPr>
            <w:tcW w:w="1207" w:type="dxa"/>
            <w:vMerge w:val="continue"/>
            <w:tcBorders>
              <w:tl2br w:val="nil"/>
              <w:tr2bl w:val="nil"/>
            </w:tcBorders>
            <w:vAlign w:val="center"/>
          </w:tcPr>
          <w:p w14:paraId="62C0D4B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vMerge w:val="continue"/>
            <w:tcBorders>
              <w:tl2br w:val="nil"/>
              <w:tr2bl w:val="nil"/>
            </w:tcBorders>
            <w:vAlign w:val="center"/>
          </w:tcPr>
          <w:p w14:paraId="16EAF2B7">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4C87994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人员配备</w:t>
            </w:r>
          </w:p>
        </w:tc>
        <w:tc>
          <w:tcPr>
            <w:tcW w:w="670" w:type="dxa"/>
            <w:tcBorders>
              <w:tl2br w:val="nil"/>
              <w:tr2bl w:val="nil"/>
            </w:tcBorders>
            <w:vAlign w:val="center"/>
          </w:tcPr>
          <w:p w14:paraId="7FF3D89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5</w:t>
            </w:r>
          </w:p>
        </w:tc>
        <w:tc>
          <w:tcPr>
            <w:tcW w:w="3414" w:type="dxa"/>
            <w:tcBorders>
              <w:tl2br w:val="nil"/>
              <w:tr2bl w:val="nil"/>
            </w:tcBorders>
            <w:vAlign w:val="center"/>
          </w:tcPr>
          <w:p w14:paraId="0CDD8A31">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具备相应的专业技能和具有相应的岗位证书的专人负责项目日常运行和维护工作；</w:t>
            </w:r>
          </w:p>
        </w:tc>
        <w:tc>
          <w:tcPr>
            <w:tcW w:w="4601" w:type="dxa"/>
            <w:tcBorders>
              <w:tl2br w:val="nil"/>
              <w:tr2bl w:val="nil"/>
            </w:tcBorders>
            <w:vAlign w:val="center"/>
          </w:tcPr>
          <w:p w14:paraId="42248FA9">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无专人或不符合要求，得0分。</w:t>
            </w:r>
          </w:p>
          <w:p w14:paraId="2AF0F8C7">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有项目设备投入和售后设置专人跟进维护，但每次维护不到位扣1分</w:t>
            </w:r>
            <w:r>
              <w:rPr>
                <w:rFonts w:hint="eastAsia" w:ascii="宋体" w:hAnsi="宋体" w:eastAsia="宋体" w:cs="宋体"/>
                <w:spacing w:val="6"/>
                <w:sz w:val="20"/>
                <w:szCs w:val="20"/>
                <w:lang w:eastAsia="zh-CN"/>
              </w:rPr>
              <w:t>。</w:t>
            </w:r>
          </w:p>
        </w:tc>
      </w:tr>
      <w:tr w14:paraId="4FB66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575" w:hRule="atLeast"/>
        </w:trPr>
        <w:tc>
          <w:tcPr>
            <w:tcW w:w="1207" w:type="dxa"/>
            <w:vMerge w:val="continue"/>
            <w:tcBorders>
              <w:tl2br w:val="nil"/>
              <w:tr2bl w:val="nil"/>
            </w:tcBorders>
            <w:vAlign w:val="center"/>
          </w:tcPr>
          <w:p w14:paraId="1658439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tcBorders>
              <w:tl2br w:val="nil"/>
              <w:tr2bl w:val="nil"/>
            </w:tcBorders>
            <w:vAlign w:val="center"/>
          </w:tcPr>
          <w:p w14:paraId="2AD277C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2241" w:type="dxa"/>
            <w:tcBorders>
              <w:tl2br w:val="nil"/>
              <w:tr2bl w:val="nil"/>
            </w:tcBorders>
            <w:vAlign w:val="center"/>
          </w:tcPr>
          <w:p w14:paraId="54675886">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财务管理</w:t>
            </w:r>
          </w:p>
        </w:tc>
        <w:tc>
          <w:tcPr>
            <w:tcW w:w="670" w:type="dxa"/>
            <w:tcBorders>
              <w:tl2br w:val="nil"/>
              <w:tr2bl w:val="nil"/>
            </w:tcBorders>
            <w:vAlign w:val="center"/>
          </w:tcPr>
          <w:p w14:paraId="726E9B60">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lang w:val="en-US" w:eastAsia="zh-CN"/>
              </w:rPr>
              <w:t>5</w:t>
            </w:r>
          </w:p>
        </w:tc>
        <w:tc>
          <w:tcPr>
            <w:tcW w:w="3414" w:type="dxa"/>
            <w:tcBorders>
              <w:tl2br w:val="nil"/>
              <w:tr2bl w:val="nil"/>
            </w:tcBorders>
            <w:vAlign w:val="center"/>
          </w:tcPr>
          <w:p w14:paraId="4FB0D592">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评价项目资金管理、会计核算等财务管理内容的合规性。</w:t>
            </w:r>
          </w:p>
        </w:tc>
        <w:tc>
          <w:tcPr>
            <w:tcW w:w="4601" w:type="dxa"/>
            <w:tcBorders>
              <w:tl2br w:val="nil"/>
              <w:tr2bl w:val="nil"/>
            </w:tcBorders>
            <w:vAlign w:val="center"/>
          </w:tcPr>
          <w:p w14:paraId="1A58F867">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1、不符合财政法规和财务管理制度规定扣</w:t>
            </w:r>
            <w:r>
              <w:rPr>
                <w:rFonts w:hint="eastAsia" w:ascii="宋体" w:hAnsi="宋体" w:eastAsia="宋体" w:cs="宋体"/>
                <w:spacing w:val="6"/>
                <w:sz w:val="20"/>
                <w:szCs w:val="20"/>
                <w:lang w:val="en-US" w:eastAsia="zh-CN"/>
              </w:rPr>
              <w:t>1</w:t>
            </w:r>
            <w:r>
              <w:rPr>
                <w:rFonts w:hint="eastAsia" w:ascii="宋体" w:hAnsi="宋体" w:eastAsia="宋体" w:cs="宋体"/>
                <w:spacing w:val="6"/>
                <w:sz w:val="20"/>
                <w:szCs w:val="20"/>
              </w:rPr>
              <w:t>分；2、信息不真实：未根据实际发生的经济业务进行真实、准确登记情况扣</w:t>
            </w:r>
            <w:r>
              <w:rPr>
                <w:rFonts w:hint="eastAsia" w:ascii="宋体" w:hAnsi="宋体" w:eastAsia="宋体" w:cs="宋体"/>
                <w:spacing w:val="6"/>
                <w:sz w:val="20"/>
                <w:szCs w:val="20"/>
                <w:lang w:val="en-US" w:eastAsia="zh-CN"/>
              </w:rPr>
              <w:t>1</w:t>
            </w:r>
            <w:r>
              <w:rPr>
                <w:rFonts w:hint="eastAsia" w:ascii="宋体" w:hAnsi="宋体" w:eastAsia="宋体" w:cs="宋体"/>
                <w:spacing w:val="6"/>
                <w:sz w:val="20"/>
                <w:szCs w:val="20"/>
              </w:rPr>
              <w:t>分；3、信息不完整：资金收入、支出、资产等财务资料未能及时、完整扣</w:t>
            </w:r>
            <w:r>
              <w:rPr>
                <w:rFonts w:hint="eastAsia" w:ascii="宋体" w:hAnsi="宋体" w:eastAsia="宋体" w:cs="宋体"/>
                <w:spacing w:val="6"/>
                <w:sz w:val="20"/>
                <w:szCs w:val="20"/>
                <w:lang w:val="en-US" w:eastAsia="zh-CN"/>
              </w:rPr>
              <w:t>1</w:t>
            </w:r>
            <w:r>
              <w:rPr>
                <w:rFonts w:hint="eastAsia" w:ascii="宋体" w:hAnsi="宋体" w:eastAsia="宋体" w:cs="宋体"/>
                <w:spacing w:val="6"/>
                <w:sz w:val="20"/>
                <w:szCs w:val="20"/>
              </w:rPr>
              <w:t>分；4、制度不健全：资金管理和财务制度不完整、合法扣</w:t>
            </w:r>
            <w:r>
              <w:rPr>
                <w:rFonts w:hint="eastAsia" w:ascii="宋体" w:hAnsi="宋体" w:eastAsia="宋体" w:cs="宋体"/>
                <w:spacing w:val="6"/>
                <w:sz w:val="20"/>
                <w:szCs w:val="20"/>
                <w:lang w:val="en-US" w:eastAsia="zh-CN"/>
              </w:rPr>
              <w:t>1</w:t>
            </w:r>
            <w:r>
              <w:rPr>
                <w:rFonts w:hint="eastAsia" w:ascii="宋体" w:hAnsi="宋体" w:eastAsia="宋体" w:cs="宋体"/>
                <w:spacing w:val="6"/>
                <w:sz w:val="20"/>
                <w:szCs w:val="20"/>
              </w:rPr>
              <w:t>分；5、管理不有效：未能严格执行财务制度，或有重大违规行为扣</w:t>
            </w:r>
            <w:r>
              <w:rPr>
                <w:rFonts w:hint="eastAsia" w:ascii="宋体" w:hAnsi="宋体" w:eastAsia="宋体" w:cs="宋体"/>
                <w:spacing w:val="6"/>
                <w:sz w:val="20"/>
                <w:szCs w:val="20"/>
                <w:lang w:val="en-US" w:eastAsia="zh-CN"/>
              </w:rPr>
              <w:t>1</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r w14:paraId="681F1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927" w:hRule="atLeast"/>
        </w:trPr>
        <w:tc>
          <w:tcPr>
            <w:tcW w:w="1207" w:type="dxa"/>
            <w:vMerge w:val="continue"/>
            <w:tcBorders>
              <w:tl2br w:val="nil"/>
              <w:tr2bl w:val="nil"/>
            </w:tcBorders>
            <w:vAlign w:val="center"/>
          </w:tcPr>
          <w:p w14:paraId="5724404E">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p>
        </w:tc>
        <w:tc>
          <w:tcPr>
            <w:tcW w:w="1204" w:type="dxa"/>
            <w:tcBorders>
              <w:tl2br w:val="nil"/>
              <w:tr2bl w:val="nil"/>
            </w:tcBorders>
            <w:vAlign w:val="center"/>
          </w:tcPr>
          <w:p w14:paraId="6D4DE3AA">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档案管理</w:t>
            </w:r>
          </w:p>
        </w:tc>
        <w:tc>
          <w:tcPr>
            <w:tcW w:w="2241" w:type="dxa"/>
            <w:tcBorders>
              <w:tl2br w:val="nil"/>
              <w:tr2bl w:val="nil"/>
            </w:tcBorders>
            <w:vAlign w:val="center"/>
          </w:tcPr>
          <w:p w14:paraId="23957198">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资料管理</w:t>
            </w:r>
          </w:p>
        </w:tc>
        <w:tc>
          <w:tcPr>
            <w:tcW w:w="670" w:type="dxa"/>
            <w:tcBorders>
              <w:tl2br w:val="nil"/>
              <w:tr2bl w:val="nil"/>
            </w:tcBorders>
            <w:vAlign w:val="center"/>
          </w:tcPr>
          <w:p w14:paraId="0D24B9D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default"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10</w:t>
            </w:r>
          </w:p>
        </w:tc>
        <w:tc>
          <w:tcPr>
            <w:tcW w:w="3414" w:type="dxa"/>
            <w:tcBorders>
              <w:tl2br w:val="nil"/>
              <w:tr2bl w:val="nil"/>
            </w:tcBorders>
            <w:vAlign w:val="center"/>
          </w:tcPr>
          <w:p w14:paraId="0A5A2014">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rPr>
            </w:pPr>
            <w:r>
              <w:rPr>
                <w:rFonts w:hint="eastAsia" w:ascii="宋体" w:hAnsi="宋体" w:eastAsia="宋体" w:cs="宋体"/>
                <w:spacing w:val="6"/>
                <w:sz w:val="20"/>
                <w:szCs w:val="20"/>
              </w:rPr>
              <w:t>运营数据记录和存档；建立日常工作日志、周报、月报、季报、半年报、年报过程性文档等；设置资料员，资料归档规范。</w:t>
            </w:r>
          </w:p>
        </w:tc>
        <w:tc>
          <w:tcPr>
            <w:tcW w:w="4601" w:type="dxa"/>
            <w:tcBorders>
              <w:tl2br w:val="nil"/>
              <w:tr2bl w:val="nil"/>
            </w:tcBorders>
            <w:vAlign w:val="center"/>
          </w:tcPr>
          <w:p w14:paraId="765AAC9C">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无资料管理台账扣</w:t>
            </w:r>
            <w:r>
              <w:rPr>
                <w:rFonts w:hint="eastAsia" w:ascii="宋体" w:hAnsi="宋体" w:eastAsia="宋体" w:cs="宋体"/>
                <w:spacing w:val="6"/>
                <w:sz w:val="20"/>
                <w:szCs w:val="20"/>
                <w:lang w:val="en-US" w:eastAsia="zh-CN"/>
              </w:rPr>
              <w:t>10</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p w14:paraId="2AF11BC3">
            <w:pPr>
              <w:keepNext w:val="0"/>
              <w:keepLines w:val="0"/>
              <w:pageBreakBefore w:val="0"/>
              <w:widowControl/>
              <w:kinsoku/>
              <w:wordWrap/>
              <w:overflowPunct/>
              <w:topLinePunct w:val="0"/>
              <w:autoSpaceDE w:val="0"/>
              <w:autoSpaceDN w:val="0"/>
              <w:bidi w:val="0"/>
              <w:adjustRightInd w:val="0"/>
              <w:snapToGrid w:val="0"/>
              <w:spacing w:before="51" w:line="216" w:lineRule="auto"/>
              <w:jc w:val="center"/>
              <w:textAlignment w:val="baseline"/>
              <w:rPr>
                <w:rFonts w:hint="eastAsia" w:ascii="宋体" w:hAnsi="宋体" w:eastAsia="宋体" w:cs="宋体"/>
                <w:spacing w:val="6"/>
                <w:sz w:val="20"/>
                <w:szCs w:val="20"/>
                <w:lang w:eastAsia="zh-CN"/>
              </w:rPr>
            </w:pPr>
            <w:r>
              <w:rPr>
                <w:rFonts w:hint="eastAsia" w:ascii="宋体" w:hAnsi="宋体" w:eastAsia="宋体" w:cs="宋体"/>
                <w:spacing w:val="6"/>
                <w:sz w:val="20"/>
                <w:szCs w:val="20"/>
              </w:rPr>
              <w:t>资料管理台账内容不够清晰、不够规范扣</w:t>
            </w:r>
            <w:r>
              <w:rPr>
                <w:rFonts w:hint="eastAsia" w:ascii="宋体" w:hAnsi="宋体" w:eastAsia="宋体" w:cs="宋体"/>
                <w:spacing w:val="6"/>
                <w:sz w:val="20"/>
                <w:szCs w:val="20"/>
                <w:lang w:val="en-US" w:eastAsia="zh-CN"/>
              </w:rPr>
              <w:t>5</w:t>
            </w:r>
            <w:r>
              <w:rPr>
                <w:rFonts w:hint="eastAsia" w:ascii="宋体" w:hAnsi="宋体" w:eastAsia="宋体" w:cs="宋体"/>
                <w:spacing w:val="6"/>
                <w:sz w:val="20"/>
                <w:szCs w:val="20"/>
              </w:rPr>
              <w:t>分</w:t>
            </w:r>
            <w:r>
              <w:rPr>
                <w:rFonts w:hint="eastAsia" w:ascii="宋体" w:hAnsi="宋体" w:eastAsia="宋体" w:cs="宋体"/>
                <w:spacing w:val="6"/>
                <w:sz w:val="20"/>
                <w:szCs w:val="20"/>
                <w:lang w:eastAsia="zh-CN"/>
              </w:rPr>
              <w:t>。</w:t>
            </w:r>
          </w:p>
        </w:tc>
      </w:tr>
    </w:tbl>
    <w:p w14:paraId="0FE70D02">
      <w:pPr>
        <w:keepNext w:val="0"/>
        <w:keepLines w:val="0"/>
        <w:pageBreakBefore w:val="0"/>
        <w:widowControl/>
        <w:kinsoku/>
        <w:wordWrap/>
        <w:overflowPunct/>
        <w:topLinePunct w:val="0"/>
        <w:autoSpaceDE w:val="0"/>
        <w:autoSpaceDN w:val="0"/>
        <w:bidi w:val="0"/>
        <w:adjustRightInd w:val="0"/>
        <w:snapToGrid w:val="0"/>
        <w:spacing w:before="91" w:line="222" w:lineRule="auto"/>
        <w:ind w:left="5890"/>
        <w:jc w:val="both"/>
        <w:textAlignment w:val="baseline"/>
        <w:outlineLvl w:val="0"/>
        <w:rPr>
          <w:rFonts w:hint="eastAsia" w:ascii="宋体" w:hAnsi="宋体" w:eastAsia="宋体" w:cs="宋体"/>
          <w:b/>
          <w:bCs/>
          <w:sz w:val="28"/>
          <w:szCs w:val="28"/>
        </w:rPr>
      </w:pPr>
      <w:bookmarkStart w:id="76" w:name="_Toc13680"/>
      <w:r>
        <w:rPr>
          <w:rFonts w:hint="eastAsia" w:ascii="宋体" w:hAnsi="宋体" w:eastAsia="宋体" w:cs="宋体"/>
          <w:b/>
          <w:bCs/>
          <w:spacing w:val="-2"/>
          <w:sz w:val="28"/>
          <w:szCs w:val="28"/>
        </w:rPr>
        <w:t>运营期绩效考核标准表</w:t>
      </w:r>
      <w:bookmarkEnd w:id="76"/>
    </w:p>
    <w:p w14:paraId="517BF621">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ascii="宋体" w:hAnsi="宋体" w:eastAsia="宋体" w:cs="宋体"/>
          <w:color w:val="auto"/>
          <w:szCs w:val="21"/>
          <w:highlight w:val="none"/>
          <w:lang w:val="en-US" w:eastAsia="zh-CN"/>
        </w:rPr>
        <w:sectPr>
          <w:pgSz w:w="16838" w:h="11905" w:orient="landscape"/>
          <w:pgMar w:top="1803" w:right="1440" w:bottom="1803" w:left="1440" w:header="283" w:footer="1474" w:gutter="0"/>
          <w:pgNumType w:fmt="decimal"/>
          <w:cols w:space="0" w:num="1"/>
          <w:rtlGutter w:val="0"/>
          <w:docGrid w:type="lines" w:linePitch="317" w:charSpace="0"/>
        </w:sectPr>
      </w:pPr>
    </w:p>
    <w:p w14:paraId="565167B7">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r>
        <w:rPr>
          <w:rFonts w:hint="eastAsia" w:cs="宋体"/>
          <w:b/>
          <w:color w:val="auto"/>
          <w:kern w:val="2"/>
          <w:sz w:val="24"/>
          <w:szCs w:val="24"/>
          <w:lang w:val="en-US" w:eastAsia="zh-CN" w:bidi="ar-SA"/>
        </w:rPr>
        <w:t>（十一）报价要求</w:t>
      </w:r>
    </w:p>
    <w:p w14:paraId="33791533">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投标人投标报价超过最高限价或低于本项目</w:t>
      </w:r>
      <w:r>
        <w:rPr>
          <w:rFonts w:hint="eastAsia" w:ascii="宋体" w:hAnsi="宋体" w:cs="宋体"/>
          <w:color w:val="auto"/>
          <w:kern w:val="2"/>
          <w:sz w:val="21"/>
          <w:szCs w:val="21"/>
          <w:highlight w:val="none"/>
          <w:lang w:val="en-US" w:eastAsia="zh-CN" w:bidi="ar-SA"/>
        </w:rPr>
        <w:t>成本</w:t>
      </w:r>
      <w:r>
        <w:rPr>
          <w:rFonts w:hint="eastAsia" w:ascii="宋体" w:hAnsi="宋体" w:cs="宋体"/>
          <w:color w:val="auto"/>
          <w:szCs w:val="21"/>
          <w:highlight w:val="none"/>
          <w:lang w:val="en-US" w:eastAsia="zh-CN"/>
        </w:rPr>
        <w:t>的做无效投标处理。</w:t>
      </w:r>
    </w:p>
    <w:p w14:paraId="09F9015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（十二）付费机制要求</w:t>
      </w:r>
    </w:p>
    <w:p w14:paraId="10AF133F">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cs="宋体"/>
          <w:color w:val="auto"/>
          <w:szCs w:val="21"/>
          <w:highlight w:val="none"/>
          <w:lang w:val="en-US" w:eastAsia="zh-CN"/>
        </w:rPr>
      </w:pPr>
      <w:r>
        <w:rPr>
          <w:rFonts w:hint="default" w:ascii="宋体" w:hAnsi="宋体" w:eastAsia="宋体" w:cs="宋体"/>
          <w:color w:val="auto"/>
          <w:szCs w:val="21"/>
          <w:highlight w:val="none"/>
          <w:lang w:val="en-US" w:eastAsia="zh-CN"/>
        </w:rPr>
        <w:t>本项目的付</w:t>
      </w:r>
      <w:r>
        <w:rPr>
          <w:rFonts w:hint="default" w:ascii="宋体" w:hAnsi="宋体" w:cs="宋体"/>
          <w:color w:val="auto"/>
          <w:szCs w:val="21"/>
          <w:highlight w:val="none"/>
          <w:lang w:val="en-US" w:eastAsia="zh-CN"/>
        </w:rPr>
        <w:t>费机制为</w:t>
      </w:r>
      <w:r>
        <w:rPr>
          <w:rFonts w:hint="eastAsia" w:ascii="宋体" w:hAnsi="宋体" w:cs="宋体"/>
          <w:color w:val="auto"/>
          <w:szCs w:val="21"/>
          <w:highlight w:val="none"/>
          <w:lang w:val="en-US" w:eastAsia="zh-CN"/>
        </w:rPr>
        <w:t>中标人</w:t>
      </w:r>
      <w:r>
        <w:rPr>
          <w:rFonts w:hint="default" w:ascii="宋体" w:hAnsi="宋体" w:cs="宋体"/>
          <w:color w:val="auto"/>
          <w:szCs w:val="21"/>
          <w:highlight w:val="none"/>
          <w:lang w:val="en-US" w:eastAsia="zh-CN"/>
        </w:rPr>
        <w:t>付费模式，绩效考核机制</w:t>
      </w:r>
      <w:r>
        <w:rPr>
          <w:rFonts w:hint="eastAsia" w:ascii="宋体" w:hAnsi="宋体" w:cs="宋体"/>
          <w:color w:val="auto"/>
          <w:szCs w:val="21"/>
          <w:highlight w:val="none"/>
          <w:lang w:val="en-US" w:eastAsia="zh-CN"/>
        </w:rPr>
        <w:t>。</w:t>
      </w:r>
    </w:p>
    <w:p w14:paraId="4AAE3BD4">
      <w:pPr>
        <w:pStyle w:val="3"/>
        <w:pageBreakBefore w:val="0"/>
        <w:widowControl w:val="0"/>
        <w:numPr>
          <w:ilvl w:val="0"/>
          <w:numId w:val="0"/>
        </w:numPr>
        <w:kinsoku/>
        <w:wordWrap/>
        <w:overflowPunct/>
        <w:topLinePunct w:val="0"/>
        <w:autoSpaceDE/>
        <w:autoSpaceDN/>
        <w:bidi w:val="0"/>
        <w:adjustRightInd/>
        <w:spacing w:before="0" w:beforeLines="0" w:after="0" w:afterLines="0"/>
        <w:rPr>
          <w:rFonts w:hint="default" w:cs="宋体"/>
          <w:b/>
          <w:color w:val="auto"/>
          <w:kern w:val="2"/>
          <w:sz w:val="24"/>
          <w:szCs w:val="24"/>
          <w:lang w:val="en-US" w:eastAsia="zh-CN" w:bidi="ar-SA"/>
        </w:rPr>
      </w:pPr>
      <w:r>
        <w:rPr>
          <w:rFonts w:hint="eastAsia" w:cs="宋体"/>
          <w:b/>
          <w:color w:val="auto"/>
          <w:kern w:val="2"/>
          <w:sz w:val="24"/>
          <w:szCs w:val="24"/>
          <w:lang w:val="en-US" w:eastAsia="zh-CN" w:bidi="ar-SA"/>
        </w:rPr>
        <w:t>（十三）</w:t>
      </w:r>
      <w:r>
        <w:rPr>
          <w:rFonts w:hint="default" w:cs="宋体"/>
          <w:b/>
          <w:color w:val="auto"/>
          <w:kern w:val="2"/>
          <w:sz w:val="24"/>
          <w:szCs w:val="24"/>
          <w:lang w:val="en-US" w:eastAsia="zh-CN" w:bidi="ar-SA"/>
        </w:rPr>
        <w:t>环境保护责任</w:t>
      </w:r>
    </w:p>
    <w:p w14:paraId="64B5EF3A">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1.按照有关环保要求，建设相应的环保设施并采取环境污染防治措施，确保项目建设、运营期间产生的废水、固体废弃物以及噪声等满足相应的环保标准；</w:t>
      </w:r>
    </w:p>
    <w:p w14:paraId="38CB0FBE">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bookmarkStart w:id="77" w:name="_Toc25952"/>
      <w:r>
        <w:rPr>
          <w:rFonts w:hint="default" w:ascii="宋体" w:hAnsi="宋体" w:eastAsia="宋体" w:cs="宋体"/>
          <w:color w:val="auto"/>
          <w:kern w:val="2"/>
          <w:sz w:val="21"/>
          <w:szCs w:val="21"/>
          <w:highlight w:val="none"/>
          <w:lang w:val="en-US" w:eastAsia="zh-CN" w:bidi="ar-SA"/>
        </w:rPr>
        <w:t>2.遵守有关公共卫生和安全生产等法律法规的规定；</w:t>
      </w:r>
      <w:bookmarkEnd w:id="77"/>
    </w:p>
    <w:p w14:paraId="2B368B4B">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kern w:val="2"/>
          <w:sz w:val="21"/>
          <w:szCs w:val="21"/>
          <w:highlight w:val="none"/>
          <w:lang w:val="en-US" w:eastAsia="zh-CN" w:bidi="ar-SA"/>
        </w:rPr>
        <w:t>3.在</w:t>
      </w:r>
      <w:r>
        <w:rPr>
          <w:rFonts w:hint="default" w:ascii="宋体" w:hAnsi="宋体" w:eastAsia="宋体" w:cs="宋体"/>
          <w:color w:val="auto"/>
          <w:szCs w:val="21"/>
          <w:highlight w:val="none"/>
          <w:lang w:val="en-US" w:eastAsia="zh-CN"/>
        </w:rPr>
        <w:t>项目的运营期间应采取一切合理的措施尽量减少对项目设施周围建筑物和居民区的干扰。</w:t>
      </w:r>
    </w:p>
    <w:p w14:paraId="3822C31C">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4"/>
          <w:szCs w:val="24"/>
          <w:lang w:val="en-US" w:eastAsia="zh-CN" w:bidi="ar-SA"/>
        </w:rPr>
        <w:t>（十</w:t>
      </w:r>
      <w:r>
        <w:rPr>
          <w:rFonts w:hint="eastAsia" w:ascii="宋体" w:hAnsi="宋体" w:cs="宋体"/>
          <w:b/>
          <w:color w:val="auto"/>
          <w:kern w:val="2"/>
          <w:sz w:val="24"/>
          <w:szCs w:val="24"/>
          <w:lang w:val="en-US" w:eastAsia="zh-CN" w:bidi="ar-SA"/>
        </w:rPr>
        <w:t>四</w:t>
      </w:r>
      <w:r>
        <w:rPr>
          <w:rFonts w:hint="eastAsia" w:ascii="宋体" w:hAnsi="宋体" w:eastAsia="宋体" w:cs="宋体"/>
          <w:b/>
          <w:color w:val="auto"/>
          <w:kern w:val="2"/>
          <w:sz w:val="24"/>
          <w:szCs w:val="24"/>
          <w:lang w:val="en-US" w:eastAsia="zh-CN" w:bidi="ar-SA"/>
        </w:rPr>
        <w:t>）应急处理</w:t>
      </w:r>
    </w:p>
    <w:p w14:paraId="2C522B20">
      <w:pPr>
        <w:keepNext w:val="0"/>
        <w:keepLines w:val="0"/>
        <w:pageBreakBefore w:val="0"/>
        <w:widowControl/>
        <w:kinsoku/>
        <w:wordWrap/>
        <w:overflowPunct/>
        <w:topLinePunct w:val="0"/>
        <w:autoSpaceDE w:val="0"/>
        <w:autoSpaceDN w:val="0"/>
        <w:bidi w:val="0"/>
        <w:adjustRightInd w:val="0"/>
        <w:snapToGrid w:val="0"/>
        <w:spacing w:line="520" w:lineRule="exact"/>
        <w:ind w:right="0" w:firstLine="420" w:firstLineChars="200"/>
        <w:jc w:val="both"/>
        <w:textAlignment w:val="baseline"/>
        <w:rPr>
          <w:rFonts w:hint="eastAsia" w:ascii="宋体" w:hAnsi="宋体" w:eastAsia="宋体" w:cs="宋体"/>
          <w:b/>
          <w:color w:val="auto"/>
          <w:kern w:val="2"/>
          <w:sz w:val="28"/>
          <w:szCs w:val="28"/>
          <w:lang w:val="en-US" w:eastAsia="zh-CN" w:bidi="ar-SA"/>
        </w:rPr>
      </w:pPr>
      <w:r>
        <w:rPr>
          <w:rFonts w:hint="eastAsia" w:eastAsiaTheme="minorEastAsia"/>
          <w:color w:val="auto"/>
          <w:highlight w:val="none"/>
          <w:lang w:eastAsia="zh-CN"/>
        </w:rPr>
        <w:t>项目有偿使用期内，有偿使用者应按照适用法律制定应急管理预案。运营中发生突发紧急事件时，项目应当依据应急管理预案和有关政府部门要求进行处理，并按照适用法律规定及时向新丰县政府和有关政府部门报告。</w:t>
      </w:r>
    </w:p>
    <w:p w14:paraId="4E7DCA2F">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default"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（十</w:t>
      </w:r>
      <w:r>
        <w:rPr>
          <w:rFonts w:hint="eastAsia" w:ascii="宋体" w:hAnsi="宋体" w:cs="宋体"/>
          <w:b/>
          <w:color w:val="auto"/>
          <w:kern w:val="2"/>
          <w:sz w:val="24"/>
          <w:szCs w:val="24"/>
          <w:lang w:val="en-US" w:eastAsia="zh-CN" w:bidi="ar-SA"/>
        </w:rPr>
        <w:t>五</w:t>
      </w:r>
      <w:r>
        <w:rPr>
          <w:rFonts w:hint="eastAsia" w:ascii="宋体" w:hAnsi="宋体" w:eastAsia="宋体" w:cs="宋体"/>
          <w:b/>
          <w:color w:val="auto"/>
          <w:kern w:val="2"/>
          <w:sz w:val="24"/>
          <w:szCs w:val="24"/>
          <w:lang w:val="en-US" w:eastAsia="zh-CN" w:bidi="ar-SA"/>
        </w:rPr>
        <w:t>）</w:t>
      </w:r>
      <w:r>
        <w:rPr>
          <w:rFonts w:hint="default" w:ascii="宋体" w:hAnsi="宋体" w:eastAsia="宋体" w:cs="宋体"/>
          <w:b/>
          <w:color w:val="auto"/>
          <w:kern w:val="2"/>
          <w:sz w:val="24"/>
          <w:szCs w:val="24"/>
          <w:lang w:val="en-US" w:eastAsia="zh-CN" w:bidi="ar-SA"/>
        </w:rPr>
        <w:t>项目的移交</w:t>
      </w:r>
    </w:p>
    <w:p w14:paraId="57AA099D">
      <w:pPr>
        <w:pStyle w:val="238"/>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项目移交通常是指在项目有偿使用期限结束或者项目有偿使用协议提前终止后，有偿使用者将全部项目设施及相关权益以合同约定的条件和程序移交给政府或者政府指定的其他机构。</w:t>
      </w:r>
    </w:p>
    <w:p w14:paraId="4AEC8B8A">
      <w:pPr>
        <w:keepNext w:val="0"/>
        <w:keepLines w:val="0"/>
        <w:pageBreakBefore w:val="0"/>
        <w:widowControl/>
        <w:kinsoku/>
        <w:wordWrap/>
        <w:overflowPunct/>
        <w:topLinePunct w:val="0"/>
        <w:autoSpaceDE w:val="0"/>
        <w:autoSpaceDN w:val="0"/>
        <w:bidi w:val="0"/>
        <w:adjustRightInd w:val="0"/>
        <w:snapToGrid w:val="0"/>
        <w:spacing w:line="520" w:lineRule="exact"/>
        <w:ind w:right="0" w:firstLine="420" w:firstLineChars="200"/>
        <w:jc w:val="both"/>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本项目的移交范围包括项目设施及相关的设备、机器、装置、零部件、备用件及其他动产、项目实施相关人员、运营维护项目设施所要求的技术和技术信息、与项目设施有关的手册、图纸、文件和资料以及其他移交所需的文件。项目移交时，项目设施及所涉及的任何资产不应存在权利瑕疵，同时项目设施应符合双方约定的技术、安全和环保标准，在不再维修情况下项目可以正常运营6个月，否则政府方可根据损失向有偿使用者提出合理的补偿。</w:t>
      </w:r>
    </w:p>
    <w:p w14:paraId="014AE15E">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default"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（十</w:t>
      </w:r>
      <w:r>
        <w:rPr>
          <w:rFonts w:hint="eastAsia" w:ascii="宋体" w:hAnsi="宋体" w:cs="宋体"/>
          <w:b/>
          <w:color w:val="auto"/>
          <w:kern w:val="2"/>
          <w:sz w:val="24"/>
          <w:szCs w:val="24"/>
          <w:lang w:val="en-US" w:eastAsia="zh-CN" w:bidi="ar-SA"/>
        </w:rPr>
        <w:t>六</w:t>
      </w:r>
      <w:r>
        <w:rPr>
          <w:rFonts w:hint="eastAsia" w:ascii="宋体" w:hAnsi="宋体" w:eastAsia="宋体" w:cs="宋体"/>
          <w:b/>
          <w:color w:val="auto"/>
          <w:kern w:val="2"/>
          <w:sz w:val="24"/>
          <w:szCs w:val="24"/>
          <w:lang w:val="en-US" w:eastAsia="zh-CN" w:bidi="ar-SA"/>
        </w:rPr>
        <w:t>）</w:t>
      </w:r>
      <w:r>
        <w:rPr>
          <w:rFonts w:hint="default" w:ascii="宋体" w:hAnsi="宋体" w:eastAsia="宋体" w:cs="宋体"/>
          <w:b/>
          <w:color w:val="auto"/>
          <w:kern w:val="2"/>
          <w:sz w:val="24"/>
          <w:szCs w:val="24"/>
          <w:lang w:val="en-US" w:eastAsia="zh-CN" w:bidi="ar-SA"/>
        </w:rPr>
        <w:t>争议的解决</w:t>
      </w:r>
    </w:p>
    <w:p w14:paraId="6BBA7B6A">
      <w:pPr>
        <w:keepNext w:val="0"/>
        <w:keepLines w:val="0"/>
        <w:pageBreakBefore w:val="0"/>
        <w:widowControl/>
        <w:kinsoku/>
        <w:wordWrap/>
        <w:overflowPunct/>
        <w:topLinePunct w:val="0"/>
        <w:autoSpaceDE w:val="0"/>
        <w:autoSpaceDN w:val="0"/>
        <w:bidi w:val="0"/>
        <w:adjustRightInd w:val="0"/>
        <w:snapToGrid w:val="0"/>
        <w:spacing w:line="520" w:lineRule="exact"/>
        <w:ind w:right="0" w:firstLine="420" w:firstLineChars="200"/>
        <w:jc w:val="both"/>
        <w:textAlignment w:val="baseline"/>
        <w:rPr>
          <w:rFonts w:hint="eastAsia"/>
          <w:color w:val="auto"/>
          <w:highlight w:val="none"/>
          <w:lang w:eastAsia="zh-CN"/>
        </w:rPr>
      </w:pPr>
      <w:r>
        <w:rPr>
          <w:rFonts w:hint="default"/>
          <w:color w:val="auto"/>
          <w:highlight w:val="none"/>
        </w:rPr>
        <w:t>若双方对于由于本合同条款或与本合同有关的条款的解释，包括关于其存在、有效或终止的任何问题产生任何争议、分歧或索赔，则应尽力通过协商友好解决该争议、分歧或索赔。</w:t>
      </w:r>
      <w:r>
        <w:rPr>
          <w:rFonts w:hint="eastAsia"/>
          <w:color w:val="auto"/>
          <w:highlight w:val="none"/>
          <w:lang w:eastAsia="zh-CN"/>
        </w:rPr>
        <w:t>协议双方在无法通过协商或调解方式解决争议的情况下，双方的争议由实施机构所在地有管辖权的法院管辖。</w:t>
      </w:r>
      <w:bookmarkStart w:id="78" w:name="_Toc14497"/>
    </w:p>
    <w:p w14:paraId="30F7BDE1">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default"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（十</w:t>
      </w:r>
      <w:r>
        <w:rPr>
          <w:rFonts w:hint="eastAsia" w:ascii="宋体" w:hAnsi="宋体" w:cs="宋体"/>
          <w:b/>
          <w:color w:val="auto"/>
          <w:kern w:val="2"/>
          <w:sz w:val="24"/>
          <w:szCs w:val="24"/>
          <w:lang w:val="en-US" w:eastAsia="zh-CN" w:bidi="ar-SA"/>
        </w:rPr>
        <w:t>七</w:t>
      </w:r>
      <w:r>
        <w:rPr>
          <w:rFonts w:hint="eastAsia" w:ascii="宋体" w:hAnsi="宋体" w:eastAsia="宋体" w:cs="宋体"/>
          <w:b/>
          <w:color w:val="auto"/>
          <w:kern w:val="2"/>
          <w:sz w:val="24"/>
          <w:szCs w:val="24"/>
          <w:lang w:val="en-US" w:eastAsia="zh-CN" w:bidi="ar-SA"/>
        </w:rPr>
        <w:t>）</w:t>
      </w:r>
      <w:r>
        <w:rPr>
          <w:rFonts w:hint="default" w:ascii="宋体" w:hAnsi="宋体" w:eastAsia="宋体" w:cs="宋体"/>
          <w:b/>
          <w:color w:val="auto"/>
          <w:kern w:val="2"/>
          <w:sz w:val="24"/>
          <w:szCs w:val="24"/>
          <w:lang w:val="en-US" w:eastAsia="zh-CN" w:bidi="ar-SA"/>
        </w:rPr>
        <w:t>违约、提前终止、退出及终止后处理机制</w:t>
      </w:r>
      <w:bookmarkEnd w:id="78"/>
    </w:p>
    <w:p w14:paraId="1FFD8509">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项目有偿使用期内，如果发生不可抗力、有偿使用者严重违约事件或者实施机构严重违约事件，守约方可向对方提出合同终止意向并就此进行协商。双方在一定时间内协商一致，则双方应继续履行有偿使用协议，否则项目实施机构要及时做好接管，保障项目设施持续运行。守约方可以向对方提出合同终止，违约方应根据合同相关条款约定给予守约方相应补偿。合同提前终止的退出</w:t>
      </w:r>
    </w:p>
    <w:p w14:paraId="34AFE0ED">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在以下情形下，项目可提前终止：</w:t>
      </w:r>
    </w:p>
    <w:p w14:paraId="1587ACA0">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①一方违约导致的提前终止；</w:t>
      </w:r>
    </w:p>
    <w:p w14:paraId="13EB911D">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②法律变更或宏观政策导致的提前终止；</w:t>
      </w:r>
    </w:p>
    <w:p w14:paraId="742648C3">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③不可抗力导致的提前终止。</w:t>
      </w:r>
    </w:p>
    <w:p w14:paraId="7E762C4D">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若有偿使用协议提前终止，则除非协议另有约定，政府方仅在如下情形时支付有偿使用者合理补偿金（提前终止时项目实施机构对于有偿使用者的补偿须以有偿使用者还清项目届时之所有负债为前提），补偿金具体按下表确定：</w:t>
      </w:r>
    </w:p>
    <w:p w14:paraId="2F290C3B">
      <w:pPr>
        <w:pStyle w:val="238"/>
        <w:spacing w:line="360" w:lineRule="auto"/>
        <w:jc w:val="center"/>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提前终止补偿情形及补偿表</w:t>
      </w:r>
    </w:p>
    <w:tbl>
      <w:tblPr>
        <w:tblStyle w:val="23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8"/>
        <w:gridCol w:w="3008"/>
        <w:gridCol w:w="4227"/>
      </w:tblGrid>
      <w:tr w14:paraId="0658B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643" w:type="pct"/>
            <w:tcBorders>
              <w:tl2br w:val="nil"/>
              <w:tr2bl w:val="nil"/>
            </w:tcBorders>
            <w:vAlign w:val="center"/>
          </w:tcPr>
          <w:p w14:paraId="393E416A">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b/>
                <w:bCs/>
                <w:sz w:val="20"/>
                <w:szCs w:val="20"/>
              </w:rPr>
            </w:pPr>
            <w:r>
              <w:rPr>
                <w:rFonts w:hint="eastAsia" w:ascii="宋体" w:hAnsi="宋体" w:eastAsia="宋体" w:cs="宋体"/>
                <w:b/>
                <w:bCs/>
                <w:spacing w:val="4"/>
                <w:sz w:val="20"/>
                <w:szCs w:val="20"/>
              </w:rPr>
              <w:t>序号</w:t>
            </w:r>
          </w:p>
        </w:tc>
        <w:tc>
          <w:tcPr>
            <w:tcW w:w="1811" w:type="pct"/>
            <w:tcBorders>
              <w:tl2br w:val="nil"/>
              <w:tr2bl w:val="nil"/>
            </w:tcBorders>
            <w:vAlign w:val="center"/>
          </w:tcPr>
          <w:p w14:paraId="47D5ACAE">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b/>
                <w:bCs/>
                <w:sz w:val="20"/>
                <w:szCs w:val="20"/>
              </w:rPr>
            </w:pPr>
            <w:r>
              <w:rPr>
                <w:rFonts w:hint="eastAsia" w:ascii="宋体" w:hAnsi="宋体" w:eastAsia="宋体" w:cs="宋体"/>
                <w:b/>
                <w:bCs/>
                <w:spacing w:val="9"/>
                <w:sz w:val="20"/>
                <w:szCs w:val="20"/>
              </w:rPr>
              <w:t>有偿使用协议提前终止情形</w:t>
            </w:r>
          </w:p>
        </w:tc>
        <w:tc>
          <w:tcPr>
            <w:tcW w:w="2545" w:type="pct"/>
            <w:tcBorders>
              <w:tl2br w:val="nil"/>
              <w:tr2bl w:val="nil"/>
            </w:tcBorders>
            <w:vAlign w:val="center"/>
          </w:tcPr>
          <w:p w14:paraId="56628A49">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b/>
                <w:bCs/>
                <w:sz w:val="20"/>
                <w:szCs w:val="20"/>
              </w:rPr>
            </w:pPr>
            <w:r>
              <w:rPr>
                <w:rFonts w:hint="eastAsia" w:ascii="宋体" w:hAnsi="宋体" w:eastAsia="宋体" w:cs="宋体"/>
                <w:b/>
                <w:bCs/>
                <w:spacing w:val="8"/>
                <w:sz w:val="20"/>
                <w:szCs w:val="20"/>
              </w:rPr>
              <w:t>终止补偿金</w:t>
            </w:r>
          </w:p>
        </w:tc>
      </w:tr>
      <w:tr w14:paraId="75F22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restart"/>
            <w:tcBorders>
              <w:tl2br w:val="nil"/>
              <w:tr2bl w:val="nil"/>
            </w:tcBorders>
            <w:vAlign w:val="center"/>
          </w:tcPr>
          <w:p w14:paraId="682DCDA2">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z w:val="20"/>
                <w:szCs w:val="20"/>
              </w:rPr>
              <w:t>1</w:t>
            </w:r>
          </w:p>
        </w:tc>
        <w:tc>
          <w:tcPr>
            <w:tcW w:w="1811" w:type="pct"/>
            <w:vMerge w:val="restart"/>
            <w:tcBorders>
              <w:tl2br w:val="nil"/>
              <w:tr2bl w:val="nil"/>
            </w:tcBorders>
            <w:vAlign w:val="center"/>
          </w:tcPr>
          <w:p w14:paraId="6121B932">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8"/>
                <w:sz w:val="20"/>
                <w:szCs w:val="20"/>
              </w:rPr>
              <w:t>有偿使用者违约导致的终止</w:t>
            </w:r>
          </w:p>
        </w:tc>
        <w:tc>
          <w:tcPr>
            <w:tcW w:w="2545" w:type="pct"/>
            <w:tcBorders>
              <w:tl2br w:val="nil"/>
              <w:tr2bl w:val="nil"/>
            </w:tcBorders>
            <w:vAlign w:val="center"/>
          </w:tcPr>
          <w:p w14:paraId="0761E942">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7"/>
                <w:sz w:val="20"/>
                <w:szCs w:val="20"/>
              </w:rPr>
              <w:t>建设期提前终止时，为A</w:t>
            </w:r>
            <w:r>
              <w:rPr>
                <w:rFonts w:hint="eastAsia" w:ascii="宋体" w:hAnsi="宋体" w:eastAsia="宋体" w:cs="宋体"/>
                <w:spacing w:val="6"/>
                <w:position w:val="-2"/>
                <w:sz w:val="20"/>
                <w:szCs w:val="20"/>
                <w:vertAlign w:val="subscript"/>
              </w:rPr>
              <w:t>1</w:t>
            </w:r>
            <w:r>
              <w:rPr>
                <w:rFonts w:hint="eastAsia" w:ascii="宋体" w:hAnsi="宋体" w:eastAsia="宋体" w:cs="宋体"/>
                <w:spacing w:val="7"/>
                <w:sz w:val="20"/>
                <w:szCs w:val="20"/>
              </w:rPr>
              <w:t>-B+E</w:t>
            </w:r>
          </w:p>
        </w:tc>
      </w:tr>
      <w:tr w14:paraId="62261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continue"/>
            <w:tcBorders>
              <w:tl2br w:val="nil"/>
              <w:tr2bl w:val="nil"/>
            </w:tcBorders>
            <w:vAlign w:val="center"/>
          </w:tcPr>
          <w:p w14:paraId="0CB72519">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1811" w:type="pct"/>
            <w:vMerge w:val="continue"/>
            <w:tcBorders>
              <w:tl2br w:val="nil"/>
              <w:tr2bl w:val="nil"/>
            </w:tcBorders>
            <w:vAlign w:val="center"/>
          </w:tcPr>
          <w:p w14:paraId="272001A1">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2545" w:type="pct"/>
            <w:tcBorders>
              <w:tl2br w:val="nil"/>
              <w:tr2bl w:val="nil"/>
            </w:tcBorders>
            <w:vAlign w:val="center"/>
          </w:tcPr>
          <w:p w14:paraId="1D1E421A">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6"/>
                <w:sz w:val="20"/>
                <w:szCs w:val="20"/>
              </w:rPr>
              <w:t>运营期提前终止时，为A</w:t>
            </w:r>
            <w:r>
              <w:rPr>
                <w:rFonts w:hint="eastAsia" w:ascii="宋体" w:hAnsi="宋体" w:eastAsia="宋体" w:cs="宋体"/>
                <w:spacing w:val="6"/>
                <w:position w:val="-2"/>
                <w:sz w:val="20"/>
                <w:szCs w:val="20"/>
                <w:vertAlign w:val="subscript"/>
              </w:rPr>
              <w:t>2</w:t>
            </w:r>
            <w:r>
              <w:rPr>
                <w:rFonts w:hint="eastAsia" w:ascii="宋体" w:hAnsi="宋体" w:eastAsia="宋体" w:cs="宋体"/>
                <w:spacing w:val="6"/>
                <w:sz w:val="20"/>
                <w:szCs w:val="20"/>
              </w:rPr>
              <w:t>-80%B+E</w:t>
            </w:r>
          </w:p>
        </w:tc>
      </w:tr>
      <w:tr w14:paraId="679F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restart"/>
            <w:tcBorders>
              <w:tl2br w:val="nil"/>
              <w:tr2bl w:val="nil"/>
            </w:tcBorders>
            <w:vAlign w:val="center"/>
          </w:tcPr>
          <w:p w14:paraId="722DB7CC">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z w:val="20"/>
                <w:szCs w:val="20"/>
              </w:rPr>
              <w:t>2</w:t>
            </w:r>
          </w:p>
        </w:tc>
        <w:tc>
          <w:tcPr>
            <w:tcW w:w="1811" w:type="pct"/>
            <w:vMerge w:val="restart"/>
            <w:tcBorders>
              <w:tl2br w:val="nil"/>
              <w:tr2bl w:val="nil"/>
            </w:tcBorders>
            <w:vAlign w:val="center"/>
          </w:tcPr>
          <w:p w14:paraId="2525BD0D">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8"/>
                <w:sz w:val="20"/>
                <w:szCs w:val="20"/>
              </w:rPr>
              <w:t>政府方违约导致的终止</w:t>
            </w:r>
          </w:p>
        </w:tc>
        <w:tc>
          <w:tcPr>
            <w:tcW w:w="2545" w:type="pct"/>
            <w:tcBorders>
              <w:tl2br w:val="nil"/>
              <w:tr2bl w:val="nil"/>
            </w:tcBorders>
            <w:vAlign w:val="center"/>
          </w:tcPr>
          <w:p w14:paraId="5864D1DC">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6"/>
                <w:sz w:val="20"/>
                <w:szCs w:val="20"/>
              </w:rPr>
              <w:t>建设期提前终止时，为A</w:t>
            </w:r>
            <w:r>
              <w:rPr>
                <w:rFonts w:hint="eastAsia" w:ascii="宋体" w:hAnsi="宋体" w:eastAsia="宋体" w:cs="宋体"/>
                <w:spacing w:val="6"/>
                <w:position w:val="-2"/>
                <w:sz w:val="20"/>
                <w:szCs w:val="20"/>
                <w:vertAlign w:val="subscript"/>
              </w:rPr>
              <w:t>1</w:t>
            </w:r>
            <w:r>
              <w:rPr>
                <w:rFonts w:hint="eastAsia" w:ascii="宋体" w:hAnsi="宋体" w:eastAsia="宋体" w:cs="宋体"/>
                <w:spacing w:val="6"/>
                <w:sz w:val="20"/>
                <w:szCs w:val="20"/>
              </w:rPr>
              <w:t>+80%B+E</w:t>
            </w:r>
          </w:p>
        </w:tc>
      </w:tr>
      <w:tr w14:paraId="2F5E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continue"/>
            <w:tcBorders>
              <w:tl2br w:val="nil"/>
              <w:tr2bl w:val="nil"/>
            </w:tcBorders>
            <w:vAlign w:val="center"/>
          </w:tcPr>
          <w:p w14:paraId="33A21959">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1811" w:type="pct"/>
            <w:vMerge w:val="continue"/>
            <w:tcBorders>
              <w:tl2br w:val="nil"/>
              <w:tr2bl w:val="nil"/>
            </w:tcBorders>
            <w:vAlign w:val="center"/>
          </w:tcPr>
          <w:p w14:paraId="39BAF536">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2545" w:type="pct"/>
            <w:tcBorders>
              <w:tl2br w:val="nil"/>
              <w:tr2bl w:val="nil"/>
            </w:tcBorders>
            <w:vAlign w:val="center"/>
          </w:tcPr>
          <w:p w14:paraId="531AEE1F">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6"/>
                <w:sz w:val="20"/>
                <w:szCs w:val="20"/>
              </w:rPr>
              <w:t>运营期提前终止时，为A</w:t>
            </w:r>
            <w:r>
              <w:rPr>
                <w:rFonts w:hint="eastAsia" w:ascii="宋体" w:hAnsi="宋体" w:eastAsia="宋体" w:cs="宋体"/>
                <w:spacing w:val="6"/>
                <w:position w:val="-3"/>
                <w:sz w:val="20"/>
                <w:szCs w:val="20"/>
                <w:vertAlign w:val="subscript"/>
              </w:rPr>
              <w:t>2</w:t>
            </w:r>
            <w:r>
              <w:rPr>
                <w:rFonts w:hint="eastAsia" w:ascii="宋体" w:hAnsi="宋体" w:eastAsia="宋体" w:cs="宋体"/>
                <w:spacing w:val="6"/>
                <w:sz w:val="20"/>
                <w:szCs w:val="20"/>
              </w:rPr>
              <w:t>+B+E</w:t>
            </w:r>
          </w:p>
        </w:tc>
      </w:tr>
      <w:tr w14:paraId="55900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restart"/>
            <w:tcBorders>
              <w:tl2br w:val="nil"/>
              <w:tr2bl w:val="nil"/>
            </w:tcBorders>
            <w:vAlign w:val="center"/>
          </w:tcPr>
          <w:p w14:paraId="373BA101">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z w:val="20"/>
                <w:szCs w:val="20"/>
              </w:rPr>
              <w:t>3</w:t>
            </w:r>
          </w:p>
        </w:tc>
        <w:tc>
          <w:tcPr>
            <w:tcW w:w="1811" w:type="pct"/>
            <w:vMerge w:val="restart"/>
            <w:tcBorders>
              <w:tl2br w:val="nil"/>
              <w:tr2bl w:val="nil"/>
            </w:tcBorders>
            <w:vAlign w:val="center"/>
          </w:tcPr>
          <w:p w14:paraId="727FF10B">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7"/>
                <w:sz w:val="20"/>
                <w:szCs w:val="20"/>
              </w:rPr>
              <w:t>法律或宏观政策变更</w:t>
            </w:r>
          </w:p>
        </w:tc>
        <w:tc>
          <w:tcPr>
            <w:tcW w:w="2545" w:type="pct"/>
            <w:tcBorders>
              <w:tl2br w:val="nil"/>
              <w:tr2bl w:val="nil"/>
            </w:tcBorders>
            <w:vAlign w:val="center"/>
          </w:tcPr>
          <w:p w14:paraId="4DA88084">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6"/>
                <w:sz w:val="20"/>
                <w:szCs w:val="20"/>
              </w:rPr>
              <w:t>建设期提前终止时，为A</w:t>
            </w:r>
            <w:r>
              <w:rPr>
                <w:rFonts w:hint="eastAsia" w:ascii="宋体" w:hAnsi="宋体" w:eastAsia="宋体" w:cs="宋体"/>
                <w:spacing w:val="6"/>
                <w:position w:val="-3"/>
                <w:sz w:val="20"/>
                <w:szCs w:val="20"/>
                <w:vertAlign w:val="subscript"/>
              </w:rPr>
              <w:t>1</w:t>
            </w:r>
            <w:r>
              <w:rPr>
                <w:rFonts w:hint="eastAsia" w:ascii="宋体" w:hAnsi="宋体" w:eastAsia="宋体" w:cs="宋体"/>
                <w:spacing w:val="6"/>
                <w:sz w:val="20"/>
                <w:szCs w:val="20"/>
              </w:rPr>
              <w:t>+35%B+E</w:t>
            </w:r>
          </w:p>
        </w:tc>
      </w:tr>
      <w:tr w14:paraId="08C13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jc w:val="center"/>
        </w:trPr>
        <w:tc>
          <w:tcPr>
            <w:tcW w:w="643" w:type="pct"/>
            <w:vMerge w:val="continue"/>
            <w:tcBorders>
              <w:tl2br w:val="nil"/>
              <w:tr2bl w:val="nil"/>
            </w:tcBorders>
            <w:vAlign w:val="center"/>
          </w:tcPr>
          <w:p w14:paraId="419D8124">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1811" w:type="pct"/>
            <w:vMerge w:val="continue"/>
            <w:tcBorders>
              <w:tl2br w:val="nil"/>
              <w:tr2bl w:val="nil"/>
            </w:tcBorders>
            <w:vAlign w:val="center"/>
          </w:tcPr>
          <w:p w14:paraId="216A4932">
            <w:pPr>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p>
        </w:tc>
        <w:tc>
          <w:tcPr>
            <w:tcW w:w="2545" w:type="pct"/>
            <w:tcBorders>
              <w:tl2br w:val="nil"/>
              <w:tr2bl w:val="nil"/>
            </w:tcBorders>
            <w:vAlign w:val="center"/>
          </w:tcPr>
          <w:p w14:paraId="4C09838C">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6"/>
                <w:sz w:val="20"/>
                <w:szCs w:val="20"/>
              </w:rPr>
              <w:t>运营期提前终止时，为A</w:t>
            </w:r>
            <w:r>
              <w:rPr>
                <w:rFonts w:hint="eastAsia" w:ascii="宋体" w:hAnsi="宋体" w:eastAsia="宋体" w:cs="宋体"/>
                <w:spacing w:val="6"/>
                <w:position w:val="-2"/>
                <w:sz w:val="20"/>
                <w:szCs w:val="20"/>
                <w:vertAlign w:val="subscript"/>
              </w:rPr>
              <w:t>2</w:t>
            </w:r>
            <w:r>
              <w:rPr>
                <w:rFonts w:hint="eastAsia" w:ascii="宋体" w:hAnsi="宋体" w:eastAsia="宋体" w:cs="宋体"/>
                <w:spacing w:val="6"/>
                <w:sz w:val="20"/>
                <w:szCs w:val="20"/>
              </w:rPr>
              <w:t>+50%B+E</w:t>
            </w:r>
          </w:p>
        </w:tc>
      </w:tr>
      <w:tr w14:paraId="6E489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643" w:type="pct"/>
            <w:tcBorders>
              <w:tl2br w:val="nil"/>
              <w:tr2bl w:val="nil"/>
            </w:tcBorders>
            <w:vAlign w:val="center"/>
          </w:tcPr>
          <w:p w14:paraId="4D2D4DF9">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z w:val="20"/>
                <w:szCs w:val="20"/>
              </w:rPr>
              <w:t>4</w:t>
            </w:r>
          </w:p>
        </w:tc>
        <w:tc>
          <w:tcPr>
            <w:tcW w:w="1811" w:type="pct"/>
            <w:tcBorders>
              <w:tl2br w:val="nil"/>
              <w:tr2bl w:val="nil"/>
            </w:tcBorders>
            <w:vAlign w:val="center"/>
          </w:tcPr>
          <w:p w14:paraId="3EC7DC12">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4"/>
                <w:sz w:val="20"/>
                <w:szCs w:val="20"/>
              </w:rPr>
              <w:t>不可抗力</w:t>
            </w:r>
          </w:p>
        </w:tc>
        <w:tc>
          <w:tcPr>
            <w:tcW w:w="2545" w:type="pct"/>
            <w:tcBorders>
              <w:tl2br w:val="nil"/>
              <w:tr2bl w:val="nil"/>
            </w:tcBorders>
            <w:vAlign w:val="center"/>
          </w:tcPr>
          <w:p w14:paraId="79F941A3">
            <w:pPr>
              <w:pStyle w:val="154"/>
              <w:keepNext w:val="0"/>
              <w:keepLines w:val="0"/>
              <w:pageBreakBefore w:val="0"/>
              <w:widowControl/>
              <w:kinsoku/>
              <w:wordWrap/>
              <w:overflowPunct/>
              <w:topLinePunct w:val="0"/>
              <w:autoSpaceDE w:val="0"/>
              <w:autoSpaceDN w:val="0"/>
              <w:bidi w:val="0"/>
              <w:adjustRightInd w:val="0"/>
              <w:snapToGrid w:val="0"/>
              <w:spacing w:line="520" w:lineRule="exact"/>
              <w:jc w:val="center"/>
              <w:textAlignment w:val="baseline"/>
              <w:outlineLvl w:val="9"/>
              <w:rPr>
                <w:rFonts w:hint="eastAsia" w:ascii="宋体" w:hAnsi="宋体" w:eastAsia="宋体" w:cs="宋体"/>
                <w:sz w:val="20"/>
                <w:szCs w:val="20"/>
              </w:rPr>
            </w:pPr>
            <w:r>
              <w:rPr>
                <w:rFonts w:hint="eastAsia" w:ascii="宋体" w:hAnsi="宋体" w:eastAsia="宋体" w:cs="宋体"/>
                <w:spacing w:val="4"/>
                <w:sz w:val="20"/>
                <w:szCs w:val="20"/>
              </w:rPr>
              <w:t>（A</w:t>
            </w:r>
            <w:r>
              <w:rPr>
                <w:rFonts w:hint="eastAsia" w:ascii="宋体" w:hAnsi="宋体" w:eastAsia="宋体" w:cs="宋体"/>
                <w:spacing w:val="4"/>
                <w:position w:val="-3"/>
                <w:sz w:val="20"/>
                <w:szCs w:val="20"/>
                <w:vertAlign w:val="subscript"/>
              </w:rPr>
              <w:t>3</w:t>
            </w:r>
            <w:r>
              <w:rPr>
                <w:rFonts w:hint="eastAsia" w:ascii="宋体" w:hAnsi="宋体" w:eastAsia="宋体" w:cs="宋体"/>
                <w:spacing w:val="4"/>
                <w:sz w:val="20"/>
                <w:szCs w:val="20"/>
              </w:rPr>
              <w:t>-C-D）/2</w:t>
            </w:r>
          </w:p>
        </w:tc>
      </w:tr>
    </w:tbl>
    <w:p w14:paraId="6BF46FF1">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A1为有偿使用者已投入但尚未收回的投入（含有偿使用权出让金、建设投入等，以经政府审计的为准）；</w:t>
      </w:r>
    </w:p>
    <w:p w14:paraId="20548C45">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A2为有偿使用者的建设投入与有偿使用权余值之和，以经政府审计的为准；</w:t>
      </w:r>
    </w:p>
    <w:p w14:paraId="5B9940F2">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A3为经政府审计的项目账面资产净值；</w:t>
      </w:r>
    </w:p>
    <w:p w14:paraId="401C6C66">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B为违约金金额，取值由甲乙双方谈判共同确定；当发生有偿使用者违约而导致政府发出终止的情形时，对于向有偿使用者支付的终止补偿金，项目实施机构有权自本项目提前终止日起算三年内（如剩余有偿使用期短于三年的，则本处指余下的有偿使用期）分期分批支付。具体分批次的支付比例及时间进度安排由项目实施机构确定。</w:t>
      </w:r>
    </w:p>
    <w:p w14:paraId="45068B86">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C为发生不可抗力情形时，根据本项目的协议及相关保险合同约定，有偿使用者（含贷款方）实际获得的保险赔款；</w:t>
      </w:r>
    </w:p>
    <w:p w14:paraId="11EB1C34">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D为发生不可抗力情形时，因有偿使用者投保不足，导致所获保险赔款无法使项目设施恢复到出险前的正常状态和价值的恢复性建设费用缺额部分（如有）；</w:t>
      </w:r>
    </w:p>
    <w:p w14:paraId="27929F87">
      <w:pPr>
        <w:pStyle w:val="238"/>
        <w:spacing w:line="360" w:lineRule="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E为终止后根据本协议的约定，有偿使用者应向项目实施机构或政府指定的其他机构移交运维所需工器具、备品配件等的合理评估值。</w:t>
      </w:r>
    </w:p>
    <w:p w14:paraId="07C50C07">
      <w:pPr>
        <w:pStyle w:val="238"/>
        <w:spacing w:line="360" w:lineRule="auto"/>
        <w:rPr>
          <w:rFonts w:hint="eastAsia"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若属政府发出的终止情形之一的，按照对应公式计算终止补偿金即“A1-B+E”或者“A2-80%B+E”的值为负数；或者不可抗力导致终止，按照对应公式计算终止补偿金即“（A3-C-D）/2”的值为负值的；则上述两种情况下有偿使用者应向项目实施机构支付本条所述负数的绝对值。</w:t>
      </w:r>
    </w:p>
    <w:p w14:paraId="0627808A">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★（十</w:t>
      </w:r>
      <w:r>
        <w:rPr>
          <w:rFonts w:hint="eastAsia" w:ascii="宋体" w:hAnsi="宋体" w:cs="宋体"/>
          <w:b/>
          <w:color w:val="auto"/>
          <w:kern w:val="2"/>
          <w:sz w:val="24"/>
          <w:szCs w:val="24"/>
          <w:highlight w:val="none"/>
          <w:lang w:val="en-US" w:eastAsia="zh-CN" w:bidi="ar-SA"/>
        </w:rPr>
        <w:t>八</w:t>
      </w:r>
      <w:r>
        <w:rPr>
          <w:rFonts w:hint="eastAsia" w:ascii="宋体" w:hAnsi="宋体" w:eastAsia="宋体" w:cs="宋体"/>
          <w:b/>
          <w:color w:val="auto"/>
          <w:kern w:val="2"/>
          <w:sz w:val="24"/>
          <w:szCs w:val="24"/>
          <w:highlight w:val="none"/>
          <w:lang w:val="en-US" w:eastAsia="zh-CN" w:bidi="ar-SA"/>
        </w:rPr>
        <w:t>）保险</w:t>
      </w:r>
      <w:r>
        <w:rPr>
          <w:rFonts w:hint="eastAsia" w:ascii="宋体" w:hAnsi="宋体" w:cs="宋体"/>
          <w:b/>
          <w:color w:val="auto"/>
          <w:kern w:val="2"/>
          <w:sz w:val="24"/>
          <w:szCs w:val="24"/>
          <w:highlight w:val="none"/>
          <w:lang w:val="en-US" w:eastAsia="zh-CN" w:bidi="ar-SA"/>
        </w:rPr>
        <w:t>（提供承诺函，格式自拟并加盖投标人公章。）</w:t>
      </w:r>
    </w:p>
    <w:p w14:paraId="77EBD392">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highlight w:val="none"/>
          <w:lang w:val="en-US" w:eastAsia="zh-CN" w:bidi="ar-SA"/>
        </w:rPr>
      </w:pPr>
      <w:bookmarkStart w:id="79" w:name="_Toc19507"/>
      <w:r>
        <w:rPr>
          <w:rFonts w:hint="eastAsia" w:ascii="宋体" w:hAnsi="宋体" w:eastAsia="宋体" w:cs="宋体"/>
          <w:color w:val="auto"/>
          <w:szCs w:val="21"/>
          <w:highlight w:val="none"/>
          <w:lang w:val="en-US" w:eastAsia="zh-CN"/>
        </w:rPr>
        <w:t>有偿使用者应承诺中标后根据谨慎运营惯例购买相应的险种；</w:t>
      </w:r>
      <w:r>
        <w:rPr>
          <w:rFonts w:hint="eastAsia" w:ascii="宋体" w:hAnsi="宋体" w:eastAsia="宋体" w:cs="宋体"/>
          <w:color w:val="auto"/>
          <w:kern w:val="2"/>
          <w:sz w:val="21"/>
          <w:highlight w:val="none"/>
          <w:lang w:val="en-US" w:eastAsia="zh-CN" w:bidi="ar-SA"/>
        </w:rPr>
        <w:t>本项目强制保险内容主要包含：</w:t>
      </w:r>
    </w:p>
    <w:p w14:paraId="63F3B33C">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pacing w:val="-1"/>
          <w:sz w:val="24"/>
          <w:szCs w:val="24"/>
          <w:highlight w:val="none"/>
        </w:rPr>
      </w:pPr>
      <w:r>
        <w:rPr>
          <w:rFonts w:hint="eastAsia" w:ascii="宋体" w:hAnsi="宋体" w:eastAsia="宋体" w:cs="宋体"/>
          <w:color w:val="auto"/>
          <w:kern w:val="2"/>
          <w:sz w:val="21"/>
          <w:highlight w:val="none"/>
          <w:lang w:val="en-US" w:eastAsia="zh-CN" w:bidi="ar-SA"/>
        </w:rPr>
        <w:t>1.建设期应投保险种：①建筑工程一切险和安装工程一切险；②第三者责任险。</w:t>
      </w:r>
    </w:p>
    <w:p w14:paraId="4213D808">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2.运营期应投保险种：①财产一切险；②第三者责任险。</w:t>
      </w:r>
      <w:bookmarkEnd w:id="79"/>
    </w:p>
    <w:p w14:paraId="37B2B26C">
      <w:pPr>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b/>
          <w:color w:val="auto"/>
          <w:kern w:val="2"/>
          <w:sz w:val="24"/>
          <w:szCs w:val="24"/>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除本条所述强制险种外，有偿使用者应根据谨慎运营惯例购买相应的险种。保险受益人为有偿使用者，可根据需要考虑政府或金融机</w:t>
      </w:r>
      <w:bookmarkStart w:id="80" w:name="bookmark82"/>
      <w:bookmarkEnd w:id="80"/>
      <w:r>
        <w:rPr>
          <w:rFonts w:hint="eastAsia" w:ascii="Times New Roman" w:hAnsi="Times New Roman" w:eastAsia="宋体" w:cs="Times New Roman"/>
          <w:color w:val="auto"/>
          <w:kern w:val="2"/>
          <w:sz w:val="21"/>
          <w:highlight w:val="none"/>
          <w:lang w:val="en-US" w:eastAsia="zh-CN" w:bidi="ar-SA"/>
        </w:rPr>
        <w:t>构。</w:t>
      </w:r>
    </w:p>
    <w:p w14:paraId="736D5744">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highlight w:val="none"/>
        </w:rPr>
      </w:pPr>
      <w:r>
        <w:rPr>
          <w:rFonts w:hint="eastAsia" w:ascii="宋体" w:hAnsi="宋体" w:cs="宋体"/>
          <w:b/>
          <w:color w:val="auto"/>
          <w:kern w:val="2"/>
          <w:sz w:val="24"/>
          <w:szCs w:val="24"/>
          <w:lang w:val="en-US" w:eastAsia="zh-CN" w:bidi="ar-SA"/>
        </w:rPr>
        <w:t>（十九）</w:t>
      </w:r>
      <w:r>
        <w:rPr>
          <w:rFonts w:hint="eastAsia" w:ascii="宋体" w:hAnsi="宋体" w:eastAsia="宋体" w:cs="宋体"/>
          <w:b/>
          <w:bCs/>
          <w:spacing w:val="-1"/>
          <w:sz w:val="24"/>
          <w:szCs w:val="24"/>
          <w:highlight w:val="none"/>
        </w:rPr>
        <w:t>履约担保</w:t>
      </w:r>
    </w:p>
    <w:p w14:paraId="420235AC">
      <w:pPr>
        <w:keepNext w:val="0"/>
        <w:keepLines w:val="0"/>
        <w:pageBreakBefore w:val="0"/>
        <w:widowControl/>
        <w:kinsoku/>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为确保有偿使用者在建设期能够按照合同约定的标准进行建设，</w:t>
      </w:r>
    </w:p>
    <w:p w14:paraId="74FAE96A">
      <w:pPr>
        <w:keepNext w:val="0"/>
        <w:keepLines w:val="0"/>
        <w:pageBreakBefore w:val="0"/>
        <w:widowControl/>
        <w:kinsoku/>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default"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并且能够按时完工，有偿使用者应在签署《有偿使用协议》后，5个工作日内提交100万元的建设期履约保函，该保函的有效期从有偿使用协议生效之日起到竣工验收完成且有偿使用者递交运营维护期保函后。</w:t>
      </w:r>
      <w:r>
        <w:rPr>
          <w:rFonts w:hint="eastAsia" w:ascii="宋体" w:hAnsi="宋体" w:cs="宋体"/>
          <w:color w:val="auto"/>
          <w:kern w:val="2"/>
          <w:sz w:val="21"/>
          <w:highlight w:val="none"/>
          <w:lang w:val="en-US" w:eastAsia="zh-CN" w:bidi="ar-SA"/>
        </w:rPr>
        <w:t xml:space="preserve"> </w:t>
      </w:r>
    </w:p>
    <w:p w14:paraId="2F3CB691">
      <w:pPr>
        <w:keepNext w:val="0"/>
        <w:keepLines w:val="0"/>
        <w:pageBreakBefore w:val="0"/>
        <w:widowControl/>
        <w:kinsoku/>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项目进入运营期后，为了确保有偿使用者在运营维护期内按照项目合同的约定履行运营、维护义务，有偿使用者应在建设期履约保函退还之前提供100万元的运营维护期履约保函。运营维护期履约保函有效期至有偿使用者提交移交期履约保函之日止。</w:t>
      </w:r>
    </w:p>
    <w:p w14:paraId="6023B828">
      <w:pPr>
        <w:keepNext w:val="0"/>
        <w:keepLines w:val="0"/>
        <w:pageBreakBefore w:val="0"/>
        <w:widowControl/>
        <w:kinsoku/>
        <w:wordWrap/>
        <w:overflowPunct/>
        <w:topLinePunct w:val="0"/>
        <w:autoSpaceDE w:val="0"/>
        <w:autoSpaceDN w:val="0"/>
        <w:bidi w:val="0"/>
        <w:adjustRightInd w:val="0"/>
        <w:snapToGrid w:val="0"/>
        <w:spacing w:line="480" w:lineRule="exact"/>
        <w:ind w:left="0" w:right="0" w:firstLine="420" w:firstLineChars="200"/>
        <w:jc w:val="both"/>
        <w:textAlignment w:val="baseline"/>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本项目有偿使用期结束日之日起21个月前，有偿使用者应向项目实施机构提交中国境内金融机构出具的以实施机构作为受益人的移交期履约保函，保函金额为100万元，以保证有偿使用者履行本合同项下提供移交维护项目设施的义务，该保函的有效期至项目移交程序结束后满21个月为止。</w:t>
      </w:r>
    </w:p>
    <w:p w14:paraId="502A4ABD">
      <w:pPr>
        <w:pStyle w:val="238"/>
        <w:numPr>
          <w:ilvl w:val="0"/>
          <w:numId w:val="0"/>
        </w:numPr>
        <w:spacing w:line="360" w:lineRule="auto"/>
        <w:rPr>
          <w:rFonts w:hint="eastAsia" w:ascii="宋体" w:hAnsi="宋体" w:eastAsia="宋体" w:cs="宋体"/>
          <w:b/>
          <w:bCs/>
          <w:color w:val="auto"/>
          <w:kern w:val="2"/>
          <w:sz w:val="21"/>
          <w:highlight w:val="none"/>
          <w:lang w:val="en-US" w:eastAsia="zh-CN" w:bidi="ar-SA"/>
        </w:rPr>
      </w:pPr>
      <w:r>
        <w:rPr>
          <w:rFonts w:hint="eastAsia" w:ascii="宋体" w:hAnsi="宋体" w:eastAsia="宋体" w:cs="宋体"/>
          <w:b/>
          <w:bCs/>
          <w:color w:val="auto"/>
          <w:kern w:val="2"/>
          <w:sz w:val="21"/>
          <w:highlight w:val="none"/>
          <w:lang w:val="en-US" w:eastAsia="zh-CN" w:bidi="ar-SA"/>
        </w:rPr>
        <w:t>注：有偿使用者在运营期未能履行项目合同约定的情形时，如运营绩效考核严重不良（绩效考核评分&lt;60即达到严重不良），影响工程质量，造成一定社会影响等，实施机构可选择扣除部分或全部合同项下运营维护期保函。进入移交过渡期（合作期满终止日之前21个月），且有偿使用者提交移交维护保函之后，实施机构应退还有偿使用者的运营维护期保函。</w:t>
      </w:r>
    </w:p>
    <w:p w14:paraId="1D869244">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outlineLvl w:val="9"/>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1.履约担保触发及退还机制</w:t>
      </w:r>
    </w:p>
    <w:p w14:paraId="55EA3BB9">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2" w:firstLineChars="200"/>
        <w:jc w:val="center"/>
        <w:textAlignment w:val="baseline"/>
        <w:outlineLvl w:val="9"/>
        <w:rPr>
          <w:rFonts w:hint="eastAsia" w:ascii="Times New Roman" w:hAnsi="Times New Roman" w:eastAsia="宋体" w:cs="Times New Roman"/>
          <w:b/>
          <w:bCs/>
          <w:color w:val="auto"/>
          <w:kern w:val="2"/>
          <w:sz w:val="21"/>
          <w:highlight w:val="none"/>
          <w:lang w:val="en-US" w:eastAsia="zh-CN" w:bidi="ar-SA"/>
        </w:rPr>
      </w:pPr>
      <w:r>
        <w:rPr>
          <w:rFonts w:hint="eastAsia" w:ascii="Times New Roman" w:hAnsi="Times New Roman" w:eastAsia="宋体" w:cs="Times New Roman"/>
          <w:b/>
          <w:bCs/>
          <w:color w:val="auto"/>
          <w:kern w:val="2"/>
          <w:sz w:val="21"/>
          <w:highlight w:val="none"/>
          <w:lang w:val="en-US" w:eastAsia="zh-CN" w:bidi="ar-SA"/>
        </w:rPr>
        <w:t>投标保证金的触发及退还</w:t>
      </w:r>
    </w:p>
    <w:p w14:paraId="2013D829">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发生以下情形时，实施机构可以没收投标保证金：竞投截止后投标人撤销竞投文件的；有偿使用者无正当理由不与实施机构订立合同的；在签订合同时向实施机构提出附加条件的；不按照公开招标文件要求提交</w:t>
      </w:r>
      <w:r>
        <w:rPr>
          <w:rFonts w:hint="eastAsia" w:cs="Times New Roman"/>
          <w:color w:val="auto"/>
          <w:kern w:val="2"/>
          <w:sz w:val="21"/>
          <w:highlight w:val="none"/>
          <w:lang w:val="en-US" w:eastAsia="zh-CN" w:bidi="ar-SA"/>
        </w:rPr>
        <w:t>投标</w:t>
      </w:r>
      <w:r>
        <w:rPr>
          <w:rFonts w:hint="eastAsia" w:ascii="Times New Roman" w:hAnsi="Times New Roman" w:eastAsia="宋体" w:cs="Times New Roman"/>
          <w:color w:val="auto"/>
          <w:kern w:val="2"/>
          <w:sz w:val="21"/>
          <w:highlight w:val="none"/>
          <w:lang w:val="en-US" w:eastAsia="zh-CN" w:bidi="ar-SA"/>
        </w:rPr>
        <w:t>保证金的；以及国家相关法律法规规定的不予退还投标保证金的其他情形。</w:t>
      </w:r>
    </w:p>
    <w:p w14:paraId="6A222A8C">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未成交投资人的投标保证金在公示期结束后即可退还；有偿使用者的投标保证金需在项目合同签订，且已提交建设期履约保函之后退还。</w:t>
      </w:r>
    </w:p>
    <w:p w14:paraId="624F808C">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2" w:firstLineChars="200"/>
        <w:jc w:val="center"/>
        <w:textAlignment w:val="baseline"/>
        <w:outlineLvl w:val="9"/>
        <w:rPr>
          <w:rFonts w:hint="eastAsia" w:ascii="Times New Roman" w:hAnsi="Times New Roman" w:eastAsia="宋体" w:cs="Times New Roman"/>
          <w:b/>
          <w:bCs/>
          <w:color w:val="auto"/>
          <w:kern w:val="2"/>
          <w:sz w:val="21"/>
          <w:highlight w:val="none"/>
          <w:lang w:val="en-US" w:eastAsia="zh-CN" w:bidi="ar-SA"/>
        </w:rPr>
      </w:pPr>
      <w:r>
        <w:rPr>
          <w:rFonts w:hint="eastAsia" w:ascii="Times New Roman" w:hAnsi="Times New Roman" w:eastAsia="宋体" w:cs="Times New Roman"/>
          <w:b/>
          <w:bCs/>
          <w:color w:val="auto"/>
          <w:kern w:val="2"/>
          <w:sz w:val="21"/>
          <w:highlight w:val="none"/>
          <w:lang w:val="en-US" w:eastAsia="zh-CN" w:bidi="ar-SA"/>
        </w:rPr>
        <w:t>建设期履约保函的触发及退还</w:t>
      </w:r>
    </w:p>
    <w:p w14:paraId="3C30AEDB">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有偿使用者在建设期未能履行有偿使用协议约定的情形时，如出现重大安全责任事故、严重工程质量缺陷导致无法进行竣工验收、由于有偿使用者原因导致工程无法按期竣工影响工程使用的情形等，实施机构可选择扣除部分或全部合同项下建设期履约保函。</w:t>
      </w:r>
    </w:p>
    <w:p w14:paraId="40A2E18D">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在本项目工程项目完工投入使用并完成竣工验收手续后，则可视为有偿使用者已履行建设期义务，同时运营维护期保函已经提交的情况下，项目实施机构应退还有偿使用者的建设期履约保函。</w:t>
      </w:r>
    </w:p>
    <w:p w14:paraId="439FB0D9">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2" w:firstLineChars="200"/>
        <w:jc w:val="center"/>
        <w:textAlignment w:val="baseline"/>
        <w:outlineLvl w:val="9"/>
        <w:rPr>
          <w:rFonts w:hint="eastAsia" w:ascii="Times New Roman" w:hAnsi="Times New Roman" w:eastAsia="宋体" w:cs="Times New Roman"/>
          <w:b/>
          <w:bCs/>
          <w:color w:val="auto"/>
          <w:kern w:val="2"/>
          <w:sz w:val="21"/>
          <w:highlight w:val="none"/>
          <w:lang w:val="en-US" w:eastAsia="zh-CN" w:bidi="ar-SA"/>
        </w:rPr>
      </w:pPr>
      <w:r>
        <w:rPr>
          <w:rFonts w:hint="eastAsia" w:ascii="Times New Roman" w:hAnsi="Times New Roman" w:eastAsia="宋体" w:cs="Times New Roman"/>
          <w:b/>
          <w:bCs/>
          <w:color w:val="auto"/>
          <w:kern w:val="2"/>
          <w:sz w:val="21"/>
          <w:highlight w:val="none"/>
          <w:lang w:val="en-US" w:eastAsia="zh-CN" w:bidi="ar-SA"/>
        </w:rPr>
        <w:t>运营维护期保函的触发及退还</w:t>
      </w:r>
    </w:p>
    <w:p w14:paraId="6FBFFEBC">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有偿使用者在运营期未能履行项目合同约定的情形时，如运营绩效考核严重不良（绩效考核评分&lt;60即达到严重不良），影响工程质量，造成一定社会影响等，实施机构可选择扣除部分或全部合同项下运营维护期保函。</w:t>
      </w:r>
    </w:p>
    <w:p w14:paraId="328D1005">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进入移交过渡期（合作期满终止日之前21个月），且有偿使用者提交移交维护保函之后，实施机构应退还有偿使用者的运营维护期保函。</w:t>
      </w:r>
    </w:p>
    <w:p w14:paraId="50447AB7">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2" w:firstLineChars="200"/>
        <w:jc w:val="center"/>
        <w:textAlignment w:val="baseline"/>
        <w:outlineLvl w:val="9"/>
        <w:rPr>
          <w:rFonts w:hint="eastAsia" w:ascii="Times New Roman" w:hAnsi="Times New Roman" w:eastAsia="宋体" w:cs="Times New Roman"/>
          <w:b/>
          <w:bCs/>
          <w:color w:val="auto"/>
          <w:kern w:val="2"/>
          <w:sz w:val="21"/>
          <w:highlight w:val="none"/>
          <w:lang w:val="en-US" w:eastAsia="zh-CN" w:bidi="ar-SA"/>
        </w:rPr>
      </w:pPr>
      <w:r>
        <w:rPr>
          <w:rFonts w:hint="eastAsia" w:ascii="Times New Roman" w:hAnsi="Times New Roman" w:eastAsia="宋体" w:cs="Times New Roman"/>
          <w:b/>
          <w:bCs/>
          <w:color w:val="auto"/>
          <w:kern w:val="2"/>
          <w:sz w:val="21"/>
          <w:highlight w:val="none"/>
          <w:lang w:val="en-US" w:eastAsia="zh-CN" w:bidi="ar-SA"/>
        </w:rPr>
        <w:t>移交维护保函的触发及退还</w:t>
      </w:r>
    </w:p>
    <w:p w14:paraId="1069AB20">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有偿使用者在移交过渡期（有偿使用期满终止日之前第21个月至有偿使用期满终止日之后第6个月）未能履行有偿使用协议约定的情形时，如重大工程质量缺陷无法修复或拒绝修复的，存在重大隐蔽性缺陷的情形等，实施机构可选择扣除部分或全部合同项下移交维护保函。</w:t>
      </w:r>
    </w:p>
    <w:p w14:paraId="30AFB889">
      <w:pPr>
        <w:keepNext w:val="0"/>
        <w:keepLines w:val="0"/>
        <w:pageBreakBefore w:val="0"/>
        <w:widowControl/>
        <w:kinsoku/>
        <w:wordWrap/>
        <w:overflowPunct/>
        <w:topLinePunct w:val="0"/>
        <w:autoSpaceDE w:val="0"/>
        <w:autoSpaceDN w:val="0"/>
        <w:bidi w:val="0"/>
        <w:adjustRightInd w:val="0"/>
        <w:snapToGrid w:val="0"/>
        <w:spacing w:line="520" w:lineRule="exact"/>
        <w:ind w:left="0" w:right="0" w:firstLine="420" w:firstLineChars="200"/>
        <w:jc w:val="both"/>
        <w:textAlignment w:val="baseline"/>
        <w:outlineLvl w:val="9"/>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项目有偿使用期满终止日之后第6个月，实施机构应退还有偿使用者移交维护保函。</w:t>
      </w:r>
    </w:p>
    <w:p w14:paraId="544F0FEF">
      <w:pPr>
        <w:keepNext w:val="0"/>
        <w:keepLines w:val="0"/>
        <w:pageBreakBefore w:val="0"/>
        <w:widowControl/>
        <w:kinsoku/>
        <w:wordWrap/>
        <w:overflowPunct/>
        <w:topLinePunct w:val="0"/>
        <w:autoSpaceDE w:val="0"/>
        <w:autoSpaceDN w:val="0"/>
        <w:bidi w:val="0"/>
        <w:adjustRightInd w:val="0"/>
        <w:snapToGrid w:val="0"/>
        <w:spacing w:line="520" w:lineRule="exact"/>
        <w:ind w:right="0"/>
        <w:jc w:val="both"/>
        <w:textAlignment w:val="baseline"/>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w:t>
      </w:r>
      <w:r>
        <w:rPr>
          <w:rFonts w:hint="eastAsia" w:ascii="宋体" w:hAnsi="宋体" w:cs="宋体"/>
          <w:b/>
          <w:color w:val="auto"/>
          <w:kern w:val="2"/>
          <w:sz w:val="24"/>
          <w:szCs w:val="24"/>
          <w:lang w:val="en-US" w:eastAsia="zh-CN" w:bidi="ar-SA"/>
        </w:rPr>
        <w:t>二十</w:t>
      </w:r>
      <w:r>
        <w:rPr>
          <w:rFonts w:hint="eastAsia" w:ascii="宋体" w:hAnsi="宋体" w:eastAsia="宋体" w:cs="宋体"/>
          <w:b/>
          <w:color w:val="auto"/>
          <w:kern w:val="2"/>
          <w:sz w:val="24"/>
          <w:szCs w:val="24"/>
          <w:lang w:val="en-US" w:eastAsia="zh-CN" w:bidi="ar-SA"/>
        </w:rPr>
        <w:t>）其他要求</w:t>
      </w:r>
      <w:bookmarkStart w:id="81" w:name="_Toc2556"/>
      <w:bookmarkStart w:id="82" w:name="_Toc4413"/>
    </w:p>
    <w:p w14:paraId="5E92310E">
      <w:pPr>
        <w:keepNext w:val="0"/>
        <w:keepLines w:val="0"/>
        <w:pageBreakBefore w:val="0"/>
        <w:widowControl/>
        <w:numPr>
          <w:ilvl w:val="0"/>
          <w:numId w:val="0"/>
        </w:numPr>
        <w:kinsoku/>
        <w:wordWrap/>
        <w:overflowPunct/>
        <w:topLinePunct w:val="0"/>
        <w:autoSpaceDE w:val="0"/>
        <w:autoSpaceDN w:val="0"/>
        <w:bidi w:val="0"/>
        <w:adjustRightInd w:val="0"/>
        <w:snapToGrid w:val="0"/>
        <w:spacing w:line="520" w:lineRule="exact"/>
        <w:ind w:right="0" w:rightChars="0" w:firstLine="211" w:firstLineChars="100"/>
        <w:jc w:val="both"/>
        <w:textAlignment w:val="baseline"/>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1.项目用地</w:t>
      </w:r>
      <w:bookmarkEnd w:id="81"/>
      <w:bookmarkEnd w:id="82"/>
    </w:p>
    <w:p w14:paraId="20432652">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本项目有偿使用者在完成资产移交后，按原用途使用移交资产（新丰县公共智慧体系配套建设项目公共停车泊位和可建新能源汽车充电桩及配套设施场址）的土地。</w:t>
      </w:r>
    </w:p>
    <w:p w14:paraId="5DECEDB3">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未经政府方同意，有偿使用者不得以转租、分租、转包、分包、转让的方式处置其所取得的土地相关权益。</w:t>
      </w:r>
    </w:p>
    <w:p w14:paraId="5F135B5B">
      <w:pPr>
        <w:pageBreakBefore w:val="0"/>
        <w:widowControl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szCs w:val="21"/>
          <w:highlight w:val="none"/>
          <w:lang w:val="en-US" w:eastAsia="zh-CN"/>
        </w:rPr>
      </w:pPr>
      <w:bookmarkStart w:id="83" w:name="_Toc15826"/>
      <w:bookmarkStart w:id="84" w:name="_Toc6784"/>
      <w:r>
        <w:rPr>
          <w:rFonts w:hint="eastAsia" w:ascii="宋体" w:hAnsi="宋体" w:eastAsia="宋体" w:cs="宋体"/>
          <w:b/>
          <w:bCs/>
          <w:color w:val="auto"/>
          <w:szCs w:val="21"/>
          <w:highlight w:val="none"/>
          <w:lang w:val="en-US" w:eastAsia="zh-CN"/>
        </w:rPr>
        <w:t>2.其他配套</w:t>
      </w:r>
      <w:bookmarkEnd w:id="83"/>
      <w:bookmarkEnd w:id="84"/>
    </w:p>
    <w:p w14:paraId="635F6410">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本项目除项目用地之外的其他配套设施安排如下：</w:t>
      </w:r>
    </w:p>
    <w:p w14:paraId="7E5D8741">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①公共设施配套，本项目的公共设施可用现有已建成的市政公共设施，项目用地周边供水、电、通讯、信息网等设施能满足项目建设需求；</w:t>
      </w:r>
    </w:p>
    <w:p w14:paraId="6FB094F0">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②交通配套，本项目交通较为便利，能够满足施工条件；</w:t>
      </w:r>
    </w:p>
    <w:p w14:paraId="1CD5CD23">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③施工条件，项目周围交通便利，各种建筑材料均能供应，且施工用水、用电都能得到保障，无较大阻碍因素存在。</w:t>
      </w:r>
    </w:p>
    <w:p w14:paraId="313847A8">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④项目运营维护期间涉及的供水、排水、电力、通信等由有偿使用者负责，政府协调和配合。</w:t>
      </w:r>
    </w:p>
    <w:p w14:paraId="16CFAF38">
      <w:pPr>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⑤有偿使用者在项目设施的管理、维护和建设过程中，需占用公共绿地、城市道路及其他公共设施时，应按规定报经有关部门批准，项目实施机构应当协调各相关部门予以必要的协助和配合。占用结束后，有偿使用者应当将占用或动用的设施恢复原状，并依照有关收费标准承担相关的占用费用。</w:t>
      </w:r>
    </w:p>
    <w:p w14:paraId="4637C0D5">
      <w:pPr>
        <w:pageBreakBefore w:val="0"/>
        <w:widowControl w:val="0"/>
        <w:kinsoku/>
        <w:wordWrap/>
        <w:overflowPunct/>
        <w:topLinePunct w:val="0"/>
        <w:autoSpaceDE/>
        <w:autoSpaceDN/>
        <w:bidi w:val="0"/>
        <w:adjustRightInd/>
        <w:snapToGrid/>
        <w:spacing w:line="240" w:lineRule="auto"/>
        <w:ind w:firstLine="211" w:firstLineChars="100"/>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3.</w:t>
      </w:r>
      <w:bookmarkStart w:id="85" w:name="_Toc6004"/>
      <w:r>
        <w:rPr>
          <w:rFonts w:hint="eastAsia" w:ascii="宋体" w:hAnsi="宋体" w:eastAsia="宋体" w:cs="宋体"/>
          <w:b/>
          <w:bCs/>
          <w:color w:val="auto"/>
          <w:kern w:val="2"/>
          <w:sz w:val="21"/>
          <w:szCs w:val="21"/>
          <w:highlight w:val="none"/>
          <w:lang w:val="en-US" w:eastAsia="zh-CN" w:bidi="ar-SA"/>
        </w:rPr>
        <w:t>《新丰县市政公共空间资源智慧停车项目实施方案》（另附）</w:t>
      </w:r>
      <w:bookmarkEnd w:id="85"/>
    </w:p>
    <w:p w14:paraId="52B9C1F9">
      <w:pPr>
        <w:pageBreakBefore w:val="0"/>
        <w:widowControl w:val="0"/>
        <w:kinsoku/>
        <w:wordWrap/>
        <w:overflowPunct/>
        <w:topLinePunct w:val="0"/>
        <w:autoSpaceDE/>
        <w:autoSpaceDN/>
        <w:bidi w:val="0"/>
        <w:adjustRightInd/>
        <w:snapToGrid/>
        <w:spacing w:line="240" w:lineRule="auto"/>
        <w:ind w:firstLine="211" w:firstLineChars="100"/>
        <w:textAlignment w:val="auto"/>
        <w:rPr>
          <w:rFonts w:hint="eastAsia" w:ascii="宋体" w:hAnsi="宋体" w:eastAsia="宋体" w:cs="宋体"/>
          <w:b/>
          <w:bCs/>
          <w:color w:val="auto"/>
          <w:kern w:val="2"/>
          <w:sz w:val="21"/>
          <w:szCs w:val="21"/>
          <w:highlight w:val="none"/>
          <w:lang w:val="en-US" w:eastAsia="zh-CN" w:bidi="ar-SA"/>
        </w:rPr>
        <w:sectPr>
          <w:pgSz w:w="11905" w:h="16838"/>
          <w:pgMar w:top="1440" w:right="1803" w:bottom="1440" w:left="1803" w:header="283" w:footer="1077" w:gutter="0"/>
          <w:pgNumType w:fmt="decimal"/>
          <w:cols w:space="0" w:num="1"/>
          <w:rtlGutter w:val="0"/>
          <w:docGrid w:type="lines" w:linePitch="317" w:charSpace="0"/>
        </w:sectPr>
      </w:pPr>
      <w:r>
        <w:rPr>
          <w:rFonts w:hint="eastAsia" w:ascii="宋体" w:hAnsi="宋体" w:eastAsia="宋体" w:cs="宋体"/>
          <w:b/>
          <w:bCs/>
          <w:color w:val="auto"/>
          <w:kern w:val="2"/>
          <w:sz w:val="21"/>
          <w:szCs w:val="21"/>
          <w:highlight w:val="none"/>
          <w:lang w:val="en-US" w:eastAsia="zh-CN" w:bidi="ar-SA"/>
        </w:rPr>
        <w:t>4.招标需求中未尽事宜按“新丰县市政公共空间资源智慧停车项目实施方案”执行。</w:t>
      </w:r>
    </w:p>
    <w:bookmarkEnd w:id="34"/>
    <w:bookmarkEnd w:id="35"/>
    <w:bookmarkEnd w:id="36"/>
    <w:bookmarkEnd w:id="37"/>
    <w:bookmarkEnd w:id="38"/>
    <w:p w14:paraId="1AA49114">
      <w:pPr>
        <w:pStyle w:val="2"/>
        <w:spacing w:beforeAutospacing="0" w:afterAutospacing="0" w:line="360" w:lineRule="auto"/>
        <w:jc w:val="center"/>
        <w:rPr>
          <w:rFonts w:ascii="宋体" w:hAnsi="宋体" w:eastAsia="宋体" w:cs="宋体"/>
          <w:b/>
          <w:bCs/>
          <w:sz w:val="36"/>
          <w:szCs w:val="36"/>
        </w:rPr>
      </w:pPr>
      <w:r>
        <w:rPr>
          <w:rFonts w:hint="eastAsia" w:ascii="宋体" w:hAnsi="宋体" w:eastAsia="宋体" w:cs="宋体"/>
          <w:b/>
          <w:bCs/>
          <w:sz w:val="36"/>
          <w:szCs w:val="36"/>
        </w:rPr>
        <w:t>第三部分 投标人须知</w:t>
      </w:r>
    </w:p>
    <w:p w14:paraId="11A7D480">
      <w:pPr>
        <w:pStyle w:val="4"/>
        <w:numPr>
          <w:ilvl w:val="0"/>
          <w:numId w:val="5"/>
        </w:numPr>
        <w:adjustRightInd/>
        <w:spacing w:before="260" w:beforeAutospacing="0" w:afterAutospacing="0"/>
        <w:textAlignment w:val="auto"/>
        <w:rPr>
          <w:rFonts w:ascii="宋体" w:hAnsi="宋体" w:eastAsia="宋体" w:cs="宋体"/>
          <w:bCs/>
          <w:sz w:val="21"/>
          <w:szCs w:val="21"/>
        </w:rPr>
      </w:pPr>
      <w:bookmarkStart w:id="86" w:name="_Toc56855648"/>
      <w:bookmarkEnd w:id="86"/>
      <w:bookmarkStart w:id="87" w:name="_Toc56851223"/>
      <w:bookmarkEnd w:id="87"/>
      <w:bookmarkStart w:id="88" w:name="_Toc56855616"/>
      <w:bookmarkEnd w:id="88"/>
      <w:bookmarkStart w:id="89" w:name="_Toc52270232"/>
      <w:bookmarkEnd w:id="89"/>
      <w:bookmarkStart w:id="90" w:name="_Toc56846630"/>
      <w:bookmarkEnd w:id="90"/>
      <w:bookmarkStart w:id="91" w:name="_Toc52288201"/>
      <w:bookmarkEnd w:id="91"/>
      <w:bookmarkStart w:id="92" w:name="_Toc56938696"/>
      <w:bookmarkEnd w:id="92"/>
      <w:r>
        <w:rPr>
          <w:rFonts w:hint="eastAsia" w:ascii="宋体" w:hAnsi="宋体" w:eastAsia="宋体" w:cs="宋体"/>
          <w:bCs/>
          <w:sz w:val="21"/>
          <w:szCs w:val="21"/>
        </w:rPr>
        <w:t>总体说明</w:t>
      </w:r>
    </w:p>
    <w:p w14:paraId="29738185">
      <w:pPr>
        <w:numPr>
          <w:ilvl w:val="1"/>
          <w:numId w:val="5"/>
        </w:numPr>
        <w:spacing w:beforeAutospacing="0" w:afterAutospacing="0" w:line="360" w:lineRule="auto"/>
        <w:rPr>
          <w:rFonts w:ascii="宋体" w:hAnsi="宋体" w:cs="宋体"/>
          <w:b/>
          <w:bCs/>
          <w:szCs w:val="21"/>
        </w:rPr>
      </w:pPr>
      <w:r>
        <w:rPr>
          <w:rFonts w:hint="eastAsia" w:ascii="宋体" w:hAnsi="宋体" w:cs="宋体"/>
          <w:b/>
          <w:bCs/>
          <w:szCs w:val="21"/>
        </w:rPr>
        <w:t>招标类别及资金说明</w:t>
      </w:r>
    </w:p>
    <w:p w14:paraId="7FEBB1E7">
      <w:pPr>
        <w:spacing w:beforeAutospacing="0" w:afterAutospacing="0" w:line="360" w:lineRule="auto"/>
        <w:ind w:firstLine="420" w:firstLineChars="200"/>
      </w:pPr>
      <w:r>
        <w:rPr>
          <w:rFonts w:hint="eastAsia" w:ascii="宋体" w:hAnsi="宋体" w:cs="宋体"/>
          <w:bCs/>
          <w:szCs w:val="21"/>
        </w:rPr>
        <w:t>本项目属</w:t>
      </w:r>
      <w:r>
        <w:rPr>
          <w:rFonts w:hint="eastAsia" w:ascii="宋体" w:hAnsi="宋体" w:cs="宋体"/>
          <w:b/>
          <w:szCs w:val="21"/>
        </w:rPr>
        <w:t>服务类</w:t>
      </w:r>
      <w:r>
        <w:rPr>
          <w:rFonts w:hint="eastAsia" w:ascii="宋体" w:hAnsi="宋体" w:cs="宋体"/>
          <w:bCs/>
          <w:szCs w:val="21"/>
        </w:rPr>
        <w:t>项目。资金来源：</w:t>
      </w:r>
      <w:r>
        <w:rPr>
          <w:rFonts w:hint="eastAsia" w:ascii="宋体" w:hAnsi="宋体" w:cs="宋体"/>
          <w:b/>
          <w:szCs w:val="21"/>
        </w:rPr>
        <w:t>特许经营者自筹资金。</w:t>
      </w:r>
    </w:p>
    <w:p w14:paraId="2EAF5C3F">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关于限价</w:t>
      </w:r>
    </w:p>
    <w:p w14:paraId="1CD928A0">
      <w:pPr>
        <w:tabs>
          <w:tab w:val="left" w:pos="1900"/>
        </w:tabs>
        <w:snapToGrid w:val="0"/>
        <w:spacing w:line="360" w:lineRule="auto"/>
        <w:ind w:firstLine="420" w:firstLineChars="200"/>
        <w:rPr>
          <w:color w:val="auto"/>
          <w:highlight w:val="none"/>
        </w:rPr>
      </w:pPr>
      <w:r>
        <w:rPr>
          <w:rFonts w:hint="eastAsia" w:ascii="宋体" w:hAnsi="宋体"/>
          <w:bCs/>
          <w:color w:val="auto"/>
          <w:szCs w:val="21"/>
          <w:highlight w:val="none"/>
        </w:rPr>
        <w:t>本项目的最高限价见第二部分《</w:t>
      </w:r>
      <w:r>
        <w:rPr>
          <w:rFonts w:hint="eastAsia" w:ascii="宋体" w:hAnsi="宋体"/>
          <w:bCs/>
          <w:color w:val="auto"/>
          <w:szCs w:val="21"/>
          <w:highlight w:val="none"/>
          <w:lang w:val="en-US" w:eastAsia="zh-CN"/>
        </w:rPr>
        <w:t>招标</w:t>
      </w:r>
      <w:r>
        <w:rPr>
          <w:rFonts w:hint="eastAsia" w:ascii="宋体" w:hAnsi="宋体"/>
          <w:bCs/>
          <w:color w:val="auto"/>
          <w:szCs w:val="21"/>
          <w:highlight w:val="none"/>
        </w:rPr>
        <w:t>需求》，凡</w:t>
      </w:r>
      <w:r>
        <w:rPr>
          <w:rFonts w:hint="eastAsia" w:ascii="宋体" w:hAnsi="宋体"/>
          <w:bCs/>
          <w:color w:val="auto"/>
          <w:szCs w:val="21"/>
          <w:highlight w:val="none"/>
          <w:lang w:val="en-US" w:eastAsia="zh-CN"/>
        </w:rPr>
        <w:t>投标</w:t>
      </w:r>
      <w:r>
        <w:rPr>
          <w:rFonts w:hint="eastAsia" w:ascii="宋体" w:hAnsi="宋体"/>
          <w:bCs/>
          <w:color w:val="auto"/>
          <w:szCs w:val="21"/>
          <w:highlight w:val="none"/>
        </w:rPr>
        <w:t>报价超出最高限价的将被视为无效</w:t>
      </w:r>
      <w:r>
        <w:rPr>
          <w:rFonts w:hint="eastAsia" w:ascii="宋体" w:hAnsi="宋体"/>
          <w:bCs/>
          <w:color w:val="auto"/>
          <w:szCs w:val="21"/>
          <w:highlight w:val="none"/>
          <w:lang w:val="en-US" w:eastAsia="zh-CN"/>
        </w:rPr>
        <w:t>投标</w:t>
      </w:r>
      <w:r>
        <w:rPr>
          <w:rFonts w:hint="eastAsia" w:ascii="宋体" w:hAnsi="宋体"/>
          <w:bCs/>
          <w:color w:val="auto"/>
          <w:szCs w:val="21"/>
          <w:highlight w:val="none"/>
        </w:rPr>
        <w:t>。</w:t>
      </w:r>
    </w:p>
    <w:p w14:paraId="23637E08">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适用范围</w:t>
      </w:r>
    </w:p>
    <w:p w14:paraId="5F0743E1">
      <w:pPr>
        <w:spacing w:beforeAutospacing="0" w:afterAutospacing="0" w:line="360" w:lineRule="auto"/>
        <w:ind w:firstLine="420" w:firstLineChars="200"/>
        <w:rPr>
          <w:rFonts w:ascii="宋体" w:hAnsi="宋体" w:eastAsia="宋体" w:cs="宋体"/>
          <w:bCs/>
          <w:szCs w:val="21"/>
        </w:rPr>
      </w:pPr>
      <w:r>
        <w:rPr>
          <w:rFonts w:hint="eastAsia" w:ascii="宋体" w:hAnsi="宋体" w:eastAsia="宋体" w:cs="宋体"/>
          <w:bCs/>
          <w:szCs w:val="21"/>
        </w:rPr>
        <w:t>本项目仅适用于本招标文件所述的</w:t>
      </w:r>
      <w:r>
        <w:rPr>
          <w:rFonts w:hint="eastAsia" w:ascii="宋体" w:hAnsi="宋体" w:eastAsia="宋体" w:cs="宋体"/>
          <w:szCs w:val="21"/>
        </w:rPr>
        <w:t>招标内容</w:t>
      </w:r>
      <w:r>
        <w:rPr>
          <w:rFonts w:hint="eastAsia" w:ascii="宋体" w:hAnsi="宋体" w:eastAsia="宋体" w:cs="宋体"/>
          <w:bCs/>
          <w:szCs w:val="21"/>
        </w:rPr>
        <w:t>。</w:t>
      </w:r>
    </w:p>
    <w:p w14:paraId="112CE933">
      <w:pPr>
        <w:numPr>
          <w:ilvl w:val="1"/>
          <w:numId w:val="5"/>
        </w:numPr>
        <w:spacing w:beforeAutospacing="0" w:afterAutospacing="0" w:line="360" w:lineRule="auto"/>
        <w:rPr>
          <w:rFonts w:ascii="宋体" w:hAnsi="宋体" w:eastAsia="宋体" w:cs="宋体"/>
          <w:szCs w:val="21"/>
        </w:rPr>
      </w:pPr>
      <w:r>
        <w:rPr>
          <w:rFonts w:hint="eastAsia" w:ascii="宋体" w:hAnsi="宋体" w:eastAsia="宋体" w:cs="宋体"/>
          <w:b/>
          <w:bCs/>
          <w:szCs w:val="21"/>
        </w:rPr>
        <w:t>合格的投标人</w:t>
      </w:r>
    </w:p>
    <w:p w14:paraId="6D5A6186">
      <w:pPr>
        <w:numPr>
          <w:ilvl w:val="2"/>
          <w:numId w:val="5"/>
        </w:numPr>
        <w:tabs>
          <w:tab w:val="clear" w:pos="624"/>
        </w:tabs>
        <w:spacing w:beforeAutospacing="0" w:afterAutospacing="0" w:line="360" w:lineRule="auto"/>
        <w:rPr>
          <w:rFonts w:ascii="宋体" w:hAnsi="宋体" w:eastAsia="宋体" w:cs="宋体"/>
          <w:szCs w:val="21"/>
        </w:rPr>
      </w:pPr>
      <w:r>
        <w:rPr>
          <w:rFonts w:hint="eastAsia" w:ascii="宋体" w:hAnsi="宋体" w:eastAsia="宋体" w:cs="宋体"/>
          <w:szCs w:val="21"/>
        </w:rPr>
        <w:t>具有符合《投标邀请》中申请人资格要求；</w:t>
      </w:r>
    </w:p>
    <w:p w14:paraId="4B53F4C4">
      <w:pPr>
        <w:numPr>
          <w:ilvl w:val="2"/>
          <w:numId w:val="5"/>
        </w:numPr>
        <w:tabs>
          <w:tab w:val="clear" w:pos="624"/>
        </w:tabs>
        <w:spacing w:beforeAutospacing="0" w:afterAutospacing="0" w:line="360" w:lineRule="auto"/>
        <w:rPr>
          <w:rFonts w:ascii="宋体" w:hAnsi="宋体" w:eastAsia="宋体" w:cs="宋体"/>
          <w:szCs w:val="21"/>
        </w:rPr>
      </w:pPr>
      <w:r>
        <w:rPr>
          <w:rFonts w:hint="eastAsia" w:ascii="宋体" w:hAnsi="宋体" w:eastAsia="宋体" w:cs="宋体"/>
          <w:szCs w:val="21"/>
        </w:rPr>
        <w:t>是独立于招标人和招标代理机构的</w:t>
      </w:r>
      <w:r>
        <w:rPr>
          <w:rFonts w:hint="eastAsia" w:ascii="宋体" w:hAnsi="宋体" w:cs="宋体"/>
          <w:szCs w:val="21"/>
          <w:lang w:eastAsia="zh-CN"/>
        </w:rPr>
        <w:t>投标人</w:t>
      </w:r>
      <w:r>
        <w:rPr>
          <w:rFonts w:hint="eastAsia" w:ascii="宋体" w:hAnsi="宋体" w:eastAsia="宋体" w:cs="宋体"/>
          <w:szCs w:val="21"/>
        </w:rPr>
        <w:t>；</w:t>
      </w:r>
    </w:p>
    <w:p w14:paraId="5C84525B">
      <w:pPr>
        <w:numPr>
          <w:ilvl w:val="2"/>
          <w:numId w:val="5"/>
        </w:numPr>
        <w:tabs>
          <w:tab w:val="clear" w:pos="624"/>
        </w:tabs>
        <w:spacing w:beforeAutospacing="0" w:afterAutospacing="0" w:line="360" w:lineRule="auto"/>
        <w:rPr>
          <w:rFonts w:ascii="宋体" w:hAnsi="宋体" w:eastAsia="宋体" w:cs="宋体"/>
          <w:szCs w:val="21"/>
        </w:rPr>
      </w:pPr>
      <w:r>
        <w:rPr>
          <w:rFonts w:hint="eastAsia" w:ascii="宋体" w:hAnsi="宋体" w:eastAsia="宋体" w:cs="宋体"/>
          <w:szCs w:val="21"/>
        </w:rPr>
        <w:t>单位负责人为同一人或者存在直接控股、管理关系的不同</w:t>
      </w:r>
      <w:r>
        <w:rPr>
          <w:rFonts w:hint="eastAsia" w:ascii="宋体" w:hAnsi="宋体" w:cs="宋体"/>
          <w:szCs w:val="21"/>
          <w:lang w:eastAsia="zh-CN"/>
        </w:rPr>
        <w:t>投标人</w:t>
      </w:r>
      <w:r>
        <w:rPr>
          <w:rFonts w:hint="eastAsia" w:ascii="宋体" w:hAnsi="宋体" w:eastAsia="宋体" w:cs="宋体"/>
          <w:szCs w:val="21"/>
        </w:rPr>
        <w:t>，不得参加同一合同项目的招标活动；</w:t>
      </w:r>
    </w:p>
    <w:p w14:paraId="5D489824">
      <w:pPr>
        <w:numPr>
          <w:ilvl w:val="2"/>
          <w:numId w:val="5"/>
        </w:numPr>
        <w:tabs>
          <w:tab w:val="clear" w:pos="624"/>
        </w:tabs>
        <w:spacing w:beforeAutospacing="0" w:afterAutospacing="0" w:line="360" w:lineRule="auto"/>
        <w:rPr>
          <w:rFonts w:ascii="宋体" w:hAnsi="宋体" w:eastAsia="宋体" w:cs="宋体"/>
          <w:szCs w:val="21"/>
        </w:rPr>
      </w:pPr>
      <w:r>
        <w:rPr>
          <w:rFonts w:hint="eastAsia" w:ascii="宋体" w:hAnsi="宋体" w:eastAsia="宋体" w:cs="宋体"/>
          <w:szCs w:val="21"/>
        </w:rPr>
        <w:t>为本项目提供整体设计、规范编制、招标等服务的</w:t>
      </w:r>
      <w:r>
        <w:rPr>
          <w:rFonts w:hint="eastAsia" w:ascii="宋体" w:hAnsi="宋体" w:cs="宋体"/>
          <w:szCs w:val="21"/>
          <w:lang w:eastAsia="zh-CN"/>
        </w:rPr>
        <w:t>投标人</w:t>
      </w:r>
      <w:r>
        <w:rPr>
          <w:rFonts w:hint="eastAsia" w:ascii="宋体" w:hAnsi="宋体" w:eastAsia="宋体" w:cs="宋体"/>
          <w:szCs w:val="21"/>
        </w:rPr>
        <w:t>，不得再参加本项目的招标活动；</w:t>
      </w:r>
    </w:p>
    <w:p w14:paraId="15D43187">
      <w:pPr>
        <w:numPr>
          <w:ilvl w:val="2"/>
          <w:numId w:val="5"/>
        </w:numPr>
        <w:tabs>
          <w:tab w:val="clear" w:pos="624"/>
        </w:tabs>
        <w:spacing w:beforeAutospacing="0" w:afterAutospacing="0" w:line="360" w:lineRule="auto"/>
        <w:rPr>
          <w:rFonts w:ascii="宋体" w:hAnsi="宋体" w:eastAsia="宋体" w:cs="宋体"/>
          <w:szCs w:val="21"/>
        </w:rPr>
      </w:pPr>
      <w:r>
        <w:rPr>
          <w:rFonts w:hint="eastAsia" w:ascii="宋体" w:hAnsi="宋体" w:eastAsia="宋体" w:cs="宋体"/>
          <w:szCs w:val="21"/>
        </w:rPr>
        <w:t>已在本项目报名及购买招标文件的投标人。</w:t>
      </w:r>
    </w:p>
    <w:p w14:paraId="4BFAEDCA">
      <w:pPr>
        <w:numPr>
          <w:ilvl w:val="1"/>
          <w:numId w:val="5"/>
        </w:numPr>
        <w:spacing w:beforeAutospacing="0" w:afterAutospacing="0" w:line="360" w:lineRule="auto"/>
        <w:rPr>
          <w:rFonts w:ascii="宋体" w:hAnsi="宋体" w:eastAsia="宋体" w:cs="宋体"/>
          <w:szCs w:val="21"/>
        </w:rPr>
      </w:pPr>
      <w:r>
        <w:rPr>
          <w:rFonts w:hint="eastAsia" w:ascii="宋体" w:hAnsi="宋体" w:eastAsia="宋体" w:cs="宋体"/>
          <w:b/>
          <w:bCs/>
          <w:szCs w:val="21"/>
        </w:rPr>
        <w:t>投标费用</w:t>
      </w:r>
    </w:p>
    <w:p w14:paraId="3D18B510">
      <w:pPr>
        <w:numPr>
          <w:ilvl w:val="2"/>
          <w:numId w:val="5"/>
        </w:numPr>
        <w:spacing w:beforeAutospacing="0" w:afterAutospacing="0" w:line="360" w:lineRule="auto"/>
        <w:rPr>
          <w:rFonts w:ascii="宋体" w:hAnsi="宋体" w:eastAsia="宋体" w:cs="宋体"/>
          <w:szCs w:val="21"/>
        </w:rPr>
      </w:pPr>
      <w:r>
        <w:rPr>
          <w:rFonts w:hint="eastAsia" w:ascii="宋体" w:hAnsi="宋体" w:eastAsia="宋体" w:cs="宋体"/>
          <w:szCs w:val="21"/>
        </w:rPr>
        <w:t>投标人应承担所有参与本次投标的全部费用。不论投标的结果如何，招标代理机构和招标人均无义务和责任承担这些费用。</w:t>
      </w:r>
    </w:p>
    <w:p w14:paraId="722C17F4">
      <w:pPr>
        <w:numPr>
          <w:ilvl w:val="2"/>
          <w:numId w:val="5"/>
        </w:numPr>
        <w:spacing w:beforeAutospacing="0" w:afterAutospacing="0" w:line="360" w:lineRule="auto"/>
        <w:rPr>
          <w:rFonts w:ascii="宋体" w:hAnsi="宋体" w:eastAsia="宋体" w:cs="宋体"/>
          <w:szCs w:val="21"/>
        </w:rPr>
      </w:pPr>
      <w:r>
        <w:rPr>
          <w:rFonts w:hint="eastAsia" w:ascii="宋体" w:hAnsi="宋体" w:eastAsia="宋体" w:cs="宋体"/>
          <w:szCs w:val="21"/>
        </w:rPr>
        <w:t>投标人参与重新招标的项目，招标代理机构报名费不予退还，投标人必须重新按招标文件要求的金额及规定的期限内重新报名和重新</w:t>
      </w:r>
      <w:r>
        <w:rPr>
          <w:rFonts w:hint="eastAsia" w:ascii="宋体" w:hAnsi="宋体" w:cs="宋体"/>
          <w:szCs w:val="21"/>
          <w:lang w:eastAsia="zh-CN"/>
        </w:rPr>
        <w:t>缴纳</w:t>
      </w:r>
      <w:r>
        <w:rPr>
          <w:rFonts w:hint="eastAsia" w:ascii="宋体" w:hAnsi="宋体" w:eastAsia="宋体" w:cs="宋体"/>
          <w:szCs w:val="21"/>
        </w:rPr>
        <w:t>投标保证金，否则，评标委员会将对其投标文件作无效投标处理。</w:t>
      </w:r>
    </w:p>
    <w:p w14:paraId="6A31D34E">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合格的货物和服务</w:t>
      </w:r>
    </w:p>
    <w:p w14:paraId="776E911C">
      <w:pPr>
        <w:numPr>
          <w:ilvl w:val="2"/>
          <w:numId w:val="5"/>
        </w:numPr>
        <w:spacing w:beforeAutospacing="0" w:afterAutospacing="0" w:line="360" w:lineRule="auto"/>
        <w:rPr>
          <w:rFonts w:ascii="宋体" w:hAnsi="宋体" w:eastAsia="宋体" w:cs="宋体"/>
          <w:szCs w:val="21"/>
        </w:rPr>
      </w:pPr>
      <w:r>
        <w:rPr>
          <w:rFonts w:hint="eastAsia" w:ascii="宋体" w:hAnsi="宋体" w:eastAsia="宋体" w:cs="宋体"/>
          <w:szCs w:val="21"/>
        </w:rPr>
        <w:t>投标人提供的所有货物及服务，其来源均应符合相关法律法规的规定。</w:t>
      </w:r>
    </w:p>
    <w:p w14:paraId="28C143E5">
      <w:pPr>
        <w:numPr>
          <w:ilvl w:val="2"/>
          <w:numId w:val="5"/>
        </w:numPr>
        <w:spacing w:beforeAutospacing="0" w:afterAutospacing="0" w:line="360" w:lineRule="auto"/>
        <w:rPr>
          <w:rFonts w:ascii="宋体" w:hAnsi="宋体" w:eastAsia="宋体" w:cs="宋体"/>
          <w:szCs w:val="21"/>
        </w:rPr>
      </w:pPr>
      <w:r>
        <w:rPr>
          <w:rFonts w:hint="eastAsia" w:ascii="宋体" w:hAnsi="宋体" w:eastAsia="宋体" w:cs="宋体"/>
          <w:szCs w:val="21"/>
        </w:rPr>
        <w:t>招标人将拒绝接受不合格的货物和服务。</w:t>
      </w:r>
    </w:p>
    <w:p w14:paraId="461CB9E8">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定义</w:t>
      </w:r>
    </w:p>
    <w:p w14:paraId="26673C04">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“招标人”指本招标项目的委托人和最终使用单位，亦指“业主”、“</w:t>
      </w:r>
      <w:r>
        <w:rPr>
          <w:rFonts w:hint="eastAsia" w:ascii="宋体" w:hAnsi="宋体" w:cs="宋体"/>
          <w:szCs w:val="21"/>
          <w:lang w:eastAsia="zh-CN"/>
        </w:rPr>
        <w:t>招标人</w:t>
      </w:r>
      <w:r>
        <w:rPr>
          <w:rFonts w:hint="eastAsia" w:ascii="宋体" w:hAnsi="宋体" w:eastAsia="宋体" w:cs="宋体"/>
          <w:szCs w:val="21"/>
        </w:rPr>
        <w:t>”。</w:t>
      </w:r>
    </w:p>
    <w:p w14:paraId="5BB3BE5E">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“招标代理机构”指韶关市鸿鑫招标代理有限公司。</w:t>
      </w:r>
    </w:p>
    <w:p w14:paraId="65A4599B">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“投标人”指向招标代理机构提交投标文件并参与投标报价的法人或其他组织，亦指“</w:t>
      </w:r>
      <w:r>
        <w:rPr>
          <w:rFonts w:hint="eastAsia" w:ascii="宋体" w:hAnsi="宋体" w:cs="宋体"/>
          <w:szCs w:val="21"/>
          <w:lang w:eastAsia="zh-CN"/>
        </w:rPr>
        <w:t>投标人</w:t>
      </w:r>
      <w:r>
        <w:rPr>
          <w:rFonts w:hint="eastAsia" w:ascii="宋体" w:hAnsi="宋体" w:eastAsia="宋体" w:cs="宋体"/>
          <w:szCs w:val="21"/>
        </w:rPr>
        <w:t>”。</w:t>
      </w:r>
    </w:p>
    <w:p w14:paraId="7CCC2DC2">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w:t>
      </w:r>
      <w:r>
        <w:rPr>
          <w:rFonts w:hint="eastAsia" w:ascii="宋体" w:hAnsi="宋体" w:cs="宋体"/>
          <w:szCs w:val="21"/>
          <w:lang w:eastAsia="zh-CN"/>
        </w:rPr>
        <w:t>中标人</w:t>
      </w:r>
      <w:r>
        <w:rPr>
          <w:rFonts w:hint="eastAsia" w:ascii="宋体" w:hAnsi="宋体" w:eastAsia="宋体" w:cs="宋体"/>
          <w:szCs w:val="21"/>
        </w:rPr>
        <w:t>” 指经法定程序确定并授予合同的投标</w:t>
      </w:r>
      <w:r>
        <w:rPr>
          <w:rFonts w:hint="eastAsia" w:ascii="宋体" w:hAnsi="宋体" w:cs="宋体"/>
          <w:szCs w:val="21"/>
          <w:lang w:eastAsia="zh-CN"/>
        </w:rPr>
        <w:t>投标人</w:t>
      </w:r>
      <w:r>
        <w:rPr>
          <w:rFonts w:hint="eastAsia" w:ascii="宋体" w:hAnsi="宋体" w:eastAsia="宋体" w:cs="宋体"/>
          <w:szCs w:val="21"/>
        </w:rPr>
        <w:t>。</w:t>
      </w:r>
    </w:p>
    <w:p w14:paraId="2ABFE119">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“甲方”指招标人，合同的一方当事人。</w:t>
      </w:r>
    </w:p>
    <w:p w14:paraId="2C8B5852">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“乙方”系指</w:t>
      </w:r>
      <w:r>
        <w:rPr>
          <w:rFonts w:hint="eastAsia" w:ascii="宋体" w:hAnsi="宋体" w:cs="宋体"/>
          <w:szCs w:val="21"/>
          <w:lang w:eastAsia="zh-CN"/>
        </w:rPr>
        <w:t>中标人</w:t>
      </w:r>
      <w:r>
        <w:rPr>
          <w:rFonts w:hint="eastAsia" w:ascii="宋体" w:hAnsi="宋体" w:eastAsia="宋体" w:cs="宋体"/>
          <w:szCs w:val="21"/>
        </w:rPr>
        <w:t>，合同的一方当事人。</w:t>
      </w:r>
    </w:p>
    <w:p w14:paraId="70974C1A">
      <w:pPr>
        <w:numPr>
          <w:ilvl w:val="2"/>
          <w:numId w:val="5"/>
        </w:numPr>
        <w:tabs>
          <w:tab w:val="left" w:pos="180"/>
          <w:tab w:val="left" w:pos="540"/>
        </w:tabs>
        <w:spacing w:beforeAutospacing="0" w:afterAutospacing="0" w:line="360" w:lineRule="auto"/>
        <w:rPr>
          <w:rFonts w:ascii="宋体" w:hAnsi="宋体" w:eastAsia="宋体" w:cs="宋体"/>
          <w:bCs/>
          <w:szCs w:val="21"/>
        </w:rPr>
      </w:pPr>
      <w:r>
        <w:rPr>
          <w:rFonts w:hint="eastAsia" w:ascii="宋体" w:hAnsi="宋体" w:eastAsia="宋体" w:cs="宋体"/>
          <w:bCs/>
          <w:szCs w:val="21"/>
        </w:rPr>
        <w:t>“日期”指公历日,“时间”指北京时间。</w:t>
      </w:r>
    </w:p>
    <w:p w14:paraId="07C2C6DF">
      <w:pPr>
        <w:numPr>
          <w:ilvl w:val="2"/>
          <w:numId w:val="5"/>
        </w:numPr>
        <w:tabs>
          <w:tab w:val="left" w:pos="720"/>
          <w:tab w:val="left" w:pos="1050"/>
          <w:tab w:val="left" w:pos="1155"/>
        </w:tabs>
        <w:spacing w:beforeAutospacing="0" w:afterAutospacing="0" w:line="360" w:lineRule="auto"/>
        <w:ind w:left="735" w:hanging="735" w:hangingChars="350"/>
        <w:rPr>
          <w:rFonts w:ascii="宋体" w:hAnsi="宋体" w:eastAsia="宋体" w:cs="宋体"/>
          <w:szCs w:val="21"/>
        </w:rPr>
      </w:pPr>
      <w:r>
        <w:rPr>
          <w:rFonts w:hint="eastAsia" w:ascii="宋体" w:hAnsi="宋体" w:eastAsia="宋体" w:cs="宋体"/>
          <w:bCs/>
          <w:szCs w:val="21"/>
        </w:rPr>
        <w:t>“实质性响应”系指符合招标文件要求、条款、条件和规定，且没有重大偏离或保留。重大偏离或保留指影响到招标文件规定的范围、质量和性能，或限制招标人的权</w:t>
      </w:r>
      <w:r>
        <w:rPr>
          <w:rFonts w:hint="eastAsia" w:ascii="宋体" w:hAnsi="宋体" w:eastAsia="宋体" w:cs="宋体"/>
          <w:szCs w:val="21"/>
        </w:rPr>
        <w:t>利和投标人的义务的规定，而纠正这些偏离将影响到其他递交实质性响应</w:t>
      </w:r>
      <w:r>
        <w:rPr>
          <w:rFonts w:hint="eastAsia" w:ascii="宋体" w:hAnsi="宋体" w:eastAsia="宋体" w:cs="宋体"/>
          <w:bCs/>
          <w:szCs w:val="21"/>
        </w:rPr>
        <w:t>招标文件</w:t>
      </w:r>
      <w:r>
        <w:rPr>
          <w:rFonts w:hint="eastAsia" w:ascii="宋体" w:hAnsi="宋体" w:eastAsia="宋体" w:cs="宋体"/>
          <w:szCs w:val="21"/>
        </w:rPr>
        <w:t>的投标人的公平竞争地位。</w:t>
      </w:r>
    </w:p>
    <w:p w14:paraId="233BE9DA">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招标文件中的标题或题名仅起引导作用，而不应该作为对招标文件内容的理解或解释。</w:t>
      </w:r>
    </w:p>
    <w:p w14:paraId="195BB13A">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知识产权</w:t>
      </w:r>
    </w:p>
    <w:p w14:paraId="740B5D49">
      <w:pPr>
        <w:numPr>
          <w:ilvl w:val="2"/>
          <w:numId w:val="5"/>
        </w:numPr>
        <w:tabs>
          <w:tab w:val="left" w:pos="720"/>
        </w:tabs>
        <w:spacing w:beforeAutospacing="0" w:afterAutospacing="0" w:line="360" w:lineRule="auto"/>
        <w:ind w:left="720" w:hanging="720"/>
        <w:rPr>
          <w:rFonts w:ascii="宋体" w:hAnsi="宋体" w:eastAsia="宋体" w:cs="宋体"/>
          <w:b/>
          <w:bCs/>
          <w:szCs w:val="21"/>
        </w:rPr>
      </w:pPr>
      <w:r>
        <w:rPr>
          <w:rFonts w:hint="eastAsia" w:ascii="宋体" w:hAnsi="宋体" w:eastAsia="宋体" w:cs="宋体"/>
          <w:szCs w:val="21"/>
        </w:rPr>
        <w:t>投标人必须保证，招标人在中华人民共和国境内使用报价货物、资料、技术、服务或其任何一部分时，享有不受限制的无偿使用权，不会产生因第三方提出侵犯其专利权、商标权或其它知识产权而引起的法律或经济纠纷。如投标人不拥有相应的知识产权，则应由投标人负责获得并提供给招标人使用，其报价中必须包括合法获取该知识产权的一切相关费用，如投标人没有单独列出的，视为已包含在相应报价中。一旦使用投标人提供的产品或服务，招标人不再承担第三方提出侵犯其专利权、商标权或其它知识产权而引起的法律或经济纠纷。</w:t>
      </w:r>
    </w:p>
    <w:p w14:paraId="64757CB3">
      <w:pPr>
        <w:numPr>
          <w:ilvl w:val="0"/>
          <w:numId w:val="0"/>
        </w:numPr>
        <w:tabs>
          <w:tab w:val="left" w:pos="720"/>
        </w:tabs>
        <w:spacing w:beforeAutospacing="0" w:afterAutospacing="0" w:line="360" w:lineRule="auto"/>
        <w:rPr>
          <w:rFonts w:ascii="宋体" w:hAnsi="宋体" w:eastAsia="宋体" w:cs="宋体"/>
          <w:b/>
          <w:bCs/>
          <w:szCs w:val="21"/>
        </w:rPr>
      </w:pPr>
      <w:r>
        <w:rPr>
          <w:rFonts w:hint="eastAsia" w:ascii="宋体" w:hAnsi="宋体" w:eastAsia="宋体" w:cs="宋体"/>
          <w:b/>
          <w:bCs/>
          <w:szCs w:val="21"/>
        </w:rPr>
        <w:t>1.9.禁止事项</w:t>
      </w:r>
    </w:p>
    <w:p w14:paraId="3AC5F89B">
      <w:pPr>
        <w:tabs>
          <w:tab w:val="left" w:pos="735"/>
          <w:tab w:val="left" w:pos="1164"/>
        </w:tabs>
        <w:spacing w:beforeAutospacing="0" w:afterAutospacing="0" w:line="360" w:lineRule="auto"/>
        <w:ind w:left="420" w:hanging="420" w:hangingChars="200"/>
        <w:rPr>
          <w:rFonts w:ascii="宋体" w:hAnsi="宋体" w:eastAsia="宋体" w:cs="宋体"/>
          <w:szCs w:val="21"/>
        </w:rPr>
      </w:pPr>
      <w:r>
        <w:rPr>
          <w:rFonts w:hint="eastAsia" w:ascii="宋体" w:hAnsi="宋体" w:eastAsia="宋体" w:cs="宋体"/>
          <w:szCs w:val="21"/>
        </w:rPr>
        <w:t>1.9.1.招标人、投标人和招标代理机构不得相互串通投标损害国家利益，社会公共利益和其他当事人的合法权益；不得以任何手段排斥其他投标人参与竞争。</w:t>
      </w:r>
    </w:p>
    <w:p w14:paraId="641A9703">
      <w:pPr>
        <w:tabs>
          <w:tab w:val="left" w:pos="735"/>
          <w:tab w:val="left" w:pos="1164"/>
        </w:tabs>
        <w:spacing w:beforeAutospacing="0" w:afterAutospacing="0" w:line="360" w:lineRule="auto"/>
        <w:ind w:left="420" w:hanging="420" w:hangingChars="200"/>
        <w:rPr>
          <w:rFonts w:ascii="宋体" w:hAnsi="宋体" w:eastAsia="宋体" w:cs="宋体"/>
          <w:szCs w:val="21"/>
        </w:rPr>
      </w:pPr>
      <w:r>
        <w:rPr>
          <w:rFonts w:hint="eastAsia" w:ascii="宋体" w:hAnsi="宋体" w:eastAsia="宋体" w:cs="宋体"/>
          <w:szCs w:val="21"/>
        </w:rPr>
        <w:t>1.9.2.投标人不得向招标人、招标代理机构、评标委员会的组成人员行贿或者采取其他不正当手段谋取中标。</w:t>
      </w:r>
    </w:p>
    <w:p w14:paraId="5611008B">
      <w:pPr>
        <w:tabs>
          <w:tab w:val="left" w:pos="735"/>
          <w:tab w:val="left" w:pos="1164"/>
        </w:tabs>
        <w:spacing w:beforeAutospacing="0" w:afterAutospacing="0" w:line="360" w:lineRule="auto"/>
        <w:ind w:left="420" w:hanging="420" w:hangingChars="200"/>
        <w:rPr>
          <w:rFonts w:ascii="宋体" w:hAnsi="宋体" w:eastAsia="宋体" w:cs="宋体"/>
          <w:szCs w:val="21"/>
        </w:rPr>
      </w:pPr>
      <w:r>
        <w:rPr>
          <w:rFonts w:hint="eastAsia" w:ascii="宋体" w:hAnsi="宋体" w:eastAsia="宋体" w:cs="宋体"/>
          <w:szCs w:val="21"/>
        </w:rPr>
        <w:t>1.9.3.除投标人质疑和投诉外，从开标之时起至授予合同止，投标人不得就与其投标有关的事项主动与评标委员会、招标人以及招标代理机构接触。</w:t>
      </w:r>
    </w:p>
    <w:p w14:paraId="5B1CE9A3">
      <w:pPr>
        <w:tabs>
          <w:tab w:val="left" w:pos="735"/>
          <w:tab w:val="left" w:pos="1164"/>
        </w:tabs>
        <w:spacing w:beforeAutospacing="0" w:afterAutospacing="0" w:line="360" w:lineRule="auto"/>
        <w:ind w:left="420" w:hanging="420" w:hangingChars="200"/>
        <w:rPr>
          <w:rFonts w:ascii="宋体" w:hAnsi="宋体" w:eastAsia="宋体" w:cs="宋体"/>
          <w:szCs w:val="21"/>
        </w:rPr>
      </w:pPr>
      <w:r>
        <w:rPr>
          <w:rFonts w:hint="eastAsia" w:ascii="宋体" w:hAnsi="宋体" w:eastAsia="宋体" w:cs="宋体"/>
          <w:szCs w:val="21"/>
        </w:rPr>
        <w:t>1.9.4.相关法规规定的其它禁止事项。</w:t>
      </w:r>
    </w:p>
    <w:p w14:paraId="7A4C8155">
      <w:pPr>
        <w:spacing w:beforeAutospacing="0" w:afterAutospacing="0" w:line="360" w:lineRule="auto"/>
        <w:outlineLvl w:val="3"/>
        <w:rPr>
          <w:rFonts w:ascii="宋体" w:hAnsi="宋体" w:eastAsia="宋体" w:cs="宋体"/>
          <w:b/>
          <w:bCs/>
          <w:szCs w:val="21"/>
        </w:rPr>
      </w:pPr>
      <w:r>
        <w:rPr>
          <w:rFonts w:hint="eastAsia" w:ascii="宋体" w:hAnsi="宋体" w:eastAsia="宋体" w:cs="宋体"/>
          <w:b/>
          <w:bCs/>
          <w:szCs w:val="21"/>
        </w:rPr>
        <w:t>1.10.保密事项</w:t>
      </w:r>
    </w:p>
    <w:p w14:paraId="3D1FCA3C">
      <w:pPr>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1.10.1.由招标人及招标代理机构向投标人提供的招标文件、招标需求、图纸、样品、模型、模件等所有资料，投标人获得后，应对其保密。非经招标人同意，投标人不得向第三方透露或将其用于本次投标以外的任何用途。开标后，应招标人要求，投标人须归还招标人认为需保密的所有资料，并销毁所有相应的备份资料。</w:t>
      </w:r>
    </w:p>
    <w:p w14:paraId="550C1BFC">
      <w:pPr>
        <w:pStyle w:val="4"/>
        <w:numPr>
          <w:ilvl w:val="0"/>
          <w:numId w:val="5"/>
        </w:numPr>
        <w:adjustRightInd/>
        <w:spacing w:before="260" w:beforeAutospacing="0" w:afterAutospacing="0"/>
        <w:textAlignment w:val="auto"/>
        <w:rPr>
          <w:rFonts w:ascii="宋体" w:hAnsi="宋体" w:eastAsia="宋体" w:cs="宋体"/>
          <w:sz w:val="21"/>
          <w:szCs w:val="21"/>
        </w:rPr>
      </w:pPr>
      <w:r>
        <w:rPr>
          <w:rFonts w:hint="eastAsia" w:ascii="宋体" w:hAnsi="宋体" w:eastAsia="宋体" w:cs="宋体"/>
          <w:sz w:val="21"/>
          <w:szCs w:val="21"/>
        </w:rPr>
        <w:t>招标文件</w:t>
      </w:r>
    </w:p>
    <w:p w14:paraId="68864226">
      <w:p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2.1.招标文件的组成</w:t>
      </w:r>
    </w:p>
    <w:p w14:paraId="43A5B995">
      <w:pPr>
        <w:spacing w:beforeAutospacing="0" w:afterAutospacing="0" w:line="360" w:lineRule="auto"/>
        <w:rPr>
          <w:rFonts w:ascii="宋体" w:hAnsi="宋体" w:eastAsia="宋体" w:cs="宋体"/>
          <w:szCs w:val="21"/>
        </w:rPr>
      </w:pPr>
      <w:r>
        <w:rPr>
          <w:rFonts w:hint="eastAsia" w:ascii="宋体" w:hAnsi="宋体" w:eastAsia="宋体" w:cs="宋体"/>
          <w:szCs w:val="21"/>
        </w:rPr>
        <w:t>2.1.1. 投标邀请</w:t>
      </w:r>
    </w:p>
    <w:p w14:paraId="1BB6E23F">
      <w:pPr>
        <w:spacing w:beforeAutospacing="0" w:afterAutospacing="0" w:line="360" w:lineRule="auto"/>
        <w:rPr>
          <w:rFonts w:ascii="宋体" w:hAnsi="宋体" w:eastAsia="宋体" w:cs="宋体"/>
          <w:szCs w:val="21"/>
        </w:rPr>
      </w:pPr>
      <w:r>
        <w:rPr>
          <w:rFonts w:hint="eastAsia" w:ascii="宋体" w:hAnsi="宋体" w:eastAsia="宋体" w:cs="宋体"/>
          <w:szCs w:val="21"/>
        </w:rPr>
        <w:t>2.1.2. 招标需求</w:t>
      </w:r>
    </w:p>
    <w:p w14:paraId="7A149A4E">
      <w:pPr>
        <w:spacing w:beforeAutospacing="0" w:afterAutospacing="0" w:line="360" w:lineRule="auto"/>
        <w:rPr>
          <w:rFonts w:ascii="宋体" w:hAnsi="宋体" w:eastAsia="宋体" w:cs="宋体"/>
          <w:szCs w:val="21"/>
        </w:rPr>
      </w:pPr>
      <w:r>
        <w:rPr>
          <w:rFonts w:hint="eastAsia" w:ascii="宋体" w:hAnsi="宋体" w:eastAsia="宋体" w:cs="宋体"/>
          <w:szCs w:val="21"/>
        </w:rPr>
        <w:t>2.1.3. 投标人须知</w:t>
      </w:r>
    </w:p>
    <w:p w14:paraId="5FCC52AA">
      <w:pPr>
        <w:spacing w:beforeAutospacing="0" w:afterAutospacing="0" w:line="360" w:lineRule="auto"/>
        <w:rPr>
          <w:rFonts w:ascii="宋体" w:hAnsi="宋体" w:eastAsia="宋体" w:cs="宋体"/>
          <w:bCs/>
          <w:szCs w:val="21"/>
        </w:rPr>
      </w:pPr>
      <w:r>
        <w:rPr>
          <w:rFonts w:hint="eastAsia" w:ascii="宋体" w:hAnsi="宋体" w:eastAsia="宋体" w:cs="宋体"/>
          <w:szCs w:val="21"/>
        </w:rPr>
        <w:t xml:space="preserve">2.1.4. </w:t>
      </w:r>
      <w:r>
        <w:rPr>
          <w:rFonts w:hint="eastAsia" w:ascii="宋体" w:hAnsi="宋体" w:eastAsia="宋体" w:cs="宋体"/>
          <w:bCs/>
          <w:szCs w:val="21"/>
        </w:rPr>
        <w:t>开标、评标和定标</w:t>
      </w:r>
    </w:p>
    <w:p w14:paraId="2E27D8EC">
      <w:pPr>
        <w:spacing w:beforeAutospacing="0" w:afterAutospacing="0" w:line="360" w:lineRule="auto"/>
        <w:rPr>
          <w:rFonts w:ascii="宋体" w:hAnsi="宋体" w:eastAsia="宋体" w:cs="宋体"/>
          <w:szCs w:val="21"/>
        </w:rPr>
      </w:pPr>
      <w:r>
        <w:rPr>
          <w:rFonts w:hint="eastAsia" w:ascii="宋体" w:hAnsi="宋体" w:eastAsia="宋体" w:cs="宋体"/>
          <w:bCs/>
          <w:szCs w:val="21"/>
        </w:rPr>
        <w:t xml:space="preserve">2.1.5. </w:t>
      </w:r>
      <w:r>
        <w:rPr>
          <w:rFonts w:hint="eastAsia" w:ascii="宋体" w:hAnsi="宋体" w:eastAsia="宋体" w:cs="宋体"/>
          <w:szCs w:val="21"/>
        </w:rPr>
        <w:t>合同书</w:t>
      </w:r>
    </w:p>
    <w:p w14:paraId="13EA2B8D">
      <w:pPr>
        <w:spacing w:beforeAutospacing="0" w:afterAutospacing="0" w:line="360" w:lineRule="auto"/>
        <w:rPr>
          <w:rFonts w:ascii="宋体" w:hAnsi="宋体" w:eastAsia="宋体" w:cs="宋体"/>
          <w:szCs w:val="21"/>
        </w:rPr>
      </w:pPr>
      <w:r>
        <w:rPr>
          <w:rFonts w:hint="eastAsia" w:ascii="宋体" w:hAnsi="宋体" w:eastAsia="宋体" w:cs="宋体"/>
          <w:szCs w:val="21"/>
        </w:rPr>
        <w:t>2.1.6. 投标文件格式（仅供参考）</w:t>
      </w:r>
    </w:p>
    <w:p w14:paraId="30DA62C5">
      <w:pPr>
        <w:spacing w:beforeAutospacing="0" w:afterAutospacing="0" w:line="360" w:lineRule="auto"/>
        <w:rPr>
          <w:rFonts w:ascii="宋体" w:hAnsi="宋体" w:eastAsia="宋体" w:cs="宋体"/>
          <w:szCs w:val="21"/>
        </w:rPr>
      </w:pPr>
      <w:r>
        <w:rPr>
          <w:rFonts w:hint="eastAsia" w:ascii="宋体" w:hAnsi="宋体" w:eastAsia="宋体" w:cs="宋体"/>
          <w:szCs w:val="21"/>
        </w:rPr>
        <w:t>2.1.7. 在招标过程中由招标人或招标代理机构发出的修正和补充文件等。</w:t>
      </w:r>
    </w:p>
    <w:p w14:paraId="78395B4D">
      <w:pPr>
        <w:spacing w:beforeAutospacing="0" w:afterAutospacing="0" w:line="360" w:lineRule="auto"/>
        <w:rPr>
          <w:rFonts w:ascii="宋体" w:hAnsi="宋体" w:eastAsia="宋体" w:cs="宋体"/>
          <w:b/>
          <w:szCs w:val="21"/>
        </w:rPr>
      </w:pPr>
      <w:r>
        <w:rPr>
          <w:rFonts w:hint="eastAsia" w:ascii="宋体" w:hAnsi="宋体" w:eastAsia="宋体" w:cs="宋体"/>
          <w:b/>
          <w:szCs w:val="21"/>
        </w:rPr>
        <w:t>2.2.招标文件的澄清和修改</w:t>
      </w:r>
    </w:p>
    <w:p w14:paraId="54D2106D">
      <w:pPr>
        <w:spacing w:beforeAutospacing="0" w:afterAutospacing="0" w:line="360" w:lineRule="auto"/>
        <w:ind w:left="735" w:hanging="735" w:hangingChars="350"/>
        <w:rPr>
          <w:rFonts w:ascii="宋体" w:hAnsi="宋体" w:eastAsia="宋体" w:cs="宋体"/>
          <w:bCs/>
          <w:szCs w:val="21"/>
        </w:rPr>
      </w:pPr>
      <w:bookmarkStart w:id="93" w:name="_Hlt230510880"/>
      <w:bookmarkEnd w:id="93"/>
      <w:bookmarkStart w:id="94" w:name="_Hlt230510878"/>
      <w:bookmarkEnd w:id="94"/>
      <w:bookmarkStart w:id="95" w:name="_Hlt230510881"/>
      <w:bookmarkEnd w:id="95"/>
      <w:bookmarkStart w:id="96" w:name="_Hlt230510879"/>
      <w:bookmarkEnd w:id="96"/>
      <w:bookmarkStart w:id="97" w:name="_Toc56938698"/>
      <w:bookmarkStart w:id="98" w:name="_Toc56851225"/>
      <w:bookmarkStart w:id="99" w:name="_Toc52288203"/>
      <w:bookmarkStart w:id="100" w:name="_Toc56855618"/>
      <w:bookmarkStart w:id="101" w:name="_Toc56855650"/>
      <w:bookmarkStart w:id="102" w:name="_Toc56846632"/>
      <w:bookmarkStart w:id="103" w:name="_Toc52270234"/>
      <w:r>
        <w:rPr>
          <w:rFonts w:hint="eastAsia" w:ascii="宋体" w:hAnsi="宋体" w:eastAsia="宋体" w:cs="宋体"/>
          <w:bCs/>
          <w:szCs w:val="21"/>
        </w:rPr>
        <w:t>2.2.1.投标人如需澄清招标文件的疑点，均应以书面形式加盖公章（电传、传真、电报无效）向招标代理机构提出澄清要求，</w:t>
      </w:r>
      <w:r>
        <w:rPr>
          <w:rFonts w:hint="eastAsia" w:ascii="宋体" w:hAnsi="宋体" w:eastAsia="宋体" w:cs="宋体"/>
          <w:szCs w:val="21"/>
        </w:rPr>
        <w:t>通知应确保招标代理机构在投标截止日期4天前收到</w:t>
      </w:r>
      <w:r>
        <w:rPr>
          <w:rFonts w:hint="eastAsia" w:ascii="宋体" w:hAnsi="宋体" w:eastAsia="宋体" w:cs="宋体"/>
          <w:bCs/>
          <w:szCs w:val="21"/>
        </w:rPr>
        <w:t>。招标代理机构将用信函、传真等形式做出答复。</w:t>
      </w:r>
    </w:p>
    <w:p w14:paraId="7F4E0661">
      <w:pPr>
        <w:spacing w:beforeAutospacing="0" w:afterAutospacing="0" w:line="360" w:lineRule="auto"/>
        <w:ind w:left="735" w:hanging="735" w:hangingChars="350"/>
        <w:rPr>
          <w:rFonts w:ascii="宋体" w:hAnsi="宋体" w:eastAsia="宋体" w:cs="宋体"/>
          <w:bCs/>
          <w:szCs w:val="21"/>
        </w:rPr>
      </w:pPr>
      <w:r>
        <w:rPr>
          <w:rFonts w:hint="eastAsia" w:ascii="宋体" w:hAnsi="宋体" w:eastAsia="宋体" w:cs="宋体"/>
          <w:bCs/>
          <w:szCs w:val="21"/>
        </w:rPr>
        <w:t>2.2.2.招标人或者招标代理机构可以对已发出的招标文件进行必要的澄清或者修改，但不得改变招标标的和资格条件。澄清或者修改应当在原公告发布媒体上发布澄清公告。澄清或者修改的内容为招标文件的组成部分。</w:t>
      </w:r>
    </w:p>
    <w:p w14:paraId="4CAB7A66">
      <w:pPr>
        <w:spacing w:beforeAutospacing="0" w:afterAutospacing="0" w:line="360" w:lineRule="auto"/>
        <w:ind w:left="735" w:hanging="735" w:hangingChars="350"/>
        <w:rPr>
          <w:rFonts w:ascii="宋体" w:hAnsi="宋体" w:eastAsia="宋体" w:cs="宋体"/>
          <w:bCs/>
          <w:szCs w:val="21"/>
        </w:rPr>
      </w:pPr>
      <w:r>
        <w:rPr>
          <w:rFonts w:hint="eastAsia" w:ascii="宋体" w:hAnsi="宋体" w:eastAsia="宋体" w:cs="宋体"/>
          <w:bCs/>
          <w:szCs w:val="21"/>
        </w:rPr>
        <w:t>2.2.3.澄清或者修改的内容可能影响投标文件编制的，招标人或者招标代理机构应当在投标截止时间至少15日前，以书面形式通知所有获取招标文件的潜在</w:t>
      </w:r>
      <w:r>
        <w:rPr>
          <w:rFonts w:hint="eastAsia" w:ascii="宋体" w:hAnsi="宋体" w:cs="宋体"/>
          <w:bCs/>
          <w:szCs w:val="21"/>
          <w:lang w:eastAsia="zh-CN"/>
        </w:rPr>
        <w:t>投标人</w:t>
      </w:r>
      <w:r>
        <w:rPr>
          <w:rFonts w:hint="eastAsia" w:ascii="宋体" w:hAnsi="宋体" w:eastAsia="宋体" w:cs="宋体"/>
          <w:bCs/>
          <w:szCs w:val="21"/>
        </w:rPr>
        <w:t>；不足15日的，招标人或者招标代理机构应当顺延提交投标文件的截止时间。</w:t>
      </w:r>
    </w:p>
    <w:p w14:paraId="3580F5C0">
      <w:pPr>
        <w:spacing w:beforeAutospacing="0" w:afterAutospacing="0" w:line="360" w:lineRule="auto"/>
        <w:ind w:left="735" w:hanging="735" w:hangingChars="350"/>
        <w:rPr>
          <w:rFonts w:ascii="宋体" w:hAnsi="宋体" w:eastAsia="宋体" w:cs="宋体"/>
          <w:bCs/>
          <w:szCs w:val="21"/>
        </w:rPr>
      </w:pPr>
      <w:r>
        <w:rPr>
          <w:rFonts w:hint="eastAsia" w:ascii="宋体" w:hAnsi="宋体" w:eastAsia="宋体" w:cs="宋体"/>
          <w:bCs/>
          <w:szCs w:val="21"/>
        </w:rPr>
        <w:t>2.2.4.潜在</w:t>
      </w:r>
      <w:r>
        <w:rPr>
          <w:rFonts w:hint="eastAsia" w:ascii="宋体" w:hAnsi="宋体" w:cs="宋体"/>
          <w:bCs/>
          <w:szCs w:val="21"/>
          <w:lang w:eastAsia="zh-CN"/>
        </w:rPr>
        <w:t>投标人</w:t>
      </w:r>
      <w:r>
        <w:rPr>
          <w:rFonts w:hint="eastAsia" w:ascii="宋体" w:hAnsi="宋体" w:eastAsia="宋体" w:cs="宋体"/>
          <w:bCs/>
          <w:szCs w:val="21"/>
        </w:rPr>
        <w:t>在收到上述通知或在本项目上查阅相关通知或公告后，应当立即以书面形式向招标代理机构确认，如在修改通知或公告发布之日起5天内没有以书面形式向招标代理机构确认的，视作同意修改内容。</w:t>
      </w:r>
    </w:p>
    <w:p w14:paraId="3C4D8597">
      <w:pPr>
        <w:spacing w:beforeAutospacing="0" w:afterAutospacing="0" w:line="360" w:lineRule="auto"/>
        <w:ind w:left="735" w:hanging="735" w:hangingChars="350"/>
        <w:rPr>
          <w:rFonts w:ascii="宋体" w:hAnsi="宋体" w:eastAsia="宋体" w:cs="宋体"/>
          <w:bCs/>
          <w:szCs w:val="21"/>
        </w:rPr>
      </w:pPr>
      <w:r>
        <w:rPr>
          <w:rFonts w:hint="eastAsia" w:ascii="宋体" w:hAnsi="宋体" w:eastAsia="宋体" w:cs="宋体"/>
          <w:bCs/>
          <w:szCs w:val="21"/>
        </w:rPr>
        <w:t>2.2.5.</w:t>
      </w:r>
      <w:r>
        <w:rPr>
          <w:rFonts w:hint="eastAsia" w:ascii="宋体" w:hAnsi="宋体" w:cs="宋体"/>
          <w:bCs/>
          <w:szCs w:val="21"/>
          <w:lang w:eastAsia="zh-CN"/>
        </w:rPr>
        <w:t>投标人</w:t>
      </w:r>
      <w:r>
        <w:rPr>
          <w:rFonts w:hint="eastAsia" w:ascii="宋体" w:hAnsi="宋体" w:eastAsia="宋体" w:cs="宋体"/>
          <w:bCs/>
          <w:szCs w:val="21"/>
        </w:rPr>
        <w:t>未在相关法律法规规定的时间内提出询问或质疑的，招标人和招标代理机构将视其为无异议。</w:t>
      </w:r>
    </w:p>
    <w:bookmarkEnd w:id="97"/>
    <w:bookmarkEnd w:id="98"/>
    <w:bookmarkEnd w:id="99"/>
    <w:bookmarkEnd w:id="100"/>
    <w:bookmarkEnd w:id="101"/>
    <w:bookmarkEnd w:id="102"/>
    <w:bookmarkEnd w:id="103"/>
    <w:p w14:paraId="29F8C947">
      <w:pPr>
        <w:pStyle w:val="4"/>
        <w:numPr>
          <w:ilvl w:val="0"/>
          <w:numId w:val="5"/>
        </w:numPr>
        <w:adjustRightInd/>
        <w:spacing w:before="260" w:beforeAutospacing="0" w:afterAutospacing="0"/>
        <w:textAlignment w:val="auto"/>
        <w:rPr>
          <w:rFonts w:ascii="宋体" w:hAnsi="宋体" w:eastAsia="宋体" w:cs="宋体"/>
          <w:sz w:val="21"/>
          <w:szCs w:val="21"/>
        </w:rPr>
      </w:pPr>
      <w:r>
        <w:rPr>
          <w:rFonts w:hint="eastAsia" w:ascii="宋体" w:hAnsi="宋体" w:eastAsia="宋体" w:cs="宋体"/>
          <w:sz w:val="21"/>
          <w:szCs w:val="21"/>
        </w:rPr>
        <w:t>投标文件</w:t>
      </w:r>
    </w:p>
    <w:p w14:paraId="372177A4">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投标文件的编写</w:t>
      </w:r>
    </w:p>
    <w:p w14:paraId="1CE560C3">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bCs/>
          <w:szCs w:val="21"/>
        </w:rPr>
        <w:t>投标人应仔细阅读招标文件的所有内容，按招标文件的要求制作并递交投标文件，并保证所提供的全部资料的真实性、准确性，以确保其投标对招标文件做出实质性响应。投标人在投标中提供不真实的材料，无论其材料是否重要，都将直接导致投标文件无效，并承担由此产生的法律责任。</w:t>
      </w:r>
    </w:p>
    <w:p w14:paraId="69CD54BE">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bCs/>
          <w:szCs w:val="21"/>
        </w:rPr>
        <w:t>投标语言和计量单位：投标文件和来往函件应用简体中文书写，投标人提供的支持文件、技术资料和印刷的文献可以用其他语言，但相应内容应附有中文翻译文本，对不同文字文本投标文件的解释发生异议的，以中文文本为准。计量单位应使用国际公制单位。</w:t>
      </w:r>
    </w:p>
    <w:p w14:paraId="2B6BB69A">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bCs/>
          <w:szCs w:val="21"/>
        </w:rPr>
        <w:t>投标人须用人民币作为报价的货币单位。</w:t>
      </w:r>
      <w:r>
        <w:rPr>
          <w:rFonts w:hint="eastAsia" w:ascii="宋体" w:hAnsi="宋体" w:eastAsia="宋体" w:cs="宋体"/>
          <w:szCs w:val="21"/>
        </w:rPr>
        <w:t>投标文件中开标一览表（报价表）内容与投标文件中明细表内容不一致的，以开标一览表（报价表）为准。</w:t>
      </w:r>
      <w:r>
        <w:rPr>
          <w:rFonts w:hint="eastAsia" w:ascii="宋体" w:hAnsi="宋体" w:eastAsia="宋体" w:cs="宋体"/>
          <w:bCs/>
          <w:szCs w:val="21"/>
        </w:rPr>
        <w:t>投标文件的大写金额和小写金额不一致的，以大写金额为准；总价金额与按单价汇总金额不一致的，以单价金额计算结果为准；单价金额小数点或者百分比有明显错位的，以开标一览表总价为准，并修改单价。</w:t>
      </w:r>
    </w:p>
    <w:p w14:paraId="5FE50134">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bCs/>
          <w:szCs w:val="21"/>
        </w:rPr>
        <w:t>本项目要求投标报价应包括货物招标、运输、安装、调试、相关部门验收及保修期内的维护保养等所有费用，以及投标人认为必要的其他货物、材料、安装、服务；投标人应自行增加系统正常、合法、安全运行及使用所必需但招标文件没有包含的所有货物、版权、专利等一切费用，如果投标人在中标并签署合同后，在供货、安装、调试、培训等工作中出现货物的任何遗漏，均由</w:t>
      </w:r>
      <w:r>
        <w:rPr>
          <w:rFonts w:hint="eastAsia" w:ascii="宋体" w:hAnsi="宋体" w:cs="宋体"/>
          <w:bCs/>
          <w:szCs w:val="21"/>
          <w:lang w:eastAsia="zh-CN"/>
        </w:rPr>
        <w:t>中标人</w:t>
      </w:r>
      <w:r>
        <w:rPr>
          <w:rFonts w:hint="eastAsia" w:ascii="宋体" w:hAnsi="宋体" w:eastAsia="宋体" w:cs="宋体"/>
          <w:bCs/>
          <w:szCs w:val="21"/>
        </w:rPr>
        <w:t>免费提供，招标人将不再支付任何费用。</w:t>
      </w:r>
    </w:p>
    <w:p w14:paraId="7DB02F7D">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bCs/>
          <w:szCs w:val="21"/>
        </w:rPr>
        <w:t>投标人在详细报价中应列出招标人需求的所有项目，投标人认为必要的但在招标文件中未列出的其它项目可在报价表后面做出补充，所补充的内容应在投标文件中加以详细说明。</w:t>
      </w:r>
    </w:p>
    <w:p w14:paraId="59FA97AB">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szCs w:val="21"/>
        </w:rPr>
      </w:pPr>
      <w:r>
        <w:rPr>
          <w:rFonts w:hint="eastAsia" w:ascii="宋体" w:hAnsi="宋体" w:eastAsia="宋体" w:cs="宋体"/>
          <w:bCs/>
          <w:szCs w:val="21"/>
        </w:rPr>
        <w:t>报价栏项目中如出现唯一的数字“0”，则视报价为零；如出现空白或出现负数，视为未响应。</w:t>
      </w:r>
    </w:p>
    <w:p w14:paraId="2A0CF1A1">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bCs/>
          <w:szCs w:val="21"/>
        </w:rPr>
      </w:pPr>
      <w:r>
        <w:rPr>
          <w:rFonts w:hint="eastAsia" w:ascii="宋体" w:hAnsi="宋体" w:eastAsia="宋体" w:cs="宋体"/>
          <w:szCs w:val="21"/>
        </w:rPr>
        <w:t>投标人在编写投标文件时，应填写招标文件要求的内容及其附件，并根据实际情况补充评审所需资料，投标文件</w:t>
      </w:r>
      <w:r>
        <w:rPr>
          <w:rFonts w:hint="eastAsia" w:ascii="宋体" w:hAnsi="宋体" w:eastAsia="宋体" w:cs="宋体"/>
          <w:szCs w:val="21"/>
          <w:lang w:eastAsia="zh-TW"/>
        </w:rPr>
        <w:t>只填写和提供了</w:t>
      </w:r>
      <w:r>
        <w:rPr>
          <w:rFonts w:hint="eastAsia" w:ascii="宋体" w:hAnsi="宋体" w:eastAsia="宋体" w:cs="宋体"/>
          <w:szCs w:val="21"/>
        </w:rPr>
        <w:t>招标</w:t>
      </w:r>
      <w:r>
        <w:rPr>
          <w:rFonts w:hint="eastAsia" w:ascii="宋体" w:hAnsi="宋体" w:eastAsia="宋体" w:cs="宋体"/>
          <w:szCs w:val="21"/>
          <w:lang w:eastAsia="zh-TW"/>
        </w:rPr>
        <w:t>文件要求的部分内容和附件，或没有提供</w:t>
      </w:r>
      <w:r>
        <w:rPr>
          <w:rFonts w:hint="eastAsia" w:ascii="宋体" w:hAnsi="宋体" w:eastAsia="宋体" w:cs="宋体"/>
          <w:szCs w:val="21"/>
        </w:rPr>
        <w:t>招标</w:t>
      </w:r>
      <w:r>
        <w:rPr>
          <w:rFonts w:hint="eastAsia" w:ascii="宋体" w:hAnsi="宋体" w:eastAsia="宋体" w:cs="宋体"/>
          <w:szCs w:val="21"/>
          <w:lang w:eastAsia="zh-TW"/>
        </w:rPr>
        <w:t>文件中所要求的全部资料及数据，</w:t>
      </w:r>
      <w:r>
        <w:rPr>
          <w:rFonts w:hint="eastAsia" w:ascii="宋体" w:hAnsi="宋体" w:eastAsia="宋体" w:cs="宋体"/>
          <w:szCs w:val="21"/>
        </w:rPr>
        <w:t>或没有按实际情况提供投标所需资料的，</w:t>
      </w:r>
      <w:r>
        <w:rPr>
          <w:rFonts w:hint="eastAsia" w:ascii="宋体" w:hAnsi="宋体" w:eastAsia="宋体" w:cs="宋体"/>
          <w:szCs w:val="21"/>
          <w:lang w:eastAsia="zh-TW"/>
        </w:rPr>
        <w:t>其可能</w:t>
      </w:r>
      <w:r>
        <w:rPr>
          <w:rFonts w:hint="eastAsia" w:ascii="宋体" w:hAnsi="宋体" w:eastAsia="宋体" w:cs="宋体"/>
          <w:bCs/>
          <w:szCs w:val="21"/>
          <w:lang w:eastAsia="zh-TW"/>
        </w:rPr>
        <w:t>导致的结果和责任由</w:t>
      </w:r>
      <w:r>
        <w:rPr>
          <w:rFonts w:hint="eastAsia" w:ascii="宋体" w:hAnsi="宋体" w:eastAsia="宋体" w:cs="宋体"/>
          <w:bCs/>
          <w:szCs w:val="21"/>
        </w:rPr>
        <w:t>投标人</w:t>
      </w:r>
      <w:r>
        <w:rPr>
          <w:rFonts w:hint="eastAsia" w:ascii="宋体" w:hAnsi="宋体" w:eastAsia="宋体" w:cs="宋体"/>
          <w:bCs/>
          <w:szCs w:val="21"/>
          <w:lang w:eastAsia="zh-TW"/>
        </w:rPr>
        <w:t>自行承担。</w:t>
      </w:r>
    </w:p>
    <w:p w14:paraId="49791D84">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投标文件的构成</w:t>
      </w:r>
    </w:p>
    <w:p w14:paraId="5BDC10BC">
      <w:pPr>
        <w:spacing w:beforeAutospacing="0" w:afterAutospacing="0" w:line="360" w:lineRule="auto"/>
        <w:ind w:left="720"/>
        <w:rPr>
          <w:rFonts w:ascii="宋体" w:hAnsi="宋体" w:eastAsia="宋体" w:cs="宋体"/>
          <w:b/>
          <w:bCs/>
          <w:szCs w:val="21"/>
        </w:rPr>
      </w:pPr>
      <w:r>
        <w:rPr>
          <w:rFonts w:hint="eastAsia" w:ascii="宋体" w:hAnsi="宋体" w:eastAsia="宋体" w:cs="宋体"/>
          <w:b/>
          <w:bCs/>
          <w:szCs w:val="21"/>
        </w:rPr>
        <w:t>投标人编写的投标文件应包含</w:t>
      </w:r>
      <w:r>
        <w:rPr>
          <w:rFonts w:hint="eastAsia" w:ascii="宋体" w:hAnsi="宋体" w:cs="宋体"/>
          <w:b/>
          <w:bCs/>
          <w:szCs w:val="21"/>
          <w:lang w:val="en-US" w:eastAsia="zh-CN"/>
        </w:rPr>
        <w:t>但不限于三</w:t>
      </w:r>
      <w:r>
        <w:rPr>
          <w:rFonts w:hint="eastAsia" w:ascii="宋体" w:hAnsi="宋体" w:eastAsia="宋体" w:cs="宋体"/>
          <w:b/>
          <w:bCs/>
          <w:szCs w:val="21"/>
        </w:rPr>
        <w:t>部分内容：①资格性和符合性；</w:t>
      </w:r>
      <w:r>
        <w:rPr>
          <w:rFonts w:hint="eastAsia" w:ascii="宋体" w:hAnsi="宋体" w:cs="宋体"/>
          <w:b/>
          <w:bCs/>
          <w:szCs w:val="21"/>
          <w:lang w:val="en-US" w:eastAsia="zh-CN"/>
        </w:rPr>
        <w:t>②</w:t>
      </w:r>
      <w:r>
        <w:rPr>
          <w:rFonts w:hint="eastAsia" w:ascii="宋体" w:hAnsi="宋体" w:eastAsia="宋体" w:cs="宋体"/>
          <w:b/>
          <w:bCs/>
          <w:szCs w:val="21"/>
        </w:rPr>
        <w:t>商务文件；</w:t>
      </w:r>
      <w:r>
        <w:rPr>
          <w:rFonts w:hint="eastAsia" w:ascii="宋体" w:hAnsi="宋体" w:cs="宋体"/>
          <w:b/>
          <w:bCs/>
          <w:szCs w:val="21"/>
          <w:lang w:val="en-US" w:eastAsia="zh-CN"/>
        </w:rPr>
        <w:t>③</w:t>
      </w:r>
      <w:r>
        <w:rPr>
          <w:rFonts w:hint="eastAsia" w:ascii="宋体" w:hAnsi="宋体" w:eastAsia="宋体" w:cs="宋体"/>
          <w:b/>
          <w:bCs/>
          <w:szCs w:val="21"/>
        </w:rPr>
        <w:t>技术文件。</w:t>
      </w:r>
      <w:r>
        <w:rPr>
          <w:rFonts w:hint="eastAsia" w:ascii="宋体" w:hAnsi="宋体" w:cs="宋体"/>
          <w:b/>
          <w:bCs/>
          <w:szCs w:val="21"/>
          <w:lang w:val="en-US" w:eastAsia="zh-CN"/>
        </w:rPr>
        <w:t>具体</w:t>
      </w:r>
      <w:r>
        <w:rPr>
          <w:rFonts w:hint="eastAsia" w:ascii="宋体" w:hAnsi="宋体" w:eastAsia="宋体" w:cs="宋体"/>
          <w:b/>
          <w:bCs/>
          <w:szCs w:val="21"/>
        </w:rPr>
        <w:t>内容可按《第六部分 投标文件格式》进行编排。</w:t>
      </w:r>
    </w:p>
    <w:p w14:paraId="4120E6F3">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b/>
          <w:szCs w:val="21"/>
        </w:rPr>
        <w:t>投标人应按照招标文件的要求编制带有目录和页码并装订成册的投标文件。</w:t>
      </w:r>
    </w:p>
    <w:p w14:paraId="20932E9A">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投标人必须自行承担因其投标文件的任何错漏而导致的一切后果。</w:t>
      </w:r>
    </w:p>
    <w:p w14:paraId="74DD9373">
      <w:pPr>
        <w:numPr>
          <w:ilvl w:val="1"/>
          <w:numId w:val="5"/>
        </w:numPr>
        <w:tabs>
          <w:tab w:val="left" w:pos="735"/>
        </w:tabs>
        <w:spacing w:beforeAutospacing="0" w:afterAutospacing="0" w:line="360" w:lineRule="auto"/>
        <w:rPr>
          <w:rFonts w:ascii="宋体" w:hAnsi="宋体" w:eastAsia="宋体" w:cs="宋体"/>
          <w:b/>
          <w:szCs w:val="21"/>
        </w:rPr>
      </w:pPr>
      <w:r>
        <w:rPr>
          <w:rFonts w:hint="eastAsia" w:ascii="宋体" w:hAnsi="宋体" w:eastAsia="宋体" w:cs="宋体"/>
          <w:b/>
          <w:szCs w:val="21"/>
        </w:rPr>
        <w:t>投标文件的修改及撤回</w:t>
      </w:r>
    </w:p>
    <w:p w14:paraId="326DBB69">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szCs w:val="21"/>
        </w:rPr>
      </w:pPr>
      <w:r>
        <w:rPr>
          <w:rFonts w:hint="eastAsia" w:ascii="宋体" w:hAnsi="宋体" w:eastAsia="宋体" w:cs="宋体"/>
          <w:kern w:val="0"/>
          <w:szCs w:val="21"/>
        </w:rPr>
        <w:t>投标人在投标截止时间前，可以对所递交的投标文件进行补充、修改或者撤回，并书面通知招标代理机构。补充、修改的内容应当按招标文件要求签署、盖章，并作为投标文件的组成部分。</w:t>
      </w:r>
      <w:r>
        <w:rPr>
          <w:rFonts w:hint="eastAsia" w:ascii="宋体" w:hAnsi="宋体" w:eastAsia="宋体" w:cs="宋体"/>
          <w:szCs w:val="21"/>
        </w:rPr>
        <w:t>修改后的投标文件须按照本招标文件的相关规定在投标截止时间之前重新递交，否则，招标代理机构将拒绝接受修改后的投标文件。</w:t>
      </w:r>
    </w:p>
    <w:p w14:paraId="03231028">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szCs w:val="21"/>
        </w:rPr>
      </w:pPr>
      <w:r>
        <w:rPr>
          <w:rFonts w:hint="eastAsia" w:ascii="宋体" w:hAnsi="宋体" w:eastAsia="宋体" w:cs="宋体"/>
          <w:szCs w:val="21"/>
        </w:rPr>
        <w:t>投标截止时间之后，投标人不得对其投标文件做任何修改。从投标截止时间起至投标有效期前，投标人不得撤回其投标文件。</w:t>
      </w:r>
    </w:p>
    <w:p w14:paraId="1A7A4A03">
      <w:pPr>
        <w:numPr>
          <w:ilvl w:val="2"/>
          <w:numId w:val="5"/>
        </w:numPr>
        <w:tabs>
          <w:tab w:val="left" w:pos="735"/>
          <w:tab w:val="left" w:pos="1164"/>
          <w:tab w:val="clear" w:pos="624"/>
        </w:tabs>
        <w:spacing w:beforeAutospacing="0" w:afterAutospacing="0" w:line="360" w:lineRule="auto"/>
        <w:ind w:left="735" w:hanging="735"/>
        <w:rPr>
          <w:rFonts w:ascii="宋体" w:hAnsi="宋体" w:eastAsia="宋体" w:cs="宋体"/>
          <w:szCs w:val="21"/>
        </w:rPr>
      </w:pPr>
      <w:r>
        <w:rPr>
          <w:rFonts w:hint="eastAsia" w:ascii="宋体" w:hAnsi="宋体" w:eastAsia="宋体" w:cs="宋体"/>
          <w:szCs w:val="21"/>
        </w:rPr>
        <w:t>招标代理机构对因不可抗力事件所造成投标文件的损坏、丢失不承担任何责任。</w:t>
      </w:r>
    </w:p>
    <w:p w14:paraId="71D840A2">
      <w:pPr>
        <w:pStyle w:val="4"/>
        <w:numPr>
          <w:ilvl w:val="1"/>
          <w:numId w:val="5"/>
        </w:numPr>
        <w:tabs>
          <w:tab w:val="left" w:pos="425"/>
        </w:tabs>
        <w:adjustRightInd/>
        <w:spacing w:before="260" w:beforeAutospacing="0" w:afterAutospacing="0"/>
        <w:textAlignment w:val="auto"/>
        <w:rPr>
          <w:rFonts w:ascii="宋体" w:hAnsi="宋体" w:eastAsia="宋体" w:cs="宋体"/>
          <w:sz w:val="21"/>
          <w:szCs w:val="21"/>
        </w:rPr>
      </w:pPr>
      <w:r>
        <w:rPr>
          <w:rFonts w:hint="eastAsia" w:ascii="宋体" w:hAnsi="宋体" w:eastAsia="宋体" w:cs="宋体"/>
          <w:sz w:val="21"/>
          <w:szCs w:val="21"/>
        </w:rPr>
        <w:t>投标文件的签署、封装和递交</w:t>
      </w:r>
    </w:p>
    <w:p w14:paraId="611F0854">
      <w:pPr>
        <w:numPr>
          <w:ilvl w:val="2"/>
          <w:numId w:val="5"/>
        </w:numPr>
        <w:tabs>
          <w:tab w:val="left" w:pos="735"/>
        </w:tabs>
        <w:spacing w:beforeAutospacing="0" w:afterAutospacing="0" w:line="360" w:lineRule="auto"/>
        <w:ind w:left="738" w:hanging="738" w:hangingChars="350"/>
        <w:rPr>
          <w:rFonts w:ascii="宋体" w:hAnsi="宋体" w:eastAsia="宋体" w:cs="宋体"/>
          <w:b/>
          <w:bCs/>
          <w:szCs w:val="21"/>
        </w:rPr>
      </w:pPr>
      <w:r>
        <w:rPr>
          <w:rFonts w:hint="eastAsia" w:ascii="宋体" w:hAnsi="宋体" w:eastAsia="宋体" w:cs="宋体"/>
          <w:b/>
          <w:bCs/>
          <w:szCs w:val="21"/>
        </w:rPr>
        <w:t>投标文件纸质文档总共</w:t>
      </w:r>
      <w:r>
        <w:rPr>
          <w:rFonts w:hint="eastAsia" w:ascii="宋体" w:hAnsi="宋体" w:cs="宋体"/>
          <w:b/>
          <w:bCs/>
          <w:szCs w:val="21"/>
          <w:lang w:val="en-US" w:eastAsia="zh-CN"/>
        </w:rPr>
        <w:t>七</w:t>
      </w:r>
      <w:r>
        <w:rPr>
          <w:rFonts w:hint="eastAsia" w:ascii="宋体" w:hAnsi="宋体" w:eastAsia="宋体" w:cs="宋体"/>
          <w:b/>
          <w:bCs/>
          <w:szCs w:val="21"/>
        </w:rPr>
        <w:t>套：正本一套，副本</w:t>
      </w:r>
      <w:r>
        <w:rPr>
          <w:rFonts w:hint="eastAsia" w:ascii="宋体" w:hAnsi="宋体" w:cs="宋体"/>
          <w:b/>
          <w:bCs/>
          <w:szCs w:val="21"/>
          <w:lang w:val="en-US" w:eastAsia="zh-CN"/>
        </w:rPr>
        <w:t>六</w:t>
      </w:r>
      <w:r>
        <w:rPr>
          <w:rFonts w:hint="eastAsia" w:ascii="宋体" w:hAnsi="宋体" w:eastAsia="宋体" w:cs="宋体"/>
          <w:b/>
          <w:bCs/>
          <w:szCs w:val="21"/>
        </w:rPr>
        <w:t>套，投标文件电子文档一份。</w:t>
      </w:r>
      <w:r>
        <w:rPr>
          <w:rFonts w:hint="eastAsia" w:ascii="宋体" w:hAnsi="宋体" w:eastAsia="宋体" w:cs="宋体"/>
          <w:szCs w:val="21"/>
        </w:rPr>
        <w:t>所有投标文件（附特殊规格的图纸外）应按A4规格制作。副本可由正本复印而成，如正本与副本不符，以正本为准。投标文件电子版为光盘或U盘介质，WORD或EXCEL格式，不留密码，无病毒，内容应与纸质投标文件内容一致，如有不同，以纸质投标文件为准。投标文件应由投标人的合法授权代表正式签署，如有任何更改应由原签署人签字。无论投标结果如何，投标人的全部投标文件均不退回。</w:t>
      </w:r>
    </w:p>
    <w:p w14:paraId="49D21919">
      <w:pPr>
        <w:numPr>
          <w:ilvl w:val="2"/>
          <w:numId w:val="5"/>
        </w:numPr>
        <w:tabs>
          <w:tab w:val="left" w:pos="720"/>
        </w:tabs>
        <w:spacing w:beforeAutospacing="0" w:afterAutospacing="0" w:line="360" w:lineRule="auto"/>
        <w:ind w:left="738" w:hanging="738" w:hangingChars="350"/>
        <w:rPr>
          <w:rFonts w:ascii="宋体" w:hAnsi="宋体" w:eastAsia="宋体" w:cs="宋体"/>
          <w:szCs w:val="21"/>
        </w:rPr>
      </w:pPr>
      <w:r>
        <w:rPr>
          <w:rFonts w:hint="eastAsia" w:ascii="宋体" w:hAnsi="宋体" w:eastAsia="宋体" w:cs="宋体"/>
          <w:b/>
          <w:szCs w:val="21"/>
        </w:rPr>
        <w:t>投标文件封装成三份：“唱标信封”、“正本”、“副本”，</w:t>
      </w:r>
      <w:r>
        <w:rPr>
          <w:rFonts w:hint="eastAsia" w:ascii="宋体" w:hAnsi="宋体" w:eastAsia="宋体" w:cs="宋体"/>
          <w:szCs w:val="21"/>
        </w:rPr>
        <w:t>分别封装于密封的信封或包装（</w:t>
      </w:r>
      <w:r>
        <w:rPr>
          <w:rFonts w:hint="eastAsia" w:ascii="宋体" w:hAnsi="宋体" w:eastAsia="宋体" w:cs="宋体"/>
          <w:b/>
          <w:bCs/>
          <w:szCs w:val="21"/>
        </w:rPr>
        <w:t>电子文档装入唱标信封内</w:t>
      </w:r>
      <w:r>
        <w:rPr>
          <w:rFonts w:hint="eastAsia" w:ascii="宋体" w:hAnsi="宋体" w:eastAsia="宋体" w:cs="宋体"/>
          <w:szCs w:val="21"/>
        </w:rPr>
        <w:t>），在封口处加盖投标单位公章，并在每一信封或包装的封面上写明：</w:t>
      </w:r>
    </w:p>
    <w:p w14:paraId="07845D4D">
      <w:pPr>
        <w:numPr>
          <w:ilvl w:val="0"/>
          <w:numId w:val="0"/>
        </w:numPr>
        <w:tabs>
          <w:tab w:val="left" w:pos="720"/>
        </w:tabs>
        <w:spacing w:beforeAutospacing="0" w:afterAutospacing="0" w:line="360" w:lineRule="auto"/>
        <w:ind w:leftChars="-350"/>
        <w:rPr>
          <w:rFonts w:ascii="宋体" w:hAnsi="宋体" w:eastAsia="宋体" w:cs="宋体"/>
          <w:szCs w:val="21"/>
        </w:rPr>
      </w:pPr>
    </w:p>
    <w:tbl>
      <w:tblPr>
        <w:tblStyle w:val="47"/>
        <w:tblW w:w="754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0"/>
      </w:tblGrid>
      <w:tr w14:paraId="689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540" w:type="dxa"/>
            <w:vAlign w:val="top"/>
          </w:tcPr>
          <w:p w14:paraId="109ECE0A">
            <w:pPr>
              <w:spacing w:beforeAutospacing="0" w:afterAutospacing="0" w:line="400" w:lineRule="exact"/>
              <w:ind w:left="255"/>
              <w:jc w:val="right"/>
              <w:rPr>
                <w:rFonts w:ascii="宋体" w:hAnsi="宋体" w:eastAsia="宋体" w:cs="宋体"/>
                <w:szCs w:val="21"/>
              </w:rPr>
            </w:pPr>
            <w:r>
              <w:rPr>
                <w:rFonts w:hint="eastAsia" w:ascii="宋体" w:hAnsi="宋体" w:eastAsia="宋体" w:cs="宋体"/>
                <w:szCs w:val="21"/>
              </w:rPr>
              <w:t>（正本/副本/唱标信封）</w:t>
            </w:r>
          </w:p>
          <w:p w14:paraId="26F471A9">
            <w:pPr>
              <w:spacing w:beforeAutospacing="0" w:afterAutospacing="0" w:line="400" w:lineRule="exact"/>
              <w:ind w:left="435"/>
              <w:rPr>
                <w:rFonts w:ascii="宋体" w:hAnsi="宋体" w:eastAsia="宋体" w:cs="宋体"/>
                <w:szCs w:val="21"/>
              </w:rPr>
            </w:pPr>
            <w:r>
              <w:rPr>
                <w:rFonts w:hint="eastAsia" w:ascii="宋体" w:hAnsi="宋体" w:eastAsia="宋体" w:cs="宋体"/>
                <w:szCs w:val="21"/>
              </w:rPr>
              <w:t>收件人名称：韶关市鸿鑫招标代理有限公司</w:t>
            </w:r>
          </w:p>
          <w:p w14:paraId="43FE61B2">
            <w:pPr>
              <w:spacing w:beforeAutospacing="0" w:afterAutospacing="0" w:line="400" w:lineRule="exact"/>
              <w:ind w:left="435"/>
              <w:rPr>
                <w:rFonts w:ascii="宋体" w:hAnsi="宋体" w:eastAsia="宋体" w:cs="宋体"/>
                <w:szCs w:val="21"/>
              </w:rPr>
            </w:pPr>
            <w:r>
              <w:rPr>
                <w:rFonts w:hint="eastAsia" w:ascii="宋体" w:hAnsi="宋体" w:eastAsia="宋体" w:cs="宋体"/>
                <w:szCs w:val="21"/>
              </w:rPr>
              <w:t>项目名称：                      项目编号：</w:t>
            </w:r>
          </w:p>
          <w:p w14:paraId="5C8E7CC8">
            <w:pPr>
              <w:spacing w:beforeAutospacing="0" w:afterAutospacing="0" w:line="400" w:lineRule="exact"/>
              <w:ind w:left="435"/>
              <w:rPr>
                <w:rFonts w:ascii="宋体" w:hAnsi="宋体" w:eastAsia="宋体" w:cs="宋体"/>
                <w:szCs w:val="21"/>
              </w:rPr>
            </w:pPr>
            <w:r>
              <w:rPr>
                <w:rFonts w:hint="eastAsia" w:ascii="宋体" w:hAnsi="宋体" w:eastAsia="宋体" w:cs="宋体"/>
                <w:szCs w:val="21"/>
              </w:rPr>
              <w:t>投标人名称：                    投标人地址：</w:t>
            </w:r>
          </w:p>
          <w:p w14:paraId="347090DD">
            <w:pPr>
              <w:spacing w:beforeAutospacing="0" w:afterAutospacing="0" w:line="400" w:lineRule="exact"/>
              <w:ind w:left="435"/>
              <w:rPr>
                <w:rFonts w:ascii="宋体" w:hAnsi="宋体" w:eastAsia="宋体" w:cs="宋体"/>
                <w:szCs w:val="21"/>
              </w:rPr>
            </w:pPr>
            <w:r>
              <w:rPr>
                <w:rFonts w:hint="eastAsia" w:ascii="宋体" w:hAnsi="宋体" w:eastAsia="宋体" w:cs="宋体"/>
                <w:szCs w:val="21"/>
              </w:rPr>
              <w:t>联系人：                        联系电话：</w:t>
            </w:r>
          </w:p>
          <w:p w14:paraId="1EEFB49A">
            <w:pPr>
              <w:spacing w:beforeAutospacing="0" w:afterAutospacing="0" w:line="400" w:lineRule="exact"/>
              <w:ind w:left="435"/>
              <w:rPr>
                <w:rFonts w:ascii="宋体" w:hAnsi="宋体" w:eastAsia="宋体" w:cs="宋体"/>
                <w:szCs w:val="21"/>
              </w:rPr>
            </w:pPr>
            <w:r>
              <w:rPr>
                <w:rFonts w:hint="eastAsia" w:ascii="宋体" w:hAnsi="宋体" w:eastAsia="宋体" w:cs="宋体"/>
                <w:szCs w:val="21"/>
              </w:rPr>
              <w:t>(    年    月    日    时    分)之前不得启封</w:t>
            </w:r>
          </w:p>
        </w:tc>
      </w:tr>
    </w:tbl>
    <w:p w14:paraId="5A8A152D">
      <w:pPr>
        <w:numPr>
          <w:ilvl w:val="2"/>
          <w:numId w:val="5"/>
        </w:numPr>
        <w:tabs>
          <w:tab w:val="left" w:pos="720"/>
        </w:tabs>
        <w:spacing w:beforeAutospacing="0" w:afterAutospacing="0" w:line="360" w:lineRule="auto"/>
        <w:ind w:left="720" w:hanging="720"/>
        <w:rPr>
          <w:rFonts w:ascii="宋体" w:hAnsi="宋体" w:eastAsia="宋体" w:cs="宋体"/>
          <w:b/>
          <w:bCs/>
          <w:szCs w:val="21"/>
        </w:rPr>
      </w:pPr>
      <w:r>
        <w:rPr>
          <w:rFonts w:hint="eastAsia" w:ascii="宋体" w:hAnsi="宋体" w:eastAsia="宋体" w:cs="宋体"/>
          <w:szCs w:val="21"/>
        </w:rPr>
        <w:t>招标代理机构对因投标文件未装订成册而造成的投标文件的损坏、丢失不承担任何责任。</w:t>
      </w:r>
    </w:p>
    <w:p w14:paraId="3ED6B663">
      <w:pPr>
        <w:numPr>
          <w:ilvl w:val="2"/>
          <w:numId w:val="5"/>
        </w:numPr>
        <w:tabs>
          <w:tab w:val="left" w:pos="720"/>
        </w:tabs>
        <w:spacing w:beforeAutospacing="0" w:afterAutospacing="0" w:line="360" w:lineRule="auto"/>
        <w:ind w:left="720" w:hanging="720"/>
        <w:rPr>
          <w:rFonts w:ascii="宋体" w:hAnsi="宋体" w:eastAsia="宋体" w:cs="宋体"/>
          <w:b/>
          <w:bCs/>
          <w:szCs w:val="21"/>
        </w:rPr>
      </w:pPr>
      <w:r>
        <w:rPr>
          <w:rFonts w:hint="eastAsia" w:ascii="宋体" w:hAnsi="宋体" w:eastAsia="宋体" w:cs="宋体"/>
          <w:b/>
          <w:bCs/>
          <w:szCs w:val="21"/>
        </w:rPr>
        <w:t>所有投标文件应在投标截止时间前送达开标指定地点，交予招标代理机构专职负责人,任何迟于截止时间的投标将被拒绝，以及投标文件未按要求提交齐全或未装订成册或没有封装的将被拒绝。</w:t>
      </w:r>
    </w:p>
    <w:p w14:paraId="449E418F">
      <w:pPr>
        <w:numPr>
          <w:ilvl w:val="2"/>
          <w:numId w:val="5"/>
        </w:numPr>
        <w:tabs>
          <w:tab w:val="left" w:pos="720"/>
        </w:tabs>
        <w:spacing w:beforeAutospacing="0" w:afterAutospacing="0" w:line="360" w:lineRule="auto"/>
        <w:ind w:left="720" w:hanging="720"/>
        <w:rPr>
          <w:rFonts w:ascii="宋体" w:hAnsi="宋体" w:eastAsia="宋体" w:cs="宋体"/>
          <w:szCs w:val="21"/>
        </w:rPr>
      </w:pPr>
      <w:r>
        <w:rPr>
          <w:rFonts w:hint="eastAsia" w:ascii="宋体" w:hAnsi="宋体" w:eastAsia="宋体" w:cs="宋体"/>
          <w:szCs w:val="21"/>
        </w:rPr>
        <w:t>招标代理机构不接受电报、电话、电传、传真、邮寄的投标文件。</w:t>
      </w:r>
    </w:p>
    <w:p w14:paraId="08990899">
      <w:pPr>
        <w:numPr>
          <w:ilvl w:val="2"/>
          <w:numId w:val="5"/>
        </w:numPr>
        <w:tabs>
          <w:tab w:val="left" w:pos="735"/>
        </w:tabs>
        <w:spacing w:beforeAutospacing="0" w:afterAutospacing="0" w:line="360" w:lineRule="auto"/>
        <w:ind w:left="738" w:hanging="738" w:hangingChars="350"/>
        <w:rPr>
          <w:rFonts w:ascii="宋体" w:hAnsi="宋体" w:eastAsia="宋体" w:cs="宋体"/>
        </w:rPr>
      </w:pPr>
      <w:r>
        <w:rPr>
          <w:rFonts w:hint="eastAsia" w:ascii="宋体" w:hAnsi="宋体" w:eastAsia="宋体" w:cs="宋体"/>
          <w:b/>
          <w:bCs/>
          <w:szCs w:val="21"/>
        </w:rPr>
        <w:t>投标文件应按上述要求提供齐全并封装，投标文件提供不齐全或未按要求装订成册的将会作为符合性审查不合格处理。</w:t>
      </w:r>
    </w:p>
    <w:p w14:paraId="70304841">
      <w:pPr>
        <w:numPr>
          <w:ilvl w:val="1"/>
          <w:numId w:val="5"/>
        </w:numPr>
        <w:spacing w:beforeAutospacing="0" w:afterAutospacing="0" w:line="360" w:lineRule="auto"/>
        <w:rPr>
          <w:rFonts w:ascii="宋体" w:hAnsi="宋体" w:eastAsia="宋体" w:cs="宋体"/>
          <w:b/>
          <w:bCs/>
          <w:szCs w:val="21"/>
        </w:rPr>
      </w:pPr>
      <w:r>
        <w:rPr>
          <w:rFonts w:hint="eastAsia" w:ascii="宋体" w:hAnsi="宋体" w:eastAsia="宋体" w:cs="宋体"/>
          <w:b/>
          <w:bCs/>
          <w:szCs w:val="21"/>
        </w:rPr>
        <w:t>投标有效期</w:t>
      </w:r>
    </w:p>
    <w:p w14:paraId="0FF631CB">
      <w:pPr>
        <w:spacing w:beforeAutospacing="0" w:afterAutospacing="0" w:line="360" w:lineRule="auto"/>
        <w:ind w:firstLine="422"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szCs w:val="21"/>
        </w:rPr>
        <w:t>从投标截止日起，投标有效期为90日历天。</w:t>
      </w:r>
      <w:r>
        <w:rPr>
          <w:rFonts w:hint="eastAsia" w:ascii="宋体" w:hAnsi="宋体" w:eastAsia="宋体" w:cs="宋体"/>
          <w:szCs w:val="21"/>
        </w:rPr>
        <w:t>在特殊情况下，招标代理机构可于投标有效期满之前要求投标人同意延长有效期，要求与答复均应以书面形式。投标人可以拒绝上述要求而其保证金不被没收，同意延期的投标人根据原截止期所享有的权利及其所负有的义务相应也延</w:t>
      </w:r>
      <w:r>
        <w:rPr>
          <w:rFonts w:hint="eastAsia" w:ascii="宋体" w:hAnsi="宋体" w:eastAsia="宋体" w:cs="宋体"/>
          <w:color w:val="000000" w:themeColor="text1"/>
          <w:szCs w:val="21"/>
          <w14:textFill>
            <w14:solidFill>
              <w14:schemeClr w14:val="tx1"/>
            </w14:solidFill>
          </w14:textFill>
        </w:rPr>
        <w:t>至新的截止期。</w:t>
      </w:r>
    </w:p>
    <w:p w14:paraId="4EB9B17F">
      <w:pPr>
        <w:pStyle w:val="19"/>
        <w:adjustRightInd w:val="0"/>
        <w:snapToGrid w:val="0"/>
        <w:spacing w:line="360" w:lineRule="auto"/>
        <w:rPr>
          <w:rFonts w:ascii="宋体" w:hAnsi="宋体" w:eastAsia="宋体"/>
          <w:b/>
          <w:bCs w:val="0"/>
          <w:color w:val="000000" w:themeColor="text1"/>
          <w:sz w:val="21"/>
          <w:szCs w:val="21"/>
          <w:lang w:eastAsia="zh-CN"/>
          <w14:textFill>
            <w14:solidFill>
              <w14:schemeClr w14:val="tx1"/>
            </w14:solidFill>
          </w14:textFill>
        </w:rPr>
      </w:pPr>
      <w:r>
        <w:rPr>
          <w:rFonts w:hint="eastAsia" w:ascii="宋体" w:hAnsi="宋体" w:eastAsia="宋体"/>
          <w:b/>
          <w:bCs w:val="0"/>
          <w:color w:val="000000" w:themeColor="text1"/>
          <w:sz w:val="21"/>
          <w:szCs w:val="21"/>
          <w:lang w:val="en-US" w:eastAsia="zh-CN"/>
          <w14:textFill>
            <w14:solidFill>
              <w14:schemeClr w14:val="tx1"/>
            </w14:solidFill>
          </w14:textFill>
        </w:rPr>
        <w:t>3.6.缴纳</w:t>
      </w:r>
      <w:r>
        <w:rPr>
          <w:rFonts w:hint="eastAsia" w:ascii="宋体" w:hAnsi="宋体" w:eastAsia="宋体"/>
          <w:b/>
          <w:bCs w:val="0"/>
          <w:color w:val="000000" w:themeColor="text1"/>
          <w:sz w:val="21"/>
          <w:szCs w:val="21"/>
          <w:lang w:eastAsia="zh-CN"/>
          <w14:textFill>
            <w14:solidFill>
              <w14:schemeClr w14:val="tx1"/>
            </w14:solidFill>
          </w14:textFill>
        </w:rPr>
        <w:t>投标保证金事宜（技术支持：</w:t>
      </w:r>
      <w:r>
        <w:rPr>
          <w:rFonts w:ascii="宋体" w:hAnsi="宋体" w:eastAsia="宋体"/>
          <w:b/>
          <w:bCs w:val="0"/>
          <w:color w:val="000000" w:themeColor="text1"/>
          <w:sz w:val="21"/>
          <w:szCs w:val="21"/>
          <w:lang w:eastAsia="zh-CN"/>
          <w14:textFill>
            <w14:solidFill>
              <w14:schemeClr w14:val="tx1"/>
            </w14:solidFill>
          </w14:textFill>
        </w:rPr>
        <w:t>0751-8379671 伍工）</w:t>
      </w:r>
    </w:p>
    <w:p w14:paraId="673815DD">
      <w:pPr>
        <w:pStyle w:val="19"/>
        <w:adjustRightInd w:val="0"/>
        <w:snapToGrid w:val="0"/>
        <w:spacing w:line="360" w:lineRule="auto"/>
        <w:ind w:firstLine="420" w:firstLineChars="200"/>
        <w:rPr>
          <w:rFonts w:ascii="宋体" w:hAnsi="宋体" w:eastAsia="宋体"/>
          <w:bCs/>
          <w:color w:val="000000" w:themeColor="text1"/>
          <w:sz w:val="21"/>
          <w:szCs w:val="21"/>
          <w:lang w:eastAsia="zh-CN"/>
          <w14:textFill>
            <w14:solidFill>
              <w14:schemeClr w14:val="tx1"/>
            </w14:solidFill>
          </w14:textFill>
        </w:rPr>
      </w:pPr>
      <w:r>
        <w:rPr>
          <w:rFonts w:hint="eastAsia" w:ascii="宋体" w:hAnsi="宋体" w:eastAsia="宋体"/>
          <w:bCs/>
          <w:color w:val="000000" w:themeColor="text1"/>
          <w:sz w:val="21"/>
          <w:szCs w:val="21"/>
          <w:lang w:eastAsia="zh-CN"/>
          <w14:textFill>
            <w14:solidFill>
              <w14:schemeClr w14:val="tx1"/>
            </w14:solidFill>
          </w14:textFill>
        </w:rPr>
        <w:t>（</w:t>
      </w:r>
      <w:r>
        <w:rPr>
          <w:rFonts w:ascii="宋体" w:hAnsi="宋体" w:eastAsia="宋体"/>
          <w:bCs/>
          <w:color w:val="000000" w:themeColor="text1"/>
          <w:sz w:val="21"/>
          <w:szCs w:val="21"/>
          <w:lang w:eastAsia="zh-CN"/>
          <w14:textFill>
            <w14:solidFill>
              <w14:schemeClr w14:val="tx1"/>
            </w14:solidFill>
          </w14:textFill>
        </w:rPr>
        <w:t>1）投标保证金</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截止时间</w:t>
      </w:r>
      <w:r>
        <w:rPr>
          <w:rFonts w:ascii="宋体" w:hAnsi="宋体" w:eastAsia="宋体"/>
          <w:bCs/>
          <w:color w:val="000000" w:themeColor="text1"/>
          <w:sz w:val="21"/>
          <w:szCs w:val="21"/>
          <w:highlight w:val="none"/>
          <w:lang w:eastAsia="zh-CN"/>
          <w14:textFill>
            <w14:solidFill>
              <w14:schemeClr w14:val="tx1"/>
            </w14:solidFill>
          </w14:textFill>
        </w:rPr>
        <w:t>：202</w:t>
      </w:r>
      <w:r>
        <w:rPr>
          <w:rFonts w:hint="eastAsia" w:ascii="宋体" w:hAnsi="宋体" w:eastAsia="宋体"/>
          <w:bCs/>
          <w:color w:val="000000" w:themeColor="text1"/>
          <w:sz w:val="21"/>
          <w:szCs w:val="21"/>
          <w:highlight w:val="none"/>
          <w:lang w:val="en-US" w:eastAsia="zh-CN"/>
          <w14:textFill>
            <w14:solidFill>
              <w14:schemeClr w14:val="tx1"/>
            </w14:solidFill>
          </w14:textFill>
        </w:rPr>
        <w:t>5</w:t>
      </w:r>
      <w:r>
        <w:rPr>
          <w:rFonts w:ascii="宋体" w:hAnsi="宋体" w:eastAsia="宋体"/>
          <w:bCs/>
          <w:color w:val="000000" w:themeColor="text1"/>
          <w:sz w:val="21"/>
          <w:szCs w:val="21"/>
          <w:highlight w:val="none"/>
          <w:lang w:eastAsia="zh-CN"/>
          <w14:textFill>
            <w14:solidFill>
              <w14:schemeClr w14:val="tx1"/>
            </w14:solidFill>
          </w14:textFill>
        </w:rPr>
        <w:t>年</w:t>
      </w:r>
      <w:r>
        <w:rPr>
          <w:rFonts w:hint="eastAsia" w:ascii="宋体" w:hAnsi="宋体"/>
          <w:bCs/>
          <w:color w:val="000000" w:themeColor="text1"/>
          <w:sz w:val="21"/>
          <w:szCs w:val="21"/>
          <w:highlight w:val="none"/>
          <w:lang w:val="en-US" w:eastAsia="zh-CN"/>
          <w14:textFill>
            <w14:solidFill>
              <w14:schemeClr w14:val="tx1"/>
            </w14:solidFill>
          </w14:textFill>
        </w:rPr>
        <w:t>10</w:t>
      </w:r>
      <w:r>
        <w:rPr>
          <w:rFonts w:ascii="宋体" w:hAnsi="宋体" w:eastAsia="宋体"/>
          <w:bCs/>
          <w:color w:val="000000" w:themeColor="text1"/>
          <w:sz w:val="21"/>
          <w:szCs w:val="21"/>
          <w:highlight w:val="none"/>
          <w:lang w:eastAsia="zh-CN"/>
          <w14:textFill>
            <w14:solidFill>
              <w14:schemeClr w14:val="tx1"/>
            </w14:solidFill>
          </w14:textFill>
        </w:rPr>
        <w:t>月</w:t>
      </w:r>
      <w:r>
        <w:rPr>
          <w:rFonts w:hint="eastAsia" w:ascii="宋体" w:hAnsi="宋体"/>
          <w:bCs/>
          <w:color w:val="000000" w:themeColor="text1"/>
          <w:sz w:val="21"/>
          <w:szCs w:val="21"/>
          <w:highlight w:val="none"/>
          <w:lang w:val="en-US" w:eastAsia="zh-CN"/>
          <w14:textFill>
            <w14:solidFill>
              <w14:schemeClr w14:val="tx1"/>
            </w14:solidFill>
          </w14:textFill>
        </w:rPr>
        <w:t>22</w:t>
      </w:r>
      <w:r>
        <w:rPr>
          <w:rFonts w:ascii="宋体" w:hAnsi="宋体" w:eastAsia="宋体"/>
          <w:bCs/>
          <w:color w:val="000000" w:themeColor="text1"/>
          <w:sz w:val="21"/>
          <w:szCs w:val="21"/>
          <w:highlight w:val="none"/>
          <w:lang w:eastAsia="zh-CN"/>
          <w14:textFill>
            <w14:solidFill>
              <w14:schemeClr w14:val="tx1"/>
            </w14:solidFill>
          </w14:textFill>
        </w:rPr>
        <w:t>日</w:t>
      </w:r>
      <w:r>
        <w:rPr>
          <w:rFonts w:hint="eastAsia" w:ascii="宋体" w:hAnsi="宋体"/>
          <w:bCs/>
          <w:color w:val="000000" w:themeColor="text1"/>
          <w:sz w:val="21"/>
          <w:szCs w:val="21"/>
          <w:highlight w:val="none"/>
          <w:lang w:val="en-US" w:eastAsia="zh-CN"/>
          <w14:textFill>
            <w14:solidFill>
              <w14:schemeClr w14:val="tx1"/>
            </w14:solidFill>
          </w14:textFill>
        </w:rPr>
        <w:t>09</w:t>
      </w:r>
      <w:r>
        <w:rPr>
          <w:rFonts w:ascii="宋体" w:hAnsi="宋体" w:eastAsia="宋体"/>
          <w:bCs/>
          <w:color w:val="000000" w:themeColor="text1"/>
          <w:sz w:val="21"/>
          <w:szCs w:val="21"/>
          <w:highlight w:val="none"/>
          <w:lang w:eastAsia="zh-CN"/>
          <w14:textFill>
            <w14:solidFill>
              <w14:schemeClr w14:val="tx1"/>
            </w14:solidFill>
          </w14:textFill>
        </w:rPr>
        <w:t>点</w:t>
      </w:r>
      <w:r>
        <w:rPr>
          <w:rFonts w:hint="eastAsia" w:ascii="宋体" w:hAnsi="宋体"/>
          <w:bCs/>
          <w:color w:val="000000" w:themeColor="text1"/>
          <w:sz w:val="21"/>
          <w:szCs w:val="21"/>
          <w:highlight w:val="none"/>
          <w:lang w:val="en-US" w:eastAsia="zh-CN"/>
          <w14:textFill>
            <w14:solidFill>
              <w14:schemeClr w14:val="tx1"/>
            </w14:solidFill>
          </w14:textFill>
        </w:rPr>
        <w:t>30</w:t>
      </w:r>
      <w:r>
        <w:rPr>
          <w:rFonts w:ascii="宋体" w:hAnsi="宋体" w:eastAsia="宋体"/>
          <w:bCs/>
          <w:color w:val="000000" w:themeColor="text1"/>
          <w:sz w:val="21"/>
          <w:szCs w:val="21"/>
          <w:highlight w:val="none"/>
          <w:lang w:eastAsia="zh-CN"/>
          <w14:textFill>
            <w14:solidFill>
              <w14:schemeClr w14:val="tx1"/>
            </w14:solidFill>
          </w14:textFill>
        </w:rPr>
        <w:t>分</w:t>
      </w:r>
    </w:p>
    <w:p w14:paraId="24A208AE">
      <w:pPr>
        <w:pStyle w:val="19"/>
        <w:adjustRightInd w:val="0"/>
        <w:snapToGrid w:val="0"/>
        <w:spacing w:line="360" w:lineRule="auto"/>
        <w:ind w:firstLine="420" w:firstLineChars="200"/>
        <w:rPr>
          <w:rFonts w:ascii="宋体" w:hAnsi="宋体" w:eastAsia="宋体"/>
          <w:bCs/>
          <w:color w:val="000000" w:themeColor="text1"/>
          <w:sz w:val="21"/>
          <w:szCs w:val="21"/>
          <w:highlight w:val="yellow"/>
          <w:lang w:eastAsia="zh-CN"/>
          <w14:textFill>
            <w14:solidFill>
              <w14:schemeClr w14:val="tx1"/>
            </w14:solidFill>
          </w14:textFill>
        </w:rPr>
      </w:pPr>
      <w:r>
        <w:rPr>
          <w:rFonts w:hint="eastAsia" w:ascii="宋体" w:hAnsi="宋体" w:eastAsia="宋体"/>
          <w:bCs/>
          <w:color w:val="000000" w:themeColor="text1"/>
          <w:sz w:val="21"/>
          <w:szCs w:val="21"/>
          <w:lang w:eastAsia="zh-CN"/>
          <w14:textFill>
            <w14:solidFill>
              <w14:schemeClr w14:val="tx1"/>
            </w14:solidFill>
          </w14:textFill>
        </w:rPr>
        <w:t>（</w:t>
      </w:r>
      <w:r>
        <w:rPr>
          <w:rFonts w:ascii="宋体" w:hAnsi="宋体" w:eastAsia="宋体"/>
          <w:bCs/>
          <w:color w:val="000000" w:themeColor="text1"/>
          <w:sz w:val="21"/>
          <w:szCs w:val="21"/>
          <w:lang w:eastAsia="zh-CN"/>
          <w14:textFill>
            <w14:solidFill>
              <w14:schemeClr w14:val="tx1"/>
            </w14:solidFill>
          </w14:textFill>
        </w:rPr>
        <w:t>2）本项目投标保证金金额为：</w:t>
      </w:r>
      <w:r>
        <w:rPr>
          <w:rFonts w:hint="eastAsia" w:ascii="宋体" w:hAnsi="宋体"/>
          <w:bCs/>
          <w:color w:val="000000" w:themeColor="text1"/>
          <w:sz w:val="21"/>
          <w:szCs w:val="21"/>
          <w:highlight w:val="none"/>
          <w:lang w:val="en-US" w:eastAsia="zh-CN"/>
          <w14:textFill>
            <w14:solidFill>
              <w14:schemeClr w14:val="tx1"/>
            </w14:solidFill>
          </w14:textFill>
        </w:rPr>
        <w:t>1</w:t>
      </w:r>
      <w:r>
        <w:rPr>
          <w:rFonts w:ascii="宋体" w:hAnsi="宋体" w:eastAsia="宋体"/>
          <w:bCs/>
          <w:color w:val="000000" w:themeColor="text1"/>
          <w:sz w:val="21"/>
          <w:szCs w:val="21"/>
          <w:highlight w:val="none"/>
          <w:lang w:eastAsia="zh-CN"/>
          <w14:textFill>
            <w14:solidFill>
              <w14:schemeClr w14:val="tx1"/>
            </w14:solidFill>
          </w14:textFill>
        </w:rPr>
        <w:t>,0</w:t>
      </w:r>
      <w:r>
        <w:rPr>
          <w:rFonts w:hint="eastAsia" w:ascii="宋体" w:hAnsi="宋体"/>
          <w:bCs/>
          <w:color w:val="000000" w:themeColor="text1"/>
          <w:sz w:val="21"/>
          <w:szCs w:val="21"/>
          <w:highlight w:val="none"/>
          <w:lang w:val="en-US" w:eastAsia="zh-CN"/>
          <w14:textFill>
            <w14:solidFill>
              <w14:schemeClr w14:val="tx1"/>
            </w14:solidFill>
          </w14:textFill>
        </w:rPr>
        <w:t>0</w:t>
      </w:r>
      <w:r>
        <w:rPr>
          <w:rFonts w:ascii="宋体" w:hAnsi="宋体" w:eastAsia="宋体"/>
          <w:bCs/>
          <w:color w:val="000000" w:themeColor="text1"/>
          <w:sz w:val="21"/>
          <w:szCs w:val="21"/>
          <w:highlight w:val="none"/>
          <w:lang w:eastAsia="zh-CN"/>
          <w14:textFill>
            <w14:solidFill>
              <w14:schemeClr w14:val="tx1"/>
            </w14:solidFill>
          </w14:textFill>
        </w:rPr>
        <w:t>0,000.00元（人民币</w:t>
      </w:r>
      <w:r>
        <w:rPr>
          <w:rFonts w:hint="eastAsia" w:ascii="宋体" w:hAnsi="宋体"/>
          <w:bCs/>
          <w:color w:val="000000" w:themeColor="text1"/>
          <w:sz w:val="21"/>
          <w:szCs w:val="21"/>
          <w:highlight w:val="none"/>
          <w:lang w:val="en-US" w:eastAsia="zh-CN"/>
          <w14:textFill>
            <w14:solidFill>
              <w14:schemeClr w14:val="tx1"/>
            </w14:solidFill>
          </w14:textFill>
        </w:rPr>
        <w:t>壹佰万</w:t>
      </w:r>
      <w:r>
        <w:rPr>
          <w:rFonts w:ascii="宋体" w:hAnsi="宋体" w:eastAsia="宋体"/>
          <w:bCs/>
          <w:color w:val="000000" w:themeColor="text1"/>
          <w:sz w:val="21"/>
          <w:szCs w:val="21"/>
          <w:highlight w:val="none"/>
          <w:lang w:eastAsia="zh-CN"/>
          <w14:textFill>
            <w14:solidFill>
              <w14:schemeClr w14:val="tx1"/>
            </w14:solidFill>
          </w14:textFill>
        </w:rPr>
        <w:t>元整）</w:t>
      </w:r>
    </w:p>
    <w:p w14:paraId="7618EEC4">
      <w:pPr>
        <w:pStyle w:val="19"/>
        <w:adjustRightInd w:val="0"/>
        <w:snapToGrid w:val="0"/>
        <w:spacing w:line="360" w:lineRule="auto"/>
        <w:ind w:firstLine="420" w:firstLineChars="200"/>
        <w:rPr>
          <w:rFonts w:ascii="宋体" w:hAnsi="宋体" w:eastAsia="宋体"/>
          <w:bCs/>
          <w:color w:val="000000" w:themeColor="text1"/>
          <w:sz w:val="21"/>
          <w:szCs w:val="21"/>
          <w:lang w:eastAsia="zh-CN"/>
          <w14:textFill>
            <w14:solidFill>
              <w14:schemeClr w14:val="tx1"/>
            </w14:solidFill>
          </w14:textFill>
        </w:rPr>
      </w:pPr>
      <w:r>
        <w:rPr>
          <w:rFonts w:hint="eastAsia" w:ascii="宋体" w:hAnsi="宋体" w:eastAsia="宋体"/>
          <w:bCs/>
          <w:color w:val="000000" w:themeColor="text1"/>
          <w:sz w:val="21"/>
          <w:szCs w:val="21"/>
          <w:lang w:eastAsia="zh-CN"/>
          <w14:textFill>
            <w14:solidFill>
              <w14:schemeClr w14:val="tx1"/>
            </w14:solidFill>
          </w14:textFill>
        </w:rPr>
        <w:t>（</w:t>
      </w:r>
      <w:r>
        <w:rPr>
          <w:rFonts w:ascii="宋体" w:hAnsi="宋体" w:eastAsia="宋体"/>
          <w:bCs/>
          <w:color w:val="000000" w:themeColor="text1"/>
          <w:sz w:val="21"/>
          <w:szCs w:val="21"/>
          <w:lang w:eastAsia="zh-CN"/>
          <w14:textFill>
            <w14:solidFill>
              <w14:schemeClr w14:val="tx1"/>
            </w14:solidFill>
          </w14:textFill>
        </w:rPr>
        <w:t>3）</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投标保证金流程：</w:t>
      </w:r>
      <w:r>
        <w:rPr>
          <w:rFonts w:hint="eastAsia" w:ascii="宋体" w:hAnsi="宋体" w:eastAsia="宋体"/>
          <w:bCs/>
          <w:color w:val="000000" w:themeColor="text1"/>
          <w:sz w:val="21"/>
          <w:szCs w:val="21"/>
          <w:lang w:eastAsia="zh-CN"/>
          <w14:textFill>
            <w14:solidFill>
              <w14:schemeClr w14:val="tx1"/>
            </w14:solidFill>
          </w14:textFill>
        </w:rPr>
        <w:t>报名成功后，投标人必须在投标保证金缴纳截止时间前登录产权招标交易系统，点击“系统功能菜单”中的“投标报名</w:t>
      </w:r>
      <w:r>
        <w:rPr>
          <w:rFonts w:ascii="宋体" w:hAnsi="宋体" w:eastAsia="宋体"/>
          <w:bCs/>
          <w:color w:val="000000" w:themeColor="text1"/>
          <w:sz w:val="21"/>
          <w:szCs w:val="21"/>
          <w:lang w:eastAsia="zh-CN"/>
          <w14:textFill>
            <w14:solidFill>
              <w14:schemeClr w14:val="tx1"/>
            </w14:solidFill>
          </w14:textFill>
        </w:rPr>
        <w:t xml:space="preserve"> &gt; 已报项目”，选择相应的项目，点击“缴纳保证金”，产权招标交易系统将弹出“缴纳保证金”窗口，选择缴费银行，点击“确定，下一步”，产权招标交易系统将自动生成子账号（特别注意：该子账号为一次性账号，仅限当前获取该子账号的</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参加该项目当次</w:t>
      </w:r>
      <w:r>
        <w:rPr>
          <w:rFonts w:hint="eastAsia" w:ascii="宋体" w:hAnsi="宋体" w:eastAsia="宋体"/>
          <w:bCs/>
          <w:color w:val="000000" w:themeColor="text1"/>
          <w:sz w:val="21"/>
          <w:szCs w:val="21"/>
          <w:lang w:eastAsia="zh-CN"/>
          <w14:textFill>
            <w14:solidFill>
              <w14:schemeClr w14:val="tx1"/>
            </w14:solidFill>
          </w14:textFill>
        </w:rPr>
        <w:t>招标活动</w:t>
      </w:r>
      <w:r>
        <w:rPr>
          <w:rFonts w:ascii="宋体" w:hAnsi="宋体" w:eastAsia="宋体"/>
          <w:bCs/>
          <w:color w:val="000000" w:themeColor="text1"/>
          <w:sz w:val="21"/>
          <w:szCs w:val="21"/>
          <w:lang w:eastAsia="zh-CN"/>
          <w14:textFill>
            <w14:solidFill>
              <w14:schemeClr w14:val="tx1"/>
            </w14:solidFill>
          </w14:textFill>
        </w:rPr>
        <w:t>有效），</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将投标保证金一次性足额汇入子帐号。在“是否缴纳保证金”栏显示为“是”后（请勿在显示“否”时打印），点击“打印保证金</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信息表”，将保证金</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信息表</w:t>
      </w:r>
      <w:r>
        <w:rPr>
          <w:rFonts w:hint="eastAsia" w:ascii="宋体" w:hAnsi="宋体" w:eastAsia="宋体"/>
          <w:bCs/>
          <w:color w:val="000000" w:themeColor="text1"/>
          <w:sz w:val="21"/>
          <w:szCs w:val="21"/>
          <w:lang w:eastAsia="zh-CN"/>
          <w14:textFill>
            <w14:solidFill>
              <w14:schemeClr w14:val="tx1"/>
            </w14:solidFill>
          </w14:textFill>
        </w:rPr>
        <w:t>打印出来，并粘贴或装订在投标文件。产权招标交易系统将根据投标保证金到达产权招标交易系统的时间判断投标保证金是否有效，“保证金是否有效缴纳”栏显示为“已缴纳”，即为投标保证金有效。投标保证金有效与否，将以产权招标交易系统作为判断依据。请各投标人充分考虑到银行转账的时间差，适时提前转账（建议投标人在投标保证金提交截止时间的</w:t>
      </w:r>
      <w:r>
        <w:rPr>
          <w:rFonts w:ascii="宋体" w:hAnsi="宋体" w:eastAsia="宋体"/>
          <w:bCs/>
          <w:color w:val="000000" w:themeColor="text1"/>
          <w:sz w:val="21"/>
          <w:szCs w:val="21"/>
          <w:lang w:eastAsia="zh-CN"/>
          <w14:textFill>
            <w14:solidFill>
              <w14:schemeClr w14:val="tx1"/>
            </w14:solidFill>
          </w14:textFill>
        </w:rPr>
        <w:t>2个工作日之前</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投标保证金），否则，由此产生的一切后果由</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自行承担。</w:t>
      </w:r>
    </w:p>
    <w:p w14:paraId="0A77CDC7">
      <w:pPr>
        <w:pStyle w:val="19"/>
        <w:adjustRightInd w:val="0"/>
        <w:snapToGrid w:val="0"/>
        <w:spacing w:line="360" w:lineRule="auto"/>
        <w:rPr>
          <w:rFonts w:ascii="宋体" w:hAnsi="宋体" w:eastAsia="宋体"/>
          <w:b/>
          <w:bCs w:val="0"/>
          <w:color w:val="000000" w:themeColor="text1"/>
          <w:sz w:val="21"/>
          <w:szCs w:val="21"/>
          <w:lang w:eastAsia="zh-CN"/>
          <w14:textFill>
            <w14:solidFill>
              <w14:schemeClr w14:val="tx1"/>
            </w14:solidFill>
          </w14:textFill>
        </w:rPr>
      </w:pPr>
      <w:r>
        <w:rPr>
          <w:rFonts w:hint="eastAsia" w:ascii="宋体" w:hAnsi="宋体" w:eastAsia="宋体"/>
          <w:b/>
          <w:bCs w:val="0"/>
          <w:color w:val="000000" w:themeColor="text1"/>
          <w:sz w:val="21"/>
          <w:szCs w:val="21"/>
          <w:lang w:val="en-US" w:eastAsia="zh-CN"/>
          <w14:textFill>
            <w14:solidFill>
              <w14:schemeClr w14:val="tx1"/>
            </w14:solidFill>
          </w14:textFill>
        </w:rPr>
        <w:t>3.7</w:t>
      </w:r>
      <w:r>
        <w:rPr>
          <w:rFonts w:ascii="宋体" w:hAnsi="宋体" w:eastAsia="宋体"/>
          <w:b/>
          <w:bCs w:val="0"/>
          <w:color w:val="000000" w:themeColor="text1"/>
          <w:sz w:val="21"/>
          <w:szCs w:val="21"/>
          <w:lang w:eastAsia="zh-CN"/>
          <w14:textFill>
            <w14:solidFill>
              <w14:schemeClr w14:val="tx1"/>
            </w14:solidFill>
          </w14:textFill>
        </w:rPr>
        <w:t>.</w:t>
      </w:r>
      <w:r>
        <w:rPr>
          <w:rFonts w:hint="eastAsia" w:ascii="宋体" w:hAnsi="宋体" w:eastAsia="宋体"/>
          <w:b/>
          <w:bCs w:val="0"/>
          <w:color w:val="000000" w:themeColor="text1"/>
          <w:sz w:val="21"/>
          <w:szCs w:val="21"/>
          <w:lang w:eastAsia="zh-CN"/>
          <w14:textFill>
            <w14:solidFill>
              <w14:schemeClr w14:val="tx1"/>
            </w14:solidFill>
          </w14:textFill>
        </w:rPr>
        <w:t>缴纳</w:t>
      </w:r>
      <w:r>
        <w:rPr>
          <w:rFonts w:ascii="宋体" w:hAnsi="宋体" w:eastAsia="宋体"/>
          <w:b/>
          <w:bCs w:val="0"/>
          <w:color w:val="000000" w:themeColor="text1"/>
          <w:sz w:val="21"/>
          <w:szCs w:val="21"/>
          <w:lang w:eastAsia="zh-CN"/>
          <w14:textFill>
            <w14:solidFill>
              <w14:schemeClr w14:val="tx1"/>
            </w14:solidFill>
          </w14:textFill>
        </w:rPr>
        <w:t>投标保证金注意事项：</w:t>
      </w:r>
    </w:p>
    <w:p w14:paraId="0D4585A0">
      <w:pPr>
        <w:pStyle w:val="19"/>
        <w:adjustRightInd w:val="0"/>
        <w:snapToGrid w:val="0"/>
        <w:spacing w:line="360" w:lineRule="auto"/>
        <w:ind w:firstLine="420" w:firstLineChars="200"/>
        <w:rPr>
          <w:rFonts w:ascii="宋体" w:hAnsi="宋体" w:eastAsia="宋体"/>
          <w:bCs/>
          <w:color w:val="000000" w:themeColor="text1"/>
          <w:sz w:val="21"/>
          <w:szCs w:val="21"/>
          <w:lang w:eastAsia="zh-CN"/>
          <w14:textFill>
            <w14:solidFill>
              <w14:schemeClr w14:val="tx1"/>
            </w14:solidFill>
          </w14:textFill>
        </w:rPr>
      </w:pPr>
      <w:r>
        <w:rPr>
          <w:rFonts w:hint="eastAsia" w:ascii="宋体" w:hAnsi="宋体" w:eastAsia="宋体"/>
          <w:bCs/>
          <w:color w:val="000000" w:themeColor="text1"/>
          <w:sz w:val="21"/>
          <w:szCs w:val="21"/>
          <w:lang w:eastAsia="zh-CN"/>
          <w14:textFill>
            <w14:solidFill>
              <w14:schemeClr w14:val="tx1"/>
            </w14:solidFill>
          </w14:textFill>
        </w:rPr>
        <w:t>（</w:t>
      </w:r>
      <w:r>
        <w:rPr>
          <w:rFonts w:ascii="宋体" w:hAnsi="宋体" w:eastAsia="宋体"/>
          <w:bCs/>
          <w:color w:val="000000" w:themeColor="text1"/>
          <w:sz w:val="21"/>
          <w:szCs w:val="21"/>
          <w:lang w:eastAsia="zh-CN"/>
          <w14:textFill>
            <w14:solidFill>
              <w14:schemeClr w14:val="tx1"/>
            </w14:solidFill>
          </w14:textFill>
        </w:rPr>
        <w:t>1）</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投标保证金的</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必须已报名本项目，</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必须按招标文件规定的金额和规定的期限内</w:t>
      </w:r>
      <w:r>
        <w:rPr>
          <w:rFonts w:hint="eastAsia" w:ascii="宋体" w:hAnsi="宋体" w:eastAsia="宋体"/>
          <w:bCs/>
          <w:color w:val="000000" w:themeColor="text1"/>
          <w:sz w:val="21"/>
          <w:szCs w:val="21"/>
          <w:lang w:eastAsia="zh-CN"/>
          <w14:textFill>
            <w14:solidFill>
              <w14:schemeClr w14:val="tx1"/>
            </w14:solidFill>
          </w14:textFill>
        </w:rPr>
        <w:t>缴纳</w:t>
      </w:r>
      <w:r>
        <w:rPr>
          <w:rFonts w:ascii="宋体" w:hAnsi="宋体" w:eastAsia="宋体"/>
          <w:bCs/>
          <w:color w:val="000000" w:themeColor="text1"/>
          <w:sz w:val="21"/>
          <w:szCs w:val="21"/>
          <w:lang w:eastAsia="zh-CN"/>
          <w14:textFill>
            <w14:solidFill>
              <w14:schemeClr w14:val="tx1"/>
            </w14:solidFill>
          </w14:textFill>
        </w:rPr>
        <w:t>投标保证金，</w:t>
      </w:r>
      <w:r>
        <w:rPr>
          <w:rFonts w:hint="eastAsia" w:ascii="宋体" w:hAnsi="宋体" w:eastAsia="宋体"/>
          <w:bCs/>
          <w:color w:val="000000" w:themeColor="text1"/>
          <w:sz w:val="21"/>
          <w:szCs w:val="21"/>
          <w:lang w:eastAsia="zh-CN"/>
          <w14:textFill>
            <w14:solidFill>
              <w14:schemeClr w14:val="tx1"/>
            </w14:solidFill>
          </w14:textFill>
        </w:rPr>
        <w:t>投标人</w:t>
      </w:r>
      <w:r>
        <w:rPr>
          <w:rFonts w:ascii="宋体" w:hAnsi="宋体" w:eastAsia="宋体"/>
          <w:bCs/>
          <w:color w:val="000000" w:themeColor="text1"/>
          <w:sz w:val="21"/>
          <w:szCs w:val="21"/>
          <w:lang w:eastAsia="zh-CN"/>
          <w14:textFill>
            <w14:solidFill>
              <w14:schemeClr w14:val="tx1"/>
            </w14:solidFill>
          </w14:textFill>
        </w:rPr>
        <w:t>与投标保证金的交款人名称必须一致，否则，评标委员会将对其投标文件作无效投标处理。</w:t>
      </w:r>
    </w:p>
    <w:p w14:paraId="33DB9D61">
      <w:pPr>
        <w:pStyle w:val="19"/>
        <w:adjustRightInd w:val="0"/>
        <w:snapToGrid w:val="0"/>
        <w:spacing w:line="360" w:lineRule="auto"/>
        <w:ind w:firstLine="420" w:firstLineChars="200"/>
        <w:rPr>
          <w:rFonts w:ascii="宋体" w:hAnsi="宋体" w:eastAsia="宋体"/>
          <w:bCs/>
          <w:color w:val="000000" w:themeColor="text1"/>
          <w:sz w:val="21"/>
          <w:szCs w:val="21"/>
          <w:highlight w:val="none"/>
          <w:lang w:eastAsia="zh-CN"/>
          <w14:textFill>
            <w14:solidFill>
              <w14:schemeClr w14:val="tx1"/>
            </w14:solidFill>
          </w14:textFill>
        </w:rPr>
      </w:pPr>
      <w:r>
        <w:rPr>
          <w:rFonts w:hint="eastAsia" w:ascii="宋体" w:hAnsi="宋体" w:eastAsia="宋体"/>
          <w:bCs/>
          <w:color w:val="000000" w:themeColor="text1"/>
          <w:sz w:val="21"/>
          <w:szCs w:val="21"/>
          <w:highlight w:val="none"/>
          <w:lang w:eastAsia="zh-CN"/>
          <w14:textFill>
            <w14:solidFill>
              <w14:schemeClr w14:val="tx1"/>
            </w14:solidFill>
          </w14:textFill>
        </w:rPr>
        <w:t>（</w:t>
      </w:r>
      <w:r>
        <w:rPr>
          <w:rFonts w:ascii="宋体" w:hAnsi="宋体" w:eastAsia="宋体"/>
          <w:bCs/>
          <w:color w:val="000000" w:themeColor="text1"/>
          <w:sz w:val="21"/>
          <w:szCs w:val="21"/>
          <w:highlight w:val="none"/>
          <w:lang w:eastAsia="zh-CN"/>
          <w14:textFill>
            <w14:solidFill>
              <w14:schemeClr w14:val="tx1"/>
            </w14:solidFill>
          </w14:textFill>
        </w:rPr>
        <w:t>2）</w:t>
      </w:r>
      <w:r>
        <w:rPr>
          <w:rFonts w:hint="eastAsia" w:ascii="宋体" w:hAnsi="宋体" w:eastAsia="宋体"/>
          <w:bCs/>
          <w:color w:val="000000" w:themeColor="text1"/>
          <w:sz w:val="21"/>
          <w:szCs w:val="21"/>
          <w:highlight w:val="none"/>
          <w:lang w:eastAsia="zh-CN"/>
          <w14:textFill>
            <w14:solidFill>
              <w14:schemeClr w14:val="tx1"/>
            </w14:solidFill>
          </w14:textFill>
        </w:rPr>
        <w:t>投标人</w:t>
      </w:r>
      <w:r>
        <w:rPr>
          <w:rFonts w:ascii="宋体" w:hAnsi="宋体" w:eastAsia="宋体"/>
          <w:bCs/>
          <w:color w:val="000000" w:themeColor="text1"/>
          <w:sz w:val="21"/>
          <w:szCs w:val="21"/>
          <w:highlight w:val="none"/>
          <w:lang w:eastAsia="zh-CN"/>
          <w14:textFill>
            <w14:solidFill>
              <w14:schemeClr w14:val="tx1"/>
            </w14:solidFill>
          </w14:textFill>
        </w:rPr>
        <w:t>必须将投标保证金一次性足额汇入交易系统自动生成的子账户，不接受现金、分批次交款或采用EFT系统(广东金融结算系统)方式</w:t>
      </w:r>
      <w:r>
        <w:rPr>
          <w:rFonts w:hint="eastAsia" w:ascii="宋体" w:hAnsi="宋体" w:eastAsia="宋体"/>
          <w:bCs/>
          <w:color w:val="000000" w:themeColor="text1"/>
          <w:sz w:val="21"/>
          <w:szCs w:val="21"/>
          <w:highlight w:val="none"/>
          <w:lang w:eastAsia="zh-CN"/>
          <w14:textFill>
            <w14:solidFill>
              <w14:schemeClr w14:val="tx1"/>
            </w14:solidFill>
          </w14:textFill>
        </w:rPr>
        <w:t>缴纳</w:t>
      </w:r>
      <w:r>
        <w:rPr>
          <w:rFonts w:ascii="宋体" w:hAnsi="宋体" w:eastAsia="宋体"/>
          <w:bCs/>
          <w:color w:val="000000" w:themeColor="text1"/>
          <w:sz w:val="21"/>
          <w:szCs w:val="21"/>
          <w:highlight w:val="none"/>
          <w:lang w:eastAsia="zh-CN"/>
          <w14:textFill>
            <w14:solidFill>
              <w14:schemeClr w14:val="tx1"/>
            </w14:solidFill>
          </w14:textFill>
        </w:rPr>
        <w:t>投标保证金，否则，评标委员会将对其投标文件作无效投标处理。</w:t>
      </w:r>
    </w:p>
    <w:p w14:paraId="7A6F2FF6">
      <w:pPr>
        <w:pStyle w:val="19"/>
        <w:adjustRightInd w:val="0"/>
        <w:snapToGrid w:val="0"/>
        <w:spacing w:line="360" w:lineRule="auto"/>
        <w:ind w:firstLine="420" w:firstLineChars="200"/>
        <w:rPr>
          <w:rFonts w:ascii="宋体" w:hAnsi="宋体" w:eastAsia="宋体"/>
          <w:bCs/>
          <w:color w:val="000000" w:themeColor="text1"/>
          <w:sz w:val="21"/>
          <w:szCs w:val="21"/>
          <w:lang w:eastAsia="zh-CN"/>
          <w14:textFill>
            <w14:solidFill>
              <w14:schemeClr w14:val="tx1"/>
            </w14:solidFill>
          </w14:textFill>
        </w:rPr>
      </w:pPr>
      <w:r>
        <w:rPr>
          <w:rFonts w:hint="eastAsia" w:ascii="宋体" w:hAnsi="宋体" w:eastAsia="宋体"/>
          <w:bCs/>
          <w:color w:val="000000" w:themeColor="text1"/>
          <w:sz w:val="21"/>
          <w:szCs w:val="21"/>
          <w:lang w:eastAsia="zh-CN"/>
          <w14:textFill>
            <w14:solidFill>
              <w14:schemeClr w14:val="tx1"/>
            </w14:solidFill>
          </w14:textFill>
        </w:rPr>
        <w:t>（</w:t>
      </w:r>
      <w:r>
        <w:rPr>
          <w:rFonts w:ascii="宋体" w:hAnsi="宋体" w:eastAsia="宋体"/>
          <w:bCs/>
          <w:color w:val="000000" w:themeColor="text1"/>
          <w:sz w:val="21"/>
          <w:szCs w:val="21"/>
          <w:lang w:eastAsia="zh-CN"/>
          <w14:textFill>
            <w14:solidFill>
              <w14:schemeClr w14:val="tx1"/>
            </w14:solidFill>
          </w14:textFill>
        </w:rPr>
        <w:t>3）产权招标交易系统将在</w:t>
      </w:r>
      <w:r>
        <w:rPr>
          <w:rFonts w:hint="eastAsia" w:ascii="宋体" w:hAnsi="宋体" w:eastAsia="宋体"/>
          <w:bCs/>
          <w:color w:val="000000" w:themeColor="text1"/>
          <w:sz w:val="21"/>
          <w:szCs w:val="21"/>
          <w:lang w:eastAsia="zh-CN"/>
          <w14:textFill>
            <w14:solidFill>
              <w14:schemeClr w14:val="tx1"/>
            </w14:solidFill>
          </w14:textFill>
        </w:rPr>
        <w:t>招标活动</w:t>
      </w:r>
      <w:r>
        <w:rPr>
          <w:rFonts w:ascii="宋体" w:hAnsi="宋体" w:eastAsia="宋体"/>
          <w:bCs/>
          <w:color w:val="000000" w:themeColor="text1"/>
          <w:sz w:val="21"/>
          <w:szCs w:val="21"/>
          <w:lang w:eastAsia="zh-CN"/>
          <w14:textFill>
            <w14:solidFill>
              <w14:schemeClr w14:val="tx1"/>
            </w14:solidFill>
          </w14:textFill>
        </w:rPr>
        <w:t>结束后按</w:t>
      </w:r>
      <w:r>
        <w:rPr>
          <w:rFonts w:hint="eastAsia" w:ascii="宋体" w:hAnsi="宋体" w:eastAsia="宋体"/>
          <w:bCs/>
          <w:color w:val="000000" w:themeColor="text1"/>
          <w:sz w:val="21"/>
          <w:szCs w:val="21"/>
          <w:lang w:val="en-US" w:eastAsia="zh-CN"/>
          <w14:textFill>
            <w14:solidFill>
              <w14:schemeClr w14:val="tx1"/>
            </w14:solidFill>
          </w14:textFill>
        </w:rPr>
        <w:t>招标</w:t>
      </w:r>
      <w:r>
        <w:rPr>
          <w:rFonts w:ascii="宋体" w:hAnsi="宋体" w:eastAsia="宋体"/>
          <w:bCs/>
          <w:color w:val="000000" w:themeColor="text1"/>
          <w:sz w:val="21"/>
          <w:szCs w:val="21"/>
          <w:lang w:eastAsia="zh-CN"/>
          <w14:textFill>
            <w14:solidFill>
              <w14:schemeClr w14:val="tx1"/>
            </w14:solidFill>
          </w14:textFill>
        </w:rPr>
        <w:t>相关法律法规的规定以“原渠道返回”方式退回投标保证金。</w:t>
      </w:r>
    </w:p>
    <w:p w14:paraId="3864BD62">
      <w:pPr>
        <w:pStyle w:val="19"/>
        <w:adjustRightInd w:val="0"/>
        <w:snapToGrid w:val="0"/>
        <w:spacing w:line="360" w:lineRule="auto"/>
        <w:ind w:firstLine="420" w:firstLineChars="200"/>
        <w:rPr>
          <w:rFonts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t>4</w:t>
      </w:r>
      <w:r>
        <w:rPr>
          <w:rFonts w:hint="eastAsia" w:ascii="宋体" w:hAnsi="宋体" w:eastAsia="宋体"/>
          <w:color w:val="000000" w:themeColor="text1"/>
          <w:sz w:val="21"/>
          <w:szCs w:val="21"/>
          <w:lang w:eastAsia="zh-CN"/>
          <w14:textFill>
            <w14:solidFill>
              <w14:schemeClr w14:val="tx1"/>
            </w14:solidFill>
          </w14:textFill>
        </w:rPr>
        <w:t>）投标人应按以上所述方式及时间提交投标保证金，投标保证金作为投标文件的组成部分，招标</w:t>
      </w:r>
      <w:r>
        <w:rPr>
          <w:rFonts w:hint="eastAsia" w:ascii="宋体" w:hAnsi="宋体" w:eastAsia="宋体"/>
          <w:color w:val="000000" w:themeColor="text1"/>
          <w:sz w:val="21"/>
          <w:szCs w:val="21"/>
          <w:lang w:val="en-US" w:eastAsia="zh-CN"/>
          <w14:textFill>
            <w14:solidFill>
              <w14:schemeClr w14:val="tx1"/>
            </w14:solidFill>
          </w14:textFill>
        </w:rPr>
        <w:t>代理</w:t>
      </w:r>
      <w:r>
        <w:rPr>
          <w:rFonts w:hint="eastAsia" w:ascii="宋体" w:hAnsi="宋体" w:eastAsia="宋体"/>
          <w:color w:val="000000" w:themeColor="text1"/>
          <w:sz w:val="21"/>
          <w:szCs w:val="21"/>
          <w:lang w:eastAsia="zh-CN"/>
          <w14:textFill>
            <w14:solidFill>
              <w14:schemeClr w14:val="tx1"/>
            </w14:solidFill>
          </w14:textFill>
        </w:rPr>
        <w:t>机构不承担投标人的投标保证金未能及时到账的风险。</w:t>
      </w:r>
    </w:p>
    <w:p w14:paraId="5045A89D">
      <w:pPr>
        <w:numPr>
          <w:ilvl w:val="0"/>
          <w:numId w:val="0"/>
        </w:numPr>
        <w:autoSpaceDE/>
        <w:autoSpaceDN/>
        <w:spacing w:line="360" w:lineRule="auto"/>
        <w:ind w:firstLine="420" w:firstLineChars="200"/>
        <w:jc w:val="both"/>
        <w:rPr>
          <w:rFonts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t>5</w:t>
      </w:r>
      <w:r>
        <w:rPr>
          <w:rFonts w:hint="eastAsia" w:ascii="宋体" w:hAnsi="宋体" w:eastAsia="宋体"/>
          <w:color w:val="000000" w:themeColor="text1"/>
          <w:sz w:val="21"/>
          <w:szCs w:val="21"/>
          <w:lang w:eastAsia="zh-CN"/>
          <w14:textFill>
            <w14:solidFill>
              <w14:schemeClr w14:val="tx1"/>
            </w14:solidFill>
          </w14:textFill>
        </w:rPr>
        <w:t>）投标人参与分包项目的多个分包，应当在招标文件规定的期限内对应各分包分别获取子账号，并按招标文件规定的金额缴纳投标保证金。</w:t>
      </w:r>
    </w:p>
    <w:p w14:paraId="087F279C">
      <w:pPr>
        <w:numPr>
          <w:ilvl w:val="0"/>
          <w:numId w:val="0"/>
        </w:numPr>
        <w:autoSpaceDE/>
        <w:autoSpaceDN/>
        <w:spacing w:line="360" w:lineRule="auto"/>
        <w:ind w:firstLine="420" w:firstLineChars="200"/>
        <w:jc w:val="both"/>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t>6</w:t>
      </w:r>
      <w:r>
        <w:rPr>
          <w:rFonts w:hint="eastAsia" w:ascii="宋体" w:hAnsi="宋体" w:eastAsia="宋体"/>
          <w:color w:val="000000" w:themeColor="text1"/>
          <w:sz w:val="21"/>
          <w:szCs w:val="21"/>
          <w:lang w:eastAsia="zh-CN"/>
          <w14:textFill>
            <w14:solidFill>
              <w14:schemeClr w14:val="tx1"/>
            </w14:solidFill>
          </w14:textFill>
        </w:rPr>
        <w:t>）投标人参与重新采购的项目，必须在招标文件规定的期限内登录产权招标交易系统重新获取子账号，并按招标文件规定的金额重新缴纳投标保证金，否则，评标委员会将对其投标文件作无效投标处理。</w:t>
      </w:r>
    </w:p>
    <w:p w14:paraId="4DCFEBA6">
      <w:pPr>
        <w:spacing w:line="360" w:lineRule="auto"/>
        <w:ind w:firstLine="420" w:firstLineChars="200"/>
        <w:rPr>
          <w:rFonts w:hint="eastAsia" w:ascii="宋体" w:hAnsi="宋体"/>
          <w:color w:val="auto"/>
          <w:szCs w:val="22"/>
          <w:highlight w:val="none"/>
        </w:rPr>
      </w:pPr>
      <w:r>
        <w:rPr>
          <w:rFonts w:hint="eastAsia" w:ascii="宋体" w:hAnsi="宋体"/>
          <w:color w:val="auto"/>
          <w:szCs w:val="22"/>
          <w:highlight w:val="none"/>
          <w:lang w:eastAsia="zh-CN"/>
        </w:rPr>
        <w:t>（</w:t>
      </w:r>
      <w:r>
        <w:rPr>
          <w:rFonts w:hint="eastAsia" w:ascii="宋体" w:hAnsi="宋体"/>
          <w:color w:val="auto"/>
          <w:szCs w:val="22"/>
          <w:highlight w:val="none"/>
          <w:lang w:val="en-US" w:eastAsia="zh-CN"/>
        </w:rPr>
        <w:t>7</w:t>
      </w:r>
      <w:r>
        <w:rPr>
          <w:rFonts w:hint="eastAsia" w:ascii="宋体" w:hAnsi="宋体"/>
          <w:color w:val="auto"/>
          <w:szCs w:val="22"/>
          <w:highlight w:val="none"/>
          <w:lang w:eastAsia="zh-CN"/>
        </w:rPr>
        <w:t>）</w:t>
      </w:r>
      <w:r>
        <w:rPr>
          <w:rFonts w:hint="eastAsia" w:ascii="宋体" w:hAnsi="宋体"/>
          <w:color w:val="auto"/>
          <w:szCs w:val="22"/>
          <w:highlight w:val="none"/>
        </w:rPr>
        <w:t>采用投标保函的，投标人应提交有效的保函，保函的有效期不得短于投标有效期。投标人必须在截止时间（投标保证金交纳截止时间）前按照产权交易系统的要求制作并上传保函电子文件。保函原件连同投标文件一并现场递交。逾期上传的、未递交原件的，其投标无效。</w:t>
      </w:r>
    </w:p>
    <w:p w14:paraId="488DA433">
      <w:pPr>
        <w:spacing w:line="360" w:lineRule="auto"/>
        <w:ind w:firstLine="420" w:firstLineChars="200"/>
        <w:rPr>
          <w:rFonts w:hint="eastAsia" w:ascii="宋体" w:hAnsi="宋体"/>
          <w:color w:val="auto"/>
          <w:szCs w:val="22"/>
          <w:highlight w:val="none"/>
        </w:rPr>
      </w:pPr>
      <w:r>
        <w:rPr>
          <w:rFonts w:hint="eastAsia" w:ascii="宋体" w:hAnsi="宋体"/>
          <w:color w:val="auto"/>
          <w:szCs w:val="22"/>
          <w:highlight w:val="none"/>
        </w:rPr>
        <w:t>温馨提醒：投标人采用投标保函的，为避免在评标过程中因有效期发生争议，建议投标人将保函有效期设置为较招标文件规定的投标有效期延长不少于20个日历天。</w:t>
      </w:r>
    </w:p>
    <w:p w14:paraId="11BC0B17">
      <w:pPr>
        <w:pStyle w:val="4"/>
        <w:numPr>
          <w:ilvl w:val="0"/>
          <w:numId w:val="5"/>
        </w:numPr>
        <w:adjustRightInd/>
        <w:spacing w:before="260" w:beforeAutospacing="0" w:afterAutospacing="0"/>
        <w:textAlignment w:val="auto"/>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开标、评标和定标（详见招标文件第四部分）</w:t>
      </w:r>
    </w:p>
    <w:p w14:paraId="7CC23012">
      <w:pPr>
        <w:pStyle w:val="4"/>
        <w:numPr>
          <w:ilvl w:val="0"/>
          <w:numId w:val="5"/>
        </w:numPr>
        <w:adjustRightInd/>
        <w:spacing w:before="260" w:beforeAutospacing="0" w:afterAutospacing="0"/>
        <w:textAlignment w:val="auto"/>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合同的订立和履行</w:t>
      </w:r>
    </w:p>
    <w:p w14:paraId="76647BC6">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04" w:name="_Toc56855654"/>
      <w:bookmarkStart w:id="105" w:name="_Toc56938702"/>
      <w:bookmarkStart w:id="106" w:name="_Toc56855622"/>
      <w:r>
        <w:rPr>
          <w:rFonts w:hint="eastAsia" w:ascii="宋体" w:hAnsi="宋体" w:eastAsia="宋体" w:cs="宋体"/>
          <w:szCs w:val="21"/>
        </w:rPr>
        <w:t>5.1. 合同的订立</w:t>
      </w:r>
    </w:p>
    <w:p w14:paraId="6CE7F043">
      <w:pPr>
        <w:tabs>
          <w:tab w:val="left" w:pos="425"/>
          <w:tab w:val="left" w:pos="624"/>
          <w:tab w:val="left" w:pos="735"/>
        </w:tabs>
        <w:spacing w:beforeAutospacing="0" w:afterAutospacing="0" w:line="360" w:lineRule="auto"/>
        <w:ind w:left="630" w:hanging="630" w:hangingChars="300"/>
        <w:rPr>
          <w:rFonts w:hint="eastAsia" w:ascii="宋体" w:hAnsi="宋体" w:eastAsia="宋体" w:cs="宋体"/>
          <w:szCs w:val="21"/>
        </w:rPr>
      </w:pPr>
      <w:r>
        <w:rPr>
          <w:rFonts w:hint="eastAsia" w:ascii="宋体" w:hAnsi="宋体" w:eastAsia="宋体" w:cs="宋体"/>
          <w:szCs w:val="21"/>
        </w:rPr>
        <w:t>5.1.1 招标人确认结果后，招标代理机构将中标结果以网上公告的方式或其他方式通知所有未中标的投标人，并向中标供应商发出《中标通知书》。</w:t>
      </w:r>
    </w:p>
    <w:p w14:paraId="7D1A621E">
      <w:pPr>
        <w:tabs>
          <w:tab w:val="left" w:pos="425"/>
          <w:tab w:val="left" w:pos="624"/>
          <w:tab w:val="left" w:pos="735"/>
        </w:tabs>
        <w:spacing w:beforeAutospacing="0" w:afterAutospacing="0" w:line="360" w:lineRule="auto"/>
        <w:ind w:left="630" w:hanging="630" w:hangingChars="300"/>
        <w:rPr>
          <w:rFonts w:hint="eastAsia" w:ascii="宋体" w:hAnsi="宋体" w:eastAsia="宋体" w:cs="宋体"/>
          <w:szCs w:val="21"/>
        </w:rPr>
      </w:pPr>
      <w:r>
        <w:rPr>
          <w:rFonts w:hint="eastAsia" w:ascii="宋体" w:hAnsi="宋体" w:eastAsia="宋体" w:cs="宋体"/>
          <w:szCs w:val="21"/>
          <w:lang w:val="en-US" w:eastAsia="zh-CN"/>
        </w:rPr>
        <w:t>5.1.2</w:t>
      </w:r>
      <w:r>
        <w:rPr>
          <w:rFonts w:hint="eastAsia" w:ascii="宋体" w:hAnsi="宋体" w:cs="宋体"/>
          <w:szCs w:val="21"/>
          <w:lang w:eastAsia="zh-CN"/>
        </w:rPr>
        <w:t>中标人</w:t>
      </w:r>
      <w:r>
        <w:rPr>
          <w:rFonts w:hint="eastAsia" w:ascii="宋体" w:hAnsi="宋体" w:eastAsia="宋体" w:cs="宋体"/>
          <w:szCs w:val="21"/>
        </w:rPr>
        <w:t>自中标通知书发出之日起三十日内，凭中标通知书并按招标文件要求和</w:t>
      </w:r>
      <w:r>
        <w:rPr>
          <w:rFonts w:hint="eastAsia" w:ascii="宋体" w:hAnsi="宋体" w:cs="宋体"/>
          <w:szCs w:val="21"/>
          <w:lang w:eastAsia="zh-CN"/>
        </w:rPr>
        <w:t>中标人</w:t>
      </w:r>
      <w:r>
        <w:rPr>
          <w:rFonts w:hint="eastAsia" w:ascii="宋体" w:hAnsi="宋体" w:eastAsia="宋体" w:cs="宋体"/>
          <w:szCs w:val="21"/>
        </w:rPr>
        <w:t>投标文件的承诺与招标人签订合同，但不得超出招标文件和</w:t>
      </w:r>
      <w:r>
        <w:rPr>
          <w:rFonts w:hint="eastAsia" w:ascii="宋体" w:hAnsi="宋体" w:cs="宋体"/>
          <w:szCs w:val="21"/>
          <w:lang w:eastAsia="zh-CN"/>
        </w:rPr>
        <w:t>中标人</w:t>
      </w:r>
      <w:r>
        <w:rPr>
          <w:rFonts w:hint="eastAsia" w:ascii="宋体" w:hAnsi="宋体" w:eastAsia="宋体" w:cs="宋体"/>
          <w:szCs w:val="21"/>
        </w:rPr>
        <w:t>投标文件的范围、也不得再行订立背离合同实质性内容的其他协议。</w:t>
      </w:r>
    </w:p>
    <w:p w14:paraId="4188677B">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5.1.</w:t>
      </w:r>
      <w:r>
        <w:rPr>
          <w:rFonts w:hint="eastAsia" w:ascii="宋体" w:hAnsi="宋体" w:cs="宋体"/>
          <w:szCs w:val="21"/>
          <w:lang w:val="en-US" w:eastAsia="zh-CN"/>
        </w:rPr>
        <w:t>3</w:t>
      </w:r>
      <w:r>
        <w:rPr>
          <w:rFonts w:hint="eastAsia" w:ascii="宋体" w:hAnsi="宋体" w:eastAsia="宋体" w:cs="宋体"/>
          <w:szCs w:val="21"/>
        </w:rPr>
        <w:t>.在签订合同过程中，如发现</w:t>
      </w:r>
      <w:r>
        <w:rPr>
          <w:rFonts w:hint="eastAsia" w:ascii="宋体" w:hAnsi="宋体" w:cs="宋体"/>
          <w:szCs w:val="21"/>
          <w:lang w:eastAsia="zh-CN"/>
        </w:rPr>
        <w:t>中标人</w:t>
      </w:r>
      <w:r>
        <w:rPr>
          <w:rFonts w:hint="eastAsia" w:ascii="宋体" w:hAnsi="宋体" w:eastAsia="宋体" w:cs="宋体"/>
          <w:szCs w:val="21"/>
        </w:rPr>
        <w:t>以他人名义投标或者以</w:t>
      </w:r>
      <w:r>
        <w:rPr>
          <w:rFonts w:hint="eastAsia" w:ascii="宋体" w:hAnsi="宋体" w:eastAsia="宋体" w:cs="宋体"/>
          <w:spacing w:val="-2"/>
          <w:szCs w:val="21"/>
        </w:rPr>
        <w:t>其他方式弄虚作假，骗取中</w:t>
      </w:r>
      <w:r>
        <w:rPr>
          <w:rFonts w:hint="eastAsia" w:ascii="宋体" w:hAnsi="宋体" w:eastAsia="宋体" w:cs="宋体"/>
          <w:szCs w:val="21"/>
        </w:rPr>
        <w:t>标的，招标人有权取消其中标资格，并将第二中标候选人确定为</w:t>
      </w:r>
      <w:r>
        <w:rPr>
          <w:rFonts w:hint="eastAsia" w:ascii="宋体" w:hAnsi="宋体" w:cs="宋体"/>
          <w:szCs w:val="21"/>
          <w:lang w:eastAsia="zh-CN"/>
        </w:rPr>
        <w:t>中标人</w:t>
      </w:r>
      <w:r>
        <w:rPr>
          <w:rFonts w:hint="eastAsia" w:ascii="宋体" w:hAnsi="宋体" w:eastAsia="宋体" w:cs="宋体"/>
          <w:szCs w:val="21"/>
        </w:rPr>
        <w:t>，依此类推。</w:t>
      </w:r>
    </w:p>
    <w:p w14:paraId="67A575BE">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5.1.</w:t>
      </w:r>
      <w:r>
        <w:rPr>
          <w:rFonts w:hint="eastAsia" w:ascii="宋体" w:hAnsi="宋体" w:cs="宋体"/>
          <w:szCs w:val="21"/>
          <w:lang w:val="en-US" w:eastAsia="zh-CN"/>
        </w:rPr>
        <w:t>4</w:t>
      </w:r>
      <w:r>
        <w:rPr>
          <w:rFonts w:hint="eastAsia" w:ascii="宋体" w:hAnsi="宋体" w:eastAsia="宋体" w:cs="宋体"/>
          <w:szCs w:val="21"/>
        </w:rPr>
        <w:t>.签订合同后7个工作日内，招标人应当将合同副本报同级招标监督管理部门备案。</w:t>
      </w:r>
    </w:p>
    <w:p w14:paraId="689A96A7">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5.2. 合同的履行</w:t>
      </w:r>
    </w:p>
    <w:p w14:paraId="232A1B86">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5.2.1.合同订立后，合同各方不得擅自变更、中止或者终止合同。合同需要变更的，招标人应当将有关合同变更内容，以书面形式报招标监督管理机关备案；因特殊情况需要中止或终止合同的，招标人应当将中止或终止合同的理由以及相应措施，以书面形式报招标监督管理机关备案。</w:t>
      </w:r>
    </w:p>
    <w:p w14:paraId="6E0FA3C3">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5.2.2.合同履行中，招标人需追加与合同标的相同的货物、工程或者服务的，在不改变合同其他条款的前提下，可以与</w:t>
      </w:r>
      <w:r>
        <w:rPr>
          <w:rFonts w:hint="eastAsia" w:ascii="宋体" w:hAnsi="宋体" w:cs="宋体"/>
          <w:szCs w:val="21"/>
          <w:lang w:eastAsia="zh-CN"/>
        </w:rPr>
        <w:t>投标人</w:t>
      </w:r>
      <w:r>
        <w:rPr>
          <w:rFonts w:hint="eastAsia" w:ascii="宋体" w:hAnsi="宋体" w:eastAsia="宋体" w:cs="宋体"/>
          <w:szCs w:val="21"/>
        </w:rPr>
        <w:t>签订补充合同，但所补充合同的招标金额不得超过原招标金额的百分之十。签订补充合同的必须按照相关规定备案。</w:t>
      </w:r>
    </w:p>
    <w:bookmarkEnd w:id="104"/>
    <w:bookmarkEnd w:id="105"/>
    <w:bookmarkEnd w:id="106"/>
    <w:p w14:paraId="0039A50A">
      <w:pPr>
        <w:pStyle w:val="4"/>
        <w:numPr>
          <w:ilvl w:val="0"/>
          <w:numId w:val="5"/>
        </w:numPr>
        <w:adjustRightInd/>
        <w:spacing w:before="0" w:beforeAutospacing="0" w:after="0" w:afterAutospacing="0"/>
        <w:textAlignment w:val="auto"/>
        <w:rPr>
          <w:rFonts w:ascii="宋体" w:hAnsi="宋体" w:eastAsia="宋体" w:cs="宋体"/>
          <w:sz w:val="21"/>
          <w:szCs w:val="21"/>
        </w:rPr>
      </w:pPr>
      <w:r>
        <w:rPr>
          <w:rFonts w:hint="eastAsia" w:ascii="宋体" w:hAnsi="宋体" w:eastAsia="宋体" w:cs="宋体"/>
          <w:sz w:val="21"/>
          <w:szCs w:val="21"/>
        </w:rPr>
        <w:t>招标服务费</w:t>
      </w:r>
    </w:p>
    <w:p w14:paraId="177D715D">
      <w:pPr>
        <w:spacing w:before="50" w:beforeAutospacing="0" w:after="50" w:afterAutospacing="0" w:line="360" w:lineRule="auto"/>
        <w:ind w:firstLine="420" w:firstLineChars="200"/>
        <w:rPr>
          <w:rFonts w:hint="eastAsia" w:asciiTheme="minorEastAsia" w:hAnsiTheme="minorEastAsia" w:eastAsiaTheme="minorEastAsia" w:cstheme="minorEastAsia"/>
          <w:szCs w:val="21"/>
          <w:highlight w:val="yellow"/>
        </w:rPr>
      </w:pPr>
      <w:r>
        <w:rPr>
          <w:rFonts w:hint="eastAsia" w:ascii="宋体" w:hAnsi="宋体"/>
          <w:szCs w:val="21"/>
          <w:highlight w:val="none"/>
          <w:lang w:val="en-US" w:eastAsia="zh-CN"/>
        </w:rPr>
        <w:t>6.1.</w:t>
      </w:r>
      <w:r>
        <w:rPr>
          <w:rFonts w:hint="eastAsia" w:ascii="宋体" w:hAnsi="宋体"/>
          <w:szCs w:val="21"/>
          <w:highlight w:val="none"/>
          <w:lang w:eastAsia="zh-CN"/>
        </w:rPr>
        <w:t>中标人</w:t>
      </w:r>
      <w:r>
        <w:rPr>
          <w:rFonts w:hint="eastAsia" w:ascii="宋体" w:hAnsi="宋体"/>
          <w:szCs w:val="21"/>
          <w:highlight w:val="none"/>
        </w:rPr>
        <w:t>在领取《中标（成交）通知书》之前须向采购代理机构</w:t>
      </w:r>
      <w:r>
        <w:rPr>
          <w:rFonts w:hint="eastAsia" w:ascii="宋体" w:hAnsi="宋体"/>
          <w:szCs w:val="21"/>
          <w:highlight w:val="none"/>
          <w:lang w:eastAsia="zh-CN"/>
        </w:rPr>
        <w:t>缴纳</w:t>
      </w:r>
      <w:r>
        <w:rPr>
          <w:rFonts w:hint="eastAsia" w:ascii="宋体" w:hAnsi="宋体"/>
          <w:szCs w:val="21"/>
          <w:highlight w:val="none"/>
        </w:rPr>
        <w:t>招标服务费，招标服务费由</w:t>
      </w:r>
      <w:r>
        <w:rPr>
          <w:rFonts w:hint="eastAsia" w:ascii="宋体" w:hAnsi="宋体"/>
          <w:szCs w:val="21"/>
          <w:highlight w:val="none"/>
          <w:lang w:eastAsia="zh-CN"/>
        </w:rPr>
        <w:t>中标人</w:t>
      </w:r>
      <w:r>
        <w:rPr>
          <w:rFonts w:hint="eastAsia" w:ascii="宋体" w:hAnsi="宋体"/>
          <w:szCs w:val="21"/>
          <w:highlight w:val="none"/>
        </w:rPr>
        <w:t>向采购代理机构一次性支付，参照国家计委颁布的《招标代理服务收费管理暂行办》（计价格[2002]1980 号）和国家发改委办公厅颁布的《国家发改委办公厅关于招标代理服务收费有关问题的通知 》（发改办价格[2003 ]857 号）、根据国家发展和改革委员会《</w:t>
      </w:r>
      <w:r>
        <w:rPr>
          <w:rFonts w:hint="eastAsia" w:asciiTheme="minorEastAsia" w:hAnsiTheme="minorEastAsia" w:eastAsiaTheme="minorEastAsia" w:cstheme="minorEastAsia"/>
          <w:szCs w:val="21"/>
          <w:highlight w:val="none"/>
        </w:rPr>
        <w:t>关于进一步放开建设项目专业服务价格的通知》（发改价格[2015]299 号）的</w:t>
      </w:r>
      <w:r>
        <w:rPr>
          <w:rFonts w:hint="eastAsia" w:asciiTheme="minorEastAsia" w:hAnsiTheme="minorEastAsia" w:eastAsiaTheme="minorEastAsia" w:cstheme="minorEastAsia"/>
          <w:szCs w:val="21"/>
          <w:highlight w:val="none"/>
          <w:lang w:val="en-US" w:eastAsia="zh-CN"/>
        </w:rPr>
        <w:t>相关</w:t>
      </w:r>
      <w:r>
        <w:rPr>
          <w:rFonts w:hint="eastAsia" w:asciiTheme="minorEastAsia" w:hAnsiTheme="minorEastAsia" w:eastAsiaTheme="minorEastAsia" w:cstheme="minorEastAsia"/>
          <w:szCs w:val="21"/>
          <w:highlight w:val="none"/>
        </w:rPr>
        <w:t>规定收取</w:t>
      </w:r>
      <w:r>
        <w:rPr>
          <w:rFonts w:hint="eastAsia" w:asciiTheme="minorEastAsia" w:hAnsiTheme="minorEastAsia" w:eastAsiaTheme="minorEastAsia" w:cstheme="minorEastAsia"/>
          <w:szCs w:val="21"/>
          <w:highlight w:val="none"/>
          <w:lang w:eastAsia="zh-CN"/>
        </w:rPr>
        <w:t>中标服务费</w:t>
      </w:r>
      <w:r>
        <w:rPr>
          <w:rFonts w:hint="eastAsia" w:asciiTheme="minorEastAsia" w:hAnsiTheme="minorEastAsia" w:eastAsiaTheme="minorEastAsia" w:cstheme="minorEastAsia"/>
          <w:szCs w:val="21"/>
          <w:highlight w:val="none"/>
        </w:rPr>
        <w:t>。按原计费标准此服务费用为23.1935万元，现综合考虑参照该文件对费用进行下浮，</w:t>
      </w:r>
      <w:r>
        <w:rPr>
          <w:rFonts w:hint="eastAsia" w:ascii="宋体" w:hAnsi="宋体" w:eastAsiaTheme="minorEastAsia"/>
          <w:bCs/>
          <w:color w:val="auto"/>
          <w:szCs w:val="21"/>
          <w:highlight w:val="none"/>
          <w:lang w:val="en-US" w:eastAsia="zh-CN"/>
        </w:rPr>
        <w:t>下浮</w:t>
      </w:r>
      <w:r>
        <w:rPr>
          <w:rFonts w:hint="eastAsia" w:ascii="宋体" w:hAnsi="宋体"/>
          <w:bCs/>
          <w:color w:val="auto"/>
          <w:szCs w:val="21"/>
          <w:highlight w:val="none"/>
        </w:rPr>
        <w:t>后</w:t>
      </w:r>
      <w:r>
        <w:rPr>
          <w:rFonts w:hint="eastAsia" w:ascii="宋体" w:hAnsi="宋体"/>
          <w:bCs/>
          <w:color w:val="auto"/>
          <w:szCs w:val="21"/>
          <w:highlight w:val="none"/>
          <w:lang w:val="en-US" w:eastAsia="zh-CN"/>
        </w:rPr>
        <w:t>的服务费金额</w:t>
      </w:r>
      <w:r>
        <w:rPr>
          <w:rFonts w:hint="eastAsia" w:ascii="宋体" w:hAnsi="宋体"/>
          <w:bCs/>
          <w:color w:val="auto"/>
          <w:szCs w:val="21"/>
          <w:highlight w:val="none"/>
        </w:rPr>
        <w:t>为</w:t>
      </w:r>
      <w:r>
        <w:rPr>
          <w:rFonts w:hint="eastAsia" w:ascii="宋体" w:hAnsi="宋体"/>
          <w:bCs/>
          <w:color w:val="auto"/>
          <w:szCs w:val="21"/>
          <w:highlight w:val="none"/>
          <w:lang w:val="en-US" w:eastAsia="zh-CN"/>
        </w:rPr>
        <w:t>88</w:t>
      </w:r>
      <w:r>
        <w:rPr>
          <w:rFonts w:hint="eastAsia" w:ascii="宋体" w:hAnsi="宋体"/>
          <w:bCs/>
          <w:color w:val="auto"/>
          <w:szCs w:val="21"/>
          <w:highlight w:val="none"/>
        </w:rPr>
        <w:t>000.00</w:t>
      </w:r>
      <w:r>
        <w:rPr>
          <w:rFonts w:hint="eastAsia" w:ascii="宋体" w:hAnsi="宋体"/>
          <w:bCs/>
          <w:color w:val="auto"/>
          <w:szCs w:val="21"/>
          <w:highlight w:val="none"/>
          <w:lang w:val="en-US" w:eastAsia="zh-CN"/>
        </w:rPr>
        <w:t>元</w:t>
      </w:r>
      <w:r>
        <w:rPr>
          <w:rFonts w:hint="eastAsia" w:asciiTheme="minorEastAsia" w:hAnsiTheme="minorEastAsia" w:eastAsiaTheme="minorEastAsia" w:cstheme="minorEastAsia"/>
          <w:szCs w:val="21"/>
          <w:highlight w:val="none"/>
        </w:rPr>
        <w:t>（含专家评审费）</w:t>
      </w:r>
      <w:r>
        <w:rPr>
          <w:rFonts w:hint="eastAsia" w:ascii="宋体" w:hAnsi="宋体"/>
          <w:bCs/>
          <w:color w:val="auto"/>
          <w:szCs w:val="21"/>
          <w:highlight w:val="none"/>
        </w:rPr>
        <w:t>,（大写：</w:t>
      </w:r>
      <w:r>
        <w:rPr>
          <w:rFonts w:hint="eastAsia" w:ascii="宋体" w:hAnsi="宋体"/>
          <w:bCs/>
          <w:color w:val="auto"/>
          <w:szCs w:val="21"/>
          <w:highlight w:val="none"/>
          <w:lang w:val="en-US" w:eastAsia="zh-CN"/>
        </w:rPr>
        <w:t>人民币捌万捌仟</w:t>
      </w:r>
      <w:r>
        <w:rPr>
          <w:rFonts w:hint="eastAsia" w:ascii="宋体" w:hAnsi="宋体"/>
          <w:bCs/>
          <w:color w:val="auto"/>
          <w:szCs w:val="21"/>
          <w:highlight w:val="none"/>
        </w:rPr>
        <w:t>元整）。</w:t>
      </w:r>
    </w:p>
    <w:p w14:paraId="1CCB5878">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6.2.招标服务费以银行转帐、电汇或现金形式用人民币一次性支付。收款银行帐号以招标代理机构发出的</w:t>
      </w:r>
      <w:r>
        <w:rPr>
          <w:rFonts w:hint="eastAsia" w:ascii="宋体" w:hAnsi="宋体" w:cs="宋体"/>
          <w:szCs w:val="21"/>
          <w:lang w:eastAsia="zh-CN"/>
        </w:rPr>
        <w:t>缴纳</w:t>
      </w:r>
      <w:r>
        <w:rPr>
          <w:rFonts w:hint="eastAsia" w:ascii="宋体" w:hAnsi="宋体" w:eastAsia="宋体" w:cs="宋体"/>
          <w:szCs w:val="21"/>
        </w:rPr>
        <w:t>招标服务费通知书中指定的银行帐号为准。</w:t>
      </w:r>
    </w:p>
    <w:p w14:paraId="7F223E8D">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 xml:space="preserve">6.3. </w:t>
      </w:r>
      <w:r>
        <w:rPr>
          <w:rFonts w:hint="eastAsia" w:ascii="宋体" w:hAnsi="宋体" w:cs="宋体"/>
          <w:szCs w:val="21"/>
          <w:lang w:eastAsia="zh-CN"/>
        </w:rPr>
        <w:t>中标人</w:t>
      </w:r>
      <w:r>
        <w:rPr>
          <w:rFonts w:hint="eastAsia" w:ascii="宋体" w:hAnsi="宋体" w:eastAsia="宋体" w:cs="宋体"/>
          <w:szCs w:val="21"/>
        </w:rPr>
        <w:t>不按规定</w:t>
      </w:r>
      <w:r>
        <w:rPr>
          <w:rFonts w:hint="eastAsia" w:ascii="宋体" w:hAnsi="宋体" w:cs="宋体"/>
          <w:szCs w:val="21"/>
          <w:lang w:eastAsia="zh-CN"/>
        </w:rPr>
        <w:t>缴纳</w:t>
      </w:r>
      <w:r>
        <w:rPr>
          <w:rFonts w:hint="eastAsia" w:ascii="宋体" w:hAnsi="宋体" w:eastAsia="宋体" w:cs="宋体"/>
          <w:szCs w:val="21"/>
        </w:rPr>
        <w:t>服务费的，招标代理机构将以</w:t>
      </w:r>
      <w:r>
        <w:rPr>
          <w:rFonts w:hint="eastAsia" w:ascii="宋体" w:hAnsi="宋体" w:cs="宋体"/>
          <w:szCs w:val="21"/>
          <w:lang w:eastAsia="zh-CN"/>
        </w:rPr>
        <w:t>中标人</w:t>
      </w:r>
      <w:r>
        <w:rPr>
          <w:rFonts w:hint="eastAsia" w:ascii="宋体" w:hAnsi="宋体" w:eastAsia="宋体" w:cs="宋体"/>
          <w:szCs w:val="21"/>
        </w:rPr>
        <w:t>的投标保证金抵扣服务费，不足部分招标代理机构保留进一步追索权利。</w:t>
      </w:r>
    </w:p>
    <w:p w14:paraId="73C2AC90">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6.4. 招标服务费不在报价中单列。</w:t>
      </w:r>
    </w:p>
    <w:p w14:paraId="3B00B801">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6.5. 经依法取消或放弃中标资格的，招标服务费不予退还。</w:t>
      </w:r>
    </w:p>
    <w:p w14:paraId="722DB65F">
      <w:pPr>
        <w:spacing w:beforeAutospacing="0" w:afterAutospacing="0" w:line="360" w:lineRule="auto"/>
      </w:pPr>
      <w:r>
        <w:rPr>
          <w:rFonts w:hint="eastAsia" w:ascii="宋体" w:hAnsi="宋体"/>
          <w:bCs/>
          <w:szCs w:val="21"/>
        </w:rPr>
        <w:t>6.6. 招标服务费本公司仅开具普通发票。</w:t>
      </w:r>
    </w:p>
    <w:p w14:paraId="6DDFDBD8">
      <w:pPr>
        <w:numPr>
          <w:ilvl w:val="0"/>
          <w:numId w:val="0"/>
        </w:numPr>
        <w:tabs>
          <w:tab w:val="left" w:pos="425"/>
          <w:tab w:val="left" w:pos="624"/>
          <w:tab w:val="left" w:pos="735"/>
        </w:tabs>
        <w:spacing w:beforeAutospacing="0" w:afterAutospacing="0" w:line="360" w:lineRule="auto"/>
        <w:ind w:leftChars="0"/>
        <w:rPr>
          <w:rFonts w:hint="eastAsia" w:ascii="宋体" w:hAnsi="宋体" w:cs="宋体"/>
          <w:b/>
          <w:bCs/>
          <w:sz w:val="21"/>
          <w:szCs w:val="21"/>
          <w:lang w:val="en-US" w:eastAsia="zh-CN"/>
        </w:rPr>
      </w:pPr>
      <w:bookmarkStart w:id="107" w:name="_Toc387076653"/>
      <w:bookmarkEnd w:id="107"/>
      <w:bookmarkStart w:id="108" w:name="_Toc134956124"/>
      <w:bookmarkEnd w:id="108"/>
      <w:bookmarkStart w:id="109" w:name="_Toc134955411"/>
      <w:r>
        <w:rPr>
          <w:rFonts w:hint="eastAsia" w:ascii="宋体" w:hAnsi="宋体" w:cs="宋体"/>
          <w:b/>
          <w:bCs/>
          <w:sz w:val="21"/>
          <w:szCs w:val="21"/>
          <w:lang w:val="en-US" w:eastAsia="zh-CN"/>
        </w:rPr>
        <w:t>7.异议与回复</w:t>
      </w:r>
      <w:bookmarkEnd w:id="109"/>
    </w:p>
    <w:p w14:paraId="2C7BBDEC">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cs="宋体"/>
          <w:sz w:val="21"/>
          <w:szCs w:val="21"/>
        </w:rPr>
      </w:pPr>
      <w:r>
        <w:rPr>
          <w:rFonts w:hint="eastAsia" w:ascii="宋体" w:cs="宋体"/>
          <w:sz w:val="21"/>
          <w:szCs w:val="21"/>
          <w:lang w:val="en-US" w:eastAsia="zh-CN"/>
        </w:rPr>
        <w:t>7.1</w:t>
      </w:r>
      <w:r>
        <w:rPr>
          <w:rFonts w:hint="eastAsia" w:ascii="宋体" w:cs="宋体"/>
          <w:sz w:val="21"/>
          <w:szCs w:val="21"/>
        </w:rPr>
        <w:t>已领购招标文件的潜在投标人对招标文件有异议的，应当在投标截止时间10日前以书面形式（加盖投标人公章）向招标代理机构提交异议函原件，逾期异议无效。投标人对开标异议的，应当在开标现场提出，招标人或招标代理机构应当当场作出答复，并制作记录。</w:t>
      </w:r>
    </w:p>
    <w:p w14:paraId="728C8288">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cs="宋体"/>
          <w:sz w:val="21"/>
          <w:szCs w:val="21"/>
          <w:lang w:eastAsia="zh-CN"/>
        </w:rPr>
      </w:pPr>
      <w:r>
        <w:rPr>
          <w:rFonts w:hint="eastAsia" w:ascii="宋体" w:cs="宋体"/>
          <w:sz w:val="21"/>
          <w:szCs w:val="21"/>
          <w:lang w:val="en-US" w:eastAsia="zh-CN"/>
        </w:rPr>
        <w:t>7.2</w:t>
      </w:r>
      <w:r>
        <w:rPr>
          <w:rFonts w:hint="eastAsia" w:ascii="宋体" w:cs="宋体"/>
          <w:sz w:val="21"/>
          <w:szCs w:val="21"/>
        </w:rPr>
        <w:t>投标人对评标结果有异议的，</w:t>
      </w:r>
      <w:r>
        <w:rPr>
          <w:rFonts w:hint="eastAsia" w:ascii="宋体" w:cs="宋体"/>
          <w:sz w:val="21"/>
          <w:szCs w:val="21"/>
          <w:lang w:val="en-US" w:eastAsia="zh-CN"/>
        </w:rPr>
        <w:t>按相关法规进行处理</w:t>
      </w:r>
      <w:r>
        <w:rPr>
          <w:rFonts w:hint="eastAsia" w:ascii="宋体" w:cs="宋体"/>
          <w:sz w:val="21"/>
          <w:szCs w:val="21"/>
          <w:lang w:eastAsia="zh-CN"/>
        </w:rPr>
        <w:t>。</w:t>
      </w:r>
    </w:p>
    <w:p w14:paraId="606D5F65">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cs="宋体"/>
          <w:sz w:val="21"/>
          <w:szCs w:val="21"/>
        </w:rPr>
      </w:pPr>
      <w:r>
        <w:rPr>
          <w:rFonts w:hint="eastAsia" w:ascii="宋体" w:cs="宋体"/>
          <w:sz w:val="21"/>
          <w:szCs w:val="21"/>
          <w:lang w:val="en-US" w:eastAsia="zh-CN"/>
        </w:rPr>
        <w:t>7.3</w:t>
      </w:r>
      <w:r>
        <w:rPr>
          <w:rFonts w:hint="eastAsia" w:ascii="宋体" w:cs="宋体"/>
          <w:sz w:val="21"/>
          <w:szCs w:val="21"/>
        </w:rPr>
        <w:t>提交异议应以书面形式（加盖投标人公章）向招标人及招标代理机构提出异议，异议内容不得含有虚假、恶意成分。依据谁主张谁举证的原则，异议者提供的异议书应当包括下列主要内容：具体的异议事项、事实依据及相关确凿的证明材料、明确的请求、投标人名称及地址、授权代表姓名及其联系电话、异议时间，异议书应当署名并由法定代表人或授权代表签字并加盖公章。投标人递交异议书时需提供异议书原件、法定代表人授权委托书（应载明委托代理的具体权限及事项）及授权代表身份证复印件。招标人及招标代理机构受理书面异议书原件之日起，在规定的期限内作出答复。投标人以电话、传真或电邮形式提交的异议属于无效异议。</w:t>
      </w:r>
    </w:p>
    <w:p w14:paraId="01FFD0C7">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cs="宋体"/>
          <w:sz w:val="21"/>
          <w:szCs w:val="21"/>
        </w:rPr>
      </w:pPr>
      <w:r>
        <w:rPr>
          <w:rFonts w:hint="eastAsia" w:ascii="宋体" w:cs="宋体"/>
          <w:sz w:val="21"/>
          <w:szCs w:val="21"/>
          <w:lang w:val="en-US" w:eastAsia="zh-CN"/>
        </w:rPr>
        <w:t>7.4</w:t>
      </w:r>
      <w:r>
        <w:rPr>
          <w:rFonts w:hint="eastAsia" w:ascii="宋体" w:cs="宋体"/>
          <w:sz w:val="21"/>
          <w:szCs w:val="21"/>
        </w:rPr>
        <w:t>投标人异议应当有明确的请求和必要的证明材料，捏造事实、提供虚假材料或者以非法手段取得证明材料不能作为异议的证明材料。</w:t>
      </w:r>
    </w:p>
    <w:p w14:paraId="317FEDD9">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sz w:val="21"/>
          <w:szCs w:val="21"/>
        </w:rPr>
      </w:pPr>
      <w:r>
        <w:rPr>
          <w:rFonts w:hint="eastAsia" w:ascii="宋体" w:cs="宋体"/>
          <w:sz w:val="21"/>
          <w:szCs w:val="21"/>
          <w:lang w:val="en-US" w:eastAsia="zh-CN"/>
        </w:rPr>
        <w:t>7.5</w:t>
      </w:r>
      <w:r>
        <w:rPr>
          <w:rFonts w:hint="eastAsia" w:ascii="宋体" w:hAnsi="宋体"/>
          <w:sz w:val="21"/>
          <w:szCs w:val="21"/>
        </w:rPr>
        <w:t>投标人异议须提供相关证明材料，包括但不限于权益受损害的情况说明及受损害的原因、证据内容等，并对异议内容的真实性承担责任。</w:t>
      </w:r>
    </w:p>
    <w:p w14:paraId="19A9E722">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sz w:val="21"/>
          <w:szCs w:val="21"/>
        </w:rPr>
      </w:pPr>
      <w:r>
        <w:rPr>
          <w:rFonts w:hint="eastAsia" w:ascii="宋体" w:cs="宋体"/>
          <w:sz w:val="21"/>
          <w:szCs w:val="21"/>
          <w:lang w:val="en-US" w:eastAsia="zh-CN"/>
        </w:rPr>
        <w:t>7.6</w:t>
      </w:r>
      <w:r>
        <w:rPr>
          <w:rFonts w:hint="eastAsia" w:ascii="宋体" w:hAnsi="宋体" w:cs="宋体"/>
          <w:sz w:val="21"/>
          <w:szCs w:val="21"/>
        </w:rPr>
        <w:t>招标人及招标代理机构应当</w:t>
      </w:r>
      <w:r>
        <w:rPr>
          <w:rFonts w:hint="eastAsia" w:ascii="宋体" w:hAnsi="宋体"/>
          <w:sz w:val="21"/>
          <w:szCs w:val="21"/>
        </w:rPr>
        <w:t>在收到书面异议之日起3日内作出答复，但答复的内容不得涉及其他投标人的投标秘密。</w:t>
      </w:r>
    </w:p>
    <w:p w14:paraId="71095E3E">
      <w:pPr>
        <w:numPr>
          <w:ilvl w:val="0"/>
          <w:numId w:val="0"/>
        </w:numPr>
        <w:tabs>
          <w:tab w:val="left" w:pos="425"/>
          <w:tab w:val="left" w:pos="624"/>
          <w:tab w:val="left" w:pos="735"/>
        </w:tabs>
        <w:spacing w:beforeAutospacing="0" w:afterAutospacing="0" w:line="360" w:lineRule="auto"/>
        <w:ind w:leftChars="0" w:firstLine="420" w:firstLineChars="200"/>
        <w:rPr>
          <w:rFonts w:ascii="宋体" w:cs="宋体"/>
          <w:sz w:val="21"/>
          <w:szCs w:val="21"/>
        </w:rPr>
      </w:pPr>
      <w:r>
        <w:rPr>
          <w:rFonts w:hint="eastAsia" w:ascii="宋体" w:cs="宋体"/>
          <w:sz w:val="21"/>
          <w:szCs w:val="21"/>
          <w:lang w:val="en-US" w:eastAsia="zh-CN"/>
        </w:rPr>
        <w:t>7.7</w:t>
      </w:r>
      <w:r>
        <w:rPr>
          <w:rFonts w:hint="eastAsia" w:ascii="宋体" w:cs="宋体"/>
          <w:sz w:val="21"/>
          <w:szCs w:val="21"/>
        </w:rPr>
        <w:t>投标人提出的异议涉及评审过程或者结果的，招标人及招标代理机构可以组织原评审委员会协助处理质疑事项，并依据评审委员会出具的意见进行答复。</w:t>
      </w:r>
    </w:p>
    <w:p w14:paraId="240B4F37">
      <w:pPr>
        <w:pStyle w:val="88"/>
        <w:tabs>
          <w:tab w:val="left" w:pos="567"/>
        </w:tabs>
        <w:spacing w:beforeAutospacing="0" w:afterAutospacing="0" w:line="360" w:lineRule="auto"/>
        <w:ind w:firstLine="0" w:firstLineChars="0"/>
        <w:rPr>
          <w:rFonts w:ascii="宋体" w:hAnsi="宋体" w:eastAsia="宋体" w:cs="宋体"/>
          <w:b/>
          <w:bCs/>
          <w:szCs w:val="21"/>
        </w:rPr>
      </w:pPr>
      <w:r>
        <w:rPr>
          <w:rFonts w:hint="eastAsia" w:ascii="宋体" w:hAnsi="宋体" w:eastAsia="宋体" w:cs="宋体"/>
          <w:b/>
          <w:bCs/>
          <w:szCs w:val="21"/>
        </w:rPr>
        <w:t>8.招标文件的解释权</w:t>
      </w:r>
    </w:p>
    <w:p w14:paraId="50F7DDC6">
      <w:pPr>
        <w:spacing w:beforeAutospacing="0" w:afterAutospacing="0" w:line="360" w:lineRule="auto"/>
        <w:ind w:firstLine="420" w:firstLineChars="200"/>
        <w:rPr>
          <w:rFonts w:ascii="宋体" w:hAnsi="宋体" w:eastAsia="宋体" w:cs="宋体"/>
          <w:szCs w:val="21"/>
        </w:rPr>
      </w:pPr>
      <w:r>
        <w:rPr>
          <w:rFonts w:hint="eastAsia" w:ascii="宋体" w:hAnsi="宋体" w:eastAsia="宋体" w:cs="宋体"/>
          <w:szCs w:val="21"/>
        </w:rPr>
        <w:t>本招标文件的解释权归“韶关市鸿鑫招标代理有限公司”所有。</w:t>
      </w:r>
    </w:p>
    <w:p w14:paraId="30D44A03">
      <w:pPr>
        <w:spacing w:beforeAutospacing="0" w:afterAutospacing="0" w:line="360" w:lineRule="auto"/>
        <w:ind w:right="17"/>
        <w:rPr>
          <w:rFonts w:ascii="宋体" w:hAnsi="宋体" w:eastAsia="宋体" w:cs="宋体"/>
          <w:b/>
          <w:szCs w:val="21"/>
          <w:lang w:val="zh-CN"/>
        </w:rPr>
      </w:pPr>
    </w:p>
    <w:p w14:paraId="50EA8EB8">
      <w:pPr>
        <w:pStyle w:val="57"/>
        <w:rPr>
          <w:rFonts w:ascii="宋体" w:hAnsi="宋体" w:eastAsia="宋体" w:cs="宋体"/>
          <w:b/>
          <w:szCs w:val="21"/>
          <w:lang w:val="zh-CN"/>
        </w:rPr>
      </w:pPr>
    </w:p>
    <w:p w14:paraId="5CB0FB70">
      <w:pPr>
        <w:pStyle w:val="57"/>
        <w:rPr>
          <w:rFonts w:ascii="宋体" w:hAnsi="宋体" w:eastAsia="宋体" w:cs="宋体"/>
          <w:b/>
          <w:szCs w:val="21"/>
          <w:lang w:val="zh-CN"/>
        </w:rPr>
      </w:pPr>
    </w:p>
    <w:p w14:paraId="5B4314EB">
      <w:pPr>
        <w:pStyle w:val="57"/>
        <w:rPr>
          <w:rFonts w:ascii="宋体" w:hAnsi="宋体" w:eastAsia="宋体" w:cs="宋体"/>
          <w:b/>
          <w:szCs w:val="21"/>
          <w:lang w:val="zh-CN"/>
        </w:rPr>
      </w:pPr>
    </w:p>
    <w:p w14:paraId="2749E365">
      <w:pPr>
        <w:pStyle w:val="57"/>
        <w:rPr>
          <w:rFonts w:ascii="宋体" w:hAnsi="宋体" w:eastAsia="宋体" w:cs="宋体"/>
          <w:b/>
          <w:szCs w:val="21"/>
          <w:lang w:val="zh-CN"/>
        </w:rPr>
      </w:pPr>
    </w:p>
    <w:p w14:paraId="36F38788">
      <w:pPr>
        <w:spacing w:beforeAutospacing="0" w:afterAutospacing="0" w:line="360" w:lineRule="auto"/>
        <w:ind w:right="17"/>
        <w:rPr>
          <w:rFonts w:ascii="宋体" w:hAnsi="宋体" w:eastAsia="宋体" w:cs="宋体"/>
          <w:b/>
          <w:szCs w:val="21"/>
          <w:lang w:val="zh-CN"/>
        </w:rPr>
      </w:pPr>
      <w:r>
        <w:rPr>
          <w:rFonts w:hint="eastAsia" w:ascii="宋体" w:hAnsi="宋体" w:eastAsia="宋体" w:cs="宋体"/>
          <w:b/>
          <w:szCs w:val="21"/>
          <w:lang w:val="zh-CN"/>
        </w:rPr>
        <w:t>附件 询问函</w:t>
      </w:r>
      <w:r>
        <w:rPr>
          <w:rFonts w:hint="eastAsia" w:ascii="宋体" w:hAnsi="宋体" w:eastAsia="宋体" w:cs="宋体"/>
          <w:b/>
          <w:szCs w:val="21"/>
        </w:rPr>
        <w:t>/</w:t>
      </w:r>
      <w:r>
        <w:rPr>
          <w:rFonts w:hint="eastAsia" w:ascii="宋体" w:hAnsi="宋体" w:eastAsia="宋体" w:cs="宋体"/>
          <w:b/>
          <w:szCs w:val="21"/>
          <w:lang w:val="zh-CN"/>
        </w:rPr>
        <w:t>质疑函格式</w:t>
      </w:r>
    </w:p>
    <w:p w14:paraId="22A9A87D">
      <w:pPr>
        <w:pStyle w:val="160"/>
        <w:spacing w:beforeAutospacing="0" w:afterAutospacing="0" w:line="360" w:lineRule="auto"/>
        <w:rPr>
          <w:rFonts w:hint="eastAsia" w:ascii="宋体" w:hAnsi="宋体" w:eastAsia="宋体" w:cs="宋体"/>
          <w:sz w:val="21"/>
          <w:szCs w:val="21"/>
        </w:rPr>
      </w:pPr>
      <w:r>
        <w:rPr>
          <w:rFonts w:hint="eastAsia" w:ascii="宋体" w:hAnsi="宋体" w:eastAsia="宋体" w:cs="宋体"/>
          <w:sz w:val="21"/>
          <w:szCs w:val="21"/>
        </w:rPr>
        <w:t>说明：本部分格式为投标人提交询问函、质疑函时使用，不属于投标文件格式的组成部分。</w:t>
      </w:r>
    </w:p>
    <w:p w14:paraId="11D6DF69">
      <w:pPr>
        <w:pStyle w:val="160"/>
        <w:spacing w:beforeAutospacing="0" w:afterAutospacing="0" w:line="360" w:lineRule="auto"/>
        <w:rPr>
          <w:rFonts w:hint="eastAsia" w:ascii="宋体" w:hAnsi="宋体" w:eastAsia="宋体" w:cs="宋体"/>
          <w:sz w:val="21"/>
          <w:szCs w:val="21"/>
        </w:rPr>
      </w:pPr>
    </w:p>
    <w:p w14:paraId="30698DCB">
      <w:pPr>
        <w:pStyle w:val="42"/>
        <w:spacing w:beforeAutospacing="0" w:afterAutospacing="0" w:line="360" w:lineRule="auto"/>
        <w:jc w:val="center"/>
        <w:rPr>
          <w:rStyle w:val="50"/>
          <w:rFonts w:ascii="宋体" w:hAnsi="宋体" w:eastAsia="宋体" w:cs="宋体"/>
          <w:b w:val="0"/>
          <w:sz w:val="28"/>
          <w:szCs w:val="28"/>
        </w:rPr>
      </w:pPr>
      <w:r>
        <w:rPr>
          <w:rFonts w:hint="eastAsia" w:ascii="宋体" w:hAnsi="宋体" w:eastAsia="宋体" w:cs="宋体"/>
          <w:b/>
          <w:bCs/>
          <w:kern w:val="16"/>
          <w:sz w:val="28"/>
          <w:szCs w:val="28"/>
        </w:rPr>
        <w:t>询问函</w:t>
      </w:r>
    </w:p>
    <w:p w14:paraId="7243511D">
      <w:pPr>
        <w:tabs>
          <w:tab w:val="left" w:pos="6300"/>
        </w:tabs>
        <w:snapToGrid w:val="0"/>
        <w:spacing w:beforeAutospacing="0" w:afterAutospacing="0" w:line="360" w:lineRule="auto"/>
        <w:jc w:val="left"/>
        <w:rPr>
          <w:rFonts w:ascii="宋体" w:hAnsi="宋体" w:eastAsia="宋体" w:cs="宋体"/>
          <w:szCs w:val="21"/>
        </w:rPr>
      </w:pPr>
      <w:r>
        <w:rPr>
          <w:rFonts w:hint="eastAsia" w:ascii="宋体" w:hAnsi="宋体" w:eastAsia="宋体" w:cs="宋体"/>
          <w:szCs w:val="21"/>
        </w:rPr>
        <w:t>韶关市鸿鑫招标代理有限公司：</w:t>
      </w:r>
    </w:p>
    <w:p w14:paraId="3AA5797D">
      <w:pPr>
        <w:tabs>
          <w:tab w:val="left" w:pos="6300"/>
        </w:tabs>
        <w:snapToGrid w:val="0"/>
        <w:spacing w:beforeAutospacing="0" w:afterAutospacing="0" w:line="360" w:lineRule="auto"/>
        <w:ind w:firstLine="420" w:firstLineChars="200"/>
        <w:jc w:val="left"/>
        <w:rPr>
          <w:rFonts w:ascii="宋体" w:hAnsi="宋体" w:eastAsia="宋体" w:cs="宋体"/>
          <w:szCs w:val="21"/>
        </w:rPr>
      </w:pPr>
    </w:p>
    <w:p w14:paraId="3015D61E">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我单位已报名并准备参与</w:t>
      </w:r>
      <w:r>
        <w:rPr>
          <w:rFonts w:hint="eastAsia" w:ascii="宋体" w:hAnsi="宋体" w:eastAsia="宋体" w:cs="宋体"/>
          <w:i/>
          <w:szCs w:val="21"/>
          <w:u w:val="single"/>
        </w:rPr>
        <w:t>（项目名称）</w:t>
      </w:r>
      <w:r>
        <w:rPr>
          <w:rFonts w:hint="eastAsia" w:ascii="宋体" w:hAnsi="宋体" w:eastAsia="宋体" w:cs="宋体"/>
          <w:szCs w:val="21"/>
        </w:rPr>
        <w:t>项目（招标文件编号：）的投标（或报价）活动，现有以下几个内容（或条款）存在疑问（或无法理解），特提出询问。</w:t>
      </w:r>
    </w:p>
    <w:p w14:paraId="0D5D0296">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一、_____________________（事项一）</w:t>
      </w:r>
    </w:p>
    <w:p w14:paraId="62482925">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（1）____________________（问题或条款内容）</w:t>
      </w:r>
    </w:p>
    <w:p w14:paraId="4BD9B50F">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（2）____________________（说明疑问或无法理解原因）</w:t>
      </w:r>
    </w:p>
    <w:p w14:paraId="6CC216FF">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（3）____________________（建议）</w:t>
      </w:r>
    </w:p>
    <w:p w14:paraId="2ACE1E3C">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二、_____________________（事项二）</w:t>
      </w:r>
    </w:p>
    <w:p w14:paraId="00279924">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w:t>
      </w:r>
    </w:p>
    <w:p w14:paraId="6099D5B3">
      <w:pPr>
        <w:tabs>
          <w:tab w:val="left" w:pos="6300"/>
        </w:tabs>
        <w:snapToGrid w:val="0"/>
        <w:spacing w:beforeAutospacing="0" w:afterAutospacing="0" w:line="360" w:lineRule="auto"/>
        <w:ind w:firstLine="420" w:firstLineChars="200"/>
        <w:jc w:val="left"/>
        <w:rPr>
          <w:rFonts w:ascii="宋体" w:hAnsi="宋体" w:eastAsia="宋体" w:cs="宋体"/>
          <w:szCs w:val="21"/>
        </w:rPr>
      </w:pPr>
      <w:r>
        <w:rPr>
          <w:rFonts w:hint="eastAsia" w:ascii="宋体" w:hAnsi="宋体" w:eastAsia="宋体" w:cs="宋体"/>
          <w:szCs w:val="21"/>
        </w:rPr>
        <w:t>随附相关证明材料如下：（目录）。</w:t>
      </w:r>
    </w:p>
    <w:p w14:paraId="059F028C">
      <w:pPr>
        <w:tabs>
          <w:tab w:val="left" w:pos="6300"/>
        </w:tabs>
        <w:snapToGrid w:val="0"/>
        <w:spacing w:beforeAutospacing="0" w:afterAutospacing="0" w:line="360" w:lineRule="auto"/>
        <w:ind w:firstLine="1260" w:firstLineChars="600"/>
        <w:jc w:val="left"/>
        <w:rPr>
          <w:rFonts w:ascii="宋体" w:hAnsi="宋体" w:eastAsia="宋体" w:cs="宋体"/>
          <w:szCs w:val="21"/>
        </w:rPr>
      </w:pPr>
      <w:r>
        <w:rPr>
          <w:rFonts w:hint="eastAsia" w:ascii="宋体" w:hAnsi="宋体" w:eastAsia="宋体" w:cs="宋体"/>
          <w:szCs w:val="21"/>
        </w:rPr>
        <w:t>询问人：（公章）</w:t>
      </w:r>
    </w:p>
    <w:p w14:paraId="6776BCF0">
      <w:pPr>
        <w:tabs>
          <w:tab w:val="left" w:pos="6300"/>
        </w:tabs>
        <w:snapToGrid w:val="0"/>
        <w:spacing w:beforeAutospacing="0" w:afterAutospacing="0" w:line="360" w:lineRule="auto"/>
        <w:ind w:firstLine="1260" w:firstLineChars="600"/>
        <w:jc w:val="left"/>
        <w:rPr>
          <w:rFonts w:ascii="宋体" w:hAnsi="宋体" w:eastAsia="宋体" w:cs="宋体"/>
          <w:szCs w:val="21"/>
        </w:rPr>
      </w:pPr>
      <w:r>
        <w:rPr>
          <w:rFonts w:hint="eastAsia" w:ascii="宋体" w:hAnsi="宋体" w:eastAsia="宋体" w:cs="宋体"/>
          <w:szCs w:val="21"/>
        </w:rPr>
        <w:t>法定代表人/负责人（授权代表）：</w:t>
      </w:r>
    </w:p>
    <w:p w14:paraId="67CA9E03">
      <w:pPr>
        <w:tabs>
          <w:tab w:val="left" w:pos="6300"/>
        </w:tabs>
        <w:snapToGrid w:val="0"/>
        <w:spacing w:beforeAutospacing="0" w:afterAutospacing="0" w:line="360" w:lineRule="auto"/>
        <w:ind w:firstLine="1260" w:firstLineChars="600"/>
        <w:jc w:val="left"/>
        <w:rPr>
          <w:rFonts w:ascii="宋体" w:hAnsi="宋体" w:eastAsia="宋体" w:cs="宋体"/>
          <w:szCs w:val="21"/>
        </w:rPr>
      </w:pPr>
      <w:r>
        <w:rPr>
          <w:rFonts w:hint="eastAsia" w:ascii="宋体" w:hAnsi="宋体" w:eastAsia="宋体" w:cs="宋体"/>
          <w:szCs w:val="21"/>
        </w:rPr>
        <w:t>地址/邮编：</w:t>
      </w:r>
    </w:p>
    <w:p w14:paraId="6F04DA8D">
      <w:pPr>
        <w:tabs>
          <w:tab w:val="left" w:pos="6300"/>
        </w:tabs>
        <w:snapToGrid w:val="0"/>
        <w:spacing w:beforeAutospacing="0" w:afterAutospacing="0" w:line="360" w:lineRule="auto"/>
        <w:ind w:firstLine="1260" w:firstLineChars="600"/>
        <w:jc w:val="left"/>
        <w:rPr>
          <w:rFonts w:ascii="宋体" w:hAnsi="宋体" w:eastAsia="宋体" w:cs="宋体"/>
          <w:szCs w:val="21"/>
        </w:rPr>
      </w:pPr>
      <w:r>
        <w:rPr>
          <w:rFonts w:hint="eastAsia" w:ascii="宋体" w:hAnsi="宋体" w:eastAsia="宋体" w:cs="宋体"/>
          <w:szCs w:val="21"/>
        </w:rPr>
        <w:t>电话/传真：</w:t>
      </w:r>
    </w:p>
    <w:p w14:paraId="45E5E8C9">
      <w:pPr>
        <w:spacing w:beforeAutospacing="0" w:afterAutospacing="0" w:line="360" w:lineRule="auto"/>
        <w:jc w:val="right"/>
        <w:rPr>
          <w:rFonts w:ascii="宋体" w:hAnsi="宋体" w:eastAsia="宋体" w:cs="宋体"/>
          <w:szCs w:val="21"/>
        </w:rPr>
      </w:pPr>
    </w:p>
    <w:p w14:paraId="14528740">
      <w:pPr>
        <w:spacing w:beforeAutospacing="0" w:afterAutospacing="0" w:line="360" w:lineRule="auto"/>
        <w:jc w:val="right"/>
        <w:rPr>
          <w:rFonts w:ascii="宋体" w:hAnsi="宋体" w:eastAsia="宋体" w:cs="宋体"/>
          <w:szCs w:val="21"/>
          <w:lang w:val="zh-CN"/>
        </w:rPr>
      </w:pPr>
      <w:r>
        <w:rPr>
          <w:rFonts w:hint="eastAsia" w:ascii="宋体" w:hAnsi="宋体" w:eastAsia="宋体" w:cs="宋体"/>
          <w:szCs w:val="21"/>
        </w:rPr>
        <w:t>202</w:t>
      </w:r>
      <w:r>
        <w:rPr>
          <w:rFonts w:hint="eastAsia" w:ascii="宋体" w:hAnsi="宋体" w:cs="宋体"/>
          <w:szCs w:val="21"/>
          <w:lang w:val="en-US" w:eastAsia="zh-CN"/>
        </w:rPr>
        <w:t>5</w:t>
      </w:r>
      <w:r>
        <w:rPr>
          <w:rFonts w:hint="eastAsia" w:ascii="宋体" w:hAnsi="宋体" w:eastAsia="宋体" w:cs="宋体"/>
          <w:szCs w:val="21"/>
        </w:rPr>
        <w:t xml:space="preserve">年  月  日  </w:t>
      </w:r>
    </w:p>
    <w:p w14:paraId="7E0CE901">
      <w:pPr>
        <w:spacing w:beforeAutospacing="0" w:afterAutospacing="0" w:line="360" w:lineRule="auto"/>
        <w:ind w:left="539" w:right="17" w:hanging="539"/>
        <w:jc w:val="center"/>
        <w:rPr>
          <w:rFonts w:ascii="宋体" w:hAnsi="宋体"/>
          <w:b/>
          <w:sz w:val="24"/>
          <w:lang w:val="zh-CN"/>
        </w:rPr>
        <w:sectPr>
          <w:pgSz w:w="11905" w:h="16838"/>
          <w:pgMar w:top="1440" w:right="1803" w:bottom="1440" w:left="1803" w:header="283" w:footer="1077" w:gutter="0"/>
          <w:pgNumType w:fmt="decimal"/>
          <w:cols w:space="0" w:num="1"/>
          <w:rtlGutter w:val="0"/>
          <w:docGrid w:type="lines" w:linePitch="317" w:charSpace="0"/>
        </w:sectPr>
      </w:pPr>
    </w:p>
    <w:p w14:paraId="10D5359F">
      <w:pPr>
        <w:spacing w:beforeAutospacing="0" w:afterAutospacing="0" w:line="360" w:lineRule="auto"/>
        <w:ind w:left="539" w:right="17" w:hanging="539"/>
        <w:jc w:val="center"/>
        <w:rPr>
          <w:rFonts w:ascii="宋体" w:hAnsi="宋体"/>
          <w:b/>
          <w:sz w:val="24"/>
          <w:lang w:val="zh-CN"/>
        </w:rPr>
      </w:pPr>
      <w:r>
        <w:rPr>
          <w:rFonts w:hint="eastAsia" w:ascii="宋体" w:hAnsi="宋体"/>
          <w:b/>
          <w:sz w:val="24"/>
          <w:lang w:val="zh-CN"/>
        </w:rPr>
        <w:t>质疑函</w:t>
      </w:r>
    </w:p>
    <w:p w14:paraId="5F07DBAF">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一、质疑投标人基本信息</w:t>
      </w:r>
    </w:p>
    <w:p w14:paraId="09CBA543">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质疑投标人：</w:t>
      </w:r>
      <w:r>
        <w:rPr>
          <w:rFonts w:hint="eastAsia" w:ascii="宋体" w:hAnsi="宋体" w:cs="仿宋"/>
          <w:w w:val="90"/>
          <w:szCs w:val="21"/>
          <w:u w:val="single"/>
        </w:rPr>
        <w:t xml:space="preserve">                                        </w:t>
      </w:r>
    </w:p>
    <w:p w14:paraId="7141F7CB">
      <w:pPr>
        <w:pStyle w:val="136"/>
        <w:adjustRightInd w:val="0"/>
        <w:snapToGrid w:val="0"/>
        <w:spacing w:beforeAutospacing="0" w:afterAutospacing="0" w:line="400" w:lineRule="exact"/>
        <w:jc w:val="left"/>
        <w:rPr>
          <w:rFonts w:ascii="宋体" w:hAnsi="宋体" w:cs="仿宋"/>
          <w:w w:val="90"/>
          <w:szCs w:val="21"/>
        </w:rPr>
      </w:pPr>
      <w:r>
        <w:rPr>
          <w:rFonts w:hint="eastAsia" w:ascii="宋体" w:hAnsi="宋体"/>
          <w:szCs w:val="21"/>
          <w:lang w:val="zh-CN"/>
        </w:rPr>
        <w:t>地址：</w:t>
      </w:r>
      <w:r>
        <w:rPr>
          <w:rFonts w:hint="eastAsia" w:ascii="宋体" w:hAnsi="宋体" w:cs="仿宋"/>
          <w:w w:val="90"/>
          <w:szCs w:val="21"/>
          <w:u w:val="single"/>
        </w:rPr>
        <w:t xml:space="preserve">                          </w:t>
      </w:r>
      <w:r>
        <w:rPr>
          <w:rFonts w:ascii="宋体" w:hAnsi="宋体" w:cs="仿宋"/>
          <w:w w:val="90"/>
          <w:szCs w:val="21"/>
          <w:u w:val="single"/>
        </w:rPr>
        <w:t xml:space="preserve">            </w:t>
      </w:r>
      <w:r>
        <w:rPr>
          <w:rFonts w:hint="eastAsia" w:ascii="宋体" w:hAnsi="宋体"/>
          <w:szCs w:val="21"/>
          <w:lang w:val="zh-CN"/>
        </w:rPr>
        <w:t>邮编：</w:t>
      </w:r>
      <w:r>
        <w:rPr>
          <w:rFonts w:hint="eastAsia" w:ascii="宋体" w:hAnsi="宋体" w:cs="仿宋"/>
          <w:w w:val="90"/>
          <w:szCs w:val="21"/>
          <w:u w:val="single"/>
        </w:rPr>
        <w:t xml:space="preserve">                     </w:t>
      </w:r>
    </w:p>
    <w:p w14:paraId="7364F4A4">
      <w:pPr>
        <w:pStyle w:val="136"/>
        <w:adjustRightInd w:val="0"/>
        <w:snapToGrid w:val="0"/>
        <w:spacing w:beforeAutospacing="0" w:afterAutospacing="0" w:line="400" w:lineRule="exact"/>
        <w:rPr>
          <w:rFonts w:ascii="宋体" w:hAnsi="宋体" w:cs="仿宋"/>
          <w:w w:val="90"/>
          <w:szCs w:val="21"/>
        </w:rPr>
      </w:pPr>
      <w:r>
        <w:rPr>
          <w:rFonts w:hint="eastAsia" w:ascii="宋体" w:hAnsi="宋体"/>
          <w:szCs w:val="21"/>
          <w:lang w:val="zh-CN"/>
        </w:rPr>
        <w:t>联系人：</w:t>
      </w:r>
      <w:r>
        <w:rPr>
          <w:rFonts w:hint="eastAsia" w:ascii="宋体" w:hAnsi="宋体" w:cs="仿宋"/>
          <w:w w:val="90"/>
          <w:szCs w:val="21"/>
          <w:u w:val="single"/>
        </w:rPr>
        <w:t xml:space="preserve">                      </w:t>
      </w:r>
      <w:r>
        <w:rPr>
          <w:rFonts w:hint="eastAsia" w:ascii="宋体" w:hAnsi="宋体"/>
          <w:szCs w:val="21"/>
          <w:lang w:val="zh-CN"/>
        </w:rPr>
        <w:t>联系电话：</w:t>
      </w:r>
      <w:r>
        <w:rPr>
          <w:rFonts w:hint="eastAsia" w:ascii="宋体" w:hAnsi="宋体" w:cs="仿宋"/>
          <w:w w:val="90"/>
          <w:szCs w:val="21"/>
          <w:u w:val="single"/>
        </w:rPr>
        <w:t xml:space="preserve">                              </w:t>
      </w:r>
    </w:p>
    <w:p w14:paraId="7725592C">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授权代表：</w:t>
      </w:r>
      <w:r>
        <w:rPr>
          <w:rFonts w:hint="eastAsia" w:ascii="宋体" w:hAnsi="宋体" w:cs="仿宋"/>
          <w:w w:val="90"/>
          <w:szCs w:val="21"/>
          <w:u w:val="single"/>
        </w:rPr>
        <w:t xml:space="preserve">                                          </w:t>
      </w:r>
    </w:p>
    <w:p w14:paraId="36488A2E">
      <w:pPr>
        <w:spacing w:beforeAutospacing="0" w:afterAutospacing="0" w:line="400" w:lineRule="exact"/>
        <w:ind w:left="539" w:right="17" w:hanging="539"/>
        <w:rPr>
          <w:rFonts w:ascii="宋体" w:hAnsi="宋体" w:cs="仿宋"/>
          <w:w w:val="90"/>
          <w:szCs w:val="21"/>
        </w:rPr>
      </w:pPr>
      <w:r>
        <w:rPr>
          <w:rFonts w:hint="eastAsia" w:ascii="宋体" w:hAnsi="宋体"/>
          <w:szCs w:val="21"/>
          <w:lang w:val="zh-CN"/>
        </w:rPr>
        <w:t>联系电话：</w:t>
      </w:r>
      <w:r>
        <w:rPr>
          <w:rFonts w:hint="eastAsia" w:ascii="宋体" w:hAnsi="宋体" w:cs="仿宋"/>
          <w:w w:val="90"/>
          <w:szCs w:val="21"/>
          <w:u w:val="single"/>
        </w:rPr>
        <w:t xml:space="preserve">                                           </w:t>
      </w:r>
      <w:r>
        <w:rPr>
          <w:rFonts w:hint="eastAsia" w:ascii="宋体" w:hAnsi="宋体" w:cs="仿宋"/>
          <w:w w:val="90"/>
          <w:szCs w:val="21"/>
        </w:rPr>
        <w:t xml:space="preserve"> </w:t>
      </w:r>
    </w:p>
    <w:p w14:paraId="15C82AB0">
      <w:pPr>
        <w:pStyle w:val="136"/>
        <w:adjustRightInd w:val="0"/>
        <w:snapToGrid w:val="0"/>
        <w:spacing w:beforeAutospacing="0" w:afterAutospacing="0" w:line="400" w:lineRule="exact"/>
        <w:jc w:val="left"/>
        <w:rPr>
          <w:rFonts w:ascii="宋体" w:hAnsi="宋体" w:cs="仿宋"/>
          <w:w w:val="90"/>
          <w:szCs w:val="21"/>
        </w:rPr>
      </w:pPr>
      <w:r>
        <w:rPr>
          <w:rFonts w:hint="eastAsia" w:ascii="宋体" w:hAnsi="宋体"/>
          <w:szCs w:val="21"/>
          <w:lang w:val="zh-CN"/>
        </w:rPr>
        <w:t>地址：</w:t>
      </w:r>
      <w:r>
        <w:rPr>
          <w:rFonts w:hint="eastAsia" w:ascii="宋体" w:hAnsi="宋体" w:cs="仿宋"/>
          <w:w w:val="90"/>
          <w:szCs w:val="21"/>
          <w:u w:val="single"/>
        </w:rPr>
        <w:t xml:space="preserve">                          </w:t>
      </w:r>
      <w:r>
        <w:rPr>
          <w:rFonts w:ascii="宋体" w:hAnsi="宋体" w:cs="仿宋"/>
          <w:w w:val="90"/>
          <w:szCs w:val="21"/>
          <w:u w:val="single"/>
        </w:rPr>
        <w:t xml:space="preserve">           </w:t>
      </w:r>
      <w:r>
        <w:rPr>
          <w:rFonts w:ascii="宋体" w:hAnsi="宋体"/>
          <w:szCs w:val="21"/>
          <w:lang w:val="zh-CN"/>
        </w:rPr>
        <w:t xml:space="preserve"> </w:t>
      </w:r>
      <w:r>
        <w:rPr>
          <w:rFonts w:hint="eastAsia" w:ascii="宋体" w:hAnsi="宋体"/>
          <w:szCs w:val="21"/>
          <w:lang w:val="zh-CN"/>
        </w:rPr>
        <w:t>邮编：</w:t>
      </w:r>
      <w:r>
        <w:rPr>
          <w:rFonts w:hint="eastAsia" w:ascii="宋体" w:hAnsi="宋体" w:cs="仿宋"/>
          <w:w w:val="90"/>
          <w:szCs w:val="21"/>
          <w:u w:val="single"/>
        </w:rPr>
        <w:t xml:space="preserve">                     </w:t>
      </w:r>
    </w:p>
    <w:p w14:paraId="2005434B">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二、质疑项目基本情况</w:t>
      </w:r>
    </w:p>
    <w:p w14:paraId="309EE8AC">
      <w:pPr>
        <w:spacing w:beforeAutospacing="0" w:afterAutospacing="0" w:line="400" w:lineRule="exact"/>
        <w:ind w:left="539" w:right="17" w:hanging="539"/>
        <w:rPr>
          <w:rFonts w:ascii="宋体" w:hAnsi="宋体" w:cs="仿宋"/>
          <w:w w:val="90"/>
          <w:szCs w:val="21"/>
        </w:rPr>
      </w:pPr>
      <w:r>
        <w:rPr>
          <w:rFonts w:hint="eastAsia" w:ascii="宋体" w:hAnsi="宋体"/>
          <w:szCs w:val="21"/>
          <w:lang w:val="zh-CN"/>
        </w:rPr>
        <w:t>质疑项目的招标项目名称：</w:t>
      </w:r>
      <w:r>
        <w:rPr>
          <w:rFonts w:hint="eastAsia" w:ascii="宋体" w:hAnsi="宋体" w:cs="仿宋"/>
          <w:w w:val="90"/>
          <w:szCs w:val="21"/>
          <w:u w:val="single"/>
        </w:rPr>
        <w:t xml:space="preserve">                          </w:t>
      </w:r>
    </w:p>
    <w:p w14:paraId="0BC8C784">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质疑项目的招标项目编号：</w:t>
      </w:r>
      <w:r>
        <w:rPr>
          <w:rFonts w:hint="eastAsia" w:ascii="宋体" w:hAnsi="宋体" w:cs="仿宋"/>
          <w:w w:val="90"/>
          <w:szCs w:val="21"/>
          <w:u w:val="single"/>
        </w:rPr>
        <w:t xml:space="preserve">                          </w:t>
      </w:r>
    </w:p>
    <w:p w14:paraId="4DE1D62B">
      <w:pPr>
        <w:pStyle w:val="136"/>
        <w:adjustRightInd w:val="0"/>
        <w:snapToGrid w:val="0"/>
        <w:spacing w:beforeAutospacing="0" w:afterAutospacing="0" w:line="400" w:lineRule="exact"/>
        <w:rPr>
          <w:rFonts w:ascii="宋体" w:hAnsi="宋体" w:cs="仿宋"/>
          <w:w w:val="90"/>
          <w:szCs w:val="21"/>
        </w:rPr>
      </w:pPr>
      <w:r>
        <w:rPr>
          <w:rFonts w:hint="eastAsia" w:ascii="宋体" w:hAnsi="宋体"/>
          <w:szCs w:val="21"/>
          <w:lang w:val="zh-CN"/>
        </w:rPr>
        <w:t>招标编号：</w:t>
      </w:r>
      <w:r>
        <w:rPr>
          <w:rFonts w:hint="eastAsia" w:ascii="宋体" w:hAnsi="宋体" w:cs="仿宋"/>
          <w:w w:val="90"/>
          <w:szCs w:val="21"/>
          <w:u w:val="single"/>
        </w:rPr>
        <w:t xml:space="preserve">                          </w:t>
      </w:r>
      <w:r>
        <w:rPr>
          <w:rFonts w:hint="eastAsia" w:ascii="宋体" w:hAnsi="宋体"/>
          <w:szCs w:val="21"/>
          <w:lang w:val="zh-CN"/>
        </w:rPr>
        <w:t>分包号：</w:t>
      </w:r>
      <w:r>
        <w:rPr>
          <w:rFonts w:hint="eastAsia" w:ascii="宋体" w:hAnsi="宋体" w:cs="仿宋"/>
          <w:w w:val="90"/>
          <w:szCs w:val="21"/>
          <w:u w:val="single"/>
        </w:rPr>
        <w:t xml:space="preserve">                 </w:t>
      </w:r>
    </w:p>
    <w:p w14:paraId="18E5D340">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招标人名称：</w:t>
      </w:r>
      <w:r>
        <w:rPr>
          <w:rFonts w:hint="eastAsia" w:ascii="宋体" w:hAnsi="宋体" w:cs="仿宋"/>
          <w:w w:val="90"/>
          <w:szCs w:val="21"/>
          <w:u w:val="single"/>
        </w:rPr>
        <w:t xml:space="preserve">                                         </w:t>
      </w:r>
    </w:p>
    <w:p w14:paraId="471B473E">
      <w:pPr>
        <w:spacing w:beforeAutospacing="0" w:afterAutospacing="0" w:line="400" w:lineRule="exact"/>
        <w:ind w:left="539" w:right="17" w:hanging="539"/>
        <w:rPr>
          <w:rFonts w:ascii="宋体" w:hAnsi="宋体" w:cs="仿宋"/>
          <w:w w:val="90"/>
          <w:szCs w:val="21"/>
        </w:rPr>
      </w:pPr>
      <w:r>
        <w:rPr>
          <w:rFonts w:hint="eastAsia" w:ascii="宋体" w:hAnsi="宋体"/>
          <w:szCs w:val="21"/>
          <w:lang w:val="zh-CN"/>
        </w:rPr>
        <w:t>招标文件获取日期：</w:t>
      </w:r>
      <w:r>
        <w:rPr>
          <w:rFonts w:hint="eastAsia" w:ascii="宋体" w:hAnsi="宋体" w:cs="仿宋"/>
          <w:w w:val="90"/>
          <w:szCs w:val="21"/>
          <w:u w:val="single"/>
        </w:rPr>
        <w:t xml:space="preserve">                                           </w:t>
      </w:r>
    </w:p>
    <w:p w14:paraId="2D232382">
      <w:pPr>
        <w:spacing w:beforeAutospacing="0" w:afterAutospacing="0" w:line="400" w:lineRule="exact"/>
        <w:ind w:left="539" w:right="17" w:hanging="539"/>
        <w:rPr>
          <w:rFonts w:ascii="宋体" w:hAnsi="宋体" w:cs="仿宋"/>
          <w:bCs/>
          <w:w w:val="90"/>
          <w:szCs w:val="21"/>
        </w:rPr>
      </w:pPr>
      <w:r>
        <w:rPr>
          <w:rFonts w:hint="eastAsia" w:ascii="宋体" w:hAnsi="宋体"/>
          <w:szCs w:val="21"/>
          <w:lang w:val="zh-CN"/>
        </w:rPr>
        <w:t>三、质疑事项具体内容</w:t>
      </w:r>
    </w:p>
    <w:p w14:paraId="32C2D821">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质疑事项1：</w:t>
      </w:r>
      <w:r>
        <w:rPr>
          <w:rFonts w:hint="eastAsia" w:ascii="宋体" w:hAnsi="宋体" w:cs="仿宋"/>
          <w:w w:val="90"/>
          <w:szCs w:val="21"/>
          <w:u w:val="single"/>
        </w:rPr>
        <w:t xml:space="preserve">                                         </w:t>
      </w:r>
    </w:p>
    <w:p w14:paraId="7206F5DB">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事实依据：</w:t>
      </w:r>
      <w:r>
        <w:rPr>
          <w:rFonts w:hint="eastAsia" w:ascii="宋体" w:hAnsi="宋体" w:cs="仿宋"/>
          <w:w w:val="90"/>
          <w:szCs w:val="21"/>
          <w:u w:val="single"/>
        </w:rPr>
        <w:t xml:space="preserve">                                          </w:t>
      </w:r>
    </w:p>
    <w:p w14:paraId="3127343A">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 xml:space="preserve">法律依据：                                          </w:t>
      </w:r>
    </w:p>
    <w:p w14:paraId="4A105D94">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质疑事项2</w:t>
      </w:r>
    </w:p>
    <w:p w14:paraId="2F31471B">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w:t>
      </w:r>
    </w:p>
    <w:p w14:paraId="1C3CF6DC">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四、与质疑事项相关的质疑请求</w:t>
      </w:r>
    </w:p>
    <w:p w14:paraId="008D9280">
      <w:pPr>
        <w:spacing w:beforeAutospacing="0" w:afterAutospacing="0" w:line="400" w:lineRule="exact"/>
        <w:ind w:left="539" w:right="17" w:hanging="539"/>
        <w:rPr>
          <w:rFonts w:ascii="宋体" w:hAnsi="宋体" w:cs="仿宋"/>
          <w:w w:val="90"/>
          <w:szCs w:val="21"/>
          <w:u w:val="dotted"/>
        </w:rPr>
      </w:pPr>
      <w:r>
        <w:rPr>
          <w:rFonts w:hint="eastAsia" w:ascii="宋体" w:hAnsi="宋体"/>
          <w:szCs w:val="21"/>
          <w:lang w:val="zh-CN"/>
        </w:rPr>
        <w:t>请求：</w:t>
      </w:r>
      <w:r>
        <w:rPr>
          <w:rFonts w:hint="eastAsia" w:ascii="宋体" w:hAnsi="宋体" w:cs="仿宋"/>
          <w:w w:val="90"/>
          <w:szCs w:val="21"/>
          <w:u w:val="single"/>
        </w:rPr>
        <w:t xml:space="preserve">                                               </w:t>
      </w:r>
    </w:p>
    <w:p w14:paraId="6F7834F0">
      <w:pPr>
        <w:pStyle w:val="136"/>
        <w:adjustRightInd w:val="0"/>
        <w:snapToGrid w:val="0"/>
        <w:spacing w:beforeAutospacing="0" w:afterAutospacing="0" w:line="400" w:lineRule="exact"/>
        <w:rPr>
          <w:rFonts w:ascii="宋体" w:hAnsi="宋体"/>
          <w:w w:val="90"/>
          <w:szCs w:val="21"/>
        </w:rPr>
      </w:pPr>
      <w:r>
        <w:rPr>
          <w:rFonts w:hint="eastAsia" w:ascii="宋体" w:hAnsi="宋体"/>
          <w:szCs w:val="21"/>
          <w:lang w:val="zh-CN"/>
        </w:rPr>
        <w:t>签字(签章)：</w:t>
      </w:r>
      <w:r>
        <w:rPr>
          <w:rFonts w:hint="eastAsia" w:ascii="宋体" w:hAnsi="宋体"/>
          <w:w w:val="90"/>
          <w:szCs w:val="21"/>
        </w:rPr>
        <w:t xml:space="preserve">                   </w:t>
      </w:r>
      <w:r>
        <w:rPr>
          <w:rFonts w:hint="eastAsia" w:ascii="宋体" w:hAnsi="宋体"/>
          <w:szCs w:val="21"/>
          <w:lang w:val="zh-CN"/>
        </w:rPr>
        <w:t>公章：</w:t>
      </w:r>
      <w:r>
        <w:rPr>
          <w:rFonts w:hint="eastAsia" w:ascii="宋体" w:hAnsi="宋体"/>
          <w:w w:val="90"/>
          <w:szCs w:val="21"/>
        </w:rPr>
        <w:t xml:space="preserve">                      </w:t>
      </w:r>
    </w:p>
    <w:p w14:paraId="05667D5B">
      <w:pPr>
        <w:spacing w:beforeAutospacing="0" w:afterAutospacing="0" w:line="400" w:lineRule="exact"/>
        <w:ind w:left="539" w:right="17" w:hanging="539"/>
        <w:rPr>
          <w:rFonts w:ascii="宋体" w:hAnsi="宋体"/>
          <w:w w:val="90"/>
          <w:szCs w:val="21"/>
        </w:rPr>
      </w:pPr>
      <w:r>
        <w:rPr>
          <w:rFonts w:hint="eastAsia" w:ascii="宋体" w:hAnsi="宋体"/>
          <w:szCs w:val="21"/>
          <w:lang w:val="zh-CN"/>
        </w:rPr>
        <w:t>日期：</w:t>
      </w:r>
      <w:r>
        <w:rPr>
          <w:rFonts w:hint="eastAsia" w:ascii="宋体" w:hAnsi="宋体"/>
          <w:w w:val="90"/>
          <w:szCs w:val="21"/>
        </w:rPr>
        <w:t xml:space="preserve">    </w:t>
      </w:r>
    </w:p>
    <w:p w14:paraId="0E06325E">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质疑函制作说明：</w:t>
      </w:r>
    </w:p>
    <w:p w14:paraId="5DC85EBE">
      <w:pPr>
        <w:spacing w:beforeAutospacing="0" w:afterAutospacing="0" w:line="400" w:lineRule="exact"/>
        <w:ind w:left="539" w:right="17" w:hanging="539"/>
        <w:rPr>
          <w:rFonts w:ascii="宋体" w:hAnsi="宋体"/>
          <w:szCs w:val="21"/>
          <w:lang w:val="zh-CN"/>
        </w:rPr>
      </w:pPr>
      <w:r>
        <w:rPr>
          <w:rFonts w:hint="eastAsia" w:ascii="宋体" w:hAnsi="宋体"/>
          <w:szCs w:val="21"/>
          <w:lang w:val="zh-CN"/>
        </w:rPr>
        <w:t>1.投标人提出质疑时，应提交质疑函和必要的证明材料。</w:t>
      </w:r>
    </w:p>
    <w:p w14:paraId="3A84D92B">
      <w:pPr>
        <w:spacing w:beforeAutospacing="0" w:afterAutospacing="0" w:line="400" w:lineRule="exact"/>
        <w:ind w:right="17"/>
        <w:rPr>
          <w:rFonts w:ascii="宋体" w:hAnsi="宋体"/>
          <w:szCs w:val="21"/>
          <w:lang w:val="zh-CN"/>
        </w:rPr>
      </w:pPr>
      <w:r>
        <w:rPr>
          <w:rFonts w:hint="eastAsia" w:ascii="宋体" w:hAnsi="宋体"/>
          <w:szCs w:val="21"/>
          <w:lang w:val="zh-CN"/>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1F9B6072">
      <w:pPr>
        <w:spacing w:beforeAutospacing="0" w:afterAutospacing="0" w:line="400" w:lineRule="exact"/>
        <w:ind w:right="17"/>
        <w:rPr>
          <w:rFonts w:ascii="宋体" w:hAnsi="宋体"/>
          <w:szCs w:val="21"/>
          <w:lang w:val="zh-CN"/>
        </w:rPr>
      </w:pPr>
      <w:r>
        <w:rPr>
          <w:rFonts w:hint="eastAsia" w:ascii="宋体" w:hAnsi="宋体"/>
          <w:szCs w:val="21"/>
          <w:lang w:val="zh-CN"/>
        </w:rPr>
        <w:t>3.质疑投标人若对项目的某一分包进行质疑，质疑函中应列明具体分包号。</w:t>
      </w:r>
    </w:p>
    <w:p w14:paraId="3D7EAC22">
      <w:pPr>
        <w:spacing w:beforeAutospacing="0" w:afterAutospacing="0" w:line="400" w:lineRule="exact"/>
        <w:ind w:right="17"/>
        <w:rPr>
          <w:rFonts w:ascii="宋体" w:hAnsi="宋体"/>
          <w:szCs w:val="21"/>
          <w:lang w:val="zh-CN"/>
        </w:rPr>
      </w:pPr>
      <w:r>
        <w:rPr>
          <w:rFonts w:hint="eastAsia" w:ascii="宋体" w:hAnsi="宋体"/>
          <w:szCs w:val="21"/>
          <w:lang w:val="zh-CN"/>
        </w:rPr>
        <w:t>4.质疑函的质疑事项应具体、明确，并有必要的事实依据和法律依据。</w:t>
      </w:r>
    </w:p>
    <w:p w14:paraId="6B0B38B3">
      <w:pPr>
        <w:spacing w:beforeAutospacing="0" w:afterAutospacing="0" w:line="400" w:lineRule="exact"/>
        <w:ind w:right="17"/>
        <w:rPr>
          <w:rFonts w:ascii="宋体" w:hAnsi="宋体"/>
          <w:szCs w:val="21"/>
          <w:lang w:val="zh-CN"/>
        </w:rPr>
      </w:pPr>
      <w:r>
        <w:rPr>
          <w:rFonts w:hint="eastAsia" w:ascii="宋体" w:hAnsi="宋体"/>
          <w:szCs w:val="21"/>
          <w:lang w:val="zh-CN"/>
        </w:rPr>
        <w:t>5.质疑函的质疑请求应与质疑事项相关。</w:t>
      </w:r>
    </w:p>
    <w:p w14:paraId="35AA8508">
      <w:pPr>
        <w:spacing w:beforeAutospacing="0" w:afterAutospacing="0" w:line="400" w:lineRule="exact"/>
        <w:ind w:right="17"/>
        <w:jc w:val="left"/>
        <w:rPr>
          <w:lang w:val="zh-CN"/>
        </w:rPr>
      </w:pPr>
      <w:r>
        <w:rPr>
          <w:rFonts w:hint="eastAsia" w:ascii="宋体" w:hAnsi="宋体"/>
          <w:szCs w:val="21"/>
          <w:lang w:val="zh-CN"/>
        </w:rPr>
        <w:t>6.质疑投标人为自然人的，质疑函应由本人签字；质疑投标人为法人或者其他组织的，质疑函应由法定代表人、主要负责人，或者其授权代表签字或者盖章，并加盖公章。</w:t>
      </w:r>
    </w:p>
    <w:p w14:paraId="33F1DB39">
      <w:pPr>
        <w:pStyle w:val="2"/>
        <w:spacing w:beforeAutospacing="0" w:afterAutospacing="0" w:line="360" w:lineRule="auto"/>
        <w:rPr>
          <w:rFonts w:ascii="宋体" w:hAnsi="宋体" w:eastAsia="宋体" w:cs="宋体"/>
          <w:sz w:val="36"/>
          <w:szCs w:val="36"/>
        </w:rPr>
        <w:sectPr>
          <w:pgSz w:w="11905" w:h="16838"/>
          <w:pgMar w:top="1440" w:right="1803" w:bottom="1440" w:left="1803" w:header="283" w:footer="1077" w:gutter="0"/>
          <w:pgNumType w:fmt="decimal"/>
          <w:cols w:space="0" w:num="1"/>
          <w:rtlGutter w:val="0"/>
          <w:docGrid w:type="lines" w:linePitch="317" w:charSpace="0"/>
        </w:sectPr>
      </w:pPr>
      <w:bookmarkStart w:id="110" w:name="_Toc21887"/>
      <w:bookmarkStart w:id="111" w:name="_Toc28924_WPSOffice_Level1"/>
      <w:bookmarkStart w:id="112" w:name="_Toc796_WPSOffice_Level1"/>
      <w:bookmarkStart w:id="113" w:name="_Toc25609"/>
    </w:p>
    <w:bookmarkEnd w:id="110"/>
    <w:bookmarkEnd w:id="111"/>
    <w:bookmarkEnd w:id="112"/>
    <w:bookmarkEnd w:id="113"/>
    <w:p w14:paraId="09F37A73">
      <w:pPr>
        <w:pStyle w:val="2"/>
        <w:spacing w:beforeAutospacing="0" w:afterAutospacing="0" w:line="360" w:lineRule="auto"/>
        <w:jc w:val="center"/>
        <w:rPr>
          <w:rFonts w:ascii="宋体" w:hAnsi="宋体" w:eastAsia="宋体" w:cs="宋体"/>
          <w:b/>
          <w:bCs/>
          <w:sz w:val="36"/>
          <w:szCs w:val="36"/>
        </w:rPr>
      </w:pPr>
      <w:r>
        <w:rPr>
          <w:rFonts w:hint="eastAsia" w:ascii="宋体" w:hAnsi="宋体" w:eastAsia="宋体" w:cs="宋体"/>
          <w:b/>
          <w:bCs/>
          <w:sz w:val="36"/>
          <w:szCs w:val="36"/>
        </w:rPr>
        <w:t>第四部分  开标、评标和定标</w:t>
      </w:r>
    </w:p>
    <w:p w14:paraId="723F302A">
      <w:pPr>
        <w:spacing w:beforeAutospacing="0" w:afterAutospacing="0" w:line="360" w:lineRule="auto"/>
        <w:ind w:right="678" w:rightChars="323"/>
        <w:rPr>
          <w:rFonts w:ascii="宋体" w:hAnsi="宋体" w:eastAsia="宋体" w:cs="宋体"/>
          <w:b/>
          <w:bCs/>
          <w:kern w:val="0"/>
          <w:szCs w:val="21"/>
        </w:rPr>
      </w:pPr>
      <w:r>
        <w:rPr>
          <w:rFonts w:hint="eastAsia" w:ascii="宋体" w:hAnsi="宋体" w:eastAsia="宋体" w:cs="宋体"/>
          <w:b/>
          <w:bCs/>
          <w:kern w:val="0"/>
          <w:szCs w:val="21"/>
        </w:rPr>
        <w:t>1. 开标</w:t>
      </w:r>
    </w:p>
    <w:p w14:paraId="1A92A6F8">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1.1.  招标代理机构在《投标邀请》中规定的日期、时间和地点组织开标。开标会由招标代理机构主持，邀请招标人代表和投标</w:t>
      </w:r>
      <w:r>
        <w:rPr>
          <w:rFonts w:hint="eastAsia" w:ascii="宋体" w:hAnsi="宋体" w:cs="宋体"/>
          <w:szCs w:val="21"/>
          <w:lang w:eastAsia="zh-CN"/>
        </w:rPr>
        <w:t>投标人</w:t>
      </w:r>
      <w:r>
        <w:rPr>
          <w:rFonts w:hint="eastAsia" w:ascii="宋体" w:hAnsi="宋体" w:eastAsia="宋体" w:cs="宋体"/>
          <w:szCs w:val="21"/>
        </w:rPr>
        <w:t>参加。</w:t>
      </w:r>
    </w:p>
    <w:p w14:paraId="709E1F1C">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1.2.  开标时，</w:t>
      </w:r>
      <w:r>
        <w:rPr>
          <w:rFonts w:hint="eastAsia" w:ascii="宋体" w:hAnsi="宋体" w:cs="宋体"/>
          <w:szCs w:val="21"/>
          <w:lang w:eastAsia="zh-CN"/>
        </w:rPr>
        <w:t>投标人</w:t>
      </w:r>
      <w:r>
        <w:rPr>
          <w:rFonts w:hint="eastAsia" w:ascii="宋体" w:hAnsi="宋体" w:eastAsia="宋体" w:cs="宋体"/>
          <w:szCs w:val="21"/>
        </w:rPr>
        <w:t>或者其推选的代表检查投标文件的密封情况；经确认无误后，招标代理机构工作人员当众拆封，宣布</w:t>
      </w:r>
      <w:r>
        <w:rPr>
          <w:rFonts w:hint="eastAsia" w:ascii="宋体" w:hAnsi="宋体" w:cs="宋体"/>
          <w:szCs w:val="21"/>
          <w:lang w:eastAsia="zh-CN"/>
        </w:rPr>
        <w:t>投标人</w:t>
      </w:r>
      <w:r>
        <w:rPr>
          <w:rFonts w:hint="eastAsia" w:ascii="宋体" w:hAnsi="宋体" w:eastAsia="宋体" w:cs="宋体"/>
          <w:szCs w:val="21"/>
        </w:rPr>
        <w:t>名称、投标价格和招标文件规定的需要宣布的其他内容。</w:t>
      </w:r>
    </w:p>
    <w:p w14:paraId="47EC5310">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 xml:space="preserve">1.3.  </w:t>
      </w:r>
      <w:r>
        <w:rPr>
          <w:rFonts w:hint="eastAsia" w:ascii="宋体" w:hAnsi="宋体" w:cs="宋体"/>
          <w:szCs w:val="21"/>
          <w:lang w:eastAsia="zh-CN"/>
        </w:rPr>
        <w:t>投标人</w:t>
      </w:r>
      <w:r>
        <w:rPr>
          <w:rFonts w:hint="eastAsia" w:ascii="宋体" w:hAnsi="宋体" w:eastAsia="宋体" w:cs="宋体"/>
          <w:szCs w:val="21"/>
        </w:rPr>
        <w:t>不足3家的，不得开标。</w:t>
      </w:r>
    </w:p>
    <w:p w14:paraId="72976AAB">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1.4.  招标代理机构负责记录开标过程，参加开标的各</w:t>
      </w:r>
      <w:r>
        <w:rPr>
          <w:rFonts w:hint="eastAsia" w:ascii="宋体" w:hAnsi="宋体" w:cs="宋体"/>
          <w:szCs w:val="21"/>
          <w:lang w:eastAsia="zh-CN"/>
        </w:rPr>
        <w:t>投标人</w:t>
      </w:r>
      <w:r>
        <w:rPr>
          <w:rFonts w:hint="eastAsia" w:ascii="宋体" w:hAnsi="宋体" w:eastAsia="宋体" w:cs="宋体"/>
          <w:szCs w:val="21"/>
        </w:rPr>
        <w:t>代表和相关工作人员签字确认。</w:t>
      </w:r>
    </w:p>
    <w:p w14:paraId="3CD03ADA">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 xml:space="preserve">1.5.  </w:t>
      </w:r>
      <w:r>
        <w:rPr>
          <w:rFonts w:hint="eastAsia" w:ascii="宋体" w:hAnsi="宋体" w:cs="宋体"/>
          <w:szCs w:val="21"/>
          <w:lang w:eastAsia="zh-CN"/>
        </w:rPr>
        <w:t>投标人</w:t>
      </w:r>
      <w:r>
        <w:rPr>
          <w:rFonts w:hint="eastAsia" w:ascii="宋体" w:hAnsi="宋体" w:eastAsia="宋体" w:cs="宋体"/>
          <w:szCs w:val="21"/>
        </w:rPr>
        <w:t>代表对开标过程和开标记录有疑义，以及认为招标人、招标代理机构相关工作人员有需要回避的情形的，应当场提出询问或者回避申请。</w:t>
      </w:r>
    </w:p>
    <w:p w14:paraId="720898C3">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 xml:space="preserve">1.6.  </w:t>
      </w:r>
      <w:r>
        <w:rPr>
          <w:rFonts w:hint="eastAsia" w:ascii="宋体" w:hAnsi="宋体" w:cs="宋体"/>
          <w:szCs w:val="21"/>
          <w:lang w:eastAsia="zh-CN"/>
        </w:rPr>
        <w:t>投标人</w:t>
      </w:r>
      <w:r>
        <w:rPr>
          <w:rFonts w:hint="eastAsia" w:ascii="宋体" w:hAnsi="宋体" w:eastAsia="宋体" w:cs="宋体"/>
          <w:szCs w:val="21"/>
        </w:rPr>
        <w:t>未参加开标的，视同认可开标结果。</w:t>
      </w:r>
    </w:p>
    <w:p w14:paraId="0C78E0A2">
      <w:pPr>
        <w:spacing w:beforeAutospacing="0" w:afterAutospacing="0" w:line="360" w:lineRule="auto"/>
        <w:ind w:right="678" w:rightChars="323"/>
        <w:rPr>
          <w:rFonts w:ascii="宋体" w:hAnsi="宋体" w:eastAsia="宋体" w:cs="宋体"/>
          <w:b/>
          <w:bCs/>
          <w:kern w:val="0"/>
          <w:szCs w:val="21"/>
        </w:rPr>
      </w:pPr>
      <w:r>
        <w:rPr>
          <w:rFonts w:hint="eastAsia" w:ascii="宋体" w:hAnsi="宋体" w:eastAsia="宋体" w:cs="宋体"/>
          <w:b/>
          <w:bCs/>
          <w:kern w:val="0"/>
          <w:szCs w:val="21"/>
        </w:rPr>
        <w:t>2. 评标</w:t>
      </w:r>
    </w:p>
    <w:p w14:paraId="1977BF53">
      <w:pPr>
        <w:pStyle w:val="3"/>
        <w:tabs>
          <w:tab w:val="left" w:pos="5235"/>
        </w:tabs>
        <w:spacing w:before="120" w:beforeAutospacing="0" w:after="120" w:afterAutospacing="0"/>
        <w:ind w:right="678" w:rightChars="323"/>
        <w:rPr>
          <w:rFonts w:ascii="宋体" w:hAnsi="宋体" w:eastAsia="宋体" w:cs="宋体"/>
          <w:b/>
          <w:bCs/>
          <w:color w:val="auto"/>
          <w:sz w:val="21"/>
          <w:szCs w:val="21"/>
          <w:highlight w:val="none"/>
        </w:rPr>
      </w:pPr>
      <w:bookmarkStart w:id="114" w:name="_Toc23940"/>
      <w:bookmarkEnd w:id="114"/>
      <w:r>
        <w:rPr>
          <w:rFonts w:hint="eastAsia" w:ascii="宋体" w:hAnsi="宋体" w:eastAsia="宋体" w:cs="宋体"/>
          <w:b/>
          <w:bCs/>
          <w:color w:val="auto"/>
          <w:sz w:val="21"/>
          <w:szCs w:val="21"/>
        </w:rPr>
        <w:t>2</w:t>
      </w:r>
      <w:r>
        <w:rPr>
          <w:rFonts w:hint="eastAsia" w:ascii="宋体" w:hAnsi="宋体" w:eastAsia="宋体" w:cs="宋体"/>
          <w:b/>
          <w:bCs/>
          <w:color w:val="auto"/>
          <w:sz w:val="21"/>
          <w:szCs w:val="21"/>
          <w:highlight w:val="none"/>
        </w:rPr>
        <w:t>.1.评标委员会</w:t>
      </w:r>
    </w:p>
    <w:p w14:paraId="51E15A67">
      <w:pPr>
        <w:tabs>
          <w:tab w:val="left" w:pos="425"/>
          <w:tab w:val="left" w:pos="624"/>
          <w:tab w:val="left" w:pos="735"/>
        </w:tabs>
        <w:spacing w:beforeAutospacing="0" w:afterAutospacing="0" w:line="360" w:lineRule="auto"/>
        <w:ind w:left="630" w:hanging="630" w:hangingChars="300"/>
        <w:rPr>
          <w:rFonts w:ascii="宋体" w:hAnsi="宋体" w:eastAsia="宋体" w:cs="宋体"/>
          <w:szCs w:val="21"/>
          <w:highlight w:val="none"/>
        </w:rPr>
      </w:pPr>
      <w:bookmarkStart w:id="115" w:name="_Toc461991243"/>
      <w:bookmarkStart w:id="116" w:name="_Toc183338099"/>
      <w:bookmarkStart w:id="117" w:name="_Toc238275023"/>
      <w:bookmarkStart w:id="118" w:name="_Toc234746299"/>
      <w:bookmarkStart w:id="119" w:name="_Toc237684322"/>
      <w:bookmarkStart w:id="120" w:name="_Toc185746883"/>
      <w:bookmarkStart w:id="121" w:name="_Toc338083288"/>
      <w:bookmarkStart w:id="122" w:name="_Toc453695711"/>
      <w:bookmarkStart w:id="123" w:name="_Toc237683961"/>
      <w:bookmarkStart w:id="124" w:name="_Toc453695584"/>
      <w:bookmarkStart w:id="125" w:name="_Toc231010457"/>
      <w:bookmarkStart w:id="126" w:name="_Toc19552"/>
      <w:bookmarkStart w:id="127" w:name="_Toc238274905"/>
      <w:bookmarkStart w:id="128" w:name="_Toc231028410"/>
      <w:r>
        <w:rPr>
          <w:rFonts w:hint="eastAsia" w:ascii="宋体" w:hAnsi="宋体" w:eastAsia="宋体" w:cs="宋体"/>
          <w:szCs w:val="21"/>
          <w:highlight w:val="none"/>
        </w:rPr>
        <w:t>2.1.1.本次招标依法组建评标委员会。评标委员会由</w:t>
      </w:r>
      <w:r>
        <w:rPr>
          <w:rFonts w:hint="eastAsia" w:ascii="宋体" w:hAnsi="宋体" w:cs="宋体"/>
          <w:b/>
          <w:bCs/>
          <w:szCs w:val="21"/>
          <w:highlight w:val="none"/>
          <w:lang w:val="en-US" w:eastAsia="zh-CN"/>
        </w:rPr>
        <w:t>7</w:t>
      </w:r>
      <w:r>
        <w:rPr>
          <w:rFonts w:hint="eastAsia" w:ascii="宋体" w:hAnsi="宋体" w:eastAsia="宋体" w:cs="宋体"/>
          <w:szCs w:val="21"/>
          <w:highlight w:val="none"/>
        </w:rPr>
        <w:t>人组成，除招标人指派评委代表参加外（招标人评委不多于评委会成员三分之一），其他成员均从招标专家库中随机抽取产生（专家人数不少于评委会成员总数的三分之二）。评委会将本着公平、公正、科学、择优的原则，严格按照法律法规和招标文件的要求推荐评审结果。</w:t>
      </w:r>
    </w:p>
    <w:p w14:paraId="54EC4A04">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2.1.2.评审专家有下列情形之一的，受到邀请应主动提出回避，招标当事人也可以要求该评审专家回避：</w:t>
      </w:r>
    </w:p>
    <w:p w14:paraId="56AF6421">
      <w:pPr>
        <w:spacing w:beforeAutospacing="0" w:afterAutospacing="0" w:line="360" w:lineRule="auto"/>
        <w:ind w:left="540"/>
        <w:jc w:val="left"/>
        <w:outlineLvl w:val="1"/>
        <w:rPr>
          <w:rFonts w:ascii="宋体" w:hAnsi="宋体" w:eastAsia="宋体" w:cs="宋体"/>
          <w:szCs w:val="21"/>
        </w:rPr>
      </w:pPr>
      <w:r>
        <w:rPr>
          <w:rFonts w:hint="eastAsia" w:ascii="宋体" w:hAnsi="宋体" w:eastAsia="宋体" w:cs="宋体"/>
          <w:szCs w:val="21"/>
        </w:rPr>
        <w:t>1）参加招标活动前三年内，与</w:t>
      </w:r>
      <w:r>
        <w:rPr>
          <w:rFonts w:hint="eastAsia" w:ascii="宋体" w:hAnsi="宋体" w:cs="宋体"/>
          <w:szCs w:val="21"/>
          <w:lang w:eastAsia="zh-CN"/>
        </w:rPr>
        <w:t>投标人</w:t>
      </w:r>
      <w:r>
        <w:rPr>
          <w:rFonts w:hint="eastAsia" w:ascii="宋体" w:hAnsi="宋体" w:eastAsia="宋体" w:cs="宋体"/>
          <w:szCs w:val="21"/>
        </w:rPr>
        <w:t>存在劳动关系，或者担任过</w:t>
      </w:r>
      <w:r>
        <w:rPr>
          <w:rFonts w:hint="eastAsia" w:ascii="宋体" w:hAnsi="宋体" w:cs="宋体"/>
          <w:szCs w:val="21"/>
          <w:lang w:eastAsia="zh-CN"/>
        </w:rPr>
        <w:t>投标人</w:t>
      </w:r>
      <w:r>
        <w:rPr>
          <w:rFonts w:hint="eastAsia" w:ascii="宋体" w:hAnsi="宋体" w:eastAsia="宋体" w:cs="宋体"/>
          <w:szCs w:val="21"/>
        </w:rPr>
        <w:t>的董事、监事，或者是</w:t>
      </w:r>
      <w:r>
        <w:rPr>
          <w:rFonts w:hint="eastAsia" w:ascii="宋体" w:hAnsi="宋体" w:cs="宋体"/>
          <w:szCs w:val="21"/>
          <w:lang w:eastAsia="zh-CN"/>
        </w:rPr>
        <w:t>投标人</w:t>
      </w:r>
      <w:r>
        <w:rPr>
          <w:rFonts w:hint="eastAsia" w:ascii="宋体" w:hAnsi="宋体" w:eastAsia="宋体" w:cs="宋体"/>
          <w:szCs w:val="21"/>
        </w:rPr>
        <w:t>的控股股东或实际控制人；</w:t>
      </w:r>
    </w:p>
    <w:p w14:paraId="4EF12369">
      <w:pPr>
        <w:spacing w:beforeAutospacing="0" w:afterAutospacing="0" w:line="360" w:lineRule="auto"/>
        <w:ind w:left="540"/>
        <w:jc w:val="left"/>
        <w:outlineLvl w:val="1"/>
        <w:rPr>
          <w:rFonts w:ascii="宋体" w:hAnsi="宋体" w:eastAsia="宋体" w:cs="宋体"/>
          <w:szCs w:val="21"/>
        </w:rPr>
      </w:pPr>
      <w:r>
        <w:rPr>
          <w:rFonts w:hint="eastAsia" w:ascii="宋体" w:hAnsi="宋体" w:eastAsia="宋体" w:cs="宋体"/>
          <w:szCs w:val="21"/>
        </w:rPr>
        <w:t>2）与</w:t>
      </w:r>
      <w:r>
        <w:rPr>
          <w:rFonts w:hint="eastAsia" w:ascii="宋体" w:hAnsi="宋体" w:cs="宋体"/>
          <w:szCs w:val="21"/>
          <w:lang w:eastAsia="zh-CN"/>
        </w:rPr>
        <w:t>投标人</w:t>
      </w:r>
      <w:r>
        <w:rPr>
          <w:rFonts w:hint="eastAsia" w:ascii="宋体" w:hAnsi="宋体" w:eastAsia="宋体" w:cs="宋体"/>
          <w:szCs w:val="21"/>
        </w:rPr>
        <w:t>的法定代表人或者负责人有夫妻、直系血亲、三代以内旁系血亲或者近姻亲关系；</w:t>
      </w:r>
    </w:p>
    <w:p w14:paraId="370914CF">
      <w:pPr>
        <w:spacing w:beforeAutospacing="0" w:afterAutospacing="0" w:line="360" w:lineRule="auto"/>
        <w:ind w:left="540"/>
        <w:jc w:val="left"/>
        <w:outlineLvl w:val="1"/>
        <w:rPr>
          <w:rFonts w:ascii="宋体" w:hAnsi="宋体" w:eastAsia="宋体" w:cs="宋体"/>
          <w:szCs w:val="21"/>
        </w:rPr>
      </w:pPr>
      <w:r>
        <w:rPr>
          <w:rFonts w:hint="eastAsia" w:ascii="宋体" w:hAnsi="宋体" w:eastAsia="宋体" w:cs="宋体"/>
          <w:szCs w:val="21"/>
        </w:rPr>
        <w:t>3）与</w:t>
      </w:r>
      <w:r>
        <w:rPr>
          <w:rFonts w:hint="eastAsia" w:ascii="宋体" w:hAnsi="宋体" w:cs="宋体"/>
          <w:szCs w:val="21"/>
          <w:lang w:eastAsia="zh-CN"/>
        </w:rPr>
        <w:t>投标人</w:t>
      </w:r>
      <w:r>
        <w:rPr>
          <w:rFonts w:hint="eastAsia" w:ascii="宋体" w:hAnsi="宋体" w:eastAsia="宋体" w:cs="宋体"/>
          <w:szCs w:val="21"/>
        </w:rPr>
        <w:t>有其他可能影响招标活动公平、公正进行的关系。</w:t>
      </w:r>
    </w:p>
    <w:p w14:paraId="738B84C7">
      <w:pPr>
        <w:spacing w:beforeAutospacing="0" w:afterAutospacing="0" w:line="360" w:lineRule="auto"/>
        <w:ind w:left="540" w:firstLine="420" w:firstLineChars="200"/>
        <w:jc w:val="left"/>
        <w:outlineLvl w:val="1"/>
        <w:rPr>
          <w:rFonts w:ascii="宋体" w:hAnsi="宋体" w:eastAsia="宋体" w:cs="宋体"/>
          <w:szCs w:val="21"/>
        </w:rPr>
      </w:pPr>
      <w:r>
        <w:rPr>
          <w:rFonts w:hint="eastAsia" w:ascii="宋体" w:hAnsi="宋体" w:eastAsia="宋体" w:cs="宋体"/>
          <w:szCs w:val="21"/>
        </w:rPr>
        <w:t>评审专家发现本人与参加招标活动的</w:t>
      </w:r>
      <w:r>
        <w:rPr>
          <w:rFonts w:hint="eastAsia" w:ascii="宋体" w:hAnsi="宋体" w:cs="宋体"/>
          <w:szCs w:val="21"/>
          <w:lang w:eastAsia="zh-CN"/>
        </w:rPr>
        <w:t>投标人</w:t>
      </w:r>
      <w:r>
        <w:rPr>
          <w:rFonts w:hint="eastAsia" w:ascii="宋体" w:hAnsi="宋体" w:eastAsia="宋体" w:cs="宋体"/>
          <w:szCs w:val="21"/>
        </w:rPr>
        <w:t>有利害关系的，应当主动提出回避。招标人或者招标代理机构发现评审专家与参加招标活动的</w:t>
      </w:r>
      <w:r>
        <w:rPr>
          <w:rFonts w:hint="eastAsia" w:ascii="宋体" w:hAnsi="宋体" w:cs="宋体"/>
          <w:szCs w:val="21"/>
          <w:lang w:eastAsia="zh-CN"/>
        </w:rPr>
        <w:t>投标人</w:t>
      </w:r>
      <w:r>
        <w:rPr>
          <w:rFonts w:hint="eastAsia" w:ascii="宋体" w:hAnsi="宋体" w:eastAsia="宋体" w:cs="宋体"/>
          <w:szCs w:val="21"/>
        </w:rPr>
        <w:t>有利害关系的，应当要求其回避。</w:t>
      </w:r>
    </w:p>
    <w:p w14:paraId="32D2969A">
      <w:pPr>
        <w:spacing w:beforeAutospacing="0" w:afterAutospacing="0" w:line="360" w:lineRule="auto"/>
        <w:ind w:left="540" w:firstLine="420" w:firstLineChars="200"/>
        <w:jc w:val="left"/>
        <w:outlineLvl w:val="1"/>
        <w:rPr>
          <w:rFonts w:ascii="宋体" w:hAnsi="宋体" w:eastAsia="宋体" w:cs="宋体"/>
          <w:szCs w:val="21"/>
        </w:rPr>
      </w:pPr>
      <w:r>
        <w:rPr>
          <w:rFonts w:hint="eastAsia" w:ascii="宋体" w:hAnsi="宋体" w:eastAsia="宋体" w:cs="宋体"/>
          <w:szCs w:val="21"/>
        </w:rPr>
        <w:t>评审专家对本单位的招标项目只能作为招标人代表参与评审活动。</w:t>
      </w:r>
    </w:p>
    <w:p w14:paraId="479B0E4D">
      <w:pPr>
        <w:spacing w:beforeAutospacing="0" w:afterAutospacing="0" w:line="360" w:lineRule="auto"/>
        <w:ind w:left="540" w:firstLine="420" w:firstLineChars="200"/>
        <w:jc w:val="left"/>
        <w:outlineLvl w:val="1"/>
        <w:rPr>
          <w:rFonts w:ascii="宋体" w:hAnsi="宋体" w:eastAsia="宋体" w:cs="宋体"/>
          <w:szCs w:val="21"/>
        </w:rPr>
      </w:pPr>
      <w:r>
        <w:rPr>
          <w:rFonts w:hint="eastAsia" w:ascii="宋体" w:hAnsi="宋体" w:eastAsia="宋体" w:cs="宋体"/>
          <w:szCs w:val="21"/>
        </w:rPr>
        <w:t>各级招标监督管理工作人员，不得作为评审专家参与招标项目的评审活动。</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087F968F">
      <w:pPr>
        <w:pStyle w:val="3"/>
        <w:spacing w:before="120" w:beforeAutospacing="0" w:after="120" w:afterAutospacing="0"/>
        <w:ind w:right="678" w:rightChars="323"/>
        <w:rPr>
          <w:rFonts w:ascii="宋体" w:hAnsi="宋体" w:eastAsia="宋体" w:cs="宋体"/>
          <w:b/>
          <w:bCs/>
          <w:color w:val="auto"/>
          <w:sz w:val="21"/>
          <w:szCs w:val="21"/>
        </w:rPr>
      </w:pPr>
      <w:r>
        <w:rPr>
          <w:rFonts w:hint="eastAsia" w:ascii="宋体" w:hAnsi="宋体" w:eastAsia="宋体" w:cs="宋体"/>
          <w:b/>
          <w:bCs/>
          <w:color w:val="auto"/>
          <w:sz w:val="21"/>
          <w:szCs w:val="21"/>
        </w:rPr>
        <w:t>2.2.评标方法、程序及标准</w:t>
      </w:r>
    </w:p>
    <w:p w14:paraId="4C905E5D">
      <w:pPr>
        <w:tabs>
          <w:tab w:val="left" w:pos="425"/>
          <w:tab w:val="left" w:pos="624"/>
          <w:tab w:val="left" w:pos="735"/>
        </w:tabs>
        <w:spacing w:beforeAutospacing="0" w:afterAutospacing="0" w:line="360" w:lineRule="auto"/>
        <w:ind w:left="630" w:hanging="630" w:hangingChars="300"/>
        <w:rPr>
          <w:rFonts w:ascii="宋体" w:hAnsi="宋体" w:eastAsia="宋体" w:cs="宋体"/>
          <w:szCs w:val="21"/>
          <w:highlight w:val="none"/>
        </w:rPr>
      </w:pPr>
      <w:r>
        <w:rPr>
          <w:rFonts w:hint="eastAsia" w:ascii="宋体" w:hAnsi="宋体" w:eastAsia="宋体" w:cs="宋体"/>
          <w:szCs w:val="21"/>
          <w:highlight w:val="none"/>
        </w:rPr>
        <w:t>2.2.1.本次评标采用综合评分法。</w:t>
      </w:r>
    </w:p>
    <w:p w14:paraId="5F0CEF0E">
      <w:pPr>
        <w:tabs>
          <w:tab w:val="left" w:pos="425"/>
          <w:tab w:val="left" w:pos="624"/>
          <w:tab w:val="left" w:pos="735"/>
        </w:tabs>
        <w:spacing w:beforeAutospacing="0" w:afterAutospacing="0" w:line="360" w:lineRule="auto"/>
        <w:ind w:left="630" w:hanging="630" w:hangingChars="300"/>
        <w:rPr>
          <w:rFonts w:ascii="宋体" w:hAnsi="宋体" w:eastAsia="宋体" w:cs="宋体"/>
          <w:szCs w:val="21"/>
          <w:highlight w:val="none"/>
        </w:rPr>
      </w:pPr>
      <w:r>
        <w:rPr>
          <w:rFonts w:hint="eastAsia" w:ascii="宋体" w:hAnsi="宋体" w:eastAsia="宋体" w:cs="宋体"/>
          <w:szCs w:val="21"/>
          <w:highlight w:val="none"/>
        </w:rPr>
        <w:t>2.2.2. 评标程序：</w:t>
      </w:r>
      <w:r>
        <w:rPr>
          <w:rFonts w:hint="eastAsia" w:ascii="宋体" w:hAnsi="宋体" w:cs="宋体"/>
          <w:szCs w:val="21"/>
          <w:highlight w:val="none"/>
          <w:lang w:val="en-US" w:eastAsia="zh-CN"/>
        </w:rPr>
        <w:t>评标委员会</w:t>
      </w:r>
      <w:r>
        <w:rPr>
          <w:rFonts w:hint="eastAsia" w:ascii="宋体" w:hAnsi="宋体" w:eastAsia="宋体" w:cs="宋体"/>
          <w:szCs w:val="21"/>
          <w:highlight w:val="none"/>
        </w:rPr>
        <w:t>对投标人资格</w:t>
      </w:r>
      <w:r>
        <w:rPr>
          <w:rFonts w:hint="eastAsia" w:ascii="宋体" w:hAnsi="宋体" w:cs="宋体"/>
          <w:szCs w:val="21"/>
          <w:highlight w:val="none"/>
          <w:lang w:val="en-US" w:eastAsia="zh-CN"/>
        </w:rPr>
        <w:t>性</w:t>
      </w:r>
      <w:r>
        <w:rPr>
          <w:rFonts w:hint="eastAsia" w:ascii="宋体" w:hAnsi="宋体" w:cs="宋体"/>
          <w:szCs w:val="21"/>
          <w:highlight w:val="none"/>
          <w:lang w:eastAsia="zh-CN"/>
        </w:rPr>
        <w:t>、</w:t>
      </w:r>
      <w:r>
        <w:rPr>
          <w:rFonts w:hint="eastAsia" w:ascii="宋体" w:hAnsi="宋体" w:eastAsia="宋体" w:cs="宋体"/>
          <w:szCs w:val="21"/>
          <w:highlight w:val="none"/>
        </w:rPr>
        <w:t>符合性审查，对通过资格</w:t>
      </w:r>
      <w:r>
        <w:rPr>
          <w:rFonts w:hint="eastAsia" w:ascii="宋体" w:hAnsi="宋体" w:cs="宋体"/>
          <w:szCs w:val="21"/>
          <w:highlight w:val="none"/>
          <w:lang w:val="en-US" w:eastAsia="zh-CN"/>
        </w:rPr>
        <w:t>性</w:t>
      </w:r>
      <w:r>
        <w:rPr>
          <w:rFonts w:hint="eastAsia" w:ascii="宋体" w:hAnsi="宋体" w:cs="宋体"/>
          <w:szCs w:val="21"/>
          <w:highlight w:val="none"/>
          <w:lang w:eastAsia="zh-CN"/>
        </w:rPr>
        <w:t>、</w:t>
      </w:r>
      <w:r>
        <w:rPr>
          <w:rFonts w:hint="eastAsia" w:ascii="宋体" w:hAnsi="宋体" w:eastAsia="宋体" w:cs="宋体"/>
          <w:szCs w:val="21"/>
          <w:highlight w:val="none"/>
        </w:rPr>
        <w:t>符合性审查的投标人进行技术、商务</w:t>
      </w:r>
      <w:r>
        <w:rPr>
          <w:rFonts w:hint="eastAsia" w:ascii="宋体" w:hAnsi="宋体" w:cs="宋体"/>
          <w:szCs w:val="21"/>
          <w:highlight w:val="none"/>
          <w:lang w:eastAsia="zh-CN"/>
        </w:rPr>
        <w:t>、</w:t>
      </w:r>
      <w:r>
        <w:rPr>
          <w:rFonts w:hint="eastAsia" w:ascii="宋体" w:hAnsi="宋体" w:cs="宋体"/>
          <w:szCs w:val="21"/>
          <w:highlight w:val="none"/>
          <w:lang w:val="en-US" w:eastAsia="zh-CN"/>
        </w:rPr>
        <w:t>价格</w:t>
      </w:r>
      <w:r>
        <w:rPr>
          <w:rFonts w:hint="eastAsia" w:ascii="宋体" w:hAnsi="宋体" w:eastAsia="宋体" w:cs="宋体"/>
          <w:szCs w:val="21"/>
          <w:highlight w:val="none"/>
        </w:rPr>
        <w:t>的详细评审，最终推荐出中标候选人并出具评标报告。</w:t>
      </w:r>
    </w:p>
    <w:p w14:paraId="57A6975A">
      <w:pPr>
        <w:tabs>
          <w:tab w:val="left" w:pos="425"/>
          <w:tab w:val="left" w:pos="624"/>
          <w:tab w:val="left" w:pos="735"/>
        </w:tabs>
        <w:spacing w:beforeAutospacing="0" w:afterAutospacing="0" w:line="360" w:lineRule="auto"/>
        <w:ind w:left="630" w:hanging="630" w:hangingChars="300"/>
        <w:rPr>
          <w:rFonts w:ascii="宋体" w:hAnsi="宋体" w:eastAsia="宋体" w:cs="宋体"/>
          <w:szCs w:val="21"/>
          <w:highlight w:val="none"/>
        </w:rPr>
      </w:pPr>
      <w:r>
        <w:rPr>
          <w:rFonts w:hint="eastAsia" w:ascii="宋体" w:hAnsi="宋体" w:eastAsia="宋体" w:cs="宋体"/>
          <w:szCs w:val="21"/>
          <w:highlight w:val="none"/>
        </w:rPr>
        <w:t>2.2.3. 评分方法：按照评分标准以及权重分配的规定，评标委员会成员就各个投标人的技术状况、商务状况</w:t>
      </w:r>
      <w:r>
        <w:rPr>
          <w:rFonts w:hint="eastAsia" w:ascii="宋体" w:hAnsi="宋体" w:cs="宋体"/>
          <w:szCs w:val="21"/>
          <w:highlight w:val="none"/>
          <w:lang w:eastAsia="zh-CN"/>
        </w:rPr>
        <w:t>、</w:t>
      </w:r>
      <w:r>
        <w:rPr>
          <w:rFonts w:hint="eastAsia" w:ascii="宋体" w:hAnsi="宋体" w:cs="宋体"/>
          <w:szCs w:val="21"/>
          <w:highlight w:val="none"/>
          <w:lang w:val="en-US" w:eastAsia="zh-CN"/>
        </w:rPr>
        <w:t>价格状况</w:t>
      </w:r>
      <w:r>
        <w:rPr>
          <w:rFonts w:hint="eastAsia" w:ascii="宋体" w:hAnsi="宋体" w:eastAsia="宋体" w:cs="宋体"/>
          <w:szCs w:val="21"/>
          <w:highlight w:val="none"/>
        </w:rPr>
        <w:t>及其对招标文件要求的响应情况进行评议和比较，评出其技术评分和商务评分</w:t>
      </w:r>
      <w:r>
        <w:rPr>
          <w:rFonts w:hint="eastAsia" w:ascii="宋体" w:hAnsi="宋体" w:cs="宋体"/>
          <w:szCs w:val="21"/>
          <w:highlight w:val="none"/>
          <w:lang w:eastAsia="zh-CN"/>
        </w:rPr>
        <w:t>、</w:t>
      </w:r>
      <w:r>
        <w:rPr>
          <w:rFonts w:hint="eastAsia" w:ascii="宋体" w:hAnsi="宋体" w:cs="宋体"/>
          <w:szCs w:val="21"/>
          <w:highlight w:val="none"/>
          <w:lang w:val="en-US" w:eastAsia="zh-CN"/>
        </w:rPr>
        <w:t>价格评分</w:t>
      </w:r>
      <w:r>
        <w:rPr>
          <w:rFonts w:hint="eastAsia" w:ascii="宋体" w:hAnsi="宋体" w:eastAsia="宋体" w:cs="宋体"/>
          <w:szCs w:val="21"/>
          <w:highlight w:val="none"/>
        </w:rPr>
        <w:t>相加得出其综合评分。</w:t>
      </w:r>
    </w:p>
    <w:p w14:paraId="023484FF">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2.2.4.评标委员会对招标文件描述有歧义或前后不一致的地方，有权按法律法规的规定进行评判，但对同一条款的评判应适用于每个投标</w:t>
      </w:r>
      <w:r>
        <w:rPr>
          <w:rFonts w:hint="eastAsia" w:ascii="宋体" w:hAnsi="宋体" w:cs="宋体"/>
          <w:szCs w:val="21"/>
          <w:lang w:eastAsia="zh-CN"/>
        </w:rPr>
        <w:t>投标人</w:t>
      </w:r>
      <w:r>
        <w:rPr>
          <w:rFonts w:hint="eastAsia" w:ascii="宋体" w:hAnsi="宋体" w:eastAsia="宋体" w:cs="宋体"/>
          <w:szCs w:val="21"/>
        </w:rPr>
        <w:t>。</w:t>
      </w:r>
    </w:p>
    <w:p w14:paraId="203A428A">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2.2.5.评标委员会成员对需要共同认定的事项存在争议的，按照少数服从多数的原则作出结论。</w:t>
      </w:r>
    </w:p>
    <w:p w14:paraId="7199468D">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2.2.6.投标文件的澄清：评标期间，对于投标文件中含义不明确、同类问题表述不一致或者有明显文字和计算错误的内容，评标委员会应当以书面形式要求</w:t>
      </w:r>
      <w:r>
        <w:rPr>
          <w:rFonts w:hint="eastAsia" w:ascii="宋体" w:hAnsi="宋体" w:cs="宋体"/>
          <w:szCs w:val="21"/>
          <w:lang w:eastAsia="zh-CN"/>
        </w:rPr>
        <w:t>投标人</w:t>
      </w:r>
      <w:r>
        <w:rPr>
          <w:rFonts w:hint="eastAsia" w:ascii="宋体" w:hAnsi="宋体" w:eastAsia="宋体" w:cs="宋体"/>
          <w:szCs w:val="21"/>
        </w:rPr>
        <w:t>作出必要的澄清、说明或者补正。</w:t>
      </w:r>
      <w:r>
        <w:rPr>
          <w:rFonts w:hint="eastAsia" w:ascii="宋体" w:hAnsi="宋体" w:cs="宋体"/>
          <w:szCs w:val="21"/>
          <w:lang w:eastAsia="zh-CN"/>
        </w:rPr>
        <w:t>投标人</w:t>
      </w:r>
      <w:r>
        <w:rPr>
          <w:rFonts w:hint="eastAsia" w:ascii="宋体" w:hAnsi="宋体" w:eastAsia="宋体" w:cs="宋体"/>
          <w:szCs w:val="21"/>
        </w:rPr>
        <w:t>的澄清、说明或者补正应当采用书面形式，并加盖公章，或者由法定代表人或其授权的代表签署。</w:t>
      </w:r>
      <w:r>
        <w:rPr>
          <w:rFonts w:hint="eastAsia" w:ascii="宋体" w:hAnsi="宋体" w:cs="宋体"/>
          <w:szCs w:val="21"/>
          <w:lang w:eastAsia="zh-CN"/>
        </w:rPr>
        <w:t>投标人</w:t>
      </w:r>
      <w:r>
        <w:rPr>
          <w:rFonts w:hint="eastAsia" w:ascii="宋体" w:hAnsi="宋体" w:eastAsia="宋体" w:cs="宋体"/>
          <w:szCs w:val="21"/>
        </w:rPr>
        <w:t>的澄清、说明或者补正不得超出投标文件的范围或者改变投标文件的实质性内容。</w:t>
      </w:r>
    </w:p>
    <w:p w14:paraId="28A87D5E">
      <w:pPr>
        <w:spacing w:beforeAutospacing="0" w:afterAutospacing="0" w:line="360" w:lineRule="auto"/>
        <w:jc w:val="left"/>
        <w:rPr>
          <w:rFonts w:ascii="宋体" w:hAnsi="宋体" w:eastAsia="宋体" w:cs="宋体"/>
          <w:b/>
          <w:szCs w:val="21"/>
        </w:rPr>
      </w:pPr>
      <w:r>
        <w:rPr>
          <w:rFonts w:hint="eastAsia" w:ascii="宋体" w:hAnsi="宋体" w:eastAsia="宋体" w:cs="宋体"/>
          <w:b/>
          <w:szCs w:val="21"/>
        </w:rPr>
        <w:t>2.3. 投标文件资格性审查、符合性审查</w:t>
      </w:r>
    </w:p>
    <w:p w14:paraId="5F588A9C">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2.3.1.开标结束后，</w:t>
      </w:r>
      <w:r>
        <w:rPr>
          <w:rFonts w:hint="eastAsia" w:ascii="宋体" w:hAnsi="宋体" w:eastAsia="宋体" w:cs="宋体"/>
          <w:szCs w:val="21"/>
          <w:lang w:val="en-US" w:eastAsia="zh-CN"/>
        </w:rPr>
        <w:t>评标委员会</w:t>
      </w:r>
      <w:r>
        <w:rPr>
          <w:rFonts w:hint="eastAsia" w:ascii="宋体" w:hAnsi="宋体" w:eastAsia="宋体" w:cs="宋体"/>
          <w:szCs w:val="21"/>
        </w:rPr>
        <w:t>依法对投标人的资格进行审查，详见《资格性审查表》。对初步被认定为资格性审查不合格的，应实行及时告知投标当事人，以让其核证、澄清事实。未通过资格性审查的投标人，不进入符合性审查。</w:t>
      </w:r>
    </w:p>
    <w:p w14:paraId="60D0BBBA">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2.3.2.评标委员会将根据评审细则的规定，对各投标文件进行符合性审查。</w:t>
      </w:r>
    </w:p>
    <w:p w14:paraId="33B9339E">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2.3.3.投标文件出现下列情况之一时将被认定为无效投标：</w:t>
      </w:r>
    </w:p>
    <w:p w14:paraId="60718E9A">
      <w:pPr>
        <w:tabs>
          <w:tab w:val="left" w:pos="720"/>
          <w:tab w:val="left" w:pos="1080"/>
        </w:tabs>
        <w:spacing w:beforeAutospacing="0" w:afterAutospacing="0" w:line="360" w:lineRule="auto"/>
        <w:ind w:firstLine="420" w:firstLineChars="200"/>
        <w:rPr>
          <w:rFonts w:ascii="宋体" w:hAnsi="宋体" w:eastAsia="宋体" w:cs="宋体"/>
          <w:szCs w:val="21"/>
        </w:rPr>
      </w:pPr>
      <w:bookmarkStart w:id="129" w:name="_Toc334797742"/>
      <w:bookmarkEnd w:id="129"/>
      <w:r>
        <w:rPr>
          <w:rFonts w:hint="eastAsia" w:ascii="宋体" w:hAnsi="宋体" w:eastAsia="宋体" w:cs="宋体"/>
          <w:szCs w:val="21"/>
        </w:rPr>
        <w:t>1）投标文件未按招标文件的要求盖章及由法定代表人/负责人(或法定代表人/负责人委托的代理人)的印鉴或签名的；</w:t>
      </w:r>
    </w:p>
    <w:p w14:paraId="471871A5">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0" w:name="_Toc334797744"/>
      <w:bookmarkEnd w:id="130"/>
      <w:r>
        <w:rPr>
          <w:rFonts w:hint="eastAsia" w:ascii="宋体" w:hAnsi="宋体" w:cs="宋体"/>
          <w:szCs w:val="21"/>
          <w:lang w:val="en-US" w:eastAsia="zh-CN"/>
        </w:rPr>
        <w:t>2</w:t>
      </w:r>
      <w:r>
        <w:rPr>
          <w:rFonts w:hint="eastAsia" w:ascii="宋体" w:hAnsi="宋体" w:eastAsia="宋体" w:cs="宋体"/>
          <w:szCs w:val="21"/>
        </w:rPr>
        <w:t>）投标文件没有提供有效的法定代表人证明及授权书；</w:t>
      </w:r>
    </w:p>
    <w:p w14:paraId="1C75BBEF">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1" w:name="_Toc334797745"/>
      <w:bookmarkEnd w:id="131"/>
      <w:r>
        <w:rPr>
          <w:rFonts w:hint="eastAsia" w:ascii="宋体" w:hAnsi="宋体" w:cs="宋体"/>
          <w:szCs w:val="21"/>
          <w:lang w:val="en-US" w:eastAsia="zh-CN"/>
        </w:rPr>
        <w:t>3</w:t>
      </w:r>
      <w:r>
        <w:rPr>
          <w:rFonts w:hint="eastAsia" w:ascii="宋体" w:hAnsi="宋体" w:eastAsia="宋体" w:cs="宋体"/>
          <w:szCs w:val="21"/>
        </w:rPr>
        <w:t>）投标有效期不足的；</w:t>
      </w:r>
    </w:p>
    <w:p w14:paraId="777F3E43">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2" w:name="_Toc334797746"/>
      <w:bookmarkEnd w:id="132"/>
      <w:r>
        <w:rPr>
          <w:rFonts w:hint="eastAsia" w:ascii="宋体" w:hAnsi="宋体" w:cs="宋体"/>
          <w:szCs w:val="21"/>
          <w:lang w:val="en-US" w:eastAsia="zh-CN"/>
        </w:rPr>
        <w:t>4</w:t>
      </w:r>
      <w:r>
        <w:rPr>
          <w:rFonts w:hint="eastAsia" w:ascii="宋体" w:hAnsi="宋体" w:eastAsia="宋体" w:cs="宋体"/>
          <w:szCs w:val="21"/>
        </w:rPr>
        <w:t>）投标文件未完全满足招标文件中带★号的条款和指标，或不符合招标文件的其他要求，有重大偏离的；</w:t>
      </w:r>
    </w:p>
    <w:p w14:paraId="5B71FE28">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3" w:name="_Toc334797747"/>
      <w:bookmarkEnd w:id="133"/>
      <w:r>
        <w:rPr>
          <w:rFonts w:hint="eastAsia" w:ascii="宋体" w:hAnsi="宋体" w:cs="宋体"/>
          <w:szCs w:val="21"/>
          <w:lang w:val="en-US" w:eastAsia="zh-CN"/>
        </w:rPr>
        <w:t>5</w:t>
      </w:r>
      <w:r>
        <w:rPr>
          <w:rFonts w:hint="eastAsia" w:ascii="宋体" w:hAnsi="宋体" w:eastAsia="宋体" w:cs="宋体"/>
          <w:szCs w:val="21"/>
        </w:rPr>
        <w:t>）评标期间，投标人没有按评标委员会的要求提交经授权代表签字的澄清、说明、补正或改变了投标文件的实质性内容的；</w:t>
      </w:r>
    </w:p>
    <w:p w14:paraId="51A91CF9">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4" w:name="_Toc334797748"/>
      <w:bookmarkEnd w:id="134"/>
      <w:r>
        <w:rPr>
          <w:rFonts w:hint="eastAsia" w:ascii="宋体" w:hAnsi="宋体" w:cs="宋体"/>
          <w:szCs w:val="21"/>
          <w:lang w:val="en-US" w:eastAsia="zh-CN"/>
        </w:rPr>
        <w:t>6</w:t>
      </w:r>
      <w:r>
        <w:rPr>
          <w:rFonts w:hint="eastAsia" w:ascii="宋体" w:hAnsi="宋体" w:eastAsia="宋体" w:cs="宋体"/>
          <w:szCs w:val="21"/>
        </w:rPr>
        <w:t>）经评标委员会认定投标文件提供虚假材料的；</w:t>
      </w:r>
    </w:p>
    <w:p w14:paraId="3341585E">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5" w:name="_Toc334797749"/>
      <w:bookmarkEnd w:id="135"/>
      <w:r>
        <w:rPr>
          <w:rFonts w:hint="eastAsia" w:ascii="宋体" w:hAnsi="宋体" w:cs="宋体"/>
          <w:szCs w:val="21"/>
          <w:lang w:val="en-US" w:eastAsia="zh-CN"/>
        </w:rPr>
        <w:t>7</w:t>
      </w:r>
      <w:r>
        <w:rPr>
          <w:rFonts w:hint="eastAsia" w:ascii="宋体" w:hAnsi="宋体" w:eastAsia="宋体" w:cs="宋体"/>
          <w:szCs w:val="21"/>
        </w:rPr>
        <w:t>）投标人以他人的名义投标、串通投标、以行贿手段谋取中标或者以其他弄虚作假方式投标的；</w:t>
      </w:r>
    </w:p>
    <w:p w14:paraId="09112DDE">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6" w:name="_Toc334797750"/>
      <w:bookmarkEnd w:id="136"/>
      <w:r>
        <w:rPr>
          <w:rFonts w:hint="eastAsia" w:ascii="宋体" w:hAnsi="宋体" w:cs="宋体"/>
          <w:szCs w:val="21"/>
          <w:lang w:val="en-US" w:eastAsia="zh-CN"/>
        </w:rPr>
        <w:t>8</w:t>
      </w:r>
      <w:r>
        <w:rPr>
          <w:rFonts w:hint="eastAsia" w:ascii="宋体" w:hAnsi="宋体" w:eastAsia="宋体" w:cs="宋体"/>
          <w:szCs w:val="21"/>
        </w:rPr>
        <w:t>）投标人对招标人、招标代理机构、评标委员会及其工作人员施加影响，有碍招标公平、公正的；</w:t>
      </w:r>
    </w:p>
    <w:p w14:paraId="7B37F129">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7" w:name="_Toc334797751"/>
      <w:bookmarkEnd w:id="137"/>
      <w:r>
        <w:rPr>
          <w:rFonts w:hint="eastAsia" w:ascii="宋体" w:hAnsi="宋体" w:cs="宋体"/>
          <w:szCs w:val="21"/>
          <w:lang w:val="en-US" w:eastAsia="zh-CN"/>
        </w:rPr>
        <w:t>9</w:t>
      </w:r>
      <w:r>
        <w:rPr>
          <w:rFonts w:hint="eastAsia" w:ascii="宋体" w:hAnsi="宋体" w:eastAsia="宋体" w:cs="宋体"/>
          <w:szCs w:val="21"/>
        </w:rPr>
        <w:t>）投标文件附有招标人不能接受的条件；</w:t>
      </w:r>
    </w:p>
    <w:p w14:paraId="4B109136">
      <w:pPr>
        <w:tabs>
          <w:tab w:val="left" w:pos="720"/>
          <w:tab w:val="left" w:pos="1080"/>
        </w:tabs>
        <w:spacing w:beforeAutospacing="0" w:afterAutospacing="0" w:line="360" w:lineRule="auto"/>
        <w:ind w:firstLine="420" w:firstLineChars="200"/>
        <w:rPr>
          <w:rFonts w:ascii="宋体" w:hAnsi="宋体" w:eastAsia="宋体" w:cs="宋体"/>
          <w:szCs w:val="21"/>
        </w:rPr>
      </w:pPr>
      <w:bookmarkStart w:id="138" w:name="_Toc334797752"/>
      <w:bookmarkEnd w:id="138"/>
      <w:r>
        <w:rPr>
          <w:rFonts w:hint="eastAsia" w:ascii="宋体" w:hAnsi="宋体" w:eastAsia="宋体" w:cs="宋体"/>
          <w:szCs w:val="21"/>
        </w:rPr>
        <w:t>1</w:t>
      </w:r>
      <w:r>
        <w:rPr>
          <w:rFonts w:hint="eastAsia" w:ascii="宋体" w:hAnsi="宋体" w:cs="宋体"/>
          <w:szCs w:val="21"/>
          <w:lang w:val="en-US" w:eastAsia="zh-CN"/>
        </w:rPr>
        <w:t>0</w:t>
      </w:r>
      <w:r>
        <w:rPr>
          <w:rFonts w:hint="eastAsia" w:ascii="宋体" w:hAnsi="宋体" w:eastAsia="宋体" w:cs="宋体"/>
          <w:szCs w:val="21"/>
        </w:rPr>
        <w:t>）出现不符合相关法律、法规要求的情况的。</w:t>
      </w:r>
    </w:p>
    <w:p w14:paraId="755C71AA">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2.3.4.符合性审查结论意见采取少数服从多数原则，即超过半数评委的结论为“通过”则该投标人通过符合性检查，否则不通过。</w:t>
      </w:r>
    </w:p>
    <w:p w14:paraId="41F9DCC1">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2.3.5.招标文件中，如标有“▲”的条款均为评审的重要评分指标，投标人若有部分“▲”条款未响应或不满足，将导致其响应性评审严重扣分。</w:t>
      </w:r>
    </w:p>
    <w:p w14:paraId="5FA270AF">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w:t>
      </w:r>
      <w:r>
        <w:rPr>
          <w:rFonts w:hint="eastAsia" w:ascii="宋体" w:hAnsi="宋体" w:cs="宋体"/>
          <w:szCs w:val="21"/>
          <w:lang w:val="en-US" w:eastAsia="zh-CN"/>
        </w:rPr>
        <w:t>6</w:t>
      </w:r>
      <w:r>
        <w:rPr>
          <w:rFonts w:hint="eastAsia" w:ascii="宋体" w:hAnsi="宋体" w:eastAsia="宋体" w:cs="宋体"/>
          <w:szCs w:val="21"/>
        </w:rPr>
        <w:t>.被评标委员会确定为投标文件无效的，其投标文件即被视为不能通过符合性审查，不得参与技术商务</w:t>
      </w:r>
      <w:r>
        <w:rPr>
          <w:rFonts w:hint="eastAsia" w:ascii="宋体" w:hAnsi="宋体" w:cs="宋体"/>
          <w:szCs w:val="21"/>
          <w:lang w:eastAsia="zh-CN"/>
        </w:rPr>
        <w:t>、</w:t>
      </w:r>
      <w:r>
        <w:rPr>
          <w:rFonts w:hint="eastAsia" w:ascii="宋体" w:hAnsi="宋体" w:cs="宋体"/>
          <w:szCs w:val="21"/>
          <w:lang w:val="en-US" w:eastAsia="zh-CN"/>
        </w:rPr>
        <w:t>价格</w:t>
      </w:r>
      <w:r>
        <w:rPr>
          <w:rFonts w:hint="eastAsia" w:ascii="宋体" w:hAnsi="宋体" w:eastAsia="宋体" w:cs="宋体"/>
          <w:szCs w:val="21"/>
        </w:rPr>
        <w:t>的评审。</w:t>
      </w:r>
    </w:p>
    <w:p w14:paraId="67993D6C">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2.3.</w:t>
      </w:r>
      <w:r>
        <w:rPr>
          <w:rFonts w:hint="eastAsia" w:ascii="宋体" w:hAnsi="宋体" w:cs="宋体"/>
          <w:szCs w:val="21"/>
          <w:lang w:val="en-US" w:eastAsia="zh-CN"/>
        </w:rPr>
        <w:t>7</w:t>
      </w:r>
      <w:r>
        <w:rPr>
          <w:rFonts w:hint="eastAsia" w:ascii="宋体" w:hAnsi="宋体" w:eastAsia="宋体" w:cs="宋体"/>
          <w:szCs w:val="21"/>
        </w:rPr>
        <w:t>.评标委员会对各投标人进行符合性审查过程中，对初步认定为无效投标者应实行及时告知，由评标委员会主任将集体意见现场及时告知投标当事人，以让其核证、澄清事实。</w:t>
      </w:r>
    </w:p>
    <w:p w14:paraId="21B8C008">
      <w:pPr>
        <w:pStyle w:val="3"/>
        <w:tabs>
          <w:tab w:val="left" w:pos="5235"/>
        </w:tabs>
        <w:spacing w:before="120" w:beforeAutospacing="0" w:after="120" w:afterAutospacing="0"/>
        <w:ind w:right="678" w:rightChars="323"/>
        <w:rPr>
          <w:rFonts w:ascii="宋体" w:hAnsi="宋体" w:eastAsia="宋体" w:cs="宋体"/>
          <w:b/>
          <w:bCs/>
          <w:color w:val="auto"/>
          <w:sz w:val="21"/>
          <w:szCs w:val="21"/>
        </w:rPr>
      </w:pPr>
      <w:bookmarkStart w:id="139" w:name="_Toc19731"/>
      <w:bookmarkEnd w:id="139"/>
      <w:r>
        <w:rPr>
          <w:rFonts w:hint="eastAsia" w:ascii="宋体" w:hAnsi="宋体" w:eastAsia="宋体" w:cs="宋体"/>
          <w:b/>
          <w:bCs/>
          <w:color w:val="auto"/>
          <w:sz w:val="21"/>
          <w:szCs w:val="21"/>
        </w:rPr>
        <w:t>2.4. 技术、商务评定</w:t>
      </w:r>
    </w:p>
    <w:p w14:paraId="33CF2085">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2.4.1.由评委对所有有效投标文件的技术商务响应方案进行审核和分析，填写《技术</w:t>
      </w:r>
      <w:r>
        <w:rPr>
          <w:rFonts w:hint="eastAsia" w:ascii="宋体" w:hAnsi="宋体" w:cs="宋体"/>
          <w:szCs w:val="21"/>
          <w:lang w:eastAsia="zh-CN"/>
        </w:rPr>
        <w:t>、</w:t>
      </w:r>
      <w:r>
        <w:rPr>
          <w:rFonts w:hint="eastAsia" w:ascii="宋体" w:hAnsi="宋体" w:eastAsia="宋体" w:cs="宋体"/>
          <w:szCs w:val="21"/>
        </w:rPr>
        <w:t>商务评审表》。评审内容见附表。</w:t>
      </w:r>
    </w:p>
    <w:p w14:paraId="5B0B2226">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2.4.2.</w:t>
      </w:r>
      <w:r>
        <w:rPr>
          <w:rFonts w:hint="eastAsia" w:ascii="宋体" w:hAnsi="宋体" w:eastAsia="宋体" w:cs="宋体"/>
          <w:szCs w:val="21"/>
          <w:lang w:val="zh-CN"/>
        </w:rPr>
        <w:t>将每一个评委的评分汇总进行算术平均，得出该投标人的商务</w:t>
      </w:r>
      <w:r>
        <w:rPr>
          <w:rFonts w:hint="eastAsia" w:ascii="宋体" w:hAnsi="宋体" w:cs="宋体"/>
          <w:szCs w:val="21"/>
          <w:lang w:val="zh-CN"/>
        </w:rPr>
        <w:t>、</w:t>
      </w:r>
      <w:r>
        <w:rPr>
          <w:rFonts w:hint="eastAsia" w:ascii="宋体" w:hAnsi="宋体" w:eastAsia="宋体" w:cs="宋体"/>
          <w:szCs w:val="21"/>
          <w:lang w:val="zh-CN"/>
        </w:rPr>
        <w:t>技术评分。</w:t>
      </w:r>
    </w:p>
    <w:p w14:paraId="7806DE7E">
      <w:pPr>
        <w:pStyle w:val="3"/>
        <w:pageBreakBefore w:val="0"/>
        <w:tabs>
          <w:tab w:val="left" w:pos="5235"/>
        </w:tabs>
        <w:kinsoku/>
        <w:wordWrap/>
        <w:overflowPunct/>
        <w:topLinePunct w:val="0"/>
        <w:autoSpaceDE/>
        <w:autoSpaceDN/>
        <w:bidi w:val="0"/>
        <w:adjustRightInd/>
        <w:spacing w:before="0" w:after="0" w:line="480" w:lineRule="exact"/>
        <w:ind w:left="0" w:right="0" w:rightChars="0"/>
        <w:rPr>
          <w:rFonts w:asciiTheme="majorEastAsia" w:hAnsiTheme="majorEastAsia" w:eastAsiaTheme="majorEastAsia" w:cstheme="majorEastAsia"/>
          <w:b/>
          <w:bCs/>
          <w:color w:val="auto"/>
          <w:sz w:val="21"/>
          <w:szCs w:val="21"/>
        </w:rPr>
      </w:pPr>
      <w:bookmarkStart w:id="140" w:name="_Toc1247"/>
      <w:bookmarkEnd w:id="140"/>
      <w:bookmarkStart w:id="141" w:name="_Toc1431"/>
      <w:r>
        <w:rPr>
          <w:rFonts w:hint="eastAsia" w:asciiTheme="majorEastAsia" w:hAnsiTheme="majorEastAsia" w:eastAsiaTheme="majorEastAsia" w:cstheme="majorEastAsia"/>
          <w:b/>
          <w:bCs/>
          <w:color w:val="auto"/>
          <w:sz w:val="21"/>
          <w:szCs w:val="21"/>
        </w:rPr>
        <w:t>2.5.价格评定</w:t>
      </w:r>
      <w:bookmarkEnd w:id="141"/>
    </w:p>
    <w:p w14:paraId="2CF2C7AC">
      <w:pPr>
        <w:pageBreakBefore w:val="0"/>
        <w:tabs>
          <w:tab w:val="left" w:pos="425"/>
          <w:tab w:val="left" w:pos="624"/>
          <w:tab w:val="left" w:pos="735"/>
        </w:tabs>
        <w:kinsoku/>
        <w:wordWrap/>
        <w:overflowPunct/>
        <w:topLinePunct w:val="0"/>
        <w:autoSpaceDE/>
        <w:autoSpaceDN/>
        <w:bidi w:val="0"/>
        <w:adjustRightInd/>
        <w:spacing w:line="480" w:lineRule="exact"/>
        <w:ind w:left="0" w:right="0" w:rightChars="0" w:hanging="630" w:hangingChars="300"/>
        <w:rPr>
          <w:rFonts w:ascii="宋体" w:hAnsi="宋体"/>
          <w:szCs w:val="21"/>
        </w:rPr>
      </w:pPr>
      <w:r>
        <w:rPr>
          <w:rFonts w:hint="eastAsia" w:asciiTheme="majorEastAsia" w:hAnsiTheme="majorEastAsia" w:eastAsiaTheme="majorEastAsia" w:cstheme="majorEastAsia"/>
          <w:szCs w:val="21"/>
        </w:rPr>
        <w:t>2.5.1.</w:t>
      </w:r>
      <w:r>
        <w:rPr>
          <w:rFonts w:hint="eastAsia" w:ascii="宋体" w:hAnsi="宋体"/>
          <w:szCs w:val="21"/>
        </w:rPr>
        <w:t>价格核准：评委对有效投标人的详细报价进行复核，复核原则为：</w:t>
      </w:r>
    </w:p>
    <w:p w14:paraId="1C8E709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ascii="宋体" w:hAnsi="宋体"/>
          <w:szCs w:val="21"/>
        </w:rPr>
      </w:pPr>
      <w:r>
        <w:rPr>
          <w:rFonts w:hint="eastAsia" w:ascii="宋体" w:hAnsi="宋体"/>
          <w:szCs w:val="21"/>
        </w:rPr>
        <w:t>1）开标时，投标文件中开标一览表（报价表）内容与投标文件中明细表内容不一致的，以开标一览表（报价表）为准。投标文件的大写金额和小写金额不一致的，以大写金额为准；总价金额与按单价计算汇总金额不一致的，以单价计算汇总金额为准；单价金额小数点有明显错位的，应以总价为准，并修改单价；</w:t>
      </w:r>
    </w:p>
    <w:p w14:paraId="30331E1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ascii="宋体" w:hAnsi="宋体"/>
          <w:szCs w:val="21"/>
        </w:rPr>
      </w:pPr>
      <w:r>
        <w:rPr>
          <w:rFonts w:hint="eastAsia" w:ascii="宋体" w:hAnsi="宋体"/>
          <w:szCs w:val="21"/>
        </w:rPr>
        <w:t>2）对投标货物或服务的关键、主要内容，投标人报价漏项的，作非实质性</w:t>
      </w:r>
      <w:r>
        <w:rPr>
          <w:rFonts w:hint="eastAsia" w:ascii="宋体" w:hAnsi="宋体"/>
          <w:szCs w:val="21"/>
          <w:lang w:eastAsia="zh-CN"/>
        </w:rPr>
        <w:t>投标</w:t>
      </w:r>
      <w:r>
        <w:rPr>
          <w:rFonts w:hint="eastAsia" w:ascii="宋体" w:hAnsi="宋体"/>
          <w:szCs w:val="21"/>
        </w:rPr>
        <w:t>处理；</w:t>
      </w:r>
    </w:p>
    <w:p w14:paraId="31E5952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ascii="宋体" w:hAnsi="宋体"/>
          <w:szCs w:val="21"/>
        </w:rPr>
      </w:pPr>
      <w:r>
        <w:rPr>
          <w:rFonts w:hint="eastAsia" w:ascii="宋体" w:hAnsi="宋体"/>
          <w:szCs w:val="21"/>
        </w:rPr>
        <w:t>3）对投标货物或服务的非关键、非主要内容，投标人报价漏项的，评标时将要求漏项的投标人予以澄清，但该澄清不作为评标的依据；评标委员会将以</w:t>
      </w:r>
      <w:r>
        <w:rPr>
          <w:rFonts w:hint="eastAsia" w:ascii="宋体" w:hAnsi="宋体"/>
          <w:szCs w:val="21"/>
          <w:lang w:eastAsia="zh-CN"/>
        </w:rPr>
        <w:t>其他</w:t>
      </w:r>
      <w:r>
        <w:rPr>
          <w:rFonts w:hint="eastAsia" w:ascii="宋体" w:hAnsi="宋体"/>
          <w:szCs w:val="21"/>
        </w:rPr>
        <w:t>投标人对应项的最高投标报价补充计入其评标价；</w:t>
      </w:r>
    </w:p>
    <w:p w14:paraId="63D8C351">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ascii="宋体" w:hAnsi="宋体"/>
          <w:szCs w:val="21"/>
        </w:rPr>
      </w:pPr>
      <w:r>
        <w:rPr>
          <w:rFonts w:hint="eastAsia" w:ascii="宋体" w:hAnsi="宋体"/>
          <w:szCs w:val="21"/>
        </w:rPr>
        <w:t>4）对非关键、非主要内容的费用，如果投标人是另行单独报价的，评标时也相应另行计入其评标价；</w:t>
      </w:r>
    </w:p>
    <w:p w14:paraId="416E0A7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cs="宋体"/>
          <w:b w:val="0"/>
          <w:i w:val="0"/>
          <w:caps w:val="0"/>
          <w:color w:val="000000"/>
          <w:spacing w:val="0"/>
          <w:w w:val="100"/>
          <w:sz w:val="20"/>
          <w:szCs w:val="21"/>
        </w:rPr>
      </w:pPr>
      <w:r>
        <w:rPr>
          <w:rFonts w:hint="eastAsia" w:ascii="宋体" w:hAnsi="宋体"/>
          <w:szCs w:val="21"/>
        </w:rPr>
        <w:t>5）对数量的评审，以第二部分《采购需求》所明示数量为准；《采购需求》未明示的，由评标委员会以其专业知识判断，必要时参考投标人的澄清文件决定；</w:t>
      </w:r>
    </w:p>
    <w:p w14:paraId="6DA4B6F2">
      <w:pPr>
        <w:pageBreakBefore w:val="0"/>
        <w:tabs>
          <w:tab w:val="left" w:pos="720"/>
        </w:tabs>
        <w:kinsoku/>
        <w:wordWrap/>
        <w:overflowPunct/>
        <w:topLinePunct w:val="0"/>
        <w:autoSpaceDE/>
        <w:autoSpaceDN/>
        <w:bidi w:val="0"/>
        <w:adjustRightInd/>
        <w:spacing w:line="480" w:lineRule="exact"/>
        <w:ind w:left="0" w:right="0" w:rightChars="0"/>
        <w:rPr>
          <w:rFonts w:hint="eastAsia" w:ascii="宋体" w:hAnsi="宋体"/>
          <w:szCs w:val="21"/>
        </w:rPr>
      </w:pPr>
      <w:r>
        <w:rPr>
          <w:rFonts w:hint="eastAsia" w:ascii="宋体" w:hAnsi="宋体"/>
          <w:szCs w:val="21"/>
        </w:rPr>
        <w:t>2.5.2.价格评分：</w:t>
      </w:r>
    </w:p>
    <w:p w14:paraId="6401BD59">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eastAsia" w:ascii="宋体" w:hAnsi="宋体" w:eastAsiaTheme="majorEastAsia" w:cstheme="majorEastAsia"/>
          <w:b/>
          <w:bCs/>
          <w:color w:val="000000" w:themeColor="text1"/>
          <w:szCs w:val="21"/>
          <w14:textFill>
            <w14:solidFill>
              <w14:schemeClr w14:val="tx1"/>
            </w14:solidFill>
          </w14:textFill>
        </w:rPr>
      </w:pPr>
      <w:r>
        <w:rPr>
          <w:rFonts w:hint="eastAsia" w:ascii="宋体" w:hAnsi="宋体" w:eastAsia="宋体" w:cs="宋体"/>
          <w:i w:val="0"/>
          <w:color w:val="auto"/>
          <w:sz w:val="21"/>
          <w:szCs w:val="21"/>
          <w:highlight w:val="none"/>
          <w:u w:val="none"/>
          <w:lang w:val="en-US" w:eastAsia="zh-CN"/>
        </w:rPr>
        <w:t>根据投标人的投标报价金额由高到低依次进行排名：</w:t>
      </w:r>
      <w:r>
        <w:rPr>
          <w:rFonts w:hint="eastAsia" w:ascii="宋体" w:hAnsi="宋体" w:eastAsia="宋体" w:cs="宋体"/>
          <w:i w:val="0"/>
          <w:color w:val="auto"/>
          <w:kern w:val="0"/>
          <w:sz w:val="21"/>
          <w:szCs w:val="21"/>
          <w:highlight w:val="none"/>
          <w:u w:val="none"/>
          <w:lang w:val="en-US" w:eastAsia="zh-CN" w:bidi="ar"/>
        </w:rPr>
        <w:t>第一名得20分，第二名得16分，第三名得12分，</w:t>
      </w:r>
      <w:r>
        <w:rPr>
          <w:rFonts w:hint="eastAsia" w:ascii="宋体" w:hAnsi="宋体" w:cs="宋体"/>
          <w:i w:val="0"/>
          <w:color w:val="auto"/>
          <w:kern w:val="0"/>
          <w:sz w:val="21"/>
          <w:szCs w:val="21"/>
          <w:highlight w:val="none"/>
          <w:u w:val="none"/>
          <w:lang w:val="en-US" w:eastAsia="zh-CN" w:bidi="ar"/>
        </w:rPr>
        <w:t>第四名得8分，第五名及之后</w:t>
      </w:r>
      <w:r>
        <w:rPr>
          <w:rFonts w:hint="eastAsia" w:ascii="宋体" w:hAnsi="宋体" w:eastAsia="宋体" w:cs="宋体"/>
          <w:i w:val="0"/>
          <w:color w:val="auto"/>
          <w:kern w:val="0"/>
          <w:sz w:val="21"/>
          <w:szCs w:val="21"/>
          <w:highlight w:val="none"/>
          <w:u w:val="none"/>
          <w:lang w:val="en-US" w:eastAsia="zh-CN" w:bidi="ar"/>
        </w:rPr>
        <w:t>得</w:t>
      </w:r>
      <w:r>
        <w:rPr>
          <w:rFonts w:hint="eastAsia" w:ascii="宋体" w:hAnsi="宋体" w:cs="宋体"/>
          <w:i w:val="0"/>
          <w:color w:val="auto"/>
          <w:kern w:val="0"/>
          <w:sz w:val="21"/>
          <w:szCs w:val="21"/>
          <w:highlight w:val="none"/>
          <w:u w:val="none"/>
          <w:lang w:val="en-US" w:eastAsia="zh-CN" w:bidi="ar"/>
        </w:rPr>
        <w:t>4</w:t>
      </w:r>
      <w:r>
        <w:rPr>
          <w:rFonts w:hint="eastAsia" w:ascii="宋体" w:hAnsi="宋体" w:eastAsia="宋体" w:cs="宋体"/>
          <w:i w:val="0"/>
          <w:color w:val="auto"/>
          <w:kern w:val="0"/>
          <w:sz w:val="21"/>
          <w:szCs w:val="21"/>
          <w:highlight w:val="none"/>
          <w:u w:val="none"/>
          <w:lang w:val="en-US" w:eastAsia="zh-CN" w:bidi="ar"/>
        </w:rPr>
        <w:t>分。</w:t>
      </w:r>
      <w:r>
        <w:rPr>
          <w:rFonts w:hint="eastAsia" w:ascii="宋体" w:hAnsi="宋体" w:eastAsia="宋体" w:cs="宋体"/>
          <w:b/>
          <w:i w:val="0"/>
          <w:color w:val="auto"/>
          <w:kern w:val="0"/>
          <w:sz w:val="21"/>
          <w:szCs w:val="21"/>
          <w:highlight w:val="none"/>
          <w:u w:val="none"/>
          <w:lang w:val="en-US" w:eastAsia="zh-CN" w:bidi="ar"/>
        </w:rPr>
        <w:t>注：根据投标人的投标报价为依据。</w:t>
      </w:r>
    </w:p>
    <w:p w14:paraId="4CA7CF72">
      <w:pPr>
        <w:pStyle w:val="3"/>
        <w:tabs>
          <w:tab w:val="left" w:pos="5235"/>
        </w:tabs>
        <w:spacing w:before="120" w:beforeAutospacing="0" w:after="120" w:afterAutospacing="0"/>
        <w:ind w:right="678" w:rightChars="323"/>
        <w:rPr>
          <w:rFonts w:ascii="宋体" w:hAnsi="宋体" w:eastAsia="宋体" w:cs="宋体"/>
          <w:b/>
          <w:bCs/>
          <w:color w:val="auto"/>
          <w:sz w:val="21"/>
          <w:szCs w:val="21"/>
        </w:rPr>
      </w:pPr>
      <w:r>
        <w:rPr>
          <w:rFonts w:hint="eastAsia" w:ascii="宋体" w:hAnsi="宋体" w:eastAsia="宋体" w:cs="宋体"/>
          <w:b/>
          <w:bCs/>
          <w:color w:val="auto"/>
          <w:sz w:val="21"/>
          <w:szCs w:val="21"/>
        </w:rPr>
        <w:t>2.</w:t>
      </w:r>
      <w:r>
        <w:rPr>
          <w:rFonts w:hint="eastAsia" w:cs="宋体"/>
          <w:b/>
          <w:bCs/>
          <w:color w:val="auto"/>
          <w:sz w:val="21"/>
          <w:szCs w:val="21"/>
          <w:lang w:val="en-US" w:eastAsia="zh-CN"/>
        </w:rPr>
        <w:t>6</w:t>
      </w:r>
      <w:r>
        <w:rPr>
          <w:rFonts w:hint="eastAsia" w:ascii="宋体" w:hAnsi="宋体" w:eastAsia="宋体" w:cs="宋体"/>
          <w:b/>
          <w:bCs/>
          <w:color w:val="auto"/>
          <w:sz w:val="21"/>
          <w:szCs w:val="21"/>
        </w:rPr>
        <w:t>.综合评分的计算</w:t>
      </w:r>
    </w:p>
    <w:p w14:paraId="138889EC">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2.</w:t>
      </w:r>
      <w:r>
        <w:rPr>
          <w:rFonts w:hint="eastAsia" w:ascii="宋体" w:hAnsi="宋体" w:cs="宋体"/>
          <w:szCs w:val="21"/>
          <w:lang w:val="en-US" w:eastAsia="zh-CN"/>
        </w:rPr>
        <w:t>6</w:t>
      </w:r>
      <w:r>
        <w:rPr>
          <w:rFonts w:hint="eastAsia" w:ascii="宋体" w:hAnsi="宋体" w:eastAsia="宋体" w:cs="宋体"/>
          <w:szCs w:val="21"/>
        </w:rPr>
        <w:t>.1.综合评分=技术得分+商务得分</w:t>
      </w:r>
      <w:r>
        <w:rPr>
          <w:rFonts w:hint="eastAsia" w:ascii="宋体" w:hAnsi="宋体" w:cs="宋体"/>
          <w:szCs w:val="21"/>
          <w:lang w:val="en-US" w:eastAsia="zh-CN"/>
        </w:rPr>
        <w:t>+价格得分</w:t>
      </w:r>
      <w:r>
        <w:rPr>
          <w:rFonts w:hint="eastAsia" w:ascii="宋体" w:hAnsi="宋体" w:eastAsia="宋体" w:cs="宋体"/>
          <w:szCs w:val="21"/>
        </w:rPr>
        <w:t>。</w:t>
      </w:r>
    </w:p>
    <w:p w14:paraId="6A7934B2">
      <w:pPr>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rPr>
          <w:rFonts w:ascii="宋体" w:hAnsi="宋体" w:eastAsia="宋体" w:cs="宋体"/>
          <w:szCs w:val="21"/>
        </w:rPr>
      </w:pPr>
      <w:r>
        <w:rPr>
          <w:rFonts w:hint="eastAsia" w:ascii="宋体" w:hAnsi="宋体" w:eastAsia="宋体" w:cs="宋体"/>
          <w:szCs w:val="21"/>
        </w:rPr>
        <w:t>2.</w:t>
      </w:r>
      <w:r>
        <w:rPr>
          <w:rFonts w:hint="eastAsia" w:ascii="宋体" w:hAnsi="宋体" w:cs="宋体"/>
          <w:szCs w:val="21"/>
          <w:lang w:val="en-US" w:eastAsia="zh-CN"/>
        </w:rPr>
        <w:t>6</w:t>
      </w:r>
      <w:r>
        <w:rPr>
          <w:rFonts w:hint="eastAsia" w:ascii="宋体" w:hAnsi="宋体" w:eastAsia="宋体" w:cs="宋体"/>
          <w:szCs w:val="21"/>
        </w:rPr>
        <w:t>.2.各项得分按四舍五入原则精确到小数点后两位。将综合评分由高到低顺序排列。评标总得分相同的，名次由评标委员会与招标人商讨确定。</w:t>
      </w:r>
      <w:r>
        <w:rPr>
          <w:rFonts w:hint="eastAsia" w:ascii="宋体" w:hAnsi="宋体" w:cs="宋体"/>
          <w:szCs w:val="21"/>
          <w:lang w:val="en-US" w:eastAsia="zh-CN"/>
        </w:rPr>
        <w:t>本次项目产生3名中标候选人，</w:t>
      </w:r>
      <w:r>
        <w:rPr>
          <w:rFonts w:hint="eastAsia" w:ascii="宋体" w:hAnsi="宋体" w:eastAsia="宋体" w:cs="宋体"/>
          <w:szCs w:val="21"/>
        </w:rPr>
        <w:t>评委会按上述排列向招标人推荐综合总得分第一名为</w:t>
      </w:r>
      <w:r>
        <w:rPr>
          <w:rFonts w:hint="eastAsia" w:ascii="宋体" w:hAnsi="宋体" w:cs="宋体"/>
          <w:szCs w:val="21"/>
          <w:lang w:val="en-US" w:eastAsia="zh-CN"/>
        </w:rPr>
        <w:t>第一</w:t>
      </w:r>
      <w:r>
        <w:rPr>
          <w:rFonts w:hint="eastAsia" w:ascii="宋体" w:hAnsi="宋体" w:cs="宋体"/>
          <w:szCs w:val="21"/>
          <w:lang w:eastAsia="zh-CN"/>
        </w:rPr>
        <w:t>中标候选人</w:t>
      </w:r>
      <w:r>
        <w:rPr>
          <w:rFonts w:hint="eastAsia" w:ascii="宋体" w:hAnsi="宋体" w:eastAsia="宋体" w:cs="宋体"/>
          <w:szCs w:val="21"/>
        </w:rPr>
        <w:t>，第二名为第二</w:t>
      </w:r>
      <w:r>
        <w:rPr>
          <w:rFonts w:hint="eastAsia" w:ascii="宋体" w:hAnsi="宋体" w:cs="宋体"/>
          <w:szCs w:val="21"/>
          <w:lang w:eastAsia="zh-CN"/>
        </w:rPr>
        <w:t>中标候选人</w:t>
      </w:r>
      <w:r>
        <w:rPr>
          <w:rFonts w:hint="eastAsia" w:ascii="宋体" w:hAnsi="宋体" w:eastAsia="宋体" w:cs="宋体"/>
          <w:szCs w:val="21"/>
        </w:rPr>
        <w:t>，第</w:t>
      </w:r>
      <w:r>
        <w:rPr>
          <w:rFonts w:hint="eastAsia" w:ascii="宋体" w:hAnsi="宋体" w:eastAsia="宋体" w:cs="宋体"/>
          <w:szCs w:val="21"/>
          <w:lang w:val="en-US" w:eastAsia="zh-CN"/>
        </w:rPr>
        <w:t>三</w:t>
      </w:r>
      <w:r>
        <w:rPr>
          <w:rFonts w:hint="eastAsia" w:ascii="宋体" w:hAnsi="宋体" w:eastAsia="宋体" w:cs="宋体"/>
          <w:szCs w:val="21"/>
        </w:rPr>
        <w:t>名为第</w:t>
      </w:r>
      <w:r>
        <w:rPr>
          <w:rFonts w:hint="eastAsia" w:ascii="宋体" w:hAnsi="宋体" w:eastAsia="宋体" w:cs="宋体"/>
          <w:szCs w:val="21"/>
          <w:lang w:val="en-US" w:eastAsia="zh-CN"/>
        </w:rPr>
        <w:t>三</w:t>
      </w:r>
      <w:r>
        <w:rPr>
          <w:rFonts w:hint="eastAsia" w:ascii="宋体" w:hAnsi="宋体" w:eastAsia="宋体" w:cs="宋体"/>
          <w:szCs w:val="21"/>
          <w:lang w:eastAsia="zh-CN"/>
        </w:rPr>
        <w:t>中标候选人</w:t>
      </w:r>
      <w:r>
        <w:rPr>
          <w:rFonts w:hint="eastAsia" w:ascii="宋体" w:hAnsi="宋体" w:eastAsia="宋体" w:cs="宋体"/>
          <w:szCs w:val="21"/>
        </w:rPr>
        <w:t>，依次类推</w:t>
      </w:r>
      <w:r>
        <w:rPr>
          <w:rFonts w:hint="eastAsia" w:ascii="宋体" w:hAnsi="宋体" w:cs="宋体"/>
          <w:szCs w:val="21"/>
          <w:lang w:val="en-US" w:eastAsia="zh-CN"/>
        </w:rPr>
        <w:t>。</w:t>
      </w:r>
      <w:r>
        <w:rPr>
          <w:rFonts w:hint="eastAsia" w:ascii="宋体" w:hAnsi="宋体" w:eastAsia="宋体" w:cs="宋体"/>
          <w:szCs w:val="21"/>
        </w:rPr>
        <w:t>第一中标候选人不得随意放弃中标资格。</w:t>
      </w:r>
      <w:r>
        <w:rPr>
          <w:rFonts w:hint="eastAsia" w:ascii="宋体" w:hAnsi="宋体" w:cs="JEIUCH+ËÎÌå"/>
          <w:caps w:val="0"/>
          <w:color w:val="000000"/>
          <w:szCs w:val="21"/>
          <w:highlight w:val="none"/>
        </w:rPr>
        <w:t>综合得分相同的，按下列顺序比较确定：技术评分（由高到低）。如以上都相同的，名次由</w:t>
      </w:r>
      <w:r>
        <w:rPr>
          <w:rFonts w:hint="eastAsia" w:ascii="宋体" w:hAnsi="宋体" w:cs="JEIUCH+ËÎÌå"/>
          <w:caps w:val="0"/>
          <w:color w:val="000000"/>
          <w:szCs w:val="21"/>
          <w:highlight w:val="none"/>
          <w:lang w:val="en-US" w:eastAsia="zh-CN"/>
        </w:rPr>
        <w:t>评标委员会</w:t>
      </w:r>
      <w:r>
        <w:rPr>
          <w:rFonts w:hint="eastAsia" w:ascii="宋体" w:hAnsi="宋体" w:cs="JEIUCH+ËÎÌå"/>
          <w:caps w:val="0"/>
          <w:color w:val="000000"/>
          <w:szCs w:val="21"/>
          <w:highlight w:val="none"/>
        </w:rPr>
        <w:t>抽签确定。</w:t>
      </w:r>
      <w:r>
        <w:rPr>
          <w:rFonts w:hint="eastAsia" w:ascii="宋体" w:hAnsi="宋体" w:cs="JEIUCH+ËÎÌå"/>
          <w:caps w:val="0"/>
          <w:color w:val="000000"/>
          <w:szCs w:val="21"/>
          <w:highlight w:val="none"/>
          <w:lang w:val="en-US" w:eastAsia="zh-CN"/>
        </w:rPr>
        <w:t>评标委员会</w:t>
      </w:r>
      <w:r>
        <w:rPr>
          <w:rFonts w:hint="eastAsia"/>
          <w:caps w:val="0"/>
          <w:color w:val="000000"/>
          <w:szCs w:val="21"/>
          <w:highlight w:val="none"/>
        </w:rPr>
        <w:t>按上述排列向</w:t>
      </w:r>
      <w:r>
        <w:rPr>
          <w:rFonts w:hint="eastAsia"/>
          <w:caps w:val="0"/>
          <w:color w:val="000000"/>
          <w:szCs w:val="21"/>
          <w:highlight w:val="none"/>
          <w:lang w:val="en-US" w:eastAsia="zh-CN"/>
        </w:rPr>
        <w:t>招标</w:t>
      </w:r>
      <w:r>
        <w:rPr>
          <w:rFonts w:hint="eastAsia"/>
          <w:caps w:val="0"/>
          <w:color w:val="000000"/>
          <w:szCs w:val="21"/>
          <w:highlight w:val="none"/>
        </w:rPr>
        <w:t>人推荐综合总得分第一名为</w:t>
      </w:r>
      <w:r>
        <w:rPr>
          <w:rFonts w:hint="eastAsia"/>
          <w:caps w:val="0"/>
          <w:color w:val="000000"/>
          <w:szCs w:val="21"/>
          <w:highlight w:val="none"/>
          <w:lang w:val="en-US" w:eastAsia="zh-CN"/>
        </w:rPr>
        <w:t>中标人</w:t>
      </w:r>
      <w:r>
        <w:rPr>
          <w:rFonts w:hint="eastAsia"/>
          <w:caps w:val="0"/>
          <w:color w:val="000000"/>
          <w:szCs w:val="21"/>
          <w:highlight w:val="none"/>
        </w:rPr>
        <w:t>，其余依次为</w:t>
      </w:r>
      <w:r>
        <w:rPr>
          <w:rFonts w:hint="eastAsia"/>
          <w:caps w:val="0"/>
          <w:color w:val="000000"/>
          <w:szCs w:val="21"/>
          <w:highlight w:val="none"/>
          <w:lang w:val="en-US" w:eastAsia="zh-CN"/>
        </w:rPr>
        <w:t>中标</w:t>
      </w:r>
      <w:r>
        <w:rPr>
          <w:rFonts w:hint="eastAsia"/>
          <w:caps w:val="0"/>
          <w:color w:val="000000"/>
          <w:szCs w:val="21"/>
          <w:highlight w:val="none"/>
        </w:rPr>
        <w:t>备选</w:t>
      </w:r>
      <w:r>
        <w:rPr>
          <w:rFonts w:hint="eastAsia"/>
          <w:caps w:val="0"/>
          <w:color w:val="000000"/>
          <w:szCs w:val="21"/>
          <w:highlight w:val="none"/>
          <w:lang w:eastAsia="zh-CN"/>
        </w:rPr>
        <w:t>投标人</w:t>
      </w:r>
      <w:r>
        <w:rPr>
          <w:rFonts w:hint="eastAsia"/>
          <w:caps w:val="0"/>
          <w:color w:val="000000"/>
          <w:szCs w:val="21"/>
          <w:highlight w:val="none"/>
        </w:rPr>
        <w:t>。</w:t>
      </w:r>
    </w:p>
    <w:p w14:paraId="1C4F1E7B">
      <w:pPr>
        <w:pStyle w:val="3"/>
        <w:tabs>
          <w:tab w:val="left" w:pos="5235"/>
        </w:tabs>
        <w:spacing w:before="120" w:beforeAutospacing="0" w:after="120" w:afterAutospacing="0"/>
        <w:ind w:right="678" w:rightChars="323"/>
        <w:rPr>
          <w:rFonts w:ascii="宋体" w:hAnsi="宋体" w:eastAsia="宋体" w:cs="宋体"/>
          <w:b/>
          <w:bCs/>
          <w:color w:val="auto"/>
          <w:sz w:val="21"/>
          <w:szCs w:val="21"/>
        </w:rPr>
      </w:pPr>
      <w:bookmarkStart w:id="142" w:name="_Toc264203537"/>
      <w:bookmarkEnd w:id="142"/>
      <w:bookmarkStart w:id="143" w:name="_Toc17018"/>
      <w:bookmarkEnd w:id="143"/>
      <w:bookmarkStart w:id="144" w:name="_Toc101843130"/>
      <w:bookmarkEnd w:id="144"/>
      <w:bookmarkStart w:id="145" w:name="_Toc101775130"/>
      <w:bookmarkEnd w:id="145"/>
      <w:bookmarkStart w:id="146" w:name="_Toc101771377"/>
      <w:bookmarkEnd w:id="146"/>
      <w:bookmarkStart w:id="147" w:name="_Toc101951268"/>
      <w:bookmarkEnd w:id="147"/>
      <w:r>
        <w:rPr>
          <w:rFonts w:hint="eastAsia" w:ascii="宋体" w:hAnsi="宋体" w:eastAsia="宋体" w:cs="宋体"/>
          <w:b/>
          <w:bCs/>
          <w:color w:val="auto"/>
          <w:sz w:val="21"/>
          <w:szCs w:val="21"/>
        </w:rPr>
        <w:t>2.</w:t>
      </w:r>
      <w:r>
        <w:rPr>
          <w:rFonts w:hint="eastAsia" w:cs="宋体"/>
          <w:b/>
          <w:bCs/>
          <w:color w:val="auto"/>
          <w:sz w:val="21"/>
          <w:szCs w:val="21"/>
          <w:lang w:val="en-US" w:eastAsia="zh-CN"/>
        </w:rPr>
        <w:t>7</w:t>
      </w:r>
      <w:r>
        <w:rPr>
          <w:rFonts w:hint="eastAsia" w:ascii="宋体" w:hAnsi="宋体" w:eastAsia="宋体" w:cs="宋体"/>
          <w:b/>
          <w:bCs/>
          <w:color w:val="auto"/>
          <w:sz w:val="21"/>
          <w:szCs w:val="21"/>
        </w:rPr>
        <w:t xml:space="preserve"> 项目废标处理</w:t>
      </w:r>
    </w:p>
    <w:p w14:paraId="46479A22">
      <w:pPr>
        <w:tabs>
          <w:tab w:val="left" w:pos="425"/>
          <w:tab w:val="left" w:pos="624"/>
          <w:tab w:val="left" w:pos="735"/>
        </w:tabs>
        <w:spacing w:beforeAutospacing="0" w:afterAutospacing="0" w:line="360" w:lineRule="auto"/>
        <w:ind w:firstLine="420" w:firstLineChars="200"/>
        <w:rPr>
          <w:rFonts w:ascii="宋体" w:hAnsi="宋体" w:eastAsia="宋体" w:cs="宋体"/>
          <w:szCs w:val="21"/>
        </w:rPr>
      </w:pPr>
      <w:r>
        <w:rPr>
          <w:rFonts w:hint="eastAsia" w:ascii="宋体" w:hAnsi="宋体" w:eastAsia="宋体" w:cs="宋体"/>
          <w:szCs w:val="21"/>
        </w:rPr>
        <w:t>根据相关法律法规规定，出现下列情况将作废标处理：</w:t>
      </w:r>
    </w:p>
    <w:p w14:paraId="0AF45912">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48" w:name="_Toc334795470"/>
      <w:bookmarkEnd w:id="148"/>
      <w:r>
        <w:rPr>
          <w:rFonts w:hint="eastAsia" w:ascii="宋体" w:hAnsi="宋体" w:eastAsia="宋体" w:cs="宋体"/>
          <w:szCs w:val="21"/>
        </w:rPr>
        <w:t>2.7.1.符合专业资格条件的投标人或者对招标文件作实质响应的有效投标人不足三家的；</w:t>
      </w:r>
    </w:p>
    <w:p w14:paraId="11D00E56">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49" w:name="_Toc334795471"/>
      <w:bookmarkEnd w:id="149"/>
      <w:r>
        <w:rPr>
          <w:rFonts w:hint="eastAsia" w:ascii="宋体" w:hAnsi="宋体" w:eastAsia="宋体" w:cs="宋体"/>
          <w:szCs w:val="21"/>
        </w:rPr>
        <w:t>2.7.2 出现影响招标公正的违法、违规行为的；</w:t>
      </w:r>
    </w:p>
    <w:p w14:paraId="0CDBFAEA">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50" w:name="_Toc334795472"/>
      <w:bookmarkEnd w:id="150"/>
      <w:r>
        <w:rPr>
          <w:rFonts w:hint="eastAsia" w:ascii="宋体" w:hAnsi="宋体" w:eastAsia="宋体" w:cs="宋体"/>
          <w:szCs w:val="21"/>
        </w:rPr>
        <w:t>2.7.3 因重大变故，招标任务取消的。</w:t>
      </w:r>
    </w:p>
    <w:p w14:paraId="28086B07">
      <w:pPr>
        <w:spacing w:beforeAutospacing="0" w:afterAutospacing="0" w:line="360" w:lineRule="auto"/>
        <w:ind w:right="678" w:rightChars="323"/>
        <w:rPr>
          <w:rFonts w:ascii="宋体" w:hAnsi="宋体" w:eastAsia="宋体" w:cs="宋体"/>
          <w:b/>
          <w:bCs/>
          <w:kern w:val="0"/>
          <w:szCs w:val="21"/>
        </w:rPr>
      </w:pPr>
      <w:bookmarkStart w:id="151" w:name="_Toc41884703"/>
      <w:bookmarkEnd w:id="151"/>
      <w:bookmarkStart w:id="152" w:name="_Toc98580290"/>
      <w:bookmarkEnd w:id="152"/>
      <w:bookmarkStart w:id="153" w:name="_Toc98579008"/>
      <w:bookmarkEnd w:id="153"/>
      <w:bookmarkStart w:id="154" w:name="_Toc98579066"/>
      <w:bookmarkEnd w:id="154"/>
      <w:bookmarkStart w:id="155" w:name="_Toc101843131"/>
      <w:bookmarkEnd w:id="155"/>
      <w:bookmarkStart w:id="156" w:name="_Toc264203538"/>
      <w:bookmarkEnd w:id="156"/>
      <w:bookmarkStart w:id="157" w:name="_Toc41723933"/>
      <w:bookmarkEnd w:id="157"/>
      <w:bookmarkStart w:id="158" w:name="_Toc98579607"/>
      <w:bookmarkEnd w:id="158"/>
      <w:bookmarkStart w:id="159" w:name="_Toc42313169"/>
      <w:bookmarkEnd w:id="159"/>
      <w:bookmarkStart w:id="160" w:name="_Toc50276154"/>
      <w:bookmarkEnd w:id="160"/>
      <w:bookmarkStart w:id="161" w:name="_Toc101775131"/>
      <w:bookmarkEnd w:id="161"/>
      <w:bookmarkStart w:id="162" w:name="_Toc42394670"/>
      <w:bookmarkEnd w:id="162"/>
      <w:bookmarkStart w:id="163" w:name="_Toc101771378"/>
      <w:bookmarkEnd w:id="163"/>
      <w:bookmarkStart w:id="164" w:name="_Toc101951269"/>
      <w:bookmarkEnd w:id="164"/>
      <w:bookmarkStart w:id="165" w:name="_Toc42394514"/>
      <w:bookmarkEnd w:id="165"/>
      <w:r>
        <w:rPr>
          <w:rFonts w:hint="eastAsia" w:ascii="宋体" w:hAnsi="宋体" w:eastAsia="宋体" w:cs="宋体"/>
          <w:b/>
          <w:bCs/>
          <w:kern w:val="0"/>
          <w:szCs w:val="21"/>
        </w:rPr>
        <w:t>3.  定标</w:t>
      </w:r>
    </w:p>
    <w:p w14:paraId="7685E8E8">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66" w:name="_Toc334795474"/>
      <w:bookmarkEnd w:id="166"/>
      <w:r>
        <w:rPr>
          <w:rFonts w:hint="eastAsia" w:ascii="宋体" w:hAnsi="宋体" w:eastAsia="宋体" w:cs="宋体"/>
          <w:szCs w:val="21"/>
        </w:rPr>
        <w:t>3.1.招标人根据评标报告确定的中标候选人名单顺序确定</w:t>
      </w:r>
      <w:r>
        <w:rPr>
          <w:rFonts w:hint="eastAsia" w:ascii="宋体" w:hAnsi="宋体" w:cs="宋体"/>
          <w:szCs w:val="21"/>
          <w:lang w:eastAsia="zh-CN"/>
        </w:rPr>
        <w:t>中标人</w:t>
      </w:r>
      <w:r>
        <w:rPr>
          <w:rFonts w:hint="eastAsia" w:ascii="宋体" w:hAnsi="宋体" w:eastAsia="宋体" w:cs="宋体"/>
          <w:szCs w:val="21"/>
        </w:rPr>
        <w:t>。</w:t>
      </w:r>
    </w:p>
    <w:p w14:paraId="6702D625">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3.2.招标人确认结果后，招标代理机构将中标结果以网上公告的方式通知所有投标人。</w:t>
      </w:r>
    </w:p>
    <w:p w14:paraId="4FFDFE08">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67" w:name="_Toc334795477"/>
      <w:bookmarkEnd w:id="167"/>
      <w:r>
        <w:rPr>
          <w:rFonts w:hint="eastAsia" w:ascii="宋体" w:hAnsi="宋体" w:eastAsia="宋体" w:cs="宋体"/>
          <w:szCs w:val="21"/>
        </w:rPr>
        <w:t>3.3.中标结果公告后，招标代理机构以书面形式向</w:t>
      </w:r>
      <w:r>
        <w:rPr>
          <w:rFonts w:hint="eastAsia" w:ascii="宋体" w:hAnsi="宋体" w:cs="宋体"/>
          <w:szCs w:val="21"/>
          <w:lang w:eastAsia="zh-CN"/>
        </w:rPr>
        <w:t>中标人</w:t>
      </w:r>
      <w:r>
        <w:rPr>
          <w:rFonts w:hint="eastAsia" w:ascii="宋体" w:hAnsi="宋体" w:eastAsia="宋体" w:cs="宋体"/>
          <w:szCs w:val="21"/>
        </w:rPr>
        <w:t>发出《</w:t>
      </w:r>
      <w:r>
        <w:rPr>
          <w:rFonts w:hint="eastAsia" w:ascii="宋体" w:hAnsi="宋体" w:cs="宋体"/>
          <w:szCs w:val="21"/>
          <w:lang w:eastAsia="zh-CN"/>
        </w:rPr>
        <w:t>缴纳</w:t>
      </w:r>
      <w:r>
        <w:rPr>
          <w:rFonts w:hint="eastAsia" w:ascii="宋体" w:hAnsi="宋体" w:eastAsia="宋体" w:cs="宋体"/>
          <w:szCs w:val="21"/>
        </w:rPr>
        <w:t>招标服务费通知书》。</w:t>
      </w:r>
    </w:p>
    <w:p w14:paraId="006D2D4D">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68" w:name="_Toc334795478"/>
      <w:bookmarkEnd w:id="168"/>
      <w:r>
        <w:rPr>
          <w:rFonts w:hint="eastAsia" w:ascii="宋体" w:hAnsi="宋体" w:eastAsia="宋体" w:cs="宋体"/>
          <w:szCs w:val="21"/>
        </w:rPr>
        <w:t>3.4.</w:t>
      </w:r>
      <w:r>
        <w:rPr>
          <w:rFonts w:hint="eastAsia" w:ascii="宋体" w:hAnsi="宋体" w:cs="宋体"/>
          <w:szCs w:val="21"/>
          <w:lang w:eastAsia="zh-CN"/>
        </w:rPr>
        <w:t>中标人</w:t>
      </w:r>
      <w:r>
        <w:rPr>
          <w:rFonts w:hint="eastAsia" w:ascii="宋体" w:hAnsi="宋体" w:eastAsia="宋体" w:cs="宋体"/>
          <w:szCs w:val="21"/>
        </w:rPr>
        <w:t>凭招标代理机构开具的《招标代理服务费缴费通知书》到银行办理缴费手续，凭银行回单原件到招标代理机构开具发票，领取《中标通知书》</w:t>
      </w:r>
      <w:r>
        <w:rPr>
          <w:rFonts w:hint="eastAsia" w:ascii="宋体" w:hAnsi="宋体" w:cs="宋体"/>
          <w:szCs w:val="21"/>
          <w:lang w:eastAsia="zh-CN"/>
        </w:rPr>
        <w:t>；</w:t>
      </w:r>
      <w:r>
        <w:rPr>
          <w:rFonts w:hint="eastAsia" w:ascii="宋体" w:hAnsi="宋体" w:eastAsia="宋体" w:cs="宋体"/>
          <w:szCs w:val="21"/>
        </w:rPr>
        <w:t>《中标通知书》将作为授予合同资格的唯一合法依据。</w:t>
      </w:r>
    </w:p>
    <w:p w14:paraId="301563D3">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bookmarkStart w:id="169" w:name="_Toc334795479"/>
      <w:bookmarkEnd w:id="169"/>
      <w:r>
        <w:rPr>
          <w:rFonts w:hint="eastAsia" w:ascii="宋体" w:hAnsi="宋体" w:eastAsia="宋体" w:cs="宋体"/>
          <w:szCs w:val="21"/>
        </w:rPr>
        <w:t>3.5.</w:t>
      </w:r>
      <w:r>
        <w:rPr>
          <w:rFonts w:hint="eastAsia" w:ascii="宋体" w:hAnsi="宋体" w:cs="宋体"/>
          <w:szCs w:val="21"/>
          <w:lang w:eastAsia="zh-CN"/>
        </w:rPr>
        <w:t>中标人</w:t>
      </w:r>
      <w:r>
        <w:rPr>
          <w:rFonts w:hint="eastAsia" w:ascii="宋体" w:hAnsi="宋体" w:eastAsia="宋体" w:cs="宋体"/>
          <w:szCs w:val="21"/>
        </w:rPr>
        <w:t>放弃中标的，应当依法承担法律责任。</w:t>
      </w:r>
    </w:p>
    <w:p w14:paraId="33D2AFFC">
      <w:pPr>
        <w:tabs>
          <w:tab w:val="left" w:pos="425"/>
          <w:tab w:val="left" w:pos="624"/>
          <w:tab w:val="left" w:pos="735"/>
        </w:tabs>
        <w:spacing w:beforeAutospacing="0" w:afterAutospacing="0" w:line="360" w:lineRule="auto"/>
        <w:ind w:left="630" w:hanging="630" w:hangingChars="300"/>
        <w:rPr>
          <w:rFonts w:ascii="宋体" w:hAnsi="宋体" w:eastAsia="宋体" w:cs="宋体"/>
          <w:szCs w:val="21"/>
        </w:rPr>
      </w:pPr>
      <w:r>
        <w:rPr>
          <w:rFonts w:hint="eastAsia" w:ascii="宋体" w:hAnsi="宋体" w:eastAsia="宋体" w:cs="宋体"/>
          <w:szCs w:val="21"/>
        </w:rPr>
        <w:t>3.6.凡发现</w:t>
      </w:r>
      <w:r>
        <w:rPr>
          <w:rFonts w:hint="eastAsia" w:ascii="宋体" w:hAnsi="宋体" w:cs="宋体"/>
          <w:szCs w:val="21"/>
          <w:lang w:eastAsia="zh-CN"/>
        </w:rPr>
        <w:t>中标人</w:t>
      </w:r>
      <w:r>
        <w:rPr>
          <w:rFonts w:hint="eastAsia" w:ascii="宋体" w:hAnsi="宋体" w:eastAsia="宋体" w:cs="宋体"/>
          <w:szCs w:val="21"/>
        </w:rPr>
        <w:t>有下列行为之一的，其中标无效，并移交招标监督管理部门依法处理。</w:t>
      </w:r>
    </w:p>
    <w:p w14:paraId="2AA41262">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1）提供虚假材料谋取中标的；</w:t>
      </w:r>
    </w:p>
    <w:p w14:paraId="723C34C5">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2）采取不正当手段诋毁、排挤其他</w:t>
      </w:r>
      <w:r>
        <w:rPr>
          <w:rFonts w:hint="eastAsia" w:ascii="宋体" w:hAnsi="宋体" w:cs="宋体"/>
          <w:szCs w:val="21"/>
          <w:lang w:eastAsia="zh-CN"/>
        </w:rPr>
        <w:t>投标人</w:t>
      </w:r>
      <w:r>
        <w:rPr>
          <w:rFonts w:hint="eastAsia" w:ascii="宋体" w:hAnsi="宋体" w:eastAsia="宋体" w:cs="宋体"/>
          <w:szCs w:val="21"/>
        </w:rPr>
        <w:t>的；</w:t>
      </w:r>
    </w:p>
    <w:p w14:paraId="63DA80CA">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3）与招标人、其他</w:t>
      </w:r>
      <w:r>
        <w:rPr>
          <w:rFonts w:hint="eastAsia" w:ascii="宋体" w:hAnsi="宋体" w:cs="宋体"/>
          <w:szCs w:val="21"/>
          <w:lang w:eastAsia="zh-CN"/>
        </w:rPr>
        <w:t>投标人</w:t>
      </w:r>
      <w:r>
        <w:rPr>
          <w:rFonts w:hint="eastAsia" w:ascii="宋体" w:hAnsi="宋体" w:eastAsia="宋体" w:cs="宋体"/>
          <w:szCs w:val="21"/>
        </w:rPr>
        <w:t>或者招标代理机构工作人员恶意串通的；</w:t>
      </w:r>
    </w:p>
    <w:p w14:paraId="485A605C">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4）向招标人、招标代理机构工作人员行贿或者提供其他不正当利益的；</w:t>
      </w:r>
    </w:p>
    <w:p w14:paraId="1E04F751">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5）在招标招标过程中与招标人进行协商谈判的；</w:t>
      </w:r>
    </w:p>
    <w:p w14:paraId="22CB1962">
      <w:pPr>
        <w:tabs>
          <w:tab w:val="left" w:pos="425"/>
          <w:tab w:val="left" w:pos="624"/>
          <w:tab w:val="left" w:pos="735"/>
        </w:tabs>
        <w:spacing w:beforeAutospacing="0" w:afterAutospacing="0" w:line="360" w:lineRule="auto"/>
        <w:ind w:firstLine="630" w:firstLineChars="300"/>
        <w:rPr>
          <w:rFonts w:ascii="宋体" w:hAnsi="宋体" w:eastAsia="宋体" w:cs="宋体"/>
          <w:szCs w:val="21"/>
        </w:rPr>
      </w:pPr>
      <w:r>
        <w:rPr>
          <w:rFonts w:hint="eastAsia" w:ascii="宋体" w:hAnsi="宋体" w:eastAsia="宋体" w:cs="宋体"/>
          <w:szCs w:val="21"/>
        </w:rPr>
        <w:t>6）拒绝有关部门监督检查或者提供虚假情况的；</w:t>
      </w:r>
    </w:p>
    <w:p w14:paraId="3C018EE1">
      <w:pPr>
        <w:tabs>
          <w:tab w:val="left" w:pos="425"/>
          <w:tab w:val="left" w:pos="624"/>
          <w:tab w:val="left" w:pos="735"/>
        </w:tabs>
        <w:spacing w:beforeAutospacing="0" w:afterAutospacing="0" w:line="360" w:lineRule="auto"/>
        <w:ind w:firstLine="630" w:firstLineChars="300"/>
        <w:rPr>
          <w:rFonts w:ascii="宋体" w:hAnsi="宋体" w:eastAsia="宋体" w:cs="宋体"/>
          <w:b/>
          <w:bCs/>
          <w:szCs w:val="21"/>
        </w:rPr>
      </w:pPr>
      <w:r>
        <w:rPr>
          <w:rFonts w:hint="eastAsia" w:ascii="宋体" w:hAnsi="宋体" w:eastAsia="宋体" w:cs="宋体"/>
          <w:szCs w:val="21"/>
        </w:rPr>
        <w:t>7）有法律、法规规定的其他损害招标人利益和社会公共利益情形的。</w:t>
      </w:r>
    </w:p>
    <w:p w14:paraId="76349127">
      <w:pPr>
        <w:pStyle w:val="174"/>
        <w:numPr>
          <w:ilvl w:val="0"/>
          <w:numId w:val="6"/>
        </w:numPr>
        <w:ind w:firstLine="482"/>
        <w:rPr>
          <w:rFonts w:ascii="宋体" w:hAnsi="宋体" w:eastAsia="宋体" w:cs="宋体"/>
          <w:b/>
          <w:bCs/>
          <w:kern w:val="0"/>
          <w:szCs w:val="21"/>
        </w:rPr>
      </w:pPr>
      <w:r>
        <w:rPr>
          <w:rFonts w:hint="eastAsia" w:ascii="宋体" w:hAnsi="宋体" w:eastAsia="宋体" w:cs="宋体"/>
          <w:b/>
          <w:bCs/>
          <w:kern w:val="0"/>
          <w:szCs w:val="21"/>
        </w:rPr>
        <w:t>评审附表</w:t>
      </w:r>
    </w:p>
    <w:p w14:paraId="222024DF">
      <w:pPr>
        <w:spacing w:beforeAutospacing="0" w:afterAutospacing="0" w:line="360" w:lineRule="auto"/>
        <w:ind w:right="678" w:rightChars="323" w:firstLine="632" w:firstLineChars="300"/>
        <w:rPr>
          <w:rFonts w:ascii="宋体" w:hAnsi="宋体" w:eastAsia="宋体" w:cs="宋体"/>
          <w:b/>
          <w:bCs/>
          <w:kern w:val="0"/>
          <w:szCs w:val="21"/>
        </w:rPr>
      </w:pPr>
      <w:r>
        <w:rPr>
          <w:rFonts w:hint="eastAsia" w:ascii="宋体" w:hAnsi="宋体" w:eastAsia="宋体" w:cs="宋体"/>
          <w:b/>
          <w:bCs/>
          <w:kern w:val="0"/>
          <w:szCs w:val="21"/>
        </w:rPr>
        <w:t>本次评审总分值为100分，具体评分分值分配如下（保留小数点后两位小数）：</w:t>
      </w:r>
    </w:p>
    <w:tbl>
      <w:tblPr>
        <w:tblStyle w:val="47"/>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97"/>
        <w:gridCol w:w="2161"/>
        <w:gridCol w:w="2027"/>
        <w:gridCol w:w="2027"/>
      </w:tblGrid>
      <w:tr w14:paraId="36DB4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0B5E97B8">
            <w:pPr>
              <w:spacing w:beforeAutospacing="0" w:afterAutospacing="0" w:line="360" w:lineRule="auto"/>
              <w:jc w:val="center"/>
              <w:rPr>
                <w:rFonts w:ascii="宋体" w:hAnsi="宋体" w:eastAsia="宋体" w:cs="宋体"/>
                <w:b/>
                <w:szCs w:val="21"/>
              </w:rPr>
            </w:pPr>
            <w:r>
              <w:rPr>
                <w:rFonts w:hint="eastAsia" w:ascii="宋体" w:hAnsi="宋体" w:eastAsia="宋体" w:cs="宋体"/>
                <w:b/>
                <w:szCs w:val="21"/>
              </w:rPr>
              <w:t>商务</w:t>
            </w:r>
          </w:p>
        </w:tc>
        <w:tc>
          <w:tcPr>
            <w:tcW w:w="1269" w:type="pct"/>
            <w:tcBorders>
              <w:top w:val="single" w:color="auto" w:sz="4" w:space="0"/>
              <w:left w:val="single" w:color="auto" w:sz="4" w:space="0"/>
              <w:bottom w:val="single" w:color="auto" w:sz="4" w:space="0"/>
              <w:right w:val="single" w:color="auto" w:sz="4" w:space="0"/>
            </w:tcBorders>
            <w:vAlign w:val="center"/>
          </w:tcPr>
          <w:p w14:paraId="1B1B841F">
            <w:pPr>
              <w:spacing w:beforeAutospacing="0" w:afterAutospacing="0" w:line="360" w:lineRule="auto"/>
              <w:jc w:val="center"/>
              <w:rPr>
                <w:rFonts w:ascii="宋体" w:hAnsi="宋体" w:eastAsia="宋体" w:cs="宋体"/>
                <w:b/>
                <w:szCs w:val="21"/>
              </w:rPr>
            </w:pPr>
            <w:r>
              <w:rPr>
                <w:rFonts w:hint="eastAsia" w:ascii="宋体" w:hAnsi="宋体" w:eastAsia="宋体" w:cs="宋体"/>
                <w:b/>
                <w:szCs w:val="21"/>
              </w:rPr>
              <w:t>技术</w:t>
            </w:r>
          </w:p>
        </w:tc>
        <w:tc>
          <w:tcPr>
            <w:tcW w:w="1190" w:type="pct"/>
            <w:tcBorders>
              <w:top w:val="single" w:color="auto" w:sz="4" w:space="0"/>
              <w:left w:val="single" w:color="auto" w:sz="4" w:space="0"/>
              <w:bottom w:val="single" w:color="auto" w:sz="4" w:space="0"/>
              <w:right w:val="single" w:color="auto" w:sz="4" w:space="0"/>
            </w:tcBorders>
            <w:vAlign w:val="top"/>
          </w:tcPr>
          <w:p w14:paraId="799F3600">
            <w:pPr>
              <w:spacing w:beforeAutospacing="0" w:afterAutospacing="0" w:line="360" w:lineRule="auto"/>
              <w:jc w:val="center"/>
              <w:rPr>
                <w:rFonts w:hint="eastAsia" w:ascii="宋体" w:hAnsi="宋体" w:eastAsia="宋体" w:cs="宋体"/>
                <w:b/>
                <w:szCs w:val="21"/>
                <w:lang w:val="en-US" w:eastAsia="zh-CN"/>
              </w:rPr>
            </w:pPr>
            <w:r>
              <w:rPr>
                <w:rFonts w:hint="eastAsia" w:ascii="宋体" w:hAnsi="宋体" w:cs="宋体"/>
                <w:b/>
                <w:szCs w:val="21"/>
                <w:lang w:val="en-US" w:eastAsia="zh-CN"/>
              </w:rPr>
              <w:t>价格</w:t>
            </w:r>
          </w:p>
        </w:tc>
        <w:tc>
          <w:tcPr>
            <w:tcW w:w="1190" w:type="pct"/>
            <w:tcBorders>
              <w:top w:val="single" w:color="auto" w:sz="4" w:space="0"/>
              <w:left w:val="single" w:color="auto" w:sz="4" w:space="0"/>
              <w:bottom w:val="single" w:color="auto" w:sz="4" w:space="0"/>
              <w:right w:val="single" w:color="auto" w:sz="4" w:space="0"/>
            </w:tcBorders>
            <w:vAlign w:val="top"/>
          </w:tcPr>
          <w:p w14:paraId="3266FB18">
            <w:pPr>
              <w:spacing w:beforeAutospacing="0" w:afterAutospacing="0" w:line="360" w:lineRule="auto"/>
              <w:jc w:val="center"/>
              <w:rPr>
                <w:rFonts w:ascii="宋体" w:hAnsi="宋体" w:eastAsia="宋体" w:cs="宋体"/>
                <w:b/>
                <w:szCs w:val="21"/>
              </w:rPr>
            </w:pPr>
            <w:r>
              <w:rPr>
                <w:rFonts w:hint="eastAsia" w:ascii="宋体" w:hAnsi="宋体" w:eastAsia="宋体" w:cs="宋体"/>
                <w:b/>
                <w:szCs w:val="21"/>
              </w:rPr>
              <w:t>总分</w:t>
            </w:r>
          </w:p>
        </w:tc>
      </w:tr>
      <w:tr w14:paraId="2BF03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643E38AC">
            <w:pPr>
              <w:tabs>
                <w:tab w:val="center" w:pos="1169"/>
                <w:tab w:val="right" w:pos="2217"/>
              </w:tabs>
              <w:spacing w:beforeAutospacing="0" w:afterAutospacing="0"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30</w:t>
            </w:r>
            <w:r>
              <w:rPr>
                <w:rFonts w:hint="eastAsia" w:ascii="宋体" w:hAnsi="宋体" w:eastAsia="宋体" w:cs="宋体"/>
                <w:bCs/>
                <w:color w:val="000000" w:themeColor="text1"/>
                <w:szCs w:val="21"/>
                <w:highlight w:val="none"/>
                <w14:textFill>
                  <w14:solidFill>
                    <w14:schemeClr w14:val="tx1"/>
                  </w14:solidFill>
                </w14:textFill>
              </w:rPr>
              <w:t>分</w:t>
            </w:r>
          </w:p>
        </w:tc>
        <w:tc>
          <w:tcPr>
            <w:tcW w:w="1269" w:type="pct"/>
            <w:tcBorders>
              <w:top w:val="single" w:color="auto" w:sz="4" w:space="0"/>
              <w:left w:val="single" w:color="auto" w:sz="4" w:space="0"/>
              <w:bottom w:val="single" w:color="auto" w:sz="4" w:space="0"/>
              <w:right w:val="single" w:color="auto" w:sz="4" w:space="0"/>
            </w:tcBorders>
            <w:vAlign w:val="center"/>
          </w:tcPr>
          <w:p w14:paraId="669E0673">
            <w:pPr>
              <w:spacing w:beforeAutospacing="0" w:afterAutospacing="0" w:line="360" w:lineRule="auto"/>
              <w:jc w:val="center"/>
              <w:rPr>
                <w:rFonts w:ascii="宋体" w:hAnsi="宋体" w:eastAsia="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50</w:t>
            </w:r>
            <w:r>
              <w:rPr>
                <w:rFonts w:hint="eastAsia" w:ascii="宋体" w:hAnsi="宋体"/>
                <w:bCs/>
                <w:color w:val="000000" w:themeColor="text1"/>
                <w:highlight w:val="none"/>
                <w14:textFill>
                  <w14:solidFill>
                    <w14:schemeClr w14:val="tx1"/>
                  </w14:solidFill>
                </w14:textFill>
              </w:rPr>
              <w:t>分</w:t>
            </w:r>
          </w:p>
        </w:tc>
        <w:tc>
          <w:tcPr>
            <w:tcW w:w="1190" w:type="pct"/>
            <w:tcBorders>
              <w:top w:val="single" w:color="auto" w:sz="4" w:space="0"/>
              <w:left w:val="single" w:color="auto" w:sz="4" w:space="0"/>
              <w:bottom w:val="single" w:color="auto" w:sz="4" w:space="0"/>
              <w:right w:val="single" w:color="auto" w:sz="4" w:space="0"/>
            </w:tcBorders>
            <w:vAlign w:val="top"/>
          </w:tcPr>
          <w:p w14:paraId="6ACE00E3">
            <w:pPr>
              <w:spacing w:beforeAutospacing="0" w:afterAutospacing="0" w:line="360" w:lineRule="auto"/>
              <w:jc w:val="center"/>
              <w:rPr>
                <w:rFonts w:hint="default" w:ascii="宋体" w:hAnsi="宋体" w:eastAsia="宋体" w:cs="宋体"/>
                <w:bCs/>
                <w:szCs w:val="21"/>
                <w:lang w:val="en-US" w:eastAsia="zh-CN"/>
              </w:rPr>
            </w:pPr>
            <w:r>
              <w:rPr>
                <w:rFonts w:hint="eastAsia" w:ascii="宋体" w:hAnsi="宋体" w:cs="宋体"/>
                <w:bCs/>
                <w:szCs w:val="21"/>
                <w:lang w:val="en-US" w:eastAsia="zh-CN"/>
              </w:rPr>
              <w:t>20分</w:t>
            </w:r>
          </w:p>
        </w:tc>
        <w:tc>
          <w:tcPr>
            <w:tcW w:w="1190" w:type="pct"/>
            <w:tcBorders>
              <w:top w:val="single" w:color="auto" w:sz="4" w:space="0"/>
              <w:left w:val="single" w:color="auto" w:sz="4" w:space="0"/>
              <w:bottom w:val="single" w:color="auto" w:sz="4" w:space="0"/>
              <w:right w:val="single" w:color="auto" w:sz="4" w:space="0"/>
            </w:tcBorders>
            <w:vAlign w:val="top"/>
          </w:tcPr>
          <w:p w14:paraId="1C43B648">
            <w:pPr>
              <w:spacing w:beforeAutospacing="0" w:afterAutospacing="0" w:line="360" w:lineRule="auto"/>
              <w:jc w:val="center"/>
              <w:rPr>
                <w:rFonts w:ascii="宋体" w:hAnsi="宋体" w:eastAsia="宋体" w:cs="宋体"/>
                <w:bCs/>
                <w:szCs w:val="21"/>
              </w:rPr>
            </w:pPr>
            <w:r>
              <w:rPr>
                <w:rFonts w:hint="eastAsia" w:ascii="宋体" w:hAnsi="宋体" w:eastAsia="宋体" w:cs="宋体"/>
                <w:bCs/>
                <w:szCs w:val="21"/>
              </w:rPr>
              <w:t>100分</w:t>
            </w:r>
          </w:p>
        </w:tc>
      </w:tr>
    </w:tbl>
    <w:p w14:paraId="6672732E">
      <w:pPr>
        <w:autoSpaceDE w:val="0"/>
        <w:autoSpaceDN w:val="0"/>
        <w:adjustRightInd w:val="0"/>
        <w:spacing w:beforeAutospacing="0" w:afterAutospacing="0" w:line="360" w:lineRule="auto"/>
        <w:ind w:right="678" w:rightChars="323"/>
        <w:jc w:val="center"/>
        <w:rPr>
          <w:rFonts w:ascii="宋体" w:hAnsi="宋体" w:eastAsia="宋体" w:cs="宋体"/>
          <w:b/>
          <w:bCs/>
          <w:sz w:val="28"/>
          <w:szCs w:val="28"/>
        </w:rPr>
      </w:pPr>
      <w:r>
        <w:rPr>
          <w:rFonts w:hint="eastAsia" w:ascii="宋体" w:hAnsi="宋体" w:eastAsia="宋体" w:cs="宋体"/>
          <w:b/>
          <w:bCs/>
          <w:sz w:val="28"/>
          <w:szCs w:val="28"/>
        </w:rPr>
        <w:t>附表1：资格性审查表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7326"/>
      </w:tblGrid>
      <w:tr w14:paraId="14DF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97" w:type="pct"/>
            <w:vAlign w:val="center"/>
          </w:tcPr>
          <w:p w14:paraId="59D3C2EB">
            <w:pPr>
              <w:spacing w:beforeAutospacing="0" w:afterAutospacing="0"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4302" w:type="pct"/>
            <w:vAlign w:val="center"/>
          </w:tcPr>
          <w:p w14:paraId="446FEDE0">
            <w:pPr>
              <w:spacing w:beforeAutospacing="0" w:afterAutospacing="0" w:line="360" w:lineRule="auto"/>
              <w:jc w:val="center"/>
              <w:rPr>
                <w:rFonts w:ascii="宋体" w:hAnsi="宋体" w:eastAsia="宋体" w:cs="宋体"/>
                <w:szCs w:val="21"/>
              </w:rPr>
            </w:pPr>
            <w:r>
              <w:rPr>
                <w:rFonts w:hint="eastAsia" w:ascii="宋体" w:hAnsi="宋体" w:eastAsia="宋体" w:cs="宋体"/>
                <w:b/>
                <w:bCs/>
                <w:szCs w:val="21"/>
              </w:rPr>
              <w:t>评审内容</w:t>
            </w:r>
          </w:p>
        </w:tc>
      </w:tr>
      <w:tr w14:paraId="281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97" w:type="pct"/>
            <w:vAlign w:val="center"/>
          </w:tcPr>
          <w:p w14:paraId="63F255F7">
            <w:pPr>
              <w:autoSpaceDE w:val="0"/>
              <w:autoSpaceDN w:val="0"/>
              <w:spacing w:beforeAutospacing="0" w:afterAutospacing="0" w:line="360" w:lineRule="auto"/>
              <w:ind w:firstLine="218" w:firstLineChars="104"/>
              <w:jc w:val="center"/>
              <w:rPr>
                <w:rFonts w:ascii="宋体" w:hAnsi="宋体" w:eastAsia="宋体" w:cs="宋体"/>
                <w:szCs w:val="21"/>
              </w:rPr>
            </w:pPr>
            <w:r>
              <w:rPr>
                <w:rFonts w:hint="eastAsia" w:ascii="宋体" w:hAnsi="宋体" w:eastAsia="宋体" w:cs="宋体"/>
                <w:szCs w:val="21"/>
              </w:rPr>
              <w:t>1</w:t>
            </w:r>
          </w:p>
        </w:tc>
        <w:tc>
          <w:tcPr>
            <w:tcW w:w="4302" w:type="pct"/>
            <w:vAlign w:val="center"/>
          </w:tcPr>
          <w:p w14:paraId="577408A4">
            <w:pPr>
              <w:autoSpaceDE w:val="0"/>
              <w:autoSpaceDN w:val="0"/>
              <w:spacing w:beforeAutospacing="0" w:afterAutospacing="0" w:line="360" w:lineRule="auto"/>
              <w:ind w:firstLine="218" w:firstLineChars="104"/>
              <w:rPr>
                <w:rFonts w:ascii="宋体" w:hAnsi="宋体" w:eastAsia="宋体" w:cs="宋体"/>
                <w:szCs w:val="21"/>
              </w:rPr>
            </w:pPr>
            <w:r>
              <w:rPr>
                <w:rFonts w:hint="eastAsia" w:ascii="宋体" w:hAnsi="宋体" w:eastAsia="宋体" w:cs="宋体"/>
                <w:szCs w:val="21"/>
              </w:rPr>
              <w:t>按招标文件《第一部分 投标邀请》中</w:t>
            </w:r>
            <w:r>
              <w:rPr>
                <w:rFonts w:hint="eastAsia" w:ascii="宋体" w:hAnsi="宋体" w:cs="宋体"/>
                <w:szCs w:val="21"/>
                <w:lang w:eastAsia="zh-CN"/>
              </w:rPr>
              <w:t>投标人</w:t>
            </w:r>
            <w:r>
              <w:rPr>
                <w:rFonts w:hint="eastAsia" w:ascii="宋体" w:hAnsi="宋体" w:eastAsia="宋体" w:cs="宋体"/>
                <w:szCs w:val="21"/>
              </w:rPr>
              <w:t>资格要求评审。</w:t>
            </w:r>
          </w:p>
        </w:tc>
      </w:tr>
    </w:tbl>
    <w:p w14:paraId="14E1BF43">
      <w:pPr>
        <w:spacing w:beforeAutospacing="0" w:afterAutospacing="0" w:line="360" w:lineRule="auto"/>
        <w:jc w:val="left"/>
        <w:rPr>
          <w:rFonts w:hint="eastAsia" w:ascii="宋体" w:hAnsi="宋体" w:eastAsia="宋体" w:cs="宋体"/>
          <w:b/>
          <w:bCs/>
          <w:szCs w:val="21"/>
        </w:rPr>
      </w:pPr>
      <w:r>
        <w:rPr>
          <w:rFonts w:hint="eastAsia" w:ascii="宋体" w:hAnsi="宋体" w:eastAsia="宋体" w:cs="宋体"/>
          <w:b/>
          <w:bCs/>
          <w:szCs w:val="21"/>
        </w:rPr>
        <w:t>注：投标人如有以上任意一项评审内容不通过的则被评为资格性审查不通过，不能进入符合性审查。</w:t>
      </w:r>
    </w:p>
    <w:p w14:paraId="4638BDD4">
      <w:pPr>
        <w:spacing w:beforeAutospacing="0" w:afterAutospacing="0" w:line="360" w:lineRule="auto"/>
        <w:jc w:val="left"/>
        <w:rPr>
          <w:rFonts w:hint="eastAsia" w:ascii="宋体" w:hAnsi="宋体" w:eastAsia="宋体" w:cs="宋体"/>
          <w:b/>
          <w:bCs/>
          <w:szCs w:val="21"/>
        </w:rPr>
      </w:pPr>
    </w:p>
    <w:p w14:paraId="644A1071">
      <w:pPr>
        <w:spacing w:beforeAutospacing="0" w:afterAutospacing="0" w:line="360" w:lineRule="auto"/>
        <w:jc w:val="left"/>
        <w:rPr>
          <w:rFonts w:hint="eastAsia" w:ascii="宋体" w:hAnsi="宋体" w:eastAsia="宋体" w:cs="宋体"/>
          <w:b/>
          <w:bCs/>
          <w:szCs w:val="21"/>
        </w:rPr>
      </w:pPr>
    </w:p>
    <w:p w14:paraId="65D0DFBB">
      <w:pPr>
        <w:spacing w:beforeAutospacing="0" w:afterAutospacing="0" w:line="360" w:lineRule="auto"/>
        <w:jc w:val="left"/>
        <w:rPr>
          <w:rFonts w:hint="eastAsia" w:ascii="宋体" w:hAnsi="宋体" w:eastAsia="宋体" w:cs="宋体"/>
          <w:b/>
          <w:bCs/>
          <w:szCs w:val="21"/>
        </w:rPr>
      </w:pPr>
    </w:p>
    <w:p w14:paraId="280C5B6F">
      <w:pPr>
        <w:autoSpaceDE w:val="0"/>
        <w:autoSpaceDN w:val="0"/>
        <w:adjustRightInd w:val="0"/>
        <w:spacing w:beforeAutospacing="0" w:afterAutospacing="0" w:line="360" w:lineRule="auto"/>
        <w:ind w:right="678" w:rightChars="323"/>
        <w:jc w:val="center"/>
        <w:rPr>
          <w:rFonts w:ascii="宋体" w:hAnsi="宋体" w:eastAsia="宋体" w:cs="宋体"/>
          <w:b/>
          <w:bCs/>
          <w:sz w:val="28"/>
          <w:szCs w:val="28"/>
        </w:rPr>
      </w:pPr>
      <w:r>
        <w:rPr>
          <w:rFonts w:hint="eastAsia" w:ascii="宋体" w:hAnsi="宋体" w:eastAsia="宋体" w:cs="宋体"/>
          <w:b/>
          <w:bCs/>
          <w:sz w:val="28"/>
          <w:szCs w:val="28"/>
        </w:rPr>
        <w:t>附表2：符合性审查表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14:paraId="6CDD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Merge w:val="restart"/>
            <w:vAlign w:val="center"/>
          </w:tcPr>
          <w:p w14:paraId="7B82911E">
            <w:pPr>
              <w:jc w:val="center"/>
              <w:rPr>
                <w:rFonts w:ascii="宋体" w:hAnsi="宋体"/>
                <w:color w:val="auto"/>
                <w:szCs w:val="21"/>
              </w:rPr>
            </w:pPr>
            <w:r>
              <w:rPr>
                <w:rFonts w:hint="eastAsia" w:ascii="宋体" w:hAnsi="宋体"/>
                <w:b/>
                <w:bCs/>
                <w:color w:val="auto"/>
                <w:szCs w:val="21"/>
              </w:rPr>
              <w:t>评审内容</w:t>
            </w:r>
          </w:p>
        </w:tc>
      </w:tr>
      <w:tr w14:paraId="09F9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vMerge w:val="continue"/>
            <w:vAlign w:val="center"/>
          </w:tcPr>
          <w:p w14:paraId="1BA815CE">
            <w:pPr>
              <w:rPr>
                <w:rFonts w:ascii="宋体" w:hAnsi="宋体"/>
                <w:color w:val="auto"/>
                <w:szCs w:val="21"/>
              </w:rPr>
            </w:pPr>
          </w:p>
        </w:tc>
      </w:tr>
      <w:tr w14:paraId="198C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vAlign w:val="center"/>
          </w:tcPr>
          <w:p w14:paraId="2D5A1E97">
            <w:pPr>
              <w:rPr>
                <w:rFonts w:ascii="宋体" w:hAnsi="宋体"/>
                <w:color w:val="auto"/>
                <w:szCs w:val="21"/>
              </w:rPr>
            </w:pPr>
            <w:r>
              <w:rPr>
                <w:rFonts w:hint="eastAsia" w:ascii="宋体" w:hAnsi="宋体"/>
                <w:color w:val="auto"/>
                <w:szCs w:val="21"/>
              </w:rPr>
              <w:t>1.</w:t>
            </w: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p>
        </w:tc>
      </w:tr>
      <w:tr w14:paraId="64B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33EE8853">
            <w:pPr>
              <w:rPr>
                <w:rFonts w:hint="eastAsia" w:ascii="宋体" w:hAnsi="宋体"/>
                <w:color w:val="auto"/>
                <w:szCs w:val="21"/>
                <w:lang w:val="en-US" w:eastAsia="zh-CN"/>
              </w:rPr>
            </w:pPr>
            <w:r>
              <w:rPr>
                <w:rFonts w:hint="eastAsia" w:ascii="宋体" w:hAnsi="宋体"/>
                <w:szCs w:val="21"/>
              </w:rPr>
              <w:t>2.</w:t>
            </w:r>
            <w:r>
              <w:rPr>
                <w:spacing w:val="-2"/>
                <w:szCs w:val="21"/>
              </w:rPr>
              <w:t>投标报价唯一，不高于</w:t>
            </w:r>
            <w:r>
              <w:rPr>
                <w:rFonts w:hint="eastAsia"/>
                <w:spacing w:val="-2"/>
                <w:szCs w:val="21"/>
                <w:lang w:val="en-US" w:eastAsia="zh-CN"/>
              </w:rPr>
              <w:t>招标</w:t>
            </w:r>
            <w:r>
              <w:rPr>
                <w:spacing w:val="-2"/>
                <w:szCs w:val="21"/>
              </w:rPr>
              <w:t>人需求规定的最高限价</w:t>
            </w:r>
            <w:r>
              <w:rPr>
                <w:rFonts w:hint="eastAsia"/>
                <w:spacing w:val="-2"/>
                <w:szCs w:val="21"/>
              </w:rPr>
              <w:t>，且</w:t>
            </w:r>
            <w:r>
              <w:rPr>
                <w:spacing w:val="-2"/>
                <w:szCs w:val="21"/>
              </w:rPr>
              <w:t>投标报价未明显低于其他通过</w:t>
            </w:r>
            <w:r>
              <w:rPr>
                <w:szCs w:val="21"/>
              </w:rPr>
              <w:t>符合性审查投标人的报价。</w:t>
            </w:r>
          </w:p>
        </w:tc>
      </w:tr>
      <w:tr w14:paraId="135F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7DB43504">
            <w:pPr>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w:t>
            </w:r>
            <w:r>
              <w:rPr>
                <w:color w:val="auto"/>
                <w:sz w:val="21"/>
                <w:szCs w:val="21"/>
              </w:rPr>
              <w:t>已按招标文件要求提供法定代表人/负责人证明书</w:t>
            </w:r>
            <w:r>
              <w:rPr>
                <w:rFonts w:hint="eastAsia"/>
                <w:color w:val="auto"/>
                <w:sz w:val="21"/>
                <w:szCs w:val="21"/>
                <w:lang w:eastAsia="zh-CN"/>
              </w:rPr>
              <w:t>（附法定代表人</w:t>
            </w:r>
            <w:r>
              <w:rPr>
                <w:rFonts w:hint="eastAsia"/>
                <w:color w:val="auto"/>
                <w:sz w:val="21"/>
                <w:szCs w:val="21"/>
                <w:lang w:val="en-US" w:eastAsia="zh-CN"/>
              </w:rPr>
              <w:t>/</w:t>
            </w:r>
            <w:r>
              <w:rPr>
                <w:color w:val="auto"/>
                <w:sz w:val="21"/>
                <w:szCs w:val="21"/>
              </w:rPr>
              <w:t>负责人</w:t>
            </w:r>
            <w:r>
              <w:rPr>
                <w:rFonts w:hint="eastAsia"/>
                <w:color w:val="auto"/>
                <w:sz w:val="21"/>
                <w:szCs w:val="21"/>
                <w:lang w:eastAsia="zh-CN"/>
              </w:rPr>
              <w:t>身份证复印件）</w:t>
            </w:r>
            <w:r>
              <w:rPr>
                <w:color w:val="auto"/>
                <w:sz w:val="21"/>
                <w:szCs w:val="21"/>
              </w:rPr>
              <w:t>及授权委托书</w:t>
            </w:r>
            <w:r>
              <w:rPr>
                <w:rFonts w:hint="eastAsia"/>
                <w:color w:val="auto"/>
                <w:sz w:val="21"/>
                <w:szCs w:val="21"/>
                <w:lang w:eastAsia="zh-CN"/>
              </w:rPr>
              <w:t>（附被授权人身份证复印件）</w:t>
            </w:r>
            <w:r>
              <w:rPr>
                <w:color w:val="auto"/>
                <w:sz w:val="21"/>
                <w:szCs w:val="21"/>
              </w:rPr>
              <w:t>的。</w:t>
            </w:r>
          </w:p>
        </w:tc>
      </w:tr>
      <w:tr w14:paraId="0720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000" w:type="pct"/>
            <w:vAlign w:val="center"/>
          </w:tcPr>
          <w:p w14:paraId="2B84A3A6">
            <w:pPr>
              <w:rPr>
                <w:rFonts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w:t>
            </w:r>
            <w:r>
              <w:rPr>
                <w:color w:val="auto"/>
                <w:sz w:val="21"/>
                <w:szCs w:val="21"/>
              </w:rPr>
              <w:t>按招标文件要求缴纳投标保证</w:t>
            </w:r>
            <w:r>
              <w:rPr>
                <w:rFonts w:hint="eastAsia"/>
                <w:color w:val="auto"/>
                <w:sz w:val="21"/>
                <w:szCs w:val="21"/>
                <w:lang w:val="en-US" w:eastAsia="zh-CN"/>
              </w:rPr>
              <w:t>金</w:t>
            </w:r>
            <w:r>
              <w:rPr>
                <w:color w:val="auto"/>
                <w:sz w:val="21"/>
                <w:szCs w:val="21"/>
              </w:rPr>
              <w:t>。</w:t>
            </w:r>
          </w:p>
        </w:tc>
      </w:tr>
      <w:tr w14:paraId="5B8A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00" w:type="pct"/>
            <w:vAlign w:val="center"/>
          </w:tcPr>
          <w:p w14:paraId="7823171F">
            <w:pPr>
              <w:rPr>
                <w:rFonts w:ascii="宋体" w:hAnsi="宋体"/>
                <w:color w:val="auto"/>
                <w:szCs w:val="21"/>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.符合招标文件规定的签署、盖章要求。</w:t>
            </w:r>
          </w:p>
        </w:tc>
      </w:tr>
      <w:tr w14:paraId="68F7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000" w:type="pct"/>
            <w:vAlign w:val="center"/>
          </w:tcPr>
          <w:p w14:paraId="72F28A29">
            <w:pPr>
              <w:rPr>
                <w:rFonts w:ascii="宋体" w:hAnsi="宋体"/>
                <w:color w:val="auto"/>
                <w:szCs w:val="21"/>
              </w:rPr>
            </w:pP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.投标文件完全满足招标文件的实质性条款（即标注★号条款） 无负偏离的；</w:t>
            </w:r>
          </w:p>
        </w:tc>
      </w:tr>
      <w:tr w14:paraId="5EA8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000" w:type="pct"/>
            <w:vAlign w:val="center"/>
          </w:tcPr>
          <w:p w14:paraId="753299D0">
            <w:pPr>
              <w:rPr>
                <w:rFonts w:ascii="宋体" w:hAnsi="宋体"/>
                <w:color w:val="auto"/>
                <w:szCs w:val="21"/>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.投标文件没有招标文件中规定的其他无效投标条款的；</w:t>
            </w:r>
          </w:p>
        </w:tc>
      </w:tr>
      <w:tr w14:paraId="6B4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000" w:type="pct"/>
            <w:vAlign w:val="center"/>
          </w:tcPr>
          <w:p w14:paraId="0BF1055E">
            <w:pPr>
              <w:rPr>
                <w:rFonts w:ascii="宋体" w:hAnsi="宋体"/>
                <w:color w:val="auto"/>
                <w:szCs w:val="21"/>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.按有关法律、法规、规章不属于投标无效的。</w:t>
            </w:r>
          </w:p>
        </w:tc>
      </w:tr>
    </w:tbl>
    <w:p w14:paraId="36A33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宋体" w:hAnsi="宋体" w:eastAsia="宋体" w:cs="宋体"/>
          <w:b/>
          <w:bCs/>
          <w:szCs w:val="21"/>
        </w:rPr>
      </w:pPr>
      <w:r>
        <w:rPr>
          <w:rFonts w:hint="eastAsia" w:ascii="宋体" w:hAnsi="宋体" w:eastAsia="宋体" w:cs="宋体"/>
          <w:b/>
          <w:bCs/>
          <w:szCs w:val="21"/>
        </w:rPr>
        <w:t>注：投标人如有任意一项评审内容不通过的则被评为符合性审查不通过，不能进入商务、技术</w:t>
      </w:r>
      <w:r>
        <w:rPr>
          <w:rFonts w:hint="eastAsia" w:ascii="宋体" w:hAnsi="宋体" w:cs="宋体"/>
          <w:b/>
          <w:bCs/>
          <w:szCs w:val="21"/>
          <w:lang w:eastAsia="zh-CN"/>
        </w:rPr>
        <w:t>、</w:t>
      </w:r>
      <w:r>
        <w:rPr>
          <w:rFonts w:hint="eastAsia" w:ascii="宋体" w:hAnsi="宋体" w:cs="宋体"/>
          <w:b/>
          <w:bCs/>
          <w:szCs w:val="21"/>
          <w:lang w:val="en-US" w:eastAsia="zh-CN"/>
        </w:rPr>
        <w:t>价格评审</w:t>
      </w:r>
      <w:r>
        <w:rPr>
          <w:rFonts w:hint="eastAsia" w:ascii="宋体" w:hAnsi="宋体" w:eastAsia="宋体" w:cs="宋体"/>
          <w:b/>
          <w:bCs/>
          <w:szCs w:val="21"/>
        </w:rPr>
        <w:t>。</w:t>
      </w:r>
    </w:p>
    <w:p w14:paraId="30A5E756">
      <w:pPr>
        <w:pStyle w:val="109"/>
        <w:spacing w:beforeAutospacing="0" w:afterAutospacing="0" w:line="360" w:lineRule="auto"/>
        <w:rPr>
          <w:rFonts w:ascii="宋体" w:hAnsi="宋体" w:eastAsia="宋体" w:cs="宋体"/>
          <w:b/>
          <w:bCs/>
          <w:szCs w:val="21"/>
        </w:rPr>
      </w:pPr>
    </w:p>
    <w:p w14:paraId="19E0CEFA">
      <w:pPr>
        <w:pStyle w:val="109"/>
        <w:spacing w:beforeAutospacing="0" w:afterAutospacing="0" w:line="360" w:lineRule="auto"/>
        <w:ind w:firstLine="0"/>
        <w:rPr>
          <w:rFonts w:ascii="宋体" w:hAnsi="宋体" w:eastAsia="宋体" w:cs="宋体"/>
          <w:b/>
          <w:bCs/>
          <w:szCs w:val="21"/>
        </w:rPr>
      </w:pPr>
    </w:p>
    <w:p w14:paraId="41D38EC5">
      <w:pPr>
        <w:pStyle w:val="109"/>
        <w:spacing w:beforeAutospacing="0" w:afterAutospacing="0" w:line="360" w:lineRule="auto"/>
        <w:ind w:firstLine="0"/>
        <w:rPr>
          <w:rFonts w:ascii="宋体" w:hAnsi="宋体" w:eastAsia="宋体" w:cs="宋体"/>
          <w:b/>
          <w:bCs/>
          <w:szCs w:val="21"/>
        </w:rPr>
      </w:pPr>
    </w:p>
    <w:p w14:paraId="18840848">
      <w:pPr>
        <w:pStyle w:val="109"/>
        <w:spacing w:beforeAutospacing="0" w:afterAutospacing="0" w:line="360" w:lineRule="auto"/>
        <w:ind w:firstLine="0"/>
        <w:rPr>
          <w:rFonts w:ascii="宋体" w:hAnsi="宋体" w:eastAsia="宋体" w:cs="宋体"/>
          <w:b/>
          <w:bCs/>
          <w:szCs w:val="21"/>
        </w:rPr>
      </w:pPr>
    </w:p>
    <w:p w14:paraId="547477A3">
      <w:pPr>
        <w:pStyle w:val="3"/>
        <w:jc w:val="center"/>
        <w:rPr>
          <w:rFonts w:ascii="宋体" w:hAnsi="宋体" w:eastAsia="宋体" w:cs="宋体"/>
          <w:bCs/>
          <w:color w:val="auto"/>
          <w:szCs w:val="30"/>
        </w:rPr>
        <w:sectPr>
          <w:pgSz w:w="11905" w:h="16838"/>
          <w:pgMar w:top="1440" w:right="1803" w:bottom="1440" w:left="1803" w:header="283" w:footer="1077" w:gutter="0"/>
          <w:pgNumType w:fmt="decimal"/>
          <w:cols w:space="0" w:num="1"/>
          <w:rtlGutter w:val="0"/>
          <w:docGrid w:type="lines" w:linePitch="317" w:charSpace="0"/>
        </w:sectPr>
      </w:pPr>
    </w:p>
    <w:p w14:paraId="43403A9E">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cs="宋体"/>
          <w:b/>
          <w:bCs w:val="0"/>
          <w:color w:val="000000" w:themeColor="text1"/>
          <w:sz w:val="28"/>
          <w:szCs w:val="28"/>
          <w14:textFill>
            <w14:solidFill>
              <w14:schemeClr w14:val="tx1"/>
            </w14:solidFill>
          </w14:textFill>
        </w:rPr>
        <w:t>附表</w:t>
      </w:r>
      <w:r>
        <w:rPr>
          <w:rFonts w:hint="eastAsia" w:cs="宋体"/>
          <w:b/>
          <w:bCs w:val="0"/>
          <w:color w:val="000000" w:themeColor="text1"/>
          <w:sz w:val="28"/>
          <w:szCs w:val="28"/>
          <w:lang w:val="en-US" w:eastAsia="zh-CN"/>
          <w14:textFill>
            <w14:solidFill>
              <w14:schemeClr w14:val="tx1"/>
            </w14:solidFill>
          </w14:textFill>
        </w:rPr>
        <w:t>1</w:t>
      </w:r>
      <w:r>
        <w:rPr>
          <w:rFonts w:hint="eastAsia" w:cs="宋体"/>
          <w:b/>
          <w:bCs w:val="0"/>
          <w:color w:val="000000" w:themeColor="text1"/>
          <w:sz w:val="28"/>
          <w:szCs w:val="28"/>
          <w14:textFill>
            <w14:solidFill>
              <w14:schemeClr w14:val="tx1"/>
            </w14:solidFill>
          </w14:textFill>
        </w:rPr>
        <w:t>：</w:t>
      </w:r>
      <w:r>
        <w:rPr>
          <w:rFonts w:hint="eastAsia" w:cs="宋体"/>
          <w:b/>
          <w:bCs w:val="0"/>
          <w:color w:val="000000" w:themeColor="text1"/>
          <w:sz w:val="28"/>
          <w:szCs w:val="28"/>
          <w:lang w:val="en-US" w:eastAsia="zh-CN"/>
          <w14:textFill>
            <w14:solidFill>
              <w14:schemeClr w14:val="tx1"/>
            </w14:solidFill>
          </w14:textFill>
        </w:rPr>
        <w:t>商务</w:t>
      </w:r>
      <w:r>
        <w:rPr>
          <w:rFonts w:hint="eastAsia" w:cs="宋体"/>
          <w:b/>
          <w:bCs w:val="0"/>
          <w:color w:val="000000" w:themeColor="text1"/>
          <w:sz w:val="28"/>
          <w:szCs w:val="28"/>
          <w14:textFill>
            <w14:solidFill>
              <w14:schemeClr w14:val="tx1"/>
            </w14:solidFill>
          </w14:textFill>
        </w:rPr>
        <w:t>评分表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284"/>
        <w:gridCol w:w="712"/>
        <w:gridCol w:w="5840"/>
      </w:tblGrid>
      <w:tr w14:paraId="192A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exact"/>
          <w:tblHeader/>
          <w:jc w:val="center"/>
        </w:trPr>
        <w:tc>
          <w:tcPr>
            <w:tcW w:w="398" w:type="pct"/>
            <w:shd w:val="clear" w:color="auto" w:fill="D8D8D8"/>
            <w:vAlign w:val="center"/>
          </w:tcPr>
          <w:p w14:paraId="24BBCE4E">
            <w:pPr>
              <w:snapToGrid w:val="0"/>
              <w:spacing w:beforeAutospacing="0" w:afterAutospacing="0" w:line="480" w:lineRule="exact"/>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754" w:type="pct"/>
            <w:shd w:val="clear" w:color="auto" w:fill="D8D8D8"/>
            <w:vAlign w:val="center"/>
          </w:tcPr>
          <w:p w14:paraId="25CEB3F0">
            <w:pPr>
              <w:snapToGrid w:val="0"/>
              <w:spacing w:beforeAutospacing="0" w:afterAutospacing="0" w:line="480" w:lineRule="exact"/>
              <w:jc w:val="center"/>
              <w:rPr>
                <w:rFonts w:hint="eastAsia" w:ascii="宋体" w:hAnsi="宋体" w:eastAsia="宋体" w:cs="宋体"/>
                <w:b/>
                <w:sz w:val="21"/>
                <w:szCs w:val="21"/>
              </w:rPr>
            </w:pPr>
            <w:r>
              <w:rPr>
                <w:rFonts w:hint="eastAsia" w:ascii="宋体" w:hAnsi="宋体" w:eastAsia="宋体" w:cs="宋体"/>
                <w:b/>
                <w:sz w:val="21"/>
                <w:szCs w:val="21"/>
              </w:rPr>
              <w:t>评审分项</w:t>
            </w:r>
          </w:p>
        </w:tc>
        <w:tc>
          <w:tcPr>
            <w:tcW w:w="418" w:type="pct"/>
            <w:shd w:val="clear" w:color="auto" w:fill="D8D8D8"/>
            <w:vAlign w:val="center"/>
          </w:tcPr>
          <w:p w14:paraId="545DBBFD">
            <w:pPr>
              <w:snapToGrid w:val="0"/>
              <w:spacing w:beforeAutospacing="0" w:afterAutospacing="0" w:line="480" w:lineRule="exact"/>
              <w:jc w:val="center"/>
              <w:rPr>
                <w:rFonts w:hint="eastAsia" w:ascii="宋体" w:hAnsi="宋体" w:eastAsia="宋体" w:cs="宋体"/>
                <w:b/>
                <w:sz w:val="21"/>
                <w:szCs w:val="21"/>
              </w:rPr>
            </w:pPr>
            <w:r>
              <w:rPr>
                <w:rFonts w:hint="eastAsia" w:ascii="宋体" w:hAnsi="宋体" w:eastAsia="宋体" w:cs="宋体"/>
                <w:b/>
                <w:sz w:val="21"/>
                <w:szCs w:val="21"/>
              </w:rPr>
              <w:t>分值</w:t>
            </w:r>
          </w:p>
        </w:tc>
        <w:tc>
          <w:tcPr>
            <w:tcW w:w="3429" w:type="pct"/>
            <w:shd w:val="clear" w:color="auto" w:fill="D8D8D8"/>
            <w:vAlign w:val="center"/>
          </w:tcPr>
          <w:p w14:paraId="41CCAD6F">
            <w:pPr>
              <w:snapToGrid w:val="0"/>
              <w:spacing w:beforeAutospacing="0" w:afterAutospacing="0" w:line="480" w:lineRule="exact"/>
              <w:jc w:val="center"/>
              <w:rPr>
                <w:rFonts w:hint="eastAsia" w:ascii="宋体" w:hAnsi="宋体" w:eastAsia="宋体" w:cs="宋体"/>
                <w:b/>
                <w:sz w:val="21"/>
                <w:szCs w:val="21"/>
              </w:rPr>
            </w:pPr>
            <w:r>
              <w:rPr>
                <w:rFonts w:hint="eastAsia" w:ascii="宋体" w:hAnsi="宋体" w:eastAsia="宋体" w:cs="宋体"/>
                <w:b/>
                <w:sz w:val="21"/>
                <w:szCs w:val="21"/>
              </w:rPr>
              <w:t>评审标准</w:t>
            </w:r>
          </w:p>
        </w:tc>
      </w:tr>
      <w:tr w14:paraId="6A8F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8" w:type="pct"/>
            <w:vAlign w:val="center"/>
          </w:tcPr>
          <w:p w14:paraId="689EEB0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ascii="宋体" w:hAnsi="宋体" w:cs="宋体"/>
                <w:szCs w:val="21"/>
              </w:rPr>
            </w:pPr>
            <w:r>
              <w:rPr>
                <w:rFonts w:hint="eastAsia" w:ascii="宋体" w:hAnsi="宋体" w:cs="宋体"/>
                <w:szCs w:val="21"/>
              </w:rPr>
              <w:t>1</w:t>
            </w:r>
          </w:p>
        </w:tc>
        <w:tc>
          <w:tcPr>
            <w:tcW w:w="754" w:type="pct"/>
            <w:vAlign w:val="center"/>
          </w:tcPr>
          <w:p w14:paraId="18A73374">
            <w:pPr>
              <w:keepNext w:val="0"/>
              <w:keepLines w:val="0"/>
              <w:pageBreakBefore w:val="0"/>
              <w:widowControl w:val="0"/>
              <w:suppressLineNumbers w:val="0"/>
              <w:kinsoku/>
              <w:wordWrap/>
              <w:overflowPunct/>
              <w:topLinePunct w:val="0"/>
              <w:autoSpaceDE/>
              <w:autoSpaceDN/>
              <w:bidi w:val="0"/>
              <w:spacing w:beforeAutospacing="0" w:afterAutospacing="0" w:line="480" w:lineRule="exact"/>
              <w:jc w:val="center"/>
              <w:textAlignment w:val="auto"/>
              <w:rPr>
                <w:rFonts w:hint="eastAsia" w:ascii="宋体" w:hAnsi="宋体" w:cs="宋体"/>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服务站建设</w:t>
            </w:r>
          </w:p>
        </w:tc>
        <w:tc>
          <w:tcPr>
            <w:tcW w:w="418" w:type="pct"/>
            <w:vAlign w:val="center"/>
          </w:tcPr>
          <w:p w14:paraId="1D66F6F6">
            <w:pPr>
              <w:keepNext w:val="0"/>
              <w:keepLines w:val="0"/>
              <w:pageBreakBefore w:val="0"/>
              <w:widowControl w:val="0"/>
              <w:kinsoku/>
              <w:wordWrap/>
              <w:overflowPunct/>
              <w:topLinePunct w:val="0"/>
              <w:autoSpaceDE/>
              <w:autoSpaceDN/>
              <w:bidi w:val="0"/>
              <w:adjustRightInd/>
              <w:spacing w:beforeAutospacing="0" w:afterAutospacing="0" w:line="480" w:lineRule="exact"/>
              <w:jc w:val="center"/>
              <w:textAlignment w:val="auto"/>
              <w:rPr>
                <w:rFonts w:hint="default"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15</w:t>
            </w:r>
          </w:p>
        </w:tc>
        <w:tc>
          <w:tcPr>
            <w:tcW w:w="3429" w:type="pct"/>
            <w:vAlign w:val="center"/>
          </w:tcPr>
          <w:p w14:paraId="1FF27D0E">
            <w:pPr>
              <w:pStyle w:val="17"/>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投标人向招标人承诺，中标后在招标人所在地设立</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服务点</w:t>
            </w:r>
            <w:r>
              <w:rPr>
                <w:rFonts w:hint="eastAsia" w:asciiTheme="minorEastAsia" w:hAnsiTheme="minorEastAsia" w:eastAsiaTheme="minorEastAsia" w:cstheme="minorEastAsia"/>
                <w:color w:val="000000" w:themeColor="text1"/>
                <w:szCs w:val="21"/>
                <w14:textFill>
                  <w14:solidFill>
                    <w14:schemeClr w14:val="tx1"/>
                  </w14:solidFill>
                </w14:textFill>
              </w:rPr>
              <w:t>，以方便</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后期合同履约能力</w:t>
            </w:r>
            <w:r>
              <w:rPr>
                <w:rFonts w:hint="eastAsia" w:asciiTheme="minorEastAsia" w:hAnsiTheme="minorEastAsia" w:eastAsiaTheme="minorEastAsia" w:cstheme="minorEastAsia"/>
                <w:color w:val="000000" w:themeColor="text1"/>
                <w:szCs w:val="21"/>
                <w14:textFill>
                  <w14:solidFill>
                    <w14:schemeClr w14:val="tx1"/>
                  </w14:solidFill>
                </w14:textFill>
              </w:rPr>
              <w:t>，得</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15</w:t>
            </w:r>
            <w:r>
              <w:rPr>
                <w:rFonts w:hint="eastAsia" w:asciiTheme="minorEastAsia" w:hAnsiTheme="minorEastAsia" w:eastAsiaTheme="minorEastAsia" w:cstheme="minorEastAsia"/>
                <w:color w:val="000000" w:themeColor="text1"/>
                <w:szCs w:val="21"/>
                <w14:textFill>
                  <w14:solidFill>
                    <w14:schemeClr w14:val="tx1"/>
                  </w14:solidFill>
                </w14:textFill>
              </w:rPr>
              <w:t>分，本项最高得</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15</w:t>
            </w:r>
            <w:r>
              <w:rPr>
                <w:rFonts w:hint="eastAsia" w:asciiTheme="minorEastAsia" w:hAnsiTheme="minorEastAsia" w:eastAsiaTheme="minorEastAsia" w:cstheme="minorEastAsia"/>
                <w:color w:val="000000" w:themeColor="text1"/>
                <w:szCs w:val="21"/>
                <w14:textFill>
                  <w14:solidFill>
                    <w14:schemeClr w14:val="tx1"/>
                  </w14:solidFill>
                </w14:textFill>
              </w:rPr>
              <w:t>分。</w:t>
            </w:r>
          </w:p>
          <w:p w14:paraId="1B1845EF">
            <w:pPr>
              <w:pStyle w:val="17"/>
              <w:spacing w:line="360" w:lineRule="auto"/>
              <w:rPr>
                <w:rFonts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注：</w:t>
            </w:r>
          </w:p>
          <w:p w14:paraId="4249DC2C">
            <w:pPr>
              <w:pStyle w:val="17"/>
              <w:spacing w:line="360" w:lineRule="auto"/>
              <w:rPr>
                <w:rFonts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①提供承诺函，格式自拟并加盖投标人公章。</w:t>
            </w:r>
          </w:p>
          <w:p w14:paraId="6ADCBCFB">
            <w:pPr>
              <w:keepNext w:val="0"/>
              <w:keepLines w:val="0"/>
              <w:pageBreakBefore w:val="0"/>
              <w:widowControl w:val="0"/>
              <w:numPr>
                <w:ilvl w:val="0"/>
                <w:numId w:val="0"/>
              </w:numPr>
              <w:kinsoku/>
              <w:wordWrap/>
              <w:overflowPunct/>
              <w:topLinePunct w:val="0"/>
              <w:autoSpaceDE/>
              <w:autoSpaceDN/>
              <w:bidi w:val="0"/>
              <w:spacing w:beforeAutospacing="0" w:afterAutospacing="0" w:line="480" w:lineRule="exact"/>
              <w:textAlignment w:val="auto"/>
              <w:rPr>
                <w:rFonts w:hint="default"/>
                <w:lang w:val="en-US" w:eastAsia="zh-CN"/>
              </w:rPr>
            </w:pPr>
            <w:r>
              <w:rPr>
                <w:rFonts w:hint="eastAsia" w:asciiTheme="minorEastAsia" w:hAnsiTheme="minorEastAsia" w:eastAsiaTheme="minorEastAsia" w:cstheme="minorEastAsia"/>
                <w:b/>
                <w:bCs/>
                <w:color w:val="000000" w:themeColor="text1"/>
                <w:szCs w:val="21"/>
                <w14:textFill>
                  <w14:solidFill>
                    <w14:schemeClr w14:val="tx1"/>
                  </w14:solidFill>
                </w14:textFill>
              </w:rPr>
              <w:t>②如投标人在投标文件出具此承诺函，在中标后未按上述承诺内容履行的，由此造成后续问题由中标人负责。</w:t>
            </w:r>
          </w:p>
        </w:tc>
      </w:tr>
      <w:tr w14:paraId="24D3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8" w:type="pct"/>
            <w:vAlign w:val="center"/>
          </w:tcPr>
          <w:p w14:paraId="615B636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ascii="宋体" w:hAnsi="宋体" w:cs="宋体"/>
                <w:szCs w:val="21"/>
              </w:rPr>
            </w:pPr>
            <w:r>
              <w:rPr>
                <w:rFonts w:hint="eastAsia" w:ascii="宋体" w:hAnsi="宋体" w:cs="宋体"/>
                <w:szCs w:val="21"/>
              </w:rPr>
              <w:t>2</w:t>
            </w:r>
          </w:p>
        </w:tc>
        <w:tc>
          <w:tcPr>
            <w:tcW w:w="754" w:type="pct"/>
            <w:vAlign w:val="center"/>
          </w:tcPr>
          <w:p w14:paraId="1FC70ACC">
            <w:pPr>
              <w:keepNext w:val="0"/>
              <w:keepLines w:val="0"/>
              <w:pageBreakBefore w:val="0"/>
              <w:widowControl w:val="0"/>
              <w:suppressLineNumbers w:val="0"/>
              <w:kinsoku/>
              <w:wordWrap/>
              <w:overflowPunct/>
              <w:topLinePunct w:val="0"/>
              <w:autoSpaceDE/>
              <w:autoSpaceDN/>
              <w:bidi w:val="0"/>
              <w:spacing w:beforeAutospacing="0" w:afterAutospacing="0" w:line="480" w:lineRule="exact"/>
              <w:jc w:val="center"/>
              <w:textAlignment w:val="auto"/>
              <w:rPr>
                <w:rFonts w:hint="eastAsia" w:ascii="宋体" w:hAnsi="宋体" w:cs="宋体"/>
                <w:szCs w:val="21"/>
                <w:lang w:val="en-US" w:eastAsia="zh-CN"/>
              </w:rPr>
            </w:pPr>
            <w:r>
              <w:rPr>
                <w:rFonts w:hint="eastAsia" w:ascii="宋体" w:hAnsi="宋体" w:cs="宋体"/>
                <w:szCs w:val="21"/>
                <w:lang w:val="en-US" w:eastAsia="zh-CN"/>
              </w:rPr>
              <w:t>服务响应</w:t>
            </w:r>
          </w:p>
          <w:p w14:paraId="7F077544">
            <w:pPr>
              <w:keepNext w:val="0"/>
              <w:keepLines w:val="0"/>
              <w:pageBreakBefore w:val="0"/>
              <w:widowControl w:val="0"/>
              <w:suppressLineNumbers w:val="0"/>
              <w:kinsoku/>
              <w:wordWrap/>
              <w:overflowPunct/>
              <w:topLinePunct w:val="0"/>
              <w:autoSpaceDE/>
              <w:autoSpaceDN/>
              <w:bidi w:val="0"/>
              <w:spacing w:beforeAutospacing="0" w:afterAutospacing="0" w:line="480" w:lineRule="exact"/>
              <w:jc w:val="center"/>
              <w:textAlignment w:val="auto"/>
              <w:rPr>
                <w:rFonts w:hint="default" w:ascii="宋体" w:hAnsi="宋体" w:cs="宋体"/>
                <w:szCs w:val="21"/>
                <w:lang w:val="en-US" w:eastAsia="zh-CN"/>
              </w:rPr>
            </w:pPr>
            <w:r>
              <w:rPr>
                <w:rFonts w:hint="eastAsia" w:ascii="宋体" w:hAnsi="宋体" w:cs="宋体"/>
                <w:szCs w:val="21"/>
                <w:lang w:val="en-US" w:eastAsia="zh-CN"/>
              </w:rPr>
              <w:t>能力</w:t>
            </w:r>
          </w:p>
        </w:tc>
        <w:tc>
          <w:tcPr>
            <w:tcW w:w="418" w:type="pct"/>
            <w:vAlign w:val="center"/>
          </w:tcPr>
          <w:p w14:paraId="6DA190D7">
            <w:pPr>
              <w:keepNext w:val="0"/>
              <w:keepLines w:val="0"/>
              <w:pageBreakBefore w:val="0"/>
              <w:widowControl w:val="0"/>
              <w:kinsoku/>
              <w:wordWrap/>
              <w:overflowPunct/>
              <w:topLinePunct w:val="0"/>
              <w:autoSpaceDE/>
              <w:autoSpaceDN/>
              <w:bidi w:val="0"/>
              <w:adjustRightInd/>
              <w:spacing w:beforeAutospacing="0" w:afterAutospacing="0" w:line="480" w:lineRule="exact"/>
              <w:jc w:val="center"/>
              <w:textAlignment w:val="auto"/>
              <w:rPr>
                <w:rFonts w:hint="default" w:ascii="宋体" w:hAnsi="宋体" w:cs="宋体"/>
                <w:szCs w:val="21"/>
                <w:lang w:val="en-US" w:eastAsia="zh-CN"/>
              </w:rPr>
            </w:pPr>
            <w:r>
              <w:rPr>
                <w:rFonts w:hint="eastAsia" w:ascii="宋体" w:hAnsi="宋体" w:cs="宋体"/>
                <w:szCs w:val="21"/>
                <w:lang w:val="en-US" w:eastAsia="zh-CN"/>
              </w:rPr>
              <w:t>15</w:t>
            </w:r>
          </w:p>
        </w:tc>
        <w:tc>
          <w:tcPr>
            <w:tcW w:w="3429" w:type="pct"/>
            <w:vAlign w:val="center"/>
          </w:tcPr>
          <w:p w14:paraId="49FA525C">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根据投标人提供的服务响应时间承诺进行评分：</w:t>
            </w:r>
          </w:p>
          <w:p w14:paraId="29D18634">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lang w:val="en-US" w:eastAsia="zh-CN" w:bidi="ar-SA"/>
              </w:rPr>
              <w:t>承诺在接到招标人通知后1小时（含1小时）内</w:t>
            </w:r>
            <w:r>
              <w:rPr>
                <w:rFonts w:hint="eastAsia" w:ascii="宋体" w:hAnsi="宋体" w:cs="宋体"/>
                <w:color w:val="auto"/>
                <w:kern w:val="2"/>
                <w:sz w:val="21"/>
                <w:szCs w:val="21"/>
                <w:highlight w:val="none"/>
                <w:lang w:val="en-US" w:eastAsia="zh-CN" w:bidi="ar-SA"/>
              </w:rPr>
              <w:t>响应的</w:t>
            </w:r>
            <w:r>
              <w:rPr>
                <w:rFonts w:hint="eastAsia" w:ascii="宋体" w:hAnsi="宋体" w:eastAsia="宋体" w:cs="宋体"/>
                <w:color w:val="auto"/>
                <w:kern w:val="2"/>
                <w:sz w:val="21"/>
                <w:szCs w:val="21"/>
                <w:highlight w:val="none"/>
                <w:lang w:val="en-US" w:eastAsia="zh-CN" w:bidi="ar-SA"/>
              </w:rPr>
              <w:t>，得1</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w:t>
            </w:r>
          </w:p>
          <w:p w14:paraId="0D5A3728">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lang w:val="en-US" w:eastAsia="zh-CN" w:bidi="ar-SA"/>
              </w:rPr>
              <w:t>承诺在接到招标人通知后1小时（不含1小时）至1小时30分钟（含1小时30分钟）内</w:t>
            </w:r>
            <w:r>
              <w:rPr>
                <w:rFonts w:hint="eastAsia" w:ascii="宋体" w:hAnsi="宋体" w:cs="宋体"/>
                <w:color w:val="auto"/>
                <w:kern w:val="2"/>
                <w:sz w:val="21"/>
                <w:szCs w:val="21"/>
                <w:highlight w:val="none"/>
                <w:lang w:val="en-US" w:eastAsia="zh-CN" w:bidi="ar-SA"/>
              </w:rPr>
              <w:t>响应的</w:t>
            </w:r>
            <w:r>
              <w:rPr>
                <w:rFonts w:hint="eastAsia" w:ascii="宋体" w:hAnsi="宋体" w:eastAsia="宋体" w:cs="宋体"/>
                <w:color w:val="auto"/>
                <w:kern w:val="2"/>
                <w:sz w:val="21"/>
                <w:szCs w:val="21"/>
                <w:highlight w:val="none"/>
                <w:lang w:val="en-US" w:eastAsia="zh-CN" w:bidi="ar-SA"/>
              </w:rPr>
              <w:t>，得</w:t>
            </w:r>
            <w:r>
              <w:rPr>
                <w:rFonts w:hint="eastAsia" w:ascii="宋体" w:hAnsi="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分；</w:t>
            </w:r>
          </w:p>
          <w:p w14:paraId="1D2415B5">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lang w:val="en-US" w:eastAsia="zh-CN" w:bidi="ar-SA"/>
              </w:rPr>
              <w:t>承诺在接到招标人通知后1小时30分钟（不含1小时30分钟）至2小时（含2小时）</w:t>
            </w:r>
            <w:r>
              <w:rPr>
                <w:rFonts w:hint="eastAsia" w:ascii="宋体" w:hAnsi="宋体" w:cs="宋体"/>
                <w:color w:val="auto"/>
                <w:kern w:val="2"/>
                <w:sz w:val="21"/>
                <w:szCs w:val="21"/>
                <w:highlight w:val="none"/>
                <w:lang w:val="en-US" w:eastAsia="zh-CN" w:bidi="ar-SA"/>
              </w:rPr>
              <w:t>响应的</w:t>
            </w:r>
            <w:r>
              <w:rPr>
                <w:rFonts w:hint="eastAsia" w:ascii="宋体" w:hAnsi="宋体" w:eastAsia="宋体" w:cs="宋体"/>
                <w:color w:val="auto"/>
                <w:kern w:val="2"/>
                <w:sz w:val="21"/>
                <w:szCs w:val="21"/>
                <w:highlight w:val="none"/>
                <w:lang w:val="en-US" w:eastAsia="zh-CN" w:bidi="ar-SA"/>
              </w:rPr>
              <w:t>，得</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w:t>
            </w:r>
          </w:p>
          <w:p w14:paraId="0A949CAC">
            <w:pPr>
              <w:pStyle w:val="57"/>
              <w:keepNext w:val="0"/>
              <w:keepLines w:val="0"/>
              <w:pageBreakBefore w:val="0"/>
              <w:widowControl w:val="0"/>
              <w:kinsoku/>
              <w:wordWrap/>
              <w:overflowPunct/>
              <w:topLinePunct w:val="0"/>
              <w:autoSpaceDE/>
              <w:autoSpaceDN/>
              <w:bidi w:val="0"/>
              <w:adjustRightInd/>
              <w:spacing w:beforeAutospacing="0" w:afterAutospacing="0" w:line="480" w:lineRule="exact"/>
              <w:ind w:left="0" w:leftChars="0" w:firstLine="0" w:firstLineChars="0"/>
              <w:textAlignment w:val="auto"/>
              <w:rPr>
                <w:rFonts w:hint="default"/>
                <w:lang w:val="en-US" w:eastAsia="zh-CN"/>
              </w:rPr>
            </w:pPr>
            <w:r>
              <w:rPr>
                <w:rFonts w:hint="eastAsia" w:ascii="宋体" w:hAnsi="宋体" w:eastAsia="宋体" w:cs="宋体"/>
                <w:b/>
                <w:bCs/>
                <w:color w:val="auto"/>
                <w:kern w:val="2"/>
                <w:sz w:val="21"/>
                <w:szCs w:val="21"/>
                <w:highlight w:val="none"/>
                <w:lang w:val="en-US" w:eastAsia="zh-CN" w:bidi="ar-SA"/>
              </w:rPr>
              <w:t>注:提供承诺函，格式自拟并加盖</w:t>
            </w:r>
            <w:r>
              <w:rPr>
                <w:rFonts w:hint="eastAsia" w:eastAsia="宋体" w:cs="宋体"/>
                <w:b/>
                <w:bCs/>
                <w:color w:val="auto"/>
                <w:kern w:val="2"/>
                <w:sz w:val="21"/>
                <w:szCs w:val="21"/>
                <w:highlight w:val="none"/>
                <w:lang w:val="en-US" w:eastAsia="zh-CN" w:bidi="ar-SA"/>
              </w:rPr>
              <w:t>投标人</w:t>
            </w:r>
            <w:r>
              <w:rPr>
                <w:rFonts w:hint="eastAsia" w:ascii="宋体" w:hAnsi="宋体" w:eastAsia="宋体" w:cs="宋体"/>
                <w:b/>
                <w:bCs/>
                <w:color w:val="auto"/>
                <w:kern w:val="2"/>
                <w:sz w:val="21"/>
                <w:szCs w:val="21"/>
                <w:highlight w:val="none"/>
                <w:lang w:val="en-US" w:eastAsia="zh-CN" w:bidi="ar-SA"/>
              </w:rPr>
              <w:t>公章。</w:t>
            </w:r>
          </w:p>
        </w:tc>
      </w:tr>
      <w:tr w14:paraId="026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1152" w:type="pct"/>
            <w:gridSpan w:val="2"/>
            <w:vAlign w:val="center"/>
          </w:tcPr>
          <w:p w14:paraId="7FC0222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ascii="宋体" w:hAnsi="宋体"/>
                <w:b/>
                <w:bCs/>
                <w:sz w:val="24"/>
              </w:rPr>
            </w:pPr>
            <w:r>
              <w:rPr>
                <w:rFonts w:ascii="宋体" w:hAnsi="宋体"/>
                <w:b/>
                <w:sz w:val="24"/>
              </w:rPr>
              <w:t>合计</w:t>
            </w:r>
          </w:p>
        </w:tc>
        <w:tc>
          <w:tcPr>
            <w:tcW w:w="3847" w:type="pct"/>
            <w:gridSpan w:val="2"/>
            <w:vAlign w:val="center"/>
          </w:tcPr>
          <w:p w14:paraId="65A5145E">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ascii="宋体" w:hAnsi="宋体"/>
                <w:b/>
                <w:bCs/>
                <w:sz w:val="24"/>
              </w:rPr>
            </w:pPr>
            <w:r>
              <w:rPr>
                <w:rFonts w:hint="eastAsia" w:ascii="宋体" w:hAnsi="宋体"/>
                <w:b/>
                <w:bCs/>
                <w:sz w:val="24"/>
                <w:lang w:val="en-US" w:eastAsia="zh-CN"/>
              </w:rPr>
              <w:t>30</w:t>
            </w:r>
            <w:r>
              <w:rPr>
                <w:rFonts w:hint="eastAsia" w:ascii="宋体" w:hAnsi="宋体"/>
                <w:b/>
                <w:bCs/>
                <w:sz w:val="24"/>
              </w:rPr>
              <w:t>分</w:t>
            </w:r>
          </w:p>
        </w:tc>
      </w:tr>
    </w:tbl>
    <w:p w14:paraId="18C9B8AE">
      <w:pPr>
        <w:pStyle w:val="3"/>
        <w:spacing w:beforeAutospacing="0" w:afterAutospacing="0" w:line="600" w:lineRule="exact"/>
        <w:jc w:val="center"/>
        <w:rPr>
          <w:rFonts w:hint="eastAsia" w:cs="宋体"/>
          <w:b/>
          <w:bCs w:val="0"/>
          <w:color w:val="000000" w:themeColor="text1"/>
          <w:sz w:val="28"/>
          <w:szCs w:val="28"/>
          <w:lang w:val="en-US" w:eastAsia="zh-CN"/>
          <w14:textFill>
            <w14:solidFill>
              <w14:schemeClr w14:val="tx1"/>
            </w14:solidFill>
          </w14:textFill>
        </w:rPr>
      </w:pPr>
    </w:p>
    <w:p w14:paraId="7B0D483F">
      <w:pPr>
        <w:pStyle w:val="4"/>
        <w:rPr>
          <w:rFonts w:hint="eastAsia" w:cs="宋体"/>
          <w:b/>
          <w:bCs w:val="0"/>
          <w:color w:val="000000" w:themeColor="text1"/>
          <w:sz w:val="28"/>
          <w:szCs w:val="28"/>
          <w:lang w:val="en-US" w:eastAsia="zh-CN"/>
          <w14:textFill>
            <w14:solidFill>
              <w14:schemeClr w14:val="tx1"/>
            </w14:solidFill>
          </w14:textFill>
        </w:rPr>
      </w:pPr>
    </w:p>
    <w:p w14:paraId="1132141E">
      <w:pPr>
        <w:pStyle w:val="5"/>
        <w:rPr>
          <w:rFonts w:hint="eastAsia" w:cs="宋体"/>
          <w:b/>
          <w:bCs w:val="0"/>
          <w:color w:val="000000" w:themeColor="text1"/>
          <w:sz w:val="28"/>
          <w:szCs w:val="28"/>
          <w:lang w:val="en-US" w:eastAsia="zh-CN"/>
          <w14:textFill>
            <w14:solidFill>
              <w14:schemeClr w14:val="tx1"/>
            </w14:solidFill>
          </w14:textFill>
        </w:rPr>
      </w:pPr>
    </w:p>
    <w:p w14:paraId="7AC5F08A">
      <w:pPr>
        <w:rPr>
          <w:rFonts w:hint="eastAsia" w:cs="宋体"/>
          <w:b/>
          <w:bCs w:val="0"/>
          <w:color w:val="000000" w:themeColor="text1"/>
          <w:sz w:val="28"/>
          <w:szCs w:val="28"/>
          <w:lang w:val="en-US" w:eastAsia="zh-CN"/>
          <w14:textFill>
            <w14:solidFill>
              <w14:schemeClr w14:val="tx1"/>
            </w14:solidFill>
          </w14:textFill>
        </w:rPr>
      </w:pPr>
    </w:p>
    <w:p w14:paraId="5BD265F8">
      <w:pPr>
        <w:rPr>
          <w:rFonts w:hint="eastAsia" w:cs="宋体"/>
          <w:b/>
          <w:bCs w:val="0"/>
          <w:color w:val="000000" w:themeColor="text1"/>
          <w:sz w:val="28"/>
          <w:szCs w:val="28"/>
          <w:lang w:val="en-US" w:eastAsia="zh-CN"/>
          <w14:textFill>
            <w14:solidFill>
              <w14:schemeClr w14:val="tx1"/>
            </w14:solidFill>
          </w14:textFill>
        </w:rPr>
      </w:pPr>
    </w:p>
    <w:p w14:paraId="68F0DD8B">
      <w:pPr>
        <w:rPr>
          <w:rFonts w:hint="eastAsia" w:cs="宋体"/>
          <w:b/>
          <w:bCs w:val="0"/>
          <w:color w:val="000000" w:themeColor="text1"/>
          <w:sz w:val="28"/>
          <w:szCs w:val="28"/>
          <w:lang w:val="en-US" w:eastAsia="zh-CN"/>
          <w14:textFill>
            <w14:solidFill>
              <w14:schemeClr w14:val="tx1"/>
            </w14:solidFill>
          </w14:textFill>
        </w:rPr>
      </w:pPr>
    </w:p>
    <w:p w14:paraId="04C525B7">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cs="宋体"/>
          <w:b/>
          <w:bCs w:val="0"/>
          <w:color w:val="000000" w:themeColor="text1"/>
          <w:sz w:val="28"/>
          <w:szCs w:val="28"/>
          <w:lang w:val="en-US" w:eastAsia="zh-CN"/>
          <w14:textFill>
            <w14:solidFill>
              <w14:schemeClr w14:val="tx1"/>
            </w14:solidFill>
          </w14:textFill>
        </w:rPr>
        <w:t>附表2：技术</w:t>
      </w:r>
      <w:r>
        <w:rPr>
          <w:rFonts w:hint="eastAsia" w:cs="宋体"/>
          <w:b/>
          <w:bCs w:val="0"/>
          <w:color w:val="000000" w:themeColor="text1"/>
          <w:sz w:val="28"/>
          <w:szCs w:val="28"/>
          <w14:textFill>
            <w14:solidFill>
              <w14:schemeClr w14:val="tx1"/>
            </w14:solidFill>
          </w14:textFill>
        </w:rPr>
        <w:t>评分表</w:t>
      </w:r>
    </w:p>
    <w:tbl>
      <w:tblPr>
        <w:tblStyle w:val="4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564"/>
        <w:gridCol w:w="1243"/>
        <w:gridCol w:w="599"/>
        <w:gridCol w:w="6004"/>
      </w:tblGrid>
      <w:tr w14:paraId="37CA73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10" w:hRule="atLeast"/>
          <w:jc w:val="center"/>
        </w:trPr>
        <w:tc>
          <w:tcPr>
            <w:tcW w:w="335" w:type="pct"/>
            <w:shd w:val="clear" w:color="auto" w:fill="D9D9D9"/>
            <w:vAlign w:val="center"/>
          </w:tcPr>
          <w:p w14:paraId="379DB5B5">
            <w:pPr>
              <w:snapToGrid w:val="0"/>
              <w:spacing w:beforeAutospacing="0" w:afterAutospacing="0" w:line="480" w:lineRule="exact"/>
              <w:jc w:val="center"/>
              <w:rPr>
                <w:rFonts w:ascii="宋体" w:hAnsi="宋体" w:cs="宋体"/>
                <w:b/>
                <w:sz w:val="21"/>
                <w:szCs w:val="21"/>
              </w:rPr>
            </w:pPr>
            <w:r>
              <w:rPr>
                <w:rFonts w:hint="eastAsia" w:ascii="宋体" w:hAnsi="宋体" w:cs="宋体"/>
                <w:b/>
                <w:sz w:val="21"/>
                <w:szCs w:val="21"/>
              </w:rPr>
              <w:t>序号</w:t>
            </w:r>
          </w:p>
        </w:tc>
        <w:tc>
          <w:tcPr>
            <w:tcW w:w="739" w:type="pct"/>
            <w:shd w:val="clear" w:color="auto" w:fill="D9D9D9"/>
            <w:vAlign w:val="center"/>
          </w:tcPr>
          <w:p w14:paraId="5617597E">
            <w:pPr>
              <w:snapToGrid w:val="0"/>
              <w:spacing w:beforeAutospacing="0" w:afterAutospacing="0" w:line="480" w:lineRule="exact"/>
              <w:jc w:val="center"/>
              <w:rPr>
                <w:rFonts w:ascii="宋体" w:hAnsi="宋体" w:cs="宋体"/>
                <w:b/>
                <w:sz w:val="21"/>
                <w:szCs w:val="21"/>
              </w:rPr>
            </w:pPr>
            <w:r>
              <w:rPr>
                <w:rFonts w:hint="eastAsia" w:ascii="宋体" w:hAnsi="宋体" w:cs="宋体"/>
                <w:b/>
                <w:sz w:val="21"/>
                <w:szCs w:val="21"/>
              </w:rPr>
              <w:t>评审内容</w:t>
            </w:r>
          </w:p>
        </w:tc>
        <w:tc>
          <w:tcPr>
            <w:tcW w:w="356" w:type="pct"/>
            <w:shd w:val="clear" w:color="auto" w:fill="D9D9D9"/>
            <w:vAlign w:val="center"/>
          </w:tcPr>
          <w:p w14:paraId="119BCB13">
            <w:pPr>
              <w:snapToGrid w:val="0"/>
              <w:spacing w:beforeAutospacing="0" w:afterAutospacing="0" w:line="480" w:lineRule="exact"/>
              <w:jc w:val="center"/>
              <w:rPr>
                <w:rFonts w:ascii="宋体" w:hAnsi="宋体" w:cs="宋体"/>
                <w:b/>
                <w:sz w:val="21"/>
                <w:szCs w:val="21"/>
              </w:rPr>
            </w:pPr>
            <w:r>
              <w:rPr>
                <w:rFonts w:hint="eastAsia" w:ascii="宋体" w:hAnsi="宋体" w:cs="宋体"/>
                <w:b/>
                <w:sz w:val="21"/>
                <w:szCs w:val="21"/>
              </w:rPr>
              <w:t>分值</w:t>
            </w:r>
          </w:p>
        </w:tc>
        <w:tc>
          <w:tcPr>
            <w:tcW w:w="3569" w:type="pct"/>
            <w:shd w:val="clear" w:color="auto" w:fill="D9D9D9"/>
            <w:vAlign w:val="center"/>
          </w:tcPr>
          <w:p w14:paraId="17708D54">
            <w:pPr>
              <w:snapToGrid w:val="0"/>
              <w:spacing w:beforeAutospacing="0" w:afterAutospacing="0" w:line="480" w:lineRule="exact"/>
              <w:jc w:val="center"/>
              <w:rPr>
                <w:rFonts w:ascii="宋体" w:hAnsi="宋体" w:cs="宋体"/>
                <w:b/>
                <w:sz w:val="21"/>
                <w:szCs w:val="21"/>
              </w:rPr>
            </w:pPr>
            <w:r>
              <w:rPr>
                <w:rFonts w:hint="eastAsia" w:ascii="宋体" w:hAnsi="宋体" w:cs="宋体"/>
                <w:b/>
                <w:sz w:val="21"/>
                <w:szCs w:val="21"/>
              </w:rPr>
              <w:t>评审标准</w:t>
            </w:r>
          </w:p>
        </w:tc>
      </w:tr>
      <w:tr w14:paraId="357968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984" w:hRule="atLeast"/>
          <w:jc w:val="center"/>
        </w:trPr>
        <w:tc>
          <w:tcPr>
            <w:tcW w:w="335" w:type="pct"/>
            <w:vAlign w:val="center"/>
          </w:tcPr>
          <w:p w14:paraId="321B5AC6">
            <w:pPr>
              <w:adjustRightInd w:val="0"/>
              <w:snapToGrid w:val="0"/>
              <w:spacing w:beforeAutospacing="0" w:afterAutospacing="0" w:line="480" w:lineRule="exact"/>
              <w:jc w:val="center"/>
              <w:rPr>
                <w:rFonts w:ascii="宋体" w:hAnsi="宋体" w:cs="宋体"/>
                <w:szCs w:val="21"/>
              </w:rPr>
            </w:pPr>
            <w:r>
              <w:rPr>
                <w:rFonts w:hint="eastAsia" w:ascii="宋体" w:hAnsi="宋体" w:cs="宋体"/>
                <w:szCs w:val="21"/>
              </w:rPr>
              <w:t>1</w:t>
            </w:r>
          </w:p>
        </w:tc>
        <w:tc>
          <w:tcPr>
            <w:tcW w:w="739" w:type="pct"/>
            <w:vAlign w:val="center"/>
          </w:tcPr>
          <w:p w14:paraId="0BED98AF">
            <w:pPr>
              <w:keepNext w:val="0"/>
              <w:keepLines w:val="0"/>
              <w:suppressLineNumbers w:val="0"/>
              <w:jc w:val="center"/>
              <w:rPr>
                <w:rFonts w:hint="eastAsia" w:ascii="宋体" w:hAnsi="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运营</w:t>
            </w:r>
            <w:r>
              <w:rPr>
                <w:rFonts w:hint="eastAsia" w:ascii="宋体" w:hAnsi="宋体" w:cs="宋体"/>
                <w:color w:val="000000"/>
                <w:kern w:val="0"/>
                <w:sz w:val="21"/>
                <w:szCs w:val="21"/>
                <w:lang w:val="en-US" w:eastAsia="zh-CN" w:bidi="ar"/>
              </w:rPr>
              <w:t>管理</w:t>
            </w:r>
          </w:p>
          <w:p w14:paraId="1201A38A">
            <w:pPr>
              <w:keepNext w:val="0"/>
              <w:keepLines w:val="0"/>
              <w:suppressLineNumbers w:val="0"/>
              <w:jc w:val="center"/>
              <w:rPr>
                <w:rFonts w:hint="eastAsia" w:ascii="宋体" w:hAnsi="宋体" w:eastAsia="宋体" w:cs="宋体"/>
                <w:szCs w:val="21"/>
                <w:lang w:val="en-US" w:eastAsia="zh-CN"/>
              </w:rPr>
            </w:pPr>
            <w:r>
              <w:rPr>
                <w:rFonts w:hint="eastAsia" w:ascii="宋体" w:hAnsi="宋体" w:eastAsia="宋体" w:cs="宋体"/>
                <w:color w:val="000000"/>
                <w:kern w:val="0"/>
                <w:sz w:val="21"/>
                <w:szCs w:val="21"/>
                <w:lang w:val="en-US" w:eastAsia="zh-CN" w:bidi="ar"/>
              </w:rPr>
              <w:t>方案</w:t>
            </w:r>
          </w:p>
        </w:tc>
        <w:tc>
          <w:tcPr>
            <w:tcW w:w="356" w:type="pct"/>
            <w:vAlign w:val="center"/>
          </w:tcPr>
          <w:p w14:paraId="0905F768">
            <w:pPr>
              <w:adjustRightInd/>
              <w:spacing w:beforeAutospacing="0" w:afterAutospacing="0" w:line="480" w:lineRule="exact"/>
              <w:jc w:val="center"/>
              <w:textAlignment w:val="auto"/>
              <w:rPr>
                <w:rFonts w:hint="default" w:ascii="宋体" w:hAnsi="宋体" w:cs="宋体"/>
                <w:szCs w:val="21"/>
                <w:lang w:val="en-US" w:eastAsia="zh-CN"/>
              </w:rPr>
            </w:pPr>
            <w:r>
              <w:rPr>
                <w:rFonts w:hint="eastAsia" w:ascii="宋体" w:hAnsi="宋体" w:cs="宋体"/>
                <w:color w:val="000000"/>
                <w:szCs w:val="21"/>
                <w:lang w:val="en-US" w:eastAsia="zh-CN"/>
              </w:rPr>
              <w:t>20</w:t>
            </w:r>
          </w:p>
        </w:tc>
        <w:tc>
          <w:tcPr>
            <w:tcW w:w="3569" w:type="pct"/>
            <w:vAlign w:val="center"/>
          </w:tcPr>
          <w:p w14:paraId="1AE46889">
            <w:pPr>
              <w:keepNext w:val="0"/>
              <w:keepLines w:val="0"/>
              <w:pageBreakBefore w:val="0"/>
              <w:numPr>
                <w:ilvl w:val="0"/>
                <w:numId w:val="0"/>
              </w:numPr>
              <w:kinsoku/>
              <w:overflowPunct/>
              <w:topLinePunct w:val="0"/>
              <w:bidi w:val="0"/>
              <w:adjustRightInd/>
              <w:spacing w:beforeAutospacing="0" w:afterAutospacing="0" w:line="360" w:lineRule="auto"/>
              <w:ind w:leftChars="0"/>
              <w:jc w:val="both"/>
              <w:textAlignment w:val="auto"/>
              <w:rPr>
                <w:rFonts w:hint="eastAsia"/>
                <w:lang w:val="en-US" w:eastAsia="zh-Hans"/>
              </w:rPr>
            </w:pPr>
            <w:r>
              <w:rPr>
                <w:rFonts w:hint="eastAsia"/>
                <w:lang w:val="en-US" w:eastAsia="zh-CN"/>
              </w:rPr>
              <w:t>根据投标人提供运营</w:t>
            </w:r>
            <w:r>
              <w:rPr>
                <w:rFonts w:hint="eastAsia" w:ascii="宋体" w:hAnsi="宋体" w:cs="宋体"/>
                <w:color w:val="000000"/>
                <w:kern w:val="0"/>
                <w:sz w:val="21"/>
                <w:szCs w:val="21"/>
                <w:lang w:val="en-US" w:eastAsia="zh-CN" w:bidi="ar"/>
              </w:rPr>
              <w:t>管理</w:t>
            </w:r>
            <w:r>
              <w:rPr>
                <w:rFonts w:hint="eastAsia"/>
                <w:lang w:val="en-US" w:eastAsia="zh-CN"/>
              </w:rPr>
              <w:t>方案（包括</w:t>
            </w:r>
            <w:r>
              <w:rPr>
                <w:rFonts w:hint="eastAsia" w:asciiTheme="minorEastAsia" w:hAnsiTheme="minorEastAsia" w:eastAsiaTheme="minorEastAsia" w:cstheme="minorEastAsia"/>
                <w:lang w:val="en-US" w:eastAsia="zh-CN"/>
              </w:rPr>
              <w:t>特殊区域巡视检查、值班人员任务分配、检修特殊设备、区域计划编制</w:t>
            </w:r>
            <w:r>
              <w:rPr>
                <w:rFonts w:hint="eastAsia"/>
                <w:lang w:val="en-US" w:eastAsia="zh-CN"/>
              </w:rPr>
              <w:t>）</w:t>
            </w:r>
            <w:r>
              <w:rPr>
                <w:rFonts w:hint="eastAsia"/>
                <w:lang w:val="en-US" w:eastAsia="zh-Hans"/>
              </w:rPr>
              <w:t>进行综合</w:t>
            </w:r>
            <w:r>
              <w:rPr>
                <w:rFonts w:hint="eastAsia"/>
                <w:lang w:val="en-US" w:eastAsia="zh-CN"/>
              </w:rPr>
              <w:t>评审</w:t>
            </w:r>
            <w:r>
              <w:rPr>
                <w:rFonts w:hint="eastAsia"/>
                <w:lang w:val="en-US" w:eastAsia="zh-Hans"/>
              </w:rPr>
              <w:t>：</w:t>
            </w:r>
          </w:p>
          <w:p w14:paraId="22DAB978">
            <w:pPr>
              <w:keepNext w:val="0"/>
              <w:keepLines w:val="0"/>
              <w:pageBreakBefore w:val="0"/>
              <w:numPr>
                <w:ilvl w:val="0"/>
                <w:numId w:val="0"/>
              </w:numPr>
              <w:kinsoku/>
              <w:overflowPunct/>
              <w:topLinePunct w:val="0"/>
              <w:bidi w:val="0"/>
              <w:adjustRightInd/>
              <w:spacing w:beforeAutospacing="0" w:afterAutospacing="0" w:line="360" w:lineRule="auto"/>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1、对特殊区域巡视检查细致，值班人员任务分配合理，检修特殊设备、区域计划编制清晰，具有针对性的，得20分。</w:t>
            </w:r>
          </w:p>
          <w:p w14:paraId="2AA928D9">
            <w:pPr>
              <w:pStyle w:val="45"/>
              <w:keepNext w:val="0"/>
              <w:keepLines w:val="0"/>
              <w:pageBreakBefore w:val="0"/>
              <w:numPr>
                <w:ilvl w:val="0"/>
                <w:numId w:val="0"/>
              </w:numPr>
              <w:kinsoku/>
              <w:overflowPunct/>
              <w:topLinePunct w:val="0"/>
              <w:bidi w:val="0"/>
              <w:adjustRightInd/>
              <w:spacing w:beforeAutospacing="0" w:afterAutospacing="0"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2、对特殊区域巡视检查基本细致，值班人员任务分配基本合理，检修特殊设备、区域计划编制基本清晰，基本具有针对性的，得13分。</w:t>
            </w:r>
          </w:p>
          <w:p w14:paraId="1132D087">
            <w:pPr>
              <w:pStyle w:val="45"/>
              <w:keepNext w:val="0"/>
              <w:keepLines w:val="0"/>
              <w:pageBreakBefore w:val="0"/>
              <w:numPr>
                <w:ilvl w:val="0"/>
                <w:numId w:val="0"/>
              </w:numPr>
              <w:kinsoku/>
              <w:overflowPunct/>
              <w:topLinePunct w:val="0"/>
              <w:bidi w:val="0"/>
              <w:adjustRightInd/>
              <w:spacing w:beforeAutospacing="0" w:afterAutospacing="0"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3、对特殊区域巡视检查不够细致，值班人员任务分配不够合理，检修特殊设备、区域计划编制不够清晰，不够具有针对性的，得6分。</w:t>
            </w:r>
          </w:p>
          <w:p w14:paraId="78DF1B59">
            <w:pPr>
              <w:spacing w:beforeAutospacing="0" w:afterAutospacing="0" w:line="360" w:lineRule="auto"/>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4、对特殊区域巡视检查不细致，值班人员任务分配不合理，检修特殊设备、区域计划编制不清晰，无针对性的，得1分。</w:t>
            </w:r>
          </w:p>
          <w:p w14:paraId="4F6F6096">
            <w:pPr>
              <w:spacing w:beforeAutospacing="0" w:afterAutospacing="0" w:line="360" w:lineRule="auto"/>
              <w:jc w:val="both"/>
              <w:rPr>
                <w:rFonts w:hint="eastAsia" w:ascii="宋体" w:hAnsi="宋体" w:cs="宋体"/>
                <w:szCs w:val="21"/>
                <w:lang w:val="en-GB" w:eastAsia="zh-CN"/>
              </w:rPr>
            </w:pPr>
            <w:r>
              <w:rPr>
                <w:rFonts w:hint="eastAsia" w:asciiTheme="minorEastAsia" w:hAnsiTheme="minorEastAsia" w:eastAsiaTheme="minorEastAsia" w:cstheme="minorEastAsia"/>
                <w:b/>
                <w:bCs/>
                <w:kern w:val="2"/>
                <w:sz w:val="21"/>
                <w:lang w:val="en-US" w:eastAsia="zh-CN" w:bidi="ar-SA"/>
              </w:rPr>
              <w:t>注：未提供方案不得分。</w:t>
            </w:r>
          </w:p>
        </w:tc>
      </w:tr>
      <w:tr w14:paraId="3E546D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996" w:hRule="atLeast"/>
          <w:jc w:val="center"/>
        </w:trPr>
        <w:tc>
          <w:tcPr>
            <w:tcW w:w="335" w:type="pct"/>
            <w:vAlign w:val="center"/>
          </w:tcPr>
          <w:p w14:paraId="14CD28CA">
            <w:pPr>
              <w:adjustRightInd w:val="0"/>
              <w:snapToGrid w:val="0"/>
              <w:spacing w:beforeAutospacing="0" w:afterAutospacing="0" w:line="48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739" w:type="pct"/>
            <w:vAlign w:val="center"/>
          </w:tcPr>
          <w:p w14:paraId="0A4399C8">
            <w:pPr>
              <w:keepNext w:val="0"/>
              <w:keepLines w:val="0"/>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对本项目 </w:t>
            </w:r>
          </w:p>
          <w:p w14:paraId="5817D4CE">
            <w:pPr>
              <w:keepNext w:val="0"/>
              <w:keepLines w:val="0"/>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重、难点的 </w:t>
            </w:r>
          </w:p>
          <w:p w14:paraId="5C655FA3">
            <w:pPr>
              <w:keepNext w:val="0"/>
              <w:keepLines w:val="0"/>
              <w:suppressLineNumbers w:val="0"/>
              <w:jc w:val="center"/>
              <w:rPr>
                <w:rFonts w:ascii="宋体" w:hAnsi="宋体" w:cs="宋体"/>
                <w:szCs w:val="21"/>
              </w:rPr>
            </w:pPr>
            <w:r>
              <w:rPr>
                <w:rFonts w:hint="eastAsia" w:ascii="宋体" w:hAnsi="宋体" w:eastAsia="宋体" w:cs="宋体"/>
                <w:color w:val="000000"/>
                <w:kern w:val="0"/>
                <w:sz w:val="21"/>
                <w:szCs w:val="21"/>
                <w:lang w:val="en-US" w:eastAsia="zh-CN" w:bidi="ar"/>
              </w:rPr>
              <w:t>分析</w:t>
            </w:r>
          </w:p>
        </w:tc>
        <w:tc>
          <w:tcPr>
            <w:tcW w:w="356" w:type="pct"/>
            <w:vAlign w:val="center"/>
          </w:tcPr>
          <w:p w14:paraId="002D3DCD">
            <w:pPr>
              <w:adjustRightInd/>
              <w:spacing w:beforeAutospacing="0" w:afterAutospacing="0" w:line="480" w:lineRule="exact"/>
              <w:jc w:val="center"/>
              <w:textAlignment w:val="auto"/>
              <w:rPr>
                <w:rFonts w:hint="default" w:ascii="宋体" w:hAnsi="宋体" w:eastAsia="宋体" w:cs="宋体"/>
                <w:szCs w:val="21"/>
                <w:lang w:val="en-US" w:eastAsia="zh-CN"/>
              </w:rPr>
            </w:pPr>
            <w:r>
              <w:rPr>
                <w:rFonts w:hint="eastAsia" w:ascii="宋体" w:hAnsi="宋体" w:cs="宋体"/>
                <w:lang w:val="en-US" w:eastAsia="zh-CN"/>
              </w:rPr>
              <w:t>5</w:t>
            </w:r>
          </w:p>
        </w:tc>
        <w:tc>
          <w:tcPr>
            <w:tcW w:w="3569" w:type="pct"/>
            <w:vAlign w:val="center"/>
          </w:tcPr>
          <w:p w14:paraId="40CAD752">
            <w:pPr>
              <w:numPr>
                <w:ilvl w:val="0"/>
                <w:numId w:val="0"/>
              </w:numPr>
              <w:spacing w:beforeAutospacing="0" w:afterAutospacing="0" w:line="360" w:lineRule="auto"/>
              <w:ind w:leftChars="0"/>
              <w:jc w:val="both"/>
              <w:rPr>
                <w:rFonts w:hint="eastAsia" w:ascii="宋体" w:hAnsi="宋体" w:eastAsia="宋体" w:cs="宋体"/>
                <w:szCs w:val="21"/>
                <w:lang w:val="en-US" w:eastAsia="zh-Hans"/>
              </w:rPr>
            </w:pPr>
            <w:r>
              <w:rPr>
                <w:rFonts w:hint="eastAsia"/>
                <w:lang w:val="en-US" w:eastAsia="zh-CN"/>
              </w:rPr>
              <w:t>根据</w:t>
            </w:r>
            <w:r>
              <w:rPr>
                <w:rFonts w:hint="eastAsia" w:ascii="宋体" w:hAnsi="宋体" w:eastAsia="宋体" w:cs="宋体"/>
                <w:szCs w:val="21"/>
                <w:lang w:val="en-US" w:eastAsia="zh-CN"/>
              </w:rPr>
              <w:t>投标人提供</w:t>
            </w:r>
            <w:r>
              <w:rPr>
                <w:rFonts w:hint="eastAsia" w:ascii="宋体" w:hAnsi="宋体" w:eastAsia="宋体" w:cs="宋体"/>
                <w:szCs w:val="21"/>
                <w:lang w:val="en-US" w:eastAsia="zh-Hans"/>
              </w:rPr>
              <w:t>就本项目的重点难点分析</w:t>
            </w:r>
            <w:r>
              <w:rPr>
                <w:rFonts w:hint="eastAsia" w:ascii="宋体" w:hAnsi="宋体" w:cs="宋体"/>
                <w:szCs w:val="21"/>
                <w:lang w:val="en-US" w:eastAsia="zh-CN"/>
              </w:rPr>
              <w:t>方案</w:t>
            </w:r>
            <w:r>
              <w:rPr>
                <w:rFonts w:hint="eastAsia" w:ascii="宋体" w:hAnsi="宋体" w:eastAsia="宋体" w:cs="宋体"/>
                <w:szCs w:val="21"/>
                <w:lang w:val="en-US" w:eastAsia="zh-CN"/>
              </w:rPr>
              <w:t>（</w:t>
            </w:r>
            <w:r>
              <w:rPr>
                <w:rFonts w:hint="eastAsia" w:ascii="宋体" w:hAnsi="宋体" w:cs="宋体"/>
                <w:szCs w:val="21"/>
                <w:lang w:val="en-US" w:eastAsia="zh-CN"/>
              </w:rPr>
              <w:t>包括</w:t>
            </w:r>
            <w:r>
              <w:rPr>
                <w:rFonts w:hint="eastAsia" w:ascii="宋体" w:hAnsi="宋体" w:eastAsia="宋体" w:cs="宋体"/>
                <w:szCs w:val="21"/>
                <w:lang w:val="en-US" w:eastAsia="zh-Hans"/>
              </w:rPr>
              <w:t>资金投入与可持续性</w:t>
            </w:r>
            <w:r>
              <w:rPr>
                <w:rFonts w:hint="eastAsia" w:ascii="宋体" w:hAnsi="宋体" w:cs="宋体"/>
                <w:szCs w:val="21"/>
                <w:lang w:val="en-US" w:eastAsia="zh-CN"/>
              </w:rPr>
              <w:t>、</w:t>
            </w:r>
            <w:r>
              <w:rPr>
                <w:rFonts w:hint="eastAsia" w:ascii="宋体" w:hAnsi="宋体" w:eastAsia="宋体" w:cs="宋体"/>
                <w:szCs w:val="21"/>
                <w:lang w:val="en-US" w:eastAsia="zh-Hans"/>
              </w:rPr>
              <w:t>分阶段资金规划</w:t>
            </w:r>
            <w:r>
              <w:rPr>
                <w:rFonts w:hint="eastAsia" w:ascii="宋体" w:hAnsi="宋体" w:eastAsia="宋体" w:cs="宋体"/>
                <w:szCs w:val="21"/>
                <w:lang w:val="en-US" w:eastAsia="zh-CN"/>
              </w:rPr>
              <w:t>）</w:t>
            </w:r>
            <w:r>
              <w:rPr>
                <w:rFonts w:hint="eastAsia" w:ascii="宋体" w:hAnsi="宋体" w:eastAsia="宋体" w:cs="宋体"/>
                <w:szCs w:val="21"/>
                <w:lang w:val="en-US" w:eastAsia="zh-Hans"/>
              </w:rPr>
              <w:t>进行综合</w:t>
            </w:r>
            <w:r>
              <w:rPr>
                <w:rFonts w:hint="eastAsia" w:ascii="宋体" w:hAnsi="宋体" w:eastAsia="宋体" w:cs="宋体"/>
                <w:szCs w:val="21"/>
                <w:lang w:val="en-US" w:eastAsia="zh-CN"/>
              </w:rPr>
              <w:t>评审</w:t>
            </w:r>
            <w:r>
              <w:rPr>
                <w:rFonts w:hint="eastAsia" w:ascii="宋体" w:hAnsi="宋体" w:eastAsia="宋体" w:cs="宋体"/>
                <w:szCs w:val="21"/>
                <w:lang w:val="en-US" w:eastAsia="zh-Hans"/>
              </w:rPr>
              <w:t>：</w:t>
            </w:r>
          </w:p>
          <w:p w14:paraId="31838034">
            <w:pPr>
              <w:numPr>
                <w:ilvl w:val="0"/>
                <w:numId w:val="0"/>
              </w:numPr>
              <w:spacing w:beforeAutospacing="0" w:afterAutospacing="0" w:line="360" w:lineRule="auto"/>
              <w:ind w:leftChars="0"/>
              <w:jc w:val="both"/>
              <w:rPr>
                <w:rFonts w:hint="eastAsia" w:ascii="宋体" w:hAnsi="宋体" w:eastAsia="宋体" w:cs="宋体"/>
                <w:szCs w:val="21"/>
                <w:lang w:val="en-US" w:eastAsia="zh-CN"/>
              </w:rPr>
            </w:pPr>
            <w:r>
              <w:rPr>
                <w:rFonts w:hint="eastAsia" w:ascii="宋体" w:hAnsi="宋体" w:eastAsia="宋体" w:cs="宋体"/>
                <w:szCs w:val="21"/>
                <w:lang w:val="en-US" w:eastAsia="zh-CN"/>
              </w:rPr>
              <w:t>1、</w:t>
            </w:r>
            <w:r>
              <w:rPr>
                <w:rFonts w:hint="eastAsia" w:ascii="宋体" w:hAnsi="宋体" w:eastAsia="宋体" w:cs="宋体"/>
                <w:szCs w:val="21"/>
                <w:lang w:val="en-US" w:eastAsia="zh-Hans"/>
              </w:rPr>
              <w:t>资金投入与可持续性</w:t>
            </w:r>
            <w:r>
              <w:rPr>
                <w:rFonts w:hint="eastAsia" w:ascii="宋体" w:hAnsi="宋体" w:cs="宋体"/>
                <w:szCs w:val="21"/>
                <w:lang w:val="en-US" w:eastAsia="zh-CN"/>
              </w:rPr>
              <w:t>合理，</w:t>
            </w:r>
            <w:r>
              <w:rPr>
                <w:rFonts w:hint="eastAsia" w:ascii="宋体" w:hAnsi="宋体" w:eastAsia="宋体" w:cs="宋体"/>
                <w:szCs w:val="21"/>
                <w:lang w:val="en-US" w:eastAsia="zh-Hans"/>
              </w:rPr>
              <w:t>技术标准与数据整合</w:t>
            </w:r>
            <w:r>
              <w:rPr>
                <w:rFonts w:hint="eastAsia" w:ascii="宋体" w:hAnsi="宋体" w:cs="宋体"/>
                <w:szCs w:val="21"/>
                <w:lang w:val="en-US" w:eastAsia="zh-CN"/>
              </w:rPr>
              <w:t>具有针对性，</w:t>
            </w:r>
            <w:r>
              <w:rPr>
                <w:rFonts w:hint="eastAsia" w:ascii="宋体" w:hAnsi="宋体" w:eastAsia="宋体" w:cs="宋体"/>
                <w:szCs w:val="21"/>
                <w:lang w:val="en-US" w:eastAsia="zh-Hans"/>
              </w:rPr>
              <w:t>分阶段资金规划</w:t>
            </w:r>
            <w:r>
              <w:rPr>
                <w:rFonts w:hint="eastAsia" w:ascii="宋体" w:hAnsi="宋体" w:cs="宋体"/>
                <w:szCs w:val="21"/>
                <w:lang w:val="en-US" w:eastAsia="zh-CN"/>
              </w:rPr>
              <w:t>具有可行性，</w:t>
            </w:r>
            <w:r>
              <w:rPr>
                <w:rFonts w:hint="eastAsia" w:ascii="宋体" w:hAnsi="宋体" w:eastAsia="宋体" w:cs="宋体"/>
                <w:szCs w:val="21"/>
                <w:lang w:val="en-US" w:eastAsia="zh-CN"/>
              </w:rPr>
              <w:t>对于</w:t>
            </w:r>
            <w:r>
              <w:rPr>
                <w:rFonts w:hint="eastAsia" w:ascii="宋体" w:hAnsi="宋体" w:eastAsia="宋体" w:cs="宋体"/>
                <w:szCs w:val="21"/>
                <w:lang w:val="en-US" w:eastAsia="zh-Hans"/>
              </w:rPr>
              <w:t>重点难点</w:t>
            </w:r>
            <w:r>
              <w:rPr>
                <w:rFonts w:hint="eastAsia" w:ascii="宋体" w:hAnsi="宋体" w:eastAsia="宋体" w:cs="宋体"/>
                <w:szCs w:val="21"/>
                <w:lang w:val="en-US" w:eastAsia="zh-CN"/>
              </w:rPr>
              <w:t>环节</w:t>
            </w:r>
            <w:r>
              <w:rPr>
                <w:rFonts w:hint="eastAsia" w:ascii="宋体" w:hAnsi="宋体" w:eastAsia="宋体" w:cs="宋体"/>
                <w:szCs w:val="21"/>
                <w:lang w:val="en-US" w:eastAsia="zh-Hans"/>
              </w:rPr>
              <w:t>把握准确</w:t>
            </w:r>
            <w:r>
              <w:rPr>
                <w:rFonts w:hint="eastAsia" w:ascii="宋体" w:hAnsi="宋体" w:eastAsia="宋体" w:cs="宋体"/>
                <w:szCs w:val="21"/>
                <w:lang w:val="en-US" w:eastAsia="zh-CN"/>
              </w:rPr>
              <w:t>的</w:t>
            </w:r>
            <w:r>
              <w:rPr>
                <w:rFonts w:hint="eastAsia" w:ascii="宋体" w:hAnsi="宋体" w:eastAsia="宋体" w:cs="宋体"/>
                <w:szCs w:val="21"/>
                <w:lang w:val="en-US" w:eastAsia="zh-Hans"/>
              </w:rPr>
              <w:t>，得</w:t>
            </w:r>
            <w:r>
              <w:rPr>
                <w:rFonts w:hint="eastAsia" w:ascii="宋体" w:hAnsi="宋体" w:cs="宋体"/>
                <w:szCs w:val="21"/>
                <w:lang w:val="en-US" w:eastAsia="zh-CN"/>
              </w:rPr>
              <w:t>5</w:t>
            </w:r>
            <w:r>
              <w:rPr>
                <w:rFonts w:hint="eastAsia" w:ascii="宋体" w:hAnsi="宋体" w:eastAsia="宋体" w:cs="宋体"/>
                <w:szCs w:val="21"/>
                <w:lang w:val="en-US" w:eastAsia="zh-Hans"/>
              </w:rPr>
              <w:t>分</w:t>
            </w:r>
            <w:r>
              <w:rPr>
                <w:rFonts w:hint="eastAsia" w:asciiTheme="minorEastAsia" w:hAnsiTheme="minorEastAsia" w:eastAsiaTheme="minorEastAsia" w:cstheme="minorEastAsia"/>
                <w:lang w:val="en-US" w:eastAsia="zh-CN"/>
              </w:rPr>
              <w:t>。</w:t>
            </w:r>
          </w:p>
          <w:p w14:paraId="66064744">
            <w:pPr>
              <w:numPr>
                <w:ilvl w:val="0"/>
                <w:numId w:val="0"/>
              </w:numPr>
              <w:spacing w:beforeAutospacing="0" w:afterAutospacing="0" w:line="360" w:lineRule="auto"/>
              <w:ind w:leftChars="0"/>
              <w:jc w:val="both"/>
              <w:rPr>
                <w:rFonts w:hint="eastAsia" w:ascii="宋体" w:hAnsi="宋体" w:eastAsia="宋体" w:cs="宋体"/>
                <w:szCs w:val="21"/>
                <w:lang w:val="en-US" w:eastAsia="zh-Hans"/>
              </w:rPr>
            </w:pPr>
            <w:r>
              <w:rPr>
                <w:rFonts w:hint="eastAsia" w:ascii="宋体" w:hAnsi="宋体" w:cs="宋体"/>
                <w:szCs w:val="21"/>
                <w:lang w:val="en-US" w:eastAsia="zh-CN"/>
              </w:rPr>
              <w:t>2、</w:t>
            </w:r>
            <w:r>
              <w:rPr>
                <w:rFonts w:hint="eastAsia" w:ascii="宋体" w:hAnsi="宋体" w:eastAsia="宋体" w:cs="宋体"/>
                <w:szCs w:val="21"/>
                <w:lang w:val="en-US" w:eastAsia="zh-Hans"/>
              </w:rPr>
              <w:t>资金投入与可持续性</w:t>
            </w:r>
            <w:r>
              <w:rPr>
                <w:rFonts w:hint="eastAsia" w:ascii="宋体" w:hAnsi="宋体" w:cs="宋体"/>
                <w:szCs w:val="21"/>
                <w:lang w:val="en-US" w:eastAsia="zh-CN"/>
              </w:rPr>
              <w:t>基本合理，</w:t>
            </w:r>
            <w:r>
              <w:rPr>
                <w:rFonts w:hint="eastAsia" w:ascii="宋体" w:hAnsi="宋体" w:eastAsia="宋体" w:cs="宋体"/>
                <w:szCs w:val="21"/>
                <w:lang w:val="en-US" w:eastAsia="zh-Hans"/>
              </w:rPr>
              <w:t>技术标准与数据整合</w:t>
            </w:r>
            <w:r>
              <w:rPr>
                <w:rFonts w:hint="eastAsia" w:ascii="宋体" w:hAnsi="宋体" w:cs="宋体"/>
                <w:szCs w:val="21"/>
                <w:lang w:val="en-US" w:eastAsia="zh-CN"/>
              </w:rPr>
              <w:t>基本具有针对性，</w:t>
            </w:r>
            <w:r>
              <w:rPr>
                <w:rFonts w:hint="eastAsia" w:ascii="宋体" w:hAnsi="宋体" w:eastAsia="宋体" w:cs="宋体"/>
                <w:szCs w:val="21"/>
                <w:lang w:val="en-US" w:eastAsia="zh-Hans"/>
              </w:rPr>
              <w:t>分阶段资金规划</w:t>
            </w:r>
            <w:r>
              <w:rPr>
                <w:rFonts w:hint="eastAsia" w:ascii="宋体" w:hAnsi="宋体" w:cs="宋体"/>
                <w:szCs w:val="21"/>
                <w:lang w:val="en-US" w:eastAsia="zh-CN"/>
              </w:rPr>
              <w:t>基本具有可行性，</w:t>
            </w:r>
            <w:r>
              <w:rPr>
                <w:rFonts w:hint="eastAsia" w:ascii="宋体" w:hAnsi="宋体" w:eastAsia="宋体" w:cs="宋体"/>
                <w:szCs w:val="21"/>
                <w:lang w:val="en-US" w:eastAsia="zh-CN"/>
              </w:rPr>
              <w:t>对于</w:t>
            </w:r>
            <w:r>
              <w:rPr>
                <w:rFonts w:hint="eastAsia" w:ascii="宋体" w:hAnsi="宋体" w:eastAsia="宋体" w:cs="宋体"/>
                <w:szCs w:val="21"/>
                <w:lang w:val="en-US" w:eastAsia="zh-Hans"/>
              </w:rPr>
              <w:t>重点难点</w:t>
            </w:r>
            <w:r>
              <w:rPr>
                <w:rFonts w:hint="eastAsia" w:ascii="宋体" w:hAnsi="宋体" w:eastAsia="宋体" w:cs="宋体"/>
                <w:szCs w:val="21"/>
                <w:lang w:val="en-US" w:eastAsia="zh-CN"/>
              </w:rPr>
              <w:t>环节</w:t>
            </w:r>
            <w:r>
              <w:rPr>
                <w:rFonts w:hint="eastAsia" w:ascii="宋体" w:hAnsi="宋体" w:eastAsia="宋体" w:cs="宋体"/>
                <w:szCs w:val="21"/>
                <w:lang w:val="en-US" w:eastAsia="zh-Hans"/>
              </w:rPr>
              <w:t>把握</w:t>
            </w:r>
            <w:r>
              <w:rPr>
                <w:rFonts w:hint="eastAsia" w:ascii="宋体" w:hAnsi="宋体" w:cs="宋体"/>
                <w:szCs w:val="21"/>
                <w:lang w:val="en-US" w:eastAsia="zh-CN"/>
              </w:rPr>
              <w:t>基本</w:t>
            </w:r>
            <w:r>
              <w:rPr>
                <w:rFonts w:hint="eastAsia" w:ascii="宋体" w:hAnsi="宋体" w:eastAsia="宋体" w:cs="宋体"/>
                <w:szCs w:val="21"/>
                <w:lang w:val="en-US" w:eastAsia="zh-Hans"/>
              </w:rPr>
              <w:t>准确</w:t>
            </w:r>
            <w:r>
              <w:rPr>
                <w:rFonts w:hint="eastAsia" w:ascii="宋体" w:hAnsi="宋体" w:eastAsia="宋体" w:cs="宋体"/>
                <w:szCs w:val="21"/>
                <w:lang w:val="en-US" w:eastAsia="zh-CN"/>
              </w:rPr>
              <w:t>的</w:t>
            </w:r>
            <w:r>
              <w:rPr>
                <w:rFonts w:hint="eastAsia" w:ascii="宋体" w:hAnsi="宋体" w:eastAsia="宋体" w:cs="宋体"/>
                <w:szCs w:val="21"/>
                <w:lang w:val="en-US" w:eastAsia="zh-Hans"/>
              </w:rPr>
              <w:t>，得</w:t>
            </w:r>
            <w:r>
              <w:rPr>
                <w:rFonts w:hint="eastAsia" w:ascii="宋体" w:hAnsi="宋体" w:cs="宋体"/>
                <w:szCs w:val="21"/>
                <w:lang w:val="en-US" w:eastAsia="zh-CN"/>
              </w:rPr>
              <w:t>3</w:t>
            </w:r>
            <w:r>
              <w:rPr>
                <w:rFonts w:hint="eastAsia" w:ascii="宋体" w:hAnsi="宋体" w:eastAsia="宋体" w:cs="宋体"/>
                <w:szCs w:val="21"/>
                <w:lang w:val="en-US" w:eastAsia="zh-Hans"/>
              </w:rPr>
              <w:t>分</w:t>
            </w:r>
            <w:r>
              <w:rPr>
                <w:rFonts w:hint="eastAsia" w:asciiTheme="minorEastAsia" w:hAnsiTheme="minorEastAsia" w:eastAsiaTheme="minorEastAsia" w:cstheme="minorEastAsia"/>
                <w:lang w:val="en-US" w:eastAsia="zh-CN"/>
              </w:rPr>
              <w:t>。</w:t>
            </w:r>
          </w:p>
          <w:p w14:paraId="4A173273">
            <w:pPr>
              <w:pStyle w:val="3"/>
              <w:spacing w:before="0" w:beforeAutospacing="0" w:after="0" w:afterAutospacing="0" w:line="360" w:lineRule="auto"/>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Hans" w:bidi="ar-SA"/>
              </w:rPr>
              <w:t>资金投入与可持续性</w:t>
            </w:r>
            <w:r>
              <w:rPr>
                <w:rFonts w:hint="eastAsia" w:ascii="宋体" w:hAnsi="宋体" w:eastAsia="宋体" w:cs="宋体"/>
                <w:color w:val="auto"/>
                <w:kern w:val="2"/>
                <w:sz w:val="21"/>
                <w:szCs w:val="21"/>
                <w:lang w:val="en-US" w:eastAsia="zh-CN" w:bidi="ar-SA"/>
              </w:rPr>
              <w:t>不合理，</w:t>
            </w:r>
            <w:r>
              <w:rPr>
                <w:rFonts w:hint="eastAsia" w:ascii="宋体" w:hAnsi="宋体" w:eastAsia="宋体" w:cs="宋体"/>
                <w:color w:val="auto"/>
                <w:kern w:val="2"/>
                <w:sz w:val="21"/>
                <w:szCs w:val="21"/>
                <w:lang w:val="en-US" w:eastAsia="zh-Hans" w:bidi="ar-SA"/>
              </w:rPr>
              <w:t>技术标准与数据整合</w:t>
            </w:r>
            <w:r>
              <w:rPr>
                <w:rFonts w:hint="eastAsia" w:ascii="宋体" w:hAnsi="宋体" w:eastAsia="宋体" w:cs="宋体"/>
                <w:color w:val="auto"/>
                <w:kern w:val="2"/>
                <w:sz w:val="21"/>
                <w:szCs w:val="21"/>
                <w:lang w:val="en-US" w:eastAsia="zh-CN" w:bidi="ar-SA"/>
              </w:rPr>
              <w:t>不具有针对性，</w:t>
            </w:r>
            <w:r>
              <w:rPr>
                <w:rFonts w:hint="eastAsia" w:ascii="宋体" w:hAnsi="宋体" w:eastAsia="宋体" w:cs="宋体"/>
                <w:color w:val="auto"/>
                <w:kern w:val="2"/>
                <w:sz w:val="21"/>
                <w:szCs w:val="21"/>
                <w:lang w:val="en-US" w:eastAsia="zh-Hans" w:bidi="ar-SA"/>
              </w:rPr>
              <w:t>分阶段资金规划</w:t>
            </w:r>
            <w:r>
              <w:rPr>
                <w:rFonts w:hint="eastAsia" w:ascii="宋体" w:hAnsi="宋体" w:eastAsia="宋体" w:cs="宋体"/>
                <w:color w:val="auto"/>
                <w:kern w:val="2"/>
                <w:sz w:val="21"/>
                <w:szCs w:val="21"/>
                <w:lang w:val="en-US" w:eastAsia="zh-CN" w:bidi="ar-SA"/>
              </w:rPr>
              <w:t>不具有可行性，对于</w:t>
            </w:r>
            <w:r>
              <w:rPr>
                <w:rFonts w:hint="eastAsia" w:ascii="宋体" w:hAnsi="宋体" w:eastAsia="宋体" w:cs="宋体"/>
                <w:color w:val="auto"/>
                <w:kern w:val="2"/>
                <w:sz w:val="21"/>
                <w:szCs w:val="21"/>
                <w:lang w:val="en-US" w:eastAsia="zh-Hans" w:bidi="ar-SA"/>
              </w:rPr>
              <w:t>重点难点</w:t>
            </w:r>
            <w:r>
              <w:rPr>
                <w:rFonts w:hint="eastAsia" w:ascii="宋体" w:hAnsi="宋体" w:eastAsia="宋体" w:cs="宋体"/>
                <w:color w:val="auto"/>
                <w:kern w:val="2"/>
                <w:sz w:val="21"/>
                <w:szCs w:val="21"/>
                <w:lang w:val="en-US" w:eastAsia="zh-CN" w:bidi="ar-SA"/>
              </w:rPr>
              <w:t>环节</w:t>
            </w:r>
            <w:r>
              <w:rPr>
                <w:rFonts w:hint="eastAsia" w:ascii="宋体" w:hAnsi="宋体" w:eastAsia="宋体" w:cs="宋体"/>
                <w:color w:val="auto"/>
                <w:kern w:val="2"/>
                <w:sz w:val="21"/>
                <w:szCs w:val="21"/>
                <w:lang w:val="en-US" w:eastAsia="zh-Hans" w:bidi="ar-SA"/>
              </w:rPr>
              <w:t>把握</w:t>
            </w:r>
            <w:r>
              <w:rPr>
                <w:rFonts w:hint="eastAsia" w:ascii="宋体" w:hAnsi="宋体" w:eastAsia="宋体" w:cs="宋体"/>
                <w:color w:val="auto"/>
                <w:kern w:val="2"/>
                <w:sz w:val="21"/>
                <w:szCs w:val="21"/>
                <w:lang w:val="en-US" w:eastAsia="zh-CN" w:bidi="ar-SA"/>
              </w:rPr>
              <w:t>不</w:t>
            </w:r>
            <w:r>
              <w:rPr>
                <w:rFonts w:hint="eastAsia" w:ascii="宋体" w:hAnsi="宋体" w:eastAsia="宋体" w:cs="宋体"/>
                <w:color w:val="auto"/>
                <w:kern w:val="2"/>
                <w:sz w:val="21"/>
                <w:szCs w:val="21"/>
                <w:lang w:val="en-US" w:eastAsia="zh-Hans" w:bidi="ar-SA"/>
              </w:rPr>
              <w:t>准确</w:t>
            </w:r>
            <w:r>
              <w:rPr>
                <w:rFonts w:hint="eastAsia" w:ascii="宋体" w:hAnsi="宋体" w:eastAsia="宋体" w:cs="宋体"/>
                <w:color w:val="auto"/>
                <w:kern w:val="2"/>
                <w:sz w:val="21"/>
                <w:szCs w:val="21"/>
                <w:lang w:val="en-US" w:eastAsia="zh-CN" w:bidi="ar-SA"/>
              </w:rPr>
              <w:t>的</w:t>
            </w:r>
            <w:r>
              <w:rPr>
                <w:rFonts w:hint="eastAsia" w:ascii="宋体" w:hAnsi="宋体" w:eastAsia="宋体" w:cs="宋体"/>
                <w:color w:val="auto"/>
                <w:kern w:val="2"/>
                <w:sz w:val="21"/>
                <w:szCs w:val="21"/>
                <w:lang w:val="en-US" w:eastAsia="zh-Hans" w:bidi="ar-SA"/>
              </w:rPr>
              <w:t>，得1分。</w:t>
            </w:r>
          </w:p>
          <w:p w14:paraId="20286ADE">
            <w:pPr>
              <w:pStyle w:val="3"/>
              <w:spacing w:before="0" w:beforeAutospacing="0" w:after="0" w:afterAutospacing="0" w:line="360" w:lineRule="auto"/>
            </w:pPr>
            <w:r>
              <w:rPr>
                <w:rFonts w:hint="eastAsia" w:asciiTheme="minorEastAsia" w:hAnsiTheme="minorEastAsia" w:eastAsiaTheme="minorEastAsia" w:cstheme="minorEastAsia"/>
                <w:b/>
                <w:bCs/>
                <w:kern w:val="2"/>
                <w:sz w:val="21"/>
                <w:lang w:val="en-US" w:eastAsia="zh-CN" w:bidi="ar-SA"/>
              </w:rPr>
              <w:t>注：未提供方案不得分。</w:t>
            </w:r>
          </w:p>
        </w:tc>
      </w:tr>
      <w:tr w14:paraId="73C0CC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3" w:hRule="atLeast"/>
          <w:jc w:val="center"/>
        </w:trPr>
        <w:tc>
          <w:tcPr>
            <w:tcW w:w="335" w:type="pct"/>
            <w:vAlign w:val="center"/>
          </w:tcPr>
          <w:p w14:paraId="4D15BE10">
            <w:pPr>
              <w:adjustRightInd w:val="0"/>
              <w:snapToGrid w:val="0"/>
              <w:spacing w:beforeAutospacing="0" w:afterAutospacing="0" w:line="480" w:lineRule="exact"/>
              <w:jc w:val="center"/>
              <w:rPr>
                <w:rFonts w:hint="default" w:ascii="宋体" w:hAnsi="宋体" w:cs="宋体"/>
                <w:szCs w:val="21"/>
                <w:lang w:val="en-US" w:eastAsia="zh-CN"/>
              </w:rPr>
            </w:pPr>
            <w:r>
              <w:rPr>
                <w:rFonts w:hint="eastAsia" w:ascii="宋体" w:hAnsi="宋体" w:cs="宋体"/>
                <w:szCs w:val="21"/>
                <w:lang w:val="en-US" w:eastAsia="zh-CN"/>
              </w:rPr>
              <w:t>3</w:t>
            </w:r>
          </w:p>
        </w:tc>
        <w:tc>
          <w:tcPr>
            <w:tcW w:w="739" w:type="pct"/>
            <w:vAlign w:val="center"/>
          </w:tcPr>
          <w:p w14:paraId="60AFC274">
            <w:pPr>
              <w:keepNext w:val="0"/>
              <w:keepLines w:val="0"/>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组织架构</w:t>
            </w:r>
            <w:r>
              <w:rPr>
                <w:rFonts w:hint="eastAsia" w:ascii="宋体" w:hAnsi="宋体" w:eastAsia="宋体" w:cs="宋体"/>
                <w:color w:val="000000"/>
                <w:kern w:val="0"/>
                <w:sz w:val="21"/>
                <w:szCs w:val="21"/>
                <w:lang w:val="en-US" w:eastAsia="zh-CN" w:bidi="ar"/>
              </w:rPr>
              <w:t xml:space="preserve"> </w:t>
            </w:r>
          </w:p>
          <w:p w14:paraId="4BD74605">
            <w:pPr>
              <w:keepNext w:val="0"/>
              <w:keepLines w:val="0"/>
              <w:suppressLineNumbers w:val="0"/>
              <w:jc w:val="center"/>
              <w:rPr>
                <w:rFonts w:hint="eastAsia" w:ascii="宋体" w:hAnsi="宋体" w:cs="宋体"/>
                <w:szCs w:val="21"/>
                <w:lang w:val="en-US" w:eastAsia="zh-CN"/>
              </w:rPr>
            </w:pPr>
            <w:r>
              <w:rPr>
                <w:rFonts w:hint="eastAsia" w:ascii="宋体" w:hAnsi="宋体" w:eastAsia="宋体" w:cs="宋体"/>
                <w:color w:val="000000"/>
                <w:kern w:val="0"/>
                <w:sz w:val="21"/>
                <w:szCs w:val="21"/>
                <w:lang w:val="en-US" w:eastAsia="zh-CN" w:bidi="ar"/>
              </w:rPr>
              <w:t xml:space="preserve">方案 </w:t>
            </w:r>
          </w:p>
        </w:tc>
        <w:tc>
          <w:tcPr>
            <w:tcW w:w="356" w:type="pct"/>
            <w:vAlign w:val="center"/>
          </w:tcPr>
          <w:p w14:paraId="296E989F">
            <w:pPr>
              <w:adjustRightInd/>
              <w:spacing w:beforeAutospacing="0" w:afterAutospacing="0" w:line="480" w:lineRule="exact"/>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5</w:t>
            </w:r>
          </w:p>
        </w:tc>
        <w:tc>
          <w:tcPr>
            <w:tcW w:w="3569" w:type="pct"/>
            <w:vAlign w:val="center"/>
          </w:tcPr>
          <w:p w14:paraId="36DBF215">
            <w:pPr>
              <w:keepNext w:val="0"/>
              <w:keepLines w:val="0"/>
              <w:pageBreakBefore w:val="0"/>
              <w:suppressLineNumbers w:val="0"/>
              <w:kinsoku/>
              <w:overflowPunct/>
              <w:topLinePunct w:val="0"/>
              <w:bidi w:val="0"/>
              <w:adjustRightInd/>
              <w:spacing w:beforeAutospacing="0" w:afterAutospacing="0" w:line="360" w:lineRule="auto"/>
              <w:jc w:val="both"/>
              <w:textAlignment w:val="auto"/>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根据投标人提供的</w:t>
            </w:r>
            <w:r>
              <w:rPr>
                <w:rFonts w:hint="eastAsia" w:ascii="宋体" w:hAnsi="宋体" w:cs="宋体"/>
                <w:color w:val="000000"/>
                <w:kern w:val="0"/>
                <w:sz w:val="21"/>
                <w:szCs w:val="21"/>
                <w:lang w:val="en-US" w:eastAsia="zh-CN" w:bidi="ar"/>
              </w:rPr>
              <w:t>组织架构</w:t>
            </w:r>
            <w:r>
              <w:rPr>
                <w:rFonts w:hint="eastAsia" w:ascii="宋体" w:hAnsi="宋体" w:eastAsia="宋体" w:cs="宋体"/>
                <w:color w:val="000000"/>
                <w:kern w:val="0"/>
                <w:sz w:val="21"/>
                <w:szCs w:val="21"/>
                <w:lang w:val="en-US" w:eastAsia="zh-CN" w:bidi="ar"/>
              </w:rPr>
              <w:t>方案（包括</w:t>
            </w:r>
            <w:r>
              <w:rPr>
                <w:rFonts w:hint="eastAsia" w:cs="Times New Roman"/>
                <w:kern w:val="2"/>
                <w:sz w:val="21"/>
                <w:lang w:val="en-US" w:eastAsia="zh-CN" w:bidi="ar-SA"/>
              </w:rPr>
              <w:t>人员</w:t>
            </w:r>
            <w:r>
              <w:rPr>
                <w:rFonts w:hint="eastAsia" w:ascii="Times New Roman" w:hAnsi="Times New Roman" w:eastAsia="宋体" w:cs="Times New Roman"/>
                <w:kern w:val="2"/>
                <w:sz w:val="21"/>
                <w:lang w:val="en-US" w:eastAsia="zh-CN" w:bidi="ar-SA"/>
              </w:rPr>
              <w:t xml:space="preserve">架构设置、人员岗位设置合理，岗位是否职责明晰）进行综合评审： </w:t>
            </w:r>
          </w:p>
          <w:p w14:paraId="7C674548">
            <w:pPr>
              <w:keepNext w:val="0"/>
              <w:keepLines w:val="0"/>
              <w:pageBreakBefore w:val="0"/>
              <w:suppressLineNumbers w:val="0"/>
              <w:kinsoku/>
              <w:overflowPunct/>
              <w:topLinePunct w:val="0"/>
              <w:bidi w:val="0"/>
              <w:adjustRightInd/>
              <w:spacing w:beforeAutospacing="0" w:afterAutospacing="0"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1、</w:t>
            </w:r>
            <w:r>
              <w:rPr>
                <w:rFonts w:hint="eastAsia" w:cs="Times New Roman"/>
                <w:kern w:val="2"/>
                <w:sz w:val="21"/>
                <w:lang w:val="en-US" w:eastAsia="zh-CN" w:bidi="ar-SA"/>
              </w:rPr>
              <w:t>人员</w:t>
            </w:r>
            <w:r>
              <w:rPr>
                <w:rFonts w:hint="eastAsia" w:ascii="Times New Roman" w:hAnsi="Times New Roman" w:eastAsia="宋体" w:cs="Times New Roman"/>
                <w:kern w:val="2"/>
                <w:sz w:val="21"/>
                <w:lang w:val="en-US" w:eastAsia="zh-CN" w:bidi="ar-SA"/>
              </w:rPr>
              <w:t>架构设置</w:t>
            </w:r>
            <w:r>
              <w:rPr>
                <w:rFonts w:hint="eastAsia" w:asciiTheme="minorEastAsia" w:hAnsiTheme="minorEastAsia" w:eastAsiaTheme="minorEastAsia" w:cstheme="minorEastAsia"/>
                <w:kern w:val="2"/>
                <w:sz w:val="21"/>
                <w:lang w:val="en-US" w:eastAsia="zh-CN" w:bidi="ar-SA"/>
              </w:rPr>
              <w:t>、</w:t>
            </w:r>
            <w:r>
              <w:rPr>
                <w:rFonts w:hint="eastAsia" w:ascii="Times New Roman" w:hAnsi="Times New Roman" w:eastAsia="宋体" w:cs="Times New Roman"/>
                <w:kern w:val="2"/>
                <w:sz w:val="21"/>
                <w:lang w:val="en-US" w:eastAsia="zh-CN" w:bidi="ar-SA"/>
              </w:rPr>
              <w:t>人员岗位设置</w:t>
            </w:r>
            <w:r>
              <w:rPr>
                <w:rFonts w:hint="eastAsia" w:asciiTheme="minorEastAsia" w:hAnsiTheme="minorEastAsia" w:eastAsiaTheme="minorEastAsia" w:cstheme="minorEastAsia"/>
                <w:kern w:val="2"/>
                <w:sz w:val="21"/>
                <w:lang w:val="en-US" w:eastAsia="zh-CN" w:bidi="ar-SA"/>
              </w:rPr>
              <w:t>合理，岗位职责明晰的，得5分</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kern w:val="2"/>
                <w:sz w:val="21"/>
                <w:lang w:val="en-US" w:eastAsia="zh-CN" w:bidi="ar-SA"/>
              </w:rPr>
              <w:t xml:space="preserve"> </w:t>
            </w:r>
          </w:p>
          <w:p w14:paraId="784FC2A6">
            <w:pPr>
              <w:keepNext w:val="0"/>
              <w:keepLines w:val="0"/>
              <w:pageBreakBefore w:val="0"/>
              <w:suppressLineNumbers w:val="0"/>
              <w:kinsoku/>
              <w:overflowPunct/>
              <w:topLinePunct w:val="0"/>
              <w:bidi w:val="0"/>
              <w:adjustRightInd/>
              <w:spacing w:beforeAutospacing="0" w:afterAutospacing="0"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2、</w:t>
            </w:r>
            <w:r>
              <w:rPr>
                <w:rFonts w:hint="eastAsia" w:cs="Times New Roman"/>
                <w:kern w:val="2"/>
                <w:sz w:val="21"/>
                <w:lang w:val="en-US" w:eastAsia="zh-CN" w:bidi="ar-SA"/>
              </w:rPr>
              <w:t>人员</w:t>
            </w:r>
            <w:r>
              <w:rPr>
                <w:rFonts w:hint="eastAsia" w:ascii="Times New Roman" w:hAnsi="Times New Roman" w:eastAsia="宋体" w:cs="Times New Roman"/>
                <w:kern w:val="2"/>
                <w:sz w:val="21"/>
                <w:lang w:val="en-US" w:eastAsia="zh-CN" w:bidi="ar-SA"/>
              </w:rPr>
              <w:t>架构设置</w:t>
            </w:r>
            <w:r>
              <w:rPr>
                <w:rFonts w:hint="eastAsia" w:asciiTheme="minorEastAsia" w:hAnsiTheme="minorEastAsia" w:eastAsiaTheme="minorEastAsia" w:cstheme="minorEastAsia"/>
                <w:kern w:val="2"/>
                <w:sz w:val="21"/>
                <w:lang w:val="en-US" w:eastAsia="zh-CN" w:bidi="ar-SA"/>
              </w:rPr>
              <w:t>、</w:t>
            </w:r>
            <w:r>
              <w:rPr>
                <w:rFonts w:hint="eastAsia" w:ascii="Times New Roman" w:hAnsi="Times New Roman" w:eastAsia="宋体" w:cs="Times New Roman"/>
                <w:kern w:val="2"/>
                <w:sz w:val="21"/>
                <w:lang w:val="en-US" w:eastAsia="zh-CN" w:bidi="ar-SA"/>
              </w:rPr>
              <w:t>人员岗位设置</w:t>
            </w:r>
            <w:r>
              <w:rPr>
                <w:rFonts w:hint="eastAsia" w:asciiTheme="minorEastAsia" w:hAnsiTheme="minorEastAsia" w:eastAsiaTheme="minorEastAsia" w:cstheme="minorEastAsia"/>
                <w:kern w:val="2"/>
                <w:sz w:val="21"/>
                <w:lang w:val="en-US" w:eastAsia="zh-CN" w:bidi="ar-SA"/>
              </w:rPr>
              <w:t>基本合理，岗位职责基本清晰的，得3分</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kern w:val="2"/>
                <w:sz w:val="21"/>
                <w:lang w:val="en-US" w:eastAsia="zh-CN" w:bidi="ar-SA"/>
              </w:rPr>
              <w:t xml:space="preserve"> </w:t>
            </w:r>
          </w:p>
          <w:p w14:paraId="684CD260">
            <w:pPr>
              <w:keepNext w:val="0"/>
              <w:keepLines w:val="0"/>
              <w:pageBreakBefore w:val="0"/>
              <w:numPr>
                <w:ilvl w:val="0"/>
                <w:numId w:val="0"/>
              </w:numPr>
              <w:kinsoku/>
              <w:overflowPunct/>
              <w:topLinePunct w:val="0"/>
              <w:bidi w:val="0"/>
              <w:adjustRightInd/>
              <w:spacing w:beforeAutospacing="0" w:afterAutospacing="0" w:line="360" w:lineRule="auto"/>
              <w:ind w:leftChars="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lang w:val="en-US" w:eastAsia="zh-CN" w:bidi="ar-SA"/>
              </w:rPr>
              <w:t>3、</w:t>
            </w:r>
            <w:r>
              <w:rPr>
                <w:rFonts w:hint="eastAsia" w:cs="Times New Roman"/>
                <w:kern w:val="2"/>
                <w:sz w:val="21"/>
                <w:lang w:val="en-US" w:eastAsia="zh-CN" w:bidi="ar-SA"/>
              </w:rPr>
              <w:t>人员</w:t>
            </w:r>
            <w:r>
              <w:rPr>
                <w:rFonts w:hint="eastAsia" w:ascii="Times New Roman" w:hAnsi="Times New Roman" w:eastAsia="宋体" w:cs="Times New Roman"/>
                <w:kern w:val="2"/>
                <w:sz w:val="21"/>
                <w:lang w:val="en-US" w:eastAsia="zh-CN" w:bidi="ar-SA"/>
              </w:rPr>
              <w:t>架构设置</w:t>
            </w:r>
            <w:r>
              <w:rPr>
                <w:rFonts w:hint="eastAsia" w:asciiTheme="minorEastAsia" w:hAnsiTheme="minorEastAsia" w:eastAsiaTheme="minorEastAsia" w:cstheme="minorEastAsia"/>
                <w:kern w:val="2"/>
                <w:sz w:val="21"/>
                <w:lang w:val="en-US" w:eastAsia="zh-CN" w:bidi="ar-SA"/>
              </w:rPr>
              <w:t>、</w:t>
            </w:r>
            <w:r>
              <w:rPr>
                <w:rFonts w:hint="eastAsia" w:ascii="Times New Roman" w:hAnsi="Times New Roman" w:eastAsia="宋体" w:cs="Times New Roman"/>
                <w:kern w:val="2"/>
                <w:sz w:val="21"/>
                <w:lang w:val="en-US" w:eastAsia="zh-CN" w:bidi="ar-SA"/>
              </w:rPr>
              <w:t>人员岗位设置</w:t>
            </w:r>
            <w:r>
              <w:rPr>
                <w:rFonts w:hint="eastAsia" w:asciiTheme="minorEastAsia" w:hAnsiTheme="minorEastAsia" w:eastAsiaTheme="minorEastAsia" w:cstheme="minorEastAsia"/>
                <w:kern w:val="2"/>
                <w:sz w:val="21"/>
                <w:lang w:val="en-US" w:eastAsia="zh-CN" w:bidi="ar-SA"/>
              </w:rPr>
              <w:t>不合理，岗位职责不明确，不清晰的，得1分</w:t>
            </w:r>
            <w:r>
              <w:rPr>
                <w:rFonts w:hint="eastAsia" w:asciiTheme="minorEastAsia" w:hAnsiTheme="minorEastAsia" w:eastAsiaTheme="minorEastAsia" w:cstheme="minorEastAsia"/>
                <w:lang w:val="en-US" w:eastAsia="zh-CN"/>
              </w:rPr>
              <w:t>。</w:t>
            </w:r>
          </w:p>
          <w:p w14:paraId="717A3CD4">
            <w:pPr>
              <w:keepNext w:val="0"/>
              <w:keepLines w:val="0"/>
              <w:pageBreakBefore w:val="0"/>
              <w:numPr>
                <w:ilvl w:val="0"/>
                <w:numId w:val="0"/>
              </w:numPr>
              <w:kinsoku/>
              <w:overflowPunct/>
              <w:topLinePunct w:val="0"/>
              <w:bidi w:val="0"/>
              <w:adjustRightInd/>
              <w:spacing w:beforeAutospacing="0" w:afterAutospacing="0" w:line="360" w:lineRule="auto"/>
              <w:ind w:leftChars="0"/>
              <w:jc w:val="both"/>
              <w:textAlignment w:val="auto"/>
              <w:rPr>
                <w:rFonts w:hint="eastAsia" w:ascii="宋体" w:hAnsi="宋体" w:eastAsia="宋体" w:cs="JEIUCH+ËÎÌå"/>
                <w:b/>
                <w:bCs/>
                <w:color w:val="auto"/>
                <w:kern w:val="0"/>
                <w:sz w:val="21"/>
                <w:szCs w:val="21"/>
                <w:lang w:val="en-US" w:eastAsia="zh-CN" w:bidi="ar-SA"/>
              </w:rPr>
            </w:pPr>
            <w:r>
              <w:rPr>
                <w:rFonts w:hint="eastAsia" w:asciiTheme="minorEastAsia" w:hAnsiTheme="minorEastAsia" w:eastAsiaTheme="minorEastAsia" w:cstheme="minorEastAsia"/>
                <w:b/>
                <w:bCs/>
                <w:kern w:val="2"/>
                <w:sz w:val="21"/>
                <w:lang w:val="en-US" w:eastAsia="zh-CN" w:bidi="ar-SA"/>
              </w:rPr>
              <w:t>注：未提供方案不得分。</w:t>
            </w:r>
          </w:p>
        </w:tc>
      </w:tr>
      <w:tr w14:paraId="72EE03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335" w:type="pct"/>
            <w:vAlign w:val="center"/>
          </w:tcPr>
          <w:p w14:paraId="1FCBC41D">
            <w:pPr>
              <w:adjustRightInd w:val="0"/>
              <w:snapToGrid w:val="0"/>
              <w:spacing w:beforeAutospacing="0" w:afterAutospacing="0" w:line="480" w:lineRule="exact"/>
              <w:jc w:val="center"/>
              <w:rPr>
                <w:rFonts w:hint="default" w:ascii="宋体" w:hAnsi="宋体" w:cs="宋体"/>
                <w:szCs w:val="21"/>
                <w:lang w:val="en-US" w:eastAsia="zh-CN"/>
              </w:rPr>
            </w:pPr>
            <w:r>
              <w:rPr>
                <w:rFonts w:hint="eastAsia" w:ascii="宋体" w:hAnsi="宋体" w:cs="宋体"/>
                <w:szCs w:val="21"/>
                <w:lang w:val="en-US" w:eastAsia="zh-CN"/>
              </w:rPr>
              <w:t>4</w:t>
            </w:r>
          </w:p>
        </w:tc>
        <w:tc>
          <w:tcPr>
            <w:tcW w:w="739" w:type="pct"/>
            <w:vAlign w:val="center"/>
          </w:tcPr>
          <w:p w14:paraId="4180F39B">
            <w:pPr>
              <w:keepNext w:val="0"/>
              <w:keepLines w:val="0"/>
              <w:suppressLineNumbers w:val="0"/>
              <w:jc w:val="center"/>
              <w:rPr>
                <w:rFonts w:hint="eastAsia" w:ascii="宋体" w:hAnsi="宋体" w:cs="宋体"/>
                <w:szCs w:val="21"/>
                <w:lang w:val="en-US" w:eastAsia="zh-CN"/>
              </w:rPr>
            </w:pPr>
            <w:r>
              <w:rPr>
                <w:rFonts w:hint="eastAsia" w:ascii="宋体" w:hAnsi="宋体" w:eastAsia="宋体" w:cs="宋体"/>
                <w:color w:val="000000"/>
                <w:kern w:val="0"/>
                <w:sz w:val="21"/>
                <w:szCs w:val="21"/>
                <w:lang w:val="en-US" w:eastAsia="zh-CN" w:bidi="ar"/>
              </w:rPr>
              <w:t>应急预案</w:t>
            </w:r>
          </w:p>
        </w:tc>
        <w:tc>
          <w:tcPr>
            <w:tcW w:w="356" w:type="pct"/>
            <w:vAlign w:val="center"/>
          </w:tcPr>
          <w:p w14:paraId="11A1E65A">
            <w:pPr>
              <w:adjustRightInd/>
              <w:spacing w:beforeAutospacing="0" w:afterAutospacing="0" w:line="480" w:lineRule="exact"/>
              <w:jc w:val="center"/>
              <w:textAlignment w:val="auto"/>
              <w:rPr>
                <w:rFonts w:hint="default" w:asciiTheme="minorEastAsia" w:hAnsiTheme="minorEastAsia" w:eastAsiaTheme="minorEastAsia" w:cstheme="minorEastAsia"/>
                <w:szCs w:val="21"/>
                <w:lang w:val="en-US" w:eastAsia="zh-CN"/>
              </w:rPr>
            </w:pPr>
            <w:r>
              <w:rPr>
                <w:rFonts w:hint="eastAsia" w:ascii="宋体" w:hAnsi="宋体" w:cs="宋体"/>
                <w:lang w:val="en-US" w:eastAsia="zh-CN"/>
              </w:rPr>
              <w:t>10</w:t>
            </w:r>
          </w:p>
        </w:tc>
        <w:tc>
          <w:tcPr>
            <w:tcW w:w="3569" w:type="pct"/>
            <w:vAlign w:val="center"/>
          </w:tcPr>
          <w:p w14:paraId="026BD936">
            <w:pPr>
              <w:keepNext w:val="0"/>
              <w:keepLines w:val="0"/>
              <w:pageBreakBefore w:val="0"/>
              <w:suppressLineNumbers w:val="0"/>
              <w:kinsoku/>
              <w:overflowPunct/>
              <w:topLinePunct w:val="0"/>
              <w:bidi w:val="0"/>
              <w:adjustRightInd/>
              <w:spacing w:beforeAutospacing="0" w:afterAutospacing="0"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lang w:val="en-US" w:eastAsia="zh-CN"/>
              </w:rPr>
              <w:t>根据投标人</w:t>
            </w:r>
            <w:r>
              <w:rPr>
                <w:rFonts w:hint="eastAsia" w:asciiTheme="minorEastAsia" w:hAnsiTheme="minorEastAsia" w:eastAsiaTheme="minorEastAsia" w:cstheme="minorEastAsia"/>
                <w:kern w:val="2"/>
                <w:sz w:val="21"/>
                <w:lang w:val="en-US" w:eastAsia="zh-CN" w:bidi="ar-SA"/>
              </w:rPr>
              <w:t xml:space="preserve">提供的应急预案（包括处理程序、指挥机构与体系、预警和预防机制、指挥协调和紧急处置）进行综合评审： </w:t>
            </w:r>
          </w:p>
          <w:p w14:paraId="112B7DD5">
            <w:pPr>
              <w:keepNext w:val="0"/>
              <w:keepLines w:val="0"/>
              <w:pageBreakBefore w:val="0"/>
              <w:numPr>
                <w:ilvl w:val="0"/>
                <w:numId w:val="0"/>
              </w:numPr>
              <w:kinsoku/>
              <w:overflowPunct/>
              <w:topLinePunct w:val="0"/>
              <w:bidi w:val="0"/>
              <w:adjustRightInd/>
              <w:spacing w:beforeAutospacing="0" w:afterAutospacing="0" w:line="360" w:lineRule="auto"/>
              <w:jc w:val="both"/>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1、处理程序清晰，指挥机构与体系完整，预警和预防机制合理，指挥协调和紧急处置可行的，得10分。</w:t>
            </w:r>
          </w:p>
          <w:p w14:paraId="2AB924CC">
            <w:pPr>
              <w:pStyle w:val="45"/>
              <w:keepNext w:val="0"/>
              <w:keepLines w:val="0"/>
              <w:pageBreakBefore w:val="0"/>
              <w:numPr>
                <w:ilvl w:val="0"/>
                <w:numId w:val="0"/>
              </w:numPr>
              <w:kinsoku/>
              <w:overflowPunct/>
              <w:topLinePunct w:val="0"/>
              <w:bidi w:val="0"/>
              <w:adjustRightInd/>
              <w:spacing w:beforeAutospacing="0" w:afterAutospacing="0"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2、处理程序基本清晰，指挥机构与体系基本完整，预警和预防机制基本合理，指挥协调和紧急处置基本可行的，得7分。</w:t>
            </w:r>
          </w:p>
          <w:p w14:paraId="165B7654">
            <w:pPr>
              <w:pStyle w:val="45"/>
              <w:keepNext w:val="0"/>
              <w:keepLines w:val="0"/>
              <w:pageBreakBefore w:val="0"/>
              <w:numPr>
                <w:ilvl w:val="0"/>
                <w:numId w:val="0"/>
              </w:numPr>
              <w:kinsoku/>
              <w:overflowPunct/>
              <w:topLinePunct w:val="0"/>
              <w:bidi w:val="0"/>
              <w:adjustRightInd/>
              <w:spacing w:beforeAutospacing="0" w:afterAutospacing="0"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3、处理程序不够清晰，指挥机构与体系不够完整，预警和预防机制不够合理，指挥协调和紧急处置不够可行的，得4分。</w:t>
            </w:r>
          </w:p>
          <w:p w14:paraId="5E451B4A">
            <w:pPr>
              <w:pStyle w:val="45"/>
              <w:keepNext w:val="0"/>
              <w:keepLines w:val="0"/>
              <w:pageBreakBefore w:val="0"/>
              <w:numPr>
                <w:ilvl w:val="0"/>
                <w:numId w:val="0"/>
              </w:numPr>
              <w:kinsoku/>
              <w:overflowPunct/>
              <w:topLinePunct w:val="0"/>
              <w:bidi w:val="0"/>
              <w:adjustRightInd/>
              <w:spacing w:beforeAutospacing="0" w:afterAutospacing="0" w:line="360" w:lineRule="auto"/>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kern w:val="2"/>
                <w:sz w:val="21"/>
                <w:lang w:val="en-US" w:eastAsia="zh-CN" w:bidi="ar-SA"/>
              </w:rPr>
              <w:t>4、处理程序不清晰，指挥机构与体系不完整，预警和预防机制不合理，指挥协调和紧急处置不可行的，得1分</w:t>
            </w:r>
            <w:r>
              <w:rPr>
                <w:rFonts w:hint="eastAsia" w:asciiTheme="minorEastAsia" w:hAnsiTheme="minorEastAsia" w:eastAsiaTheme="minorEastAsia" w:cstheme="minorEastAsia"/>
                <w:lang w:val="en-US" w:eastAsia="zh-CN"/>
              </w:rPr>
              <w:t>。</w:t>
            </w:r>
          </w:p>
          <w:p w14:paraId="3CB1D4DA">
            <w:pPr>
              <w:pStyle w:val="57"/>
              <w:ind w:left="0" w:leftChars="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kern w:val="2"/>
                <w:sz w:val="21"/>
                <w:lang w:val="en-US" w:eastAsia="zh-CN" w:bidi="ar-SA"/>
              </w:rPr>
              <w:t>注：未提供方案不得分。</w:t>
            </w:r>
          </w:p>
        </w:tc>
      </w:tr>
      <w:tr w14:paraId="175F35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335" w:type="pct"/>
            <w:vAlign w:val="center"/>
          </w:tcPr>
          <w:p w14:paraId="39B0C51D">
            <w:pPr>
              <w:adjustRightInd w:val="0"/>
              <w:snapToGrid w:val="0"/>
              <w:spacing w:beforeAutospacing="0" w:afterAutospacing="0" w:line="480" w:lineRule="exact"/>
              <w:jc w:val="center"/>
              <w:rPr>
                <w:rFonts w:hint="default" w:ascii="宋体" w:hAnsi="宋体" w:cs="宋体"/>
                <w:szCs w:val="21"/>
                <w:lang w:val="en-US" w:eastAsia="zh-CN"/>
              </w:rPr>
            </w:pPr>
            <w:r>
              <w:rPr>
                <w:rFonts w:hint="eastAsia" w:ascii="宋体" w:hAnsi="宋体" w:cs="宋体"/>
                <w:szCs w:val="21"/>
                <w:lang w:val="en-US" w:eastAsia="zh-CN"/>
              </w:rPr>
              <w:t>5</w:t>
            </w:r>
          </w:p>
        </w:tc>
        <w:tc>
          <w:tcPr>
            <w:tcW w:w="739" w:type="pct"/>
            <w:vAlign w:val="center"/>
          </w:tcPr>
          <w:p w14:paraId="61C73E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szCs w:val="21"/>
                <w:lang w:val="en-US" w:eastAsia="zh-CN"/>
              </w:rPr>
            </w:pPr>
            <w:r>
              <w:rPr>
                <w:rFonts w:hint="eastAsia" w:ascii="宋体" w:hAnsi="宋体" w:eastAsia="宋体" w:cs="宋体"/>
                <w:color w:val="auto"/>
                <w:sz w:val="21"/>
                <w:szCs w:val="21"/>
                <w:highlight w:val="none"/>
                <w:lang w:val="en-US" w:eastAsia="zh-CN"/>
              </w:rPr>
              <w:t>项目移交方案</w:t>
            </w:r>
          </w:p>
        </w:tc>
        <w:tc>
          <w:tcPr>
            <w:tcW w:w="356" w:type="pct"/>
            <w:vAlign w:val="center"/>
          </w:tcPr>
          <w:p w14:paraId="0C8DFCC3">
            <w:pPr>
              <w:keepNext w:val="0"/>
              <w:keepLines w:val="0"/>
              <w:pageBreakBefore w:val="0"/>
              <w:numPr>
                <w:ilvl w:val="0"/>
                <w:numId w:val="0"/>
              </w:numPr>
              <w:kinsoku/>
              <w:overflowPunct/>
              <w:topLinePunct w:val="0"/>
              <w:bidi w:val="0"/>
              <w:spacing w:beforeAutospacing="0" w:afterAutospacing="0" w:line="480" w:lineRule="exact"/>
              <w:ind w:left="0" w:leftChars="0" w:firstLine="0" w:firstLineChars="0"/>
              <w:jc w:val="center"/>
              <w:textAlignment w:val="auto"/>
              <w:rPr>
                <w:rFonts w:hint="default" w:ascii="宋体" w:hAnsi="宋体" w:cs="宋体"/>
                <w:szCs w:val="21"/>
                <w:lang w:val="en-US" w:eastAsia="zh-CN"/>
              </w:rPr>
            </w:pPr>
            <w:r>
              <w:rPr>
                <w:rFonts w:hint="eastAsia" w:asciiTheme="minorEastAsia" w:hAnsiTheme="minorEastAsia" w:eastAsiaTheme="minorEastAsia" w:cstheme="minorEastAsia"/>
                <w:lang w:val="en-US" w:eastAsia="zh-CN"/>
              </w:rPr>
              <w:t>10</w:t>
            </w:r>
          </w:p>
        </w:tc>
        <w:tc>
          <w:tcPr>
            <w:tcW w:w="3569" w:type="pct"/>
            <w:vAlign w:val="center"/>
          </w:tcPr>
          <w:p w14:paraId="508BEF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根据投标人提交的项目移交方案（包括运营状态、维修措施、工作程序）进行综合评审：</w:t>
            </w:r>
          </w:p>
          <w:p w14:paraId="53D50D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1、对项目设备、设施在经营期结束时的运营状态描述清晰，移交后能够保证正常运营的，维修措施合理，工作程序有条理性的，得10分；</w:t>
            </w:r>
          </w:p>
          <w:p w14:paraId="21704C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2、对项目设备、设施在经营期结束时的运营状态描述基本清晰，移交后能基本保证正常运营的，维修措施基本合理，工作程序基本有条理性的，得7分；</w:t>
            </w:r>
          </w:p>
          <w:p w14:paraId="3A40404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3、对项目设备、设施在经营期结束时的运营状态描述不够清晰，移交后不确保能保证正常运营的，维修措施不够合理，工作程序不够有条理性的，得4分；</w:t>
            </w:r>
          </w:p>
          <w:p w14:paraId="132333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4、对项目设备、设施在经营期结束时的运营状态描述不清晰，移交后不能保证正常运营的，维修措施不合理，工作程序无条理性的，得1分；</w:t>
            </w:r>
          </w:p>
          <w:p w14:paraId="12087FEB">
            <w:pPr>
              <w:keepNext w:val="0"/>
              <w:keepLines w:val="0"/>
              <w:pageBreakBefore w:val="0"/>
              <w:numPr>
                <w:ilvl w:val="0"/>
                <w:numId w:val="0"/>
              </w:numPr>
              <w:kinsoku/>
              <w:overflowPunct/>
              <w:topLinePunct w:val="0"/>
              <w:bidi w:val="0"/>
              <w:spacing w:beforeAutospacing="0" w:afterAutospacing="0" w:line="360" w:lineRule="auto"/>
              <w:ind w:left="0" w:leftChars="0" w:firstLine="0" w:firstLineChars="0"/>
              <w:jc w:val="both"/>
              <w:textAlignment w:val="auto"/>
              <w:rPr>
                <w:rFonts w:hint="eastAsia" w:ascii="宋体" w:hAnsi="宋体" w:eastAsia="宋体" w:cs="JEIUCH+ËÎÌå"/>
                <w:b/>
                <w:bCs/>
                <w:color w:val="auto"/>
                <w:kern w:val="0"/>
                <w:sz w:val="21"/>
                <w:szCs w:val="21"/>
                <w:lang w:val="en-US" w:eastAsia="zh-CN" w:bidi="ar-SA"/>
              </w:rPr>
            </w:pPr>
            <w:r>
              <w:rPr>
                <w:rFonts w:hint="eastAsia" w:asciiTheme="minorEastAsia" w:hAnsiTheme="minorEastAsia" w:eastAsiaTheme="minorEastAsia" w:cstheme="minorEastAsia"/>
                <w:b/>
                <w:bCs/>
                <w:kern w:val="2"/>
                <w:sz w:val="21"/>
                <w:lang w:val="en-US" w:eastAsia="zh-CN" w:bidi="ar-SA"/>
              </w:rPr>
              <w:t>注：未提供方案不得分。</w:t>
            </w:r>
          </w:p>
        </w:tc>
      </w:tr>
      <w:tr w14:paraId="408914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00" w:hRule="atLeast"/>
          <w:jc w:val="center"/>
        </w:trPr>
        <w:tc>
          <w:tcPr>
            <w:tcW w:w="335" w:type="pct"/>
            <w:vAlign w:val="center"/>
          </w:tcPr>
          <w:p w14:paraId="12F26878">
            <w:pPr>
              <w:snapToGrid w:val="0"/>
              <w:spacing w:beforeAutospacing="0" w:afterAutospacing="0" w:line="480" w:lineRule="exact"/>
              <w:jc w:val="center"/>
              <w:rPr>
                <w:rFonts w:ascii="宋体" w:hAnsi="宋体" w:cs="宋体"/>
                <w:b/>
                <w:sz w:val="24"/>
              </w:rPr>
            </w:pPr>
            <w:r>
              <w:rPr>
                <w:rFonts w:hint="eastAsia" w:ascii="宋体" w:hAnsi="宋体" w:cs="宋体"/>
                <w:b/>
                <w:bCs/>
                <w:szCs w:val="21"/>
              </w:rPr>
              <w:t>合计</w:t>
            </w:r>
          </w:p>
        </w:tc>
        <w:tc>
          <w:tcPr>
            <w:tcW w:w="4664" w:type="pct"/>
            <w:gridSpan w:val="3"/>
            <w:vAlign w:val="center"/>
          </w:tcPr>
          <w:p w14:paraId="36769E68">
            <w:pPr>
              <w:snapToGrid w:val="0"/>
              <w:spacing w:beforeAutospacing="0" w:afterAutospacing="0" w:line="480" w:lineRule="exact"/>
              <w:jc w:val="center"/>
              <w:rPr>
                <w:rFonts w:ascii="宋体" w:hAnsi="宋体" w:cs="宋体"/>
                <w:bCs/>
                <w:sz w:val="24"/>
              </w:rPr>
            </w:pPr>
            <w:r>
              <w:rPr>
                <w:rFonts w:hint="eastAsia" w:ascii="宋体" w:hAnsi="宋体" w:cs="宋体"/>
                <w:b/>
                <w:sz w:val="24"/>
                <w:lang w:val="en-US" w:eastAsia="zh-CN"/>
              </w:rPr>
              <w:t>50</w:t>
            </w:r>
            <w:r>
              <w:rPr>
                <w:rFonts w:hint="eastAsia" w:ascii="宋体" w:hAnsi="宋体" w:cs="宋体"/>
                <w:b/>
                <w:sz w:val="24"/>
              </w:rPr>
              <w:t>分</w:t>
            </w:r>
          </w:p>
        </w:tc>
      </w:tr>
    </w:tbl>
    <w:p w14:paraId="11851AB5">
      <w:pPr>
        <w:pStyle w:val="3"/>
        <w:jc w:val="center"/>
        <w:rPr>
          <w:rFonts w:asciiTheme="majorEastAsia" w:hAnsiTheme="majorEastAsia" w:eastAsiaTheme="majorEastAsia" w:cstheme="majorEastAsia"/>
          <w:b/>
          <w:bCs w:val="0"/>
          <w:color w:val="auto"/>
          <w:szCs w:val="30"/>
        </w:rPr>
      </w:pPr>
      <w:r>
        <w:rPr>
          <w:rFonts w:hint="eastAsia" w:asciiTheme="majorEastAsia" w:hAnsiTheme="majorEastAsia" w:eastAsiaTheme="majorEastAsia" w:cstheme="majorEastAsia"/>
          <w:b/>
          <w:bCs w:val="0"/>
          <w:color w:val="auto"/>
          <w:szCs w:val="30"/>
        </w:rPr>
        <w:t>附表</w:t>
      </w:r>
      <w:r>
        <w:rPr>
          <w:rFonts w:hint="eastAsia" w:asciiTheme="majorEastAsia" w:hAnsiTheme="majorEastAsia" w:eastAsiaTheme="majorEastAsia" w:cstheme="majorEastAsia"/>
          <w:b/>
          <w:bCs w:val="0"/>
          <w:color w:val="auto"/>
          <w:szCs w:val="30"/>
          <w:lang w:val="en-US" w:eastAsia="zh-CN"/>
        </w:rPr>
        <w:t>3</w:t>
      </w:r>
      <w:r>
        <w:rPr>
          <w:rFonts w:hint="eastAsia" w:asciiTheme="majorEastAsia" w:hAnsiTheme="majorEastAsia" w:eastAsiaTheme="majorEastAsia" w:cstheme="majorEastAsia"/>
          <w:b/>
          <w:bCs w:val="0"/>
          <w:color w:val="auto"/>
          <w:szCs w:val="30"/>
        </w:rPr>
        <w:t>：价格评分表</w:t>
      </w:r>
    </w:p>
    <w:tbl>
      <w:tblPr>
        <w:tblStyle w:val="4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04"/>
        <w:gridCol w:w="702"/>
        <w:gridCol w:w="6657"/>
        <w:gridCol w:w="649"/>
      </w:tblGrid>
      <w:tr w14:paraId="5DF640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9" w:hRule="atLeast"/>
          <w:jc w:val="center"/>
        </w:trPr>
        <w:tc>
          <w:tcPr>
            <w:tcW w:w="296" w:type="pct"/>
            <w:vAlign w:val="center"/>
          </w:tcPr>
          <w:p w14:paraId="097C730C">
            <w:pPr>
              <w:pStyle w:val="140"/>
              <w:keepNext w:val="0"/>
              <w:keepLines w:val="0"/>
              <w:suppressLineNumbers w:val="0"/>
              <w:spacing w:before="0" w:beforeAutospacing="0" w:after="0" w:afterAutospacing="0" w:line="360" w:lineRule="auto"/>
              <w:ind w:left="0" w:right="0" w:firstLine="0" w:firstLineChars="0"/>
              <w:jc w:val="center"/>
              <w:rPr>
                <w:rFonts w:hint="default"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w:t>
            </w:r>
          </w:p>
        </w:tc>
        <w:tc>
          <w:tcPr>
            <w:tcW w:w="412" w:type="pct"/>
            <w:vAlign w:val="center"/>
          </w:tcPr>
          <w:p w14:paraId="74868FF3">
            <w:pPr>
              <w:keepNext w:val="0"/>
              <w:keepLines w:val="0"/>
              <w:suppressLineNumbers w:val="0"/>
              <w:adjustRightInd w:val="0"/>
              <w:snapToGrid w:val="0"/>
              <w:spacing w:before="0" w:beforeAutospacing="0" w:after="0" w:afterAutospacing="0" w:line="360" w:lineRule="auto"/>
              <w:ind w:left="0" w:right="0"/>
              <w:jc w:val="center"/>
              <w:rPr>
                <w:rFonts w:hint="default" w:asciiTheme="majorEastAsia" w:hAnsiTheme="majorEastAsia" w:eastAsiaTheme="majorEastAsia" w:cstheme="majorEastAsia"/>
                <w:szCs w:val="21"/>
              </w:rPr>
            </w:pPr>
            <w:r>
              <w:rPr>
                <w:rFonts w:hint="eastAsia" w:asciiTheme="majorEastAsia" w:hAnsiTheme="majorEastAsia" w:eastAsiaTheme="majorEastAsia" w:cstheme="majorEastAsia"/>
                <w:szCs w:val="21"/>
              </w:rPr>
              <w:t>投标报价</w:t>
            </w:r>
          </w:p>
        </w:tc>
        <w:tc>
          <w:tcPr>
            <w:tcW w:w="3908" w:type="pct"/>
            <w:vAlign w:val="center"/>
          </w:tcPr>
          <w:p w14:paraId="4721585C">
            <w:pPr>
              <w:keepNext w:val="0"/>
              <w:keepLines w:val="0"/>
              <w:pageBreakBefore w:val="0"/>
              <w:kinsoku/>
              <w:wordWrap/>
              <w:overflowPunct/>
              <w:topLinePunct w:val="0"/>
              <w:autoSpaceDE/>
              <w:autoSpaceDN/>
              <w:bidi w:val="0"/>
              <w:adjustRightInd/>
              <w:snapToGrid/>
              <w:spacing w:line="360" w:lineRule="auto"/>
              <w:jc w:val="both"/>
              <w:rPr>
                <w:rFonts w:hint="default" w:eastAsiaTheme="minorEastAsia"/>
                <w:szCs w:val="20"/>
                <w:lang w:val="en-US" w:eastAsia="zh-CN"/>
              </w:rPr>
            </w:pPr>
            <w:r>
              <w:rPr>
                <w:rFonts w:hint="eastAsia" w:ascii="宋体" w:hAnsi="宋体" w:eastAsia="宋体" w:cs="宋体"/>
                <w:i w:val="0"/>
                <w:color w:val="auto"/>
                <w:sz w:val="21"/>
                <w:szCs w:val="21"/>
                <w:highlight w:val="none"/>
                <w:u w:val="none"/>
                <w:lang w:val="en-US" w:eastAsia="zh-CN"/>
              </w:rPr>
              <w:t>根据投标人的投标报价金额由高到低依次进行排名：</w:t>
            </w:r>
            <w:r>
              <w:rPr>
                <w:rFonts w:hint="eastAsia" w:ascii="宋体" w:hAnsi="宋体" w:eastAsia="宋体" w:cs="宋体"/>
                <w:i w:val="0"/>
                <w:color w:val="auto"/>
                <w:kern w:val="0"/>
                <w:sz w:val="21"/>
                <w:szCs w:val="21"/>
                <w:highlight w:val="none"/>
                <w:u w:val="none"/>
                <w:lang w:val="en-US" w:eastAsia="zh-CN" w:bidi="ar"/>
              </w:rPr>
              <w:t>第一名得20分，第二名得16分，第三名得12分，</w:t>
            </w:r>
            <w:r>
              <w:rPr>
                <w:rFonts w:hint="eastAsia" w:ascii="宋体" w:hAnsi="宋体" w:cs="宋体"/>
                <w:i w:val="0"/>
                <w:color w:val="auto"/>
                <w:kern w:val="0"/>
                <w:sz w:val="21"/>
                <w:szCs w:val="21"/>
                <w:highlight w:val="none"/>
                <w:u w:val="none"/>
                <w:lang w:val="en-US" w:eastAsia="zh-CN" w:bidi="ar"/>
              </w:rPr>
              <w:t>第四名得8分，第五名及之后</w:t>
            </w:r>
            <w:r>
              <w:rPr>
                <w:rFonts w:hint="eastAsia" w:ascii="宋体" w:hAnsi="宋体" w:eastAsia="宋体" w:cs="宋体"/>
                <w:i w:val="0"/>
                <w:color w:val="auto"/>
                <w:kern w:val="0"/>
                <w:sz w:val="21"/>
                <w:szCs w:val="21"/>
                <w:highlight w:val="none"/>
                <w:u w:val="none"/>
                <w:lang w:val="en-US" w:eastAsia="zh-CN" w:bidi="ar"/>
              </w:rPr>
              <w:t>得4分。</w:t>
            </w:r>
            <w:r>
              <w:rPr>
                <w:rFonts w:hint="eastAsia" w:ascii="宋体" w:hAnsi="宋体" w:eastAsia="宋体" w:cs="宋体"/>
                <w:b/>
                <w:i w:val="0"/>
                <w:color w:val="auto"/>
                <w:kern w:val="0"/>
                <w:sz w:val="21"/>
                <w:szCs w:val="21"/>
                <w:highlight w:val="none"/>
                <w:u w:val="none"/>
                <w:lang w:val="en-US" w:eastAsia="zh-CN" w:bidi="ar"/>
              </w:rPr>
              <w:t>注：根据投标人的投标报价为依据。</w:t>
            </w:r>
          </w:p>
        </w:tc>
        <w:tc>
          <w:tcPr>
            <w:tcW w:w="381" w:type="pct"/>
            <w:vAlign w:val="center"/>
          </w:tcPr>
          <w:p w14:paraId="4EC2A750">
            <w:pPr>
              <w:keepNext w:val="0"/>
              <w:keepLines w:val="0"/>
              <w:suppressLineNumbers w:val="0"/>
              <w:spacing w:before="0" w:beforeAutospacing="0" w:after="0" w:afterAutospacing="0" w:line="360" w:lineRule="auto"/>
              <w:ind w:left="0" w:right="0"/>
              <w:jc w:val="center"/>
              <w:rPr>
                <w:rFonts w:hint="default" w:asciiTheme="majorEastAsia" w:hAnsiTheme="majorEastAsia" w:eastAsiaTheme="majorEastAsia" w:cstheme="majorEastAsia"/>
                <w:szCs w:val="21"/>
                <w:lang w:val="en-US"/>
              </w:rPr>
            </w:pPr>
            <w:r>
              <w:rPr>
                <w:rFonts w:hint="eastAsia" w:ascii="宋体" w:hAnsi="宋体" w:cs="宋体"/>
                <w:color w:val="000000" w:themeColor="text1"/>
                <w:szCs w:val="21"/>
                <w:lang w:val="en-US" w:eastAsia="zh-CN"/>
                <w14:textFill>
                  <w14:solidFill>
                    <w14:schemeClr w14:val="tx1"/>
                  </w14:solidFill>
                </w14:textFill>
              </w:rPr>
              <w:t>20</w:t>
            </w:r>
          </w:p>
        </w:tc>
      </w:tr>
    </w:tbl>
    <w:p w14:paraId="24489B1A">
      <w:pPr>
        <w:rPr>
          <w:rFonts w:ascii="宋体" w:hAnsi="宋体" w:eastAsia="宋体" w:cs="宋体"/>
          <w:b/>
          <w:bCs/>
          <w:szCs w:val="24"/>
        </w:rPr>
        <w:sectPr>
          <w:pgSz w:w="11905" w:h="16838"/>
          <w:pgMar w:top="1440" w:right="1803" w:bottom="1440" w:left="1803" w:header="283" w:footer="1077" w:gutter="0"/>
          <w:pgNumType w:fmt="decimal"/>
          <w:cols w:space="0" w:num="1"/>
          <w:rtlGutter w:val="0"/>
          <w:docGrid w:type="lines" w:linePitch="317" w:charSpace="0"/>
        </w:sectPr>
      </w:pPr>
    </w:p>
    <w:p w14:paraId="77AAD6A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仿宋" w:hAnsi="仿宋" w:eastAsia="仿宋" w:cs="仿宋"/>
          <w:b/>
          <w:bCs/>
          <w:spacing w:val="-14"/>
          <w:sz w:val="52"/>
          <w:szCs w:val="52"/>
        </w:rPr>
      </w:pPr>
      <w:r>
        <w:rPr>
          <w:rFonts w:hint="eastAsia" w:ascii="仿宋" w:hAnsi="仿宋" w:eastAsia="仿宋" w:cs="仿宋"/>
          <w:b/>
          <w:bCs/>
          <w:spacing w:val="-14"/>
          <w:sz w:val="52"/>
          <w:szCs w:val="52"/>
        </w:rPr>
        <w:t>新丰县公共智慧体系配套建设项目</w:t>
      </w:r>
    </w:p>
    <w:p w14:paraId="056C8877">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rPr>
      </w:pPr>
    </w:p>
    <w:p w14:paraId="2557AC2A">
      <w:pPr>
        <w:spacing w:before="380" w:line="223" w:lineRule="auto"/>
        <w:ind w:left="2651"/>
        <w:outlineLvl w:val="0"/>
        <w:rPr>
          <w:rFonts w:ascii="仿宋" w:hAnsi="仿宋" w:eastAsia="仿宋" w:cs="仿宋"/>
          <w:sz w:val="52"/>
          <w:szCs w:val="52"/>
        </w:rPr>
      </w:pPr>
      <w:r>
        <w:rPr>
          <w:rFonts w:ascii="仿宋" w:hAnsi="仿宋" w:eastAsia="仿宋" w:cs="仿宋"/>
          <w:b/>
          <w:bCs/>
          <w:spacing w:val="-14"/>
          <w:sz w:val="52"/>
          <w:szCs w:val="52"/>
        </w:rPr>
        <w:t>有偿使用协议</w:t>
      </w:r>
    </w:p>
    <w:p w14:paraId="267937DE">
      <w:pPr>
        <w:pStyle w:val="19"/>
      </w:pPr>
    </w:p>
    <w:p w14:paraId="15316875">
      <w:pPr>
        <w:pStyle w:val="19"/>
      </w:pPr>
    </w:p>
    <w:p w14:paraId="4FB10C8B">
      <w:pPr>
        <w:pStyle w:val="19"/>
      </w:pPr>
    </w:p>
    <w:p w14:paraId="0CE13C22">
      <w:pPr>
        <w:pStyle w:val="19"/>
      </w:pPr>
    </w:p>
    <w:p w14:paraId="74563E10">
      <w:pPr>
        <w:pStyle w:val="19"/>
        <w:rPr>
          <w:rFonts w:hint="eastAsia" w:ascii="宋体" w:hAnsi="宋体" w:eastAsia="宋体" w:cs="宋体"/>
          <w:b/>
          <w:bCs/>
          <w:spacing w:val="-21"/>
          <w:kern w:val="2"/>
          <w:sz w:val="30"/>
          <w:szCs w:val="30"/>
          <w:lang w:val="en-US" w:eastAsia="zh-CN" w:bidi="ar-SA"/>
        </w:rPr>
      </w:pPr>
    </w:p>
    <w:p w14:paraId="44DF1607">
      <w:pPr>
        <w:pStyle w:val="19"/>
        <w:spacing w:line="267" w:lineRule="auto"/>
      </w:pPr>
    </w:p>
    <w:p w14:paraId="2481A5DA">
      <w:pPr>
        <w:pStyle w:val="19"/>
        <w:spacing w:line="267" w:lineRule="auto"/>
      </w:pPr>
    </w:p>
    <w:p w14:paraId="3B602F62">
      <w:pPr>
        <w:pStyle w:val="19"/>
        <w:spacing w:line="267" w:lineRule="auto"/>
      </w:pPr>
    </w:p>
    <w:p w14:paraId="7225CCE7">
      <w:pPr>
        <w:pStyle w:val="19"/>
        <w:spacing w:line="267" w:lineRule="auto"/>
      </w:pPr>
    </w:p>
    <w:p w14:paraId="67C0262B">
      <w:pPr>
        <w:pStyle w:val="19"/>
        <w:spacing w:line="267" w:lineRule="auto"/>
      </w:pPr>
    </w:p>
    <w:p w14:paraId="44CEA63D">
      <w:pPr>
        <w:pStyle w:val="19"/>
        <w:spacing w:line="267" w:lineRule="auto"/>
      </w:pPr>
    </w:p>
    <w:p w14:paraId="3F496A13">
      <w:pPr>
        <w:pStyle w:val="19"/>
        <w:spacing w:line="267" w:lineRule="auto"/>
      </w:pPr>
    </w:p>
    <w:p w14:paraId="6015D9E8">
      <w:pPr>
        <w:pStyle w:val="19"/>
        <w:spacing w:line="267" w:lineRule="auto"/>
      </w:pPr>
    </w:p>
    <w:p w14:paraId="5C3D2F0D">
      <w:pPr>
        <w:pStyle w:val="19"/>
        <w:spacing w:line="600" w:lineRule="auto"/>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合同编号：HXZB2509087FG</w:t>
      </w:r>
    </w:p>
    <w:p w14:paraId="4456F9E5">
      <w:pPr>
        <w:pStyle w:val="19"/>
        <w:spacing w:line="600" w:lineRule="auto"/>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项目名称：新丰县公共智慧体系配套建设项目</w:t>
      </w:r>
    </w:p>
    <w:p w14:paraId="3C893A71">
      <w:pPr>
        <w:pStyle w:val="19"/>
        <w:spacing w:line="600" w:lineRule="auto"/>
        <w:ind w:left="1800" w:hanging="1800" w:hangingChars="500"/>
        <w:rPr>
          <w:rFonts w:hint="default" w:ascii="宋体" w:hAnsi="宋体" w:eastAsia="宋体" w:cs="宋体"/>
          <w:sz w:val="36"/>
          <w:szCs w:val="36"/>
          <w:lang w:val="en-US" w:eastAsia="zh-CN"/>
        </w:rPr>
      </w:pPr>
      <w:r>
        <w:rPr>
          <w:rFonts w:hint="eastAsia" w:ascii="宋体" w:hAnsi="宋体" w:eastAsia="宋体" w:cs="宋体"/>
          <w:sz w:val="36"/>
          <w:szCs w:val="36"/>
          <w:lang w:val="en-US" w:eastAsia="zh-CN"/>
        </w:rPr>
        <w:t>签约地点：韶关市新丰县丰城街道金园路53号</w:t>
      </w:r>
      <w:r>
        <w:rPr>
          <w:rFonts w:hint="eastAsia" w:ascii="宋体" w:hAnsi="宋体" w:cs="宋体"/>
          <w:sz w:val="36"/>
          <w:szCs w:val="36"/>
          <w:lang w:val="en-US" w:eastAsia="zh-CN"/>
        </w:rPr>
        <w:t>行政服务中心</w:t>
      </w:r>
      <w:r>
        <w:rPr>
          <w:rFonts w:hint="eastAsia" w:ascii="宋体" w:hAnsi="宋体" w:eastAsia="宋体" w:cs="宋体"/>
          <w:sz w:val="36"/>
          <w:szCs w:val="36"/>
          <w:lang w:val="en-US" w:eastAsia="zh-CN"/>
        </w:rPr>
        <w:t>六楼</w:t>
      </w:r>
      <w:r>
        <w:rPr>
          <w:rFonts w:hint="eastAsia" w:ascii="宋体" w:hAnsi="宋体" w:cs="宋体"/>
          <w:sz w:val="36"/>
          <w:szCs w:val="36"/>
          <w:lang w:val="en-US" w:eastAsia="zh-CN"/>
        </w:rPr>
        <w:t>住房和城乡建设管理局</w:t>
      </w:r>
    </w:p>
    <w:p w14:paraId="4DDBD220">
      <w:pPr>
        <w:pStyle w:val="19"/>
        <w:spacing w:line="600" w:lineRule="auto"/>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签约日期：2025年  月   日</w:t>
      </w:r>
    </w:p>
    <w:p w14:paraId="5AE9C32F">
      <w:pPr>
        <w:pStyle w:val="19"/>
        <w:spacing w:line="267" w:lineRule="auto"/>
      </w:pPr>
    </w:p>
    <w:p w14:paraId="3A7B1DC9">
      <w:pPr>
        <w:pStyle w:val="19"/>
        <w:spacing w:line="267" w:lineRule="auto"/>
      </w:pPr>
    </w:p>
    <w:p w14:paraId="57584A6B">
      <w:pPr>
        <w:pStyle w:val="19"/>
        <w:spacing w:line="267" w:lineRule="auto"/>
      </w:pPr>
    </w:p>
    <w:p w14:paraId="67DD857C">
      <w:pPr>
        <w:pStyle w:val="19"/>
        <w:spacing w:line="267" w:lineRule="auto"/>
      </w:pPr>
    </w:p>
    <w:p w14:paraId="5971C532">
      <w:pPr>
        <w:pStyle w:val="19"/>
        <w:spacing w:line="267" w:lineRule="auto"/>
      </w:pPr>
    </w:p>
    <w:p w14:paraId="18500273">
      <w:pPr>
        <w:pStyle w:val="19"/>
        <w:rPr>
          <w:rFonts w:hint="eastAsia" w:ascii="仿宋" w:hAnsi="仿宋" w:eastAsia="仿宋" w:cs="仿宋"/>
          <w:b/>
          <w:bCs/>
          <w:spacing w:val="-14"/>
          <w:kern w:val="2"/>
          <w:sz w:val="28"/>
          <w:szCs w:val="28"/>
          <w:lang w:val="en-US" w:eastAsia="zh-CN" w:bidi="ar-SA"/>
        </w:rPr>
      </w:pPr>
      <w:r>
        <w:rPr>
          <w:rFonts w:hint="eastAsia" w:ascii="仿宋" w:hAnsi="仿宋" w:eastAsia="仿宋" w:cs="仿宋"/>
          <w:b/>
          <w:bCs/>
          <w:spacing w:val="-14"/>
          <w:kern w:val="2"/>
          <w:sz w:val="28"/>
          <w:szCs w:val="28"/>
          <w:lang w:val="en-US" w:eastAsia="zh-CN" w:bidi="ar-SA"/>
        </w:rPr>
        <w:t>注:本合同仅为合同的参考文本，合同签订双方可根据项目的具体要求进</w:t>
      </w:r>
    </w:p>
    <w:p w14:paraId="4C3CD39D">
      <w:pPr>
        <w:pStyle w:val="19"/>
        <w:rPr>
          <w:rFonts w:ascii="仿宋" w:hAnsi="仿宋" w:eastAsia="仿宋" w:cs="仿宋"/>
          <w:b/>
          <w:bCs/>
          <w:spacing w:val="-14"/>
          <w:kern w:val="2"/>
          <w:sz w:val="28"/>
          <w:szCs w:val="28"/>
          <w:lang w:val="en-US" w:eastAsia="zh-CN" w:bidi="ar-SA"/>
        </w:rPr>
      </w:pPr>
      <w:r>
        <w:rPr>
          <w:rFonts w:hint="eastAsia" w:ascii="仿宋" w:hAnsi="仿宋" w:eastAsia="仿宋" w:cs="仿宋"/>
          <w:b/>
          <w:bCs/>
          <w:spacing w:val="-14"/>
          <w:kern w:val="2"/>
          <w:sz w:val="28"/>
          <w:szCs w:val="28"/>
          <w:lang w:val="en-US" w:eastAsia="zh-CN" w:bidi="ar-SA"/>
        </w:rPr>
        <w:t>行修订。</w:t>
      </w:r>
    </w:p>
    <w:p w14:paraId="36F7502B">
      <w:pPr>
        <w:spacing w:before="91" w:line="217" w:lineRule="auto"/>
        <w:ind w:left="65"/>
        <w:rPr>
          <w:rFonts w:ascii="仿宋" w:hAnsi="仿宋" w:eastAsia="仿宋" w:cs="仿宋"/>
          <w:spacing w:val="-5"/>
          <w:sz w:val="28"/>
          <w:szCs w:val="28"/>
        </w:rPr>
      </w:pPr>
    </w:p>
    <w:p w14:paraId="23236A22">
      <w:pPr>
        <w:spacing w:before="91" w:line="217" w:lineRule="auto"/>
        <w:ind w:left="65"/>
        <w:rPr>
          <w:rFonts w:hint="eastAsia" w:ascii="宋体" w:hAnsi="宋体" w:eastAsia="宋体" w:cs="宋体"/>
          <w:spacing w:val="-8"/>
          <w:sz w:val="28"/>
          <w:szCs w:val="28"/>
        </w:rPr>
      </w:pPr>
      <w:r>
        <w:rPr>
          <w:rFonts w:hint="eastAsia" w:ascii="宋体" w:hAnsi="宋体" w:eastAsia="宋体" w:cs="宋体"/>
          <w:spacing w:val="-5"/>
          <w:sz w:val="28"/>
          <w:szCs w:val="28"/>
        </w:rPr>
        <w:t>甲方：</w:t>
      </w:r>
      <w:r>
        <w:rPr>
          <w:rFonts w:hint="eastAsia" w:ascii="宋体" w:hAnsi="宋体" w:eastAsia="宋体" w:cs="宋体"/>
          <w:spacing w:val="-5"/>
          <w:sz w:val="28"/>
          <w:szCs w:val="28"/>
          <w:lang w:eastAsia="zh-CN"/>
        </w:rPr>
        <w:t>新丰县住房和城乡建设管理局</w:t>
      </w:r>
      <w:r>
        <w:rPr>
          <w:rFonts w:hint="eastAsia" w:ascii="宋体" w:hAnsi="宋体" w:eastAsia="宋体" w:cs="宋体"/>
          <w:spacing w:val="8"/>
          <w:sz w:val="28"/>
          <w:szCs w:val="28"/>
        </w:rPr>
        <w:t>（公章）</w:t>
      </w:r>
    </w:p>
    <w:p w14:paraId="64F2D9A6">
      <w:pPr>
        <w:spacing w:before="91" w:line="219" w:lineRule="auto"/>
        <w:ind w:left="40"/>
        <w:rPr>
          <w:rFonts w:hint="eastAsia" w:ascii="宋体" w:hAnsi="宋体" w:eastAsia="宋体" w:cs="宋体"/>
          <w:spacing w:val="-8"/>
          <w:sz w:val="28"/>
          <w:szCs w:val="28"/>
        </w:rPr>
      </w:pPr>
      <w:r>
        <w:rPr>
          <w:rFonts w:hint="eastAsia" w:ascii="宋体" w:hAnsi="宋体" w:eastAsia="宋体" w:cs="宋体"/>
          <w:spacing w:val="-8"/>
          <w:sz w:val="28"/>
          <w:szCs w:val="28"/>
        </w:rPr>
        <w:t>签署人：</w:t>
      </w:r>
      <w:r>
        <w:rPr>
          <w:rFonts w:hint="eastAsia" w:ascii="宋体" w:hAnsi="宋体" w:eastAsia="宋体" w:cs="宋体"/>
          <w:spacing w:val="-35"/>
          <w:sz w:val="28"/>
          <w:szCs w:val="28"/>
        </w:rPr>
        <w:t xml:space="preserve"> </w:t>
      </w:r>
    </w:p>
    <w:p w14:paraId="335A1945">
      <w:pPr>
        <w:spacing w:before="91" w:line="219" w:lineRule="auto"/>
        <w:ind w:left="40"/>
        <w:rPr>
          <w:rFonts w:hint="eastAsia" w:ascii="宋体" w:hAnsi="宋体" w:eastAsia="宋体" w:cs="宋体"/>
          <w:sz w:val="28"/>
          <w:szCs w:val="28"/>
        </w:rPr>
      </w:pPr>
      <w:r>
        <w:rPr>
          <w:rFonts w:hint="eastAsia" w:ascii="宋体" w:hAnsi="宋体" w:eastAsia="宋体" w:cs="宋体"/>
          <w:spacing w:val="-17"/>
          <w:sz w:val="28"/>
          <w:szCs w:val="28"/>
        </w:rPr>
        <w:t>日</w:t>
      </w:r>
      <w:r>
        <w:rPr>
          <w:rFonts w:hint="eastAsia" w:ascii="宋体" w:hAnsi="宋体" w:eastAsia="宋体" w:cs="宋体"/>
          <w:spacing w:val="-17"/>
          <w:sz w:val="28"/>
          <w:szCs w:val="28"/>
          <w:lang w:val="en-US" w:eastAsia="zh-CN"/>
        </w:rPr>
        <w:t xml:space="preserve">  </w:t>
      </w:r>
      <w:r>
        <w:rPr>
          <w:rFonts w:hint="eastAsia" w:ascii="宋体" w:hAnsi="宋体" w:eastAsia="宋体" w:cs="宋体"/>
          <w:spacing w:val="-17"/>
          <w:sz w:val="28"/>
          <w:szCs w:val="28"/>
        </w:rPr>
        <w:t>期</w:t>
      </w:r>
      <w:r>
        <w:rPr>
          <w:rFonts w:hint="eastAsia" w:ascii="宋体" w:hAnsi="宋体" w:eastAsia="宋体" w:cs="宋体"/>
          <w:spacing w:val="-17"/>
          <w:sz w:val="28"/>
          <w:szCs w:val="28"/>
          <w:lang w:eastAsia="zh-CN"/>
        </w:rPr>
        <w:t>：</w:t>
      </w:r>
      <w:r>
        <w:rPr>
          <w:rFonts w:hint="eastAsia" w:ascii="宋体" w:hAnsi="宋体" w:eastAsia="宋体" w:cs="宋体"/>
          <w:spacing w:val="-17"/>
          <w:sz w:val="28"/>
          <w:szCs w:val="28"/>
        </w:rPr>
        <w:t>202</w:t>
      </w:r>
      <w:r>
        <w:rPr>
          <w:rFonts w:hint="eastAsia" w:ascii="宋体" w:hAnsi="宋体" w:eastAsia="宋体" w:cs="宋体"/>
          <w:spacing w:val="-17"/>
          <w:sz w:val="28"/>
          <w:szCs w:val="28"/>
          <w:lang w:val="en-US" w:eastAsia="zh-CN"/>
        </w:rPr>
        <w:t>5</w:t>
      </w:r>
      <w:r>
        <w:rPr>
          <w:rFonts w:hint="eastAsia" w:ascii="宋体" w:hAnsi="宋体" w:eastAsia="宋体" w:cs="宋体"/>
          <w:spacing w:val="-17"/>
          <w:sz w:val="28"/>
          <w:szCs w:val="28"/>
        </w:rPr>
        <w:t>年</w:t>
      </w:r>
      <w:r>
        <w:rPr>
          <w:rFonts w:hint="eastAsia" w:ascii="宋体" w:hAnsi="宋体" w:eastAsia="宋体" w:cs="宋体"/>
          <w:spacing w:val="-17"/>
          <w:sz w:val="28"/>
          <w:szCs w:val="28"/>
          <w:lang w:val="en-US" w:eastAsia="zh-CN"/>
        </w:rPr>
        <w:t xml:space="preserve">  </w:t>
      </w:r>
      <w:r>
        <w:rPr>
          <w:rFonts w:hint="eastAsia" w:ascii="宋体" w:hAnsi="宋体" w:eastAsia="宋体" w:cs="宋体"/>
          <w:spacing w:val="-17"/>
          <w:sz w:val="28"/>
          <w:szCs w:val="28"/>
        </w:rPr>
        <w:t>月</w:t>
      </w:r>
      <w:r>
        <w:rPr>
          <w:rFonts w:hint="eastAsia" w:ascii="宋体" w:hAnsi="宋体" w:eastAsia="宋体" w:cs="宋体"/>
          <w:spacing w:val="-17"/>
          <w:sz w:val="28"/>
          <w:szCs w:val="28"/>
          <w:lang w:val="en-US" w:eastAsia="zh-CN"/>
        </w:rPr>
        <w:t xml:space="preserve">  </w:t>
      </w:r>
      <w:r>
        <w:rPr>
          <w:rFonts w:hint="eastAsia" w:ascii="宋体" w:hAnsi="宋体" w:eastAsia="宋体" w:cs="宋体"/>
          <w:spacing w:val="-17"/>
          <w:sz w:val="28"/>
          <w:szCs w:val="28"/>
        </w:rPr>
        <w:t>日</w:t>
      </w:r>
    </w:p>
    <w:p w14:paraId="74DC1C79">
      <w:pPr>
        <w:pStyle w:val="19"/>
        <w:spacing w:line="250" w:lineRule="auto"/>
        <w:rPr>
          <w:rFonts w:hint="eastAsia" w:ascii="宋体" w:hAnsi="宋体" w:eastAsia="宋体" w:cs="宋体"/>
        </w:rPr>
      </w:pPr>
    </w:p>
    <w:p w14:paraId="21340CF1">
      <w:pPr>
        <w:pStyle w:val="19"/>
        <w:spacing w:line="251" w:lineRule="auto"/>
        <w:rPr>
          <w:rFonts w:hint="eastAsia" w:ascii="宋体" w:hAnsi="宋体" w:eastAsia="宋体" w:cs="宋体"/>
        </w:rPr>
      </w:pPr>
    </w:p>
    <w:p w14:paraId="116B2AC4">
      <w:pPr>
        <w:spacing w:before="91" w:line="220" w:lineRule="auto"/>
        <w:ind w:left="63"/>
        <w:rPr>
          <w:rFonts w:hint="eastAsia" w:ascii="宋体" w:hAnsi="宋体" w:eastAsia="宋体" w:cs="宋体"/>
          <w:sz w:val="28"/>
          <w:szCs w:val="28"/>
        </w:rPr>
      </w:pPr>
      <w:r>
        <w:rPr>
          <w:rFonts w:hint="eastAsia" w:ascii="宋体" w:hAnsi="宋体" w:eastAsia="宋体" w:cs="宋体"/>
          <w:spacing w:val="-17"/>
          <w:sz w:val="28"/>
          <w:szCs w:val="28"/>
        </w:rPr>
        <w:t>乙方：</w:t>
      </w:r>
      <w:r>
        <w:rPr>
          <w:rFonts w:hint="eastAsia" w:ascii="宋体" w:hAnsi="宋体" w:eastAsia="宋体" w:cs="宋体"/>
          <w:spacing w:val="-17"/>
          <w:sz w:val="28"/>
          <w:szCs w:val="28"/>
          <w:lang w:val="en-US" w:eastAsia="zh-CN"/>
        </w:rPr>
        <w:t xml:space="preserve">         </w:t>
      </w:r>
      <w:r>
        <w:rPr>
          <w:rFonts w:hint="eastAsia" w:ascii="宋体" w:hAnsi="宋体" w:eastAsia="宋体" w:cs="宋体"/>
          <w:spacing w:val="8"/>
          <w:sz w:val="28"/>
          <w:szCs w:val="28"/>
        </w:rPr>
        <w:t>（公章）</w:t>
      </w:r>
    </w:p>
    <w:p w14:paraId="175626F6">
      <w:pPr>
        <w:spacing w:before="91" w:line="219" w:lineRule="auto"/>
        <w:rPr>
          <w:rFonts w:hint="eastAsia" w:ascii="宋体" w:hAnsi="宋体" w:eastAsia="宋体" w:cs="宋体"/>
          <w:spacing w:val="-35"/>
          <w:sz w:val="28"/>
          <w:szCs w:val="28"/>
        </w:rPr>
      </w:pPr>
      <w:r>
        <w:rPr>
          <w:rFonts w:hint="eastAsia" w:ascii="宋体" w:hAnsi="宋体" w:eastAsia="宋体" w:cs="宋体"/>
          <w:spacing w:val="-8"/>
          <w:sz w:val="28"/>
          <w:szCs w:val="28"/>
        </w:rPr>
        <w:t>签署人：</w:t>
      </w:r>
      <w:r>
        <w:rPr>
          <w:rFonts w:hint="eastAsia" w:ascii="宋体" w:hAnsi="宋体" w:eastAsia="宋体" w:cs="宋体"/>
          <w:spacing w:val="-35"/>
          <w:sz w:val="28"/>
          <w:szCs w:val="28"/>
        </w:rPr>
        <w:t xml:space="preserve"> </w:t>
      </w:r>
    </w:p>
    <w:p w14:paraId="5A1D8B4A">
      <w:pPr>
        <w:spacing w:before="91" w:line="219" w:lineRule="auto"/>
        <w:rPr>
          <w:rFonts w:hint="eastAsia" w:ascii="宋体" w:hAnsi="宋体" w:eastAsia="宋体" w:cs="宋体"/>
          <w:sz w:val="28"/>
          <w:szCs w:val="28"/>
        </w:rPr>
      </w:pPr>
      <w:r>
        <w:rPr>
          <w:rFonts w:hint="eastAsia" w:ascii="宋体" w:hAnsi="宋体" w:eastAsia="宋体" w:cs="宋体"/>
          <w:spacing w:val="-17"/>
          <w:sz w:val="28"/>
          <w:szCs w:val="28"/>
        </w:rPr>
        <w:t>日</w:t>
      </w:r>
      <w:r>
        <w:rPr>
          <w:rFonts w:hint="eastAsia" w:ascii="宋体" w:hAnsi="宋体" w:eastAsia="宋体" w:cs="宋体"/>
          <w:spacing w:val="-17"/>
          <w:sz w:val="28"/>
          <w:szCs w:val="28"/>
          <w:lang w:val="en-US" w:eastAsia="zh-CN"/>
        </w:rPr>
        <w:t xml:space="preserve">  </w:t>
      </w:r>
      <w:r>
        <w:rPr>
          <w:rFonts w:hint="eastAsia" w:ascii="宋体" w:hAnsi="宋体" w:eastAsia="宋体" w:cs="宋体"/>
          <w:spacing w:val="-17"/>
          <w:sz w:val="28"/>
          <w:szCs w:val="28"/>
        </w:rPr>
        <w:t>期</w:t>
      </w:r>
      <w:r>
        <w:rPr>
          <w:rFonts w:hint="eastAsia" w:ascii="宋体" w:hAnsi="宋体" w:eastAsia="宋体" w:cs="宋体"/>
          <w:spacing w:val="-17"/>
          <w:sz w:val="28"/>
          <w:szCs w:val="28"/>
          <w:lang w:eastAsia="zh-CN"/>
        </w:rPr>
        <w:t>：</w:t>
      </w:r>
      <w:r>
        <w:rPr>
          <w:rFonts w:hint="eastAsia" w:ascii="宋体" w:hAnsi="宋体" w:eastAsia="宋体" w:cs="宋体"/>
          <w:spacing w:val="-17"/>
          <w:sz w:val="28"/>
          <w:szCs w:val="28"/>
        </w:rPr>
        <w:t>202</w:t>
      </w:r>
      <w:r>
        <w:rPr>
          <w:rFonts w:hint="eastAsia" w:ascii="宋体" w:hAnsi="宋体" w:eastAsia="宋体" w:cs="宋体"/>
          <w:spacing w:val="-17"/>
          <w:sz w:val="28"/>
          <w:szCs w:val="28"/>
          <w:lang w:val="en-US" w:eastAsia="zh-CN"/>
        </w:rPr>
        <w:t>5年  月  日</w:t>
      </w:r>
      <w:r>
        <w:rPr>
          <w:rFonts w:hint="eastAsia" w:ascii="宋体" w:hAnsi="宋体" w:eastAsia="宋体" w:cs="宋体"/>
          <w:spacing w:val="2"/>
          <w:sz w:val="28"/>
          <w:szCs w:val="28"/>
        </w:rPr>
        <w:t xml:space="preserve">    </w:t>
      </w:r>
    </w:p>
    <w:p w14:paraId="0C78E180">
      <w:pPr>
        <w:spacing w:line="323" w:lineRule="auto"/>
        <w:rPr>
          <w:rFonts w:ascii="仿宋" w:hAnsi="仿宋" w:eastAsia="仿宋" w:cs="仿宋"/>
          <w:sz w:val="28"/>
          <w:szCs w:val="28"/>
        </w:rPr>
      </w:pPr>
    </w:p>
    <w:p w14:paraId="1E0DFF72">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70" w:name="_Toc26454"/>
      <w:r>
        <w:rPr>
          <w:rFonts w:hint="eastAsia" w:ascii="宋体" w:hAnsi="宋体" w:eastAsia="宋体" w:cs="宋体"/>
          <w:b/>
          <w:bCs/>
          <w:spacing w:val="-1"/>
          <w:sz w:val="24"/>
          <w:szCs w:val="24"/>
          <w:lang w:eastAsia="zh-CN"/>
        </w:rPr>
        <w:t>一、</w:t>
      </w:r>
      <w:r>
        <w:rPr>
          <w:rFonts w:hint="eastAsia" w:ascii="宋体" w:hAnsi="宋体" w:eastAsia="宋体" w:cs="宋体"/>
          <w:b/>
          <w:bCs/>
          <w:spacing w:val="-1"/>
          <w:sz w:val="24"/>
          <w:szCs w:val="24"/>
        </w:rPr>
        <w:t>有偿使用协议基本要点</w:t>
      </w:r>
      <w:bookmarkEnd w:id="170"/>
    </w:p>
    <w:p w14:paraId="6DB4E0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合同主体：本项目有偿使用协议由实施机构与有偿使用者两方签署。</w:t>
      </w:r>
    </w:p>
    <w:p w14:paraId="633E4E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项目授权：实施机构通过和有偿使用者签署有偿使用协议的方式授予有偿使用者投资、智能化改造、运营等相关权利。</w:t>
      </w:r>
    </w:p>
    <w:p w14:paraId="747CB7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业务范围：由有偿使用者具体负责新丰县公共智慧体系配套建设项目的投资、融资、升级改造及运营维护，同时设置新能源汽车充电桩及配套设施。</w:t>
      </w:r>
    </w:p>
    <w:p w14:paraId="6A874A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有偿使用权：指新丰县公共智慧体系配套建设项目的有偿使用权，有偿使用者对停车位进行升级改造，同时设置新能源汽车充电桩及配套设施，实施机构提供场址支持有偿使用者设置新能源汽车充电桩及配套设施。</w:t>
      </w:r>
    </w:p>
    <w:p w14:paraId="670207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6"/>
          <w:sz w:val="24"/>
          <w:szCs w:val="24"/>
        </w:rPr>
      </w:pPr>
      <w:r>
        <w:rPr>
          <w:rFonts w:hint="eastAsia" w:asciiTheme="minorEastAsia" w:hAnsiTheme="minorEastAsia" w:eastAsiaTheme="minorEastAsia" w:cstheme="minorEastAsia"/>
          <w:kern w:val="2"/>
          <w:sz w:val="21"/>
          <w:lang w:val="en-US" w:eastAsia="zh-CN" w:bidi="ar-SA"/>
        </w:rPr>
        <w:t>其他相关的附属协议：贷款协议、工程总承包协议、运营维护服务合同等由有偿使用者与相关的单位签订。</w:t>
      </w:r>
    </w:p>
    <w:p w14:paraId="0EBD9CF1">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71" w:name="bookmark62"/>
      <w:bookmarkEnd w:id="171"/>
      <w:bookmarkStart w:id="172" w:name="bookmark61"/>
      <w:bookmarkEnd w:id="172"/>
      <w:bookmarkStart w:id="173" w:name="_Toc4747"/>
      <w:r>
        <w:rPr>
          <w:rFonts w:hint="eastAsia" w:ascii="宋体" w:hAnsi="宋体" w:eastAsia="宋体" w:cs="宋体"/>
          <w:b/>
          <w:bCs/>
          <w:spacing w:val="-1"/>
          <w:sz w:val="24"/>
          <w:szCs w:val="24"/>
          <w:lang w:eastAsia="zh-CN"/>
        </w:rPr>
        <w:t>二、</w:t>
      </w:r>
      <w:r>
        <w:rPr>
          <w:rFonts w:hint="eastAsia" w:ascii="宋体" w:hAnsi="宋体" w:eastAsia="宋体" w:cs="宋体"/>
          <w:b/>
          <w:bCs/>
          <w:spacing w:val="-1"/>
          <w:sz w:val="24"/>
          <w:szCs w:val="24"/>
        </w:rPr>
        <w:t>各方的一般义务</w:t>
      </w:r>
      <w:bookmarkEnd w:id="173"/>
    </w:p>
    <w:p w14:paraId="1AE714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jc w:val="left"/>
        <w:textAlignment w:val="auto"/>
        <w:rPr>
          <w:rFonts w:hint="eastAsia" w:asciiTheme="minorEastAsia" w:hAnsiTheme="minorEastAsia" w:eastAsiaTheme="minorEastAsia" w:cstheme="minorEastAsia"/>
          <w:kern w:val="2"/>
          <w:sz w:val="21"/>
          <w:lang w:val="en-US" w:eastAsia="zh-CN" w:bidi="ar-SA"/>
        </w:rPr>
      </w:pPr>
      <w:bookmarkStart w:id="174" w:name="_Toc13069"/>
      <w:bookmarkStart w:id="175" w:name="_Toc14883"/>
      <w:r>
        <w:rPr>
          <w:rFonts w:hint="eastAsia" w:asciiTheme="minorEastAsia" w:hAnsiTheme="minorEastAsia" w:eastAsiaTheme="minorEastAsia" w:cstheme="minorEastAsia"/>
          <w:kern w:val="2"/>
          <w:sz w:val="21"/>
          <w:lang w:val="en-US" w:eastAsia="zh-CN" w:bidi="ar-SA"/>
        </w:rPr>
        <w:t>1.实施机构的一般义务</w:t>
      </w:r>
      <w:bookmarkEnd w:id="174"/>
      <w:bookmarkEnd w:id="175"/>
    </w:p>
    <w:p w14:paraId="529603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①实施机构，即新丰县住房和城乡建设管理局作为新丰县政府的授权单位，代表新丰县政府行使权力并负有配合有偿使用者运营工作的义务，如出现机构调整或编制撤销等情况，新丰县政府应及时指定新的授权部门；</w:t>
      </w:r>
    </w:p>
    <w:p w14:paraId="3DCBBF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②有偿使用者在办理相关许可或批准时，实施机构应予以协助；</w:t>
      </w:r>
    </w:p>
    <w:p w14:paraId="01935D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③按照有偿使用协议的约定履行合同，保证本项目在服务范围内的独占性；</w:t>
      </w:r>
    </w:p>
    <w:p w14:paraId="6B9B5D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④实施机构应在合同签订后牵头市发改局以及新丰县相关职能部门落实项目收费方案；</w:t>
      </w:r>
    </w:p>
    <w:p w14:paraId="76BECC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⑤有偿使用者因承担政府公益性任务造成经济损失的，实施机构应在职权内依法依规协助其获得相应的经济补偿；⑥因政府为开展相关公益性活动需要，包括：开展城市重大宣传活动、配合上级检查等，有偿使用者应给予大力支持。</w:t>
      </w:r>
    </w:p>
    <w:p w14:paraId="50EBC6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bookmarkStart w:id="176" w:name="_Toc21"/>
      <w:bookmarkStart w:id="177" w:name="_Toc16909"/>
      <w:r>
        <w:rPr>
          <w:rFonts w:hint="eastAsia" w:asciiTheme="minorEastAsia" w:hAnsiTheme="minorEastAsia" w:eastAsiaTheme="minorEastAsia" w:cstheme="minorEastAsia"/>
          <w:kern w:val="2"/>
          <w:sz w:val="21"/>
          <w:lang w:val="en-US" w:eastAsia="zh-CN" w:bidi="ar-SA"/>
        </w:rPr>
        <w:t>2.有偿使用者的一般义务：</w:t>
      </w:r>
      <w:bookmarkEnd w:id="176"/>
      <w:bookmarkEnd w:id="177"/>
    </w:p>
    <w:p w14:paraId="651F67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①按照有偿使用协议的约定进行项目投资建设及运营维护；</w:t>
      </w:r>
    </w:p>
    <w:p w14:paraId="6764E2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②在有偿使用期限内严格按照法律及有偿使用协议规定进行运营，并确保项目达到本协议约定的标准；</w:t>
      </w:r>
    </w:p>
    <w:p w14:paraId="22FE16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③接受政府方和其他相关机构的监管；</w:t>
      </w:r>
    </w:p>
    <w:p w14:paraId="4EB092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④遵守和执行相关安全、环保标准；</w:t>
      </w:r>
    </w:p>
    <w:p w14:paraId="6AE8F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⑤按各级政府颁布的法律和法规缴纳所有税金及收费等；</w:t>
      </w:r>
    </w:p>
    <w:p w14:paraId="09D5A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⑥如未来政府方利用本项目申请国家专项资金的，有偿使用者应尽最大努力提供协助。</w:t>
      </w:r>
    </w:p>
    <w:p w14:paraId="12F4BCE2">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78" w:name="_Toc3715"/>
      <w:r>
        <w:rPr>
          <w:rFonts w:hint="eastAsia" w:ascii="宋体" w:hAnsi="宋体" w:eastAsia="宋体" w:cs="宋体"/>
          <w:b/>
          <w:bCs/>
          <w:spacing w:val="-1"/>
          <w:sz w:val="24"/>
          <w:szCs w:val="24"/>
          <w:lang w:eastAsia="zh-CN"/>
        </w:rPr>
        <w:t>三、</w:t>
      </w:r>
      <w:r>
        <w:rPr>
          <w:rFonts w:hint="eastAsia" w:ascii="宋体" w:hAnsi="宋体" w:eastAsia="宋体" w:cs="宋体"/>
          <w:b/>
          <w:bCs/>
          <w:spacing w:val="-1"/>
          <w:sz w:val="24"/>
          <w:szCs w:val="24"/>
        </w:rPr>
        <w:t>项目有偿使用期限</w:t>
      </w:r>
      <w:bookmarkEnd w:id="178"/>
    </w:p>
    <w:p w14:paraId="611848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4"/>
          <w:szCs w:val="24"/>
        </w:rPr>
      </w:pPr>
      <w:r>
        <w:rPr>
          <w:rFonts w:hint="eastAsia" w:asciiTheme="minorEastAsia" w:hAnsiTheme="minorEastAsia" w:eastAsiaTheme="minorEastAsia" w:cstheme="minorEastAsia"/>
          <w:kern w:val="2"/>
          <w:sz w:val="21"/>
          <w:lang w:val="en-US" w:eastAsia="zh-CN" w:bidi="ar-SA"/>
        </w:rPr>
        <w:t>本项目有偿使用期限共计为20年，从有偿使用协议生效之日起算。其中建设期2年，从协议生效之日起计算；运营期18年，自约定城市公共停车泊位项目竣工验收合格之次日起至有偿使用期结束之日止。</w:t>
      </w:r>
    </w:p>
    <w:p w14:paraId="6C935BC3">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79" w:name="bookmark66"/>
      <w:bookmarkEnd w:id="179"/>
      <w:bookmarkStart w:id="180" w:name="bookmark65"/>
      <w:bookmarkEnd w:id="180"/>
      <w:bookmarkStart w:id="181" w:name="_Toc16156"/>
      <w:r>
        <w:rPr>
          <w:rFonts w:hint="eastAsia" w:ascii="宋体" w:hAnsi="宋体" w:eastAsia="宋体" w:cs="宋体"/>
          <w:b/>
          <w:bCs/>
          <w:spacing w:val="-2"/>
          <w:sz w:val="24"/>
          <w:szCs w:val="24"/>
          <w:lang w:eastAsia="zh-CN"/>
        </w:rPr>
        <w:t>四、</w:t>
      </w:r>
      <w:r>
        <w:rPr>
          <w:rFonts w:hint="eastAsia" w:ascii="宋体" w:hAnsi="宋体" w:eastAsia="宋体" w:cs="宋体"/>
          <w:b/>
          <w:bCs/>
          <w:spacing w:val="-2"/>
          <w:sz w:val="24"/>
          <w:szCs w:val="24"/>
        </w:rPr>
        <w:t>项目用地</w:t>
      </w:r>
      <w:bookmarkEnd w:id="181"/>
    </w:p>
    <w:p w14:paraId="657E49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有偿使用者在完成现有资产移交后，按原用途使用移交资产（新丰县公共智慧体系配套建设项目中城市公共停车泊位和新能源汽车充电桩及配套设施场址）的土地。有偿使用者不得以转租、转让的方式处置其所取得的土地相关权益。</w:t>
      </w:r>
    </w:p>
    <w:p w14:paraId="1B9F0F42">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82" w:name="bookmark68"/>
      <w:bookmarkEnd w:id="182"/>
      <w:bookmarkStart w:id="183" w:name="bookmark67"/>
      <w:bookmarkEnd w:id="183"/>
      <w:bookmarkStart w:id="184" w:name="_Toc9303"/>
      <w:r>
        <w:rPr>
          <w:rFonts w:hint="eastAsia" w:ascii="宋体" w:hAnsi="宋体" w:eastAsia="宋体" w:cs="宋体"/>
          <w:b/>
          <w:bCs/>
          <w:spacing w:val="-1"/>
          <w:sz w:val="24"/>
          <w:szCs w:val="24"/>
          <w:lang w:eastAsia="zh-CN"/>
        </w:rPr>
        <w:t>五、</w:t>
      </w:r>
      <w:r>
        <w:rPr>
          <w:rFonts w:hint="eastAsia" w:ascii="宋体" w:hAnsi="宋体" w:eastAsia="宋体" w:cs="宋体"/>
          <w:b/>
          <w:bCs/>
          <w:spacing w:val="-1"/>
          <w:sz w:val="24"/>
          <w:szCs w:val="24"/>
        </w:rPr>
        <w:t>项目的建设</w:t>
      </w:r>
      <w:bookmarkEnd w:id="184"/>
    </w:p>
    <w:p w14:paraId="098365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本项目车位的智能化改造由有偿使用者负责，有偿使用协议中应详细描述项目施工工作的范围、质量要求、改造要求、相关责任、项目实施机构对项目建设的监督、竣工验收要求等内容。</w:t>
      </w:r>
    </w:p>
    <w:p w14:paraId="4E8C5C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1"/>
          <w:sz w:val="24"/>
          <w:szCs w:val="24"/>
        </w:rPr>
      </w:pPr>
      <w:r>
        <w:rPr>
          <w:rFonts w:hint="eastAsia" w:asciiTheme="minorEastAsia" w:hAnsiTheme="minorEastAsia" w:eastAsiaTheme="minorEastAsia" w:cstheme="minorEastAsia"/>
          <w:kern w:val="2"/>
          <w:sz w:val="21"/>
          <w:lang w:val="en-US" w:eastAsia="zh-CN" w:bidi="ar-SA"/>
        </w:rPr>
        <w:t>项目对不同区域车位进行智能化改造建设并在实施机构提供场址上建设新能源汽车充电桩及配套设施时，当按合同要求建成并具有独立使用价值时，按国家及省、市、县有关规定进行验收。竣工验收的内容和程序应按有关规定执行。</w:t>
      </w:r>
    </w:p>
    <w:p w14:paraId="79F489AD">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85" w:name="bookmark70"/>
      <w:bookmarkEnd w:id="185"/>
      <w:bookmarkStart w:id="186" w:name="bookmark69"/>
      <w:bookmarkEnd w:id="186"/>
      <w:bookmarkStart w:id="187" w:name="_Toc12159"/>
      <w:r>
        <w:rPr>
          <w:rFonts w:hint="eastAsia" w:ascii="宋体" w:hAnsi="宋体" w:eastAsia="宋体" w:cs="宋体"/>
          <w:b/>
          <w:bCs/>
          <w:spacing w:val="-1"/>
          <w:sz w:val="24"/>
          <w:szCs w:val="24"/>
          <w:lang w:eastAsia="zh-CN"/>
        </w:rPr>
        <w:t>六、</w:t>
      </w:r>
      <w:r>
        <w:rPr>
          <w:rFonts w:hint="eastAsia" w:ascii="宋体" w:hAnsi="宋体" w:eastAsia="宋体" w:cs="宋体"/>
          <w:b/>
          <w:bCs/>
          <w:spacing w:val="-1"/>
          <w:sz w:val="24"/>
          <w:szCs w:val="24"/>
        </w:rPr>
        <w:t>项目的运营和维护</w:t>
      </w:r>
      <w:bookmarkEnd w:id="187"/>
    </w:p>
    <w:p w14:paraId="21EBD56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项目约定建设期满后即进入运营期。</w:t>
      </w:r>
    </w:p>
    <w:p w14:paraId="6E4014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有偿使用者应在有偿使用协议生效后、开始运营日之前编制项目运营及维护方案并提交实施机构审核，实施机构有权根据相关法律法规及政策要求对该方案提出合理意见，有偿使用者应当予以采纳。运营方案中应至少包括项目运营期计划内的维护、修理和更换的时间以及费用，还有上述维护、修理和更换可能对项目运营产生的影响等内容。</w:t>
      </w:r>
    </w:p>
    <w:p w14:paraId="2CB467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1"/>
          <w:sz w:val="24"/>
          <w:szCs w:val="24"/>
        </w:rPr>
      </w:pPr>
      <w:r>
        <w:rPr>
          <w:rFonts w:hint="eastAsia" w:asciiTheme="minorEastAsia" w:hAnsiTheme="minorEastAsia" w:eastAsiaTheme="minorEastAsia" w:cstheme="minorEastAsia"/>
          <w:kern w:val="2"/>
          <w:sz w:val="21"/>
          <w:lang w:val="en-US" w:eastAsia="zh-CN" w:bidi="ar-SA"/>
        </w:rPr>
        <w:t>有偿使用期内，有偿使用者有义务遵循实施机构及政府方要求，在项目运营过程中保障项目公益性功能，其他约定双方另行协商。</w:t>
      </w:r>
    </w:p>
    <w:p w14:paraId="21E320C9">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88" w:name="bookmark72"/>
      <w:bookmarkEnd w:id="188"/>
      <w:bookmarkStart w:id="189" w:name="bookmark71"/>
      <w:bookmarkEnd w:id="189"/>
      <w:bookmarkStart w:id="190" w:name="_Toc15785"/>
      <w:r>
        <w:rPr>
          <w:rFonts w:hint="eastAsia" w:ascii="宋体" w:hAnsi="宋体" w:eastAsia="宋体" w:cs="宋体"/>
          <w:b/>
          <w:bCs/>
          <w:spacing w:val="-1"/>
          <w:sz w:val="24"/>
          <w:szCs w:val="24"/>
          <w:lang w:eastAsia="zh-CN"/>
        </w:rPr>
        <w:t>七、</w:t>
      </w:r>
      <w:r>
        <w:rPr>
          <w:rFonts w:hint="eastAsia" w:ascii="宋体" w:hAnsi="宋体" w:eastAsia="宋体" w:cs="宋体"/>
          <w:b/>
          <w:bCs/>
          <w:spacing w:val="-1"/>
          <w:sz w:val="24"/>
          <w:szCs w:val="24"/>
        </w:rPr>
        <w:t>环境保护责任</w:t>
      </w:r>
      <w:bookmarkEnd w:id="190"/>
    </w:p>
    <w:p w14:paraId="3BA9D8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在有偿使用协议中应明确规定项目的建设运营所遵守的环保标准和应履行的环境保护责任。</w:t>
      </w:r>
    </w:p>
    <w:p w14:paraId="2E0A24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本项目的环境保护责任主要由有偿使用者承担，主要包括：</w:t>
      </w:r>
    </w:p>
    <w:p w14:paraId="29FED3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1.按照有关环保要求，建设相应的环保设施并采取环境污染防治措施，确保项目建设、运营期间产生的废水、固体废弃物以及噪声等满足相应的环保标准；</w:t>
      </w:r>
    </w:p>
    <w:p w14:paraId="0ABCDC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2.遵守有关公共卫生和安全生产等法律法规的规定；</w:t>
      </w:r>
    </w:p>
    <w:p w14:paraId="21B52D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3.在项目的建设、运营期间应采取一切合理的措施尽量减少对项目设施周围建筑物和居民区的干扰。</w:t>
      </w:r>
    </w:p>
    <w:p w14:paraId="0C768475">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z w:val="24"/>
          <w:szCs w:val="24"/>
        </w:rPr>
      </w:pPr>
      <w:bookmarkStart w:id="191" w:name="bookmark74"/>
      <w:bookmarkEnd w:id="191"/>
      <w:bookmarkStart w:id="192" w:name="bookmark73"/>
      <w:bookmarkEnd w:id="192"/>
      <w:bookmarkStart w:id="193" w:name="_Toc9145"/>
      <w:r>
        <w:rPr>
          <w:rFonts w:hint="eastAsia" w:ascii="宋体" w:hAnsi="宋体" w:eastAsia="宋体" w:cs="宋体"/>
          <w:b/>
          <w:bCs/>
          <w:spacing w:val="-2"/>
          <w:sz w:val="24"/>
          <w:szCs w:val="24"/>
          <w:lang w:eastAsia="zh-CN"/>
        </w:rPr>
        <w:t>八、</w:t>
      </w:r>
      <w:r>
        <w:rPr>
          <w:rFonts w:hint="eastAsia" w:ascii="宋体" w:hAnsi="宋体" w:eastAsia="宋体" w:cs="宋体"/>
          <w:b/>
          <w:bCs/>
          <w:spacing w:val="-2"/>
          <w:sz w:val="24"/>
          <w:szCs w:val="24"/>
        </w:rPr>
        <w:t>应急处理</w:t>
      </w:r>
      <w:bookmarkEnd w:id="193"/>
    </w:p>
    <w:p w14:paraId="1A2F3A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1"/>
          <w:sz w:val="24"/>
          <w:szCs w:val="24"/>
        </w:rPr>
      </w:pPr>
      <w:r>
        <w:rPr>
          <w:rFonts w:hint="eastAsia" w:asciiTheme="minorEastAsia" w:hAnsiTheme="minorEastAsia" w:eastAsiaTheme="minorEastAsia" w:cstheme="minorEastAsia"/>
          <w:kern w:val="2"/>
          <w:sz w:val="21"/>
          <w:lang w:val="en-US" w:eastAsia="zh-CN" w:bidi="ar-SA"/>
        </w:rPr>
        <w:t>项目有偿使用期内，有偿使用者应按照适用法律制定应急管理预案。运营中发生突发紧急事件时，项目应当依据应急管理预案和有关政府部门要求进行处理，并按照适用法律规定及时向甲方以及新丰县政府和有关政府部门报告。</w:t>
      </w:r>
    </w:p>
    <w:p w14:paraId="1952A900">
      <w:pPr>
        <w:keepNext w:val="0"/>
        <w:keepLines w:val="0"/>
        <w:pageBreakBefore w:val="0"/>
        <w:widowControl/>
        <w:kinsoku/>
        <w:wordWrap/>
        <w:overflowPunct/>
        <w:topLinePunct w:val="0"/>
        <w:autoSpaceDE w:val="0"/>
        <w:autoSpaceDN w:val="0"/>
        <w:bidi w:val="0"/>
        <w:adjustRightInd w:val="0"/>
        <w:snapToGrid w:val="0"/>
        <w:spacing w:line="520" w:lineRule="exact"/>
        <w:ind w:left="21"/>
        <w:jc w:val="both"/>
        <w:textAlignment w:val="baseline"/>
        <w:outlineLvl w:val="1"/>
        <w:rPr>
          <w:rFonts w:hint="eastAsia" w:ascii="宋体" w:hAnsi="宋体" w:eastAsia="宋体" w:cs="宋体"/>
          <w:b/>
          <w:bCs/>
          <w:spacing w:val="-1"/>
          <w:sz w:val="24"/>
          <w:szCs w:val="24"/>
          <w:highlight w:val="none"/>
          <w:lang w:eastAsia="zh-CN"/>
        </w:rPr>
      </w:pPr>
      <w:bookmarkStart w:id="194" w:name="bookmark76"/>
      <w:bookmarkEnd w:id="194"/>
      <w:bookmarkStart w:id="195" w:name="bookmark75"/>
      <w:bookmarkEnd w:id="195"/>
      <w:bookmarkStart w:id="196" w:name="_Toc8595"/>
      <w:r>
        <w:rPr>
          <w:rFonts w:hint="eastAsia" w:ascii="宋体" w:hAnsi="宋体" w:eastAsia="宋体" w:cs="宋体"/>
          <w:b/>
          <w:bCs/>
          <w:spacing w:val="-1"/>
          <w:sz w:val="24"/>
          <w:szCs w:val="24"/>
          <w:highlight w:val="none"/>
          <w:lang w:eastAsia="zh-CN"/>
        </w:rPr>
        <w:t>九、付费机制</w:t>
      </w:r>
      <w:bookmarkEnd w:id="196"/>
    </w:p>
    <w:p w14:paraId="6B83C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付费机制关系有偿使用项目的风险分配和收益回报，是有偿使用协议中的核心条款。</w:t>
      </w:r>
    </w:p>
    <w:p w14:paraId="499B18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本项目的付费机制为使用者付费模式，绩效考核机制详见本项目采购需求。</w:t>
      </w:r>
    </w:p>
    <w:p w14:paraId="1473DD86">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highlight w:val="none"/>
        </w:rPr>
      </w:pPr>
      <w:bookmarkStart w:id="197" w:name="_Toc13016"/>
      <w:r>
        <w:rPr>
          <w:rFonts w:hint="eastAsia" w:ascii="宋体" w:hAnsi="宋体" w:eastAsia="宋体" w:cs="宋体"/>
          <w:b/>
          <w:bCs/>
          <w:spacing w:val="-1"/>
          <w:sz w:val="24"/>
          <w:szCs w:val="24"/>
          <w:highlight w:val="none"/>
          <w:lang w:eastAsia="zh-CN"/>
        </w:rPr>
        <w:t>十、</w:t>
      </w:r>
      <w:r>
        <w:rPr>
          <w:rFonts w:hint="eastAsia" w:ascii="宋体" w:hAnsi="宋体" w:eastAsia="宋体" w:cs="宋体"/>
          <w:b/>
          <w:bCs/>
          <w:spacing w:val="-1"/>
          <w:sz w:val="24"/>
          <w:szCs w:val="24"/>
          <w:highlight w:val="none"/>
        </w:rPr>
        <w:t>履约担保</w:t>
      </w:r>
      <w:bookmarkEnd w:id="197"/>
    </w:p>
    <w:p w14:paraId="49ADF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为确保有偿使用者在建设期能够按照合同约定的标准进行建设，并且能够按时完工，有偿使用者应在签署《有偿使用协议》后，5个工作日内提交100万元的建设期履约保函，该保函的有效期从有偿使用协议生效之日起到竣工验收完成且有偿使用者递交运营维护期保函后。</w:t>
      </w:r>
    </w:p>
    <w:p w14:paraId="628D1A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项目进入运营期后，为了确保有偿使用者在运营维护期内按照项目合同的约定履行运营、维护义务，有偿使用者应在建设期履约保函退还之前提供100万元的运营维护期履约保函。运营维护期履约保函有效期至有偿使用者提交移交期履约保函之日止。</w:t>
      </w:r>
    </w:p>
    <w:p w14:paraId="57E0D2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有偿使用期结束日之日起21个月前，有偿使用者应向项目实施机构提交中国境内金融机构出具的以实施机构作为受益人的移交期履约保函，保函金额为100万元，以保证有偿使用者履行本合同项下提供移交维护项目设施的义务，该保函的有效期至项目移交程序结束后满21个月为止。</w:t>
      </w:r>
    </w:p>
    <w:p w14:paraId="098380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以上保函为独立保函，见索即付。在项目有偿使用期内，如果有偿使用者未能履行项目协议中规定的义务，项目实施机构有权根据有偿使用协议扣除建设期或运营维护期保函。</w:t>
      </w:r>
    </w:p>
    <w:p w14:paraId="7BB71B58">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rPr>
      </w:pPr>
      <w:bookmarkStart w:id="198" w:name="bookmark79"/>
      <w:bookmarkEnd w:id="198"/>
      <w:bookmarkStart w:id="199" w:name="bookmark80"/>
      <w:bookmarkEnd w:id="199"/>
      <w:bookmarkStart w:id="200" w:name="_Toc19906"/>
      <w:r>
        <w:rPr>
          <w:rFonts w:hint="eastAsia" w:ascii="宋体" w:hAnsi="宋体" w:eastAsia="宋体" w:cs="宋体"/>
          <w:b/>
          <w:bCs/>
          <w:spacing w:val="-2"/>
          <w:sz w:val="24"/>
          <w:szCs w:val="24"/>
          <w:lang w:eastAsia="zh-CN"/>
        </w:rPr>
        <w:t>十一、</w:t>
      </w:r>
      <w:r>
        <w:rPr>
          <w:rFonts w:hint="eastAsia" w:ascii="宋体" w:hAnsi="宋体" w:eastAsia="宋体" w:cs="宋体"/>
          <w:b/>
          <w:bCs/>
          <w:spacing w:val="-2"/>
          <w:sz w:val="24"/>
          <w:szCs w:val="24"/>
        </w:rPr>
        <w:t>保险</w:t>
      </w:r>
      <w:bookmarkEnd w:id="200"/>
    </w:p>
    <w:p w14:paraId="5004A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有偿使用期内，有偿使用者必须自费购买和维持适用法律所要求的保险。</w:t>
      </w:r>
    </w:p>
    <w:p w14:paraId="237995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本项目强制保险内容主要包含：</w:t>
      </w:r>
    </w:p>
    <w:p w14:paraId="4B2168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bookmarkStart w:id="201" w:name="_Toc25654"/>
      <w:r>
        <w:rPr>
          <w:rFonts w:hint="eastAsia" w:asciiTheme="minorEastAsia" w:hAnsiTheme="minorEastAsia" w:eastAsiaTheme="minorEastAsia" w:cstheme="minorEastAsia"/>
          <w:kern w:val="2"/>
          <w:sz w:val="21"/>
          <w:lang w:val="en-US" w:eastAsia="zh-CN" w:bidi="ar-SA"/>
        </w:rPr>
        <w:t>1.建设期应投保险种：①建筑工程一切险和安装工程一切险；</w:t>
      </w:r>
      <w:bookmarkEnd w:id="201"/>
      <w:r>
        <w:rPr>
          <w:rFonts w:hint="eastAsia" w:asciiTheme="minorEastAsia" w:hAnsiTheme="minorEastAsia" w:eastAsiaTheme="minorEastAsia" w:cstheme="minorEastAsia"/>
          <w:kern w:val="2"/>
          <w:sz w:val="21"/>
          <w:lang w:val="en-US" w:eastAsia="zh-CN" w:bidi="ar-SA"/>
        </w:rPr>
        <w:t>②第三者责任险。</w:t>
      </w:r>
    </w:p>
    <w:p w14:paraId="2BD98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2.运营期应投保险种：①财产一切险；②第三者责任险。</w:t>
      </w:r>
    </w:p>
    <w:p w14:paraId="3772D7EE">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rPr>
      </w:pPr>
      <w:bookmarkStart w:id="202" w:name="bookmark81"/>
      <w:bookmarkEnd w:id="202"/>
      <w:bookmarkStart w:id="203" w:name="_Toc838"/>
      <w:r>
        <w:rPr>
          <w:rFonts w:hint="eastAsia" w:ascii="宋体" w:hAnsi="宋体" w:eastAsia="宋体" w:cs="宋体"/>
          <w:spacing w:val="-1"/>
          <w:sz w:val="24"/>
          <w:szCs w:val="24"/>
          <w:lang w:val="en-US" w:eastAsia="zh-CN"/>
        </w:rPr>
        <w:t xml:space="preserve"> </w:t>
      </w:r>
      <w:r>
        <w:rPr>
          <w:rFonts w:hint="eastAsia" w:ascii="宋体" w:hAnsi="宋体" w:eastAsia="宋体" w:cs="宋体"/>
          <w:b/>
          <w:bCs/>
          <w:spacing w:val="-1"/>
          <w:sz w:val="24"/>
          <w:szCs w:val="24"/>
          <w:lang w:eastAsia="zh-CN"/>
        </w:rPr>
        <w:t>十二、</w:t>
      </w:r>
      <w:r>
        <w:rPr>
          <w:rFonts w:hint="eastAsia" w:ascii="宋体" w:hAnsi="宋体" w:eastAsia="宋体" w:cs="宋体"/>
          <w:b/>
          <w:bCs/>
          <w:spacing w:val="-1"/>
          <w:sz w:val="24"/>
          <w:szCs w:val="24"/>
        </w:rPr>
        <w:t>政府方的监督和介入</w:t>
      </w:r>
      <w:bookmarkEnd w:id="203"/>
    </w:p>
    <w:p w14:paraId="6908CC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有偿使用协议中关于政府方的监督和介入机制，通常包括政府方在项目实施过程中的监督权以及政府方在特定情形下对项目的介入权两部分内容。</w:t>
      </w:r>
    </w:p>
    <w:p w14:paraId="3DBF23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在不影响项目正常实施的前提下，政府方享有合理的监督权和介入权，监督权包括对项目建设期和运营维护期的知情权、进场检查和测试权以及对承包商和分包商选择的监控权，介入权包括涉及人身安全、财产安全、环境安全、发生紧急情况、有偿使用者违约等情况下政府方合理介入的权利。</w:t>
      </w:r>
    </w:p>
    <w:p w14:paraId="66F0AC57">
      <w:pPr>
        <w:keepNext w:val="0"/>
        <w:keepLines w:val="0"/>
        <w:pageBreakBefore w:val="0"/>
        <w:widowControl/>
        <w:numPr>
          <w:ilvl w:val="0"/>
          <w:numId w:val="0"/>
        </w:numPr>
        <w:kinsoku/>
        <w:wordWrap/>
        <w:overflowPunct/>
        <w:topLinePunct w:val="0"/>
        <w:autoSpaceDE w:val="0"/>
        <w:autoSpaceDN w:val="0"/>
        <w:bidi w:val="0"/>
        <w:adjustRightInd w:val="0"/>
        <w:snapToGrid w:val="0"/>
        <w:spacing w:line="480" w:lineRule="exact"/>
        <w:jc w:val="both"/>
        <w:textAlignment w:val="baseline"/>
        <w:outlineLvl w:val="1"/>
        <w:rPr>
          <w:rFonts w:hint="eastAsia" w:ascii="宋体" w:hAnsi="宋体" w:eastAsia="宋体" w:cs="宋体"/>
          <w:b/>
          <w:bCs/>
          <w:sz w:val="24"/>
          <w:szCs w:val="24"/>
        </w:rPr>
      </w:pPr>
      <w:r>
        <w:rPr>
          <w:rFonts w:hint="eastAsia" w:ascii="宋体" w:hAnsi="宋体" w:eastAsia="宋体" w:cs="宋体"/>
          <w:b/>
          <w:bCs/>
          <w:spacing w:val="-1"/>
          <w:sz w:val="24"/>
          <w:szCs w:val="24"/>
          <w:lang w:val="en-US" w:eastAsia="zh-CN"/>
        </w:rPr>
        <w:t>十三、</w:t>
      </w:r>
      <w:r>
        <w:rPr>
          <w:rFonts w:hint="eastAsia" w:ascii="宋体" w:hAnsi="宋体" w:eastAsia="宋体" w:cs="宋体"/>
          <w:b/>
          <w:bCs/>
          <w:spacing w:val="-1"/>
          <w:sz w:val="24"/>
          <w:szCs w:val="24"/>
        </w:rPr>
        <w:t>违约、提前终止、退出及终止后处理机制</w:t>
      </w:r>
    </w:p>
    <w:p w14:paraId="2A7B79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违约和提前终止条款是有偿使用协议中的重要条款之一，通常会规定违约事件、终止事由以及终止后的处理机制等内容。</w:t>
      </w:r>
    </w:p>
    <w:p w14:paraId="1BB6F7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1"/>
          <w:sz w:val="24"/>
          <w:szCs w:val="24"/>
        </w:rPr>
      </w:pPr>
      <w:r>
        <w:rPr>
          <w:rFonts w:hint="eastAsia" w:asciiTheme="minorEastAsia" w:hAnsiTheme="minorEastAsia" w:eastAsiaTheme="minorEastAsia" w:cstheme="minorEastAsia"/>
          <w:kern w:val="2"/>
          <w:sz w:val="21"/>
          <w:lang w:val="en-US" w:eastAsia="zh-CN" w:bidi="ar-SA"/>
        </w:rPr>
        <w:t>项目有偿使用期内，如果发生不可抗力、有偿使用者严重违约事件或者实施机构严重违约事件，守约方可向对方提出合同终止意向并就此进行协商。双方在一定时间内协商一致，则双方应继续履行有偿使用协议，否则项目实施机构要及时做好接管，保障项目设施持续运行。守约方可以向对方提出合同终止，违约方应根据合同相关条款约定给予守约方相应补偿</w:t>
      </w:r>
      <w:r>
        <w:rPr>
          <w:rFonts w:hint="eastAsia" w:ascii="宋体" w:hAnsi="宋体" w:eastAsia="宋体" w:cs="宋体"/>
          <w:spacing w:val="-1"/>
          <w:sz w:val="24"/>
          <w:szCs w:val="24"/>
        </w:rPr>
        <w:t>。</w:t>
      </w:r>
    </w:p>
    <w:p w14:paraId="52CBEFAB">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rPr>
      </w:pPr>
      <w:bookmarkStart w:id="204" w:name="bookmark86"/>
      <w:bookmarkEnd w:id="204"/>
      <w:bookmarkStart w:id="205" w:name="bookmark85"/>
      <w:bookmarkEnd w:id="205"/>
      <w:bookmarkStart w:id="206" w:name="_Toc7366"/>
      <w:r>
        <w:rPr>
          <w:rFonts w:hint="eastAsia" w:ascii="宋体" w:hAnsi="宋体" w:eastAsia="宋体" w:cs="宋体"/>
          <w:b/>
          <w:bCs/>
          <w:spacing w:val="-1"/>
          <w:sz w:val="24"/>
          <w:szCs w:val="24"/>
          <w:lang w:eastAsia="zh-CN"/>
        </w:rPr>
        <w:t>十四、</w:t>
      </w:r>
      <w:r>
        <w:rPr>
          <w:rFonts w:hint="eastAsia" w:ascii="宋体" w:hAnsi="宋体" w:eastAsia="宋体" w:cs="宋体"/>
          <w:b/>
          <w:bCs/>
          <w:spacing w:val="-1"/>
          <w:sz w:val="24"/>
          <w:szCs w:val="24"/>
        </w:rPr>
        <w:t>项目的移交</w:t>
      </w:r>
      <w:bookmarkEnd w:id="206"/>
    </w:p>
    <w:p w14:paraId="29F005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项目移交通常是指在项目有偿使用期限结束或者项目有偿使用协议提前终止后，有偿使用者将全部项目设施及相关权益以合同约定的条件和程序移交给政府或者政府指定的其他机构。</w:t>
      </w:r>
    </w:p>
    <w:p w14:paraId="680A29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pacing w:val="-1"/>
          <w:sz w:val="24"/>
          <w:szCs w:val="24"/>
        </w:rPr>
      </w:pPr>
      <w:r>
        <w:rPr>
          <w:rFonts w:hint="eastAsia" w:asciiTheme="minorEastAsia" w:hAnsiTheme="minorEastAsia" w:eastAsiaTheme="minorEastAsia" w:cstheme="minorEastAsia"/>
          <w:kern w:val="2"/>
          <w:sz w:val="21"/>
          <w:lang w:val="en-US" w:eastAsia="zh-CN" w:bidi="ar-SA"/>
        </w:rPr>
        <w:t>本项目的移交范围包括项目设施及相关的设备、机器、装置、零部件、备用件及其他动产、项目实施相关人员、运营维护项目设施所要求的技术和技术信息、与项目设施有关的手册、图纸、文件和资料以及其他移交所需的文件。项目移交时，项目设施及所涉及的任何资产不应存在权利瑕疵，同时项目设施应符合双方约定的技术、安全和环保标准，在不再维修情况下项目可以正常运营6个月，否则政府方可根据损失向有偿使用者提出合理的补偿。</w:t>
      </w:r>
    </w:p>
    <w:p w14:paraId="449468FB">
      <w:pPr>
        <w:keepNext w:val="0"/>
        <w:keepLines w:val="0"/>
        <w:pageBreakBefore w:val="0"/>
        <w:widowControl/>
        <w:kinsoku/>
        <w:wordWrap/>
        <w:overflowPunct/>
        <w:topLinePunct w:val="0"/>
        <w:autoSpaceDE w:val="0"/>
        <w:autoSpaceDN w:val="0"/>
        <w:bidi w:val="0"/>
        <w:adjustRightInd w:val="0"/>
        <w:snapToGrid w:val="0"/>
        <w:spacing w:line="480" w:lineRule="exact"/>
        <w:ind w:left="21"/>
        <w:jc w:val="both"/>
        <w:textAlignment w:val="baseline"/>
        <w:outlineLvl w:val="1"/>
        <w:rPr>
          <w:rFonts w:hint="eastAsia" w:ascii="宋体" w:hAnsi="宋体" w:eastAsia="宋体" w:cs="宋体"/>
          <w:b/>
          <w:bCs/>
          <w:sz w:val="24"/>
          <w:szCs w:val="24"/>
        </w:rPr>
      </w:pPr>
      <w:bookmarkStart w:id="207" w:name="bookmark87"/>
      <w:bookmarkEnd w:id="207"/>
      <w:bookmarkStart w:id="208" w:name="bookmark88"/>
      <w:bookmarkEnd w:id="208"/>
      <w:bookmarkStart w:id="209" w:name="_Toc4583"/>
      <w:r>
        <w:rPr>
          <w:rFonts w:hint="eastAsia" w:ascii="宋体" w:hAnsi="宋体" w:eastAsia="宋体" w:cs="宋体"/>
          <w:b/>
          <w:bCs/>
          <w:spacing w:val="-4"/>
          <w:sz w:val="24"/>
          <w:szCs w:val="24"/>
          <w:lang w:eastAsia="zh-CN"/>
        </w:rPr>
        <w:t>十五、</w:t>
      </w:r>
      <w:r>
        <w:rPr>
          <w:rFonts w:hint="eastAsia" w:ascii="宋体" w:hAnsi="宋体" w:eastAsia="宋体" w:cs="宋体"/>
          <w:b/>
          <w:bCs/>
          <w:spacing w:val="-4"/>
          <w:sz w:val="24"/>
          <w:szCs w:val="24"/>
        </w:rPr>
        <w:t>争议的解决</w:t>
      </w:r>
      <w:bookmarkEnd w:id="209"/>
    </w:p>
    <w:p w14:paraId="69EAFA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kern w:val="2"/>
          <w:sz w:val="21"/>
          <w:lang w:val="en-US" w:eastAsia="zh-CN" w:bidi="ar-SA"/>
        </w:rPr>
        <w:t>若双方对于由于本合同条款或与本合同有关的条款的解释，包括关于其存在、有效或终止的任何问题产生任何争议、分歧或索赔，则应尽力通过协商友好解决该争议、分歧或索赔。协议双方在无法通过协商或调解方式解决争议的情况下，双方的争议由实施机构所在地有管辖权的法院管辖。</w:t>
      </w:r>
    </w:p>
    <w:p w14:paraId="23422ECE">
      <w:pPr>
        <w:keepNext w:val="0"/>
        <w:keepLines w:val="0"/>
        <w:pageBreakBefore w:val="0"/>
        <w:widowControl/>
        <w:kinsoku/>
        <w:wordWrap/>
        <w:overflowPunct/>
        <w:topLinePunct w:val="0"/>
        <w:autoSpaceDE w:val="0"/>
        <w:autoSpaceDN w:val="0"/>
        <w:bidi w:val="0"/>
        <w:adjustRightInd w:val="0"/>
        <w:snapToGrid w:val="0"/>
        <w:spacing w:line="500" w:lineRule="exact"/>
        <w:ind w:left="21"/>
        <w:jc w:val="both"/>
        <w:textAlignment w:val="baseline"/>
        <w:outlineLvl w:val="1"/>
        <w:rPr>
          <w:rFonts w:hint="eastAsia" w:ascii="宋体" w:hAnsi="宋体" w:eastAsia="宋体" w:cs="宋体"/>
          <w:b/>
          <w:bCs/>
          <w:color w:val="auto"/>
          <w:sz w:val="24"/>
          <w:szCs w:val="24"/>
          <w:highlight w:val="none"/>
        </w:rPr>
      </w:pPr>
      <w:bookmarkStart w:id="210" w:name="bookmark90"/>
      <w:bookmarkEnd w:id="210"/>
      <w:bookmarkStart w:id="211" w:name="bookmark89"/>
      <w:bookmarkEnd w:id="211"/>
      <w:bookmarkStart w:id="212" w:name="_Toc840"/>
      <w:r>
        <w:rPr>
          <w:rFonts w:hint="eastAsia" w:ascii="宋体" w:hAnsi="宋体" w:eastAsia="宋体" w:cs="宋体"/>
          <w:b/>
          <w:bCs/>
          <w:color w:val="auto"/>
          <w:spacing w:val="-1"/>
          <w:sz w:val="24"/>
          <w:szCs w:val="24"/>
          <w:highlight w:val="none"/>
          <w:lang w:eastAsia="zh-CN"/>
        </w:rPr>
        <w:t>十六、</w:t>
      </w:r>
      <w:r>
        <w:rPr>
          <w:rFonts w:hint="eastAsia" w:ascii="宋体" w:hAnsi="宋体" w:eastAsia="宋体" w:cs="宋体"/>
          <w:b/>
          <w:bCs/>
          <w:color w:val="auto"/>
          <w:spacing w:val="-1"/>
          <w:sz w:val="24"/>
          <w:szCs w:val="24"/>
          <w:highlight w:val="none"/>
        </w:rPr>
        <w:t>合同附件</w:t>
      </w:r>
      <w:bookmarkEnd w:id="212"/>
    </w:p>
    <w:p w14:paraId="43A8B6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kern w:val="2"/>
          <w:sz w:val="21"/>
          <w:lang w:val="en-US" w:eastAsia="zh-CN" w:bidi="ar-SA"/>
        </w:rPr>
        <w:sectPr>
          <w:pgSz w:w="11905" w:h="16838"/>
          <w:pgMar w:top="1440" w:right="1803" w:bottom="1440" w:left="1803" w:header="283" w:footer="1077" w:gutter="0"/>
          <w:pgNumType w:fmt="decimal"/>
          <w:cols w:space="0" w:num="1"/>
          <w:rtlGutter w:val="0"/>
          <w:docGrid w:type="lines" w:linePitch="317" w:charSpace="0"/>
        </w:sectPr>
      </w:pPr>
      <w:r>
        <w:rPr>
          <w:rFonts w:hint="eastAsia" w:asciiTheme="minorEastAsia" w:hAnsiTheme="minorEastAsia" w:eastAsiaTheme="minorEastAsia" w:cstheme="minorEastAsia"/>
          <w:kern w:val="2"/>
          <w:sz w:val="21"/>
          <w:lang w:val="en-US" w:eastAsia="zh-CN" w:bidi="ar-SA"/>
        </w:rPr>
        <w:t>本项目有偿使用协议附件可包括：甲方前期工作清单，绩效考核方案，项目涉及资产明细表等。</w:t>
      </w:r>
    </w:p>
    <w:p w14:paraId="357C81FE">
      <w:pPr>
        <w:ind w:right="678" w:rightChars="323" w:firstLine="723" w:firstLineChars="200"/>
        <w:jc w:val="center"/>
        <w:outlineLvl w:val="0"/>
        <w:rPr>
          <w:rFonts w:asciiTheme="majorEastAsia" w:hAnsiTheme="majorEastAsia" w:eastAsiaTheme="majorEastAsia" w:cstheme="majorEastAsia"/>
          <w:sz w:val="36"/>
          <w:szCs w:val="36"/>
        </w:rPr>
      </w:pPr>
      <w:r>
        <w:rPr>
          <w:rFonts w:hint="eastAsia" w:asciiTheme="majorEastAsia" w:hAnsiTheme="majorEastAsia" w:eastAsiaTheme="majorEastAsia" w:cstheme="majorEastAsia"/>
          <w:b/>
          <w:bCs/>
          <w:sz w:val="36"/>
          <w:szCs w:val="36"/>
        </w:rPr>
        <w:t>第六部分 投标文件格式</w:t>
      </w:r>
    </w:p>
    <w:p w14:paraId="0CA44288">
      <w:pPr>
        <w:pStyle w:val="24"/>
        <w:pageBreakBefore w:val="0"/>
        <w:kinsoku/>
        <w:wordWrap/>
        <w:overflowPunct/>
        <w:topLinePunct w:val="0"/>
        <w:autoSpaceDE/>
        <w:autoSpaceDN/>
        <w:bidi w:val="0"/>
        <w:spacing w:line="360" w:lineRule="auto"/>
        <w:textAlignment w:val="auto"/>
        <w:rPr>
          <w:rFonts w:hAnsi="宋体" w:cs="仿宋_GB2312"/>
          <w:b/>
          <w:bCs/>
          <w:color w:val="auto"/>
          <w:sz w:val="28"/>
          <w:szCs w:val="28"/>
          <w:highlight w:val="none"/>
        </w:rPr>
      </w:pPr>
      <w:r>
        <w:rPr>
          <w:rFonts w:hint="eastAsia" w:hAnsi="宋体" w:cs="仿宋_GB2312"/>
          <w:b/>
          <w:bCs/>
          <w:color w:val="auto"/>
          <w:sz w:val="24"/>
          <w:szCs w:val="24"/>
          <w:highlight w:val="none"/>
        </w:rPr>
        <w:t>一、</w:t>
      </w:r>
      <w:r>
        <w:rPr>
          <w:rFonts w:hint="eastAsia" w:hAnsi="宋体" w:cs="仿宋_GB2312"/>
          <w:b/>
          <w:bCs/>
          <w:color w:val="auto"/>
          <w:sz w:val="24"/>
          <w:szCs w:val="24"/>
          <w:highlight w:val="none"/>
          <w:lang w:eastAsia="zh-CN"/>
        </w:rPr>
        <w:t>投标文件</w:t>
      </w:r>
      <w:r>
        <w:rPr>
          <w:rFonts w:hint="eastAsia" w:hAnsi="宋体" w:cs="仿宋_GB2312"/>
          <w:b/>
          <w:bCs/>
          <w:color w:val="auto"/>
          <w:sz w:val="24"/>
          <w:szCs w:val="24"/>
          <w:highlight w:val="none"/>
        </w:rPr>
        <w:t>格式要求</w:t>
      </w:r>
      <w:r>
        <w:rPr>
          <w:rFonts w:hint="eastAsia" w:hAnsi="宋体" w:cs="仿宋_GB2312"/>
          <w:b/>
          <w:bCs/>
          <w:color w:val="auto"/>
          <w:sz w:val="28"/>
          <w:szCs w:val="28"/>
          <w:highlight w:val="none"/>
        </w:rPr>
        <w:t>：</w:t>
      </w:r>
    </w:p>
    <w:p w14:paraId="77227581">
      <w:pPr>
        <w:pStyle w:val="24"/>
        <w:pageBreakBefore w:val="0"/>
        <w:kinsoku/>
        <w:wordWrap/>
        <w:overflowPunct/>
        <w:topLinePunct w:val="0"/>
        <w:autoSpaceDE/>
        <w:autoSpaceDN/>
        <w:bidi w:val="0"/>
        <w:spacing w:line="360" w:lineRule="auto"/>
        <w:ind w:firstLine="420" w:firstLineChars="200"/>
        <w:textAlignment w:val="auto"/>
        <w:rPr>
          <w:rFonts w:hint="eastAsia" w:hAnsi="宋体" w:cs="宋体"/>
          <w:bCs/>
          <w:color w:val="auto"/>
          <w:kern w:val="2"/>
          <w:sz w:val="21"/>
          <w:highlight w:val="none"/>
        </w:rPr>
      </w:pPr>
      <w:r>
        <w:rPr>
          <w:rFonts w:hint="eastAsia" w:hAnsi="宋体" w:cs="宋体"/>
          <w:bCs/>
          <w:color w:val="auto"/>
          <w:kern w:val="2"/>
          <w:sz w:val="21"/>
          <w:highlight w:val="none"/>
        </w:rPr>
        <w:t>1.</w:t>
      </w:r>
      <w:r>
        <w:rPr>
          <w:rFonts w:hint="eastAsia" w:hAnsi="宋体" w:cs="宋体"/>
          <w:bCs/>
          <w:color w:val="auto"/>
          <w:kern w:val="2"/>
          <w:sz w:val="21"/>
          <w:highlight w:val="none"/>
          <w:lang w:eastAsia="zh-CN"/>
        </w:rPr>
        <w:t>投标文件</w:t>
      </w:r>
      <w:r>
        <w:rPr>
          <w:rFonts w:hint="eastAsia" w:hAnsi="宋体" w:cs="宋体"/>
          <w:bCs/>
          <w:color w:val="auto"/>
          <w:kern w:val="2"/>
          <w:sz w:val="21"/>
          <w:highlight w:val="none"/>
        </w:rPr>
        <w:t>须编页码，且页码必须连续；</w:t>
      </w:r>
    </w:p>
    <w:p w14:paraId="1608C23D">
      <w:pPr>
        <w:pStyle w:val="24"/>
        <w:pageBreakBefore w:val="0"/>
        <w:kinsoku/>
        <w:wordWrap/>
        <w:overflowPunct/>
        <w:topLinePunct w:val="0"/>
        <w:autoSpaceDE/>
        <w:autoSpaceDN/>
        <w:bidi w:val="0"/>
        <w:spacing w:line="360" w:lineRule="auto"/>
        <w:ind w:firstLine="420" w:firstLineChars="200"/>
        <w:textAlignment w:val="auto"/>
        <w:rPr>
          <w:rFonts w:hint="eastAsia" w:hAnsi="宋体" w:cs="宋体"/>
          <w:bCs/>
          <w:color w:val="auto"/>
          <w:kern w:val="2"/>
          <w:sz w:val="21"/>
          <w:highlight w:val="none"/>
        </w:rPr>
      </w:pPr>
      <w:r>
        <w:rPr>
          <w:rFonts w:hint="eastAsia" w:hAnsi="宋体" w:cs="宋体"/>
          <w:bCs/>
          <w:color w:val="auto"/>
          <w:kern w:val="2"/>
          <w:sz w:val="21"/>
          <w:highlight w:val="none"/>
        </w:rPr>
        <w:t>2.</w:t>
      </w:r>
      <w:r>
        <w:rPr>
          <w:rFonts w:hint="eastAsia" w:hAnsi="宋体" w:cs="宋体"/>
          <w:bCs/>
          <w:color w:val="auto"/>
          <w:kern w:val="2"/>
          <w:sz w:val="21"/>
          <w:highlight w:val="none"/>
          <w:lang w:val="en-US" w:eastAsia="zh-CN"/>
        </w:rPr>
        <w:t>投标人</w:t>
      </w:r>
      <w:r>
        <w:rPr>
          <w:rFonts w:hint="eastAsia" w:hAnsi="宋体" w:cs="宋体"/>
          <w:bCs/>
          <w:color w:val="auto"/>
          <w:kern w:val="2"/>
          <w:sz w:val="21"/>
          <w:highlight w:val="none"/>
        </w:rPr>
        <w:t>应自行承担所提供的</w:t>
      </w:r>
      <w:r>
        <w:rPr>
          <w:rFonts w:hint="eastAsia" w:hAnsi="宋体" w:cs="宋体"/>
          <w:bCs/>
          <w:color w:val="auto"/>
          <w:kern w:val="2"/>
          <w:sz w:val="21"/>
          <w:highlight w:val="none"/>
          <w:lang w:eastAsia="zh-CN"/>
        </w:rPr>
        <w:t>投标文件</w:t>
      </w:r>
      <w:r>
        <w:rPr>
          <w:rFonts w:hint="eastAsia" w:hAnsi="宋体" w:cs="宋体"/>
          <w:bCs/>
          <w:color w:val="auto"/>
          <w:kern w:val="2"/>
          <w:sz w:val="21"/>
          <w:highlight w:val="none"/>
        </w:rPr>
        <w:t>任何错漏而导致的一切后果；</w:t>
      </w:r>
    </w:p>
    <w:p w14:paraId="6815E7B4">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Cs/>
          <w:color w:val="auto"/>
          <w:kern w:val="2"/>
          <w:sz w:val="21"/>
          <w:highlight w:val="none"/>
        </w:rPr>
      </w:pPr>
      <w:r>
        <w:rPr>
          <w:rFonts w:hint="eastAsia" w:hAnsi="宋体" w:cs="宋体"/>
          <w:b/>
          <w:bCs/>
          <w:color w:val="auto"/>
          <w:kern w:val="2"/>
          <w:sz w:val="21"/>
          <w:highlight w:val="none"/>
        </w:rPr>
        <w:t>3.</w:t>
      </w:r>
      <w:r>
        <w:rPr>
          <w:rFonts w:hint="eastAsia" w:hAnsi="宋体" w:cs="宋体"/>
          <w:b/>
          <w:bCs/>
          <w:color w:val="auto"/>
          <w:kern w:val="2"/>
          <w:sz w:val="21"/>
          <w:highlight w:val="none"/>
          <w:lang w:eastAsia="zh-CN"/>
        </w:rPr>
        <w:t>投标文件</w:t>
      </w:r>
      <w:r>
        <w:rPr>
          <w:rFonts w:hint="eastAsia" w:hAnsi="宋体" w:cs="宋体"/>
          <w:b/>
          <w:bCs/>
          <w:color w:val="auto"/>
          <w:kern w:val="2"/>
          <w:sz w:val="21"/>
          <w:highlight w:val="none"/>
        </w:rPr>
        <w:t>编制一式</w:t>
      </w:r>
      <w:r>
        <w:rPr>
          <w:rFonts w:hint="eastAsia" w:hAnsi="宋体" w:cs="宋体"/>
          <w:b/>
          <w:bCs/>
          <w:color w:val="auto"/>
          <w:kern w:val="2"/>
          <w:sz w:val="21"/>
          <w:highlight w:val="none"/>
          <w:lang w:val="en-US" w:eastAsia="zh-CN"/>
        </w:rPr>
        <w:t>7</w:t>
      </w:r>
      <w:r>
        <w:rPr>
          <w:rFonts w:hint="eastAsia" w:hAnsi="宋体" w:cs="宋体"/>
          <w:b/>
          <w:bCs/>
          <w:color w:val="auto"/>
          <w:kern w:val="2"/>
          <w:sz w:val="21"/>
          <w:highlight w:val="none"/>
        </w:rPr>
        <w:t>套，正本1套，副本</w:t>
      </w:r>
      <w:r>
        <w:rPr>
          <w:rFonts w:hint="eastAsia" w:hAnsi="宋体" w:cs="宋体"/>
          <w:b/>
          <w:bCs/>
          <w:color w:val="auto"/>
          <w:kern w:val="2"/>
          <w:sz w:val="21"/>
          <w:highlight w:val="none"/>
          <w:lang w:val="en-US" w:eastAsia="zh-CN"/>
        </w:rPr>
        <w:t>6</w:t>
      </w:r>
      <w:r>
        <w:rPr>
          <w:rFonts w:hint="eastAsia" w:hAnsi="宋体" w:cs="宋体"/>
          <w:b/>
          <w:bCs/>
          <w:color w:val="auto"/>
          <w:kern w:val="2"/>
          <w:sz w:val="21"/>
          <w:highlight w:val="none"/>
        </w:rPr>
        <w:t>套</w:t>
      </w:r>
      <w:r>
        <w:rPr>
          <w:rFonts w:hint="eastAsia" w:hAnsi="宋体" w:cs="宋体"/>
          <w:bCs/>
          <w:color w:val="auto"/>
          <w:kern w:val="2"/>
          <w:sz w:val="21"/>
          <w:highlight w:val="none"/>
        </w:rPr>
        <w:t>。正本封面及内容须全部加盖</w:t>
      </w:r>
      <w:r>
        <w:rPr>
          <w:rFonts w:hint="eastAsia" w:hAnsi="宋体" w:cs="宋体"/>
          <w:bCs/>
          <w:color w:val="auto"/>
          <w:kern w:val="2"/>
          <w:sz w:val="21"/>
          <w:highlight w:val="none"/>
          <w:lang w:val="en-US" w:eastAsia="zh-CN"/>
        </w:rPr>
        <w:t>投标人</w:t>
      </w:r>
      <w:r>
        <w:rPr>
          <w:rFonts w:hint="eastAsia" w:hAnsi="宋体" w:cs="宋体"/>
          <w:bCs/>
          <w:color w:val="auto"/>
          <w:kern w:val="2"/>
          <w:sz w:val="21"/>
          <w:highlight w:val="none"/>
        </w:rPr>
        <w:t>公章和骑缝章，副本可采用正本的复印件，副本封面须加盖</w:t>
      </w:r>
      <w:r>
        <w:rPr>
          <w:rFonts w:hint="eastAsia" w:hAnsi="宋体" w:cs="宋体"/>
          <w:bCs/>
          <w:color w:val="auto"/>
          <w:kern w:val="2"/>
          <w:sz w:val="21"/>
          <w:highlight w:val="none"/>
          <w:lang w:val="en-US" w:eastAsia="zh-CN"/>
        </w:rPr>
        <w:t>投标人</w:t>
      </w:r>
      <w:r>
        <w:rPr>
          <w:rFonts w:hint="eastAsia" w:hAnsi="宋体" w:cs="宋体"/>
          <w:bCs/>
          <w:color w:val="auto"/>
          <w:kern w:val="2"/>
          <w:sz w:val="21"/>
          <w:highlight w:val="none"/>
        </w:rPr>
        <w:t>公章和骑缝章。</w:t>
      </w:r>
    </w:p>
    <w:p w14:paraId="5E3EBFDF">
      <w:pPr>
        <w:pStyle w:val="24"/>
        <w:pageBreakBefore w:val="0"/>
        <w:kinsoku/>
        <w:wordWrap/>
        <w:overflowPunct/>
        <w:topLinePunct w:val="0"/>
        <w:autoSpaceDE/>
        <w:autoSpaceDN/>
        <w:bidi w:val="0"/>
        <w:spacing w:line="360" w:lineRule="auto"/>
        <w:ind w:firstLine="420" w:firstLineChars="200"/>
        <w:textAlignment w:val="auto"/>
        <w:rPr>
          <w:rFonts w:hint="eastAsia" w:hAnsi="宋体" w:cs="宋体"/>
          <w:bCs/>
          <w:color w:val="auto"/>
          <w:kern w:val="2"/>
          <w:sz w:val="21"/>
          <w:highlight w:val="none"/>
        </w:rPr>
      </w:pPr>
      <w:r>
        <w:rPr>
          <w:rFonts w:hint="eastAsia" w:hAnsi="宋体" w:cs="宋体"/>
          <w:bCs/>
          <w:color w:val="auto"/>
          <w:kern w:val="2"/>
          <w:sz w:val="21"/>
          <w:highlight w:val="none"/>
        </w:rPr>
        <w:t>4.</w:t>
      </w:r>
      <w:r>
        <w:rPr>
          <w:rFonts w:hint="eastAsia" w:hAnsi="宋体" w:cs="宋体"/>
          <w:bCs/>
          <w:color w:val="auto"/>
          <w:kern w:val="2"/>
          <w:sz w:val="21"/>
          <w:highlight w:val="none"/>
          <w:lang w:eastAsia="zh-CN"/>
        </w:rPr>
        <w:t>投标文件</w:t>
      </w:r>
      <w:r>
        <w:rPr>
          <w:rFonts w:hint="eastAsia" w:hAnsi="宋体" w:cs="宋体"/>
          <w:bCs/>
          <w:color w:val="auto"/>
          <w:kern w:val="2"/>
          <w:sz w:val="21"/>
          <w:highlight w:val="none"/>
        </w:rPr>
        <w:t>全部用A4规格打印。</w:t>
      </w:r>
    </w:p>
    <w:p w14:paraId="15D112E8">
      <w:pPr>
        <w:pStyle w:val="24"/>
        <w:pageBreakBefore w:val="0"/>
        <w:kinsoku/>
        <w:wordWrap/>
        <w:overflowPunct/>
        <w:topLinePunct w:val="0"/>
        <w:autoSpaceDE/>
        <w:autoSpaceDN/>
        <w:bidi w:val="0"/>
        <w:spacing w:line="360" w:lineRule="auto"/>
        <w:ind w:firstLine="420" w:firstLineChars="200"/>
        <w:textAlignment w:val="auto"/>
        <w:rPr>
          <w:rFonts w:hint="eastAsia" w:hAnsi="宋体" w:cs="宋体"/>
          <w:bCs/>
          <w:color w:val="auto"/>
          <w:kern w:val="2"/>
          <w:sz w:val="21"/>
          <w:highlight w:val="none"/>
        </w:rPr>
      </w:pPr>
      <w:r>
        <w:rPr>
          <w:rFonts w:hint="eastAsia" w:hAnsi="宋体" w:cs="宋体"/>
          <w:bCs/>
          <w:color w:val="auto"/>
          <w:kern w:val="2"/>
          <w:sz w:val="21"/>
          <w:highlight w:val="none"/>
        </w:rPr>
        <w:t>5.</w:t>
      </w:r>
      <w:r>
        <w:rPr>
          <w:rFonts w:hint="eastAsia" w:hAnsi="宋体" w:cs="宋体"/>
          <w:bCs/>
          <w:color w:val="auto"/>
          <w:kern w:val="2"/>
          <w:sz w:val="21"/>
          <w:highlight w:val="none"/>
          <w:lang w:eastAsia="zh-CN"/>
        </w:rPr>
        <w:t>投标文件</w:t>
      </w:r>
      <w:r>
        <w:rPr>
          <w:rFonts w:hint="eastAsia" w:hAnsi="宋体" w:cs="宋体"/>
          <w:bCs/>
          <w:color w:val="auto"/>
          <w:kern w:val="2"/>
          <w:sz w:val="21"/>
          <w:highlight w:val="none"/>
        </w:rPr>
        <w:t>应装订成册，密封封装为三份，正本封装一份，副本封装一份，唱标信封一份。</w:t>
      </w:r>
    </w:p>
    <w:p w14:paraId="0E855A47">
      <w:pPr>
        <w:pStyle w:val="24"/>
        <w:pageBreakBefore w:val="0"/>
        <w:kinsoku/>
        <w:wordWrap/>
        <w:overflowPunct/>
        <w:topLinePunct w:val="0"/>
        <w:autoSpaceDE/>
        <w:autoSpaceDN/>
        <w:bidi w:val="0"/>
        <w:spacing w:line="360" w:lineRule="auto"/>
        <w:ind w:firstLine="420" w:firstLineChars="200"/>
        <w:textAlignment w:val="auto"/>
        <w:rPr>
          <w:rFonts w:hint="eastAsia" w:hAnsi="宋体" w:cs="宋体"/>
          <w:bCs/>
          <w:color w:val="auto"/>
          <w:kern w:val="2"/>
          <w:sz w:val="21"/>
          <w:highlight w:val="none"/>
        </w:rPr>
      </w:pPr>
      <w:r>
        <w:rPr>
          <w:rFonts w:hint="eastAsia" w:hAnsi="宋体" w:cs="宋体"/>
          <w:bCs/>
          <w:color w:val="auto"/>
          <w:kern w:val="2"/>
          <w:sz w:val="21"/>
          <w:highlight w:val="none"/>
        </w:rPr>
        <w:t>6.唱标信封内装以下文件（可采用</w:t>
      </w:r>
      <w:r>
        <w:rPr>
          <w:rFonts w:hint="eastAsia" w:hAnsi="宋体" w:cs="宋体"/>
          <w:bCs/>
          <w:color w:val="auto"/>
          <w:kern w:val="2"/>
          <w:sz w:val="21"/>
          <w:highlight w:val="none"/>
          <w:lang w:eastAsia="zh-CN"/>
        </w:rPr>
        <w:t>投标文件</w:t>
      </w:r>
      <w:r>
        <w:rPr>
          <w:rFonts w:hint="eastAsia" w:hAnsi="宋体" w:cs="宋体"/>
          <w:bCs/>
          <w:color w:val="auto"/>
          <w:kern w:val="2"/>
          <w:sz w:val="21"/>
          <w:highlight w:val="none"/>
        </w:rPr>
        <w:t>正本的复印件并加盖公章）：</w:t>
      </w:r>
    </w:p>
    <w:p w14:paraId="7C7FFAA7">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
          <w:bCs/>
          <w:color w:val="auto"/>
          <w:kern w:val="2"/>
          <w:sz w:val="21"/>
          <w:highlight w:val="none"/>
        </w:rPr>
      </w:pPr>
      <w:r>
        <w:rPr>
          <w:rFonts w:hint="eastAsia" w:hAnsi="宋体" w:cs="宋体"/>
          <w:b/>
          <w:bCs/>
          <w:color w:val="auto"/>
          <w:kern w:val="2"/>
          <w:sz w:val="21"/>
          <w:highlight w:val="none"/>
        </w:rPr>
        <w:t>①投标（报价）函；</w:t>
      </w:r>
    </w:p>
    <w:p w14:paraId="70C60C89">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
          <w:bCs/>
          <w:color w:val="auto"/>
          <w:kern w:val="2"/>
          <w:sz w:val="21"/>
          <w:highlight w:val="none"/>
        </w:rPr>
      </w:pPr>
      <w:r>
        <w:rPr>
          <w:rFonts w:hint="eastAsia" w:hAnsi="宋体" w:cs="宋体"/>
          <w:b/>
          <w:bCs/>
          <w:color w:val="auto"/>
          <w:kern w:val="2"/>
          <w:sz w:val="21"/>
          <w:highlight w:val="none"/>
        </w:rPr>
        <w:t>②</w:t>
      </w:r>
      <w:r>
        <w:rPr>
          <w:rFonts w:hint="eastAsia" w:hAnsi="宋体" w:cs="宋体"/>
          <w:b/>
          <w:bCs/>
          <w:color w:val="auto"/>
          <w:kern w:val="2"/>
          <w:sz w:val="21"/>
          <w:highlight w:val="none"/>
          <w:lang w:val="en-US" w:eastAsia="zh-CN"/>
        </w:rPr>
        <w:t>开标</w:t>
      </w:r>
      <w:r>
        <w:rPr>
          <w:rFonts w:hint="eastAsia" w:hAnsi="宋体" w:cs="宋体"/>
          <w:b/>
          <w:bCs/>
          <w:color w:val="auto"/>
          <w:kern w:val="2"/>
          <w:sz w:val="21"/>
          <w:highlight w:val="none"/>
        </w:rPr>
        <w:t>一览表</w:t>
      </w:r>
    </w:p>
    <w:p w14:paraId="500B68A7">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
          <w:bCs/>
          <w:color w:val="auto"/>
          <w:kern w:val="2"/>
          <w:sz w:val="21"/>
          <w:highlight w:val="none"/>
        </w:rPr>
      </w:pPr>
      <w:r>
        <w:rPr>
          <w:rFonts w:hint="eastAsia" w:hAnsi="宋体" w:cs="宋体"/>
          <w:b/>
          <w:bCs/>
          <w:color w:val="auto"/>
          <w:kern w:val="2"/>
          <w:sz w:val="21"/>
          <w:highlight w:val="none"/>
        </w:rPr>
        <w:t>③法定代表人证明及授权书；</w:t>
      </w:r>
    </w:p>
    <w:p w14:paraId="7CBBCA33">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
          <w:bCs/>
          <w:color w:val="auto"/>
          <w:kern w:val="2"/>
          <w:sz w:val="21"/>
          <w:highlight w:val="none"/>
        </w:rPr>
      </w:pPr>
      <w:r>
        <w:rPr>
          <w:rFonts w:hint="eastAsia" w:hAnsi="宋体" w:cs="宋体"/>
          <w:b/>
          <w:bCs/>
          <w:color w:val="auto"/>
          <w:kern w:val="2"/>
          <w:sz w:val="21"/>
          <w:highlight w:val="none"/>
        </w:rPr>
        <w:t>④</w:t>
      </w:r>
      <w:r>
        <w:rPr>
          <w:rFonts w:hint="eastAsia" w:hAnsi="宋体" w:cs="宋体"/>
          <w:b/>
          <w:bCs/>
          <w:color w:val="auto"/>
          <w:kern w:val="2"/>
          <w:sz w:val="21"/>
          <w:highlight w:val="none"/>
          <w:lang w:val="en-US" w:eastAsia="zh-CN"/>
        </w:rPr>
        <w:t>投标保证金缴纳相关资料</w:t>
      </w:r>
      <w:r>
        <w:rPr>
          <w:rFonts w:hint="eastAsia" w:hAnsi="宋体" w:cs="宋体"/>
          <w:b/>
          <w:bCs/>
          <w:color w:val="auto"/>
          <w:kern w:val="2"/>
          <w:sz w:val="21"/>
          <w:highlight w:val="none"/>
        </w:rPr>
        <w:t>；</w:t>
      </w:r>
    </w:p>
    <w:p w14:paraId="546FFC7D">
      <w:pPr>
        <w:pStyle w:val="24"/>
        <w:pageBreakBefore w:val="0"/>
        <w:kinsoku/>
        <w:wordWrap/>
        <w:overflowPunct/>
        <w:topLinePunct w:val="0"/>
        <w:autoSpaceDE/>
        <w:autoSpaceDN/>
        <w:bidi w:val="0"/>
        <w:spacing w:line="360" w:lineRule="auto"/>
        <w:ind w:firstLine="422" w:firstLineChars="200"/>
        <w:textAlignment w:val="auto"/>
        <w:rPr>
          <w:rFonts w:hint="eastAsia" w:hAnsi="宋体" w:cs="宋体"/>
          <w:b/>
          <w:bCs/>
          <w:color w:val="auto"/>
          <w:kern w:val="2"/>
          <w:sz w:val="21"/>
          <w:highlight w:val="none"/>
        </w:rPr>
      </w:pPr>
      <w:r>
        <w:rPr>
          <w:rFonts w:hint="eastAsia" w:hAnsi="宋体" w:cs="宋体"/>
          <w:b/>
          <w:bCs/>
          <w:color w:val="auto"/>
          <w:kern w:val="2"/>
          <w:sz w:val="21"/>
          <w:highlight w:val="none"/>
        </w:rPr>
        <w:t>⑤</w:t>
      </w:r>
      <w:r>
        <w:rPr>
          <w:rFonts w:hint="eastAsia" w:hAnsi="宋体" w:cs="宋体"/>
          <w:b/>
          <w:bCs/>
          <w:color w:val="auto"/>
          <w:kern w:val="2"/>
          <w:sz w:val="21"/>
          <w:highlight w:val="none"/>
          <w:lang w:eastAsia="zh-CN"/>
        </w:rPr>
        <w:t>投标文件</w:t>
      </w:r>
      <w:r>
        <w:rPr>
          <w:rFonts w:hint="eastAsia" w:hAnsi="宋体" w:cs="宋体"/>
          <w:b/>
          <w:bCs/>
          <w:color w:val="auto"/>
          <w:kern w:val="2"/>
          <w:sz w:val="21"/>
          <w:highlight w:val="none"/>
        </w:rPr>
        <w:t>电子文档壹份。</w:t>
      </w:r>
    </w:p>
    <w:p w14:paraId="7B73574F">
      <w:pPr>
        <w:pStyle w:val="24"/>
        <w:pageBreakBefore w:val="0"/>
        <w:kinsoku/>
        <w:wordWrap/>
        <w:overflowPunct/>
        <w:topLinePunct w:val="0"/>
        <w:autoSpaceDE/>
        <w:autoSpaceDN/>
        <w:bidi w:val="0"/>
        <w:spacing w:line="360" w:lineRule="auto"/>
        <w:textAlignment w:val="auto"/>
        <w:rPr>
          <w:rFonts w:hint="eastAsia" w:hAnsi="宋体" w:cs="宋体"/>
          <w:b/>
          <w:bCs/>
          <w:color w:val="auto"/>
          <w:sz w:val="24"/>
          <w:szCs w:val="24"/>
          <w:highlight w:val="none"/>
        </w:rPr>
      </w:pPr>
      <w:r>
        <w:rPr>
          <w:rFonts w:hint="eastAsia" w:hAnsi="宋体" w:cs="宋体"/>
          <w:b/>
          <w:bCs/>
          <w:color w:val="auto"/>
          <w:sz w:val="24"/>
          <w:szCs w:val="24"/>
          <w:highlight w:val="none"/>
        </w:rPr>
        <w:t>二、</w:t>
      </w:r>
      <w:r>
        <w:rPr>
          <w:rFonts w:hint="eastAsia" w:hAnsi="宋体" w:cs="宋体"/>
          <w:b/>
          <w:bCs/>
          <w:color w:val="auto"/>
          <w:sz w:val="24"/>
          <w:szCs w:val="24"/>
          <w:highlight w:val="none"/>
          <w:lang w:eastAsia="zh-CN"/>
        </w:rPr>
        <w:t>投标文件</w:t>
      </w:r>
      <w:r>
        <w:rPr>
          <w:rFonts w:hint="eastAsia" w:hAnsi="宋体" w:cs="宋体"/>
          <w:b/>
          <w:bCs/>
          <w:color w:val="auto"/>
          <w:sz w:val="24"/>
          <w:szCs w:val="24"/>
          <w:highlight w:val="none"/>
        </w:rPr>
        <w:t>包含但不限于：</w:t>
      </w:r>
    </w:p>
    <w:p w14:paraId="43FBD75E">
      <w:pPr>
        <w:pStyle w:val="3"/>
        <w:pageBreakBefore w:val="0"/>
        <w:widowControl/>
        <w:kinsoku/>
        <w:wordWrap/>
        <w:overflowPunct/>
        <w:topLinePunct w:val="0"/>
        <w:autoSpaceDE/>
        <w:autoSpaceDN/>
        <w:bidi w:val="0"/>
        <w:spacing w:before="0" w:after="0" w:line="360" w:lineRule="auto"/>
        <w:ind w:firstLine="210" w:firstLineChars="100"/>
        <w:jc w:val="left"/>
        <w:textAlignment w:val="auto"/>
        <w:rPr>
          <w:rFonts w:hint="eastAsia" w:cs="宋体"/>
          <w:color w:val="auto"/>
          <w:sz w:val="21"/>
          <w:szCs w:val="21"/>
          <w:highlight w:val="none"/>
        </w:rPr>
      </w:pPr>
      <w:r>
        <w:rPr>
          <w:rFonts w:hint="eastAsia" w:cs="宋体"/>
          <w:color w:val="auto"/>
          <w:sz w:val="21"/>
          <w:szCs w:val="21"/>
          <w:highlight w:val="none"/>
        </w:rPr>
        <w:t>（一）自查表</w:t>
      </w:r>
    </w:p>
    <w:p w14:paraId="0A025BFA">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1.资格性自查表</w:t>
      </w:r>
    </w:p>
    <w:p w14:paraId="59E61AD7">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2.符合性自查表</w:t>
      </w:r>
    </w:p>
    <w:p w14:paraId="781E394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3.商务评审自查表</w:t>
      </w:r>
    </w:p>
    <w:p w14:paraId="1A3DB59B">
      <w:pPr>
        <w:pageBreakBefore w:val="0"/>
        <w:kinsoku/>
        <w:wordWrap/>
        <w:overflowPunct/>
        <w:topLinePunct w:val="0"/>
        <w:autoSpaceDE/>
        <w:autoSpaceDN/>
        <w:bidi w:val="0"/>
        <w:spacing w:line="360" w:lineRule="auto"/>
        <w:ind w:firstLine="420" w:firstLineChars="200"/>
        <w:jc w:val="left"/>
        <w:textAlignment w:val="auto"/>
        <w:rPr>
          <w:rFonts w:hint="eastAsia"/>
          <w:color w:val="auto"/>
          <w:highlight w:val="none"/>
        </w:rPr>
      </w:pPr>
      <w:r>
        <w:rPr>
          <w:rFonts w:hint="eastAsia" w:ascii="宋体" w:hAnsi="宋体" w:cs="宋体"/>
          <w:bCs/>
          <w:color w:val="auto"/>
          <w:szCs w:val="21"/>
          <w:highlight w:val="none"/>
        </w:rPr>
        <w:t>4.技术评审自查表</w:t>
      </w:r>
    </w:p>
    <w:p w14:paraId="4E2036F1">
      <w:pPr>
        <w:pStyle w:val="3"/>
        <w:pageBreakBefore w:val="0"/>
        <w:kinsoku/>
        <w:wordWrap/>
        <w:overflowPunct/>
        <w:topLinePunct w:val="0"/>
        <w:autoSpaceDE/>
        <w:autoSpaceDN/>
        <w:bidi w:val="0"/>
        <w:spacing w:before="0" w:after="0" w:line="360" w:lineRule="auto"/>
        <w:ind w:firstLine="210" w:firstLineChars="100"/>
        <w:jc w:val="left"/>
        <w:textAlignment w:val="auto"/>
        <w:rPr>
          <w:rFonts w:hint="eastAsia" w:cs="宋体"/>
          <w:color w:val="auto"/>
          <w:sz w:val="21"/>
          <w:szCs w:val="21"/>
          <w:highlight w:val="none"/>
        </w:rPr>
      </w:pPr>
      <w:r>
        <w:rPr>
          <w:rFonts w:hint="eastAsia" w:cs="宋体"/>
          <w:color w:val="auto"/>
          <w:sz w:val="21"/>
          <w:szCs w:val="21"/>
          <w:highlight w:val="none"/>
        </w:rPr>
        <w:t>（二）资格性、符合性文件</w:t>
      </w:r>
    </w:p>
    <w:p w14:paraId="7A43621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s="宋体"/>
          <w:bCs/>
          <w:color w:val="auto"/>
          <w:szCs w:val="21"/>
          <w:highlight w:val="none"/>
        </w:rPr>
      </w:pPr>
      <w:r>
        <w:rPr>
          <w:rFonts w:hint="eastAsia" w:ascii="宋体" w:hAnsi="宋体" w:cs="宋体"/>
          <w:bCs/>
          <w:color w:val="auto"/>
          <w:szCs w:val="21"/>
          <w:highlight w:val="none"/>
        </w:rPr>
        <w:t>1.</w:t>
      </w:r>
      <w:r>
        <w:rPr>
          <w:rFonts w:hint="eastAsia" w:cs="宋体"/>
          <w:bCs/>
          <w:color w:val="auto"/>
          <w:szCs w:val="21"/>
          <w:highlight w:val="none"/>
        </w:rPr>
        <w:t>投标（报价）函</w:t>
      </w:r>
    </w:p>
    <w:p w14:paraId="74D62A00">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color w:val="auto"/>
          <w:highlight w:val="none"/>
        </w:rPr>
      </w:pPr>
      <w:r>
        <w:rPr>
          <w:rFonts w:hint="eastAsia" w:ascii="宋体" w:hAnsi="宋体" w:cs="宋体"/>
          <w:bCs/>
          <w:color w:val="auto"/>
          <w:szCs w:val="21"/>
          <w:highlight w:val="none"/>
        </w:rPr>
        <w:t>2.资格条件承诺函</w:t>
      </w:r>
    </w:p>
    <w:p w14:paraId="51EA3081">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3.法定代表人证明及授权书</w:t>
      </w:r>
    </w:p>
    <w:p w14:paraId="0E14F313">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1）法定代表人/负责人资格证明书</w:t>
      </w:r>
    </w:p>
    <w:p w14:paraId="14B3C796">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2）法定代表人/负责人授权委托书</w:t>
      </w:r>
    </w:p>
    <w:p w14:paraId="1873019A">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4.“★”（实质性）条款响应表(如有)</w:t>
      </w:r>
    </w:p>
    <w:p w14:paraId="3E95CA73">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ascii="宋体" w:hAnsi="宋体" w:cs="宋体"/>
          <w:bCs/>
          <w:color w:val="auto"/>
          <w:szCs w:val="21"/>
          <w:highlight w:val="none"/>
        </w:rPr>
      </w:pPr>
      <w:r>
        <w:rPr>
          <w:rFonts w:hint="eastAsia" w:ascii="宋体" w:hAnsi="宋体" w:cs="宋体"/>
          <w:bCs/>
          <w:color w:val="auto"/>
          <w:szCs w:val="21"/>
          <w:highlight w:val="none"/>
        </w:rPr>
        <w:t>5.</w:t>
      </w:r>
      <w:r>
        <w:rPr>
          <w:rFonts w:hint="eastAsia" w:ascii="宋体" w:hAnsi="宋体" w:cs="宋体"/>
          <w:bCs/>
          <w:color w:val="auto"/>
          <w:szCs w:val="21"/>
          <w:highlight w:val="none"/>
          <w:lang w:val="en-GB"/>
        </w:rPr>
        <w:t>“</w:t>
      </w:r>
      <w:r>
        <w:rPr>
          <w:rFonts w:hint="eastAsia" w:ascii="宋体" w:hAnsi="宋体" w:cs="宋体"/>
          <w:bCs/>
          <w:color w:val="auto"/>
          <w:szCs w:val="21"/>
          <w:highlight w:val="none"/>
          <w:lang w:val="zh-CN"/>
        </w:rPr>
        <w:t>▲</w:t>
      </w:r>
      <w:r>
        <w:rPr>
          <w:rFonts w:hint="eastAsia" w:ascii="宋体" w:hAnsi="宋体" w:cs="宋体"/>
          <w:bCs/>
          <w:color w:val="auto"/>
          <w:szCs w:val="21"/>
          <w:highlight w:val="none"/>
          <w:lang w:val="en-GB"/>
        </w:rPr>
        <w:t>”</w:t>
      </w:r>
      <w:r>
        <w:rPr>
          <w:rFonts w:hint="eastAsia" w:ascii="宋体" w:hAnsi="宋体" w:cs="宋体"/>
          <w:bCs/>
          <w:color w:val="auto"/>
          <w:szCs w:val="21"/>
          <w:highlight w:val="none"/>
        </w:rPr>
        <w:t>重要条款响应表(如有)</w:t>
      </w:r>
    </w:p>
    <w:p w14:paraId="6D221D1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（三）商务文件（按《商务评分表》评审内容提供相关材料）</w:t>
      </w:r>
    </w:p>
    <w:p w14:paraId="6B937E82">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1.商务</w:t>
      </w:r>
      <w:r>
        <w:rPr>
          <w:rFonts w:hint="eastAsia" w:ascii="宋体" w:hAnsi="宋体" w:cs="宋体"/>
          <w:bCs/>
          <w:color w:val="auto"/>
          <w:szCs w:val="21"/>
          <w:highlight w:val="none"/>
          <w:lang w:val="en-US" w:eastAsia="zh-CN"/>
        </w:rPr>
        <w:t>技术</w:t>
      </w:r>
      <w:r>
        <w:rPr>
          <w:rFonts w:hint="eastAsia" w:ascii="宋体" w:hAnsi="宋体" w:cs="宋体"/>
          <w:bCs/>
          <w:color w:val="auto"/>
          <w:szCs w:val="21"/>
          <w:highlight w:val="none"/>
        </w:rPr>
        <w:t>条款响应表</w:t>
      </w:r>
    </w:p>
    <w:p w14:paraId="10191D6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2.合同条款响应表</w:t>
      </w:r>
    </w:p>
    <w:p w14:paraId="2805CF93">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3.缴纳</w:t>
      </w:r>
      <w:r>
        <w:rPr>
          <w:rFonts w:hint="eastAsia" w:ascii="宋体" w:hAnsi="宋体" w:cs="宋体"/>
          <w:bCs/>
          <w:color w:val="auto"/>
          <w:szCs w:val="21"/>
          <w:highlight w:val="none"/>
          <w:lang w:val="en-US" w:eastAsia="zh-CN"/>
        </w:rPr>
        <w:t>招标</w:t>
      </w:r>
      <w:r>
        <w:rPr>
          <w:rFonts w:hint="eastAsia" w:ascii="宋体" w:hAnsi="宋体" w:cs="宋体"/>
          <w:bCs/>
          <w:color w:val="auto"/>
          <w:szCs w:val="21"/>
          <w:highlight w:val="none"/>
        </w:rPr>
        <w:t>服务费承诺书</w:t>
      </w:r>
    </w:p>
    <w:p w14:paraId="6F1BC84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.同意</w:t>
      </w:r>
      <w:r>
        <w:rPr>
          <w:rFonts w:hint="eastAsia" w:ascii="宋体" w:hAnsi="宋体" w:cs="宋体"/>
          <w:bCs/>
          <w:color w:val="auto"/>
          <w:szCs w:val="21"/>
          <w:highlight w:val="none"/>
          <w:lang w:val="en-US" w:eastAsia="zh-CN"/>
        </w:rPr>
        <w:t>招标</w:t>
      </w:r>
      <w:r>
        <w:rPr>
          <w:rFonts w:hint="eastAsia" w:ascii="宋体" w:hAnsi="宋体" w:cs="宋体"/>
          <w:bCs/>
          <w:color w:val="auto"/>
          <w:szCs w:val="21"/>
          <w:highlight w:val="none"/>
        </w:rPr>
        <w:t>文件条款说明</w:t>
      </w:r>
    </w:p>
    <w:p w14:paraId="7962AFAD">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cs="宋体"/>
          <w:color w:val="auto"/>
          <w:sz w:val="21"/>
          <w:szCs w:val="21"/>
          <w:highlight w:val="none"/>
        </w:rPr>
      </w:pPr>
      <w:r>
        <w:rPr>
          <w:rFonts w:hint="eastAsia" w:ascii="宋体" w:hAnsi="宋体" w:eastAsia="宋体" w:cs="宋体"/>
          <w:b/>
          <w:bCs/>
          <w:color w:val="auto"/>
          <w:sz w:val="21"/>
          <w:szCs w:val="21"/>
          <w:highlight w:val="none"/>
        </w:rPr>
        <w:t>（四）技术文件（按《技术评分表》评审内容提供相关材料）</w:t>
      </w:r>
    </w:p>
    <w:p w14:paraId="4C7E6CEF">
      <w:pPr>
        <w:pStyle w:val="3"/>
        <w:pageBreakBefore w:val="0"/>
        <w:kinsoku/>
        <w:wordWrap/>
        <w:overflowPunct/>
        <w:topLinePunct w:val="0"/>
        <w:autoSpaceDE/>
        <w:autoSpaceDN/>
        <w:bidi w:val="0"/>
        <w:spacing w:before="0" w:after="0" w:line="360" w:lineRule="auto"/>
        <w:ind w:firstLine="211" w:firstLineChars="100"/>
        <w:jc w:val="lef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（五）</w:t>
      </w:r>
      <w:r>
        <w:rPr>
          <w:rFonts w:hint="eastAsia" w:cs="宋体"/>
          <w:b/>
          <w:bCs/>
          <w:color w:val="auto"/>
          <w:sz w:val="21"/>
          <w:szCs w:val="21"/>
          <w:highlight w:val="none"/>
          <w:lang w:val="en-US" w:eastAsia="zh-CN"/>
        </w:rPr>
        <w:t>投标保证金缴纳相关凭证</w:t>
      </w:r>
    </w:p>
    <w:p w14:paraId="07A0C072">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cs="宋体"/>
          <w:b/>
          <w:bCs/>
          <w:color w:val="auto"/>
          <w:sz w:val="21"/>
          <w:szCs w:val="21"/>
          <w:highlight w:val="none"/>
        </w:rPr>
      </w:pPr>
      <w:r>
        <w:rPr>
          <w:rFonts w:hint="eastAsia" w:cs="宋体"/>
          <w:b/>
          <w:bCs/>
          <w:color w:val="auto"/>
          <w:sz w:val="21"/>
          <w:szCs w:val="21"/>
          <w:highlight w:val="none"/>
          <w:lang w:eastAsia="zh-CN"/>
        </w:rPr>
        <w:t>（</w:t>
      </w:r>
      <w:r>
        <w:rPr>
          <w:rFonts w:hint="eastAsia" w:cs="宋体"/>
          <w:b/>
          <w:bCs/>
          <w:color w:val="auto"/>
          <w:sz w:val="21"/>
          <w:szCs w:val="21"/>
          <w:highlight w:val="none"/>
          <w:lang w:val="en-US" w:eastAsia="zh-CN"/>
        </w:rPr>
        <w:t>六</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报价文</w:t>
      </w:r>
      <w:r>
        <w:rPr>
          <w:rFonts w:hint="eastAsia" w:cs="宋体"/>
          <w:b/>
          <w:bCs/>
          <w:color w:val="auto"/>
          <w:sz w:val="21"/>
          <w:szCs w:val="21"/>
          <w:highlight w:val="none"/>
        </w:rPr>
        <w:t>件</w:t>
      </w:r>
    </w:p>
    <w:p w14:paraId="401776EA">
      <w:pPr>
        <w:pStyle w:val="24"/>
        <w:pageBreakBefore w:val="0"/>
        <w:kinsoku/>
        <w:wordWrap/>
        <w:overflowPunct/>
        <w:topLinePunct w:val="0"/>
        <w:autoSpaceDE/>
        <w:autoSpaceDN/>
        <w:bidi w:val="0"/>
        <w:spacing w:line="360" w:lineRule="auto"/>
        <w:ind w:firstLine="420" w:firstLineChars="200"/>
        <w:jc w:val="left"/>
        <w:textAlignment w:val="auto"/>
        <w:rPr>
          <w:rFonts w:hint="eastAsia" w:hAnsi="宋体" w:cs="宋体"/>
          <w:bCs/>
          <w:color w:val="auto"/>
          <w:kern w:val="2"/>
          <w:sz w:val="21"/>
          <w:highlight w:val="none"/>
        </w:rPr>
      </w:pPr>
      <w:r>
        <w:rPr>
          <w:rFonts w:hint="eastAsia" w:hAnsi="宋体" w:cs="宋体"/>
          <w:bCs/>
          <w:color w:val="auto"/>
          <w:kern w:val="2"/>
          <w:sz w:val="21"/>
          <w:highlight w:val="none"/>
        </w:rPr>
        <w:t>1.报价一览表</w:t>
      </w:r>
    </w:p>
    <w:p w14:paraId="1240544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）各类证明材料</w:t>
      </w:r>
    </w:p>
    <w:p w14:paraId="18122A3B">
      <w:pPr>
        <w:pStyle w:val="24"/>
        <w:spacing w:beforeAutospacing="0" w:afterAutospacing="0" w:line="360" w:lineRule="auto"/>
        <w:jc w:val="center"/>
        <w:rPr>
          <w:rFonts w:ascii="宋体" w:hAnsi="宋体" w:eastAsia="宋体" w:cs="宋体"/>
          <w:b/>
          <w:sz w:val="48"/>
          <w:szCs w:val="48"/>
        </w:rPr>
      </w:pPr>
    </w:p>
    <w:p w14:paraId="63118B4A">
      <w:pPr>
        <w:rPr>
          <w:rFonts w:ascii="宋体" w:hAnsi="宋体" w:eastAsia="宋体" w:cs="宋体"/>
          <w:b/>
          <w:sz w:val="48"/>
          <w:szCs w:val="48"/>
        </w:rPr>
      </w:pPr>
    </w:p>
    <w:p w14:paraId="37079668">
      <w:pPr>
        <w:pStyle w:val="46"/>
        <w:rPr>
          <w:rFonts w:ascii="宋体" w:hAnsi="宋体" w:eastAsia="宋体" w:cs="宋体"/>
          <w:b/>
          <w:sz w:val="48"/>
          <w:szCs w:val="48"/>
        </w:rPr>
      </w:pPr>
    </w:p>
    <w:p w14:paraId="535BFFAB">
      <w:pPr>
        <w:pStyle w:val="46"/>
        <w:rPr>
          <w:rFonts w:ascii="宋体" w:hAnsi="宋体" w:eastAsia="宋体" w:cs="宋体"/>
          <w:b/>
          <w:sz w:val="48"/>
          <w:szCs w:val="48"/>
        </w:rPr>
      </w:pPr>
    </w:p>
    <w:p w14:paraId="3C73C486">
      <w:pPr>
        <w:pStyle w:val="46"/>
        <w:rPr>
          <w:rFonts w:ascii="宋体" w:hAnsi="宋体" w:eastAsia="宋体" w:cs="宋体"/>
          <w:b/>
          <w:sz w:val="48"/>
          <w:szCs w:val="48"/>
        </w:rPr>
      </w:pPr>
    </w:p>
    <w:p w14:paraId="13890B36">
      <w:pPr>
        <w:pStyle w:val="46"/>
        <w:rPr>
          <w:rFonts w:ascii="宋体" w:hAnsi="宋体" w:eastAsia="宋体" w:cs="宋体"/>
          <w:b/>
          <w:sz w:val="48"/>
          <w:szCs w:val="48"/>
        </w:rPr>
      </w:pPr>
    </w:p>
    <w:p w14:paraId="3316A7C8">
      <w:pPr>
        <w:pStyle w:val="46"/>
        <w:rPr>
          <w:rFonts w:ascii="宋体" w:hAnsi="宋体" w:eastAsia="宋体" w:cs="宋体"/>
          <w:b/>
          <w:sz w:val="48"/>
          <w:szCs w:val="48"/>
        </w:rPr>
      </w:pPr>
    </w:p>
    <w:p w14:paraId="7FED32BF">
      <w:pPr>
        <w:pStyle w:val="46"/>
        <w:rPr>
          <w:rFonts w:ascii="宋体" w:hAnsi="宋体" w:eastAsia="宋体" w:cs="宋体"/>
          <w:b/>
          <w:sz w:val="48"/>
          <w:szCs w:val="48"/>
        </w:rPr>
      </w:pPr>
    </w:p>
    <w:p w14:paraId="536D82E3">
      <w:pPr>
        <w:pStyle w:val="46"/>
        <w:rPr>
          <w:rFonts w:ascii="宋体" w:hAnsi="宋体" w:eastAsia="宋体" w:cs="宋体"/>
          <w:b/>
          <w:sz w:val="48"/>
          <w:szCs w:val="48"/>
        </w:rPr>
      </w:pPr>
    </w:p>
    <w:p w14:paraId="044BFD4B">
      <w:pPr>
        <w:pStyle w:val="46"/>
        <w:rPr>
          <w:rFonts w:ascii="宋体" w:hAnsi="宋体" w:eastAsia="宋体" w:cs="宋体"/>
          <w:b/>
          <w:sz w:val="48"/>
          <w:szCs w:val="48"/>
        </w:rPr>
      </w:pPr>
    </w:p>
    <w:p w14:paraId="5DDB4A3C">
      <w:pPr>
        <w:pStyle w:val="46"/>
        <w:rPr>
          <w:rFonts w:ascii="宋体" w:hAnsi="宋体" w:eastAsia="宋体" w:cs="宋体"/>
          <w:b/>
          <w:sz w:val="48"/>
          <w:szCs w:val="48"/>
        </w:rPr>
      </w:pPr>
    </w:p>
    <w:p w14:paraId="185BB9E3">
      <w:pPr>
        <w:pStyle w:val="46"/>
        <w:rPr>
          <w:rFonts w:ascii="宋体" w:hAnsi="宋体" w:eastAsia="宋体" w:cs="宋体"/>
          <w:b/>
          <w:sz w:val="48"/>
          <w:szCs w:val="48"/>
        </w:rPr>
      </w:pPr>
    </w:p>
    <w:p w14:paraId="25205A37">
      <w:pPr>
        <w:pStyle w:val="24"/>
        <w:spacing w:beforeAutospacing="0" w:afterAutospacing="0" w:line="360" w:lineRule="auto"/>
        <w:jc w:val="center"/>
        <w:rPr>
          <w:rFonts w:ascii="宋体" w:hAnsi="宋体" w:eastAsia="宋体" w:cs="宋体"/>
          <w:b/>
          <w:sz w:val="48"/>
          <w:szCs w:val="48"/>
        </w:rPr>
      </w:pPr>
      <w:r>
        <w:rPr>
          <w:rFonts w:hint="eastAsia" w:ascii="宋体" w:hAnsi="宋体" w:eastAsia="宋体" w:cs="宋体"/>
          <w:b/>
          <w:sz w:val="48"/>
          <w:szCs w:val="48"/>
        </w:rPr>
        <w:t>【正本/副本】</w:t>
      </w:r>
    </w:p>
    <w:p w14:paraId="182C67DD">
      <w:pPr>
        <w:pStyle w:val="24"/>
        <w:tabs>
          <w:tab w:val="left" w:pos="1260"/>
        </w:tabs>
        <w:spacing w:beforeAutospacing="0" w:afterAutospacing="0" w:line="360" w:lineRule="auto"/>
        <w:jc w:val="center"/>
        <w:rPr>
          <w:rFonts w:ascii="宋体" w:hAnsi="宋体" w:eastAsia="宋体" w:cs="宋体"/>
          <w:b/>
          <w:spacing w:val="100"/>
          <w:sz w:val="48"/>
          <w:szCs w:val="48"/>
        </w:rPr>
      </w:pPr>
    </w:p>
    <w:p w14:paraId="48F5C642">
      <w:pPr>
        <w:pStyle w:val="24"/>
        <w:tabs>
          <w:tab w:val="left" w:pos="1260"/>
        </w:tabs>
        <w:spacing w:beforeAutospacing="0" w:afterAutospacing="0" w:line="360" w:lineRule="auto"/>
        <w:jc w:val="center"/>
        <w:rPr>
          <w:rFonts w:ascii="宋体" w:hAnsi="宋体" w:eastAsia="宋体" w:cs="宋体"/>
          <w:b/>
          <w:spacing w:val="100"/>
          <w:sz w:val="48"/>
          <w:szCs w:val="48"/>
        </w:rPr>
      </w:pPr>
    </w:p>
    <w:p w14:paraId="0061F7A9">
      <w:pPr>
        <w:pStyle w:val="24"/>
        <w:tabs>
          <w:tab w:val="left" w:pos="1260"/>
        </w:tabs>
        <w:spacing w:beforeAutospacing="0" w:afterAutospacing="0" w:line="360" w:lineRule="auto"/>
        <w:jc w:val="center"/>
        <w:rPr>
          <w:rFonts w:ascii="宋体" w:hAnsi="宋体" w:eastAsia="宋体" w:cs="宋体"/>
          <w:b/>
          <w:spacing w:val="100"/>
          <w:sz w:val="48"/>
          <w:szCs w:val="48"/>
        </w:rPr>
      </w:pPr>
    </w:p>
    <w:p w14:paraId="32A64362">
      <w:pPr>
        <w:pStyle w:val="24"/>
        <w:tabs>
          <w:tab w:val="left" w:pos="1260"/>
        </w:tabs>
        <w:spacing w:beforeAutospacing="0" w:afterAutospacing="0" w:line="360" w:lineRule="auto"/>
        <w:rPr>
          <w:rFonts w:ascii="宋体" w:hAnsi="宋体" w:eastAsia="宋体" w:cs="宋体"/>
          <w:b/>
          <w:spacing w:val="100"/>
          <w:sz w:val="48"/>
          <w:szCs w:val="48"/>
        </w:rPr>
      </w:pPr>
    </w:p>
    <w:p w14:paraId="254F1B96">
      <w:pPr>
        <w:pStyle w:val="24"/>
        <w:tabs>
          <w:tab w:val="left" w:pos="1260"/>
        </w:tabs>
        <w:spacing w:beforeAutospacing="0" w:afterAutospacing="0" w:line="360" w:lineRule="auto"/>
        <w:jc w:val="center"/>
        <w:rPr>
          <w:rFonts w:ascii="宋体" w:hAnsi="宋体" w:eastAsia="宋体" w:cs="宋体"/>
          <w:b/>
          <w:spacing w:val="100"/>
          <w:sz w:val="48"/>
          <w:szCs w:val="48"/>
        </w:rPr>
      </w:pPr>
    </w:p>
    <w:p w14:paraId="3DAE160B">
      <w:pPr>
        <w:pStyle w:val="24"/>
        <w:tabs>
          <w:tab w:val="left" w:pos="1260"/>
        </w:tabs>
        <w:spacing w:beforeAutospacing="0" w:afterAutospacing="0" w:line="360" w:lineRule="auto"/>
        <w:jc w:val="center"/>
        <w:rPr>
          <w:rFonts w:ascii="宋体" w:hAnsi="宋体" w:eastAsia="宋体" w:cs="宋体"/>
          <w:b/>
          <w:spacing w:val="100"/>
          <w:sz w:val="84"/>
          <w:szCs w:val="84"/>
        </w:rPr>
      </w:pPr>
      <w:r>
        <w:rPr>
          <w:rFonts w:hint="eastAsia" w:ascii="宋体" w:hAnsi="宋体" w:eastAsia="宋体" w:cs="宋体"/>
          <w:b/>
          <w:spacing w:val="100"/>
          <w:sz w:val="84"/>
          <w:szCs w:val="84"/>
        </w:rPr>
        <w:t>投标文件</w:t>
      </w:r>
    </w:p>
    <w:p w14:paraId="25179006">
      <w:pPr>
        <w:pStyle w:val="24"/>
        <w:spacing w:beforeAutospacing="0" w:afterAutospacing="0" w:line="360" w:lineRule="auto"/>
        <w:jc w:val="center"/>
        <w:rPr>
          <w:rFonts w:ascii="宋体" w:hAnsi="宋体" w:eastAsia="宋体" w:cs="宋体"/>
          <w:b/>
          <w:sz w:val="28"/>
          <w:szCs w:val="28"/>
        </w:rPr>
      </w:pPr>
    </w:p>
    <w:p w14:paraId="19AEEA1B">
      <w:pPr>
        <w:pStyle w:val="24"/>
        <w:spacing w:beforeAutospacing="0" w:afterAutospacing="0" w:line="360" w:lineRule="auto"/>
        <w:jc w:val="center"/>
        <w:rPr>
          <w:rFonts w:ascii="宋体" w:hAnsi="宋体" w:eastAsia="宋体" w:cs="宋体"/>
          <w:b/>
          <w:sz w:val="28"/>
          <w:szCs w:val="28"/>
        </w:rPr>
      </w:pPr>
    </w:p>
    <w:p w14:paraId="679C9866">
      <w:pPr>
        <w:pStyle w:val="24"/>
        <w:spacing w:beforeAutospacing="0" w:afterAutospacing="0" w:line="360" w:lineRule="auto"/>
        <w:ind w:firstLine="1521" w:firstLineChars="541"/>
        <w:rPr>
          <w:rFonts w:ascii="宋体" w:hAnsi="宋体" w:eastAsia="宋体" w:cs="宋体"/>
          <w:b/>
          <w:sz w:val="28"/>
          <w:szCs w:val="28"/>
        </w:rPr>
      </w:pPr>
    </w:p>
    <w:p w14:paraId="081AA636">
      <w:pPr>
        <w:pStyle w:val="24"/>
        <w:spacing w:beforeAutospacing="0" w:afterAutospacing="0" w:line="360" w:lineRule="auto"/>
        <w:ind w:firstLine="1405" w:firstLineChars="500"/>
        <w:outlineLvl w:val="0"/>
        <w:rPr>
          <w:rFonts w:ascii="宋体" w:hAnsi="宋体" w:eastAsia="宋体" w:cs="宋体"/>
          <w:b/>
          <w:sz w:val="28"/>
          <w:szCs w:val="28"/>
        </w:rPr>
      </w:pPr>
      <w:bookmarkStart w:id="213" w:name="_Toc10412"/>
      <w:bookmarkEnd w:id="213"/>
      <w:r>
        <w:rPr>
          <w:rFonts w:hint="eastAsia" w:ascii="宋体" w:hAnsi="宋体" w:eastAsia="宋体" w:cs="宋体"/>
          <w:b/>
          <w:sz w:val="28"/>
          <w:szCs w:val="28"/>
        </w:rPr>
        <w:t>项目编号：</w:t>
      </w:r>
    </w:p>
    <w:p w14:paraId="7D940638">
      <w:pPr>
        <w:pStyle w:val="20"/>
        <w:ind w:left="481" w:leftChars="229" w:firstLine="967" w:firstLineChars="344"/>
        <w:outlineLvl w:val="0"/>
        <w:rPr>
          <w:rFonts w:ascii="宋体" w:hAnsi="宋体" w:eastAsia="宋体" w:cs="宋体"/>
          <w:b/>
          <w:sz w:val="28"/>
          <w:szCs w:val="28"/>
        </w:rPr>
      </w:pPr>
      <w:bookmarkStart w:id="214" w:name="_Toc641"/>
      <w:bookmarkEnd w:id="214"/>
      <w:r>
        <w:rPr>
          <w:rFonts w:hint="eastAsia" w:ascii="宋体" w:hAnsi="宋体" w:eastAsia="宋体" w:cs="宋体"/>
          <w:b/>
          <w:sz w:val="28"/>
          <w:szCs w:val="28"/>
        </w:rPr>
        <w:t>项目名称：</w:t>
      </w:r>
    </w:p>
    <w:p w14:paraId="492357D9">
      <w:pPr>
        <w:pStyle w:val="24"/>
        <w:spacing w:beforeAutospacing="0" w:afterAutospacing="0" w:line="360" w:lineRule="auto"/>
        <w:ind w:firstLine="1405" w:firstLineChars="500"/>
        <w:outlineLvl w:val="0"/>
        <w:rPr>
          <w:rFonts w:ascii="宋体" w:hAnsi="宋体" w:eastAsia="宋体" w:cs="宋体"/>
          <w:b/>
          <w:sz w:val="28"/>
          <w:szCs w:val="28"/>
          <w:u w:val="single"/>
        </w:rPr>
      </w:pPr>
      <w:bookmarkStart w:id="215" w:name="_Toc22056"/>
      <w:bookmarkEnd w:id="215"/>
      <w:r>
        <w:rPr>
          <w:rFonts w:hint="eastAsia" w:ascii="宋体" w:hAnsi="宋体" w:eastAsia="宋体" w:cs="宋体"/>
          <w:b/>
          <w:sz w:val="28"/>
          <w:szCs w:val="28"/>
        </w:rPr>
        <w:t>投标人名称：</w:t>
      </w:r>
    </w:p>
    <w:p w14:paraId="43B29A65">
      <w:pPr>
        <w:pStyle w:val="24"/>
        <w:spacing w:beforeAutospacing="0" w:afterAutospacing="0" w:line="360" w:lineRule="auto"/>
        <w:ind w:firstLine="1405" w:firstLineChars="500"/>
        <w:outlineLvl w:val="0"/>
        <w:rPr>
          <w:rFonts w:ascii="宋体" w:hAnsi="宋体" w:eastAsia="宋体" w:cs="宋体"/>
          <w:b/>
          <w:sz w:val="28"/>
          <w:szCs w:val="28"/>
        </w:rPr>
      </w:pPr>
      <w:bookmarkStart w:id="216" w:name="_Toc4396"/>
      <w:bookmarkEnd w:id="216"/>
      <w:r>
        <w:rPr>
          <w:rFonts w:hint="eastAsia" w:ascii="宋体" w:hAnsi="宋体" w:eastAsia="宋体" w:cs="宋体"/>
          <w:b/>
          <w:sz w:val="28"/>
          <w:szCs w:val="28"/>
        </w:rPr>
        <w:t>日期：202</w:t>
      </w:r>
      <w:r>
        <w:rPr>
          <w:rFonts w:hint="eastAsia" w:hAnsi="宋体" w:cs="宋体"/>
          <w:b/>
          <w:sz w:val="28"/>
          <w:szCs w:val="28"/>
          <w:lang w:val="en-US" w:eastAsia="zh-CN"/>
        </w:rPr>
        <w:t>5</w:t>
      </w:r>
      <w:r>
        <w:rPr>
          <w:rFonts w:hint="eastAsia" w:ascii="宋体" w:hAnsi="宋体" w:eastAsia="宋体" w:cs="宋体"/>
          <w:b/>
          <w:sz w:val="28"/>
          <w:szCs w:val="28"/>
        </w:rPr>
        <w:t>年     月     日</w:t>
      </w:r>
    </w:p>
    <w:p w14:paraId="67A2762C">
      <w:pPr>
        <w:rPr>
          <w:rFonts w:ascii="宋体" w:hAnsi="宋体" w:eastAsia="宋体" w:cs="宋体"/>
          <w:b/>
          <w:sz w:val="24"/>
          <w:szCs w:val="24"/>
        </w:rPr>
      </w:pPr>
      <w:r>
        <w:rPr>
          <w:rFonts w:hint="eastAsia" w:ascii="宋体" w:hAnsi="宋体" w:eastAsia="宋体" w:cs="宋体"/>
          <w:b/>
          <w:sz w:val="24"/>
          <w:szCs w:val="24"/>
        </w:rPr>
        <w:br w:type="page"/>
      </w:r>
    </w:p>
    <w:p w14:paraId="56F9D04F">
      <w:pPr>
        <w:pStyle w:val="3"/>
        <w:numPr>
          <w:ilvl w:val="0"/>
          <w:numId w:val="0"/>
        </w:numPr>
        <w:spacing w:beforeAutospacing="0" w:after="120" w:afterAutospacing="0"/>
        <w:jc w:val="left"/>
        <w:rPr>
          <w:rFonts w:ascii="宋体" w:hAnsi="宋体" w:eastAsia="宋体" w:cs="宋体"/>
          <w:color w:val="auto"/>
        </w:rPr>
      </w:pPr>
      <w:bookmarkStart w:id="217" w:name="_Toc29156"/>
      <w:bookmarkEnd w:id="217"/>
      <w:r>
        <w:rPr>
          <w:rFonts w:hint="eastAsia" w:cs="宋体"/>
          <w:color w:val="auto"/>
          <w:lang w:val="en-US" w:eastAsia="zh-CN"/>
        </w:rPr>
        <w:t>一、</w:t>
      </w:r>
      <w:r>
        <w:rPr>
          <w:rFonts w:hint="eastAsia" w:ascii="宋体" w:hAnsi="宋体" w:eastAsia="宋体" w:cs="宋体"/>
          <w:color w:val="auto"/>
        </w:rPr>
        <w:t>自查表</w:t>
      </w:r>
    </w:p>
    <w:p w14:paraId="143000F6">
      <w:pPr>
        <w:spacing w:beforeAutospacing="0" w:afterAutospacing="0" w:line="360" w:lineRule="auto"/>
        <w:jc w:val="center"/>
        <w:rPr>
          <w:rFonts w:ascii="宋体" w:hAnsi="宋体" w:eastAsia="宋体" w:cs="宋体"/>
          <w:b/>
          <w:sz w:val="28"/>
          <w:szCs w:val="28"/>
        </w:rPr>
      </w:pPr>
      <w:r>
        <w:rPr>
          <w:rFonts w:hint="eastAsia" w:ascii="宋体" w:hAnsi="宋体" w:eastAsia="宋体" w:cs="宋体"/>
          <w:b/>
          <w:sz w:val="28"/>
          <w:szCs w:val="28"/>
        </w:rPr>
        <w:t>1、资格性自查表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5509"/>
        <w:gridCol w:w="1064"/>
        <w:gridCol w:w="1234"/>
      </w:tblGrid>
      <w:tr w14:paraId="5A4C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14" w:type="pct"/>
            <w:noWrap w:val="0"/>
            <w:vAlign w:val="center"/>
          </w:tcPr>
          <w:p w14:paraId="67D1A4B6">
            <w:pPr>
              <w:spacing w:line="360" w:lineRule="exact"/>
              <w:jc w:val="center"/>
              <w:rPr>
                <w:rFonts w:hint="eastAsia" w:ascii="宋体" w:hAnsi="宋体" w:cs="宋体"/>
                <w:b/>
                <w:bCs/>
                <w:color w:val="auto"/>
                <w:szCs w:val="21"/>
              </w:rPr>
            </w:pPr>
            <w:r>
              <w:rPr>
                <w:rFonts w:hint="eastAsia" w:ascii="宋体" w:hAnsi="宋体" w:cs="宋体"/>
                <w:b/>
                <w:bCs/>
                <w:color w:val="auto"/>
                <w:szCs w:val="21"/>
              </w:rPr>
              <w:t>序号</w:t>
            </w:r>
          </w:p>
        </w:tc>
        <w:tc>
          <w:tcPr>
            <w:tcW w:w="3235" w:type="pct"/>
            <w:noWrap w:val="0"/>
            <w:vAlign w:val="center"/>
          </w:tcPr>
          <w:p w14:paraId="109FABBE">
            <w:pPr>
              <w:spacing w:line="360" w:lineRule="exact"/>
              <w:jc w:val="center"/>
              <w:rPr>
                <w:rFonts w:hint="eastAsia" w:ascii="宋体" w:hAnsi="宋体" w:cs="宋体"/>
                <w:b/>
                <w:bCs/>
                <w:color w:val="auto"/>
                <w:szCs w:val="21"/>
              </w:rPr>
            </w:pPr>
            <w:r>
              <w:rPr>
                <w:rFonts w:hint="eastAsia" w:ascii="宋体" w:hAnsi="宋体" w:cs="宋体"/>
                <w:b/>
                <w:bCs/>
                <w:color w:val="auto"/>
                <w:szCs w:val="21"/>
              </w:rPr>
              <w:t>评审内容</w:t>
            </w:r>
          </w:p>
        </w:tc>
        <w:tc>
          <w:tcPr>
            <w:tcW w:w="625" w:type="pct"/>
            <w:noWrap w:val="0"/>
            <w:vAlign w:val="center"/>
          </w:tcPr>
          <w:p w14:paraId="5705DEA1">
            <w:pPr>
              <w:spacing w:line="360" w:lineRule="exact"/>
              <w:jc w:val="center"/>
              <w:rPr>
                <w:rFonts w:hint="eastAsia" w:ascii="宋体" w:hAnsi="宋体" w:cs="宋体"/>
                <w:b/>
                <w:bCs/>
                <w:color w:val="auto"/>
                <w:szCs w:val="21"/>
              </w:rPr>
            </w:pPr>
            <w:r>
              <w:rPr>
                <w:rFonts w:hint="eastAsia" w:ascii="宋体" w:hAnsi="宋体" w:cs="宋体"/>
                <w:b/>
                <w:bCs/>
                <w:color w:val="auto"/>
                <w:szCs w:val="21"/>
              </w:rPr>
              <w:t>自查</w:t>
            </w:r>
          </w:p>
          <w:p w14:paraId="3CD6D94E">
            <w:pPr>
              <w:spacing w:line="360" w:lineRule="exact"/>
              <w:jc w:val="center"/>
              <w:rPr>
                <w:rFonts w:hint="eastAsia" w:ascii="宋体" w:hAnsi="宋体" w:cs="宋体"/>
                <w:b/>
                <w:bCs/>
                <w:color w:val="auto"/>
                <w:szCs w:val="21"/>
              </w:rPr>
            </w:pPr>
            <w:r>
              <w:rPr>
                <w:rFonts w:hint="eastAsia" w:ascii="宋体" w:hAnsi="宋体" w:cs="宋体"/>
                <w:b/>
                <w:bCs/>
                <w:color w:val="auto"/>
                <w:szCs w:val="21"/>
              </w:rPr>
              <w:t>结论</w:t>
            </w:r>
          </w:p>
        </w:tc>
        <w:tc>
          <w:tcPr>
            <w:tcW w:w="724" w:type="pct"/>
            <w:noWrap w:val="0"/>
            <w:vAlign w:val="center"/>
          </w:tcPr>
          <w:p w14:paraId="6C4FCB4C">
            <w:pPr>
              <w:spacing w:line="360" w:lineRule="exact"/>
              <w:jc w:val="center"/>
              <w:rPr>
                <w:rFonts w:hint="eastAsia" w:ascii="宋体" w:hAnsi="宋体" w:cs="宋体"/>
                <w:b/>
                <w:bCs/>
                <w:color w:val="auto"/>
                <w:szCs w:val="21"/>
              </w:rPr>
            </w:pPr>
            <w:r>
              <w:rPr>
                <w:rFonts w:hint="eastAsia" w:ascii="宋体" w:hAnsi="宋体" w:cs="宋体"/>
                <w:b/>
                <w:bCs/>
                <w:color w:val="auto"/>
                <w:szCs w:val="21"/>
              </w:rPr>
              <w:t>证明材料</w:t>
            </w:r>
          </w:p>
        </w:tc>
      </w:tr>
      <w:tr w14:paraId="535D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414" w:type="pct"/>
            <w:noWrap w:val="0"/>
            <w:vAlign w:val="center"/>
          </w:tcPr>
          <w:p w14:paraId="3000FCB5">
            <w:pPr>
              <w:autoSpaceDN w:val="0"/>
              <w:spacing w:line="360" w:lineRule="exact"/>
              <w:jc w:val="center"/>
              <w:rPr>
                <w:rFonts w:hint="eastAsia" w:ascii="宋体" w:hAnsi="宋体" w:cs="宋体"/>
                <w:color w:val="auto"/>
                <w:szCs w:val="21"/>
              </w:rPr>
            </w:pPr>
            <w:r>
              <w:rPr>
                <w:rFonts w:hint="eastAsia" w:ascii="宋体" w:hAnsi="宋体" w:cs="宋体"/>
                <w:color w:val="auto"/>
                <w:szCs w:val="21"/>
              </w:rPr>
              <w:t>1</w:t>
            </w:r>
          </w:p>
        </w:tc>
        <w:tc>
          <w:tcPr>
            <w:tcW w:w="3235" w:type="pct"/>
            <w:noWrap w:val="0"/>
            <w:vAlign w:val="center"/>
          </w:tcPr>
          <w:p w14:paraId="312B44F6">
            <w:pPr>
              <w:pStyle w:val="42"/>
              <w:widowControl/>
              <w:shd w:val="clear" w:color="auto" w:fill="FFFFFF"/>
              <w:spacing w:line="480" w:lineRule="exact"/>
              <w:textAlignment w:val="baseline"/>
              <w:rPr>
                <w:rFonts w:hint="eastAsia" w:ascii="宋体" w:hAnsi="宋体" w:cs="宋体"/>
                <w:b/>
                <w:bCs/>
                <w:color w:val="auto"/>
                <w:sz w:val="21"/>
                <w:szCs w:val="21"/>
              </w:rPr>
            </w:pPr>
            <w:r>
              <w:rPr>
                <w:rFonts w:hint="eastAsia" w:ascii="宋体" w:hAnsi="宋体" w:cs="宋体"/>
                <w:b/>
                <w:bCs/>
                <w:color w:val="auto"/>
                <w:sz w:val="21"/>
                <w:szCs w:val="21"/>
                <w:lang w:val="en-US" w:eastAsia="zh-CN"/>
              </w:rPr>
              <w:t>投标人</w:t>
            </w:r>
            <w:r>
              <w:rPr>
                <w:rFonts w:hint="eastAsia" w:ascii="宋体" w:hAnsi="宋体" w:cs="宋体"/>
                <w:b/>
                <w:bCs/>
                <w:color w:val="auto"/>
                <w:sz w:val="21"/>
                <w:szCs w:val="21"/>
              </w:rPr>
              <w:t>应具备</w:t>
            </w:r>
            <w:r>
              <w:rPr>
                <w:rFonts w:hint="eastAsia" w:ascii="宋体" w:hAnsi="宋体" w:cs="宋体"/>
                <w:b/>
                <w:bCs/>
                <w:color w:val="auto"/>
                <w:sz w:val="21"/>
                <w:szCs w:val="21"/>
                <w:lang w:val="en-US" w:eastAsia="zh-CN"/>
              </w:rPr>
              <w:t>以下要求并</w:t>
            </w:r>
            <w:r>
              <w:rPr>
                <w:rFonts w:hint="eastAsia" w:ascii="宋体" w:hAnsi="宋体" w:cs="宋体"/>
                <w:b/>
                <w:bCs/>
                <w:color w:val="auto"/>
                <w:sz w:val="21"/>
                <w:szCs w:val="21"/>
              </w:rPr>
              <w:t>提供下列材料：</w:t>
            </w:r>
          </w:p>
          <w:p w14:paraId="25095535">
            <w:pPr>
              <w:pStyle w:val="42"/>
              <w:widowControl/>
              <w:shd w:val="clear" w:color="auto" w:fill="FFFFFF"/>
              <w:spacing w:line="480" w:lineRule="exact"/>
              <w:ind w:firstLine="482"/>
              <w:textAlignment w:val="baseline"/>
              <w:rPr>
                <w:rFonts w:hint="eastAsia" w:ascii="宋体" w:hAnsi="宋体" w:cs="宋体"/>
                <w:color w:val="auto"/>
                <w:sz w:val="21"/>
                <w:szCs w:val="21"/>
              </w:rPr>
            </w:pPr>
            <w:r>
              <w:rPr>
                <w:rFonts w:hint="eastAsia" w:ascii="宋体" w:hAnsi="宋体" w:cs="宋体"/>
                <w:color w:val="auto"/>
                <w:sz w:val="21"/>
                <w:szCs w:val="21"/>
              </w:rPr>
              <w:t>（1）具有独立承担民事责任的能力：在中华人民共和国境内注册的法人或其他组织或自然人，</w:t>
            </w:r>
            <w:r>
              <w:rPr>
                <w:rFonts w:hint="eastAsia" w:ascii="宋体" w:hAnsi="宋体" w:cs="宋体"/>
                <w:color w:val="auto"/>
                <w:sz w:val="21"/>
                <w:szCs w:val="21"/>
                <w:lang w:val="en-US" w:eastAsia="zh-CN"/>
              </w:rPr>
              <w:t>投标</w:t>
            </w:r>
            <w:r>
              <w:rPr>
                <w:rFonts w:hint="eastAsia" w:ascii="宋体" w:hAnsi="宋体" w:cs="宋体"/>
                <w:color w:val="auto"/>
                <w:sz w:val="21"/>
                <w:szCs w:val="21"/>
              </w:rPr>
              <w:t>时提交有效的营业执照（或事业法人登记证或身份证等相关证明）副本复印件。分支机构投标的，须提供总公司和分公司营业执照副本复印件，总公司出具给分支机构的授权书。</w:t>
            </w:r>
          </w:p>
          <w:p w14:paraId="561B4081">
            <w:pPr>
              <w:spacing w:line="360" w:lineRule="auto"/>
              <w:ind w:firstLine="420" w:firstLineChars="200"/>
              <w:rPr>
                <w:rFonts w:hint="eastAsia" w:ascii="宋体" w:hAnsi="宋体" w:cs="宋体"/>
                <w:color w:val="auto"/>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b w:val="0"/>
                <w:i w:val="0"/>
                <w:caps w:val="0"/>
                <w:spacing w:val="0"/>
                <w:w w:val="100"/>
                <w:sz w:val="21"/>
                <w:szCs w:val="21"/>
                <w:lang w:eastAsia="zh-CN"/>
              </w:rPr>
              <w:t>参加</w:t>
            </w:r>
            <w:r>
              <w:rPr>
                <w:rFonts w:hint="eastAsia" w:ascii="宋体" w:hAnsi="宋体" w:cs="宋体"/>
                <w:b w:val="0"/>
                <w:i w:val="0"/>
                <w:caps w:val="0"/>
                <w:spacing w:val="0"/>
                <w:w w:val="100"/>
                <w:sz w:val="21"/>
                <w:szCs w:val="21"/>
                <w:lang w:val="en-US" w:eastAsia="zh-CN"/>
              </w:rPr>
              <w:t>投标</w:t>
            </w:r>
            <w:r>
              <w:rPr>
                <w:rFonts w:hint="eastAsia" w:ascii="宋体" w:hAnsi="宋体" w:eastAsia="宋体" w:cs="宋体"/>
                <w:b w:val="0"/>
                <w:i w:val="0"/>
                <w:caps w:val="0"/>
                <w:spacing w:val="0"/>
                <w:w w:val="100"/>
                <w:sz w:val="21"/>
                <w:szCs w:val="21"/>
                <w:lang w:eastAsia="zh-CN"/>
              </w:rPr>
              <w:t>活动前3年内，在经营活动中没有重大违法记录：</w:t>
            </w:r>
            <w:r>
              <w:rPr>
                <w:rFonts w:hint="eastAsia" w:ascii="宋体" w:hAnsi="宋体" w:eastAsia="宋体" w:cs="宋体"/>
                <w:color w:val="auto"/>
                <w:sz w:val="21"/>
                <w:szCs w:val="21"/>
                <w:highlight w:val="none"/>
                <w:lang w:val="en-US" w:eastAsia="zh-CN"/>
              </w:rPr>
              <w:t>提供《资格条件承诺函》</w:t>
            </w:r>
            <w:r>
              <w:rPr>
                <w:rFonts w:hint="eastAsia" w:ascii="宋体" w:hAnsi="宋体" w:eastAsia="宋体" w:cs="宋体"/>
                <w:b w:val="0"/>
                <w:i w:val="0"/>
                <w:caps w:val="0"/>
                <w:spacing w:val="0"/>
                <w:w w:val="100"/>
                <w:sz w:val="21"/>
                <w:szCs w:val="21"/>
                <w:lang w:eastAsia="zh-CN"/>
              </w:rPr>
              <w:t>。 重大违法记录，是指</w:t>
            </w:r>
            <w:r>
              <w:rPr>
                <w:rFonts w:hint="eastAsia" w:ascii="宋体" w:hAnsi="宋体" w:cs="宋体"/>
                <w:b w:val="0"/>
                <w:i w:val="0"/>
                <w:caps w:val="0"/>
                <w:spacing w:val="0"/>
                <w:w w:val="100"/>
                <w:sz w:val="21"/>
                <w:szCs w:val="21"/>
                <w:lang w:eastAsia="zh-CN"/>
              </w:rPr>
              <w:t>投标人</w:t>
            </w:r>
            <w:r>
              <w:rPr>
                <w:rFonts w:hint="eastAsia" w:ascii="宋体" w:hAnsi="宋体" w:eastAsia="宋体" w:cs="宋体"/>
                <w:b w:val="0"/>
                <w:i w:val="0"/>
                <w:caps w:val="0"/>
                <w:spacing w:val="0"/>
                <w:w w:val="100"/>
                <w:sz w:val="21"/>
                <w:szCs w:val="21"/>
                <w:lang w:eastAsia="zh-CN"/>
              </w:rPr>
              <w:t>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tc>
        <w:tc>
          <w:tcPr>
            <w:tcW w:w="625" w:type="pct"/>
            <w:noWrap w:val="0"/>
            <w:vAlign w:val="center"/>
          </w:tcPr>
          <w:p w14:paraId="02B2B0D7">
            <w:pPr>
              <w:spacing w:line="360" w:lineRule="exact"/>
              <w:jc w:val="left"/>
              <w:rPr>
                <w:rFonts w:hint="eastAsia" w:ascii="宋体" w:hAnsi="宋体" w:cs="宋体"/>
                <w:color w:val="auto"/>
                <w:szCs w:val="21"/>
              </w:rPr>
            </w:pPr>
            <w:r>
              <w:rPr>
                <w:rFonts w:hint="eastAsia" w:ascii="宋体" w:hAnsi="宋体" w:cs="宋体"/>
                <w:color w:val="auto"/>
                <w:szCs w:val="21"/>
              </w:rPr>
              <w:t>□通过     □不通过</w:t>
            </w:r>
          </w:p>
        </w:tc>
        <w:tc>
          <w:tcPr>
            <w:tcW w:w="724" w:type="pct"/>
            <w:noWrap w:val="0"/>
            <w:vAlign w:val="center"/>
          </w:tcPr>
          <w:p w14:paraId="319C879B">
            <w:pPr>
              <w:spacing w:line="360" w:lineRule="exact"/>
              <w:rPr>
                <w:rFonts w:hint="eastAsia" w:ascii="宋体" w:hAnsi="宋体" w:cs="宋体"/>
                <w:color w:val="auto"/>
                <w:szCs w:val="21"/>
              </w:rPr>
            </w:pPr>
            <w:r>
              <w:rPr>
                <w:rFonts w:hint="eastAsia" w:ascii="宋体" w:hAnsi="宋体" w:cs="宋体"/>
                <w:color w:val="auto"/>
                <w:szCs w:val="21"/>
              </w:rPr>
              <w:t>见</w:t>
            </w:r>
            <w:r>
              <w:rPr>
                <w:rFonts w:hint="eastAsia" w:ascii="宋体" w:hAnsi="宋体" w:cs="宋体"/>
                <w:color w:val="auto"/>
                <w:szCs w:val="21"/>
                <w:lang w:val="en-US" w:eastAsia="zh-CN"/>
              </w:rPr>
              <w:t>投标</w:t>
            </w:r>
            <w:r>
              <w:rPr>
                <w:rFonts w:hint="eastAsia" w:ascii="宋体" w:hAnsi="宋体" w:cs="宋体"/>
                <w:color w:val="auto"/>
                <w:szCs w:val="21"/>
                <w:lang w:eastAsia="zh-CN"/>
              </w:rPr>
              <w:t>文</w:t>
            </w:r>
            <w:r>
              <w:rPr>
                <w:rFonts w:hint="eastAsia" w:ascii="宋体" w:hAnsi="宋体" w:cs="宋体"/>
                <w:color w:val="auto"/>
                <w:szCs w:val="21"/>
              </w:rPr>
              <w:t>第</w:t>
            </w:r>
            <w:r>
              <w:rPr>
                <w:rFonts w:hint="eastAsia" w:ascii="宋体" w:hAnsi="宋体" w:cs="宋体"/>
                <w:color w:val="auto"/>
                <w:szCs w:val="21"/>
                <w:u w:val="single"/>
              </w:rPr>
              <w:t xml:space="preserve">    </w:t>
            </w:r>
            <w:r>
              <w:rPr>
                <w:rFonts w:hint="eastAsia" w:ascii="宋体" w:hAnsi="宋体" w:cs="宋体"/>
                <w:color w:val="auto"/>
                <w:szCs w:val="21"/>
              </w:rPr>
              <w:t>页</w:t>
            </w:r>
          </w:p>
        </w:tc>
      </w:tr>
      <w:tr w14:paraId="624F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188DC1E5">
            <w:pPr>
              <w:spacing w:line="360" w:lineRule="exact"/>
              <w:jc w:val="center"/>
              <w:rPr>
                <w:rFonts w:hint="eastAsia" w:ascii="宋体" w:hAnsi="宋体" w:cs="宋体"/>
                <w:color w:val="auto"/>
                <w:szCs w:val="21"/>
              </w:rPr>
            </w:pPr>
            <w:r>
              <w:rPr>
                <w:rFonts w:hint="eastAsia" w:ascii="宋体" w:hAnsi="宋体" w:cs="宋体"/>
                <w:color w:val="auto"/>
                <w:szCs w:val="21"/>
              </w:rPr>
              <w:t>2</w:t>
            </w:r>
          </w:p>
        </w:tc>
        <w:tc>
          <w:tcPr>
            <w:tcW w:w="3235" w:type="pct"/>
            <w:noWrap w:val="0"/>
            <w:vAlign w:val="center"/>
          </w:tcPr>
          <w:p w14:paraId="30B1BECF">
            <w:pPr>
              <w:pStyle w:val="42"/>
              <w:widowControl/>
              <w:shd w:val="clear" w:color="auto" w:fill="FFFFFF"/>
              <w:spacing w:line="480" w:lineRule="exact"/>
              <w:textAlignment w:val="baseline"/>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本项目的特定资格要求：</w:t>
            </w:r>
          </w:p>
          <w:p w14:paraId="0555236C">
            <w:pPr>
              <w:pStyle w:val="42"/>
              <w:widowControl/>
              <w:shd w:val="clear" w:color="auto" w:fill="FFFFFF"/>
              <w:spacing w:line="480" w:lineRule="exact"/>
              <w:ind w:firstLine="420" w:firstLineChars="200"/>
              <w:textAlignment w:val="baseline"/>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b w:val="0"/>
                <w:i w:val="0"/>
                <w:caps w:val="0"/>
                <w:spacing w:val="0"/>
                <w:w w:val="100"/>
                <w:sz w:val="21"/>
                <w:szCs w:val="21"/>
                <w:lang w:val="en-US" w:eastAsia="zh-CN"/>
              </w:rPr>
              <w:t>投标人</w:t>
            </w:r>
            <w:r>
              <w:rPr>
                <w:rFonts w:hint="eastAsia" w:ascii="宋体" w:hAnsi="宋体" w:eastAsia="宋体" w:cs="宋体"/>
                <w:b w:val="0"/>
                <w:i w:val="0"/>
                <w:caps w:val="0"/>
                <w:spacing w:val="0"/>
                <w:w w:val="100"/>
                <w:sz w:val="21"/>
                <w:szCs w:val="21"/>
                <w:lang w:eastAsia="zh-CN"/>
              </w:rPr>
              <w:t>未被列入“信用中国”网站(www.creditchina.gov.cn)“失信被执行人或重大税收违法失信主体”记录名单。（以资格审查人员于投标（响应）截止时间当天在“信用中国”网站（www.creditchina.gov.cn）查询结果为准，如相关失信记录已失效，</w:t>
            </w:r>
            <w:r>
              <w:rPr>
                <w:rFonts w:hint="eastAsia" w:ascii="宋体" w:hAnsi="宋体" w:cs="宋体"/>
                <w:b w:val="0"/>
                <w:i w:val="0"/>
                <w:caps w:val="0"/>
                <w:spacing w:val="0"/>
                <w:w w:val="100"/>
                <w:sz w:val="21"/>
                <w:szCs w:val="21"/>
                <w:lang w:val="en-US" w:eastAsia="zh-CN"/>
              </w:rPr>
              <w:t>投标人</w:t>
            </w:r>
            <w:r>
              <w:rPr>
                <w:rFonts w:hint="eastAsia" w:ascii="宋体" w:hAnsi="宋体" w:eastAsia="宋体" w:cs="宋体"/>
                <w:b w:val="0"/>
                <w:i w:val="0"/>
                <w:caps w:val="0"/>
                <w:spacing w:val="0"/>
                <w:w w:val="100"/>
                <w:sz w:val="21"/>
                <w:szCs w:val="21"/>
                <w:lang w:eastAsia="zh-CN"/>
              </w:rPr>
              <w:t>需提供相关证明资料）。</w:t>
            </w:r>
          </w:p>
          <w:p w14:paraId="571CB637">
            <w:pPr>
              <w:pStyle w:val="42"/>
              <w:widowControl/>
              <w:shd w:val="clear" w:color="auto" w:fill="FFFFFF"/>
              <w:spacing w:line="480" w:lineRule="exact"/>
              <w:ind w:firstLine="420" w:firstLineChars="200"/>
              <w:textAlignment w:val="baseline"/>
              <w:rPr>
                <w:rFonts w:hint="eastAsia" w:ascii="宋体" w:hAnsi="宋体" w:eastAsia="宋体" w:cs="宋体"/>
                <w:color w:val="auto"/>
                <w:szCs w:val="21"/>
                <w:lang w:eastAsia="zh-CN"/>
              </w:rPr>
            </w:pPr>
            <w:r>
              <w:rPr>
                <w:rFonts w:hint="eastAsia" w:ascii="宋体" w:hAnsi="宋体" w:cs="宋体"/>
                <w:color w:val="auto"/>
                <w:sz w:val="21"/>
                <w:szCs w:val="21"/>
              </w:rPr>
              <w:t>（2）</w:t>
            </w:r>
            <w:r>
              <w:rPr>
                <w:rFonts w:hint="eastAsia" w:ascii="宋体" w:hAnsi="宋体" w:cs="宋体"/>
                <w:color w:val="auto"/>
                <w:sz w:val="21"/>
                <w:szCs w:val="21"/>
                <w:lang w:val="en-US" w:eastAsia="zh-CN"/>
              </w:rPr>
              <w:t>投标人</w:t>
            </w:r>
            <w:r>
              <w:rPr>
                <w:rFonts w:hint="eastAsia" w:ascii="宋体" w:hAnsi="宋体" w:cs="宋体"/>
                <w:color w:val="auto"/>
                <w:sz w:val="21"/>
                <w:szCs w:val="21"/>
              </w:rPr>
              <w:t>必须符合法律、行政法规规定的其他条件：单位负责人为同一人或者存在直接控股、管理关系的不同</w:t>
            </w:r>
            <w:r>
              <w:rPr>
                <w:rFonts w:hint="eastAsia" w:ascii="宋体" w:hAnsi="宋体" w:cs="宋体"/>
                <w:color w:val="auto"/>
                <w:sz w:val="21"/>
                <w:szCs w:val="21"/>
                <w:lang w:eastAsia="zh-CN"/>
              </w:rPr>
              <w:t>投标人</w:t>
            </w:r>
            <w:r>
              <w:rPr>
                <w:rFonts w:hint="eastAsia" w:ascii="宋体" w:hAnsi="宋体" w:cs="宋体"/>
                <w:color w:val="auto"/>
                <w:sz w:val="21"/>
                <w:szCs w:val="21"/>
              </w:rPr>
              <w:t>，不得同时参加本采购项目（或采购包）投标（响应）。 为本项目提供整体设计、规范编制或者项目管理、监理、检测等服务的</w:t>
            </w:r>
            <w:r>
              <w:rPr>
                <w:rFonts w:hint="eastAsia" w:ascii="宋体" w:hAnsi="宋体" w:cs="宋体"/>
                <w:color w:val="auto"/>
                <w:sz w:val="21"/>
                <w:szCs w:val="21"/>
                <w:lang w:eastAsia="zh-CN"/>
              </w:rPr>
              <w:t>投标人</w:t>
            </w:r>
            <w:r>
              <w:rPr>
                <w:rFonts w:hint="eastAsia" w:ascii="宋体" w:hAnsi="宋体" w:cs="宋体"/>
                <w:color w:val="auto"/>
                <w:sz w:val="21"/>
                <w:szCs w:val="21"/>
              </w:rPr>
              <w:t>，不得再参与本项目投标（响应）。</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投标（报价）函</w:t>
            </w:r>
            <w:r>
              <w:rPr>
                <w:rFonts w:hint="eastAsia" w:ascii="宋体" w:hAnsi="宋体" w:eastAsia="宋体" w:cs="宋体"/>
                <w:color w:val="auto"/>
                <w:sz w:val="21"/>
                <w:szCs w:val="21"/>
              </w:rPr>
              <w:t>相关承诺要求内</w:t>
            </w:r>
            <w:r>
              <w:rPr>
                <w:rFonts w:hint="eastAsia" w:ascii="宋体" w:hAnsi="宋体" w:cs="宋体"/>
                <w:color w:val="auto"/>
                <w:sz w:val="21"/>
                <w:szCs w:val="21"/>
              </w:rPr>
              <w:t>容。</w:t>
            </w:r>
          </w:p>
        </w:tc>
        <w:tc>
          <w:tcPr>
            <w:tcW w:w="625" w:type="pct"/>
            <w:noWrap w:val="0"/>
            <w:vAlign w:val="center"/>
          </w:tcPr>
          <w:p w14:paraId="1189D658">
            <w:pPr>
              <w:spacing w:line="360" w:lineRule="exact"/>
              <w:jc w:val="left"/>
              <w:rPr>
                <w:rFonts w:hint="eastAsia" w:ascii="宋体" w:hAnsi="宋体" w:cs="宋体"/>
                <w:color w:val="auto"/>
                <w:szCs w:val="21"/>
              </w:rPr>
            </w:pPr>
            <w:r>
              <w:rPr>
                <w:rFonts w:hint="eastAsia" w:ascii="宋体" w:hAnsi="宋体" w:cs="宋体"/>
                <w:color w:val="auto"/>
                <w:szCs w:val="21"/>
              </w:rPr>
              <w:t>□通过     □不通过</w:t>
            </w:r>
          </w:p>
        </w:tc>
        <w:tc>
          <w:tcPr>
            <w:tcW w:w="724" w:type="pct"/>
            <w:noWrap w:val="0"/>
            <w:vAlign w:val="center"/>
          </w:tcPr>
          <w:p w14:paraId="5EBF126D">
            <w:pPr>
              <w:spacing w:line="360" w:lineRule="exact"/>
              <w:rPr>
                <w:rFonts w:hint="eastAsia" w:ascii="宋体" w:hAnsi="宋体" w:cs="宋体"/>
                <w:color w:val="auto"/>
                <w:szCs w:val="21"/>
              </w:rPr>
            </w:pPr>
            <w:r>
              <w:rPr>
                <w:rFonts w:hint="eastAsia" w:ascii="宋体" w:hAnsi="宋体" w:cs="宋体"/>
                <w:color w:val="auto"/>
                <w:szCs w:val="21"/>
              </w:rPr>
              <w:t>见</w:t>
            </w:r>
            <w:r>
              <w:rPr>
                <w:rFonts w:hint="eastAsia" w:ascii="宋体" w:hAnsi="宋体" w:cs="宋体"/>
                <w:color w:val="auto"/>
                <w:szCs w:val="21"/>
                <w:lang w:val="en-US" w:eastAsia="zh-CN"/>
              </w:rPr>
              <w:t>投标</w:t>
            </w:r>
            <w:r>
              <w:rPr>
                <w:rFonts w:hint="eastAsia" w:ascii="宋体" w:hAnsi="宋体" w:cs="宋体"/>
                <w:color w:val="auto"/>
                <w:szCs w:val="21"/>
                <w:lang w:eastAsia="zh-CN"/>
              </w:rPr>
              <w:t>文</w:t>
            </w:r>
            <w:r>
              <w:rPr>
                <w:rFonts w:hint="eastAsia" w:ascii="宋体" w:hAnsi="宋体" w:cs="宋体"/>
                <w:color w:val="auto"/>
                <w:szCs w:val="21"/>
              </w:rPr>
              <w:t>第</w:t>
            </w:r>
            <w:r>
              <w:rPr>
                <w:rFonts w:hint="eastAsia" w:ascii="宋体" w:hAnsi="宋体" w:cs="宋体"/>
                <w:color w:val="auto"/>
                <w:szCs w:val="21"/>
                <w:u w:val="single"/>
              </w:rPr>
              <w:t xml:space="preserve">     </w:t>
            </w:r>
            <w:r>
              <w:rPr>
                <w:rFonts w:hint="eastAsia" w:ascii="宋体" w:hAnsi="宋体" w:cs="宋体"/>
                <w:color w:val="auto"/>
                <w:szCs w:val="21"/>
              </w:rPr>
              <w:t>页</w:t>
            </w:r>
          </w:p>
        </w:tc>
      </w:tr>
    </w:tbl>
    <w:p w14:paraId="14418014">
      <w:pPr>
        <w:spacing w:beforeAutospacing="0" w:afterAutospacing="0" w:line="360" w:lineRule="auto"/>
        <w:jc w:val="center"/>
        <w:rPr>
          <w:rFonts w:ascii="宋体" w:hAnsi="宋体" w:eastAsia="宋体" w:cs="宋体"/>
          <w:b/>
          <w:sz w:val="28"/>
          <w:szCs w:val="28"/>
        </w:rPr>
      </w:pPr>
      <w:r>
        <w:rPr>
          <w:rFonts w:hint="eastAsia" w:ascii="宋体" w:hAnsi="宋体" w:eastAsia="宋体" w:cs="宋体"/>
          <w:b/>
          <w:sz w:val="28"/>
          <w:szCs w:val="28"/>
        </w:rPr>
        <w:t>2、符合性自查表</w:t>
      </w:r>
    </w:p>
    <w:tbl>
      <w:tblPr>
        <w:tblStyle w:val="47"/>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5497"/>
        <w:gridCol w:w="1161"/>
        <w:gridCol w:w="1212"/>
      </w:tblGrid>
      <w:tr w14:paraId="7C2B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307E7698">
            <w:pPr>
              <w:spacing w:beforeAutospacing="0" w:afterAutospacing="0" w:line="380" w:lineRule="exact"/>
              <w:jc w:val="center"/>
              <w:rPr>
                <w:rFonts w:ascii="宋体" w:hAnsi="宋体" w:eastAsia="宋体" w:cs="宋体"/>
                <w:b/>
                <w:bCs/>
                <w:szCs w:val="21"/>
              </w:rPr>
            </w:pPr>
            <w:r>
              <w:rPr>
                <w:rFonts w:hint="eastAsia" w:ascii="宋体" w:hAnsi="宋体" w:eastAsia="宋体" w:cs="宋体"/>
                <w:b/>
                <w:bCs/>
                <w:szCs w:val="21"/>
              </w:rPr>
              <w:t>序号</w:t>
            </w:r>
          </w:p>
        </w:tc>
        <w:tc>
          <w:tcPr>
            <w:tcW w:w="3228" w:type="pct"/>
            <w:vAlign w:val="center"/>
          </w:tcPr>
          <w:p w14:paraId="63E66498">
            <w:pPr>
              <w:spacing w:beforeAutospacing="0" w:afterAutospacing="0" w:line="380" w:lineRule="exact"/>
              <w:jc w:val="center"/>
              <w:rPr>
                <w:rFonts w:ascii="宋体" w:hAnsi="宋体" w:eastAsia="宋体" w:cs="宋体"/>
                <w:b/>
                <w:bCs/>
                <w:szCs w:val="21"/>
              </w:rPr>
            </w:pPr>
            <w:r>
              <w:rPr>
                <w:rFonts w:hint="eastAsia" w:ascii="宋体" w:hAnsi="宋体" w:eastAsia="宋体" w:cs="宋体"/>
                <w:b/>
                <w:bCs/>
                <w:szCs w:val="21"/>
              </w:rPr>
              <w:t>评审内容</w:t>
            </w:r>
          </w:p>
        </w:tc>
        <w:tc>
          <w:tcPr>
            <w:tcW w:w="682" w:type="pct"/>
            <w:vAlign w:val="center"/>
          </w:tcPr>
          <w:p w14:paraId="6F05EA78">
            <w:pPr>
              <w:spacing w:beforeAutospacing="0" w:afterAutospacing="0" w:line="380" w:lineRule="exact"/>
              <w:jc w:val="center"/>
              <w:rPr>
                <w:rFonts w:ascii="宋体" w:hAnsi="宋体" w:eastAsia="宋体" w:cs="宋体"/>
                <w:b/>
                <w:bCs/>
                <w:szCs w:val="21"/>
              </w:rPr>
            </w:pPr>
            <w:r>
              <w:rPr>
                <w:rFonts w:hint="eastAsia" w:ascii="宋体" w:hAnsi="宋体" w:eastAsia="宋体" w:cs="宋体"/>
                <w:b/>
                <w:bCs/>
                <w:szCs w:val="21"/>
              </w:rPr>
              <w:t>自查结论</w:t>
            </w:r>
          </w:p>
        </w:tc>
        <w:tc>
          <w:tcPr>
            <w:tcW w:w="711" w:type="pct"/>
            <w:vAlign w:val="center"/>
          </w:tcPr>
          <w:p w14:paraId="12922651">
            <w:pPr>
              <w:spacing w:beforeAutospacing="0" w:afterAutospacing="0" w:line="380" w:lineRule="exact"/>
              <w:jc w:val="center"/>
              <w:rPr>
                <w:rFonts w:ascii="宋体" w:hAnsi="宋体" w:eastAsia="宋体" w:cs="宋体"/>
                <w:b/>
                <w:bCs/>
                <w:szCs w:val="21"/>
              </w:rPr>
            </w:pPr>
            <w:r>
              <w:rPr>
                <w:rFonts w:hint="eastAsia" w:ascii="宋体" w:hAnsi="宋体" w:eastAsia="宋体" w:cs="宋体"/>
                <w:b/>
                <w:bCs/>
                <w:szCs w:val="21"/>
              </w:rPr>
              <w:t>证明材料</w:t>
            </w:r>
          </w:p>
        </w:tc>
      </w:tr>
      <w:tr w14:paraId="76B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77" w:type="pct"/>
            <w:vAlign w:val="center"/>
          </w:tcPr>
          <w:p w14:paraId="311C730F">
            <w:pPr>
              <w:spacing w:beforeAutospacing="0" w:afterAutospacing="0" w:line="380" w:lineRule="exact"/>
              <w:jc w:val="center"/>
              <w:rPr>
                <w:rFonts w:ascii="宋体" w:hAnsi="宋体" w:eastAsia="宋体" w:cs="宋体"/>
                <w:szCs w:val="21"/>
              </w:rPr>
            </w:pPr>
            <w:r>
              <w:rPr>
                <w:rFonts w:hint="eastAsia" w:ascii="宋体" w:hAnsi="宋体" w:eastAsia="宋体" w:cs="宋体"/>
                <w:szCs w:val="21"/>
              </w:rPr>
              <w:t>1</w:t>
            </w:r>
          </w:p>
        </w:tc>
        <w:tc>
          <w:tcPr>
            <w:tcW w:w="3228" w:type="pct"/>
            <w:vAlign w:val="center"/>
          </w:tcPr>
          <w:p w14:paraId="041BE782">
            <w:pPr>
              <w:rPr>
                <w:rFonts w:ascii="宋体" w:hAnsi="宋体" w:eastAsia="宋体" w:cs="宋体"/>
                <w:szCs w:val="21"/>
              </w:rPr>
            </w:pP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p>
        </w:tc>
        <w:tc>
          <w:tcPr>
            <w:tcW w:w="682" w:type="pct"/>
            <w:vAlign w:val="center"/>
          </w:tcPr>
          <w:p w14:paraId="7B97C81C">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36FF507B">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6D30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013C49F1">
            <w:pPr>
              <w:spacing w:beforeAutospacing="0" w:afterAutospacing="0" w:line="380" w:lineRule="exact"/>
              <w:jc w:val="center"/>
              <w:rPr>
                <w:rFonts w:hint="default" w:ascii="宋体" w:hAnsi="宋体" w:cs="宋体"/>
                <w:szCs w:val="21"/>
                <w:lang w:val="en-US" w:eastAsia="zh-CN"/>
              </w:rPr>
            </w:pPr>
            <w:r>
              <w:rPr>
                <w:rFonts w:hint="eastAsia" w:ascii="宋体" w:hAnsi="宋体" w:cs="宋体"/>
                <w:szCs w:val="21"/>
                <w:lang w:val="en-US" w:eastAsia="zh-CN"/>
              </w:rPr>
              <w:t>2</w:t>
            </w:r>
          </w:p>
        </w:tc>
        <w:tc>
          <w:tcPr>
            <w:tcW w:w="3228" w:type="pct"/>
            <w:vAlign w:val="center"/>
          </w:tcPr>
          <w:p w14:paraId="7F0F5D63">
            <w:pPr>
              <w:rPr>
                <w:color w:val="auto"/>
                <w:sz w:val="21"/>
                <w:szCs w:val="21"/>
              </w:rPr>
            </w:pPr>
            <w:r>
              <w:rPr>
                <w:spacing w:val="-2"/>
                <w:szCs w:val="21"/>
              </w:rPr>
              <w:t>投标报价唯一，不高于</w:t>
            </w:r>
            <w:r>
              <w:rPr>
                <w:rFonts w:hint="eastAsia"/>
                <w:spacing w:val="-2"/>
                <w:szCs w:val="21"/>
                <w:lang w:val="en-US" w:eastAsia="zh-CN"/>
              </w:rPr>
              <w:t>招标</w:t>
            </w:r>
            <w:r>
              <w:rPr>
                <w:spacing w:val="-2"/>
                <w:szCs w:val="21"/>
              </w:rPr>
              <w:t>人需求规定的最高限价</w:t>
            </w:r>
            <w:r>
              <w:rPr>
                <w:rFonts w:hint="eastAsia"/>
                <w:spacing w:val="-2"/>
                <w:szCs w:val="21"/>
              </w:rPr>
              <w:t>，且</w:t>
            </w:r>
            <w:r>
              <w:rPr>
                <w:spacing w:val="-2"/>
                <w:szCs w:val="21"/>
              </w:rPr>
              <w:t>投标报价未明显低于其他通过</w:t>
            </w:r>
            <w:r>
              <w:rPr>
                <w:szCs w:val="21"/>
              </w:rPr>
              <w:t>符合性审查投标人的报价。</w:t>
            </w:r>
          </w:p>
        </w:tc>
        <w:tc>
          <w:tcPr>
            <w:tcW w:w="1161" w:type="dxa"/>
            <w:vAlign w:val="center"/>
          </w:tcPr>
          <w:p w14:paraId="790FCC1E">
            <w:pPr>
              <w:spacing w:beforeAutospacing="0" w:afterAutospacing="0" w:line="380" w:lineRule="exact"/>
              <w:jc w:val="left"/>
              <w:rPr>
                <w:rFonts w:hint="eastAsia" w:ascii="宋体" w:hAnsi="宋体" w:eastAsia="宋体" w:cs="宋体"/>
                <w:szCs w:val="21"/>
              </w:rPr>
            </w:pPr>
            <w:r>
              <w:rPr>
                <w:rFonts w:hint="eastAsia" w:ascii="宋体" w:hAnsi="宋体" w:eastAsia="宋体" w:cs="宋体"/>
                <w:szCs w:val="21"/>
              </w:rPr>
              <w:t>□通过     □不通过</w:t>
            </w:r>
          </w:p>
        </w:tc>
        <w:tc>
          <w:tcPr>
            <w:tcW w:w="1212" w:type="dxa"/>
            <w:vAlign w:val="center"/>
          </w:tcPr>
          <w:p w14:paraId="5787E213">
            <w:pPr>
              <w:spacing w:beforeAutospacing="0" w:afterAutospacing="0" w:line="380" w:lineRule="exact"/>
              <w:rPr>
                <w:rFonts w:hint="eastAsia"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32F5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170C2FA6">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3228" w:type="pct"/>
            <w:vAlign w:val="center"/>
          </w:tcPr>
          <w:p w14:paraId="49B81D08">
            <w:pPr>
              <w:rPr>
                <w:rFonts w:ascii="宋体" w:hAnsi="宋体" w:eastAsia="宋体" w:cs="宋体"/>
                <w:szCs w:val="21"/>
              </w:rPr>
            </w:pPr>
            <w:r>
              <w:rPr>
                <w:color w:val="auto"/>
                <w:sz w:val="21"/>
                <w:szCs w:val="21"/>
              </w:rPr>
              <w:t>已按招标文件要求提供法定代表人/负责人证明书</w:t>
            </w:r>
            <w:r>
              <w:rPr>
                <w:rFonts w:hint="eastAsia"/>
                <w:color w:val="auto"/>
                <w:sz w:val="21"/>
                <w:szCs w:val="21"/>
                <w:lang w:eastAsia="zh-CN"/>
              </w:rPr>
              <w:t>（附法定代表人</w:t>
            </w:r>
            <w:r>
              <w:rPr>
                <w:rFonts w:hint="eastAsia"/>
                <w:color w:val="auto"/>
                <w:sz w:val="21"/>
                <w:szCs w:val="21"/>
                <w:lang w:val="en-US" w:eastAsia="zh-CN"/>
              </w:rPr>
              <w:t>/</w:t>
            </w:r>
            <w:r>
              <w:rPr>
                <w:color w:val="auto"/>
                <w:sz w:val="21"/>
                <w:szCs w:val="21"/>
              </w:rPr>
              <w:t>负责人</w:t>
            </w:r>
            <w:r>
              <w:rPr>
                <w:rFonts w:hint="eastAsia"/>
                <w:color w:val="auto"/>
                <w:sz w:val="21"/>
                <w:szCs w:val="21"/>
                <w:lang w:eastAsia="zh-CN"/>
              </w:rPr>
              <w:t>身份证复印件）</w:t>
            </w:r>
            <w:r>
              <w:rPr>
                <w:color w:val="auto"/>
                <w:sz w:val="21"/>
                <w:szCs w:val="21"/>
              </w:rPr>
              <w:t>及授权委托书</w:t>
            </w:r>
            <w:r>
              <w:rPr>
                <w:rFonts w:hint="eastAsia"/>
                <w:color w:val="auto"/>
                <w:sz w:val="21"/>
                <w:szCs w:val="21"/>
                <w:lang w:eastAsia="zh-CN"/>
              </w:rPr>
              <w:t>（附被授权人身份证复印件）</w:t>
            </w:r>
            <w:r>
              <w:rPr>
                <w:color w:val="auto"/>
                <w:sz w:val="21"/>
                <w:szCs w:val="21"/>
              </w:rPr>
              <w:t>的。</w:t>
            </w:r>
          </w:p>
        </w:tc>
        <w:tc>
          <w:tcPr>
            <w:tcW w:w="682" w:type="pct"/>
            <w:vAlign w:val="center"/>
          </w:tcPr>
          <w:p w14:paraId="31ADF1AD">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3C300F76">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06E6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26D09C91">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3228" w:type="pct"/>
            <w:vAlign w:val="center"/>
          </w:tcPr>
          <w:p w14:paraId="195F46F0">
            <w:pPr>
              <w:rPr>
                <w:rFonts w:ascii="宋体" w:hAnsi="宋体" w:eastAsia="宋体" w:cs="宋体"/>
                <w:szCs w:val="21"/>
              </w:rPr>
            </w:pPr>
            <w:r>
              <w:rPr>
                <w:color w:val="auto"/>
                <w:sz w:val="21"/>
                <w:szCs w:val="21"/>
              </w:rPr>
              <w:t>按招标文件要求缴纳投标保证</w:t>
            </w:r>
            <w:r>
              <w:rPr>
                <w:rFonts w:hint="eastAsia"/>
                <w:color w:val="auto"/>
                <w:sz w:val="21"/>
                <w:szCs w:val="21"/>
                <w:lang w:val="en-US" w:eastAsia="zh-CN"/>
              </w:rPr>
              <w:t>金</w:t>
            </w:r>
            <w:r>
              <w:rPr>
                <w:color w:val="auto"/>
                <w:sz w:val="21"/>
                <w:szCs w:val="21"/>
              </w:rPr>
              <w:t>。</w:t>
            </w:r>
          </w:p>
        </w:tc>
        <w:tc>
          <w:tcPr>
            <w:tcW w:w="682" w:type="pct"/>
            <w:vAlign w:val="center"/>
          </w:tcPr>
          <w:p w14:paraId="63B7E5D4">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2AFBC0FA">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4836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14144949">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3228" w:type="pct"/>
            <w:vAlign w:val="center"/>
          </w:tcPr>
          <w:p w14:paraId="03FEB347">
            <w:pPr>
              <w:rPr>
                <w:rFonts w:ascii="宋体" w:hAnsi="宋体" w:eastAsia="宋体" w:cs="宋体"/>
                <w:szCs w:val="21"/>
              </w:rPr>
            </w:pPr>
            <w:r>
              <w:rPr>
                <w:rFonts w:hint="eastAsia" w:ascii="宋体" w:hAnsi="宋体" w:eastAsia="宋体" w:cs="宋体"/>
                <w:color w:val="auto"/>
                <w:sz w:val="21"/>
                <w:szCs w:val="21"/>
              </w:rPr>
              <w:t>符合招标文件规定的签署、盖章要求。</w:t>
            </w:r>
          </w:p>
        </w:tc>
        <w:tc>
          <w:tcPr>
            <w:tcW w:w="682" w:type="pct"/>
            <w:vAlign w:val="center"/>
          </w:tcPr>
          <w:p w14:paraId="13A09530">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38B0B12A">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5346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5EF8F681">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3228" w:type="pct"/>
            <w:vAlign w:val="center"/>
          </w:tcPr>
          <w:p w14:paraId="162C563F">
            <w:pPr>
              <w:rPr>
                <w:rFonts w:ascii="宋体" w:hAnsi="宋体" w:eastAsia="宋体" w:cs="宋体"/>
                <w:szCs w:val="21"/>
              </w:rPr>
            </w:pPr>
            <w:r>
              <w:rPr>
                <w:rFonts w:hint="eastAsia" w:ascii="宋体" w:hAnsi="宋体" w:eastAsia="宋体" w:cs="宋体"/>
                <w:color w:val="auto"/>
                <w:sz w:val="21"/>
                <w:szCs w:val="21"/>
              </w:rPr>
              <w:t>投标文件完全满足招标文件的实质性条款（即标注★号条款） 无负偏离的；</w:t>
            </w:r>
          </w:p>
        </w:tc>
        <w:tc>
          <w:tcPr>
            <w:tcW w:w="682" w:type="pct"/>
            <w:vAlign w:val="center"/>
          </w:tcPr>
          <w:p w14:paraId="239D220C">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22602525">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155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01173565">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3228" w:type="pct"/>
            <w:vAlign w:val="center"/>
          </w:tcPr>
          <w:p w14:paraId="7B3A7CF1">
            <w:pPr>
              <w:rPr>
                <w:rFonts w:ascii="宋体" w:hAnsi="宋体" w:eastAsia="宋体" w:cs="宋体"/>
                <w:szCs w:val="21"/>
              </w:rPr>
            </w:pPr>
            <w:r>
              <w:rPr>
                <w:rFonts w:hint="eastAsia" w:ascii="宋体" w:hAnsi="宋体" w:eastAsia="宋体" w:cs="宋体"/>
                <w:color w:val="auto"/>
                <w:sz w:val="21"/>
                <w:szCs w:val="21"/>
              </w:rPr>
              <w:t>投标文件没有招标文件中规定的其他无效投标条款的；</w:t>
            </w:r>
          </w:p>
        </w:tc>
        <w:tc>
          <w:tcPr>
            <w:tcW w:w="682" w:type="pct"/>
            <w:vAlign w:val="center"/>
          </w:tcPr>
          <w:p w14:paraId="771CBBD3">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2ECE63E4">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r w14:paraId="61E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6BBCC397">
            <w:pPr>
              <w:spacing w:beforeAutospacing="0" w:afterAutospacing="0" w:line="380" w:lineRule="exact"/>
              <w:jc w:val="center"/>
              <w:rPr>
                <w:rFonts w:hint="eastAsia" w:ascii="宋体" w:hAnsi="宋体" w:eastAsia="宋体" w:cs="宋体"/>
                <w:szCs w:val="21"/>
                <w:lang w:eastAsia="zh-CN"/>
              </w:rPr>
            </w:pPr>
            <w:r>
              <w:rPr>
                <w:rFonts w:hint="eastAsia" w:ascii="宋体" w:hAnsi="宋体" w:cs="宋体"/>
                <w:szCs w:val="21"/>
                <w:lang w:val="en-US" w:eastAsia="zh-CN"/>
              </w:rPr>
              <w:t>8</w:t>
            </w:r>
          </w:p>
        </w:tc>
        <w:tc>
          <w:tcPr>
            <w:tcW w:w="3228" w:type="pct"/>
            <w:vAlign w:val="center"/>
          </w:tcPr>
          <w:p w14:paraId="7261A8DA">
            <w:pPr>
              <w:rPr>
                <w:rFonts w:ascii="宋体" w:hAnsi="宋体" w:eastAsia="宋体" w:cs="宋体"/>
                <w:szCs w:val="21"/>
              </w:rPr>
            </w:pPr>
            <w:r>
              <w:rPr>
                <w:rFonts w:hint="eastAsia" w:ascii="宋体" w:hAnsi="宋体" w:eastAsia="宋体" w:cs="宋体"/>
                <w:color w:val="auto"/>
                <w:sz w:val="21"/>
                <w:szCs w:val="21"/>
              </w:rPr>
              <w:t>按有关法律、法规、规章不属于投标无效的。</w:t>
            </w:r>
          </w:p>
        </w:tc>
        <w:tc>
          <w:tcPr>
            <w:tcW w:w="682" w:type="pct"/>
            <w:vAlign w:val="center"/>
          </w:tcPr>
          <w:p w14:paraId="7493AF73">
            <w:pPr>
              <w:spacing w:beforeAutospacing="0" w:afterAutospacing="0" w:line="380" w:lineRule="exact"/>
              <w:jc w:val="left"/>
              <w:rPr>
                <w:rFonts w:ascii="宋体" w:hAnsi="宋体" w:eastAsia="宋体" w:cs="宋体"/>
                <w:szCs w:val="21"/>
              </w:rPr>
            </w:pPr>
            <w:r>
              <w:rPr>
                <w:rFonts w:hint="eastAsia" w:ascii="宋体" w:hAnsi="宋体" w:eastAsia="宋体" w:cs="宋体"/>
                <w:szCs w:val="21"/>
              </w:rPr>
              <w:t>□通过     □不通过</w:t>
            </w:r>
          </w:p>
        </w:tc>
        <w:tc>
          <w:tcPr>
            <w:tcW w:w="711" w:type="pct"/>
            <w:vAlign w:val="center"/>
          </w:tcPr>
          <w:p w14:paraId="20BE0787">
            <w:pPr>
              <w:spacing w:beforeAutospacing="0" w:afterAutospacing="0" w:line="380" w:lineRule="exact"/>
              <w:rPr>
                <w:rFonts w:ascii="宋体" w:hAnsi="宋体" w:eastAsia="宋体" w:cs="宋体"/>
                <w:szCs w:val="21"/>
              </w:rPr>
            </w:pPr>
            <w:r>
              <w:rPr>
                <w:rFonts w:hint="eastAsia" w:ascii="宋体" w:hAnsi="宋体" w:eastAsia="宋体" w:cs="宋体"/>
                <w:szCs w:val="21"/>
              </w:rPr>
              <w:t>见投标文件第</w:t>
            </w:r>
            <w:r>
              <w:rPr>
                <w:rFonts w:hint="eastAsia" w:ascii="宋体" w:hAnsi="宋体" w:eastAsia="宋体" w:cs="宋体"/>
                <w:szCs w:val="21"/>
                <w:u w:val="single"/>
              </w:rPr>
              <w:t xml:space="preserve">   </w:t>
            </w:r>
            <w:r>
              <w:rPr>
                <w:rFonts w:hint="eastAsia" w:ascii="宋体" w:hAnsi="宋体" w:eastAsia="宋体" w:cs="宋体"/>
                <w:szCs w:val="21"/>
              </w:rPr>
              <w:t>页</w:t>
            </w:r>
          </w:p>
        </w:tc>
      </w:tr>
    </w:tbl>
    <w:p w14:paraId="04B88DCF">
      <w:pPr>
        <w:jc w:val="center"/>
        <w:rPr>
          <w:rFonts w:ascii="宋体" w:hAnsi="宋体"/>
          <w:b/>
          <w:sz w:val="28"/>
          <w:szCs w:val="22"/>
        </w:rPr>
      </w:pPr>
      <w:r>
        <w:rPr>
          <w:rFonts w:hint="eastAsia" w:ascii="宋体" w:hAnsi="宋体"/>
          <w:b/>
          <w:sz w:val="28"/>
          <w:szCs w:val="22"/>
        </w:rPr>
        <w:t>3、商务评审自查表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640"/>
        <w:gridCol w:w="4878"/>
        <w:gridCol w:w="1251"/>
      </w:tblGrid>
      <w:tr w14:paraId="2F29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7" w:type="pct"/>
            <w:vAlign w:val="center"/>
          </w:tcPr>
          <w:p w14:paraId="2CF0FB06">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序号</w:t>
            </w:r>
          </w:p>
        </w:tc>
        <w:tc>
          <w:tcPr>
            <w:tcW w:w="963" w:type="pct"/>
            <w:vAlign w:val="center"/>
          </w:tcPr>
          <w:p w14:paraId="59A5F940">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评审内容</w:t>
            </w:r>
          </w:p>
        </w:tc>
        <w:tc>
          <w:tcPr>
            <w:tcW w:w="2865" w:type="pct"/>
            <w:vAlign w:val="center"/>
          </w:tcPr>
          <w:p w14:paraId="3DC93795">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评分准则</w:t>
            </w:r>
          </w:p>
        </w:tc>
        <w:tc>
          <w:tcPr>
            <w:tcW w:w="733" w:type="pct"/>
            <w:vAlign w:val="center"/>
          </w:tcPr>
          <w:p w14:paraId="42105428">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证明文件</w:t>
            </w:r>
          </w:p>
        </w:tc>
      </w:tr>
      <w:tr w14:paraId="2DC9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7" w:type="pct"/>
            <w:vAlign w:val="center"/>
          </w:tcPr>
          <w:p w14:paraId="742AD900">
            <w:pPr>
              <w:pStyle w:val="160"/>
              <w:snapToGrid w:val="0"/>
              <w:spacing w:before="0" w:beforeAutospacing="0" w:after="0" w:afterAutospacing="0" w:line="360" w:lineRule="auto"/>
              <w:jc w:val="center"/>
              <w:rPr>
                <w:rFonts w:ascii="宋体" w:hAnsi="宋体"/>
                <w:sz w:val="21"/>
                <w:szCs w:val="21"/>
              </w:rPr>
            </w:pPr>
            <w:r>
              <w:rPr>
                <w:rFonts w:hint="eastAsia" w:ascii="宋体" w:hAnsi="宋体"/>
                <w:sz w:val="21"/>
                <w:szCs w:val="21"/>
              </w:rPr>
              <w:t>1</w:t>
            </w:r>
          </w:p>
        </w:tc>
        <w:tc>
          <w:tcPr>
            <w:tcW w:w="963" w:type="pct"/>
            <w:vAlign w:val="center"/>
          </w:tcPr>
          <w:p w14:paraId="735B749E">
            <w:pPr>
              <w:pStyle w:val="160"/>
              <w:snapToGrid w:val="0"/>
              <w:spacing w:before="0" w:beforeAutospacing="0" w:after="0" w:afterAutospacing="0" w:line="360" w:lineRule="auto"/>
              <w:rPr>
                <w:rFonts w:ascii="宋体" w:hAnsi="宋体"/>
                <w:sz w:val="21"/>
                <w:szCs w:val="21"/>
              </w:rPr>
            </w:pPr>
          </w:p>
        </w:tc>
        <w:tc>
          <w:tcPr>
            <w:tcW w:w="2865" w:type="pct"/>
            <w:vAlign w:val="center"/>
          </w:tcPr>
          <w:p w14:paraId="1E5C86C3">
            <w:pPr>
              <w:pStyle w:val="179"/>
              <w:snapToGrid w:val="0"/>
              <w:spacing w:beforeAutospacing="0" w:afterAutospacing="0" w:line="360" w:lineRule="auto"/>
              <w:rPr>
                <w:rFonts w:ascii="宋体" w:hAnsi="宋体"/>
                <w:b/>
                <w:bCs/>
                <w:i/>
                <w:iCs/>
                <w:szCs w:val="21"/>
              </w:rPr>
            </w:pPr>
          </w:p>
        </w:tc>
        <w:tc>
          <w:tcPr>
            <w:tcW w:w="733" w:type="pct"/>
            <w:vAlign w:val="center"/>
          </w:tcPr>
          <w:p w14:paraId="5610FB7B">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724C250F">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4D13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7" w:type="pct"/>
            <w:vAlign w:val="center"/>
          </w:tcPr>
          <w:p w14:paraId="7A00A00D">
            <w:pPr>
              <w:snapToGrid w:val="0"/>
              <w:spacing w:beforeAutospacing="0" w:afterAutospacing="0" w:line="360" w:lineRule="auto"/>
              <w:jc w:val="center"/>
              <w:rPr>
                <w:rFonts w:ascii="宋体" w:hAnsi="宋体"/>
                <w:szCs w:val="21"/>
              </w:rPr>
            </w:pPr>
            <w:r>
              <w:rPr>
                <w:rFonts w:hint="eastAsia" w:ascii="宋体" w:hAnsi="宋体"/>
                <w:szCs w:val="21"/>
              </w:rPr>
              <w:t>2</w:t>
            </w:r>
          </w:p>
        </w:tc>
        <w:tc>
          <w:tcPr>
            <w:tcW w:w="963" w:type="pct"/>
            <w:vAlign w:val="center"/>
          </w:tcPr>
          <w:p w14:paraId="49B88136">
            <w:pPr>
              <w:snapToGrid w:val="0"/>
              <w:spacing w:beforeAutospacing="0" w:afterAutospacing="0" w:line="360" w:lineRule="auto"/>
              <w:rPr>
                <w:rFonts w:ascii="宋体" w:hAnsi="宋体"/>
                <w:szCs w:val="21"/>
              </w:rPr>
            </w:pPr>
          </w:p>
        </w:tc>
        <w:tc>
          <w:tcPr>
            <w:tcW w:w="2865" w:type="pct"/>
            <w:vAlign w:val="center"/>
          </w:tcPr>
          <w:p w14:paraId="1E294743">
            <w:pPr>
              <w:pStyle w:val="179"/>
              <w:snapToGrid w:val="0"/>
              <w:spacing w:beforeAutospacing="0" w:afterAutospacing="0" w:line="360" w:lineRule="auto"/>
              <w:rPr>
                <w:rFonts w:ascii="宋体" w:hAnsi="宋体"/>
                <w:szCs w:val="21"/>
              </w:rPr>
            </w:pPr>
          </w:p>
        </w:tc>
        <w:tc>
          <w:tcPr>
            <w:tcW w:w="733" w:type="pct"/>
            <w:vAlign w:val="center"/>
          </w:tcPr>
          <w:p w14:paraId="70D80E36">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5A7E8B97">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505E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7" w:type="pct"/>
            <w:vAlign w:val="center"/>
          </w:tcPr>
          <w:p w14:paraId="3EC9BDAC">
            <w:pPr>
              <w:snapToGrid w:val="0"/>
              <w:spacing w:beforeAutospacing="0" w:afterAutospacing="0" w:line="360" w:lineRule="auto"/>
              <w:jc w:val="center"/>
              <w:rPr>
                <w:rFonts w:ascii="宋体" w:hAnsi="宋体"/>
                <w:szCs w:val="21"/>
              </w:rPr>
            </w:pPr>
            <w:r>
              <w:rPr>
                <w:rFonts w:hint="eastAsia" w:ascii="宋体" w:hAnsi="宋体"/>
                <w:szCs w:val="21"/>
              </w:rPr>
              <w:t>3</w:t>
            </w:r>
          </w:p>
        </w:tc>
        <w:tc>
          <w:tcPr>
            <w:tcW w:w="963" w:type="pct"/>
            <w:vAlign w:val="center"/>
          </w:tcPr>
          <w:p w14:paraId="574CDA3A">
            <w:pPr>
              <w:snapToGrid w:val="0"/>
              <w:spacing w:beforeAutospacing="0" w:afterAutospacing="0" w:line="360" w:lineRule="auto"/>
              <w:rPr>
                <w:rFonts w:ascii="宋体" w:hAnsi="宋体"/>
                <w:szCs w:val="21"/>
              </w:rPr>
            </w:pPr>
          </w:p>
        </w:tc>
        <w:tc>
          <w:tcPr>
            <w:tcW w:w="2865" w:type="pct"/>
            <w:vAlign w:val="center"/>
          </w:tcPr>
          <w:p w14:paraId="1A8908A2">
            <w:pPr>
              <w:pStyle w:val="179"/>
              <w:snapToGrid w:val="0"/>
              <w:spacing w:beforeAutospacing="0" w:afterAutospacing="0" w:line="360" w:lineRule="auto"/>
              <w:rPr>
                <w:rFonts w:ascii="宋体" w:hAnsi="宋体"/>
                <w:b/>
                <w:bCs/>
                <w:i/>
                <w:iCs/>
                <w:szCs w:val="21"/>
              </w:rPr>
            </w:pPr>
          </w:p>
        </w:tc>
        <w:tc>
          <w:tcPr>
            <w:tcW w:w="733" w:type="pct"/>
            <w:vAlign w:val="center"/>
          </w:tcPr>
          <w:p w14:paraId="40CD8F88">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54225B8F">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24E4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7" w:type="pct"/>
            <w:vAlign w:val="center"/>
          </w:tcPr>
          <w:p w14:paraId="78AC95DB">
            <w:pPr>
              <w:snapToGrid w:val="0"/>
              <w:spacing w:beforeAutospacing="0" w:afterAutospacing="0" w:line="360" w:lineRule="auto"/>
              <w:jc w:val="center"/>
              <w:rPr>
                <w:rFonts w:ascii="宋体" w:hAnsi="宋体"/>
                <w:szCs w:val="21"/>
              </w:rPr>
            </w:pPr>
            <w:r>
              <w:rPr>
                <w:rFonts w:hint="eastAsia" w:ascii="宋体" w:hAnsi="宋体"/>
                <w:szCs w:val="21"/>
              </w:rPr>
              <w:t>....</w:t>
            </w:r>
          </w:p>
        </w:tc>
        <w:tc>
          <w:tcPr>
            <w:tcW w:w="963" w:type="pct"/>
            <w:vAlign w:val="center"/>
          </w:tcPr>
          <w:p w14:paraId="05DA1A65">
            <w:pPr>
              <w:snapToGrid w:val="0"/>
              <w:spacing w:beforeAutospacing="0" w:afterAutospacing="0" w:line="360" w:lineRule="auto"/>
              <w:rPr>
                <w:rFonts w:ascii="宋体" w:hAnsi="宋体"/>
                <w:szCs w:val="21"/>
              </w:rPr>
            </w:pPr>
          </w:p>
        </w:tc>
        <w:tc>
          <w:tcPr>
            <w:tcW w:w="2865" w:type="pct"/>
            <w:vAlign w:val="center"/>
          </w:tcPr>
          <w:p w14:paraId="05D6ED92">
            <w:pPr>
              <w:pStyle w:val="179"/>
              <w:snapToGrid w:val="0"/>
              <w:spacing w:beforeAutospacing="0" w:afterAutospacing="0" w:line="360" w:lineRule="auto"/>
              <w:rPr>
                <w:rFonts w:ascii="宋体" w:hAnsi="宋体"/>
                <w:szCs w:val="21"/>
              </w:rPr>
            </w:pPr>
          </w:p>
        </w:tc>
        <w:tc>
          <w:tcPr>
            <w:tcW w:w="733" w:type="pct"/>
            <w:vAlign w:val="center"/>
          </w:tcPr>
          <w:p w14:paraId="004485D8">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24A59412">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6C1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5F9FBDCD">
            <w:pPr>
              <w:snapToGrid w:val="0"/>
              <w:spacing w:beforeAutospacing="0" w:afterAutospacing="0" w:line="360" w:lineRule="auto"/>
              <w:ind w:left="-65" w:leftChars="-31"/>
              <w:rPr>
                <w:rFonts w:ascii="宋体" w:hAnsi="宋体"/>
                <w:szCs w:val="21"/>
              </w:rPr>
            </w:pPr>
            <w:r>
              <w:rPr>
                <w:rFonts w:hint="eastAsia" w:ascii="宋体" w:hAnsi="宋体"/>
                <w:szCs w:val="21"/>
              </w:rPr>
              <w:t>说明：按招标文件中《商务评分表》评审内容填写，并注明每项评审内容所对应的页码，以便查对。</w:t>
            </w:r>
          </w:p>
        </w:tc>
      </w:tr>
    </w:tbl>
    <w:p w14:paraId="2C51DCAE"/>
    <w:p w14:paraId="262A507B">
      <w:pPr>
        <w:jc w:val="center"/>
        <w:rPr>
          <w:rFonts w:ascii="宋体" w:hAnsi="宋体"/>
          <w:b/>
          <w:sz w:val="28"/>
        </w:rPr>
      </w:pPr>
      <w:r>
        <w:rPr>
          <w:rFonts w:hint="eastAsia" w:ascii="宋体" w:hAnsi="宋体"/>
          <w:b/>
          <w:sz w:val="28"/>
          <w:szCs w:val="22"/>
        </w:rPr>
        <w:t>4、技术评审自查表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640"/>
        <w:gridCol w:w="4878"/>
        <w:gridCol w:w="1251"/>
      </w:tblGrid>
      <w:tr w14:paraId="2028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7" w:type="pct"/>
            <w:vAlign w:val="center"/>
          </w:tcPr>
          <w:p w14:paraId="5B1166C1">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序号</w:t>
            </w:r>
          </w:p>
        </w:tc>
        <w:tc>
          <w:tcPr>
            <w:tcW w:w="963" w:type="pct"/>
            <w:vAlign w:val="center"/>
          </w:tcPr>
          <w:p w14:paraId="5ADF1544">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评审内容</w:t>
            </w:r>
          </w:p>
        </w:tc>
        <w:tc>
          <w:tcPr>
            <w:tcW w:w="2865" w:type="pct"/>
            <w:vAlign w:val="center"/>
          </w:tcPr>
          <w:p w14:paraId="20422315">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评分准则</w:t>
            </w:r>
          </w:p>
        </w:tc>
        <w:tc>
          <w:tcPr>
            <w:tcW w:w="733" w:type="pct"/>
            <w:vAlign w:val="center"/>
          </w:tcPr>
          <w:p w14:paraId="4C5BE89A">
            <w:pPr>
              <w:pStyle w:val="114"/>
              <w:adjustRightInd/>
              <w:spacing w:before="0" w:beforeAutospacing="0" w:after="0" w:afterAutospacing="0" w:line="360" w:lineRule="auto"/>
              <w:rPr>
                <w:rFonts w:ascii="宋体" w:hAnsi="宋体"/>
                <w:b/>
                <w:bCs/>
                <w:spacing w:val="0"/>
                <w:kern w:val="2"/>
                <w:sz w:val="21"/>
                <w:szCs w:val="21"/>
              </w:rPr>
            </w:pPr>
            <w:r>
              <w:rPr>
                <w:rFonts w:hint="eastAsia" w:ascii="宋体" w:hAnsi="宋体"/>
                <w:b/>
                <w:bCs/>
                <w:spacing w:val="0"/>
                <w:kern w:val="2"/>
                <w:sz w:val="21"/>
                <w:szCs w:val="21"/>
              </w:rPr>
              <w:t>证明文件</w:t>
            </w:r>
          </w:p>
        </w:tc>
      </w:tr>
      <w:tr w14:paraId="6A2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7" w:type="pct"/>
            <w:vAlign w:val="center"/>
          </w:tcPr>
          <w:p w14:paraId="689D516D">
            <w:pPr>
              <w:pStyle w:val="160"/>
              <w:snapToGrid w:val="0"/>
              <w:spacing w:before="0" w:beforeAutospacing="0" w:after="0" w:afterAutospacing="0" w:line="360" w:lineRule="auto"/>
              <w:jc w:val="center"/>
              <w:rPr>
                <w:rFonts w:ascii="宋体" w:hAnsi="宋体"/>
                <w:sz w:val="21"/>
                <w:szCs w:val="21"/>
              </w:rPr>
            </w:pPr>
            <w:r>
              <w:rPr>
                <w:rFonts w:hint="eastAsia" w:ascii="宋体" w:hAnsi="宋体"/>
                <w:sz w:val="21"/>
                <w:szCs w:val="21"/>
              </w:rPr>
              <w:t>1</w:t>
            </w:r>
          </w:p>
        </w:tc>
        <w:tc>
          <w:tcPr>
            <w:tcW w:w="963" w:type="pct"/>
            <w:vAlign w:val="center"/>
          </w:tcPr>
          <w:p w14:paraId="43E66B5C">
            <w:pPr>
              <w:pStyle w:val="160"/>
              <w:snapToGrid w:val="0"/>
              <w:spacing w:before="0" w:beforeAutospacing="0" w:after="0" w:afterAutospacing="0" w:line="360" w:lineRule="auto"/>
              <w:rPr>
                <w:rFonts w:ascii="宋体" w:hAnsi="宋体"/>
                <w:sz w:val="21"/>
                <w:szCs w:val="21"/>
              </w:rPr>
            </w:pPr>
          </w:p>
        </w:tc>
        <w:tc>
          <w:tcPr>
            <w:tcW w:w="2865" w:type="pct"/>
            <w:vAlign w:val="center"/>
          </w:tcPr>
          <w:p w14:paraId="77F903BC">
            <w:pPr>
              <w:pStyle w:val="179"/>
              <w:snapToGrid w:val="0"/>
              <w:spacing w:beforeAutospacing="0" w:afterAutospacing="0" w:line="360" w:lineRule="auto"/>
              <w:rPr>
                <w:rFonts w:ascii="宋体" w:hAnsi="宋体"/>
                <w:b/>
                <w:bCs/>
                <w:i/>
                <w:iCs/>
                <w:szCs w:val="21"/>
              </w:rPr>
            </w:pPr>
          </w:p>
        </w:tc>
        <w:tc>
          <w:tcPr>
            <w:tcW w:w="733" w:type="pct"/>
            <w:vAlign w:val="center"/>
          </w:tcPr>
          <w:p w14:paraId="0E0CE686">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07ABC506">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3D1D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7" w:type="pct"/>
            <w:vAlign w:val="center"/>
          </w:tcPr>
          <w:p w14:paraId="4C396AAF">
            <w:pPr>
              <w:snapToGrid w:val="0"/>
              <w:spacing w:beforeAutospacing="0" w:afterAutospacing="0" w:line="360" w:lineRule="auto"/>
              <w:jc w:val="center"/>
              <w:rPr>
                <w:rFonts w:ascii="宋体" w:hAnsi="宋体"/>
                <w:szCs w:val="21"/>
              </w:rPr>
            </w:pPr>
            <w:r>
              <w:rPr>
                <w:rFonts w:hint="eastAsia" w:ascii="宋体" w:hAnsi="宋体"/>
                <w:szCs w:val="21"/>
              </w:rPr>
              <w:t>2</w:t>
            </w:r>
          </w:p>
        </w:tc>
        <w:tc>
          <w:tcPr>
            <w:tcW w:w="963" w:type="pct"/>
            <w:vAlign w:val="center"/>
          </w:tcPr>
          <w:p w14:paraId="7596AF92">
            <w:pPr>
              <w:snapToGrid w:val="0"/>
              <w:spacing w:beforeAutospacing="0" w:afterAutospacing="0" w:line="360" w:lineRule="auto"/>
              <w:rPr>
                <w:rFonts w:ascii="宋体" w:hAnsi="宋体"/>
                <w:szCs w:val="21"/>
              </w:rPr>
            </w:pPr>
          </w:p>
        </w:tc>
        <w:tc>
          <w:tcPr>
            <w:tcW w:w="2865" w:type="pct"/>
            <w:vAlign w:val="center"/>
          </w:tcPr>
          <w:p w14:paraId="594A6BD5">
            <w:pPr>
              <w:pStyle w:val="179"/>
              <w:snapToGrid w:val="0"/>
              <w:spacing w:beforeAutospacing="0" w:afterAutospacing="0" w:line="360" w:lineRule="auto"/>
              <w:rPr>
                <w:rFonts w:ascii="宋体" w:hAnsi="宋体"/>
                <w:szCs w:val="21"/>
              </w:rPr>
            </w:pPr>
          </w:p>
        </w:tc>
        <w:tc>
          <w:tcPr>
            <w:tcW w:w="733" w:type="pct"/>
            <w:vAlign w:val="center"/>
          </w:tcPr>
          <w:p w14:paraId="37FB163F">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1C9C0198">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62F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7" w:type="pct"/>
            <w:vAlign w:val="center"/>
          </w:tcPr>
          <w:p w14:paraId="7D7A0588">
            <w:pPr>
              <w:snapToGrid w:val="0"/>
              <w:spacing w:beforeAutospacing="0" w:afterAutospacing="0" w:line="360" w:lineRule="auto"/>
              <w:jc w:val="center"/>
              <w:rPr>
                <w:rFonts w:ascii="宋体" w:hAnsi="宋体"/>
                <w:szCs w:val="21"/>
              </w:rPr>
            </w:pPr>
            <w:r>
              <w:rPr>
                <w:rFonts w:hint="eastAsia" w:ascii="宋体" w:hAnsi="宋体"/>
                <w:szCs w:val="21"/>
              </w:rPr>
              <w:t>3</w:t>
            </w:r>
          </w:p>
        </w:tc>
        <w:tc>
          <w:tcPr>
            <w:tcW w:w="963" w:type="pct"/>
            <w:vAlign w:val="center"/>
          </w:tcPr>
          <w:p w14:paraId="221B49A0">
            <w:pPr>
              <w:snapToGrid w:val="0"/>
              <w:spacing w:beforeAutospacing="0" w:afterAutospacing="0" w:line="360" w:lineRule="auto"/>
              <w:rPr>
                <w:rFonts w:ascii="宋体" w:hAnsi="宋体"/>
                <w:szCs w:val="21"/>
              </w:rPr>
            </w:pPr>
          </w:p>
        </w:tc>
        <w:tc>
          <w:tcPr>
            <w:tcW w:w="2865" w:type="pct"/>
            <w:vAlign w:val="center"/>
          </w:tcPr>
          <w:p w14:paraId="15CD2C25">
            <w:pPr>
              <w:pStyle w:val="179"/>
              <w:snapToGrid w:val="0"/>
              <w:spacing w:beforeAutospacing="0" w:afterAutospacing="0" w:line="360" w:lineRule="auto"/>
              <w:rPr>
                <w:rFonts w:ascii="宋体" w:hAnsi="宋体"/>
                <w:b/>
                <w:bCs/>
                <w:i/>
                <w:iCs/>
                <w:szCs w:val="21"/>
              </w:rPr>
            </w:pPr>
          </w:p>
        </w:tc>
        <w:tc>
          <w:tcPr>
            <w:tcW w:w="733" w:type="pct"/>
            <w:vAlign w:val="center"/>
          </w:tcPr>
          <w:p w14:paraId="0C477300">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75A80246">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3B14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7" w:type="pct"/>
            <w:vAlign w:val="center"/>
          </w:tcPr>
          <w:p w14:paraId="24D28AB9">
            <w:pPr>
              <w:snapToGrid w:val="0"/>
              <w:spacing w:beforeAutospacing="0" w:afterAutospacing="0" w:line="360" w:lineRule="auto"/>
              <w:jc w:val="center"/>
              <w:rPr>
                <w:rFonts w:ascii="宋体" w:hAnsi="宋体"/>
                <w:szCs w:val="21"/>
              </w:rPr>
            </w:pPr>
            <w:r>
              <w:rPr>
                <w:rFonts w:hint="eastAsia" w:ascii="宋体" w:hAnsi="宋体"/>
                <w:szCs w:val="21"/>
              </w:rPr>
              <w:t>....</w:t>
            </w:r>
          </w:p>
        </w:tc>
        <w:tc>
          <w:tcPr>
            <w:tcW w:w="963" w:type="pct"/>
            <w:vAlign w:val="center"/>
          </w:tcPr>
          <w:p w14:paraId="5BA98EA7">
            <w:pPr>
              <w:snapToGrid w:val="0"/>
              <w:spacing w:beforeAutospacing="0" w:afterAutospacing="0" w:line="360" w:lineRule="auto"/>
              <w:rPr>
                <w:rFonts w:ascii="宋体" w:hAnsi="宋体"/>
                <w:szCs w:val="21"/>
              </w:rPr>
            </w:pPr>
          </w:p>
        </w:tc>
        <w:tc>
          <w:tcPr>
            <w:tcW w:w="2865" w:type="pct"/>
            <w:vAlign w:val="center"/>
          </w:tcPr>
          <w:p w14:paraId="2857E16C">
            <w:pPr>
              <w:pStyle w:val="179"/>
              <w:snapToGrid w:val="0"/>
              <w:spacing w:beforeAutospacing="0" w:afterAutospacing="0" w:line="360" w:lineRule="auto"/>
              <w:rPr>
                <w:rFonts w:ascii="宋体" w:hAnsi="宋体"/>
                <w:szCs w:val="21"/>
              </w:rPr>
            </w:pPr>
          </w:p>
        </w:tc>
        <w:tc>
          <w:tcPr>
            <w:tcW w:w="733" w:type="pct"/>
            <w:vAlign w:val="center"/>
          </w:tcPr>
          <w:p w14:paraId="56E70A7A">
            <w:pPr>
              <w:snapToGrid w:val="0"/>
              <w:spacing w:beforeAutospacing="0" w:afterAutospacing="0" w:line="360" w:lineRule="auto"/>
              <w:ind w:left="-171"/>
              <w:jc w:val="center"/>
              <w:rPr>
                <w:rFonts w:ascii="宋体" w:hAnsi="宋体"/>
                <w:szCs w:val="21"/>
              </w:rPr>
            </w:pPr>
            <w:r>
              <w:rPr>
                <w:rFonts w:hint="eastAsia" w:ascii="宋体" w:hAnsi="宋体"/>
                <w:szCs w:val="21"/>
              </w:rPr>
              <w:t>见投标</w:t>
            </w:r>
            <w:r>
              <w:rPr>
                <w:rFonts w:ascii="宋体" w:hAnsi="宋体"/>
                <w:szCs w:val="21"/>
              </w:rPr>
              <w:t>文件</w:t>
            </w:r>
          </w:p>
          <w:p w14:paraId="572A9E2C">
            <w:pPr>
              <w:snapToGrid w:val="0"/>
              <w:spacing w:beforeAutospacing="0" w:afterAutospacing="0" w:line="360" w:lineRule="auto"/>
              <w:ind w:left="-171"/>
              <w:jc w:val="center"/>
              <w:rPr>
                <w:rFonts w:ascii="宋体" w:hAnsi="宋体"/>
                <w:szCs w:val="21"/>
              </w:rPr>
            </w:pPr>
            <w:r>
              <w:rPr>
                <w:rFonts w:hint="eastAsia" w:ascii="宋体" w:hAnsi="宋体"/>
                <w:szCs w:val="21"/>
              </w:rPr>
              <w:t>第</w:t>
            </w:r>
            <w:r>
              <w:rPr>
                <w:rFonts w:hint="eastAsia" w:ascii="宋体" w:hAnsi="宋体"/>
                <w:szCs w:val="21"/>
                <w:u w:val="single"/>
              </w:rPr>
              <w:t xml:space="preserve">       </w:t>
            </w:r>
            <w:r>
              <w:rPr>
                <w:rFonts w:hint="eastAsia" w:ascii="宋体" w:hAnsi="宋体"/>
                <w:szCs w:val="21"/>
              </w:rPr>
              <w:t>页</w:t>
            </w:r>
          </w:p>
        </w:tc>
      </w:tr>
      <w:tr w14:paraId="538B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35888614">
            <w:pPr>
              <w:snapToGrid w:val="0"/>
              <w:spacing w:beforeAutospacing="0" w:afterAutospacing="0" w:line="360" w:lineRule="auto"/>
              <w:ind w:left="-65" w:leftChars="-31"/>
              <w:rPr>
                <w:rFonts w:ascii="宋体" w:hAnsi="宋体"/>
                <w:szCs w:val="21"/>
              </w:rPr>
            </w:pPr>
            <w:r>
              <w:rPr>
                <w:rFonts w:hint="eastAsia" w:ascii="宋体" w:hAnsi="宋体"/>
                <w:szCs w:val="21"/>
              </w:rPr>
              <w:t>说明：按招标文件中《技术评分表》评审内容填写，并注明每项评审内容所对应的页码，以便查对。</w:t>
            </w:r>
          </w:p>
        </w:tc>
      </w:tr>
    </w:tbl>
    <w:p w14:paraId="5ADEBD9D">
      <w:pPr>
        <w:spacing w:beforeAutospacing="0" w:afterAutospacing="0" w:line="360" w:lineRule="auto"/>
        <w:jc w:val="center"/>
        <w:rPr>
          <w:rFonts w:ascii="宋体" w:hAnsi="宋体" w:eastAsia="宋体" w:cs="宋体"/>
          <w:b/>
          <w:sz w:val="28"/>
        </w:rPr>
      </w:pPr>
    </w:p>
    <w:p w14:paraId="2BBFF722">
      <w:pPr>
        <w:jc w:val="left"/>
        <w:rPr>
          <w:rFonts w:ascii="宋体" w:hAnsi="宋体" w:eastAsia="宋体" w:cs="宋体"/>
          <w:b/>
          <w:sz w:val="28"/>
        </w:rPr>
      </w:pPr>
      <w:r>
        <w:rPr>
          <w:rFonts w:hint="eastAsia" w:ascii="宋体" w:hAnsi="宋体" w:eastAsia="宋体" w:cs="宋体"/>
          <w:b/>
          <w:sz w:val="28"/>
        </w:rPr>
        <w:br w:type="page"/>
      </w:r>
    </w:p>
    <w:p w14:paraId="707B558F">
      <w:pPr>
        <w:pStyle w:val="3"/>
        <w:spacing w:before="0" w:beforeAutospacing="0" w:after="120" w:afterAutospacing="0" w:line="240" w:lineRule="auto"/>
        <w:rPr>
          <w:rFonts w:ascii="宋体" w:hAnsi="宋体" w:eastAsia="宋体" w:cs="宋体"/>
          <w:b/>
          <w:bCs/>
          <w:color w:val="auto"/>
        </w:rPr>
      </w:pPr>
      <w:bookmarkStart w:id="218" w:name="_Toc16224"/>
      <w:bookmarkEnd w:id="218"/>
      <w:r>
        <w:rPr>
          <w:rFonts w:hint="eastAsia" w:ascii="宋体" w:hAnsi="宋体" w:eastAsia="宋体" w:cs="宋体"/>
          <w:b/>
          <w:bCs/>
          <w:color w:val="auto"/>
        </w:rPr>
        <w:t>二、资格性、符合性文件</w:t>
      </w:r>
    </w:p>
    <w:p w14:paraId="6FF10E05">
      <w:pPr>
        <w:pStyle w:val="3"/>
        <w:spacing w:before="0" w:beforeAutospacing="0" w:after="120" w:afterAutospacing="0" w:line="240" w:lineRule="auto"/>
        <w:jc w:val="center"/>
        <w:rPr>
          <w:b/>
          <w:bCs/>
          <w:color w:val="auto"/>
          <w:sz w:val="28"/>
          <w:szCs w:val="28"/>
        </w:rPr>
      </w:pPr>
      <w:r>
        <w:rPr>
          <w:rFonts w:hint="eastAsia"/>
          <w:b/>
          <w:bCs/>
          <w:color w:val="auto"/>
          <w:sz w:val="28"/>
          <w:szCs w:val="28"/>
        </w:rPr>
        <w:t>1、投标（报价）函</w:t>
      </w:r>
    </w:p>
    <w:p w14:paraId="67BE779B">
      <w:pPr>
        <w:spacing w:beforeAutospacing="0" w:afterAutospacing="0" w:line="360" w:lineRule="auto"/>
        <w:rPr>
          <w:rFonts w:ascii="宋体" w:hAnsi="宋体" w:eastAsia="宋体" w:cs="宋体"/>
          <w:b/>
          <w:szCs w:val="21"/>
        </w:rPr>
      </w:pPr>
      <w:r>
        <w:rPr>
          <w:rFonts w:hint="eastAsia" w:ascii="宋体" w:hAnsi="宋体" w:eastAsia="宋体" w:cs="宋体"/>
          <w:b/>
          <w:szCs w:val="21"/>
          <w:u w:val="single"/>
        </w:rPr>
        <w:t>韶关市鸿鑫招标代理有限公司</w:t>
      </w:r>
      <w:r>
        <w:rPr>
          <w:rFonts w:hint="eastAsia" w:ascii="宋体" w:hAnsi="宋体" w:eastAsia="宋体" w:cs="宋体"/>
          <w:b/>
          <w:szCs w:val="21"/>
        </w:rPr>
        <w:t>：</w:t>
      </w:r>
    </w:p>
    <w:p w14:paraId="47051303">
      <w:pPr>
        <w:spacing w:beforeAutospacing="0" w:afterAutospacing="0" w:line="360" w:lineRule="auto"/>
        <w:ind w:firstLine="480"/>
        <w:rPr>
          <w:rFonts w:ascii="宋体" w:hAnsi="宋体" w:eastAsia="宋体" w:cs="宋体"/>
          <w:szCs w:val="21"/>
        </w:rPr>
      </w:pPr>
      <w:r>
        <w:rPr>
          <w:rFonts w:hint="eastAsia" w:ascii="宋体" w:hAnsi="宋体" w:eastAsia="宋体" w:cs="宋体"/>
          <w:szCs w:val="21"/>
        </w:rPr>
        <w:t>我方确认收到你方提供的</w:t>
      </w:r>
      <w:r>
        <w:rPr>
          <w:rFonts w:hint="eastAsia" w:cs="宋体"/>
          <w:color w:val="auto"/>
          <w:sz w:val="21"/>
          <w:szCs w:val="21"/>
          <w:u w:val="single"/>
          <w:lang w:eastAsia="zh-CN"/>
        </w:rPr>
        <w:t>新丰县公共智慧体系配套建设项目</w:t>
      </w:r>
      <w:r>
        <w:rPr>
          <w:rFonts w:hint="eastAsia" w:ascii="宋体" w:hAnsi="宋体" w:eastAsia="宋体" w:cs="宋体"/>
          <w:szCs w:val="21"/>
        </w:rPr>
        <w:t>及其相关服务的招标文件的全部内容。我方：</w:t>
      </w:r>
      <w:r>
        <w:rPr>
          <w:rFonts w:hint="eastAsia" w:ascii="宋体" w:hAnsi="宋体" w:eastAsia="宋体" w:cs="宋体"/>
          <w:b/>
          <w:bCs/>
          <w:szCs w:val="21"/>
          <w:u w:val="single"/>
        </w:rPr>
        <w:t>（投标人名称）</w:t>
      </w:r>
      <w:r>
        <w:rPr>
          <w:rFonts w:hint="eastAsia" w:ascii="宋体" w:hAnsi="宋体" w:eastAsia="宋体" w:cs="宋体"/>
          <w:szCs w:val="21"/>
        </w:rPr>
        <w:t>作为投标人正式授权</w:t>
      </w:r>
      <w:r>
        <w:rPr>
          <w:rFonts w:hint="eastAsia" w:ascii="宋体" w:hAnsi="宋体" w:eastAsia="宋体" w:cs="宋体"/>
          <w:b/>
          <w:bCs/>
          <w:szCs w:val="21"/>
          <w:u w:val="single"/>
        </w:rPr>
        <w:t>（授权代表全名、职务）</w:t>
      </w:r>
      <w:r>
        <w:rPr>
          <w:rFonts w:hint="eastAsia" w:ascii="宋体" w:hAnsi="宋体" w:eastAsia="宋体" w:cs="宋体"/>
          <w:szCs w:val="21"/>
        </w:rPr>
        <w:t>代表我方进行有关投标的一切事宜。在此提交的投标文件，正本</w:t>
      </w:r>
      <w:r>
        <w:rPr>
          <w:rFonts w:hint="eastAsia" w:ascii="宋体" w:hAnsi="宋体" w:eastAsia="宋体" w:cs="宋体"/>
          <w:szCs w:val="21"/>
          <w:u w:val="single"/>
        </w:rPr>
        <w:t xml:space="preserve"> </w:t>
      </w:r>
      <w:r>
        <w:rPr>
          <w:rFonts w:hint="eastAsia" w:ascii="宋体" w:hAnsi="宋体" w:eastAsia="宋体" w:cs="宋体"/>
          <w:b/>
          <w:bCs/>
          <w:szCs w:val="21"/>
          <w:u w:val="single"/>
        </w:rPr>
        <w:t>1</w:t>
      </w:r>
      <w:r>
        <w:rPr>
          <w:rFonts w:hint="eastAsia" w:ascii="宋体" w:hAnsi="宋体" w:eastAsia="宋体" w:cs="宋体"/>
          <w:szCs w:val="21"/>
          <w:u w:val="single"/>
        </w:rPr>
        <w:t xml:space="preserve"> </w:t>
      </w:r>
      <w:r>
        <w:rPr>
          <w:rFonts w:hint="eastAsia" w:ascii="宋体" w:hAnsi="宋体" w:eastAsia="宋体" w:cs="宋体"/>
          <w:szCs w:val="21"/>
        </w:rPr>
        <w:t>份，副本</w:t>
      </w:r>
      <w:r>
        <w:rPr>
          <w:rFonts w:hint="eastAsia" w:ascii="宋体" w:hAnsi="宋体" w:eastAsia="宋体" w:cs="宋体"/>
          <w:szCs w:val="21"/>
          <w:u w:val="single"/>
        </w:rPr>
        <w:t xml:space="preserve"> </w:t>
      </w:r>
      <w:r>
        <w:rPr>
          <w:rFonts w:hint="eastAsia" w:ascii="宋体" w:hAnsi="宋体" w:eastAsia="宋体" w:cs="宋体"/>
          <w:b/>
          <w:bCs/>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份。我方已完全明白招标文件的所有条款要求，并重申以下几点：</w:t>
      </w:r>
    </w:p>
    <w:p w14:paraId="3FE8FE3E">
      <w:pPr>
        <w:spacing w:beforeAutospacing="0" w:afterAutospacing="0" w:line="360" w:lineRule="auto"/>
        <w:rPr>
          <w:rFonts w:ascii="宋体" w:hAnsi="宋体" w:eastAsia="宋体" w:cs="宋体"/>
          <w:szCs w:val="21"/>
        </w:rPr>
      </w:pPr>
      <w:r>
        <w:rPr>
          <w:rFonts w:hint="eastAsia" w:ascii="宋体" w:hAnsi="宋体" w:eastAsia="宋体" w:cs="宋体"/>
          <w:szCs w:val="21"/>
        </w:rPr>
        <w:t>1.我方决定参加项目编号为：</w:t>
      </w:r>
      <w:r>
        <w:rPr>
          <w:rFonts w:hint="eastAsia" w:ascii="宋体" w:hAnsi="宋体" w:cs="宋体"/>
          <w:szCs w:val="21"/>
          <w:u w:val="single"/>
          <w:lang w:eastAsia="zh-CN"/>
        </w:rPr>
        <w:t xml:space="preserve">HXZB2509087FG </w:t>
      </w:r>
      <w:r>
        <w:rPr>
          <w:rFonts w:hint="eastAsia" w:ascii="宋体" w:hAnsi="宋体" w:eastAsia="宋体" w:cs="宋体"/>
          <w:szCs w:val="21"/>
        </w:rPr>
        <w:t>的投标；</w:t>
      </w:r>
    </w:p>
    <w:p w14:paraId="7FE34127">
      <w:pPr>
        <w:spacing w:line="480" w:lineRule="exact"/>
        <w:rPr>
          <w:rFonts w:ascii="宋体" w:hAnsi="宋体"/>
          <w:szCs w:val="21"/>
        </w:rPr>
      </w:pPr>
      <w:r>
        <w:rPr>
          <w:rFonts w:hint="eastAsia" w:ascii="宋体" w:hAnsi="宋体"/>
          <w:szCs w:val="21"/>
        </w:rPr>
        <w:t>2.本</w:t>
      </w:r>
      <w:r>
        <w:rPr>
          <w:rFonts w:hint="eastAsia" w:ascii="宋体" w:hAnsi="宋体"/>
          <w:szCs w:val="21"/>
          <w:lang w:val="en-US" w:eastAsia="zh-CN"/>
        </w:rPr>
        <w:t>投标</w:t>
      </w:r>
      <w:r>
        <w:rPr>
          <w:rFonts w:hint="eastAsia" w:ascii="宋体" w:hAnsi="宋体"/>
          <w:szCs w:val="21"/>
        </w:rPr>
        <w:t>文件的有效期为</w:t>
      </w:r>
      <w:r>
        <w:rPr>
          <w:rFonts w:hint="eastAsia" w:ascii="宋体" w:hAnsi="宋体"/>
          <w:szCs w:val="21"/>
          <w:lang w:val="en-US" w:eastAsia="zh-CN"/>
        </w:rPr>
        <w:t>投标</w:t>
      </w:r>
      <w:r>
        <w:rPr>
          <w:rFonts w:hint="eastAsia" w:ascii="宋体" w:hAnsi="宋体"/>
          <w:szCs w:val="21"/>
        </w:rPr>
        <w:t>截止日后</w:t>
      </w:r>
      <w:r>
        <w:rPr>
          <w:rFonts w:hint="eastAsia" w:ascii="宋体" w:hAnsi="宋体"/>
          <w:szCs w:val="21"/>
          <w:u w:val="single"/>
        </w:rPr>
        <w:t>90</w:t>
      </w:r>
      <w:r>
        <w:rPr>
          <w:rFonts w:hint="eastAsia" w:ascii="宋体" w:hAnsi="宋体"/>
          <w:szCs w:val="21"/>
        </w:rPr>
        <w:t>天有效，如被确定为</w:t>
      </w:r>
      <w:r>
        <w:rPr>
          <w:rFonts w:hint="eastAsia" w:ascii="宋体" w:hAnsi="宋体"/>
          <w:szCs w:val="21"/>
          <w:lang w:val="en-US" w:eastAsia="zh-CN"/>
        </w:rPr>
        <w:t>中标人</w:t>
      </w:r>
      <w:r>
        <w:rPr>
          <w:rFonts w:hint="eastAsia" w:ascii="宋体" w:hAnsi="宋体"/>
          <w:szCs w:val="21"/>
        </w:rPr>
        <w:t>，有效期将延至合同终止日为止；</w:t>
      </w:r>
    </w:p>
    <w:p w14:paraId="4EC84726">
      <w:pPr>
        <w:spacing w:line="480" w:lineRule="exact"/>
        <w:ind w:left="240" w:hanging="240"/>
        <w:rPr>
          <w:rFonts w:ascii="宋体" w:hAnsi="宋体"/>
          <w:szCs w:val="21"/>
        </w:rPr>
      </w:pPr>
      <w:r>
        <w:rPr>
          <w:rFonts w:hint="eastAsia" w:ascii="宋体" w:hAnsi="宋体"/>
          <w:szCs w:val="21"/>
        </w:rPr>
        <w:t>3.我方已详细研究了</w:t>
      </w:r>
      <w:r>
        <w:rPr>
          <w:rFonts w:hint="eastAsia" w:ascii="宋体" w:hAnsi="宋体"/>
          <w:szCs w:val="21"/>
          <w:lang w:eastAsia="zh-CN"/>
        </w:rPr>
        <w:t>招标文件</w:t>
      </w:r>
      <w:r>
        <w:rPr>
          <w:rFonts w:hint="eastAsia" w:ascii="宋体" w:hAnsi="宋体"/>
          <w:szCs w:val="21"/>
        </w:rPr>
        <w:t>的所有内容包括修正（如果有）和所有已提供的参考资料以及有关格式并完全明白，我方放弃在此方面提出含糊意见或误解的一切权利；</w:t>
      </w:r>
    </w:p>
    <w:p w14:paraId="3C414E39">
      <w:pPr>
        <w:spacing w:line="480" w:lineRule="exact"/>
        <w:rPr>
          <w:rFonts w:ascii="宋体" w:hAnsi="宋体"/>
          <w:szCs w:val="21"/>
        </w:rPr>
      </w:pPr>
      <w:r>
        <w:rPr>
          <w:rFonts w:hint="eastAsia" w:ascii="宋体" w:hAnsi="宋体"/>
          <w:szCs w:val="21"/>
        </w:rPr>
        <w:t>4.我方同意按照你方可能提出的要求提供与</w:t>
      </w:r>
      <w:r>
        <w:rPr>
          <w:rFonts w:hint="eastAsia" w:ascii="宋体" w:hAnsi="宋体"/>
          <w:szCs w:val="21"/>
          <w:lang w:val="en-US" w:eastAsia="zh-CN"/>
        </w:rPr>
        <w:t>招标</w:t>
      </w:r>
      <w:r>
        <w:rPr>
          <w:rFonts w:hint="eastAsia" w:ascii="宋体" w:hAnsi="宋体"/>
          <w:szCs w:val="21"/>
        </w:rPr>
        <w:t>有关的任何其它数据或信息；</w:t>
      </w:r>
    </w:p>
    <w:p w14:paraId="1391DEDB">
      <w:pPr>
        <w:spacing w:line="480" w:lineRule="exact"/>
        <w:rPr>
          <w:rFonts w:ascii="宋体" w:hAnsi="宋体"/>
          <w:szCs w:val="21"/>
        </w:rPr>
      </w:pPr>
      <w:r>
        <w:rPr>
          <w:rFonts w:hint="eastAsia" w:ascii="宋体" w:hAnsi="宋体"/>
          <w:szCs w:val="21"/>
        </w:rPr>
        <w:t>5.我方理解</w:t>
      </w:r>
      <w:r>
        <w:rPr>
          <w:rFonts w:hint="eastAsia" w:ascii="宋体" w:hAnsi="宋体"/>
          <w:szCs w:val="21"/>
          <w:lang w:val="en-US" w:eastAsia="zh-CN"/>
        </w:rPr>
        <w:t>评审</w:t>
      </w:r>
      <w:r>
        <w:rPr>
          <w:rFonts w:hint="eastAsia" w:ascii="宋体" w:hAnsi="宋体"/>
          <w:szCs w:val="21"/>
        </w:rPr>
        <w:t>小组不一定接受最低报价或任何你方可能收到的报价；</w:t>
      </w:r>
    </w:p>
    <w:p w14:paraId="366FA5D9">
      <w:pPr>
        <w:spacing w:line="480" w:lineRule="exact"/>
        <w:ind w:left="240" w:hanging="240"/>
        <w:rPr>
          <w:rFonts w:ascii="宋体" w:hAnsi="宋体"/>
          <w:szCs w:val="21"/>
        </w:rPr>
      </w:pPr>
      <w:r>
        <w:rPr>
          <w:rFonts w:hint="eastAsia" w:ascii="宋体" w:hAnsi="宋体"/>
          <w:szCs w:val="21"/>
        </w:rPr>
        <w:t>6.我方如被确定为</w:t>
      </w:r>
      <w:r>
        <w:rPr>
          <w:rFonts w:hint="eastAsia" w:ascii="宋体" w:hAnsi="宋体"/>
          <w:szCs w:val="21"/>
          <w:lang w:val="en-US" w:eastAsia="zh-CN"/>
        </w:rPr>
        <w:t>中标人</w:t>
      </w:r>
      <w:r>
        <w:rPr>
          <w:rFonts w:hint="eastAsia" w:ascii="宋体" w:hAnsi="宋体"/>
          <w:szCs w:val="21"/>
        </w:rPr>
        <w:t>，将保证履行</w:t>
      </w:r>
      <w:r>
        <w:rPr>
          <w:rFonts w:hint="eastAsia" w:ascii="宋体" w:hAnsi="宋体"/>
          <w:szCs w:val="21"/>
          <w:lang w:eastAsia="zh-CN"/>
        </w:rPr>
        <w:t>招标文件</w:t>
      </w:r>
      <w:r>
        <w:rPr>
          <w:rFonts w:hint="eastAsia" w:ascii="宋体" w:hAnsi="宋体"/>
          <w:szCs w:val="21"/>
        </w:rPr>
        <w:t>以及</w:t>
      </w:r>
      <w:r>
        <w:rPr>
          <w:rFonts w:hint="eastAsia" w:ascii="宋体" w:hAnsi="宋体"/>
          <w:szCs w:val="21"/>
          <w:lang w:eastAsia="zh-CN"/>
        </w:rPr>
        <w:t>招标文件</w:t>
      </w:r>
      <w:r>
        <w:rPr>
          <w:rFonts w:hint="eastAsia" w:ascii="宋体" w:hAnsi="宋体"/>
          <w:szCs w:val="21"/>
        </w:rPr>
        <w:t>修改书（如有的话）中的全部责任和义务，按质、按量、按期完成《合同》中的全部任务；</w:t>
      </w:r>
    </w:p>
    <w:p w14:paraId="375DC0D6">
      <w:pPr>
        <w:spacing w:line="480" w:lineRule="exact"/>
        <w:rPr>
          <w:rFonts w:ascii="宋体" w:hAnsi="宋体"/>
          <w:szCs w:val="21"/>
        </w:rPr>
      </w:pPr>
      <w:r>
        <w:rPr>
          <w:rFonts w:hint="eastAsia" w:ascii="宋体" w:hAnsi="宋体"/>
          <w:szCs w:val="21"/>
        </w:rPr>
        <w:t>7.我方自行完全承担因</w:t>
      </w:r>
      <w:r>
        <w:rPr>
          <w:rFonts w:hint="eastAsia" w:ascii="宋体" w:hAnsi="宋体"/>
          <w:szCs w:val="21"/>
          <w:lang w:eastAsia="zh-CN"/>
        </w:rPr>
        <w:t>投标文件</w:t>
      </w:r>
      <w:r>
        <w:rPr>
          <w:rFonts w:hint="eastAsia" w:ascii="宋体" w:hAnsi="宋体"/>
          <w:szCs w:val="21"/>
        </w:rPr>
        <w:t>错误、缺漏、不清晰而导致的一切后果；</w:t>
      </w:r>
    </w:p>
    <w:p w14:paraId="4265A778">
      <w:pPr>
        <w:spacing w:line="480" w:lineRule="exact"/>
        <w:ind w:left="240" w:hanging="240"/>
        <w:rPr>
          <w:rFonts w:ascii="宋体" w:hAnsi="宋体"/>
          <w:szCs w:val="21"/>
        </w:rPr>
      </w:pPr>
      <w:r>
        <w:rPr>
          <w:rFonts w:hint="eastAsia" w:ascii="宋体" w:hAnsi="宋体"/>
          <w:szCs w:val="21"/>
        </w:rPr>
        <w:t>8.我方确认此次</w:t>
      </w:r>
      <w:r>
        <w:rPr>
          <w:rFonts w:hint="eastAsia" w:ascii="宋体" w:hAnsi="宋体"/>
          <w:szCs w:val="21"/>
          <w:lang w:val="en-US" w:eastAsia="zh-CN"/>
        </w:rPr>
        <w:t>招标</w:t>
      </w:r>
      <w:r>
        <w:rPr>
          <w:rFonts w:hint="eastAsia" w:ascii="宋体" w:hAnsi="宋体"/>
          <w:szCs w:val="21"/>
        </w:rPr>
        <w:t>中提供的一切资料均是真实的，准确的，并完全承担因此产生的一切后果。</w:t>
      </w:r>
    </w:p>
    <w:p w14:paraId="69E3C4D0">
      <w:pPr>
        <w:spacing w:line="480" w:lineRule="exact"/>
        <w:rPr>
          <w:rFonts w:ascii="宋体" w:hAnsi="宋体"/>
          <w:szCs w:val="21"/>
        </w:rPr>
      </w:pPr>
      <w:r>
        <w:rPr>
          <w:rFonts w:hint="eastAsia" w:ascii="宋体" w:hAnsi="宋体"/>
          <w:szCs w:val="21"/>
        </w:rPr>
        <w:t>9.我方的报价被接受，我方同意按照</w:t>
      </w:r>
      <w:r>
        <w:rPr>
          <w:rFonts w:hint="eastAsia" w:ascii="宋体" w:hAnsi="宋体"/>
          <w:szCs w:val="21"/>
          <w:lang w:eastAsia="zh-CN"/>
        </w:rPr>
        <w:t>招标文件</w:t>
      </w:r>
      <w:r>
        <w:rPr>
          <w:rFonts w:hint="eastAsia" w:ascii="宋体" w:hAnsi="宋体"/>
          <w:szCs w:val="21"/>
        </w:rPr>
        <w:t>规定向</w:t>
      </w:r>
      <w:r>
        <w:rPr>
          <w:rFonts w:hint="eastAsia" w:ascii="宋体" w:hAnsi="宋体"/>
          <w:szCs w:val="21"/>
          <w:lang w:val="en-US" w:eastAsia="zh-CN"/>
        </w:rPr>
        <w:t>招标</w:t>
      </w:r>
      <w:r>
        <w:rPr>
          <w:rFonts w:hint="eastAsia" w:ascii="宋体" w:hAnsi="宋体"/>
          <w:szCs w:val="21"/>
        </w:rPr>
        <w:t>代理机构缴纳</w:t>
      </w:r>
      <w:r>
        <w:rPr>
          <w:rFonts w:hint="eastAsia" w:ascii="宋体" w:hAnsi="宋体"/>
          <w:szCs w:val="21"/>
          <w:lang w:val="en-US" w:eastAsia="zh-CN"/>
        </w:rPr>
        <w:t>招标</w:t>
      </w:r>
      <w:r>
        <w:rPr>
          <w:rFonts w:hint="eastAsia" w:ascii="宋体" w:hAnsi="宋体"/>
          <w:szCs w:val="21"/>
        </w:rPr>
        <w:t>代理服务费。</w:t>
      </w:r>
    </w:p>
    <w:p w14:paraId="6B17D9FA">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我方与其他</w:t>
      </w:r>
      <w:r>
        <w:rPr>
          <w:rFonts w:hint="eastAsia" w:ascii="宋体" w:hAnsi="宋体" w:cs="宋体"/>
          <w:color w:val="auto"/>
          <w:highlight w:val="none"/>
          <w:lang w:eastAsia="zh-CN"/>
        </w:rPr>
        <w:t>投标人</w:t>
      </w:r>
      <w:r>
        <w:rPr>
          <w:rFonts w:hint="eastAsia" w:ascii="宋体" w:hAnsi="宋体" w:eastAsia="宋体" w:cs="宋体"/>
          <w:color w:val="auto"/>
          <w:highlight w:val="none"/>
        </w:rPr>
        <w:t xml:space="preserve">不存在单位负责人为同一人或者存在直接控股、管理关系。 </w:t>
      </w:r>
    </w:p>
    <w:p w14:paraId="6BDEAC4D">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我方承诺未为本项目提供整体设计、规范编制或者项目管理、监理、检测等服务。</w:t>
      </w:r>
    </w:p>
    <w:p w14:paraId="75F918C9">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我方理解你方可能还要求提供更进一步的资格资料，并愿意应你方的要求提交。我单位若有违反本资格声明内容的行为，被</w:t>
      </w:r>
      <w:r>
        <w:rPr>
          <w:rFonts w:hint="eastAsia" w:ascii="宋体" w:hAnsi="宋体"/>
          <w:szCs w:val="21"/>
          <w:lang w:val="en-US" w:eastAsia="zh-CN"/>
        </w:rPr>
        <w:t>招标</w:t>
      </w:r>
      <w:r>
        <w:rPr>
          <w:rFonts w:hint="eastAsia" w:ascii="宋体" w:hAnsi="宋体" w:eastAsia="宋体" w:cs="宋体"/>
          <w:color w:val="auto"/>
          <w:highlight w:val="none"/>
        </w:rPr>
        <w:t>人、</w:t>
      </w:r>
      <w:r>
        <w:rPr>
          <w:rFonts w:hint="eastAsia" w:ascii="宋体" w:hAnsi="宋体"/>
          <w:szCs w:val="21"/>
          <w:lang w:val="en-US" w:eastAsia="zh-CN"/>
        </w:rPr>
        <w:t>招标</w:t>
      </w:r>
      <w:r>
        <w:rPr>
          <w:rFonts w:hint="eastAsia" w:ascii="宋体" w:hAnsi="宋体" w:eastAsia="宋体" w:cs="宋体"/>
          <w:color w:val="auto"/>
          <w:highlight w:val="none"/>
        </w:rPr>
        <w:t>代理机构发现或被他人举报查实，将无条件接受监管部门作出的取消</w:t>
      </w:r>
      <w:r>
        <w:rPr>
          <w:rFonts w:hint="eastAsia" w:ascii="宋体" w:hAnsi="宋体"/>
          <w:szCs w:val="21"/>
          <w:lang w:val="en-US" w:eastAsia="zh-CN"/>
        </w:rPr>
        <w:t>招标</w:t>
      </w:r>
      <w:r>
        <w:rPr>
          <w:rFonts w:hint="eastAsia" w:ascii="宋体" w:hAnsi="宋体" w:eastAsia="宋体" w:cs="宋体"/>
          <w:color w:val="auto"/>
          <w:highlight w:val="none"/>
        </w:rPr>
        <w:t>资格、中标资格、不良行为记录的处罚。对造成的损失，任何法律和经济责任完全由我方负责。</w:t>
      </w:r>
    </w:p>
    <w:p w14:paraId="67229AAB">
      <w:pPr>
        <w:pStyle w:val="46"/>
        <w:rPr>
          <w:rFonts w:hint="eastAsia" w:ascii="宋体" w:hAnsi="宋体" w:eastAsia="宋体" w:cs="宋体"/>
          <w:color w:val="auto"/>
          <w:highlight w:val="none"/>
        </w:rPr>
      </w:pPr>
    </w:p>
    <w:p w14:paraId="3AFA0252">
      <w:pPr>
        <w:pStyle w:val="46"/>
        <w:rPr>
          <w:rFonts w:hint="eastAsia" w:ascii="宋体" w:hAnsi="宋体" w:eastAsia="宋体" w:cs="宋体"/>
          <w:color w:val="auto"/>
          <w:highlight w:val="none"/>
        </w:rPr>
      </w:pPr>
    </w:p>
    <w:p w14:paraId="2634E339">
      <w:pPr>
        <w:spacing w:beforeAutospacing="0" w:afterAutospacing="0" w:line="360" w:lineRule="auto"/>
        <w:ind w:firstLine="420" w:firstLineChars="200"/>
        <w:rPr>
          <w:rFonts w:ascii="宋体" w:hAnsi="宋体" w:eastAsia="宋体" w:cs="宋体"/>
          <w:szCs w:val="21"/>
          <w:u w:val="single"/>
        </w:rPr>
      </w:pPr>
      <w:r>
        <w:rPr>
          <w:rFonts w:hint="eastAsia" w:ascii="宋体" w:hAnsi="宋体" w:eastAsia="宋体" w:cs="宋体"/>
          <w:szCs w:val="21"/>
        </w:rPr>
        <w:t>投标人名称（加盖公章）：</w:t>
      </w:r>
    </w:p>
    <w:p w14:paraId="00AF8067">
      <w:pPr>
        <w:spacing w:beforeAutospacing="0" w:afterAutospacing="0" w:line="360" w:lineRule="auto"/>
        <w:ind w:firstLine="420" w:firstLineChars="200"/>
        <w:rPr>
          <w:rFonts w:ascii="宋体" w:hAnsi="宋体" w:eastAsia="宋体" w:cs="宋体"/>
          <w:szCs w:val="21"/>
          <w:u w:val="single"/>
        </w:rPr>
      </w:pPr>
      <w:r>
        <w:rPr>
          <w:rFonts w:hint="eastAsia" w:ascii="宋体" w:hAnsi="宋体" w:eastAsia="宋体" w:cs="宋体"/>
          <w:szCs w:val="21"/>
        </w:rPr>
        <w:t>投标人地址：</w:t>
      </w:r>
    </w:p>
    <w:p w14:paraId="5C044A69">
      <w:pPr>
        <w:spacing w:beforeAutospacing="0" w:afterAutospacing="0" w:line="360" w:lineRule="auto"/>
        <w:ind w:firstLine="420" w:firstLineChars="200"/>
        <w:rPr>
          <w:rFonts w:ascii="宋体" w:hAnsi="宋体" w:eastAsia="宋体" w:cs="宋体"/>
          <w:szCs w:val="21"/>
          <w:u w:val="single"/>
        </w:rPr>
      </w:pPr>
      <w:r>
        <w:rPr>
          <w:rFonts w:hint="eastAsia" w:ascii="宋体" w:hAnsi="宋体" w:eastAsia="宋体" w:cs="宋体"/>
          <w:szCs w:val="21"/>
        </w:rPr>
        <w:t>联系电话：                   电子邮箱：</w:t>
      </w:r>
    </w:p>
    <w:p w14:paraId="76D363A2">
      <w:pPr>
        <w:spacing w:beforeAutospacing="0" w:afterAutospacing="0" w:line="360" w:lineRule="auto"/>
        <w:ind w:firstLine="420" w:firstLineChars="200"/>
        <w:rPr>
          <w:rFonts w:ascii="宋体" w:hAnsi="宋体" w:eastAsia="宋体" w:cs="宋体"/>
          <w:szCs w:val="21"/>
          <w:u w:val="single"/>
        </w:rPr>
      </w:pPr>
      <w:r>
        <w:rPr>
          <w:rFonts w:hint="eastAsia" w:ascii="宋体" w:hAnsi="宋体" w:eastAsia="宋体" w:cs="宋体"/>
          <w:szCs w:val="21"/>
        </w:rPr>
        <w:t>法定代表人（或授权代表）签字：</w:t>
      </w:r>
    </w:p>
    <w:p w14:paraId="39581FCF">
      <w:pPr>
        <w:spacing w:beforeAutospacing="0" w:afterAutospacing="0" w:line="360" w:lineRule="auto"/>
        <w:ind w:firstLine="420" w:firstLineChars="200"/>
        <w:rPr>
          <w:rFonts w:hint="eastAsia" w:ascii="宋体" w:hAnsi="宋体" w:eastAsia="宋体" w:cs="宋体"/>
          <w:szCs w:val="21"/>
        </w:rPr>
      </w:pPr>
      <w:r>
        <w:rPr>
          <w:rFonts w:hint="eastAsia" w:ascii="宋体" w:hAnsi="宋体" w:eastAsia="宋体" w:cs="宋体"/>
          <w:szCs w:val="21"/>
        </w:rPr>
        <w:t>日  期：202</w:t>
      </w:r>
      <w:r>
        <w:rPr>
          <w:rFonts w:hint="eastAsia" w:ascii="宋体" w:hAnsi="宋体" w:cs="宋体"/>
          <w:szCs w:val="21"/>
          <w:lang w:val="en-US" w:eastAsia="zh-CN"/>
        </w:rPr>
        <w:t>5</w:t>
      </w:r>
      <w:r>
        <w:rPr>
          <w:rFonts w:hint="eastAsia" w:ascii="宋体" w:hAnsi="宋体" w:eastAsia="宋体" w:cs="宋体"/>
          <w:szCs w:val="21"/>
        </w:rPr>
        <w:t>年   月   日</w:t>
      </w:r>
    </w:p>
    <w:p w14:paraId="54E01991">
      <w:pPr>
        <w:pStyle w:val="46"/>
      </w:pPr>
    </w:p>
    <w:p w14:paraId="5D0C14D0">
      <w:pPr>
        <w:pStyle w:val="46"/>
      </w:pPr>
    </w:p>
    <w:p w14:paraId="76B6E3EB">
      <w:pPr>
        <w:pStyle w:val="46"/>
      </w:pPr>
    </w:p>
    <w:p w14:paraId="2E2544DD">
      <w:pPr>
        <w:pStyle w:val="46"/>
      </w:pPr>
    </w:p>
    <w:p w14:paraId="474368D1">
      <w:pPr>
        <w:pStyle w:val="46"/>
      </w:pPr>
    </w:p>
    <w:p w14:paraId="4541ABB4">
      <w:pPr>
        <w:pStyle w:val="46"/>
      </w:pPr>
    </w:p>
    <w:p w14:paraId="52AE2DE1">
      <w:pPr>
        <w:pStyle w:val="46"/>
      </w:pPr>
    </w:p>
    <w:p w14:paraId="3A587029">
      <w:pPr>
        <w:pStyle w:val="46"/>
      </w:pPr>
    </w:p>
    <w:p w14:paraId="7359082A">
      <w:pPr>
        <w:pStyle w:val="46"/>
      </w:pPr>
    </w:p>
    <w:p w14:paraId="651688BA">
      <w:pPr>
        <w:pStyle w:val="46"/>
      </w:pPr>
    </w:p>
    <w:p w14:paraId="4EF330F0">
      <w:pPr>
        <w:pStyle w:val="46"/>
      </w:pPr>
    </w:p>
    <w:p w14:paraId="512ACD06">
      <w:pPr>
        <w:pStyle w:val="46"/>
      </w:pPr>
    </w:p>
    <w:p w14:paraId="3BE9B7ED">
      <w:pPr>
        <w:pStyle w:val="46"/>
      </w:pPr>
    </w:p>
    <w:p w14:paraId="14BA5E4E">
      <w:pPr>
        <w:pStyle w:val="46"/>
      </w:pPr>
    </w:p>
    <w:p w14:paraId="6F11F1DD">
      <w:pPr>
        <w:pStyle w:val="46"/>
      </w:pPr>
    </w:p>
    <w:p w14:paraId="77A78711">
      <w:pPr>
        <w:pStyle w:val="46"/>
      </w:pPr>
    </w:p>
    <w:p w14:paraId="0E2AC757">
      <w:pPr>
        <w:pStyle w:val="46"/>
      </w:pPr>
    </w:p>
    <w:p w14:paraId="3757383D">
      <w:pPr>
        <w:pStyle w:val="46"/>
      </w:pPr>
    </w:p>
    <w:p w14:paraId="22454243">
      <w:pPr>
        <w:pStyle w:val="46"/>
      </w:pPr>
    </w:p>
    <w:p w14:paraId="2DBD0DC4">
      <w:pPr>
        <w:pStyle w:val="46"/>
      </w:pPr>
    </w:p>
    <w:p w14:paraId="4242BC42">
      <w:pPr>
        <w:pStyle w:val="46"/>
      </w:pPr>
    </w:p>
    <w:p w14:paraId="45C946C1">
      <w:pPr>
        <w:pStyle w:val="46"/>
      </w:pPr>
    </w:p>
    <w:p w14:paraId="693467E4">
      <w:pPr>
        <w:pStyle w:val="46"/>
      </w:pPr>
    </w:p>
    <w:p w14:paraId="31D1115F">
      <w:pPr>
        <w:pStyle w:val="46"/>
      </w:pPr>
    </w:p>
    <w:p w14:paraId="6DBF0059">
      <w:pPr>
        <w:pStyle w:val="46"/>
      </w:pPr>
    </w:p>
    <w:p w14:paraId="41585047">
      <w:pPr>
        <w:pStyle w:val="46"/>
      </w:pPr>
    </w:p>
    <w:p w14:paraId="79BC9A35">
      <w:pPr>
        <w:pStyle w:val="46"/>
      </w:pPr>
    </w:p>
    <w:p w14:paraId="6F8AD0C7">
      <w:pPr>
        <w:pStyle w:val="46"/>
      </w:pPr>
    </w:p>
    <w:p w14:paraId="4AFEF6A1">
      <w:pPr>
        <w:pStyle w:val="3"/>
        <w:spacing w:before="0" w:after="120"/>
        <w:jc w:val="center"/>
        <w:rPr>
          <w:rFonts w:ascii="仿宋" w:hAnsi="仿宋" w:eastAsia="仿宋" w:cs="仿宋"/>
          <w:color w:val="auto"/>
          <w:sz w:val="43"/>
          <w:szCs w:val="43"/>
          <w:highlight w:val="none"/>
        </w:rPr>
      </w:pPr>
      <w:r>
        <w:rPr>
          <w:rFonts w:hint="eastAsia" w:ascii="宋体" w:hAnsi="宋体" w:eastAsia="宋体" w:cs="Times New Roman"/>
          <w:b/>
          <w:color w:val="auto"/>
          <w:kern w:val="0"/>
          <w:sz w:val="28"/>
          <w:szCs w:val="28"/>
          <w:highlight w:val="none"/>
          <w:lang w:val="en-US" w:eastAsia="zh-CN" w:bidi="ar-SA"/>
        </w:rPr>
        <w:t>2、资格条件承诺函</w:t>
      </w:r>
    </w:p>
    <w:p w14:paraId="31C5B16C">
      <w:pPr>
        <w:spacing w:line="351" w:lineRule="auto"/>
        <w:rPr>
          <w:rFonts w:ascii="Arial"/>
          <w:color w:val="auto"/>
          <w:sz w:val="21"/>
          <w:highlight w:val="none"/>
        </w:rPr>
      </w:pPr>
    </w:p>
    <w:p w14:paraId="577DE3E7">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投标人</w:t>
      </w:r>
      <w:r>
        <w:rPr>
          <w:rFonts w:hint="eastAsia" w:ascii="宋体" w:hAnsi="宋体" w:eastAsia="宋体" w:cs="宋体"/>
          <w:color w:val="auto"/>
          <w:highlight w:val="none"/>
          <w:u w:val="single"/>
        </w:rPr>
        <w:t>名称)</w:t>
      </w:r>
      <w:r>
        <w:rPr>
          <w:rFonts w:hint="eastAsia" w:ascii="宋体" w:hAnsi="宋体" w:eastAsia="宋体" w:cs="宋体"/>
          <w:color w:val="auto"/>
          <w:highlight w:val="none"/>
        </w:rPr>
        <w:t>符合</w:t>
      </w:r>
      <w:r>
        <w:rPr>
          <w:rFonts w:hint="eastAsia" w:ascii="宋体" w:hAnsi="宋体" w:cs="宋体"/>
          <w:color w:val="auto"/>
          <w:highlight w:val="none"/>
          <w:lang w:val="en-US" w:eastAsia="zh-CN"/>
        </w:rPr>
        <w:t>下列</w:t>
      </w:r>
      <w:r>
        <w:rPr>
          <w:rFonts w:hint="eastAsia" w:ascii="宋体" w:hAnsi="宋体" w:eastAsia="宋体" w:cs="宋体"/>
          <w:color w:val="auto"/>
          <w:highlight w:val="none"/>
        </w:rPr>
        <w:t>条件，具体包括：</w:t>
      </w:r>
    </w:p>
    <w:p w14:paraId="37B4CEA4">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参加</w:t>
      </w:r>
      <w:r>
        <w:rPr>
          <w:rFonts w:hint="eastAsia" w:ascii="宋体" w:hAnsi="宋体" w:cs="宋体"/>
          <w:color w:val="auto"/>
          <w:highlight w:val="none"/>
          <w:lang w:val="en-US" w:eastAsia="zh-CN"/>
        </w:rPr>
        <w:t>投标</w:t>
      </w:r>
      <w:r>
        <w:rPr>
          <w:rFonts w:hint="eastAsia" w:ascii="宋体" w:hAnsi="宋体" w:eastAsia="宋体" w:cs="宋体"/>
          <w:color w:val="auto"/>
          <w:highlight w:val="none"/>
        </w:rPr>
        <w:t>活动前三年内，在经营活动中没有重大违法记录。</w:t>
      </w:r>
    </w:p>
    <w:p w14:paraId="44D897A0">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我方对上述承诺的真实性负责，在评审环节结束后，自愿接受</w:t>
      </w:r>
      <w:r>
        <w:rPr>
          <w:rFonts w:hint="eastAsia" w:ascii="宋体" w:hAnsi="宋体" w:cs="宋体"/>
          <w:color w:val="auto"/>
          <w:highlight w:val="none"/>
          <w:lang w:val="en-US" w:eastAsia="zh-CN"/>
        </w:rPr>
        <w:t>招标</w:t>
      </w:r>
      <w:r>
        <w:rPr>
          <w:rFonts w:hint="eastAsia" w:ascii="宋体" w:hAnsi="宋体" w:eastAsia="宋体" w:cs="宋体"/>
          <w:color w:val="auto"/>
          <w:highlight w:val="none"/>
        </w:rPr>
        <w:t>单位(</w:t>
      </w:r>
      <w:r>
        <w:rPr>
          <w:rFonts w:hint="eastAsia" w:ascii="宋体" w:hAnsi="宋体" w:cs="宋体"/>
          <w:color w:val="auto"/>
          <w:highlight w:val="none"/>
          <w:lang w:val="en-US" w:eastAsia="zh-CN"/>
        </w:rPr>
        <w:t>招标</w:t>
      </w:r>
      <w:r>
        <w:rPr>
          <w:rFonts w:hint="eastAsia" w:ascii="宋体" w:hAnsi="宋体" w:eastAsia="宋体" w:cs="宋体"/>
          <w:color w:val="auto"/>
          <w:highlight w:val="none"/>
        </w:rPr>
        <w:t>代理机构)的检查核验，配合提供相关证明材料，证明符合</w:t>
      </w:r>
      <w:r>
        <w:rPr>
          <w:rFonts w:hint="eastAsia" w:ascii="宋体" w:hAnsi="宋体" w:cs="宋体"/>
          <w:color w:val="auto"/>
          <w:highlight w:val="none"/>
          <w:lang w:val="en-US" w:eastAsia="zh-CN"/>
        </w:rPr>
        <w:t>上述</w:t>
      </w:r>
      <w:r>
        <w:rPr>
          <w:rFonts w:hint="eastAsia" w:ascii="宋体" w:hAnsi="宋体" w:eastAsia="宋体" w:cs="宋体"/>
          <w:color w:val="auto"/>
          <w:highlight w:val="none"/>
        </w:rPr>
        <w:t>规定的条件。如有虚假，将依法承担相应法律责任。</w:t>
      </w:r>
    </w:p>
    <w:p w14:paraId="7125E6B2">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highlight w:val="none"/>
        </w:rPr>
      </w:pPr>
    </w:p>
    <w:p w14:paraId="528A7335">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特此承诺。</w:t>
      </w:r>
    </w:p>
    <w:p w14:paraId="00968A0C">
      <w:pPr>
        <w:spacing w:line="257" w:lineRule="auto"/>
        <w:rPr>
          <w:rFonts w:ascii="Arial"/>
          <w:color w:val="auto"/>
          <w:sz w:val="21"/>
          <w:highlight w:val="none"/>
        </w:rPr>
      </w:pPr>
    </w:p>
    <w:p w14:paraId="24C14C6B">
      <w:pPr>
        <w:spacing w:line="257" w:lineRule="auto"/>
        <w:rPr>
          <w:rFonts w:ascii="Arial"/>
          <w:color w:val="auto"/>
          <w:sz w:val="21"/>
          <w:highlight w:val="none"/>
        </w:rPr>
      </w:pPr>
    </w:p>
    <w:p w14:paraId="0E89F0BA">
      <w:pPr>
        <w:spacing w:line="257" w:lineRule="auto"/>
        <w:rPr>
          <w:rFonts w:ascii="Arial"/>
          <w:color w:val="auto"/>
          <w:sz w:val="21"/>
          <w:highlight w:val="none"/>
        </w:rPr>
      </w:pPr>
    </w:p>
    <w:p w14:paraId="13847B7C">
      <w:pPr>
        <w:spacing w:line="257" w:lineRule="auto"/>
        <w:rPr>
          <w:rFonts w:ascii="Arial"/>
          <w:color w:val="auto"/>
          <w:sz w:val="21"/>
          <w:highlight w:val="none"/>
        </w:rPr>
      </w:pPr>
    </w:p>
    <w:p w14:paraId="415C0A9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宋体" w:hAnsi="宋体" w:eastAsia="宋体" w:cs="宋体"/>
          <w:color w:val="auto"/>
          <w:highlight w:val="none"/>
        </w:rPr>
      </w:pPr>
    </w:p>
    <w:p w14:paraId="769F58A7">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名称(公章)</w:t>
      </w:r>
      <w:r>
        <w:rPr>
          <w:rFonts w:hint="eastAsia" w:ascii="宋体" w:hAnsi="宋体" w:eastAsia="宋体" w:cs="宋体"/>
          <w:color w:val="auto"/>
          <w:highlight w:val="none"/>
          <w:lang w:eastAsia="zh-CN"/>
        </w:rPr>
        <w:t>：</w:t>
      </w:r>
    </w:p>
    <w:p w14:paraId="7A40811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202</w:t>
      </w:r>
      <w:r>
        <w:rPr>
          <w:rFonts w:hint="eastAsia" w:ascii="宋体" w:hAnsi="宋体" w:cs="宋体"/>
          <w:color w:val="auto"/>
          <w:highlight w:val="none"/>
          <w:lang w:val="en-US" w:eastAsia="zh-CN"/>
        </w:rPr>
        <w:t>5</w:t>
      </w:r>
      <w:r>
        <w:rPr>
          <w:rFonts w:hint="eastAsia" w:ascii="宋体" w:hAnsi="宋体" w:eastAsia="宋体" w:cs="宋体"/>
          <w:color w:val="auto"/>
          <w:highlight w:val="none"/>
        </w:rPr>
        <w:t>年  月  日</w:t>
      </w:r>
    </w:p>
    <w:p w14:paraId="7FBC201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025B6FF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2FCC37B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1C91097C">
      <w:pPr>
        <w:pStyle w:val="57"/>
        <w:rPr>
          <w:rFonts w:ascii="宋体" w:hAnsi="宋体" w:eastAsia="宋体" w:cs="宋体"/>
          <w:szCs w:val="21"/>
        </w:rPr>
      </w:pPr>
    </w:p>
    <w:p w14:paraId="6395C7A5">
      <w:pPr>
        <w:pStyle w:val="57"/>
        <w:rPr>
          <w:rFonts w:ascii="宋体" w:hAnsi="宋体" w:eastAsia="宋体" w:cs="宋体"/>
          <w:szCs w:val="21"/>
        </w:rPr>
      </w:pPr>
    </w:p>
    <w:p w14:paraId="5F04C2B8">
      <w:pPr>
        <w:pStyle w:val="57"/>
        <w:rPr>
          <w:rFonts w:ascii="宋体" w:hAnsi="宋体" w:eastAsia="宋体" w:cs="宋体"/>
          <w:szCs w:val="21"/>
        </w:rPr>
      </w:pPr>
    </w:p>
    <w:p w14:paraId="6680B8C4">
      <w:pPr>
        <w:pStyle w:val="57"/>
        <w:rPr>
          <w:rFonts w:ascii="宋体" w:hAnsi="宋体" w:eastAsia="宋体" w:cs="宋体"/>
          <w:szCs w:val="21"/>
        </w:rPr>
      </w:pPr>
    </w:p>
    <w:p w14:paraId="26862D46">
      <w:pPr>
        <w:pStyle w:val="57"/>
        <w:rPr>
          <w:rFonts w:ascii="宋体" w:hAnsi="宋体" w:eastAsia="宋体" w:cs="宋体"/>
          <w:szCs w:val="21"/>
        </w:rPr>
      </w:pPr>
      <w:bookmarkStart w:id="237" w:name="_GoBack"/>
      <w:bookmarkEnd w:id="237"/>
    </w:p>
    <w:p w14:paraId="20D621C7">
      <w:pPr>
        <w:pStyle w:val="3"/>
        <w:jc w:val="center"/>
        <w:rPr>
          <w:rFonts w:ascii="宋体" w:hAnsi="宋体" w:eastAsia="宋体" w:cs="宋体"/>
          <w:b/>
          <w:bCs/>
          <w:color w:val="auto"/>
          <w:sz w:val="28"/>
          <w:szCs w:val="28"/>
        </w:rPr>
      </w:pPr>
      <w:bookmarkStart w:id="219" w:name="_Toc453695693"/>
      <w:bookmarkEnd w:id="219"/>
      <w:bookmarkStart w:id="220" w:name="_Toc453695566"/>
      <w:bookmarkEnd w:id="220"/>
      <w:bookmarkStart w:id="221" w:name="_Toc223939104"/>
      <w:bookmarkEnd w:id="221"/>
      <w:bookmarkStart w:id="222" w:name="_Toc461991257"/>
      <w:bookmarkEnd w:id="222"/>
      <w:r>
        <w:rPr>
          <w:rFonts w:hint="eastAsia" w:cs="宋体"/>
          <w:b/>
          <w:bCs/>
          <w:color w:val="auto"/>
          <w:sz w:val="28"/>
          <w:szCs w:val="28"/>
          <w:lang w:val="en-US" w:eastAsia="zh-CN"/>
        </w:rPr>
        <w:t>3</w:t>
      </w:r>
      <w:r>
        <w:rPr>
          <w:rFonts w:hint="eastAsia" w:ascii="宋体" w:hAnsi="宋体" w:eastAsia="宋体" w:cs="宋体"/>
          <w:b/>
          <w:bCs/>
          <w:color w:val="auto"/>
          <w:sz w:val="28"/>
          <w:szCs w:val="28"/>
        </w:rPr>
        <w:t>、法定代表人证明及授权书</w:t>
      </w:r>
    </w:p>
    <w:p w14:paraId="520E380D">
      <w:pPr>
        <w:adjustRightInd w:val="0"/>
        <w:snapToGrid w:val="0"/>
        <w:spacing w:beforeAutospacing="0" w:afterAutospacing="0" w:line="480" w:lineRule="auto"/>
        <w:jc w:val="center"/>
        <w:rPr>
          <w:rFonts w:ascii="宋体" w:hAnsi="宋体" w:eastAsia="宋体" w:cs="宋体"/>
          <w:b/>
          <w:szCs w:val="21"/>
        </w:rPr>
      </w:pPr>
      <w:bookmarkStart w:id="223" w:name="_Toc453695567"/>
      <w:bookmarkStart w:id="224" w:name="_Toc461991258"/>
      <w:bookmarkStart w:id="225" w:name="_Toc453695694"/>
      <w:r>
        <w:rPr>
          <w:rFonts w:hint="eastAsia" w:ascii="宋体" w:hAnsi="宋体" w:eastAsia="宋体" w:cs="宋体"/>
          <w:b/>
          <w:szCs w:val="21"/>
        </w:rPr>
        <w:t>（1）法定代表人/负责人资格证明书</w:t>
      </w:r>
    </w:p>
    <w:p w14:paraId="3DE47DB6">
      <w:pPr>
        <w:adjustRightInd w:val="0"/>
        <w:snapToGrid w:val="0"/>
        <w:spacing w:beforeAutospacing="0" w:afterAutospacing="0" w:line="300" w:lineRule="auto"/>
        <w:ind w:firstLine="105" w:firstLineChars="50"/>
        <w:rPr>
          <w:rFonts w:ascii="宋体" w:hAnsi="宋体" w:eastAsia="宋体" w:cs="宋体"/>
          <w:b/>
          <w:bCs/>
          <w:szCs w:val="21"/>
          <w:u w:val="single"/>
        </w:rPr>
      </w:pPr>
      <w:r>
        <w:rPr>
          <w:rFonts w:hint="eastAsia" w:ascii="宋体" w:hAnsi="宋体" w:eastAsia="宋体" w:cs="宋体"/>
          <w:b/>
          <w:bCs/>
          <w:szCs w:val="21"/>
        </w:rPr>
        <w:t>致：</w:t>
      </w:r>
      <w:r>
        <w:rPr>
          <w:rFonts w:hint="eastAsia" w:ascii="宋体" w:hAnsi="宋体" w:eastAsia="宋体" w:cs="宋体"/>
          <w:b/>
          <w:bCs/>
          <w:szCs w:val="21"/>
          <w:u w:val="single"/>
        </w:rPr>
        <w:t>韶关市鸿鑫招标代理有限公司</w:t>
      </w:r>
    </w:p>
    <w:p w14:paraId="54F2CFE8">
      <w:pPr>
        <w:adjustRightInd w:val="0"/>
        <w:snapToGrid w:val="0"/>
        <w:spacing w:beforeAutospacing="0" w:afterAutospacing="0" w:line="300" w:lineRule="auto"/>
        <w:ind w:firstLine="735" w:firstLineChars="350"/>
        <w:rPr>
          <w:rFonts w:ascii="宋体" w:hAnsi="宋体" w:eastAsia="宋体" w:cs="宋体"/>
          <w:szCs w:val="21"/>
          <w:u w:val="single"/>
        </w:rPr>
      </w:pPr>
    </w:p>
    <w:p w14:paraId="7F50884F">
      <w:pPr>
        <w:adjustRightInd w:val="0"/>
        <w:snapToGrid w:val="0"/>
        <w:spacing w:beforeAutospacing="0" w:afterAutospacing="0" w:line="300" w:lineRule="auto"/>
        <w:ind w:firstLine="735" w:firstLineChars="350"/>
        <w:rPr>
          <w:rFonts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同志，现任我单位</w:t>
      </w:r>
      <w:r>
        <w:rPr>
          <w:rFonts w:hint="eastAsia" w:ascii="宋体" w:hAnsi="宋体" w:eastAsia="宋体" w:cs="宋体"/>
          <w:szCs w:val="21"/>
          <w:u w:val="single"/>
        </w:rPr>
        <w:t xml:space="preserve">             </w:t>
      </w:r>
      <w:r>
        <w:rPr>
          <w:rFonts w:hint="eastAsia" w:ascii="宋体" w:hAnsi="宋体" w:eastAsia="宋体" w:cs="宋体"/>
          <w:szCs w:val="21"/>
        </w:rPr>
        <w:t>职务，为法定代表人，特此证明。</w:t>
      </w:r>
    </w:p>
    <w:p w14:paraId="7FD0FE92">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 xml:space="preserve">签发日期：                           单位：           （盖章）    </w:t>
      </w:r>
    </w:p>
    <w:p w14:paraId="3927A8F6">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联系电话：</w:t>
      </w:r>
    </w:p>
    <w:p w14:paraId="3F85E384">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营业执照号码：                       经济性质：</w:t>
      </w:r>
    </w:p>
    <w:p w14:paraId="257D55D2">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主营（产）：</w:t>
      </w:r>
    </w:p>
    <w:p w14:paraId="67591C0F">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兼营（产）：</w:t>
      </w:r>
    </w:p>
    <w:p w14:paraId="24DC0294">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进口物品经营许可证号码：</w:t>
      </w:r>
    </w:p>
    <w:p w14:paraId="3AE98A5A">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主营：</w:t>
      </w:r>
    </w:p>
    <w:p w14:paraId="309555CF">
      <w:pPr>
        <w:spacing w:beforeAutospacing="0" w:afterAutospacing="0" w:line="440" w:lineRule="exact"/>
        <w:ind w:firstLine="210" w:firstLineChars="100"/>
        <w:rPr>
          <w:rFonts w:ascii="宋体" w:hAnsi="宋体" w:eastAsia="宋体" w:cs="宋体"/>
          <w:szCs w:val="21"/>
        </w:rPr>
      </w:pPr>
      <w:r>
        <w:rPr>
          <w:rFonts w:hint="eastAsia" w:ascii="宋体" w:hAnsi="宋体" w:eastAsia="宋体" w:cs="宋体"/>
          <w:szCs w:val="21"/>
        </w:rPr>
        <w:t>兼营：</w:t>
      </w:r>
    </w:p>
    <w:p w14:paraId="45FDBAA0">
      <w:pPr>
        <w:spacing w:beforeAutospacing="0" w:afterAutospacing="0" w:line="440" w:lineRule="exact"/>
        <w:rPr>
          <w:rFonts w:ascii="宋体" w:hAnsi="宋体" w:eastAsia="宋体" w:cs="宋体"/>
          <w:szCs w:val="21"/>
        </w:rPr>
      </w:pPr>
      <w:r>
        <w:rPr>
          <w:rFonts w:hint="eastAsia" w:ascii="宋体" w:hAnsi="宋体" w:eastAsia="宋体" w:cs="宋体"/>
          <w:szCs w:val="21"/>
        </w:rPr>
        <w:t>说明：1、法定代表人为企业事业单位、国家机关、社会团体的主要行政负责人。</w:t>
      </w:r>
    </w:p>
    <w:p w14:paraId="343C6126">
      <w:pPr>
        <w:spacing w:beforeAutospacing="0" w:afterAutospacing="0" w:line="440" w:lineRule="exact"/>
        <w:rPr>
          <w:rFonts w:ascii="宋体" w:hAnsi="宋体" w:eastAsia="宋体" w:cs="宋体"/>
          <w:szCs w:val="21"/>
        </w:rPr>
      </w:pPr>
      <w:r>
        <w:rPr>
          <w:rFonts w:hint="eastAsia" w:ascii="宋体" w:hAnsi="宋体" w:eastAsia="宋体" w:cs="宋体"/>
          <w:szCs w:val="21"/>
        </w:rPr>
        <w:t xml:space="preserve">      2、内容必须填写真实、清楚、涂改无效，不得转让、买卖。</w:t>
      </w:r>
    </w:p>
    <w:p w14:paraId="79A1B7EE">
      <w:pPr>
        <w:spacing w:beforeAutospacing="0" w:afterAutospacing="0" w:line="440" w:lineRule="exact"/>
        <w:ind w:firstLine="630" w:firstLineChars="300"/>
        <w:rPr>
          <w:rFonts w:ascii="宋体" w:hAnsi="宋体" w:eastAsia="宋体" w:cs="宋体"/>
          <w:szCs w:val="21"/>
        </w:rPr>
      </w:pPr>
      <w:r>
        <w:rPr>
          <w:rFonts w:hint="eastAsia" w:ascii="宋体" w:hAnsi="宋体" w:eastAsia="宋体" w:cs="宋体"/>
          <w:szCs w:val="21"/>
        </w:rPr>
        <w:t>3、将此证明书提交对方作为合同附件</w:t>
      </w:r>
      <w:r>
        <w:rPr>
          <w:rFonts w:hint="eastAsia" w:ascii="宋体" w:hAnsi="宋体" w:eastAsia="宋体" w:cs="宋体"/>
          <w:b/>
          <w:szCs w:val="21"/>
        </w:rPr>
        <w:t>。</w:t>
      </w:r>
    </w:p>
    <w:p w14:paraId="526F738E">
      <w:pPr>
        <w:rPr>
          <w:rFonts w:ascii="宋体" w:hAnsi="宋体" w:eastAsia="宋体" w:cs="宋体"/>
          <w:b/>
          <w:szCs w:val="21"/>
        </w:rPr>
      </w:pPr>
    </w:p>
    <w:p w14:paraId="40D59807">
      <w:pPr>
        <w:rPr>
          <w:rFonts w:ascii="宋体" w:hAnsi="宋体" w:eastAsia="宋体" w:cs="宋体"/>
          <w:b/>
          <w:szCs w:val="21"/>
        </w:rPr>
      </w:pPr>
      <w:r>
        <w:rPr>
          <w:rFonts w:hint="eastAsia" w:ascii="宋体" w:hAnsi="宋体" w:eastAsia="宋体" w:cs="宋体"/>
          <w:b/>
          <w:szCs w:val="21"/>
        </w:rPr>
        <w:t xml:space="preserve"> (为避免废标，请</w:t>
      </w:r>
      <w:r>
        <w:rPr>
          <w:rFonts w:hint="eastAsia" w:ascii="宋体" w:hAnsi="宋体" w:cs="宋体"/>
          <w:b/>
          <w:szCs w:val="21"/>
          <w:lang w:val="en-US" w:eastAsia="zh-CN"/>
        </w:rPr>
        <w:t>投标人</w:t>
      </w:r>
      <w:r>
        <w:rPr>
          <w:rFonts w:hint="eastAsia" w:ascii="宋体" w:hAnsi="宋体" w:eastAsia="宋体" w:cs="宋体"/>
          <w:b/>
          <w:szCs w:val="21"/>
        </w:rPr>
        <w:t>务必提供本附件)</w:t>
      </w:r>
    </w:p>
    <w:p w14:paraId="0E946449">
      <w:pPr>
        <w:rPr>
          <w:rFonts w:ascii="宋体" w:hAnsi="宋体" w:eastAsia="宋体" w:cs="宋体"/>
          <w:szCs w:val="21"/>
        </w:rPr>
      </w:pPr>
    </w:p>
    <w:p w14:paraId="6A4FE858">
      <w:pPr>
        <w:rPr>
          <w:rFonts w:ascii="宋体" w:hAnsi="宋体" w:eastAsia="宋体" w:cs="宋体"/>
          <w:szCs w:val="21"/>
        </w:rPr>
      </w:pPr>
    </w:p>
    <w:p w14:paraId="30A8ECF0">
      <w:pPr>
        <w:rPr>
          <w:rFonts w:ascii="宋体" w:hAnsi="宋体" w:eastAsia="宋体" w:cs="宋体"/>
          <w:szCs w:val="21"/>
        </w:rPr>
      </w:pPr>
      <w:r>
        <w:rPr>
          <w:rFonts w:ascii="宋体" w:hAnsi="宋体" w:eastAsia="宋体" w:cs="宋体"/>
          <w:b/>
          <w:kern w:val="2"/>
          <w:sz w:val="21"/>
          <w:szCs w:val="21"/>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1596390</wp:posOffset>
                </wp:positionH>
                <wp:positionV relativeFrom="paragraph">
                  <wp:posOffset>50800</wp:posOffset>
                </wp:positionV>
                <wp:extent cx="2333625" cy="1584325"/>
                <wp:effectExtent l="4445" t="4445" r="11430" b="11430"/>
                <wp:wrapNone/>
                <wp:docPr id="2" name="自选图形 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lim="0"/>
                          <a:headEnd type="none" w="med" len="med"/>
                          <a:tailEnd type="none" w="med" len="med"/>
                        </a:ln>
                      </wps:spPr>
                      <wps:txbx>
                        <w:txbxContent>
                          <w:p w14:paraId="273E0EA1">
                            <w:pPr>
                              <w:jc w:val="center"/>
                              <w:rPr>
                                <w:szCs w:val="21"/>
                              </w:rPr>
                            </w:pPr>
                          </w:p>
                          <w:p w14:paraId="7C544240">
                            <w:pPr>
                              <w:jc w:val="center"/>
                              <w:rPr>
                                <w:szCs w:val="21"/>
                              </w:rPr>
                            </w:pPr>
                            <w:r>
                              <w:rPr>
                                <w:rFonts w:hint="eastAsia"/>
                                <w:szCs w:val="21"/>
                              </w:rPr>
                              <w:t>法定代表人身份证复印件正反面</w:t>
                            </w:r>
                          </w:p>
                        </w:txbxContent>
                      </wps:txbx>
                      <wps:bodyPr rot="0" vert="horz" wrap="square" lIns="91440" tIns="45720" rIns="91440" bIns="45720" anchor="t" anchorCtr="0"/>
                    </wps:wsp>
                  </a:graphicData>
                </a:graphic>
              </wp:anchor>
            </w:drawing>
          </mc:Choice>
          <mc:Fallback>
            <w:pict>
              <v:shape id="自选图形 4" o:spid="_x0000_s1026" o:spt="176" type="#_x0000_t176" style="position:absolute;left:0pt;margin-left:125.7pt;margin-top:4pt;height:124.75pt;width:183.75pt;z-index:251660288;mso-width-relative:page;mso-height-relative:page;" fillcolor="#FFFFFF" filled="t" stroked="t" coordsize="21600,21600" o:gfxdata="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65Cn21wAAAAkBAAAPAAAA&#10;AAAAAAEAIAAAACIAAABkcnMvZG93bnJldi54bWxQSwECFAAUAAAACACHTuJAtTEdPE8CAACwBAAA&#10;DgAAAAAAAAABACAAAAAmAQAAZHJzL2Uyb0RvYy54bWxQSwUGAAAAAAYABgBZAQAA5wUAAAAA&#10;">
                <v:fill on="t" focussize="0,0"/>
                <v:stroke color="#000000" miterlimit="0" joinstyle="miter"/>
                <v:imagedata o:title=""/>
                <o:lock v:ext="edit" aspectratio="f"/>
                <v:textbox>
                  <w:txbxContent>
                    <w:p w14:paraId="273E0EA1">
                      <w:pPr>
                        <w:jc w:val="center"/>
                        <w:rPr>
                          <w:szCs w:val="21"/>
                        </w:rPr>
                      </w:pPr>
                    </w:p>
                    <w:p w14:paraId="7C544240">
                      <w:pPr>
                        <w:jc w:val="center"/>
                        <w:rPr>
                          <w:szCs w:val="21"/>
                        </w:rPr>
                      </w:pPr>
                      <w:r>
                        <w:rPr>
                          <w:rFonts w:hint="eastAsia"/>
                          <w:szCs w:val="21"/>
                        </w:rPr>
                        <w:t>法定代表人身份证复印件正反面</w:t>
                      </w:r>
                    </w:p>
                  </w:txbxContent>
                </v:textbox>
              </v:shape>
            </w:pict>
          </mc:Fallback>
        </mc:AlternateContent>
      </w:r>
    </w:p>
    <w:p w14:paraId="1666CC27">
      <w:pPr>
        <w:rPr>
          <w:rFonts w:ascii="宋体" w:hAnsi="宋体" w:eastAsia="宋体" w:cs="宋体"/>
          <w:szCs w:val="21"/>
        </w:rPr>
      </w:pPr>
    </w:p>
    <w:p w14:paraId="45D7A7A1">
      <w:pPr>
        <w:rPr>
          <w:rFonts w:ascii="宋体" w:hAnsi="宋体" w:eastAsia="宋体" w:cs="宋体"/>
          <w:szCs w:val="21"/>
        </w:rPr>
      </w:pPr>
    </w:p>
    <w:p w14:paraId="3E1580D5">
      <w:pPr>
        <w:rPr>
          <w:rFonts w:ascii="宋体" w:hAnsi="宋体" w:eastAsia="宋体" w:cs="宋体"/>
          <w:szCs w:val="21"/>
        </w:rPr>
      </w:pPr>
    </w:p>
    <w:p w14:paraId="34EBC17C">
      <w:pPr>
        <w:rPr>
          <w:rFonts w:ascii="宋体" w:hAnsi="宋体" w:eastAsia="宋体" w:cs="宋体"/>
          <w:szCs w:val="21"/>
        </w:rPr>
      </w:pPr>
    </w:p>
    <w:p w14:paraId="74400DB8">
      <w:pPr>
        <w:rPr>
          <w:rFonts w:ascii="宋体" w:hAnsi="宋体" w:eastAsia="宋体" w:cs="宋体"/>
          <w:szCs w:val="21"/>
        </w:rPr>
      </w:pPr>
    </w:p>
    <w:p w14:paraId="21DC9EAC">
      <w:pPr>
        <w:pStyle w:val="3"/>
        <w:rPr>
          <w:rFonts w:ascii="宋体" w:hAnsi="宋体" w:eastAsia="宋体" w:cs="宋体"/>
          <w:color w:val="auto"/>
          <w:szCs w:val="21"/>
        </w:rPr>
      </w:pPr>
    </w:p>
    <w:p w14:paraId="3A372962">
      <w:pPr>
        <w:rPr>
          <w:rFonts w:ascii="宋体" w:hAnsi="宋体" w:eastAsia="宋体" w:cs="宋体"/>
          <w:szCs w:val="21"/>
        </w:rPr>
      </w:pPr>
    </w:p>
    <w:p w14:paraId="11295649">
      <w:pPr>
        <w:pStyle w:val="13"/>
        <w:rPr>
          <w:rFonts w:ascii="宋体" w:hAnsi="宋体" w:eastAsia="宋体" w:cs="宋体"/>
        </w:rPr>
      </w:pPr>
    </w:p>
    <w:p w14:paraId="31CA2AD9">
      <w:pPr>
        <w:pStyle w:val="13"/>
        <w:rPr>
          <w:rFonts w:ascii="宋体" w:hAnsi="宋体" w:eastAsia="宋体" w:cs="宋体"/>
        </w:rPr>
      </w:pPr>
    </w:p>
    <w:p w14:paraId="298C3797">
      <w:pPr>
        <w:pStyle w:val="13"/>
        <w:rPr>
          <w:rFonts w:ascii="宋体" w:hAnsi="宋体" w:eastAsia="宋体" w:cs="宋体"/>
        </w:rPr>
      </w:pPr>
    </w:p>
    <w:p w14:paraId="65742975">
      <w:pPr>
        <w:pStyle w:val="13"/>
        <w:rPr>
          <w:rFonts w:ascii="宋体" w:hAnsi="宋体" w:eastAsia="宋体" w:cs="宋体"/>
        </w:rPr>
      </w:pPr>
    </w:p>
    <w:p w14:paraId="30B0A6B7">
      <w:pPr>
        <w:pStyle w:val="13"/>
        <w:rPr>
          <w:rFonts w:ascii="宋体" w:hAnsi="宋体" w:eastAsia="宋体" w:cs="宋体"/>
        </w:rPr>
      </w:pPr>
    </w:p>
    <w:p w14:paraId="4402048B">
      <w:pPr>
        <w:pStyle w:val="13"/>
        <w:rPr>
          <w:rFonts w:ascii="宋体" w:hAnsi="宋体" w:eastAsia="宋体" w:cs="宋体"/>
        </w:rPr>
      </w:pPr>
    </w:p>
    <w:p w14:paraId="2D9C0188">
      <w:pPr>
        <w:spacing w:beforeAutospacing="0" w:afterAutospacing="0" w:line="480" w:lineRule="exact"/>
        <w:jc w:val="center"/>
        <w:rPr>
          <w:rFonts w:ascii="宋体" w:hAnsi="宋体" w:eastAsia="宋体" w:cs="宋体"/>
          <w:b/>
          <w:szCs w:val="21"/>
        </w:rPr>
      </w:pPr>
      <w:r>
        <w:rPr>
          <w:rFonts w:hint="eastAsia" w:ascii="宋体" w:hAnsi="宋体" w:eastAsia="宋体" w:cs="宋体"/>
          <w:b/>
          <w:szCs w:val="21"/>
        </w:rPr>
        <w:t>（2）法定代表人/负责人授权委托书</w:t>
      </w:r>
    </w:p>
    <w:p w14:paraId="6FDB2E41">
      <w:pPr>
        <w:adjustRightInd w:val="0"/>
        <w:snapToGrid w:val="0"/>
        <w:spacing w:beforeAutospacing="0" w:afterAutospacing="0" w:line="300" w:lineRule="auto"/>
        <w:rPr>
          <w:rFonts w:ascii="宋体" w:hAnsi="宋体" w:eastAsia="宋体" w:cs="宋体"/>
          <w:szCs w:val="21"/>
        </w:rPr>
      </w:pPr>
    </w:p>
    <w:p w14:paraId="2A531FB5">
      <w:pPr>
        <w:adjustRightInd w:val="0"/>
        <w:snapToGrid w:val="0"/>
        <w:spacing w:beforeAutospacing="0" w:afterAutospacing="0" w:line="300" w:lineRule="auto"/>
        <w:rPr>
          <w:rFonts w:ascii="宋体" w:hAnsi="宋体" w:eastAsia="宋体" w:cs="宋体"/>
          <w:b/>
          <w:bCs/>
          <w:szCs w:val="21"/>
        </w:rPr>
      </w:pPr>
      <w:r>
        <w:rPr>
          <w:rFonts w:hint="eastAsia" w:ascii="宋体" w:hAnsi="宋体" w:eastAsia="宋体" w:cs="宋体"/>
          <w:b/>
          <w:bCs/>
          <w:szCs w:val="21"/>
        </w:rPr>
        <w:t>致：</w:t>
      </w:r>
      <w:r>
        <w:rPr>
          <w:rFonts w:hint="eastAsia" w:ascii="宋体" w:hAnsi="宋体" w:eastAsia="宋体" w:cs="宋体"/>
          <w:b/>
          <w:bCs/>
          <w:szCs w:val="21"/>
          <w:u w:val="single"/>
        </w:rPr>
        <w:t>韶关市鸿鑫招标代理有限公司</w:t>
      </w:r>
    </w:p>
    <w:p w14:paraId="7BDB26DA">
      <w:pPr>
        <w:spacing w:beforeAutospacing="0" w:afterAutospacing="0" w:line="480" w:lineRule="exact"/>
        <w:ind w:firstLine="420" w:firstLineChars="200"/>
        <w:rPr>
          <w:rFonts w:ascii="宋体" w:hAnsi="宋体" w:eastAsia="宋体" w:cs="宋体"/>
          <w:szCs w:val="21"/>
        </w:rPr>
      </w:pPr>
    </w:p>
    <w:p w14:paraId="29114EF7">
      <w:pPr>
        <w:pStyle w:val="109"/>
        <w:spacing w:beforeAutospacing="0" w:afterAutospacing="0" w:line="360" w:lineRule="auto"/>
        <w:ind w:firstLineChars="200"/>
        <w:jc w:val="both"/>
        <w:rPr>
          <w:rFonts w:ascii="宋体" w:hAnsi="宋体" w:eastAsia="宋体" w:cs="宋体"/>
          <w:szCs w:val="21"/>
        </w:rPr>
      </w:pPr>
      <w:r>
        <w:rPr>
          <w:rFonts w:hint="eastAsia" w:ascii="宋体" w:hAnsi="宋体" w:eastAsia="宋体" w:cs="宋体"/>
          <w:szCs w:val="21"/>
        </w:rPr>
        <w:t>兹授权</w:t>
      </w:r>
      <w:r>
        <w:rPr>
          <w:rFonts w:hint="eastAsia" w:ascii="宋体" w:hAnsi="宋体" w:eastAsia="宋体" w:cs="宋体"/>
          <w:szCs w:val="21"/>
          <w:u w:val="single"/>
        </w:rPr>
        <w:t xml:space="preserve">             </w:t>
      </w:r>
      <w:r>
        <w:rPr>
          <w:rFonts w:hint="eastAsia" w:ascii="宋体" w:hAnsi="宋体" w:eastAsia="宋体" w:cs="宋体"/>
          <w:szCs w:val="21"/>
        </w:rPr>
        <w:t>同志，为我方签订</w:t>
      </w:r>
      <w:r>
        <w:rPr>
          <w:rFonts w:hint="eastAsia" w:cs="宋体"/>
          <w:color w:val="auto"/>
          <w:sz w:val="21"/>
          <w:szCs w:val="21"/>
          <w:u w:val="single"/>
          <w:lang w:eastAsia="zh-CN"/>
        </w:rPr>
        <w:t>新丰县公共智慧体系配套建设项目</w:t>
      </w:r>
      <w:r>
        <w:rPr>
          <w:rFonts w:hint="eastAsia" w:ascii="宋体" w:hAnsi="宋体" w:eastAsia="宋体" w:cs="宋体"/>
          <w:szCs w:val="21"/>
        </w:rPr>
        <w:t>经济合同及办理其他事务代理人，其权限是：</w:t>
      </w:r>
      <w:r>
        <w:rPr>
          <w:rFonts w:hint="eastAsia" w:ascii="宋体" w:hAnsi="宋体" w:eastAsia="宋体" w:cs="宋体"/>
          <w:szCs w:val="21"/>
          <w:u w:val="single"/>
        </w:rPr>
        <w:t xml:space="preserve">                                   </w:t>
      </w:r>
      <w:r>
        <w:rPr>
          <w:rFonts w:hint="eastAsia" w:ascii="宋体" w:hAnsi="宋体" w:eastAsia="宋体" w:cs="宋体"/>
          <w:szCs w:val="21"/>
        </w:rPr>
        <w:t>。</w:t>
      </w:r>
    </w:p>
    <w:p w14:paraId="08ED7E68">
      <w:pPr>
        <w:spacing w:beforeAutospacing="0" w:afterAutospacing="0" w:line="480" w:lineRule="exact"/>
        <w:textAlignment w:val="baseline"/>
        <w:rPr>
          <w:rStyle w:val="234"/>
          <w:rFonts w:ascii="宋体" w:hAnsi="宋体"/>
          <w:szCs w:val="21"/>
        </w:rPr>
      </w:pPr>
      <w:r>
        <w:rPr>
          <w:rStyle w:val="234"/>
          <w:rFonts w:ascii="宋体" w:hAnsi="宋体"/>
          <w:szCs w:val="21"/>
        </w:rPr>
        <w:t>授权单位：          （盖章）     法定代表人              （签名或盖私章）</w:t>
      </w:r>
    </w:p>
    <w:p w14:paraId="76BB8837">
      <w:pPr>
        <w:spacing w:line="480" w:lineRule="exact"/>
        <w:textAlignment w:val="baseline"/>
        <w:rPr>
          <w:rStyle w:val="234"/>
          <w:rFonts w:hint="default" w:ascii="宋体" w:hAnsi="宋体" w:eastAsia="宋体" w:cs="Times New Roman"/>
          <w:color w:val="000000"/>
          <w:kern w:val="2"/>
          <w:sz w:val="21"/>
          <w:szCs w:val="21"/>
          <w:lang w:eastAsia="zh-CN"/>
        </w:rPr>
      </w:pPr>
      <w:r>
        <w:rPr>
          <w:rStyle w:val="234"/>
          <w:rFonts w:hint="default" w:ascii="宋体" w:hAnsi="宋体" w:eastAsia="宋体" w:cs="Times New Roman"/>
          <w:color w:val="000000"/>
          <w:kern w:val="2"/>
          <w:sz w:val="21"/>
          <w:szCs w:val="21"/>
          <w:lang w:eastAsia="zh-CN"/>
        </w:rPr>
        <w:t>本授权书于</w:t>
      </w:r>
      <w:r>
        <w:rPr>
          <w:rStyle w:val="234"/>
          <w:rFonts w:hint="eastAsia" w:ascii="宋体" w:hAnsi="宋体" w:cs="Times New Roman"/>
          <w:color w:val="000000"/>
          <w:kern w:val="2"/>
          <w:sz w:val="21"/>
          <w:szCs w:val="21"/>
          <w:u w:val="single"/>
          <w:lang w:val="en-US" w:eastAsia="zh-CN"/>
        </w:rPr>
        <w:t>2025</w:t>
      </w:r>
      <w:r>
        <w:rPr>
          <w:rStyle w:val="234"/>
          <w:rFonts w:hint="default" w:ascii="宋体" w:hAnsi="宋体" w:eastAsia="宋体" w:cs="Times New Roman"/>
          <w:color w:val="000000"/>
          <w:kern w:val="2"/>
          <w:sz w:val="21"/>
          <w:szCs w:val="21"/>
          <w:lang w:eastAsia="zh-CN"/>
        </w:rPr>
        <w:t>年________月________日签字生效，特此声明。</w:t>
      </w:r>
    </w:p>
    <w:p w14:paraId="2788D93D">
      <w:pPr>
        <w:spacing w:beforeAutospacing="0" w:afterAutospacing="0" w:line="480" w:lineRule="exact"/>
        <w:textAlignment w:val="baseline"/>
        <w:rPr>
          <w:rStyle w:val="234"/>
          <w:rFonts w:ascii="宋体" w:hAnsi="宋体"/>
          <w:szCs w:val="21"/>
        </w:rPr>
      </w:pPr>
      <w:r>
        <w:rPr>
          <w:rStyle w:val="234"/>
          <w:rFonts w:ascii="宋体" w:hAnsi="宋体"/>
          <w:szCs w:val="21"/>
        </w:rPr>
        <w:t>附：代理人性别：        年龄：       职务：         身份证号码：</w:t>
      </w:r>
    </w:p>
    <w:p w14:paraId="1D4DEB28">
      <w:pPr>
        <w:spacing w:beforeAutospacing="0" w:afterAutospacing="0" w:line="480" w:lineRule="exact"/>
        <w:textAlignment w:val="baseline"/>
        <w:rPr>
          <w:rStyle w:val="234"/>
          <w:rFonts w:ascii="宋体" w:hAnsi="宋体"/>
          <w:szCs w:val="21"/>
        </w:rPr>
      </w:pPr>
      <w:r>
        <w:rPr>
          <w:rStyle w:val="234"/>
          <w:rFonts w:ascii="宋体" w:hAnsi="宋体"/>
          <w:szCs w:val="21"/>
        </w:rPr>
        <w:t xml:space="preserve">  联系电话：</w:t>
      </w:r>
    </w:p>
    <w:p w14:paraId="58B552D0">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营业执照号码：                         经济性质：</w:t>
      </w:r>
    </w:p>
    <w:p w14:paraId="4160621B">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主营（产）：</w:t>
      </w:r>
    </w:p>
    <w:p w14:paraId="57FED9BC">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兼营（产）：</w:t>
      </w:r>
    </w:p>
    <w:p w14:paraId="4813C553">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进口物品经营许可证号码：</w:t>
      </w:r>
    </w:p>
    <w:p w14:paraId="614576FB">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主营：</w:t>
      </w:r>
    </w:p>
    <w:p w14:paraId="1348C2A7">
      <w:pPr>
        <w:spacing w:beforeAutospacing="0" w:afterAutospacing="0" w:line="480" w:lineRule="exact"/>
        <w:ind w:firstLine="210" w:firstLineChars="100"/>
        <w:textAlignment w:val="baseline"/>
        <w:rPr>
          <w:rStyle w:val="234"/>
          <w:rFonts w:ascii="宋体" w:hAnsi="宋体"/>
          <w:szCs w:val="21"/>
        </w:rPr>
      </w:pPr>
      <w:r>
        <w:rPr>
          <w:rStyle w:val="234"/>
          <w:rFonts w:ascii="宋体" w:hAnsi="宋体"/>
          <w:szCs w:val="21"/>
        </w:rPr>
        <w:t>兼营：</w:t>
      </w:r>
    </w:p>
    <w:p w14:paraId="742F8E5F">
      <w:pPr>
        <w:spacing w:beforeAutospacing="0" w:afterAutospacing="0" w:line="480" w:lineRule="exact"/>
        <w:textAlignment w:val="baseline"/>
        <w:rPr>
          <w:rStyle w:val="234"/>
          <w:rFonts w:ascii="宋体" w:hAnsi="宋体"/>
          <w:szCs w:val="21"/>
        </w:rPr>
      </w:pPr>
      <w:r>
        <w:rPr>
          <w:rStyle w:val="234"/>
          <w:rFonts w:ascii="宋体" w:hAnsi="宋体"/>
          <w:szCs w:val="21"/>
        </w:rPr>
        <w:t>说明：1</w:t>
      </w:r>
      <w:r>
        <w:rPr>
          <w:rStyle w:val="234"/>
          <w:rFonts w:hint="eastAsia" w:ascii="宋体" w:hAnsi="宋体"/>
          <w:szCs w:val="21"/>
        </w:rPr>
        <w:t>.</w:t>
      </w:r>
      <w:r>
        <w:rPr>
          <w:rStyle w:val="234"/>
          <w:rFonts w:ascii="宋体" w:hAnsi="宋体"/>
          <w:szCs w:val="21"/>
        </w:rPr>
        <w:t>法定代表人为企业事业单位、国家机关、社会团体的主要行政负责人。</w:t>
      </w:r>
    </w:p>
    <w:p w14:paraId="36AE8FBC">
      <w:pPr>
        <w:spacing w:beforeAutospacing="0" w:afterAutospacing="0" w:line="480" w:lineRule="exact"/>
        <w:textAlignment w:val="baseline"/>
        <w:rPr>
          <w:rStyle w:val="234"/>
          <w:rFonts w:ascii="宋体" w:hAnsi="宋体"/>
          <w:szCs w:val="21"/>
        </w:rPr>
      </w:pPr>
      <w:r>
        <w:rPr>
          <w:rStyle w:val="234"/>
          <w:rFonts w:ascii="宋体" w:hAnsi="宋体"/>
          <w:szCs w:val="21"/>
        </w:rPr>
        <w:t xml:space="preserve">      2</w:t>
      </w:r>
      <w:r>
        <w:rPr>
          <w:rStyle w:val="234"/>
          <w:rFonts w:hint="eastAsia" w:ascii="宋体" w:hAnsi="宋体"/>
          <w:szCs w:val="21"/>
        </w:rPr>
        <w:t>.</w:t>
      </w:r>
      <w:r>
        <w:rPr>
          <w:rStyle w:val="234"/>
          <w:rFonts w:ascii="宋体" w:hAnsi="宋体"/>
          <w:szCs w:val="21"/>
        </w:rPr>
        <w:t>内容必须填写真实、清楚、涂改无效，不得转让、买卖。</w:t>
      </w:r>
    </w:p>
    <w:p w14:paraId="037603DB">
      <w:pPr>
        <w:spacing w:beforeAutospacing="0" w:afterAutospacing="0" w:line="480" w:lineRule="exact"/>
        <w:ind w:firstLine="630" w:firstLineChars="300"/>
        <w:textAlignment w:val="baseline"/>
        <w:rPr>
          <w:rStyle w:val="234"/>
          <w:rFonts w:ascii="宋体" w:hAnsi="宋体"/>
          <w:b/>
          <w:szCs w:val="21"/>
        </w:rPr>
      </w:pPr>
      <w:r>
        <w:rPr>
          <w:rStyle w:val="234"/>
          <w:rFonts w:ascii="宋体" w:hAnsi="宋体"/>
          <w:szCs w:val="21"/>
        </w:rPr>
        <w:t>3</w:t>
      </w:r>
      <w:r>
        <w:rPr>
          <w:rStyle w:val="234"/>
          <w:rFonts w:hint="eastAsia" w:ascii="宋体" w:hAnsi="宋体"/>
          <w:szCs w:val="21"/>
        </w:rPr>
        <w:t>.</w:t>
      </w:r>
      <w:r>
        <w:rPr>
          <w:rStyle w:val="234"/>
          <w:rFonts w:ascii="宋体" w:hAnsi="宋体"/>
          <w:szCs w:val="21"/>
        </w:rPr>
        <w:t>将此证明书提交对方作为合同附件</w:t>
      </w:r>
      <w:r>
        <w:rPr>
          <w:rStyle w:val="234"/>
          <w:rFonts w:ascii="宋体" w:hAnsi="宋体"/>
          <w:b/>
          <w:szCs w:val="21"/>
        </w:rPr>
        <w:t>。</w:t>
      </w:r>
    </w:p>
    <w:p w14:paraId="1A2DD695">
      <w:pPr>
        <w:spacing w:beforeAutospacing="0" w:afterAutospacing="0" w:line="480" w:lineRule="exact"/>
        <w:ind w:firstLine="630" w:firstLineChars="300"/>
        <w:textAlignment w:val="baseline"/>
        <w:rPr>
          <w:rStyle w:val="234"/>
          <w:rFonts w:ascii="宋体" w:hAnsi="宋体"/>
          <w:szCs w:val="21"/>
        </w:rPr>
      </w:pPr>
      <w:r>
        <w:rPr>
          <w:rStyle w:val="234"/>
          <w:rFonts w:ascii="宋体" w:hAnsi="宋体"/>
          <w:szCs w:val="21"/>
        </w:rPr>
        <w:t>4</w:t>
      </w:r>
      <w:r>
        <w:rPr>
          <w:rStyle w:val="234"/>
          <w:rFonts w:hint="eastAsia" w:ascii="宋体" w:hAnsi="宋体"/>
          <w:szCs w:val="21"/>
        </w:rPr>
        <w:t>.</w:t>
      </w:r>
      <w:r>
        <w:rPr>
          <w:rStyle w:val="234"/>
          <w:rFonts w:ascii="宋体" w:hAnsi="宋体"/>
          <w:szCs w:val="21"/>
        </w:rPr>
        <w:t>授权权限：全权代表本公司参与上述采购项目的报价，负责提供与签署确认一切文书资料，以及向贵方递交的任何补充承诺。</w:t>
      </w:r>
    </w:p>
    <w:p w14:paraId="6354F089">
      <w:pPr>
        <w:spacing w:beforeAutospacing="0" w:afterAutospacing="0" w:line="440" w:lineRule="exact"/>
        <w:ind w:firstLine="644" w:firstLineChars="307"/>
        <w:textAlignment w:val="baseline"/>
        <w:rPr>
          <w:rStyle w:val="234"/>
          <w:rFonts w:ascii="宋体" w:hAnsi="宋体"/>
          <w:szCs w:val="21"/>
        </w:rPr>
      </w:pPr>
      <w:r>
        <w:rPr>
          <w:rStyle w:val="234"/>
          <w:rFonts w:ascii="宋体" w:hAnsi="宋体"/>
          <w:szCs w:val="21"/>
        </w:rPr>
        <w:t>5</w:t>
      </w:r>
      <w:r>
        <w:rPr>
          <w:rStyle w:val="234"/>
          <w:rFonts w:hint="eastAsia" w:ascii="宋体" w:hAnsi="宋体"/>
          <w:szCs w:val="21"/>
        </w:rPr>
        <w:t>.</w:t>
      </w:r>
      <w:r>
        <w:rPr>
          <w:rStyle w:val="234"/>
          <w:rFonts w:ascii="宋体" w:hAnsi="宋体"/>
          <w:szCs w:val="21"/>
        </w:rPr>
        <w:t>有效期限：与本公司报价文件中标注的报价有效期相同，自本单位盖公章之日起生效。</w:t>
      </w:r>
    </w:p>
    <w:p w14:paraId="6BD8A9EC">
      <w:pPr>
        <w:spacing w:beforeAutospacing="0" w:afterAutospacing="0" w:line="440" w:lineRule="exact"/>
        <w:ind w:firstLine="644" w:firstLineChars="307"/>
        <w:textAlignment w:val="baseline"/>
        <w:rPr>
          <w:rStyle w:val="234"/>
          <w:rFonts w:ascii="宋体" w:hAnsi="宋体"/>
          <w:szCs w:val="21"/>
        </w:rPr>
      </w:pPr>
      <w:r>
        <w:rPr>
          <w:rStyle w:val="234"/>
          <w:rFonts w:ascii="宋体" w:hAnsi="宋体"/>
          <w:szCs w:val="21"/>
        </w:rPr>
        <w:t>6</w:t>
      </w:r>
      <w:r>
        <w:rPr>
          <w:rStyle w:val="234"/>
          <w:rFonts w:hint="eastAsia" w:ascii="宋体" w:hAnsi="宋体"/>
          <w:szCs w:val="21"/>
        </w:rPr>
        <w:t>.</w:t>
      </w:r>
      <w:r>
        <w:rPr>
          <w:rStyle w:val="234"/>
          <w:rFonts w:ascii="宋体" w:hAnsi="宋体"/>
          <w:szCs w:val="21"/>
        </w:rPr>
        <w:t>报价签字代表为法定代表人，则本表不适用。</w:t>
      </w:r>
    </w:p>
    <w:p w14:paraId="3661013A">
      <w:pPr>
        <w:spacing w:beforeAutospacing="0" w:afterAutospacing="0" w:line="360" w:lineRule="auto"/>
        <w:ind w:firstLine="420"/>
        <w:rPr>
          <w:rFonts w:ascii="宋体" w:hAnsi="宋体" w:eastAsia="宋体" w:cs="宋体"/>
          <w:szCs w:val="21"/>
          <w:u w:val="single"/>
        </w:rPr>
      </w:pPr>
      <w:r>
        <w:rPr>
          <w:rFonts w:ascii="宋体" w:hAnsi="宋体" w:eastAsia="宋体" w:cs="宋体"/>
          <w:kern w:val="2"/>
          <w:sz w:val="21"/>
          <w:szCs w:val="21"/>
          <w:u w:val="singl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1670050</wp:posOffset>
                </wp:positionH>
                <wp:positionV relativeFrom="paragraph">
                  <wp:posOffset>149860</wp:posOffset>
                </wp:positionV>
                <wp:extent cx="2007870" cy="1306830"/>
                <wp:effectExtent l="4445" t="4445" r="6985" b="22225"/>
                <wp:wrapNone/>
                <wp:docPr id="3" name="自选图形 5"/>
                <wp:cNvGraphicFramePr/>
                <a:graphic xmlns:a="http://schemas.openxmlformats.org/drawingml/2006/main">
                  <a:graphicData uri="http://schemas.microsoft.com/office/word/2010/wordprocessingShape">
                    <wps:wsp>
                      <wps:cNvSpPr/>
                      <wps:spPr>
                        <a:xfrm>
                          <a:off x="0" y="0"/>
                          <a:ext cx="2007870" cy="1306830"/>
                        </a:xfrm>
                        <a:prstGeom prst="flowChartAlternateProcess">
                          <a:avLst/>
                        </a:prstGeom>
                        <a:solidFill>
                          <a:srgbClr val="FFFFFF"/>
                        </a:solidFill>
                        <a:ln w="9525" cap="flat" cmpd="sng">
                          <a:solidFill>
                            <a:srgbClr val="000000"/>
                          </a:solidFill>
                          <a:prstDash val="solid"/>
                          <a:miter lim="0"/>
                          <a:headEnd type="none" w="med" len="med"/>
                          <a:tailEnd type="none" w="med" len="med"/>
                        </a:ln>
                      </wps:spPr>
                      <wps:txbx>
                        <w:txbxContent>
                          <w:p w14:paraId="3E3B9869">
                            <w:pPr>
                              <w:jc w:val="center"/>
                              <w:rPr>
                                <w:szCs w:val="21"/>
                              </w:rPr>
                            </w:pPr>
                          </w:p>
                          <w:p w14:paraId="1738551B">
                            <w:pPr>
                              <w:jc w:val="center"/>
                              <w:rPr>
                                <w:szCs w:val="21"/>
                              </w:rPr>
                            </w:pPr>
                            <w:r>
                              <w:rPr>
                                <w:rFonts w:hint="eastAsia"/>
                                <w:szCs w:val="21"/>
                              </w:rPr>
                              <w:t>代理人身份证复印件正反面</w:t>
                            </w:r>
                          </w:p>
                        </w:txbxContent>
                      </wps:txbx>
                      <wps:bodyPr rot="0" vert="horz" wrap="square" lIns="91440" tIns="45720" rIns="91440" bIns="45720" anchor="t" anchorCtr="0"/>
                    </wps:wsp>
                  </a:graphicData>
                </a:graphic>
              </wp:anchor>
            </w:drawing>
          </mc:Choice>
          <mc:Fallback>
            <w:pict>
              <v:shape id="自选图形 5" o:spid="_x0000_s1026" o:spt="176" type="#_x0000_t176" style="position:absolute;left:0pt;margin-left:131.5pt;margin-top:11.8pt;height:102.9pt;width:158.1pt;z-index:251661312;mso-width-relative:page;mso-height-relative:page;" fillcolor="#FFFFFF" filled="t" stroked="t" coordsize="21600,21600" o:gfxdata="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y/m/ZAAAACgEA&#10;AA8AAAAAAAAAAQAgAAAAIgAAAGRycy9kb3ducmV2LnhtbFBLAQIUABQAAAAIAIdO4kAI4gvwUgIA&#10;ALAEAAAOAAAAAAAAAAEAIAAAACgBAABkcnMvZTJvRG9jLnhtbFBLBQYAAAAABgAGAFkBAADsBQAA&#10;AAA=&#10;">
                <v:fill on="t" focussize="0,0"/>
                <v:stroke color="#000000" miterlimit="0" joinstyle="miter"/>
                <v:imagedata o:title=""/>
                <o:lock v:ext="edit" aspectratio="f"/>
                <v:textbox>
                  <w:txbxContent>
                    <w:p w14:paraId="3E3B9869">
                      <w:pPr>
                        <w:jc w:val="center"/>
                        <w:rPr>
                          <w:szCs w:val="21"/>
                        </w:rPr>
                      </w:pPr>
                    </w:p>
                    <w:p w14:paraId="1738551B">
                      <w:pPr>
                        <w:jc w:val="center"/>
                        <w:rPr>
                          <w:szCs w:val="21"/>
                        </w:rPr>
                      </w:pPr>
                      <w:r>
                        <w:rPr>
                          <w:rFonts w:hint="eastAsia"/>
                          <w:szCs w:val="21"/>
                        </w:rPr>
                        <w:t>代理人身份证复印件正反面</w:t>
                      </w:r>
                    </w:p>
                  </w:txbxContent>
                </v:textbox>
              </v:shape>
            </w:pict>
          </mc:Fallback>
        </mc:AlternateContent>
      </w:r>
    </w:p>
    <w:p w14:paraId="68A2A605">
      <w:pPr>
        <w:pStyle w:val="62"/>
        <w:rPr>
          <w:rFonts w:ascii="宋体" w:hAnsi="宋体" w:eastAsia="宋体" w:cs="宋体"/>
          <w:color w:val="auto"/>
          <w:szCs w:val="21"/>
          <w:u w:val="single"/>
        </w:rPr>
      </w:pPr>
    </w:p>
    <w:p w14:paraId="3E1FCEC7">
      <w:pPr>
        <w:pStyle w:val="62"/>
        <w:rPr>
          <w:rFonts w:ascii="宋体" w:hAnsi="宋体" w:eastAsia="宋体" w:cs="宋体"/>
          <w:color w:val="auto"/>
          <w:szCs w:val="21"/>
          <w:u w:val="single"/>
        </w:rPr>
      </w:pPr>
    </w:p>
    <w:p w14:paraId="1D679FC5">
      <w:pPr>
        <w:pStyle w:val="62"/>
        <w:rPr>
          <w:rFonts w:ascii="宋体" w:hAnsi="宋体" w:eastAsia="宋体" w:cs="宋体"/>
          <w:color w:val="auto"/>
          <w:szCs w:val="21"/>
          <w:u w:val="single"/>
        </w:rPr>
      </w:pPr>
    </w:p>
    <w:p w14:paraId="4583B697">
      <w:pPr>
        <w:pStyle w:val="62"/>
        <w:rPr>
          <w:rFonts w:ascii="宋体" w:hAnsi="宋体" w:eastAsia="宋体" w:cs="宋体"/>
          <w:color w:val="auto"/>
          <w:szCs w:val="21"/>
          <w:u w:val="single"/>
        </w:rPr>
      </w:pPr>
    </w:p>
    <w:p w14:paraId="7564AD09">
      <w:pPr>
        <w:pStyle w:val="62"/>
        <w:rPr>
          <w:rFonts w:ascii="宋体" w:hAnsi="宋体" w:eastAsia="宋体" w:cs="宋体"/>
          <w:color w:val="auto"/>
          <w:szCs w:val="21"/>
          <w:u w:val="single"/>
        </w:rPr>
      </w:pPr>
    </w:p>
    <w:p w14:paraId="73470FF4">
      <w:pPr>
        <w:pStyle w:val="62"/>
        <w:rPr>
          <w:rFonts w:ascii="宋体" w:hAnsi="宋体" w:eastAsia="宋体" w:cs="宋体"/>
          <w:color w:val="auto"/>
          <w:szCs w:val="21"/>
          <w:u w:val="single"/>
        </w:rPr>
      </w:pPr>
    </w:p>
    <w:bookmarkEnd w:id="223"/>
    <w:bookmarkEnd w:id="224"/>
    <w:bookmarkEnd w:id="225"/>
    <w:p w14:paraId="114771B8">
      <w:pPr>
        <w:pStyle w:val="3"/>
        <w:jc w:val="center"/>
        <w:rPr>
          <w:rFonts w:ascii="宋体" w:hAnsi="宋体" w:eastAsia="宋体" w:cs="宋体"/>
          <w:b/>
          <w:bCs/>
          <w:color w:val="auto"/>
          <w:sz w:val="28"/>
          <w:szCs w:val="28"/>
        </w:rPr>
      </w:pPr>
      <w:r>
        <w:rPr>
          <w:rFonts w:hint="eastAsia" w:ascii="宋体" w:hAnsi="宋体" w:eastAsia="宋体" w:cs="宋体"/>
          <w:b/>
          <w:bCs/>
          <w:color w:val="auto"/>
          <w:sz w:val="28"/>
          <w:szCs w:val="28"/>
        </w:rPr>
        <w:t>4、“★”（实质性）条款响应表</w:t>
      </w:r>
    </w:p>
    <w:p w14:paraId="371D128F">
      <w:pPr>
        <w:spacing w:beforeAutospacing="0" w:afterAutospacing="0" w:line="360" w:lineRule="auto"/>
        <w:ind w:firstLine="105" w:firstLineChars="50"/>
        <w:rPr>
          <w:rFonts w:hint="eastAsia" w:ascii="宋体" w:hAnsi="宋体" w:eastAsia="宋体" w:cs="宋体"/>
          <w:szCs w:val="21"/>
          <w:lang w:eastAsia="zh-CN"/>
        </w:rPr>
      </w:pPr>
      <w:r>
        <w:rPr>
          <w:rFonts w:hint="eastAsia" w:ascii="宋体" w:hAnsi="宋体" w:eastAsia="宋体" w:cs="宋体"/>
          <w:szCs w:val="21"/>
        </w:rPr>
        <w:t>项目名称</w:t>
      </w:r>
      <w:r>
        <w:rPr>
          <w:rFonts w:hint="eastAsia" w:ascii="宋体" w:hAnsi="宋体" w:eastAsia="宋体" w:cs="宋体"/>
          <w:kern w:val="28"/>
          <w:szCs w:val="21"/>
        </w:rPr>
        <w:t>：</w:t>
      </w:r>
      <w:r>
        <w:rPr>
          <w:rFonts w:hint="eastAsia" w:cs="宋体"/>
          <w:color w:val="auto"/>
          <w:sz w:val="21"/>
          <w:szCs w:val="21"/>
          <w:u w:val="none"/>
          <w:lang w:eastAsia="zh-CN"/>
        </w:rPr>
        <w:t>新丰县公共智慧体系配套建设项目</w:t>
      </w:r>
    </w:p>
    <w:p w14:paraId="509CF5A9">
      <w:pPr>
        <w:spacing w:beforeAutospacing="0" w:afterAutospacing="0" w:line="360" w:lineRule="auto"/>
        <w:ind w:firstLine="105" w:firstLineChars="50"/>
        <w:rPr>
          <w:rFonts w:hint="eastAsia" w:ascii="宋体" w:hAnsi="宋体" w:eastAsia="宋体" w:cs="宋体"/>
          <w:bCs/>
          <w:szCs w:val="21"/>
          <w:lang w:eastAsia="zh-CN"/>
        </w:rPr>
      </w:pPr>
      <w:r>
        <w:rPr>
          <w:rFonts w:hint="eastAsia" w:ascii="宋体" w:hAnsi="宋体" w:eastAsia="宋体" w:cs="宋体"/>
          <w:szCs w:val="21"/>
        </w:rPr>
        <w:t>项目编号：</w:t>
      </w:r>
      <w:r>
        <w:rPr>
          <w:rFonts w:hint="eastAsia" w:ascii="宋体" w:hAnsi="宋体" w:cs="宋体"/>
          <w:szCs w:val="21"/>
          <w:lang w:eastAsia="zh-CN"/>
        </w:rPr>
        <w:t xml:space="preserve">HXZB2509087FG </w:t>
      </w:r>
      <w:r>
        <w:rPr>
          <w:rFonts w:hint="eastAsia" w:ascii="宋体" w:hAnsi="宋体" w:eastAsia="宋体" w:cs="宋体"/>
          <w:szCs w:val="21"/>
          <w:lang w:eastAsia="zh-CN"/>
        </w:rPr>
        <w:t xml:space="preserve"> </w:t>
      </w:r>
    </w:p>
    <w:tbl>
      <w:tblPr>
        <w:tblStyle w:val="47"/>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3466"/>
        <w:gridCol w:w="1328"/>
        <w:gridCol w:w="1330"/>
        <w:gridCol w:w="1169"/>
      </w:tblGrid>
      <w:tr w14:paraId="726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32" w:type="pct"/>
            <w:vAlign w:val="center"/>
          </w:tcPr>
          <w:p w14:paraId="06A39E17">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序号</w:t>
            </w:r>
          </w:p>
        </w:tc>
        <w:tc>
          <w:tcPr>
            <w:tcW w:w="2075" w:type="pct"/>
            <w:tcBorders>
              <w:left w:val="single" w:color="000000" w:sz="4" w:space="0"/>
            </w:tcBorders>
            <w:vAlign w:val="center"/>
          </w:tcPr>
          <w:p w14:paraId="6FE831C8">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招标需求带“★”号条款内容</w:t>
            </w:r>
          </w:p>
        </w:tc>
        <w:tc>
          <w:tcPr>
            <w:tcW w:w="795" w:type="pct"/>
            <w:vAlign w:val="center"/>
          </w:tcPr>
          <w:p w14:paraId="668FA298">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是否响应</w:t>
            </w:r>
          </w:p>
        </w:tc>
        <w:tc>
          <w:tcPr>
            <w:tcW w:w="796" w:type="pct"/>
            <w:vAlign w:val="center"/>
          </w:tcPr>
          <w:p w14:paraId="35412AA9">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偏离说明</w:t>
            </w:r>
          </w:p>
        </w:tc>
        <w:tc>
          <w:tcPr>
            <w:tcW w:w="700" w:type="pct"/>
            <w:vAlign w:val="center"/>
          </w:tcPr>
          <w:p w14:paraId="358409CA">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响应页码</w:t>
            </w:r>
          </w:p>
        </w:tc>
      </w:tr>
      <w:tr w14:paraId="1086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2" w:type="pct"/>
            <w:vAlign w:val="center"/>
          </w:tcPr>
          <w:p w14:paraId="2420E12D">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1</w:t>
            </w:r>
          </w:p>
        </w:tc>
        <w:tc>
          <w:tcPr>
            <w:tcW w:w="2075" w:type="pct"/>
            <w:tcBorders>
              <w:left w:val="single" w:color="000000" w:sz="4" w:space="0"/>
            </w:tcBorders>
            <w:vAlign w:val="center"/>
          </w:tcPr>
          <w:p w14:paraId="76469A5A">
            <w:pPr>
              <w:spacing w:beforeAutospacing="0" w:afterAutospacing="0" w:line="360" w:lineRule="auto"/>
              <w:rPr>
                <w:rFonts w:ascii="宋体" w:hAnsi="宋体" w:eastAsia="宋体" w:cs="宋体"/>
                <w:szCs w:val="21"/>
              </w:rPr>
            </w:pPr>
          </w:p>
        </w:tc>
        <w:tc>
          <w:tcPr>
            <w:tcW w:w="795" w:type="pct"/>
            <w:vAlign w:val="top"/>
          </w:tcPr>
          <w:p w14:paraId="4723E1FA">
            <w:pPr>
              <w:spacing w:before="240" w:beforeAutospacing="0" w:afterAutospacing="0" w:line="360" w:lineRule="auto"/>
              <w:ind w:left="902" w:hanging="902"/>
              <w:rPr>
                <w:rFonts w:ascii="宋体" w:hAnsi="宋体" w:eastAsia="宋体" w:cs="宋体"/>
                <w:szCs w:val="21"/>
              </w:rPr>
            </w:pPr>
          </w:p>
        </w:tc>
        <w:tc>
          <w:tcPr>
            <w:tcW w:w="796" w:type="pct"/>
            <w:vAlign w:val="top"/>
          </w:tcPr>
          <w:p w14:paraId="26ABACBC">
            <w:pPr>
              <w:spacing w:before="240" w:beforeAutospacing="0" w:afterAutospacing="0" w:line="360" w:lineRule="auto"/>
              <w:ind w:left="902" w:hanging="902"/>
              <w:rPr>
                <w:rFonts w:ascii="宋体" w:hAnsi="宋体" w:eastAsia="宋体" w:cs="宋体"/>
                <w:szCs w:val="21"/>
              </w:rPr>
            </w:pPr>
          </w:p>
        </w:tc>
        <w:tc>
          <w:tcPr>
            <w:tcW w:w="700" w:type="pct"/>
            <w:vAlign w:val="top"/>
          </w:tcPr>
          <w:p w14:paraId="2B945755">
            <w:pPr>
              <w:spacing w:before="240" w:beforeAutospacing="0" w:afterAutospacing="0" w:line="360" w:lineRule="auto"/>
              <w:rPr>
                <w:rFonts w:ascii="宋体" w:hAnsi="宋体" w:eastAsia="宋体" w:cs="宋体"/>
                <w:szCs w:val="21"/>
              </w:rPr>
            </w:pPr>
          </w:p>
        </w:tc>
      </w:tr>
      <w:tr w14:paraId="602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32" w:type="pct"/>
            <w:vAlign w:val="center"/>
          </w:tcPr>
          <w:p w14:paraId="36CC98FC">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2</w:t>
            </w:r>
          </w:p>
        </w:tc>
        <w:tc>
          <w:tcPr>
            <w:tcW w:w="2075" w:type="pct"/>
            <w:tcBorders>
              <w:left w:val="single" w:color="000000" w:sz="4" w:space="0"/>
            </w:tcBorders>
            <w:vAlign w:val="center"/>
          </w:tcPr>
          <w:p w14:paraId="693ED0B8">
            <w:pPr>
              <w:spacing w:beforeAutospacing="0" w:afterAutospacing="0" w:line="360" w:lineRule="auto"/>
              <w:rPr>
                <w:rFonts w:ascii="宋体" w:hAnsi="宋体" w:eastAsia="宋体" w:cs="宋体"/>
                <w:szCs w:val="21"/>
              </w:rPr>
            </w:pPr>
          </w:p>
        </w:tc>
        <w:tc>
          <w:tcPr>
            <w:tcW w:w="795" w:type="pct"/>
            <w:vAlign w:val="top"/>
          </w:tcPr>
          <w:p w14:paraId="5184663C">
            <w:pPr>
              <w:spacing w:before="240" w:beforeAutospacing="0" w:afterAutospacing="0" w:line="360" w:lineRule="auto"/>
              <w:ind w:left="902" w:hanging="902"/>
              <w:rPr>
                <w:rFonts w:ascii="宋体" w:hAnsi="宋体" w:eastAsia="宋体" w:cs="宋体"/>
                <w:szCs w:val="21"/>
              </w:rPr>
            </w:pPr>
          </w:p>
        </w:tc>
        <w:tc>
          <w:tcPr>
            <w:tcW w:w="796" w:type="pct"/>
            <w:vAlign w:val="top"/>
          </w:tcPr>
          <w:p w14:paraId="5D6918B9">
            <w:pPr>
              <w:spacing w:before="240" w:beforeAutospacing="0" w:afterAutospacing="0" w:line="360" w:lineRule="auto"/>
              <w:ind w:left="902" w:hanging="902"/>
              <w:rPr>
                <w:rFonts w:ascii="宋体" w:hAnsi="宋体" w:eastAsia="宋体" w:cs="宋体"/>
                <w:szCs w:val="21"/>
              </w:rPr>
            </w:pPr>
          </w:p>
        </w:tc>
        <w:tc>
          <w:tcPr>
            <w:tcW w:w="700" w:type="pct"/>
            <w:vAlign w:val="top"/>
          </w:tcPr>
          <w:p w14:paraId="3E5C50DC">
            <w:pPr>
              <w:spacing w:before="240" w:beforeAutospacing="0" w:afterAutospacing="0" w:line="360" w:lineRule="auto"/>
              <w:ind w:left="902" w:hanging="902"/>
              <w:rPr>
                <w:rFonts w:ascii="宋体" w:hAnsi="宋体" w:eastAsia="宋体" w:cs="宋体"/>
                <w:szCs w:val="21"/>
              </w:rPr>
            </w:pPr>
          </w:p>
        </w:tc>
      </w:tr>
      <w:tr w14:paraId="6FC6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5508685D">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3</w:t>
            </w:r>
          </w:p>
        </w:tc>
        <w:tc>
          <w:tcPr>
            <w:tcW w:w="2075" w:type="pct"/>
            <w:tcBorders>
              <w:left w:val="single" w:color="000000" w:sz="4" w:space="0"/>
            </w:tcBorders>
            <w:vAlign w:val="top"/>
          </w:tcPr>
          <w:p w14:paraId="54AB3CD8">
            <w:pPr>
              <w:spacing w:beforeAutospacing="0" w:afterAutospacing="0" w:line="360" w:lineRule="auto"/>
              <w:rPr>
                <w:rFonts w:ascii="宋体" w:hAnsi="宋体" w:eastAsia="宋体" w:cs="宋体"/>
                <w:szCs w:val="21"/>
              </w:rPr>
            </w:pPr>
          </w:p>
        </w:tc>
        <w:tc>
          <w:tcPr>
            <w:tcW w:w="795" w:type="pct"/>
            <w:vAlign w:val="top"/>
          </w:tcPr>
          <w:p w14:paraId="328D520E">
            <w:pPr>
              <w:spacing w:before="240" w:beforeAutospacing="0" w:afterAutospacing="0" w:line="360" w:lineRule="auto"/>
              <w:ind w:left="902" w:hanging="902"/>
              <w:rPr>
                <w:rFonts w:ascii="宋体" w:hAnsi="宋体" w:eastAsia="宋体" w:cs="宋体"/>
                <w:szCs w:val="21"/>
              </w:rPr>
            </w:pPr>
          </w:p>
        </w:tc>
        <w:tc>
          <w:tcPr>
            <w:tcW w:w="796" w:type="pct"/>
            <w:vAlign w:val="top"/>
          </w:tcPr>
          <w:p w14:paraId="1EA9CDF0">
            <w:pPr>
              <w:spacing w:before="240" w:beforeAutospacing="0" w:afterAutospacing="0" w:line="360" w:lineRule="auto"/>
              <w:ind w:left="902" w:hanging="902"/>
              <w:rPr>
                <w:rFonts w:ascii="宋体" w:hAnsi="宋体" w:eastAsia="宋体" w:cs="宋体"/>
                <w:szCs w:val="21"/>
              </w:rPr>
            </w:pPr>
          </w:p>
        </w:tc>
        <w:tc>
          <w:tcPr>
            <w:tcW w:w="700" w:type="pct"/>
            <w:vAlign w:val="top"/>
          </w:tcPr>
          <w:p w14:paraId="3FA920E2">
            <w:pPr>
              <w:spacing w:before="240" w:beforeAutospacing="0" w:afterAutospacing="0" w:line="360" w:lineRule="auto"/>
              <w:ind w:left="902" w:hanging="902"/>
              <w:rPr>
                <w:rFonts w:ascii="宋体" w:hAnsi="宋体" w:eastAsia="宋体" w:cs="宋体"/>
                <w:szCs w:val="21"/>
              </w:rPr>
            </w:pPr>
          </w:p>
        </w:tc>
      </w:tr>
      <w:tr w14:paraId="6D1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1C909F3E">
            <w:pPr>
              <w:spacing w:before="240" w:beforeAutospacing="0" w:afterAutospacing="0" w:line="360" w:lineRule="auto"/>
              <w:ind w:firstLine="105" w:firstLineChars="50"/>
              <w:rPr>
                <w:rFonts w:ascii="宋体" w:hAnsi="宋体" w:eastAsia="宋体" w:cs="宋体"/>
                <w:szCs w:val="21"/>
              </w:rPr>
            </w:pPr>
            <w:r>
              <w:rPr>
                <w:rFonts w:hint="eastAsia" w:ascii="宋体" w:hAnsi="宋体" w:eastAsia="宋体" w:cs="宋体"/>
                <w:szCs w:val="21"/>
              </w:rPr>
              <w:t>…</w:t>
            </w:r>
          </w:p>
        </w:tc>
        <w:tc>
          <w:tcPr>
            <w:tcW w:w="2075" w:type="pct"/>
            <w:tcBorders>
              <w:left w:val="single" w:color="000000" w:sz="4" w:space="0"/>
            </w:tcBorders>
            <w:vAlign w:val="top"/>
          </w:tcPr>
          <w:p w14:paraId="7C77906A">
            <w:pPr>
              <w:spacing w:beforeAutospacing="0" w:afterAutospacing="0" w:line="360" w:lineRule="auto"/>
              <w:rPr>
                <w:rFonts w:ascii="宋体" w:hAnsi="宋体" w:eastAsia="宋体" w:cs="宋体"/>
                <w:szCs w:val="21"/>
              </w:rPr>
            </w:pPr>
          </w:p>
        </w:tc>
        <w:tc>
          <w:tcPr>
            <w:tcW w:w="795" w:type="pct"/>
            <w:vAlign w:val="top"/>
          </w:tcPr>
          <w:p w14:paraId="69DDA393">
            <w:pPr>
              <w:spacing w:before="240" w:beforeAutospacing="0" w:afterAutospacing="0" w:line="360" w:lineRule="auto"/>
              <w:ind w:left="902" w:hanging="902"/>
              <w:rPr>
                <w:rFonts w:ascii="宋体" w:hAnsi="宋体" w:eastAsia="宋体" w:cs="宋体"/>
                <w:szCs w:val="21"/>
              </w:rPr>
            </w:pPr>
          </w:p>
        </w:tc>
        <w:tc>
          <w:tcPr>
            <w:tcW w:w="796" w:type="pct"/>
            <w:vAlign w:val="top"/>
          </w:tcPr>
          <w:p w14:paraId="128C0493">
            <w:pPr>
              <w:spacing w:before="240" w:beforeAutospacing="0" w:afterAutospacing="0" w:line="360" w:lineRule="auto"/>
              <w:ind w:left="902" w:hanging="902"/>
              <w:rPr>
                <w:rFonts w:ascii="宋体" w:hAnsi="宋体" w:eastAsia="宋体" w:cs="宋体"/>
                <w:szCs w:val="21"/>
              </w:rPr>
            </w:pPr>
          </w:p>
        </w:tc>
        <w:tc>
          <w:tcPr>
            <w:tcW w:w="700" w:type="pct"/>
            <w:vAlign w:val="top"/>
          </w:tcPr>
          <w:p w14:paraId="50995879">
            <w:pPr>
              <w:spacing w:before="240" w:beforeAutospacing="0" w:afterAutospacing="0" w:line="360" w:lineRule="auto"/>
              <w:ind w:left="902" w:hanging="902"/>
              <w:rPr>
                <w:rFonts w:ascii="宋体" w:hAnsi="宋体" w:eastAsia="宋体" w:cs="宋体"/>
                <w:szCs w:val="21"/>
              </w:rPr>
            </w:pPr>
          </w:p>
        </w:tc>
      </w:tr>
    </w:tbl>
    <w:p w14:paraId="5BD140DD">
      <w:pPr>
        <w:spacing w:beforeAutospacing="0" w:afterAutospacing="0" w:line="360" w:lineRule="auto"/>
        <w:rPr>
          <w:rFonts w:ascii="宋体" w:hAnsi="宋体" w:eastAsia="宋体" w:cs="宋体"/>
          <w:bCs/>
          <w:szCs w:val="21"/>
        </w:rPr>
      </w:pPr>
      <w:r>
        <w:rPr>
          <w:rFonts w:hint="eastAsia" w:ascii="宋体" w:hAnsi="宋体" w:eastAsia="宋体" w:cs="宋体"/>
          <w:bCs/>
          <w:szCs w:val="21"/>
        </w:rPr>
        <w:t>说明：1、投标人必须对应招标文件的 “★”号条款逐条应答并按要求填写下表。</w:t>
      </w:r>
    </w:p>
    <w:p w14:paraId="31CC8E49">
      <w:pPr>
        <w:spacing w:beforeAutospacing="0" w:afterAutospacing="0" w:line="360" w:lineRule="auto"/>
        <w:ind w:left="510" w:leftChars="243" w:firstLine="102" w:firstLineChars="49"/>
        <w:rPr>
          <w:rFonts w:ascii="宋体" w:hAnsi="宋体" w:eastAsia="宋体" w:cs="宋体"/>
          <w:bCs/>
          <w:szCs w:val="21"/>
        </w:rPr>
      </w:pPr>
      <w:r>
        <w:rPr>
          <w:rFonts w:hint="eastAsia" w:ascii="宋体" w:hAnsi="宋体" w:eastAsia="宋体" w:cs="宋体"/>
          <w:bCs/>
          <w:szCs w:val="21"/>
        </w:rPr>
        <w:t>2、对完全响应的条目在下表相应列中标注“○”。对有偏离的条目在下表相应列中标注“×”，并简述偏离内容。</w:t>
      </w:r>
    </w:p>
    <w:p w14:paraId="6B1AFF42">
      <w:pPr>
        <w:spacing w:beforeAutospacing="0" w:afterAutospacing="0" w:line="360" w:lineRule="auto"/>
        <w:ind w:firstLine="630" w:firstLineChars="300"/>
        <w:rPr>
          <w:rFonts w:ascii="宋体" w:hAnsi="宋体" w:eastAsia="宋体" w:cs="宋体"/>
          <w:b/>
          <w:bCs/>
          <w:szCs w:val="21"/>
        </w:rPr>
      </w:pPr>
      <w:r>
        <w:rPr>
          <w:rFonts w:hint="eastAsia" w:ascii="宋体" w:hAnsi="宋体" w:eastAsia="宋体" w:cs="宋体"/>
          <w:bCs/>
          <w:szCs w:val="21"/>
        </w:rPr>
        <w:t>3、如招标文件没有带“</w:t>
      </w:r>
      <w:r>
        <w:rPr>
          <w:rFonts w:hint="eastAsia" w:ascii="宋体" w:hAnsi="宋体" w:eastAsia="宋体" w:cs="宋体"/>
          <w:szCs w:val="21"/>
        </w:rPr>
        <w:t>★</w:t>
      </w:r>
      <w:r>
        <w:rPr>
          <w:rFonts w:hint="eastAsia" w:ascii="宋体" w:hAnsi="宋体" w:eastAsia="宋体" w:cs="宋体"/>
          <w:bCs/>
          <w:szCs w:val="21"/>
        </w:rPr>
        <w:t>”号条款的不需填写此表。</w:t>
      </w:r>
    </w:p>
    <w:p w14:paraId="4DFAA36D">
      <w:pPr>
        <w:spacing w:beforeAutospacing="0" w:afterAutospacing="0" w:line="360" w:lineRule="auto"/>
        <w:ind w:firstLine="422" w:firstLineChars="200"/>
        <w:rPr>
          <w:rFonts w:ascii="宋体" w:hAnsi="宋体" w:eastAsia="宋体" w:cs="宋体"/>
          <w:b/>
          <w:bCs/>
          <w:szCs w:val="21"/>
        </w:rPr>
      </w:pPr>
    </w:p>
    <w:p w14:paraId="144E6840">
      <w:pPr>
        <w:adjustRightInd w:val="0"/>
        <w:snapToGrid w:val="0"/>
        <w:spacing w:beforeAutospacing="0" w:afterAutospacing="0" w:line="360" w:lineRule="auto"/>
        <w:rPr>
          <w:rFonts w:ascii="宋体" w:hAnsi="宋体" w:eastAsia="宋体" w:cs="宋体"/>
          <w:szCs w:val="21"/>
        </w:rPr>
      </w:pPr>
    </w:p>
    <w:p w14:paraId="6B65023A">
      <w:pPr>
        <w:adjustRightInd w:val="0"/>
        <w:snapToGrid w:val="0"/>
        <w:spacing w:beforeAutospacing="0" w:afterAutospacing="0" w:line="360" w:lineRule="auto"/>
        <w:rPr>
          <w:rFonts w:ascii="宋体" w:hAnsi="宋体" w:eastAsia="宋体" w:cs="宋体"/>
          <w:szCs w:val="21"/>
        </w:rPr>
      </w:pPr>
    </w:p>
    <w:p w14:paraId="4EF9E2A9">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18B5C1E2">
      <w:pPr>
        <w:adjustRightInd w:val="0"/>
        <w:snapToGrid w:val="0"/>
        <w:spacing w:beforeAutospacing="0" w:afterAutospacing="0" w:line="360" w:lineRule="auto"/>
        <w:rPr>
          <w:rFonts w:hint="eastAsia" w:ascii="宋体" w:hAnsi="宋体" w:eastAsia="宋体" w:cs="宋体"/>
          <w:szCs w:val="21"/>
        </w:rPr>
      </w:pPr>
      <w:r>
        <w:rPr>
          <w:rFonts w:hint="eastAsia" w:ascii="宋体" w:hAnsi="宋体" w:eastAsia="宋体" w:cs="宋体"/>
          <w:szCs w:val="21"/>
        </w:rPr>
        <w:t>法定代表人（或授权代表）签字：</w:t>
      </w:r>
    </w:p>
    <w:p w14:paraId="300D2CE3">
      <w:pPr>
        <w:adjustRightInd w:val="0"/>
        <w:snapToGrid w:val="0"/>
        <w:spacing w:beforeAutospacing="0" w:afterAutospacing="0" w:line="360" w:lineRule="auto"/>
        <w:rPr>
          <w:rFonts w:ascii="宋体" w:hAnsi="宋体" w:eastAsia="宋体" w:cs="宋体"/>
          <w:b/>
          <w:bCs/>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6C6EED20">
      <w:pPr>
        <w:spacing w:beforeAutospacing="0" w:afterAutospacing="0" w:line="360" w:lineRule="auto"/>
        <w:ind w:firstLine="422" w:firstLineChars="200"/>
        <w:rPr>
          <w:rFonts w:ascii="宋体" w:hAnsi="宋体" w:eastAsia="宋体" w:cs="宋体"/>
          <w:b/>
          <w:bCs/>
          <w:szCs w:val="21"/>
        </w:rPr>
      </w:pPr>
    </w:p>
    <w:p w14:paraId="2137A4CA">
      <w:pPr>
        <w:spacing w:beforeAutospacing="0" w:afterAutospacing="0" w:line="360" w:lineRule="auto"/>
        <w:ind w:firstLine="422" w:firstLineChars="200"/>
        <w:rPr>
          <w:rFonts w:ascii="宋体" w:hAnsi="宋体" w:eastAsia="宋体" w:cs="宋体"/>
          <w:b/>
          <w:bCs/>
          <w:szCs w:val="21"/>
        </w:rPr>
      </w:pPr>
    </w:p>
    <w:p w14:paraId="68713EEC">
      <w:pPr>
        <w:pStyle w:val="62"/>
        <w:rPr>
          <w:rFonts w:ascii="宋体" w:hAnsi="宋体" w:eastAsia="宋体" w:cs="宋体"/>
          <w:b/>
          <w:bCs/>
          <w:color w:val="auto"/>
          <w:szCs w:val="21"/>
        </w:rPr>
      </w:pPr>
    </w:p>
    <w:p w14:paraId="7459654E">
      <w:pPr>
        <w:rPr>
          <w:rFonts w:ascii="宋体" w:hAnsi="宋体" w:eastAsia="宋体" w:cs="宋体"/>
          <w:b/>
          <w:bCs/>
          <w:szCs w:val="21"/>
        </w:rPr>
      </w:pPr>
    </w:p>
    <w:p w14:paraId="46251EC1">
      <w:pPr>
        <w:spacing w:beforeAutospacing="0" w:afterAutospacing="0" w:line="360" w:lineRule="auto"/>
        <w:rPr>
          <w:rFonts w:ascii="宋体" w:hAnsi="宋体" w:eastAsia="宋体" w:cs="宋体"/>
          <w:b/>
          <w:bCs/>
          <w:szCs w:val="21"/>
        </w:rPr>
      </w:pPr>
    </w:p>
    <w:p w14:paraId="5C556055">
      <w:pPr>
        <w:pStyle w:val="61"/>
        <w:rPr>
          <w:rFonts w:ascii="宋体" w:hAnsi="宋体" w:eastAsia="宋体" w:cs="宋体"/>
          <w:bCs/>
          <w:szCs w:val="21"/>
        </w:rPr>
      </w:pPr>
    </w:p>
    <w:p w14:paraId="52E6F58C">
      <w:pPr>
        <w:pStyle w:val="61"/>
        <w:rPr>
          <w:rFonts w:ascii="宋体" w:hAnsi="宋体" w:eastAsia="宋体" w:cs="宋体"/>
          <w:bCs/>
          <w:szCs w:val="21"/>
        </w:rPr>
      </w:pPr>
    </w:p>
    <w:p w14:paraId="7631B26A">
      <w:pPr>
        <w:pStyle w:val="61"/>
        <w:rPr>
          <w:rFonts w:ascii="宋体" w:hAnsi="宋体" w:eastAsia="宋体" w:cs="宋体"/>
          <w:bCs/>
          <w:szCs w:val="21"/>
        </w:rPr>
      </w:pPr>
    </w:p>
    <w:p w14:paraId="18DF88FB">
      <w:pPr>
        <w:pStyle w:val="61"/>
        <w:rPr>
          <w:rFonts w:ascii="宋体" w:hAnsi="宋体" w:eastAsia="宋体" w:cs="宋体"/>
          <w:bCs/>
          <w:szCs w:val="21"/>
        </w:rPr>
      </w:pPr>
    </w:p>
    <w:p w14:paraId="3008DEE0">
      <w:pPr>
        <w:pStyle w:val="3"/>
        <w:jc w:val="center"/>
        <w:rPr>
          <w:rFonts w:ascii="宋体" w:hAnsi="宋体" w:eastAsia="宋体" w:cs="宋体"/>
          <w:b/>
          <w:color w:val="auto"/>
          <w:sz w:val="28"/>
          <w:szCs w:val="28"/>
        </w:rPr>
      </w:pPr>
      <w:r>
        <w:rPr>
          <w:rFonts w:hint="eastAsia" w:ascii="宋体" w:hAnsi="宋体" w:eastAsia="宋体" w:cs="宋体"/>
          <w:b/>
          <w:color w:val="auto"/>
          <w:sz w:val="28"/>
          <w:szCs w:val="28"/>
        </w:rPr>
        <w:t>5、“</w:t>
      </w:r>
      <w:r>
        <w:rPr>
          <w:rFonts w:hint="eastAsia" w:ascii="宋体" w:hAnsi="宋体" w:eastAsia="宋体" w:cs="宋体"/>
          <w:b/>
          <w:color w:val="auto"/>
          <w:sz w:val="28"/>
          <w:szCs w:val="28"/>
          <w:lang w:val="zh-CN"/>
        </w:rPr>
        <w:t>▲</w:t>
      </w:r>
      <w:r>
        <w:rPr>
          <w:rFonts w:hint="eastAsia" w:ascii="宋体" w:hAnsi="宋体" w:eastAsia="宋体" w:cs="宋体"/>
          <w:b/>
          <w:color w:val="auto"/>
          <w:sz w:val="28"/>
          <w:szCs w:val="28"/>
        </w:rPr>
        <w:t>”重要条款响应表</w:t>
      </w:r>
    </w:p>
    <w:p w14:paraId="144F21DF">
      <w:pPr>
        <w:spacing w:beforeAutospacing="0" w:afterAutospacing="0" w:line="360" w:lineRule="auto"/>
        <w:ind w:firstLine="105" w:firstLineChars="50"/>
        <w:rPr>
          <w:rFonts w:hint="eastAsia" w:ascii="宋体" w:hAnsi="宋体" w:eastAsia="宋体" w:cs="宋体"/>
          <w:szCs w:val="21"/>
          <w:lang w:eastAsia="zh-CN"/>
        </w:rPr>
      </w:pPr>
      <w:r>
        <w:rPr>
          <w:rFonts w:hint="eastAsia" w:ascii="宋体" w:hAnsi="宋体" w:eastAsia="宋体" w:cs="宋体"/>
          <w:szCs w:val="21"/>
        </w:rPr>
        <w:t>项目名称</w:t>
      </w:r>
      <w:r>
        <w:rPr>
          <w:rFonts w:hint="eastAsia" w:ascii="宋体" w:hAnsi="宋体" w:eastAsia="宋体" w:cs="宋体"/>
          <w:kern w:val="28"/>
          <w:szCs w:val="21"/>
        </w:rPr>
        <w:t>：</w:t>
      </w:r>
      <w:r>
        <w:rPr>
          <w:rFonts w:hint="eastAsia" w:cs="宋体"/>
          <w:color w:val="auto"/>
          <w:sz w:val="21"/>
          <w:szCs w:val="21"/>
          <w:u w:val="none"/>
          <w:lang w:eastAsia="zh-CN"/>
        </w:rPr>
        <w:t>新丰县公共智慧体系配套建设项目</w:t>
      </w:r>
    </w:p>
    <w:p w14:paraId="40B0FF49">
      <w:pPr>
        <w:spacing w:beforeAutospacing="0" w:afterAutospacing="0" w:line="360" w:lineRule="auto"/>
        <w:ind w:firstLine="105" w:firstLineChars="50"/>
        <w:rPr>
          <w:rFonts w:hint="eastAsia" w:ascii="宋体" w:hAnsi="宋体" w:eastAsia="宋体" w:cs="宋体"/>
          <w:lang w:eastAsia="zh-CN"/>
        </w:rPr>
      </w:pPr>
      <w:r>
        <w:rPr>
          <w:rFonts w:hint="eastAsia" w:ascii="宋体" w:hAnsi="宋体" w:eastAsia="宋体" w:cs="宋体"/>
          <w:szCs w:val="21"/>
        </w:rPr>
        <w:t>项目编号：</w:t>
      </w:r>
      <w:r>
        <w:rPr>
          <w:rFonts w:hint="eastAsia" w:ascii="宋体" w:hAnsi="宋体" w:cs="宋体"/>
          <w:szCs w:val="21"/>
          <w:lang w:eastAsia="zh-CN"/>
        </w:rPr>
        <w:t xml:space="preserve">HXZB2509087FG </w:t>
      </w:r>
      <w:r>
        <w:rPr>
          <w:rFonts w:hint="eastAsia" w:ascii="宋体" w:hAnsi="宋体" w:eastAsia="宋体" w:cs="宋体"/>
          <w:szCs w:val="21"/>
          <w:lang w:eastAsia="zh-CN"/>
        </w:rPr>
        <w:t xml:space="preserve"> </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194"/>
        <w:gridCol w:w="1329"/>
        <w:gridCol w:w="1330"/>
        <w:gridCol w:w="1330"/>
      </w:tblGrid>
      <w:tr w14:paraId="47E3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74" w:type="pct"/>
            <w:vAlign w:val="center"/>
          </w:tcPr>
          <w:p w14:paraId="3390F650">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序号</w:t>
            </w:r>
          </w:p>
        </w:tc>
        <w:tc>
          <w:tcPr>
            <w:tcW w:w="2128" w:type="pct"/>
            <w:tcBorders>
              <w:left w:val="single" w:color="000000" w:sz="4" w:space="0"/>
            </w:tcBorders>
            <w:vAlign w:val="center"/>
          </w:tcPr>
          <w:p w14:paraId="73823C76">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招标需求带“</w:t>
            </w:r>
            <w:r>
              <w:rPr>
                <w:rFonts w:hint="eastAsia" w:ascii="宋体" w:hAnsi="宋体" w:eastAsia="宋体" w:cs="宋体"/>
                <w:b/>
                <w:bCs/>
                <w:sz w:val="24"/>
                <w:szCs w:val="24"/>
                <w:lang w:val="zh-CN"/>
              </w:rPr>
              <w:t>▲</w:t>
            </w:r>
            <w:r>
              <w:rPr>
                <w:rFonts w:hint="eastAsia" w:ascii="宋体" w:hAnsi="宋体" w:eastAsia="宋体" w:cs="宋体"/>
                <w:b/>
                <w:bCs/>
                <w:szCs w:val="21"/>
              </w:rPr>
              <w:t>”号条款内容</w:t>
            </w:r>
          </w:p>
        </w:tc>
        <w:tc>
          <w:tcPr>
            <w:tcW w:w="890" w:type="pct"/>
            <w:vAlign w:val="center"/>
          </w:tcPr>
          <w:p w14:paraId="18E2856E">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是否响应</w:t>
            </w:r>
          </w:p>
        </w:tc>
        <w:tc>
          <w:tcPr>
            <w:tcW w:w="768" w:type="pct"/>
            <w:vAlign w:val="center"/>
          </w:tcPr>
          <w:p w14:paraId="2BFE8E6E">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偏离说明</w:t>
            </w:r>
          </w:p>
        </w:tc>
        <w:tc>
          <w:tcPr>
            <w:tcW w:w="737" w:type="pct"/>
            <w:vAlign w:val="center"/>
          </w:tcPr>
          <w:p w14:paraId="54173BC6">
            <w:pPr>
              <w:spacing w:before="240" w:beforeAutospacing="0" w:afterAutospacing="0" w:line="360" w:lineRule="auto"/>
              <w:ind w:left="902" w:hanging="902"/>
              <w:jc w:val="center"/>
              <w:rPr>
                <w:rFonts w:ascii="宋体" w:hAnsi="宋体" w:eastAsia="宋体" w:cs="宋体"/>
                <w:b/>
                <w:bCs/>
                <w:szCs w:val="21"/>
              </w:rPr>
            </w:pPr>
            <w:r>
              <w:rPr>
                <w:rFonts w:hint="eastAsia" w:ascii="宋体" w:hAnsi="宋体" w:eastAsia="宋体" w:cs="宋体"/>
                <w:b/>
                <w:bCs/>
                <w:szCs w:val="21"/>
              </w:rPr>
              <w:t>响应页码</w:t>
            </w:r>
          </w:p>
        </w:tc>
      </w:tr>
      <w:tr w14:paraId="67F1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4" w:type="pct"/>
            <w:vAlign w:val="center"/>
          </w:tcPr>
          <w:p w14:paraId="44579633">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1</w:t>
            </w:r>
          </w:p>
        </w:tc>
        <w:tc>
          <w:tcPr>
            <w:tcW w:w="2128" w:type="pct"/>
            <w:tcBorders>
              <w:left w:val="single" w:color="000000" w:sz="4" w:space="0"/>
            </w:tcBorders>
            <w:vAlign w:val="center"/>
          </w:tcPr>
          <w:p w14:paraId="00C74A89">
            <w:pPr>
              <w:spacing w:beforeAutospacing="0" w:afterAutospacing="0" w:line="360" w:lineRule="auto"/>
              <w:rPr>
                <w:rFonts w:ascii="宋体" w:hAnsi="宋体" w:eastAsia="宋体" w:cs="宋体"/>
                <w:szCs w:val="21"/>
              </w:rPr>
            </w:pPr>
          </w:p>
        </w:tc>
        <w:tc>
          <w:tcPr>
            <w:tcW w:w="890" w:type="pct"/>
            <w:vAlign w:val="top"/>
          </w:tcPr>
          <w:p w14:paraId="0FBD6AAF">
            <w:pPr>
              <w:spacing w:before="240" w:beforeAutospacing="0" w:afterAutospacing="0" w:line="360" w:lineRule="auto"/>
              <w:ind w:left="902" w:hanging="902"/>
              <w:rPr>
                <w:rFonts w:ascii="宋体" w:hAnsi="宋体" w:eastAsia="宋体" w:cs="宋体"/>
                <w:szCs w:val="21"/>
              </w:rPr>
            </w:pPr>
          </w:p>
        </w:tc>
        <w:tc>
          <w:tcPr>
            <w:tcW w:w="768" w:type="pct"/>
            <w:vAlign w:val="top"/>
          </w:tcPr>
          <w:p w14:paraId="078C192D">
            <w:pPr>
              <w:spacing w:before="240" w:beforeAutospacing="0" w:afterAutospacing="0" w:line="360" w:lineRule="auto"/>
              <w:ind w:left="902" w:hanging="902"/>
              <w:rPr>
                <w:rFonts w:ascii="宋体" w:hAnsi="宋体" w:eastAsia="宋体" w:cs="宋体"/>
                <w:szCs w:val="21"/>
              </w:rPr>
            </w:pPr>
          </w:p>
        </w:tc>
        <w:tc>
          <w:tcPr>
            <w:tcW w:w="737" w:type="pct"/>
            <w:vAlign w:val="top"/>
          </w:tcPr>
          <w:p w14:paraId="7418A95B">
            <w:pPr>
              <w:spacing w:before="240" w:beforeAutospacing="0" w:afterAutospacing="0" w:line="360" w:lineRule="auto"/>
              <w:rPr>
                <w:rFonts w:ascii="宋体" w:hAnsi="宋体" w:eastAsia="宋体" w:cs="宋体"/>
                <w:szCs w:val="21"/>
              </w:rPr>
            </w:pPr>
          </w:p>
        </w:tc>
      </w:tr>
      <w:tr w14:paraId="7D6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74" w:type="pct"/>
            <w:vAlign w:val="center"/>
          </w:tcPr>
          <w:p w14:paraId="6325DAAA">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2</w:t>
            </w:r>
          </w:p>
        </w:tc>
        <w:tc>
          <w:tcPr>
            <w:tcW w:w="2128" w:type="pct"/>
            <w:tcBorders>
              <w:left w:val="single" w:color="000000" w:sz="4" w:space="0"/>
            </w:tcBorders>
            <w:vAlign w:val="center"/>
          </w:tcPr>
          <w:p w14:paraId="0701E296">
            <w:pPr>
              <w:spacing w:beforeAutospacing="0" w:afterAutospacing="0" w:line="360" w:lineRule="auto"/>
              <w:rPr>
                <w:rFonts w:ascii="宋体" w:hAnsi="宋体" w:eastAsia="宋体" w:cs="宋体"/>
                <w:szCs w:val="21"/>
              </w:rPr>
            </w:pPr>
          </w:p>
        </w:tc>
        <w:tc>
          <w:tcPr>
            <w:tcW w:w="890" w:type="pct"/>
            <w:vAlign w:val="top"/>
          </w:tcPr>
          <w:p w14:paraId="753E05F2">
            <w:pPr>
              <w:spacing w:before="240" w:beforeAutospacing="0" w:afterAutospacing="0" w:line="360" w:lineRule="auto"/>
              <w:ind w:left="902" w:hanging="902"/>
              <w:rPr>
                <w:rFonts w:ascii="宋体" w:hAnsi="宋体" w:eastAsia="宋体" w:cs="宋体"/>
                <w:szCs w:val="21"/>
              </w:rPr>
            </w:pPr>
          </w:p>
        </w:tc>
        <w:tc>
          <w:tcPr>
            <w:tcW w:w="768" w:type="pct"/>
            <w:vAlign w:val="top"/>
          </w:tcPr>
          <w:p w14:paraId="579523DC">
            <w:pPr>
              <w:spacing w:before="240" w:beforeAutospacing="0" w:afterAutospacing="0" w:line="360" w:lineRule="auto"/>
              <w:ind w:left="902" w:hanging="902"/>
              <w:rPr>
                <w:rFonts w:ascii="宋体" w:hAnsi="宋体" w:eastAsia="宋体" w:cs="宋体"/>
                <w:szCs w:val="21"/>
              </w:rPr>
            </w:pPr>
          </w:p>
        </w:tc>
        <w:tc>
          <w:tcPr>
            <w:tcW w:w="737" w:type="pct"/>
            <w:vAlign w:val="top"/>
          </w:tcPr>
          <w:p w14:paraId="3FE9F21C">
            <w:pPr>
              <w:spacing w:before="240" w:beforeAutospacing="0" w:afterAutospacing="0" w:line="360" w:lineRule="auto"/>
              <w:ind w:left="902" w:hanging="902"/>
              <w:rPr>
                <w:rFonts w:ascii="宋体" w:hAnsi="宋体" w:eastAsia="宋体" w:cs="宋体"/>
                <w:szCs w:val="21"/>
              </w:rPr>
            </w:pPr>
          </w:p>
        </w:tc>
      </w:tr>
      <w:tr w14:paraId="11D4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2E4A8459">
            <w:pPr>
              <w:spacing w:before="240" w:beforeAutospacing="0" w:afterAutospacing="0" w:line="360" w:lineRule="auto"/>
              <w:ind w:left="902" w:hanging="902"/>
              <w:jc w:val="center"/>
              <w:rPr>
                <w:rFonts w:ascii="宋体" w:hAnsi="宋体" w:eastAsia="宋体" w:cs="宋体"/>
                <w:szCs w:val="21"/>
              </w:rPr>
            </w:pPr>
            <w:r>
              <w:rPr>
                <w:rFonts w:hint="eastAsia" w:ascii="宋体" w:hAnsi="宋体" w:eastAsia="宋体" w:cs="宋体"/>
                <w:szCs w:val="21"/>
              </w:rPr>
              <w:t>3</w:t>
            </w:r>
          </w:p>
        </w:tc>
        <w:tc>
          <w:tcPr>
            <w:tcW w:w="2128" w:type="pct"/>
            <w:tcBorders>
              <w:left w:val="single" w:color="000000" w:sz="4" w:space="0"/>
            </w:tcBorders>
            <w:vAlign w:val="top"/>
          </w:tcPr>
          <w:p w14:paraId="57C8964F">
            <w:pPr>
              <w:spacing w:beforeAutospacing="0" w:afterAutospacing="0" w:line="360" w:lineRule="auto"/>
              <w:rPr>
                <w:rFonts w:ascii="宋体" w:hAnsi="宋体" w:eastAsia="宋体" w:cs="宋体"/>
                <w:szCs w:val="21"/>
              </w:rPr>
            </w:pPr>
          </w:p>
        </w:tc>
        <w:tc>
          <w:tcPr>
            <w:tcW w:w="890" w:type="pct"/>
            <w:vAlign w:val="top"/>
          </w:tcPr>
          <w:p w14:paraId="362283EE">
            <w:pPr>
              <w:spacing w:before="240" w:beforeAutospacing="0" w:afterAutospacing="0" w:line="360" w:lineRule="auto"/>
              <w:ind w:left="902" w:hanging="902"/>
              <w:rPr>
                <w:rFonts w:ascii="宋体" w:hAnsi="宋体" w:eastAsia="宋体" w:cs="宋体"/>
                <w:szCs w:val="21"/>
              </w:rPr>
            </w:pPr>
          </w:p>
        </w:tc>
        <w:tc>
          <w:tcPr>
            <w:tcW w:w="768" w:type="pct"/>
            <w:vAlign w:val="top"/>
          </w:tcPr>
          <w:p w14:paraId="3F56DB90">
            <w:pPr>
              <w:spacing w:before="240" w:beforeAutospacing="0" w:afterAutospacing="0" w:line="360" w:lineRule="auto"/>
              <w:ind w:left="902" w:hanging="902"/>
              <w:rPr>
                <w:rFonts w:ascii="宋体" w:hAnsi="宋体" w:eastAsia="宋体" w:cs="宋体"/>
                <w:szCs w:val="21"/>
              </w:rPr>
            </w:pPr>
          </w:p>
        </w:tc>
        <w:tc>
          <w:tcPr>
            <w:tcW w:w="737" w:type="pct"/>
            <w:vAlign w:val="top"/>
          </w:tcPr>
          <w:p w14:paraId="155B5F9B">
            <w:pPr>
              <w:spacing w:before="240" w:beforeAutospacing="0" w:afterAutospacing="0" w:line="360" w:lineRule="auto"/>
              <w:ind w:left="902" w:hanging="902"/>
              <w:rPr>
                <w:rFonts w:ascii="宋体" w:hAnsi="宋体" w:eastAsia="宋体" w:cs="宋体"/>
                <w:szCs w:val="21"/>
              </w:rPr>
            </w:pPr>
          </w:p>
        </w:tc>
      </w:tr>
      <w:tr w14:paraId="21B4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33E545FA">
            <w:pPr>
              <w:spacing w:before="240" w:beforeAutospacing="0" w:afterAutospacing="0" w:line="360" w:lineRule="auto"/>
              <w:ind w:firstLine="105" w:firstLineChars="50"/>
              <w:rPr>
                <w:rFonts w:ascii="宋体" w:hAnsi="宋体" w:eastAsia="宋体" w:cs="宋体"/>
                <w:szCs w:val="21"/>
              </w:rPr>
            </w:pPr>
            <w:r>
              <w:rPr>
                <w:rFonts w:hint="eastAsia" w:ascii="宋体" w:hAnsi="宋体" w:eastAsia="宋体" w:cs="宋体"/>
                <w:szCs w:val="21"/>
              </w:rPr>
              <w:t>…</w:t>
            </w:r>
          </w:p>
        </w:tc>
        <w:tc>
          <w:tcPr>
            <w:tcW w:w="2128" w:type="pct"/>
            <w:tcBorders>
              <w:left w:val="single" w:color="000000" w:sz="4" w:space="0"/>
            </w:tcBorders>
            <w:vAlign w:val="top"/>
          </w:tcPr>
          <w:p w14:paraId="5B0747AA">
            <w:pPr>
              <w:spacing w:beforeAutospacing="0" w:afterAutospacing="0" w:line="360" w:lineRule="auto"/>
              <w:rPr>
                <w:rFonts w:ascii="宋体" w:hAnsi="宋体" w:eastAsia="宋体" w:cs="宋体"/>
                <w:szCs w:val="21"/>
              </w:rPr>
            </w:pPr>
          </w:p>
        </w:tc>
        <w:tc>
          <w:tcPr>
            <w:tcW w:w="890" w:type="pct"/>
            <w:vAlign w:val="top"/>
          </w:tcPr>
          <w:p w14:paraId="6FDE3C44">
            <w:pPr>
              <w:spacing w:before="240" w:beforeAutospacing="0" w:afterAutospacing="0" w:line="360" w:lineRule="auto"/>
              <w:ind w:left="902" w:hanging="902"/>
              <w:rPr>
                <w:rFonts w:ascii="宋体" w:hAnsi="宋体" w:eastAsia="宋体" w:cs="宋体"/>
                <w:szCs w:val="21"/>
              </w:rPr>
            </w:pPr>
          </w:p>
        </w:tc>
        <w:tc>
          <w:tcPr>
            <w:tcW w:w="768" w:type="pct"/>
            <w:vAlign w:val="top"/>
          </w:tcPr>
          <w:p w14:paraId="21DC31AD">
            <w:pPr>
              <w:spacing w:before="240" w:beforeAutospacing="0" w:afterAutospacing="0" w:line="360" w:lineRule="auto"/>
              <w:ind w:left="902" w:hanging="902"/>
              <w:rPr>
                <w:rFonts w:ascii="宋体" w:hAnsi="宋体" w:eastAsia="宋体" w:cs="宋体"/>
                <w:szCs w:val="21"/>
              </w:rPr>
            </w:pPr>
          </w:p>
        </w:tc>
        <w:tc>
          <w:tcPr>
            <w:tcW w:w="737" w:type="pct"/>
            <w:vAlign w:val="top"/>
          </w:tcPr>
          <w:p w14:paraId="1C84885E">
            <w:pPr>
              <w:spacing w:before="240" w:beforeAutospacing="0" w:afterAutospacing="0" w:line="360" w:lineRule="auto"/>
              <w:ind w:left="902" w:hanging="902"/>
              <w:rPr>
                <w:rFonts w:ascii="宋体" w:hAnsi="宋体" w:eastAsia="宋体" w:cs="宋体"/>
                <w:szCs w:val="21"/>
              </w:rPr>
            </w:pPr>
          </w:p>
        </w:tc>
      </w:tr>
    </w:tbl>
    <w:p w14:paraId="1A2FBDDD">
      <w:pPr>
        <w:spacing w:beforeAutospacing="0" w:afterAutospacing="0" w:line="360" w:lineRule="auto"/>
        <w:rPr>
          <w:rFonts w:ascii="宋体" w:hAnsi="宋体" w:eastAsia="宋体" w:cs="宋体"/>
          <w:bCs/>
          <w:szCs w:val="21"/>
        </w:rPr>
      </w:pPr>
      <w:r>
        <w:rPr>
          <w:rFonts w:hint="eastAsia" w:ascii="宋体" w:hAnsi="宋体" w:eastAsia="宋体" w:cs="宋体"/>
          <w:bCs/>
          <w:szCs w:val="21"/>
        </w:rPr>
        <w:t>说明：1、投标人必须对应招标文件的 “</w:t>
      </w:r>
      <w:r>
        <w:rPr>
          <w:rFonts w:hint="eastAsia" w:ascii="宋体" w:hAnsi="宋体" w:eastAsia="宋体" w:cs="宋体"/>
          <w:bCs/>
          <w:sz w:val="24"/>
          <w:szCs w:val="24"/>
          <w:lang w:val="zh-CN"/>
        </w:rPr>
        <w:t>▲</w:t>
      </w:r>
      <w:r>
        <w:rPr>
          <w:rFonts w:hint="eastAsia" w:ascii="宋体" w:hAnsi="宋体" w:eastAsia="宋体" w:cs="宋体"/>
          <w:bCs/>
          <w:szCs w:val="21"/>
        </w:rPr>
        <w:t>”号条款逐条应答并按要求填写上表。</w:t>
      </w:r>
    </w:p>
    <w:p w14:paraId="0A03C8E6">
      <w:pPr>
        <w:spacing w:beforeAutospacing="0" w:afterAutospacing="0" w:line="360" w:lineRule="auto"/>
        <w:ind w:left="510" w:leftChars="243" w:firstLine="102" w:firstLineChars="49"/>
        <w:rPr>
          <w:rFonts w:ascii="宋体" w:hAnsi="宋体" w:eastAsia="宋体" w:cs="宋体"/>
          <w:bCs/>
          <w:szCs w:val="21"/>
        </w:rPr>
      </w:pPr>
      <w:r>
        <w:rPr>
          <w:rFonts w:hint="eastAsia" w:ascii="宋体" w:hAnsi="宋体" w:eastAsia="宋体" w:cs="宋体"/>
          <w:bCs/>
          <w:szCs w:val="21"/>
        </w:rPr>
        <w:t>2、对完全响应的条目在上表相应列中标注“○”。对有偏离的条目在上表相应列中标注“×”，并简述偏离内容。</w:t>
      </w:r>
    </w:p>
    <w:p w14:paraId="537EBA66">
      <w:pPr>
        <w:spacing w:beforeAutospacing="0" w:afterAutospacing="0" w:line="360" w:lineRule="auto"/>
        <w:ind w:firstLine="630" w:firstLineChars="300"/>
        <w:rPr>
          <w:rFonts w:ascii="宋体" w:hAnsi="宋体" w:eastAsia="宋体" w:cs="宋体"/>
          <w:b/>
          <w:bCs/>
          <w:szCs w:val="21"/>
        </w:rPr>
      </w:pPr>
      <w:r>
        <w:rPr>
          <w:rFonts w:hint="eastAsia" w:ascii="宋体" w:hAnsi="宋体" w:eastAsia="宋体" w:cs="宋体"/>
          <w:bCs/>
          <w:szCs w:val="21"/>
        </w:rPr>
        <w:t>3、如招标文件没有带“</w:t>
      </w:r>
      <w:r>
        <w:rPr>
          <w:rFonts w:hint="eastAsia" w:ascii="宋体" w:hAnsi="宋体" w:eastAsia="宋体" w:cs="宋体"/>
          <w:bCs/>
          <w:sz w:val="24"/>
          <w:szCs w:val="24"/>
          <w:lang w:val="zh-CN"/>
        </w:rPr>
        <w:t>▲</w:t>
      </w:r>
      <w:r>
        <w:rPr>
          <w:rFonts w:hint="eastAsia" w:ascii="宋体" w:hAnsi="宋体" w:eastAsia="宋体" w:cs="宋体"/>
          <w:bCs/>
          <w:szCs w:val="21"/>
        </w:rPr>
        <w:t>”号条款的不需填写此表。</w:t>
      </w:r>
    </w:p>
    <w:p w14:paraId="3110C17E">
      <w:pPr>
        <w:spacing w:beforeAutospacing="0" w:afterAutospacing="0" w:line="360" w:lineRule="auto"/>
        <w:ind w:firstLine="422" w:firstLineChars="200"/>
        <w:rPr>
          <w:rFonts w:ascii="宋体" w:hAnsi="宋体" w:eastAsia="宋体" w:cs="宋体"/>
          <w:b/>
          <w:bCs/>
          <w:szCs w:val="21"/>
        </w:rPr>
      </w:pPr>
    </w:p>
    <w:p w14:paraId="7010F70D">
      <w:pPr>
        <w:adjustRightInd w:val="0"/>
        <w:snapToGrid w:val="0"/>
        <w:spacing w:beforeAutospacing="0" w:afterAutospacing="0" w:line="360" w:lineRule="auto"/>
        <w:rPr>
          <w:rFonts w:ascii="宋体" w:hAnsi="宋体" w:eastAsia="宋体" w:cs="宋体"/>
          <w:szCs w:val="21"/>
        </w:rPr>
      </w:pPr>
    </w:p>
    <w:p w14:paraId="1FEC919D">
      <w:pPr>
        <w:spacing w:beforeAutospacing="0" w:afterAutospacing="0" w:line="360" w:lineRule="auto"/>
        <w:rPr>
          <w:rFonts w:ascii="宋体" w:hAnsi="宋体" w:eastAsia="宋体" w:cs="宋体"/>
        </w:rPr>
      </w:pPr>
    </w:p>
    <w:p w14:paraId="4A1CDC0E">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611A4556">
      <w:pPr>
        <w:adjustRightInd w:val="0"/>
        <w:snapToGrid w:val="0"/>
        <w:spacing w:beforeAutospacing="0" w:afterAutospacing="0" w:line="360" w:lineRule="auto"/>
        <w:rPr>
          <w:rFonts w:hint="eastAsia" w:ascii="宋体" w:hAnsi="宋体" w:eastAsia="宋体" w:cs="宋体"/>
          <w:szCs w:val="21"/>
        </w:rPr>
      </w:pPr>
      <w:r>
        <w:rPr>
          <w:rFonts w:hint="eastAsia" w:ascii="宋体" w:hAnsi="宋体" w:eastAsia="宋体" w:cs="宋体"/>
          <w:szCs w:val="21"/>
        </w:rPr>
        <w:t>法定代表人（或授权代表）签字：</w:t>
      </w:r>
    </w:p>
    <w:p w14:paraId="65FECC48">
      <w:pPr>
        <w:adjustRightInd w:val="0"/>
        <w:snapToGrid w:val="0"/>
        <w:spacing w:beforeAutospacing="0" w:afterAutospacing="0" w:line="360" w:lineRule="auto"/>
        <w:rPr>
          <w:rFonts w:ascii="宋体" w:hAnsi="宋体" w:eastAsia="宋体" w:cs="宋体"/>
          <w:b/>
          <w:bCs/>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413D2E49">
      <w:pPr>
        <w:spacing w:beforeAutospacing="0" w:afterAutospacing="0" w:line="360" w:lineRule="auto"/>
        <w:rPr>
          <w:rFonts w:ascii="宋体" w:hAnsi="宋体" w:eastAsia="宋体" w:cs="宋体"/>
        </w:rPr>
      </w:pPr>
    </w:p>
    <w:p w14:paraId="6E8EE460">
      <w:pPr>
        <w:spacing w:beforeAutospacing="0" w:afterAutospacing="0" w:line="360" w:lineRule="auto"/>
        <w:jc w:val="center"/>
        <w:rPr>
          <w:rFonts w:ascii="宋体" w:hAnsi="宋体" w:eastAsia="宋体" w:cs="宋体"/>
          <w:b/>
          <w:sz w:val="28"/>
          <w:szCs w:val="28"/>
        </w:rPr>
      </w:pPr>
    </w:p>
    <w:p w14:paraId="667793E0">
      <w:pPr>
        <w:pStyle w:val="109"/>
        <w:spacing w:beforeAutospacing="0" w:afterAutospacing="0" w:line="360" w:lineRule="auto"/>
        <w:rPr>
          <w:rFonts w:ascii="宋体" w:hAnsi="宋体" w:eastAsia="宋体" w:cs="宋体"/>
          <w:b/>
          <w:sz w:val="28"/>
          <w:szCs w:val="28"/>
        </w:rPr>
      </w:pPr>
    </w:p>
    <w:p w14:paraId="06856BC0">
      <w:pPr>
        <w:pStyle w:val="109"/>
        <w:spacing w:beforeAutospacing="0" w:afterAutospacing="0" w:line="360" w:lineRule="auto"/>
        <w:rPr>
          <w:rFonts w:ascii="宋体" w:hAnsi="宋体" w:eastAsia="宋体" w:cs="宋体"/>
          <w:b/>
          <w:sz w:val="28"/>
          <w:szCs w:val="28"/>
        </w:rPr>
      </w:pPr>
    </w:p>
    <w:p w14:paraId="417DF9EC">
      <w:pPr>
        <w:pStyle w:val="109"/>
        <w:spacing w:beforeAutospacing="0" w:afterAutospacing="0" w:line="360" w:lineRule="auto"/>
        <w:rPr>
          <w:rFonts w:ascii="宋体" w:hAnsi="宋体" w:eastAsia="宋体" w:cs="宋体"/>
          <w:b/>
          <w:sz w:val="28"/>
          <w:szCs w:val="28"/>
        </w:rPr>
      </w:pPr>
    </w:p>
    <w:p w14:paraId="00531FD5">
      <w:pPr>
        <w:pStyle w:val="109"/>
        <w:spacing w:beforeAutospacing="0" w:afterAutospacing="0" w:line="360" w:lineRule="auto"/>
        <w:rPr>
          <w:rFonts w:ascii="宋体" w:hAnsi="宋体" w:eastAsia="宋体" w:cs="宋体"/>
          <w:b/>
          <w:sz w:val="28"/>
          <w:szCs w:val="28"/>
        </w:rPr>
      </w:pPr>
    </w:p>
    <w:p w14:paraId="0FAE13B8">
      <w:pPr>
        <w:pStyle w:val="3"/>
        <w:spacing w:before="0" w:beforeAutospacing="0" w:after="120" w:afterAutospacing="0"/>
        <w:rPr>
          <w:rFonts w:ascii="宋体" w:hAnsi="宋体" w:eastAsia="宋体" w:cs="宋体"/>
          <w:bCs/>
          <w:color w:val="auto"/>
          <w:szCs w:val="21"/>
        </w:rPr>
      </w:pPr>
      <w:r>
        <w:rPr>
          <w:rFonts w:hint="eastAsia" w:ascii="宋体" w:hAnsi="宋体" w:eastAsia="宋体" w:cs="宋体"/>
          <w:b/>
          <w:bCs/>
          <w:color w:val="auto"/>
        </w:rPr>
        <w:t>三、商务</w:t>
      </w:r>
      <w:r>
        <w:rPr>
          <w:rFonts w:hint="eastAsia" w:cs="宋体"/>
          <w:b/>
          <w:bCs/>
          <w:color w:val="auto"/>
          <w:lang w:val="en-US" w:eastAsia="zh-CN"/>
        </w:rPr>
        <w:t>技术</w:t>
      </w:r>
      <w:r>
        <w:rPr>
          <w:rFonts w:hint="eastAsia" w:ascii="宋体" w:hAnsi="宋体" w:eastAsia="宋体" w:cs="宋体"/>
          <w:b/>
          <w:bCs/>
          <w:color w:val="auto"/>
        </w:rPr>
        <w:t>文件</w:t>
      </w:r>
    </w:p>
    <w:p w14:paraId="7137D7E9">
      <w:pPr>
        <w:spacing w:beforeAutospacing="0" w:afterAutospacing="0" w:line="360" w:lineRule="auto"/>
        <w:jc w:val="center"/>
        <w:rPr>
          <w:rFonts w:ascii="宋体" w:hAnsi="宋体" w:eastAsia="宋体" w:cs="宋体"/>
          <w:b/>
          <w:sz w:val="28"/>
          <w:szCs w:val="28"/>
        </w:rPr>
      </w:pPr>
      <w:r>
        <w:rPr>
          <w:rFonts w:hint="eastAsia" w:ascii="宋体" w:hAnsi="宋体" w:eastAsia="宋体" w:cs="宋体"/>
          <w:b/>
          <w:sz w:val="28"/>
          <w:szCs w:val="28"/>
        </w:rPr>
        <w:t>1、商务</w:t>
      </w:r>
      <w:r>
        <w:rPr>
          <w:rFonts w:hint="eastAsia" w:ascii="宋体" w:hAnsi="宋体" w:cs="宋体"/>
          <w:b/>
          <w:sz w:val="28"/>
          <w:szCs w:val="28"/>
          <w:lang w:val="en-US" w:eastAsia="zh-CN"/>
        </w:rPr>
        <w:t>技术</w:t>
      </w:r>
      <w:r>
        <w:rPr>
          <w:rFonts w:hint="eastAsia" w:ascii="宋体" w:hAnsi="宋体" w:eastAsia="宋体" w:cs="宋体"/>
          <w:b/>
          <w:sz w:val="28"/>
          <w:szCs w:val="28"/>
        </w:rPr>
        <w:t>条款响应表</w:t>
      </w:r>
    </w:p>
    <w:p w14:paraId="6C76FDDE">
      <w:pPr>
        <w:spacing w:beforeAutospacing="0" w:afterAutospacing="0" w:line="360" w:lineRule="auto"/>
        <w:ind w:firstLine="422" w:firstLineChars="200"/>
        <w:rPr>
          <w:rFonts w:ascii="宋体" w:hAnsi="宋体" w:eastAsia="宋体" w:cs="宋体"/>
        </w:rPr>
      </w:pPr>
      <w:r>
        <w:rPr>
          <w:rFonts w:hint="eastAsia" w:ascii="宋体" w:hAnsi="宋体" w:eastAsia="宋体" w:cs="宋体"/>
          <w:b/>
        </w:rPr>
        <w:t>[说明]</w:t>
      </w:r>
      <w:r>
        <w:rPr>
          <w:rFonts w:hint="eastAsia" w:ascii="宋体" w:hAnsi="宋体" w:cs="宋体"/>
          <w:lang w:eastAsia="zh-CN"/>
        </w:rPr>
        <w:t>投标人</w:t>
      </w:r>
      <w:r>
        <w:rPr>
          <w:rFonts w:hint="eastAsia" w:ascii="宋体" w:hAnsi="宋体" w:eastAsia="宋体" w:cs="宋体"/>
        </w:rPr>
        <w:t>应对照招标文件第二部分《招标需求》所列商务</w:t>
      </w:r>
      <w:r>
        <w:rPr>
          <w:rFonts w:hint="eastAsia" w:ascii="宋体" w:hAnsi="宋体" w:cs="宋体"/>
          <w:lang w:val="en-US" w:eastAsia="zh-CN"/>
        </w:rPr>
        <w:t>技术</w:t>
      </w:r>
      <w:r>
        <w:rPr>
          <w:rFonts w:hint="eastAsia" w:ascii="宋体" w:hAnsi="宋体" w:eastAsia="宋体" w:cs="宋体"/>
        </w:rPr>
        <w:t>条款的内容一一响应，完全满足的在“是否响应”栏中填写“完全响应”，不能满足的填写“否”，有差异的则在“差异内容”栏中写明差异内容。</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972"/>
        <w:gridCol w:w="856"/>
        <w:gridCol w:w="2553"/>
        <w:gridCol w:w="1907"/>
        <w:gridCol w:w="2068"/>
      </w:tblGrid>
      <w:tr w14:paraId="3742F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584" w:hRule="atLeast"/>
        </w:trPr>
        <w:tc>
          <w:tcPr>
            <w:tcW w:w="582" w:type="pct"/>
            <w:vMerge w:val="restart"/>
            <w:tcBorders>
              <w:top w:val="single" w:color="auto" w:sz="12" w:space="0"/>
              <w:left w:val="single" w:color="auto" w:sz="12" w:space="0"/>
              <w:right w:val="single" w:color="auto" w:sz="6" w:space="0"/>
            </w:tcBorders>
            <w:vAlign w:val="center"/>
          </w:tcPr>
          <w:p w14:paraId="4E94494E">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序号</w:t>
            </w:r>
          </w:p>
        </w:tc>
        <w:tc>
          <w:tcPr>
            <w:tcW w:w="2039" w:type="pct"/>
            <w:gridSpan w:val="2"/>
            <w:tcBorders>
              <w:top w:val="single" w:color="auto" w:sz="12" w:space="0"/>
              <w:left w:val="single" w:color="auto" w:sz="6" w:space="0"/>
              <w:bottom w:val="single" w:color="auto" w:sz="4" w:space="0"/>
            </w:tcBorders>
            <w:vAlign w:val="center"/>
          </w:tcPr>
          <w:p w14:paraId="57CBC422">
            <w:pPr>
              <w:autoSpaceDE w:val="0"/>
              <w:autoSpaceDN w:val="0"/>
              <w:adjustRightInd w:val="0"/>
              <w:spacing w:beforeAutospacing="0" w:afterAutospacing="0" w:line="360" w:lineRule="auto"/>
              <w:ind w:left="-2"/>
              <w:jc w:val="center"/>
              <w:rPr>
                <w:rFonts w:ascii="宋体" w:hAnsi="宋体" w:eastAsia="宋体" w:cs="宋体"/>
                <w:b/>
                <w:bCs/>
              </w:rPr>
            </w:pPr>
            <w:r>
              <w:rPr>
                <w:rFonts w:hint="eastAsia" w:ascii="宋体" w:hAnsi="宋体" w:eastAsia="宋体" w:cs="宋体"/>
                <w:b/>
                <w:bCs/>
              </w:rPr>
              <w:t>招标文件商务</w:t>
            </w:r>
            <w:r>
              <w:rPr>
                <w:rFonts w:hint="eastAsia" w:ascii="宋体" w:hAnsi="宋体" w:cs="宋体"/>
                <w:b/>
                <w:bCs/>
                <w:lang w:val="en-US" w:eastAsia="zh-CN"/>
              </w:rPr>
              <w:t>技术</w:t>
            </w:r>
            <w:r>
              <w:rPr>
                <w:rFonts w:hint="eastAsia" w:ascii="宋体" w:hAnsi="宋体" w:eastAsia="宋体" w:cs="宋体"/>
                <w:b/>
                <w:bCs/>
              </w:rPr>
              <w:t>要求</w:t>
            </w:r>
          </w:p>
        </w:tc>
        <w:tc>
          <w:tcPr>
            <w:tcW w:w="2378" w:type="pct"/>
            <w:gridSpan w:val="2"/>
            <w:tcBorders>
              <w:top w:val="single" w:color="auto" w:sz="12" w:space="0"/>
              <w:left w:val="single" w:color="auto" w:sz="6" w:space="0"/>
              <w:bottom w:val="single" w:color="auto" w:sz="6" w:space="0"/>
              <w:right w:val="single" w:color="auto" w:sz="12" w:space="0"/>
            </w:tcBorders>
            <w:vAlign w:val="center"/>
          </w:tcPr>
          <w:p w14:paraId="094EDF82">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投标文件内容</w:t>
            </w:r>
          </w:p>
        </w:tc>
      </w:tr>
      <w:tr w14:paraId="51EA7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607" w:hRule="atLeast"/>
        </w:trPr>
        <w:tc>
          <w:tcPr>
            <w:tcW w:w="582" w:type="pct"/>
            <w:vMerge w:val="continue"/>
            <w:tcBorders>
              <w:left w:val="single" w:color="auto" w:sz="12" w:space="0"/>
              <w:bottom w:val="single" w:color="auto" w:sz="6" w:space="0"/>
              <w:right w:val="single" w:color="auto" w:sz="6" w:space="0"/>
            </w:tcBorders>
            <w:vAlign w:val="top"/>
          </w:tcPr>
          <w:p w14:paraId="7FFB3DEE">
            <w:pPr>
              <w:autoSpaceDE w:val="0"/>
              <w:autoSpaceDN w:val="0"/>
              <w:adjustRightInd w:val="0"/>
              <w:spacing w:beforeAutospacing="0" w:afterAutospacing="0" w:line="360" w:lineRule="auto"/>
              <w:jc w:val="center"/>
              <w:rPr>
                <w:rFonts w:ascii="宋体" w:hAnsi="宋体" w:eastAsia="宋体" w:cs="宋体"/>
                <w:b/>
                <w:bCs/>
              </w:rPr>
            </w:pPr>
          </w:p>
        </w:tc>
        <w:tc>
          <w:tcPr>
            <w:tcW w:w="512" w:type="pct"/>
            <w:tcBorders>
              <w:top w:val="single" w:color="auto" w:sz="4" w:space="0"/>
              <w:left w:val="single" w:color="auto" w:sz="6" w:space="0"/>
              <w:bottom w:val="single" w:color="auto" w:sz="6" w:space="0"/>
              <w:right w:val="single" w:color="auto" w:sz="4" w:space="0"/>
            </w:tcBorders>
            <w:vAlign w:val="center"/>
          </w:tcPr>
          <w:p w14:paraId="322EDF0D">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条目</w:t>
            </w:r>
          </w:p>
        </w:tc>
        <w:tc>
          <w:tcPr>
            <w:tcW w:w="1526" w:type="pct"/>
            <w:tcBorders>
              <w:top w:val="single" w:color="auto" w:sz="6" w:space="0"/>
              <w:left w:val="single" w:color="auto" w:sz="4" w:space="0"/>
              <w:bottom w:val="single" w:color="auto" w:sz="6" w:space="0"/>
              <w:right w:val="single" w:color="auto" w:sz="6" w:space="0"/>
            </w:tcBorders>
            <w:vAlign w:val="center"/>
          </w:tcPr>
          <w:p w14:paraId="779DD91E">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简要内容</w:t>
            </w:r>
          </w:p>
        </w:tc>
        <w:tc>
          <w:tcPr>
            <w:tcW w:w="1141" w:type="pct"/>
            <w:tcBorders>
              <w:top w:val="single" w:color="auto" w:sz="6" w:space="0"/>
              <w:left w:val="single" w:color="auto" w:sz="6" w:space="0"/>
              <w:bottom w:val="single" w:color="auto" w:sz="6" w:space="0"/>
              <w:right w:val="single" w:color="auto" w:sz="6" w:space="0"/>
            </w:tcBorders>
            <w:vAlign w:val="center"/>
          </w:tcPr>
          <w:p w14:paraId="54DB5227">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是否响应</w:t>
            </w:r>
          </w:p>
        </w:tc>
        <w:tc>
          <w:tcPr>
            <w:tcW w:w="1237" w:type="pct"/>
            <w:tcBorders>
              <w:top w:val="single" w:color="auto" w:sz="6" w:space="0"/>
              <w:left w:val="single" w:color="auto" w:sz="6" w:space="0"/>
              <w:bottom w:val="single" w:color="auto" w:sz="6" w:space="0"/>
              <w:right w:val="single" w:color="auto" w:sz="12" w:space="0"/>
            </w:tcBorders>
            <w:vAlign w:val="center"/>
          </w:tcPr>
          <w:p w14:paraId="27564768">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差异内容</w:t>
            </w:r>
          </w:p>
        </w:tc>
      </w:tr>
      <w:tr w14:paraId="3D99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0" w:hRule="exact"/>
        </w:trPr>
        <w:tc>
          <w:tcPr>
            <w:tcW w:w="582" w:type="pct"/>
            <w:tcBorders>
              <w:top w:val="single" w:color="auto" w:sz="6" w:space="0"/>
              <w:left w:val="single" w:color="auto" w:sz="12" w:space="0"/>
              <w:bottom w:val="single" w:color="auto" w:sz="6" w:space="0"/>
              <w:right w:val="single" w:color="auto" w:sz="6" w:space="0"/>
            </w:tcBorders>
            <w:vAlign w:val="top"/>
          </w:tcPr>
          <w:p w14:paraId="7A8B1E89">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30DE9F1B">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18E2A075">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3321C4B6">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4BE5E95B">
            <w:pPr>
              <w:autoSpaceDE w:val="0"/>
              <w:autoSpaceDN w:val="0"/>
              <w:adjustRightInd w:val="0"/>
              <w:spacing w:beforeAutospacing="0" w:afterAutospacing="0" w:line="360" w:lineRule="auto"/>
              <w:jc w:val="right"/>
              <w:rPr>
                <w:rFonts w:ascii="宋体" w:hAnsi="宋体" w:eastAsia="宋体" w:cs="宋体"/>
              </w:rPr>
            </w:pPr>
          </w:p>
        </w:tc>
      </w:tr>
      <w:tr w14:paraId="2B2A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6" w:hRule="exact"/>
        </w:trPr>
        <w:tc>
          <w:tcPr>
            <w:tcW w:w="582" w:type="pct"/>
            <w:tcBorders>
              <w:top w:val="single" w:color="auto" w:sz="6" w:space="0"/>
              <w:left w:val="single" w:color="auto" w:sz="12" w:space="0"/>
              <w:bottom w:val="single" w:color="auto" w:sz="6" w:space="0"/>
              <w:right w:val="single" w:color="auto" w:sz="6" w:space="0"/>
            </w:tcBorders>
            <w:vAlign w:val="top"/>
          </w:tcPr>
          <w:p w14:paraId="7C6709AF">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53617009">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327D9DDC">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6CA6090D">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7EF36164">
            <w:pPr>
              <w:autoSpaceDE w:val="0"/>
              <w:autoSpaceDN w:val="0"/>
              <w:adjustRightInd w:val="0"/>
              <w:spacing w:beforeAutospacing="0" w:afterAutospacing="0" w:line="360" w:lineRule="auto"/>
              <w:jc w:val="right"/>
              <w:rPr>
                <w:rFonts w:ascii="宋体" w:hAnsi="宋体" w:eastAsia="宋体" w:cs="宋体"/>
              </w:rPr>
            </w:pPr>
          </w:p>
        </w:tc>
      </w:tr>
      <w:tr w14:paraId="3D670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390" w:hRule="exact"/>
        </w:trPr>
        <w:tc>
          <w:tcPr>
            <w:tcW w:w="582" w:type="pct"/>
            <w:tcBorders>
              <w:top w:val="single" w:color="auto" w:sz="6" w:space="0"/>
              <w:left w:val="single" w:color="auto" w:sz="12" w:space="0"/>
              <w:bottom w:val="single" w:color="auto" w:sz="6" w:space="0"/>
              <w:right w:val="single" w:color="auto" w:sz="6" w:space="0"/>
            </w:tcBorders>
            <w:vAlign w:val="top"/>
          </w:tcPr>
          <w:p w14:paraId="64B8BCF2">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67CC22B8">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55BBB837">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68B46DC3">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681FC712">
            <w:pPr>
              <w:autoSpaceDE w:val="0"/>
              <w:autoSpaceDN w:val="0"/>
              <w:adjustRightInd w:val="0"/>
              <w:spacing w:beforeAutospacing="0" w:afterAutospacing="0" w:line="360" w:lineRule="auto"/>
              <w:jc w:val="right"/>
              <w:rPr>
                <w:rFonts w:ascii="宋体" w:hAnsi="宋体" w:eastAsia="宋体" w:cs="宋体"/>
              </w:rPr>
            </w:pPr>
          </w:p>
        </w:tc>
      </w:tr>
      <w:tr w14:paraId="539B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4BA624E8">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5071F8D6">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1E2362A6">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1E3B67C8">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4342EDB0">
            <w:pPr>
              <w:autoSpaceDE w:val="0"/>
              <w:autoSpaceDN w:val="0"/>
              <w:adjustRightInd w:val="0"/>
              <w:spacing w:beforeAutospacing="0" w:afterAutospacing="0" w:line="360" w:lineRule="auto"/>
              <w:jc w:val="right"/>
              <w:rPr>
                <w:rFonts w:ascii="宋体" w:hAnsi="宋体" w:eastAsia="宋体" w:cs="宋体"/>
              </w:rPr>
            </w:pPr>
          </w:p>
        </w:tc>
      </w:tr>
      <w:tr w14:paraId="044F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7C4C82E8">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22C8EEB9">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36AAACE7">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45630ECC">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45804553">
            <w:pPr>
              <w:autoSpaceDE w:val="0"/>
              <w:autoSpaceDN w:val="0"/>
              <w:adjustRightInd w:val="0"/>
              <w:spacing w:beforeAutospacing="0" w:afterAutospacing="0" w:line="360" w:lineRule="auto"/>
              <w:jc w:val="right"/>
              <w:rPr>
                <w:rFonts w:ascii="宋体" w:hAnsi="宋体" w:eastAsia="宋体" w:cs="宋体"/>
              </w:rPr>
            </w:pPr>
          </w:p>
        </w:tc>
      </w:tr>
      <w:tr w14:paraId="1C350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60B04047">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0C4AC24D">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4EBCAC70">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499C90DB">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502CA773">
            <w:pPr>
              <w:autoSpaceDE w:val="0"/>
              <w:autoSpaceDN w:val="0"/>
              <w:adjustRightInd w:val="0"/>
              <w:spacing w:beforeAutospacing="0" w:afterAutospacing="0" w:line="360" w:lineRule="auto"/>
              <w:jc w:val="right"/>
              <w:rPr>
                <w:rFonts w:ascii="宋体" w:hAnsi="宋体" w:eastAsia="宋体" w:cs="宋体"/>
              </w:rPr>
            </w:pPr>
          </w:p>
        </w:tc>
      </w:tr>
      <w:tr w14:paraId="57F2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3267A5E3">
            <w:pPr>
              <w:autoSpaceDE w:val="0"/>
              <w:autoSpaceDN w:val="0"/>
              <w:adjustRightInd w:val="0"/>
              <w:spacing w:beforeAutospacing="0" w:afterAutospacing="0" w:line="360" w:lineRule="auto"/>
              <w:jc w:val="right"/>
              <w:rPr>
                <w:rFonts w:ascii="宋体" w:hAnsi="宋体" w:eastAsia="宋体" w:cs="宋体"/>
              </w:rPr>
            </w:pPr>
          </w:p>
        </w:tc>
        <w:tc>
          <w:tcPr>
            <w:tcW w:w="512" w:type="pct"/>
            <w:tcBorders>
              <w:top w:val="single" w:color="auto" w:sz="6" w:space="0"/>
              <w:left w:val="single" w:color="auto" w:sz="6" w:space="0"/>
              <w:bottom w:val="single" w:color="auto" w:sz="6" w:space="0"/>
              <w:right w:val="single" w:color="auto" w:sz="6" w:space="0"/>
            </w:tcBorders>
            <w:vAlign w:val="top"/>
          </w:tcPr>
          <w:p w14:paraId="53149DFE">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6" w:space="0"/>
              <w:right w:val="single" w:color="auto" w:sz="6" w:space="0"/>
            </w:tcBorders>
            <w:vAlign w:val="top"/>
          </w:tcPr>
          <w:p w14:paraId="7E442FBB">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6" w:space="0"/>
              <w:right w:val="single" w:color="auto" w:sz="6" w:space="0"/>
            </w:tcBorders>
            <w:vAlign w:val="top"/>
          </w:tcPr>
          <w:p w14:paraId="38550D61">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6" w:space="0"/>
              <w:right w:val="single" w:color="auto" w:sz="12" w:space="0"/>
            </w:tcBorders>
            <w:vAlign w:val="top"/>
          </w:tcPr>
          <w:p w14:paraId="1305BAD0">
            <w:pPr>
              <w:autoSpaceDE w:val="0"/>
              <w:autoSpaceDN w:val="0"/>
              <w:adjustRightInd w:val="0"/>
              <w:spacing w:beforeAutospacing="0" w:afterAutospacing="0" w:line="360" w:lineRule="auto"/>
              <w:jc w:val="right"/>
              <w:rPr>
                <w:rFonts w:ascii="宋体" w:hAnsi="宋体" w:eastAsia="宋体" w:cs="宋体"/>
              </w:rPr>
            </w:pPr>
          </w:p>
        </w:tc>
      </w:tr>
      <w:tr w14:paraId="7BB96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12" w:space="0"/>
              <w:right w:val="single" w:color="auto" w:sz="6" w:space="0"/>
            </w:tcBorders>
            <w:vAlign w:val="top"/>
          </w:tcPr>
          <w:p w14:paraId="4F1B1718">
            <w:pPr>
              <w:autoSpaceDE w:val="0"/>
              <w:autoSpaceDN w:val="0"/>
              <w:adjustRightInd w:val="0"/>
              <w:spacing w:beforeAutospacing="0" w:afterAutospacing="0" w:line="360" w:lineRule="auto"/>
              <w:jc w:val="center"/>
              <w:rPr>
                <w:rFonts w:hint="default" w:ascii="宋体" w:hAnsi="宋体" w:eastAsia="宋体" w:cs="宋体"/>
                <w:lang w:val="en-US" w:eastAsia="zh-CN"/>
              </w:rPr>
            </w:pPr>
            <w:r>
              <w:rPr>
                <w:rFonts w:hint="eastAsia" w:ascii="宋体" w:hAnsi="宋体" w:cs="宋体"/>
                <w:lang w:val="en-US" w:eastAsia="zh-CN"/>
              </w:rPr>
              <w:t>...</w:t>
            </w:r>
          </w:p>
        </w:tc>
        <w:tc>
          <w:tcPr>
            <w:tcW w:w="512" w:type="pct"/>
            <w:tcBorders>
              <w:top w:val="single" w:color="auto" w:sz="6" w:space="0"/>
              <w:left w:val="single" w:color="auto" w:sz="6" w:space="0"/>
              <w:bottom w:val="single" w:color="auto" w:sz="12" w:space="0"/>
              <w:right w:val="single" w:color="auto" w:sz="6" w:space="0"/>
            </w:tcBorders>
            <w:vAlign w:val="top"/>
          </w:tcPr>
          <w:p w14:paraId="0F5B0B4C">
            <w:pPr>
              <w:autoSpaceDE w:val="0"/>
              <w:autoSpaceDN w:val="0"/>
              <w:adjustRightInd w:val="0"/>
              <w:spacing w:beforeAutospacing="0" w:afterAutospacing="0" w:line="360" w:lineRule="auto"/>
              <w:jc w:val="right"/>
              <w:rPr>
                <w:rFonts w:ascii="宋体" w:hAnsi="宋体" w:eastAsia="宋体" w:cs="宋体"/>
              </w:rPr>
            </w:pPr>
          </w:p>
        </w:tc>
        <w:tc>
          <w:tcPr>
            <w:tcW w:w="1526" w:type="pct"/>
            <w:tcBorders>
              <w:top w:val="single" w:color="auto" w:sz="6" w:space="0"/>
              <w:left w:val="single" w:color="auto" w:sz="6" w:space="0"/>
              <w:bottom w:val="single" w:color="auto" w:sz="12" w:space="0"/>
              <w:right w:val="single" w:color="auto" w:sz="6" w:space="0"/>
            </w:tcBorders>
            <w:vAlign w:val="top"/>
          </w:tcPr>
          <w:p w14:paraId="16DB6FF3">
            <w:pPr>
              <w:autoSpaceDE w:val="0"/>
              <w:autoSpaceDN w:val="0"/>
              <w:adjustRightInd w:val="0"/>
              <w:spacing w:beforeAutospacing="0" w:afterAutospacing="0" w:line="360" w:lineRule="auto"/>
              <w:jc w:val="right"/>
              <w:rPr>
                <w:rFonts w:ascii="宋体" w:hAnsi="宋体" w:eastAsia="宋体" w:cs="宋体"/>
              </w:rPr>
            </w:pPr>
          </w:p>
        </w:tc>
        <w:tc>
          <w:tcPr>
            <w:tcW w:w="1141" w:type="pct"/>
            <w:tcBorders>
              <w:top w:val="single" w:color="auto" w:sz="6" w:space="0"/>
              <w:left w:val="single" w:color="auto" w:sz="6" w:space="0"/>
              <w:bottom w:val="single" w:color="auto" w:sz="12" w:space="0"/>
              <w:right w:val="single" w:color="auto" w:sz="6" w:space="0"/>
            </w:tcBorders>
            <w:vAlign w:val="top"/>
          </w:tcPr>
          <w:p w14:paraId="4E19A74A">
            <w:pPr>
              <w:autoSpaceDE w:val="0"/>
              <w:autoSpaceDN w:val="0"/>
              <w:adjustRightInd w:val="0"/>
              <w:spacing w:beforeAutospacing="0" w:afterAutospacing="0" w:line="360" w:lineRule="auto"/>
              <w:jc w:val="right"/>
              <w:rPr>
                <w:rFonts w:ascii="宋体" w:hAnsi="宋体" w:eastAsia="宋体" w:cs="宋体"/>
              </w:rPr>
            </w:pPr>
          </w:p>
        </w:tc>
        <w:tc>
          <w:tcPr>
            <w:tcW w:w="1237" w:type="pct"/>
            <w:tcBorders>
              <w:top w:val="single" w:color="auto" w:sz="6" w:space="0"/>
              <w:left w:val="single" w:color="auto" w:sz="6" w:space="0"/>
              <w:bottom w:val="single" w:color="auto" w:sz="12" w:space="0"/>
              <w:right w:val="single" w:color="auto" w:sz="12" w:space="0"/>
            </w:tcBorders>
            <w:vAlign w:val="top"/>
          </w:tcPr>
          <w:p w14:paraId="1CD35FFD">
            <w:pPr>
              <w:autoSpaceDE w:val="0"/>
              <w:autoSpaceDN w:val="0"/>
              <w:adjustRightInd w:val="0"/>
              <w:spacing w:beforeAutospacing="0" w:afterAutospacing="0" w:line="360" w:lineRule="auto"/>
              <w:jc w:val="right"/>
              <w:rPr>
                <w:rFonts w:ascii="宋体" w:hAnsi="宋体" w:eastAsia="宋体" w:cs="宋体"/>
              </w:rPr>
            </w:pPr>
          </w:p>
        </w:tc>
      </w:tr>
    </w:tbl>
    <w:p w14:paraId="313ADA60">
      <w:pPr>
        <w:spacing w:beforeAutospacing="0" w:afterAutospacing="0" w:line="360" w:lineRule="auto"/>
        <w:ind w:left="515" w:hanging="515"/>
        <w:rPr>
          <w:rFonts w:ascii="宋体" w:hAnsi="宋体" w:eastAsia="宋体" w:cs="宋体"/>
        </w:rPr>
      </w:pPr>
    </w:p>
    <w:p w14:paraId="037B9542">
      <w:pPr>
        <w:spacing w:beforeAutospacing="0" w:afterAutospacing="0" w:line="360" w:lineRule="auto"/>
        <w:rPr>
          <w:rFonts w:ascii="宋体" w:hAnsi="宋体" w:eastAsia="宋体" w:cs="宋体"/>
        </w:rPr>
      </w:pPr>
    </w:p>
    <w:p w14:paraId="7B6349D0">
      <w:pPr>
        <w:pStyle w:val="109"/>
        <w:spacing w:beforeAutospacing="0" w:afterAutospacing="0" w:line="360" w:lineRule="auto"/>
        <w:rPr>
          <w:rFonts w:ascii="宋体" w:hAnsi="宋体" w:eastAsia="宋体" w:cs="宋体"/>
        </w:rPr>
      </w:pPr>
    </w:p>
    <w:p w14:paraId="445F36FB">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5D3DF073">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法定代表人（或授权代表）签字：</w:t>
      </w:r>
    </w:p>
    <w:p w14:paraId="2F2F944A">
      <w:pPr>
        <w:adjustRightInd w:val="0"/>
        <w:snapToGrid w:val="0"/>
        <w:spacing w:beforeAutospacing="0" w:afterAutospacing="0" w:line="360" w:lineRule="auto"/>
        <w:rPr>
          <w:rFonts w:ascii="宋体" w:hAnsi="宋体" w:eastAsia="宋体" w:cs="宋体"/>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6C5DE759">
      <w:pPr>
        <w:spacing w:beforeAutospacing="0" w:afterAutospacing="0" w:line="360" w:lineRule="auto"/>
        <w:jc w:val="center"/>
        <w:rPr>
          <w:rFonts w:ascii="宋体" w:hAnsi="宋体" w:eastAsia="宋体" w:cs="宋体"/>
          <w:b/>
          <w:sz w:val="32"/>
        </w:rPr>
      </w:pPr>
    </w:p>
    <w:p w14:paraId="212DFC71">
      <w:pPr>
        <w:spacing w:beforeAutospacing="0" w:afterAutospacing="0" w:line="360" w:lineRule="auto"/>
        <w:jc w:val="center"/>
        <w:rPr>
          <w:rFonts w:ascii="宋体" w:hAnsi="宋体" w:eastAsia="宋体" w:cs="宋体"/>
          <w:b/>
          <w:sz w:val="32"/>
        </w:rPr>
      </w:pPr>
    </w:p>
    <w:p w14:paraId="3DF52C37">
      <w:pPr>
        <w:spacing w:beforeAutospacing="0" w:afterAutospacing="0" w:line="360" w:lineRule="auto"/>
        <w:jc w:val="center"/>
        <w:rPr>
          <w:rFonts w:ascii="宋体" w:hAnsi="宋体" w:eastAsia="宋体" w:cs="宋体"/>
          <w:b/>
          <w:sz w:val="32"/>
        </w:rPr>
      </w:pPr>
    </w:p>
    <w:p w14:paraId="4FD1FDF9">
      <w:pPr>
        <w:spacing w:beforeAutospacing="0" w:afterAutospacing="0" w:line="360" w:lineRule="auto"/>
        <w:jc w:val="center"/>
        <w:rPr>
          <w:rFonts w:ascii="宋体" w:hAnsi="宋体" w:eastAsia="宋体" w:cs="宋体"/>
          <w:b/>
          <w:sz w:val="32"/>
        </w:rPr>
      </w:pPr>
    </w:p>
    <w:p w14:paraId="1DCFA9DC">
      <w:pPr>
        <w:spacing w:beforeAutospacing="0" w:afterAutospacing="0" w:line="360" w:lineRule="auto"/>
        <w:jc w:val="center"/>
        <w:rPr>
          <w:rFonts w:ascii="宋体" w:hAnsi="宋体" w:eastAsia="宋体" w:cs="宋体"/>
          <w:b/>
          <w:sz w:val="32"/>
        </w:rPr>
      </w:pPr>
    </w:p>
    <w:p w14:paraId="03CD2BE5">
      <w:pPr>
        <w:spacing w:beforeAutospacing="0" w:afterAutospacing="0" w:line="360" w:lineRule="auto"/>
        <w:jc w:val="center"/>
        <w:rPr>
          <w:rFonts w:ascii="宋体" w:hAnsi="宋体" w:eastAsia="宋体" w:cs="宋体"/>
          <w:b/>
          <w:sz w:val="32"/>
        </w:rPr>
      </w:pPr>
    </w:p>
    <w:p w14:paraId="03681753">
      <w:pPr>
        <w:spacing w:beforeAutospacing="0" w:afterAutospacing="0" w:line="360" w:lineRule="auto"/>
        <w:jc w:val="center"/>
        <w:rPr>
          <w:rFonts w:ascii="宋体" w:hAnsi="宋体" w:eastAsia="宋体" w:cs="宋体"/>
          <w:b/>
          <w:sz w:val="28"/>
          <w:szCs w:val="28"/>
        </w:rPr>
      </w:pPr>
      <w:bookmarkStart w:id="226" w:name="_Toc453695696"/>
      <w:bookmarkStart w:id="227" w:name="_Toc461991260"/>
      <w:bookmarkStart w:id="228" w:name="_Toc453695569"/>
      <w:bookmarkStart w:id="229" w:name="_Toc338083273"/>
      <w:r>
        <w:rPr>
          <w:rFonts w:hint="eastAsia" w:ascii="宋体" w:hAnsi="宋体" w:cs="宋体"/>
          <w:b/>
          <w:sz w:val="28"/>
          <w:szCs w:val="28"/>
          <w:lang w:val="en-US" w:eastAsia="zh-CN"/>
        </w:rPr>
        <w:t>2</w:t>
      </w:r>
      <w:r>
        <w:rPr>
          <w:rFonts w:hint="eastAsia" w:ascii="宋体" w:hAnsi="宋体" w:eastAsia="宋体" w:cs="宋体"/>
          <w:b/>
          <w:sz w:val="28"/>
          <w:szCs w:val="28"/>
        </w:rPr>
        <w:t>、合同条款响应表</w:t>
      </w:r>
    </w:p>
    <w:p w14:paraId="59336F77">
      <w:pPr>
        <w:spacing w:beforeAutospacing="0" w:afterAutospacing="0" w:line="360" w:lineRule="auto"/>
        <w:ind w:firstLine="422" w:firstLineChars="200"/>
        <w:rPr>
          <w:rFonts w:ascii="宋体" w:hAnsi="宋体" w:eastAsia="宋体" w:cs="宋体"/>
        </w:rPr>
      </w:pPr>
      <w:r>
        <w:rPr>
          <w:rFonts w:hint="eastAsia" w:ascii="宋体" w:hAnsi="宋体" w:eastAsia="宋体" w:cs="宋体"/>
          <w:b/>
        </w:rPr>
        <w:t>[说明]</w:t>
      </w:r>
      <w:r>
        <w:rPr>
          <w:rFonts w:hint="eastAsia" w:ascii="宋体" w:hAnsi="宋体" w:cs="宋体"/>
          <w:lang w:eastAsia="zh-CN"/>
        </w:rPr>
        <w:t>投标人</w:t>
      </w:r>
      <w:r>
        <w:rPr>
          <w:rFonts w:hint="eastAsia" w:ascii="宋体" w:hAnsi="宋体" w:eastAsia="宋体" w:cs="宋体"/>
        </w:rPr>
        <w:t>应对照招标文件第五部分《合同书格式》所列合同条款的内容一一响应，完全满足的在“是否响应”栏中填写“完全响应”，不能满足的填写“否”，有差异的则在“差异内容”栏中写明差异内容。</w:t>
      </w:r>
    </w:p>
    <w:tbl>
      <w:tblPr>
        <w:tblStyle w:val="47"/>
        <w:tblW w:w="49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745"/>
        <w:gridCol w:w="1081"/>
        <w:gridCol w:w="4020"/>
        <w:gridCol w:w="970"/>
        <w:gridCol w:w="1458"/>
      </w:tblGrid>
      <w:tr w14:paraId="68C88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372" w:hRule="atLeast"/>
        </w:trPr>
        <w:tc>
          <w:tcPr>
            <w:tcW w:w="450" w:type="pct"/>
            <w:vMerge w:val="restart"/>
            <w:tcBorders>
              <w:top w:val="single" w:color="auto" w:sz="12" w:space="0"/>
              <w:left w:val="single" w:color="auto" w:sz="12" w:space="0"/>
              <w:right w:val="single" w:color="auto" w:sz="6" w:space="0"/>
            </w:tcBorders>
            <w:vAlign w:val="center"/>
          </w:tcPr>
          <w:p w14:paraId="0F86AB71">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序号</w:t>
            </w:r>
          </w:p>
        </w:tc>
        <w:tc>
          <w:tcPr>
            <w:tcW w:w="3082" w:type="pct"/>
            <w:gridSpan w:val="2"/>
            <w:tcBorders>
              <w:top w:val="single" w:color="auto" w:sz="12" w:space="0"/>
              <w:left w:val="single" w:color="auto" w:sz="6" w:space="0"/>
              <w:bottom w:val="single" w:color="auto" w:sz="4" w:space="0"/>
            </w:tcBorders>
            <w:vAlign w:val="center"/>
          </w:tcPr>
          <w:p w14:paraId="0CD801EE">
            <w:pPr>
              <w:autoSpaceDE w:val="0"/>
              <w:autoSpaceDN w:val="0"/>
              <w:adjustRightInd w:val="0"/>
              <w:spacing w:beforeAutospacing="0" w:afterAutospacing="0" w:line="360" w:lineRule="auto"/>
              <w:ind w:left="-2"/>
              <w:jc w:val="center"/>
              <w:rPr>
                <w:rFonts w:ascii="宋体" w:hAnsi="宋体" w:eastAsia="宋体" w:cs="宋体"/>
                <w:b/>
                <w:bCs/>
              </w:rPr>
            </w:pPr>
            <w:r>
              <w:rPr>
                <w:rFonts w:hint="eastAsia" w:ascii="宋体" w:hAnsi="宋体" w:eastAsia="宋体" w:cs="宋体"/>
                <w:b/>
                <w:bCs/>
              </w:rPr>
              <w:t>招标文件合同要求</w:t>
            </w:r>
          </w:p>
        </w:tc>
        <w:tc>
          <w:tcPr>
            <w:tcW w:w="1467" w:type="pct"/>
            <w:gridSpan w:val="2"/>
            <w:tcBorders>
              <w:top w:val="single" w:color="auto" w:sz="12" w:space="0"/>
              <w:left w:val="single" w:color="auto" w:sz="6" w:space="0"/>
              <w:bottom w:val="single" w:color="auto" w:sz="6" w:space="0"/>
              <w:right w:val="single" w:color="auto" w:sz="12" w:space="0"/>
            </w:tcBorders>
            <w:vAlign w:val="center"/>
          </w:tcPr>
          <w:p w14:paraId="03B325BC">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投标文件内容</w:t>
            </w:r>
          </w:p>
        </w:tc>
      </w:tr>
      <w:tr w14:paraId="181D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66" w:hRule="atLeast"/>
        </w:trPr>
        <w:tc>
          <w:tcPr>
            <w:tcW w:w="450" w:type="pct"/>
            <w:vMerge w:val="continue"/>
            <w:tcBorders>
              <w:left w:val="single" w:color="auto" w:sz="12" w:space="0"/>
              <w:bottom w:val="single" w:color="auto" w:sz="6" w:space="0"/>
              <w:right w:val="single" w:color="auto" w:sz="6" w:space="0"/>
            </w:tcBorders>
            <w:vAlign w:val="top"/>
          </w:tcPr>
          <w:p w14:paraId="67CF5CF6">
            <w:pPr>
              <w:autoSpaceDE w:val="0"/>
              <w:autoSpaceDN w:val="0"/>
              <w:adjustRightInd w:val="0"/>
              <w:spacing w:beforeAutospacing="0" w:afterAutospacing="0" w:line="360" w:lineRule="auto"/>
              <w:jc w:val="center"/>
              <w:rPr>
                <w:rFonts w:ascii="宋体" w:hAnsi="宋体" w:eastAsia="宋体" w:cs="宋体"/>
                <w:b/>
                <w:bCs/>
              </w:rPr>
            </w:pPr>
          </w:p>
        </w:tc>
        <w:tc>
          <w:tcPr>
            <w:tcW w:w="653" w:type="pct"/>
            <w:tcBorders>
              <w:top w:val="single" w:color="auto" w:sz="4" w:space="0"/>
              <w:left w:val="single" w:color="auto" w:sz="6" w:space="0"/>
              <w:bottom w:val="single" w:color="auto" w:sz="6" w:space="0"/>
              <w:right w:val="single" w:color="auto" w:sz="4" w:space="0"/>
            </w:tcBorders>
            <w:vAlign w:val="center"/>
          </w:tcPr>
          <w:p w14:paraId="4398B9C3">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条目</w:t>
            </w:r>
          </w:p>
        </w:tc>
        <w:tc>
          <w:tcPr>
            <w:tcW w:w="2428" w:type="pct"/>
            <w:tcBorders>
              <w:top w:val="single" w:color="auto" w:sz="6" w:space="0"/>
              <w:left w:val="single" w:color="auto" w:sz="4" w:space="0"/>
              <w:bottom w:val="single" w:color="auto" w:sz="6" w:space="0"/>
              <w:right w:val="single" w:color="auto" w:sz="6" w:space="0"/>
            </w:tcBorders>
            <w:vAlign w:val="center"/>
          </w:tcPr>
          <w:p w14:paraId="3AC0085E">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简要内容</w:t>
            </w:r>
          </w:p>
        </w:tc>
        <w:tc>
          <w:tcPr>
            <w:tcW w:w="586" w:type="pct"/>
            <w:tcBorders>
              <w:top w:val="single" w:color="auto" w:sz="6" w:space="0"/>
              <w:left w:val="single" w:color="auto" w:sz="6" w:space="0"/>
              <w:bottom w:val="single" w:color="auto" w:sz="6" w:space="0"/>
              <w:right w:val="single" w:color="auto" w:sz="6" w:space="0"/>
            </w:tcBorders>
            <w:vAlign w:val="center"/>
          </w:tcPr>
          <w:p w14:paraId="39F10D68">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是否响应</w:t>
            </w:r>
          </w:p>
        </w:tc>
        <w:tc>
          <w:tcPr>
            <w:tcW w:w="880" w:type="pct"/>
            <w:tcBorders>
              <w:top w:val="single" w:color="auto" w:sz="6" w:space="0"/>
              <w:left w:val="single" w:color="auto" w:sz="6" w:space="0"/>
              <w:bottom w:val="single" w:color="auto" w:sz="6" w:space="0"/>
              <w:right w:val="single" w:color="auto" w:sz="12" w:space="0"/>
            </w:tcBorders>
            <w:vAlign w:val="center"/>
          </w:tcPr>
          <w:p w14:paraId="7FE977BA">
            <w:pPr>
              <w:autoSpaceDE w:val="0"/>
              <w:autoSpaceDN w:val="0"/>
              <w:adjustRightInd w:val="0"/>
              <w:spacing w:beforeAutospacing="0" w:afterAutospacing="0" w:line="360" w:lineRule="auto"/>
              <w:jc w:val="center"/>
              <w:rPr>
                <w:rFonts w:ascii="宋体" w:hAnsi="宋体" w:eastAsia="宋体" w:cs="宋体"/>
                <w:b/>
                <w:bCs/>
              </w:rPr>
            </w:pPr>
            <w:r>
              <w:rPr>
                <w:rFonts w:hint="eastAsia" w:ascii="宋体" w:hAnsi="宋体" w:eastAsia="宋体" w:cs="宋体"/>
                <w:b/>
                <w:bCs/>
              </w:rPr>
              <w:t>差异内容</w:t>
            </w:r>
          </w:p>
        </w:tc>
      </w:tr>
      <w:tr w14:paraId="40BA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25" w:hRule="exact"/>
        </w:trPr>
        <w:tc>
          <w:tcPr>
            <w:tcW w:w="450" w:type="pct"/>
            <w:tcBorders>
              <w:top w:val="single" w:color="auto" w:sz="6" w:space="0"/>
              <w:left w:val="single" w:color="auto" w:sz="12" w:space="0"/>
              <w:bottom w:val="single" w:color="auto" w:sz="6" w:space="0"/>
              <w:right w:val="single" w:color="auto" w:sz="6" w:space="0"/>
            </w:tcBorders>
            <w:vAlign w:val="top"/>
          </w:tcPr>
          <w:p w14:paraId="72285DBE">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6C6D3EC5">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4D4EDBFC">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5DAEB761">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2863D835">
            <w:pPr>
              <w:autoSpaceDE w:val="0"/>
              <w:autoSpaceDN w:val="0"/>
              <w:adjustRightInd w:val="0"/>
              <w:spacing w:beforeAutospacing="0" w:afterAutospacing="0" w:line="360" w:lineRule="auto"/>
              <w:jc w:val="right"/>
              <w:rPr>
                <w:rFonts w:ascii="宋体" w:hAnsi="宋体" w:eastAsia="宋体" w:cs="宋体"/>
              </w:rPr>
            </w:pPr>
          </w:p>
        </w:tc>
      </w:tr>
      <w:tr w14:paraId="4620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6" w:hRule="exact"/>
        </w:trPr>
        <w:tc>
          <w:tcPr>
            <w:tcW w:w="450" w:type="pct"/>
            <w:tcBorders>
              <w:top w:val="single" w:color="auto" w:sz="6" w:space="0"/>
              <w:left w:val="single" w:color="auto" w:sz="12" w:space="0"/>
              <w:bottom w:val="single" w:color="auto" w:sz="6" w:space="0"/>
              <w:right w:val="single" w:color="auto" w:sz="6" w:space="0"/>
            </w:tcBorders>
            <w:vAlign w:val="top"/>
          </w:tcPr>
          <w:p w14:paraId="1B916538">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43635FAE">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292B371F">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0E7C7D65">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37E065D9">
            <w:pPr>
              <w:autoSpaceDE w:val="0"/>
              <w:autoSpaceDN w:val="0"/>
              <w:adjustRightInd w:val="0"/>
              <w:spacing w:beforeAutospacing="0" w:afterAutospacing="0" w:line="360" w:lineRule="auto"/>
              <w:jc w:val="right"/>
              <w:rPr>
                <w:rFonts w:ascii="宋体" w:hAnsi="宋体" w:eastAsia="宋体" w:cs="宋体"/>
              </w:rPr>
            </w:pPr>
          </w:p>
        </w:tc>
      </w:tr>
      <w:tr w14:paraId="706F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20C0021A">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32FE63AA">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3BC484B2">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4B27FBA5">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11B781C9">
            <w:pPr>
              <w:autoSpaceDE w:val="0"/>
              <w:autoSpaceDN w:val="0"/>
              <w:adjustRightInd w:val="0"/>
              <w:spacing w:beforeAutospacing="0" w:afterAutospacing="0" w:line="360" w:lineRule="auto"/>
              <w:jc w:val="right"/>
              <w:rPr>
                <w:rFonts w:ascii="宋体" w:hAnsi="宋体" w:eastAsia="宋体" w:cs="宋体"/>
              </w:rPr>
            </w:pPr>
          </w:p>
        </w:tc>
      </w:tr>
      <w:tr w14:paraId="08B2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76B5D16D">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66727E07">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35E6871C">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018A460B">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0F2E30EC">
            <w:pPr>
              <w:autoSpaceDE w:val="0"/>
              <w:autoSpaceDN w:val="0"/>
              <w:adjustRightInd w:val="0"/>
              <w:spacing w:beforeAutospacing="0" w:afterAutospacing="0" w:line="360" w:lineRule="auto"/>
              <w:jc w:val="right"/>
              <w:rPr>
                <w:rFonts w:ascii="宋体" w:hAnsi="宋体" w:eastAsia="宋体" w:cs="宋体"/>
              </w:rPr>
            </w:pPr>
          </w:p>
        </w:tc>
      </w:tr>
      <w:tr w14:paraId="6FC5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58AF558B">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7D6A7268">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1FE22FAC">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27F07127">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40485076">
            <w:pPr>
              <w:autoSpaceDE w:val="0"/>
              <w:autoSpaceDN w:val="0"/>
              <w:adjustRightInd w:val="0"/>
              <w:spacing w:beforeAutospacing="0" w:afterAutospacing="0" w:line="360" w:lineRule="auto"/>
              <w:jc w:val="right"/>
              <w:rPr>
                <w:rFonts w:ascii="宋体" w:hAnsi="宋体" w:eastAsia="宋体" w:cs="宋体"/>
              </w:rPr>
            </w:pPr>
          </w:p>
        </w:tc>
      </w:tr>
      <w:tr w14:paraId="0521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17FC7491">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7A9DA6C3">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423CBAEE">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2761DF83">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02913015">
            <w:pPr>
              <w:autoSpaceDE w:val="0"/>
              <w:autoSpaceDN w:val="0"/>
              <w:adjustRightInd w:val="0"/>
              <w:spacing w:beforeAutospacing="0" w:afterAutospacing="0" w:line="360" w:lineRule="auto"/>
              <w:jc w:val="right"/>
              <w:rPr>
                <w:rFonts w:ascii="宋体" w:hAnsi="宋体" w:eastAsia="宋体" w:cs="宋体"/>
              </w:rPr>
            </w:pPr>
          </w:p>
        </w:tc>
      </w:tr>
      <w:tr w14:paraId="1F839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693FCACB">
            <w:pPr>
              <w:autoSpaceDE w:val="0"/>
              <w:autoSpaceDN w:val="0"/>
              <w:adjustRightInd w:val="0"/>
              <w:spacing w:beforeAutospacing="0" w:afterAutospacing="0" w:line="360" w:lineRule="auto"/>
              <w:jc w:val="right"/>
              <w:rPr>
                <w:rFonts w:ascii="宋体" w:hAnsi="宋体" w:eastAsia="宋体" w:cs="宋体"/>
              </w:rPr>
            </w:pPr>
          </w:p>
        </w:tc>
        <w:tc>
          <w:tcPr>
            <w:tcW w:w="653" w:type="pct"/>
            <w:tcBorders>
              <w:top w:val="single" w:color="auto" w:sz="6" w:space="0"/>
              <w:left w:val="single" w:color="auto" w:sz="6" w:space="0"/>
              <w:bottom w:val="single" w:color="auto" w:sz="6" w:space="0"/>
              <w:right w:val="single" w:color="auto" w:sz="6" w:space="0"/>
            </w:tcBorders>
            <w:vAlign w:val="top"/>
          </w:tcPr>
          <w:p w14:paraId="3A06FA54">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6" w:space="0"/>
              <w:right w:val="single" w:color="auto" w:sz="6" w:space="0"/>
            </w:tcBorders>
            <w:vAlign w:val="top"/>
          </w:tcPr>
          <w:p w14:paraId="3BE64518">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6" w:space="0"/>
              <w:right w:val="single" w:color="auto" w:sz="6" w:space="0"/>
            </w:tcBorders>
            <w:vAlign w:val="top"/>
          </w:tcPr>
          <w:p w14:paraId="0B433783">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6" w:space="0"/>
              <w:right w:val="single" w:color="auto" w:sz="12" w:space="0"/>
            </w:tcBorders>
            <w:vAlign w:val="top"/>
          </w:tcPr>
          <w:p w14:paraId="5845B796">
            <w:pPr>
              <w:autoSpaceDE w:val="0"/>
              <w:autoSpaceDN w:val="0"/>
              <w:adjustRightInd w:val="0"/>
              <w:spacing w:beforeAutospacing="0" w:afterAutospacing="0" w:line="360" w:lineRule="auto"/>
              <w:jc w:val="right"/>
              <w:rPr>
                <w:rFonts w:ascii="宋体" w:hAnsi="宋体" w:eastAsia="宋体" w:cs="宋体"/>
              </w:rPr>
            </w:pPr>
          </w:p>
        </w:tc>
      </w:tr>
      <w:tr w14:paraId="37B6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12" w:space="0"/>
              <w:right w:val="single" w:color="auto" w:sz="6" w:space="0"/>
            </w:tcBorders>
            <w:vAlign w:val="top"/>
          </w:tcPr>
          <w:p w14:paraId="1AE29E46">
            <w:pPr>
              <w:autoSpaceDE w:val="0"/>
              <w:autoSpaceDN w:val="0"/>
              <w:adjustRightInd w:val="0"/>
              <w:spacing w:beforeAutospacing="0" w:afterAutospacing="0" w:line="360" w:lineRule="auto"/>
              <w:jc w:val="center"/>
              <w:rPr>
                <w:rFonts w:hint="default" w:ascii="宋体" w:hAnsi="宋体" w:eastAsia="宋体" w:cs="宋体"/>
                <w:lang w:val="en-US" w:eastAsia="zh-CN"/>
              </w:rPr>
            </w:pPr>
            <w:r>
              <w:rPr>
                <w:rFonts w:hint="eastAsia" w:ascii="宋体" w:hAnsi="宋体" w:cs="宋体"/>
                <w:lang w:val="en-US" w:eastAsia="zh-CN"/>
              </w:rPr>
              <w:t>...</w:t>
            </w:r>
          </w:p>
        </w:tc>
        <w:tc>
          <w:tcPr>
            <w:tcW w:w="653" w:type="pct"/>
            <w:tcBorders>
              <w:top w:val="single" w:color="auto" w:sz="6" w:space="0"/>
              <w:left w:val="single" w:color="auto" w:sz="6" w:space="0"/>
              <w:bottom w:val="single" w:color="auto" w:sz="12" w:space="0"/>
              <w:right w:val="single" w:color="auto" w:sz="6" w:space="0"/>
            </w:tcBorders>
            <w:vAlign w:val="top"/>
          </w:tcPr>
          <w:p w14:paraId="40D1F984">
            <w:pPr>
              <w:autoSpaceDE w:val="0"/>
              <w:autoSpaceDN w:val="0"/>
              <w:adjustRightInd w:val="0"/>
              <w:spacing w:beforeAutospacing="0" w:afterAutospacing="0" w:line="360" w:lineRule="auto"/>
              <w:jc w:val="right"/>
              <w:rPr>
                <w:rFonts w:ascii="宋体" w:hAnsi="宋体" w:eastAsia="宋体" w:cs="宋体"/>
              </w:rPr>
            </w:pPr>
          </w:p>
        </w:tc>
        <w:tc>
          <w:tcPr>
            <w:tcW w:w="2428" w:type="pct"/>
            <w:tcBorders>
              <w:top w:val="single" w:color="auto" w:sz="6" w:space="0"/>
              <w:left w:val="single" w:color="auto" w:sz="6" w:space="0"/>
              <w:bottom w:val="single" w:color="auto" w:sz="12" w:space="0"/>
              <w:right w:val="single" w:color="auto" w:sz="6" w:space="0"/>
            </w:tcBorders>
            <w:vAlign w:val="top"/>
          </w:tcPr>
          <w:p w14:paraId="39DFE3AD">
            <w:pPr>
              <w:autoSpaceDE w:val="0"/>
              <w:autoSpaceDN w:val="0"/>
              <w:adjustRightInd w:val="0"/>
              <w:spacing w:beforeAutospacing="0" w:afterAutospacing="0" w:line="360" w:lineRule="auto"/>
              <w:jc w:val="right"/>
              <w:rPr>
                <w:rFonts w:ascii="宋体" w:hAnsi="宋体" w:eastAsia="宋体" w:cs="宋体"/>
              </w:rPr>
            </w:pPr>
          </w:p>
        </w:tc>
        <w:tc>
          <w:tcPr>
            <w:tcW w:w="586" w:type="pct"/>
            <w:tcBorders>
              <w:top w:val="single" w:color="auto" w:sz="6" w:space="0"/>
              <w:left w:val="single" w:color="auto" w:sz="6" w:space="0"/>
              <w:bottom w:val="single" w:color="auto" w:sz="12" w:space="0"/>
              <w:right w:val="single" w:color="auto" w:sz="6" w:space="0"/>
            </w:tcBorders>
            <w:vAlign w:val="top"/>
          </w:tcPr>
          <w:p w14:paraId="3B2E304B">
            <w:pPr>
              <w:autoSpaceDE w:val="0"/>
              <w:autoSpaceDN w:val="0"/>
              <w:adjustRightInd w:val="0"/>
              <w:spacing w:beforeAutospacing="0" w:afterAutospacing="0" w:line="360" w:lineRule="auto"/>
              <w:jc w:val="right"/>
              <w:rPr>
                <w:rFonts w:ascii="宋体" w:hAnsi="宋体" w:eastAsia="宋体" w:cs="宋体"/>
              </w:rPr>
            </w:pPr>
          </w:p>
        </w:tc>
        <w:tc>
          <w:tcPr>
            <w:tcW w:w="880" w:type="pct"/>
            <w:tcBorders>
              <w:top w:val="single" w:color="auto" w:sz="6" w:space="0"/>
              <w:left w:val="single" w:color="auto" w:sz="6" w:space="0"/>
              <w:bottom w:val="single" w:color="auto" w:sz="12" w:space="0"/>
              <w:right w:val="single" w:color="auto" w:sz="12" w:space="0"/>
            </w:tcBorders>
            <w:vAlign w:val="top"/>
          </w:tcPr>
          <w:p w14:paraId="16BBC0D7">
            <w:pPr>
              <w:autoSpaceDE w:val="0"/>
              <w:autoSpaceDN w:val="0"/>
              <w:adjustRightInd w:val="0"/>
              <w:spacing w:beforeAutospacing="0" w:afterAutospacing="0" w:line="360" w:lineRule="auto"/>
              <w:jc w:val="right"/>
              <w:rPr>
                <w:rFonts w:ascii="宋体" w:hAnsi="宋体" w:eastAsia="宋体" w:cs="宋体"/>
              </w:rPr>
            </w:pPr>
          </w:p>
        </w:tc>
      </w:tr>
    </w:tbl>
    <w:p w14:paraId="5386ED0F">
      <w:pPr>
        <w:spacing w:beforeAutospacing="0" w:afterAutospacing="0" w:line="360" w:lineRule="auto"/>
        <w:rPr>
          <w:rFonts w:ascii="宋体" w:hAnsi="宋体" w:eastAsia="宋体" w:cs="宋体"/>
        </w:rPr>
      </w:pPr>
      <w:r>
        <w:rPr>
          <w:rFonts w:hint="eastAsia" w:ascii="宋体" w:hAnsi="宋体" w:eastAsia="宋体" w:cs="宋体"/>
        </w:rPr>
        <w:t>注：对可以有差异的，其内容的确定，在签定合同时，由买卖双方协商。</w:t>
      </w:r>
    </w:p>
    <w:p w14:paraId="1FF62975">
      <w:pPr>
        <w:spacing w:beforeAutospacing="0" w:afterAutospacing="0" w:line="360" w:lineRule="auto"/>
        <w:rPr>
          <w:rFonts w:ascii="宋体" w:hAnsi="宋体" w:eastAsia="宋体" w:cs="宋体"/>
        </w:rPr>
      </w:pPr>
    </w:p>
    <w:p w14:paraId="2169BD9D">
      <w:pPr>
        <w:pStyle w:val="17"/>
        <w:spacing w:beforeAutospacing="0" w:afterAutospacing="0" w:line="360" w:lineRule="auto"/>
        <w:rPr>
          <w:rFonts w:ascii="宋体" w:hAnsi="宋体" w:eastAsia="宋体" w:cs="宋体"/>
        </w:rPr>
      </w:pPr>
    </w:p>
    <w:p w14:paraId="32037871">
      <w:pPr>
        <w:pStyle w:val="17"/>
        <w:spacing w:beforeAutospacing="0" w:afterAutospacing="0" w:line="360" w:lineRule="auto"/>
        <w:rPr>
          <w:rFonts w:ascii="宋体" w:hAnsi="宋体" w:eastAsia="宋体" w:cs="宋体"/>
        </w:rPr>
      </w:pPr>
    </w:p>
    <w:p w14:paraId="2E8A12A6">
      <w:pPr>
        <w:spacing w:beforeAutospacing="0" w:afterAutospacing="0" w:line="360" w:lineRule="auto"/>
        <w:rPr>
          <w:rFonts w:ascii="宋体" w:hAnsi="宋体" w:eastAsia="宋体" w:cs="宋体"/>
        </w:rPr>
      </w:pPr>
    </w:p>
    <w:p w14:paraId="1DF2ECF2">
      <w:pPr>
        <w:spacing w:beforeAutospacing="0" w:afterAutospacing="0" w:line="360" w:lineRule="auto"/>
        <w:rPr>
          <w:rFonts w:ascii="宋体" w:hAnsi="宋体" w:eastAsia="宋体" w:cs="宋体"/>
        </w:rPr>
      </w:pPr>
    </w:p>
    <w:p w14:paraId="10A51497">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43D92F0E">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法定代表人（或授权代表）签字：</w:t>
      </w:r>
    </w:p>
    <w:p w14:paraId="592E905C">
      <w:pPr>
        <w:adjustRightInd w:val="0"/>
        <w:snapToGrid w:val="0"/>
        <w:spacing w:beforeAutospacing="0" w:afterAutospacing="0" w:line="360" w:lineRule="auto"/>
        <w:rPr>
          <w:rFonts w:ascii="宋体" w:hAnsi="宋体" w:eastAsia="宋体" w:cs="宋体"/>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62363056">
      <w:pPr>
        <w:spacing w:beforeAutospacing="0" w:afterAutospacing="0" w:line="360" w:lineRule="auto"/>
        <w:rPr>
          <w:rFonts w:ascii="宋体" w:hAnsi="宋体" w:eastAsia="宋体" w:cs="宋体"/>
          <w:b/>
          <w:sz w:val="28"/>
          <w:szCs w:val="28"/>
        </w:rPr>
      </w:pPr>
    </w:p>
    <w:p w14:paraId="00306DB2">
      <w:pPr>
        <w:pStyle w:val="17"/>
        <w:spacing w:beforeAutospacing="0" w:afterAutospacing="0" w:line="360" w:lineRule="auto"/>
        <w:rPr>
          <w:rFonts w:ascii="宋体" w:hAnsi="宋体" w:eastAsia="宋体" w:cs="宋体"/>
          <w:b/>
          <w:sz w:val="28"/>
          <w:szCs w:val="28"/>
        </w:rPr>
      </w:pPr>
    </w:p>
    <w:p w14:paraId="35D2F9D5">
      <w:pPr>
        <w:pStyle w:val="17"/>
        <w:spacing w:beforeAutospacing="0" w:afterAutospacing="0" w:line="360" w:lineRule="auto"/>
        <w:rPr>
          <w:rFonts w:ascii="宋体" w:hAnsi="宋体" w:eastAsia="宋体" w:cs="宋体"/>
          <w:b/>
          <w:sz w:val="28"/>
          <w:szCs w:val="28"/>
        </w:rPr>
      </w:pPr>
    </w:p>
    <w:p w14:paraId="1445F9B9">
      <w:pPr>
        <w:pStyle w:val="17"/>
        <w:spacing w:beforeAutospacing="0" w:afterAutospacing="0" w:line="360" w:lineRule="auto"/>
        <w:rPr>
          <w:rFonts w:ascii="宋体" w:hAnsi="宋体" w:eastAsia="宋体" w:cs="宋体"/>
          <w:b/>
          <w:sz w:val="28"/>
          <w:szCs w:val="28"/>
        </w:rPr>
      </w:pPr>
    </w:p>
    <w:p w14:paraId="4CFB5CA6">
      <w:pPr>
        <w:pStyle w:val="17"/>
        <w:spacing w:beforeAutospacing="0" w:afterAutospacing="0" w:line="360" w:lineRule="auto"/>
        <w:rPr>
          <w:rFonts w:ascii="宋体" w:hAnsi="宋体" w:eastAsia="宋体" w:cs="宋体"/>
          <w:b/>
          <w:sz w:val="28"/>
          <w:szCs w:val="28"/>
        </w:rPr>
      </w:pPr>
    </w:p>
    <w:bookmarkEnd w:id="226"/>
    <w:bookmarkEnd w:id="227"/>
    <w:bookmarkEnd w:id="228"/>
    <w:bookmarkEnd w:id="229"/>
    <w:p w14:paraId="605FF620">
      <w:pPr>
        <w:spacing w:beforeAutospacing="0" w:after="120" w:afterAutospacing="0" w:line="360" w:lineRule="auto"/>
        <w:jc w:val="center"/>
        <w:rPr>
          <w:rFonts w:ascii="宋体" w:hAnsi="宋体" w:eastAsia="宋体" w:cs="宋体"/>
          <w:b/>
          <w:sz w:val="28"/>
          <w:szCs w:val="28"/>
        </w:rPr>
      </w:pPr>
      <w:r>
        <w:rPr>
          <w:rFonts w:hint="eastAsia" w:ascii="宋体" w:hAnsi="宋体" w:cs="宋体"/>
          <w:b/>
          <w:sz w:val="28"/>
          <w:szCs w:val="28"/>
          <w:lang w:val="en-US" w:eastAsia="zh-CN"/>
        </w:rPr>
        <w:t>3</w:t>
      </w:r>
      <w:r>
        <w:rPr>
          <w:rFonts w:hint="eastAsia" w:ascii="宋体" w:hAnsi="宋体" w:eastAsia="宋体" w:cs="宋体"/>
          <w:b/>
          <w:sz w:val="28"/>
          <w:szCs w:val="28"/>
        </w:rPr>
        <w:t>、缴纳招标服务费承诺书</w:t>
      </w:r>
    </w:p>
    <w:p w14:paraId="4EB0EA9B">
      <w:pPr>
        <w:spacing w:beforeAutospacing="0" w:afterAutospacing="0" w:line="360" w:lineRule="auto"/>
        <w:rPr>
          <w:rFonts w:ascii="宋体" w:hAnsi="宋体" w:eastAsia="宋体" w:cs="宋体"/>
          <w:b/>
          <w:szCs w:val="21"/>
          <w:u w:val="single"/>
        </w:rPr>
      </w:pPr>
      <w:r>
        <w:rPr>
          <w:rFonts w:hint="eastAsia" w:ascii="宋体" w:hAnsi="宋体" w:eastAsia="宋体" w:cs="宋体"/>
          <w:b/>
          <w:szCs w:val="21"/>
        </w:rPr>
        <w:t>致：</w:t>
      </w:r>
      <w:r>
        <w:rPr>
          <w:rFonts w:hint="eastAsia" w:ascii="宋体" w:hAnsi="宋体" w:eastAsia="宋体" w:cs="宋体"/>
          <w:b/>
          <w:szCs w:val="21"/>
          <w:u w:val="single"/>
        </w:rPr>
        <w:t>韶关市鸿鑫招标代理有限公司</w:t>
      </w:r>
    </w:p>
    <w:p w14:paraId="5FCC7181">
      <w:pPr>
        <w:spacing w:beforeAutospacing="0" w:afterAutospacing="0" w:line="360" w:lineRule="auto"/>
        <w:ind w:firstLine="420" w:firstLineChars="200"/>
        <w:rPr>
          <w:rFonts w:ascii="宋体" w:hAnsi="宋体" w:eastAsia="宋体" w:cs="宋体"/>
          <w:szCs w:val="21"/>
        </w:rPr>
      </w:pPr>
      <w:r>
        <w:rPr>
          <w:rFonts w:hint="eastAsia" w:ascii="宋体" w:hAnsi="宋体" w:eastAsia="宋体" w:cs="宋体"/>
          <w:szCs w:val="21"/>
        </w:rPr>
        <w:t>如果我方在贵公司组织的项目名称：</w:t>
      </w:r>
      <w:r>
        <w:rPr>
          <w:rFonts w:hint="eastAsia" w:cs="宋体"/>
          <w:color w:val="auto"/>
          <w:sz w:val="21"/>
          <w:szCs w:val="21"/>
          <w:u w:val="single"/>
          <w:lang w:eastAsia="zh-CN"/>
        </w:rPr>
        <w:t>新丰县公共智慧体系配套建设项目</w:t>
      </w:r>
      <w:r>
        <w:rPr>
          <w:rFonts w:hint="eastAsia" w:ascii="宋体" w:hAnsi="宋体" w:eastAsia="宋体" w:cs="宋体"/>
          <w:szCs w:val="21"/>
          <w:u w:val="single"/>
        </w:rPr>
        <w:t>（项目编号：</w:t>
      </w:r>
      <w:r>
        <w:rPr>
          <w:rFonts w:hint="eastAsia" w:ascii="宋体" w:hAnsi="宋体" w:cs="宋体"/>
          <w:szCs w:val="21"/>
          <w:u w:val="single"/>
          <w:lang w:eastAsia="zh-CN"/>
        </w:rPr>
        <w:t>HXZB2509087FG</w:t>
      </w:r>
      <w:r>
        <w:rPr>
          <w:rFonts w:hint="eastAsia" w:ascii="宋体" w:hAnsi="宋体" w:eastAsia="宋体" w:cs="宋体"/>
          <w:szCs w:val="21"/>
          <w:u w:val="single"/>
        </w:rPr>
        <w:t>）</w:t>
      </w:r>
      <w:r>
        <w:rPr>
          <w:rFonts w:hint="eastAsia" w:ascii="宋体" w:hAnsi="宋体" w:eastAsia="宋体" w:cs="宋体"/>
          <w:szCs w:val="21"/>
        </w:rPr>
        <w:t>招标项目中被确定为</w:t>
      </w:r>
      <w:r>
        <w:rPr>
          <w:rFonts w:hint="eastAsia" w:ascii="宋体" w:hAnsi="宋体" w:cs="宋体"/>
          <w:szCs w:val="21"/>
          <w:lang w:eastAsia="zh-CN"/>
        </w:rPr>
        <w:t>中标候选人</w:t>
      </w:r>
      <w:r>
        <w:rPr>
          <w:rFonts w:hint="eastAsia" w:ascii="宋体" w:hAnsi="宋体" w:eastAsia="宋体" w:cs="宋体"/>
          <w:szCs w:val="21"/>
        </w:rPr>
        <w:t>，我方保证在收到《</w:t>
      </w:r>
      <w:r>
        <w:rPr>
          <w:rFonts w:hint="eastAsia" w:ascii="宋体" w:hAnsi="宋体" w:cs="宋体"/>
          <w:szCs w:val="21"/>
          <w:lang w:val="en-US" w:eastAsia="zh-CN"/>
        </w:rPr>
        <w:t>中标</w:t>
      </w:r>
      <w:r>
        <w:rPr>
          <w:rFonts w:hint="eastAsia" w:ascii="宋体" w:hAnsi="宋体" w:eastAsia="宋体" w:cs="宋体"/>
          <w:szCs w:val="21"/>
        </w:rPr>
        <w:t>通知书》前，按照招标文件的规定向贵公司</w:t>
      </w:r>
      <w:r>
        <w:rPr>
          <w:rFonts w:hint="eastAsia" w:ascii="宋体" w:hAnsi="宋体" w:cs="宋体"/>
          <w:szCs w:val="21"/>
          <w:lang w:eastAsia="zh-CN"/>
        </w:rPr>
        <w:t>缴纳</w:t>
      </w:r>
      <w:r>
        <w:rPr>
          <w:rFonts w:hint="eastAsia" w:ascii="宋体" w:hAnsi="宋体" w:eastAsia="宋体" w:cs="宋体"/>
          <w:szCs w:val="21"/>
        </w:rPr>
        <w:t>招标代理服务费。</w:t>
      </w:r>
    </w:p>
    <w:p w14:paraId="20F2A0B9">
      <w:pPr>
        <w:spacing w:beforeAutospacing="0" w:afterAutospacing="0" w:line="360" w:lineRule="auto"/>
        <w:ind w:firstLine="420" w:firstLineChars="200"/>
        <w:rPr>
          <w:rFonts w:ascii="宋体" w:hAnsi="宋体" w:eastAsia="宋体" w:cs="宋体"/>
          <w:szCs w:val="21"/>
        </w:rPr>
      </w:pPr>
      <w:r>
        <w:rPr>
          <w:rFonts w:hint="eastAsia" w:ascii="宋体" w:hAnsi="宋体" w:eastAsia="宋体" w:cs="宋体"/>
          <w:szCs w:val="21"/>
        </w:rPr>
        <w:t>我方如违约，愿凭贵公司开出的违约通知，按上述承诺金额的200％在招标人与我方签订的合同款项中扣付，并在此同意和要求招标人（应韶关市鸿鑫招标代理有限公司的要求）办理支付手续。</w:t>
      </w:r>
    </w:p>
    <w:p w14:paraId="4BB73915">
      <w:pPr>
        <w:spacing w:beforeAutospacing="0" w:afterAutospacing="0" w:line="360" w:lineRule="auto"/>
        <w:ind w:firstLine="420" w:firstLineChars="200"/>
        <w:rPr>
          <w:rFonts w:hint="eastAsia" w:ascii="宋体" w:hAnsi="宋体" w:eastAsia="宋体" w:cs="宋体"/>
          <w:szCs w:val="21"/>
        </w:rPr>
      </w:pPr>
    </w:p>
    <w:p w14:paraId="289CE5AA">
      <w:pPr>
        <w:spacing w:beforeAutospacing="0" w:afterAutospacing="0" w:line="360" w:lineRule="auto"/>
        <w:ind w:firstLine="420" w:firstLineChars="200"/>
        <w:rPr>
          <w:rFonts w:ascii="宋体" w:hAnsi="宋体" w:eastAsia="宋体" w:cs="宋体"/>
          <w:szCs w:val="21"/>
        </w:rPr>
      </w:pPr>
      <w:r>
        <w:rPr>
          <w:rFonts w:hint="eastAsia" w:ascii="宋体" w:hAnsi="宋体" w:eastAsia="宋体" w:cs="宋体"/>
          <w:szCs w:val="21"/>
        </w:rPr>
        <w:t>特此承诺！</w:t>
      </w:r>
    </w:p>
    <w:p w14:paraId="4092A16B">
      <w:pPr>
        <w:adjustRightInd w:val="0"/>
        <w:snapToGrid w:val="0"/>
        <w:spacing w:beforeAutospacing="0" w:afterAutospacing="0" w:line="360" w:lineRule="auto"/>
        <w:rPr>
          <w:rFonts w:ascii="宋体" w:hAnsi="宋体" w:eastAsia="宋体" w:cs="宋体"/>
          <w:szCs w:val="21"/>
        </w:rPr>
      </w:pPr>
      <w:bookmarkStart w:id="230" w:name="_Toc338083279"/>
    </w:p>
    <w:p w14:paraId="008E6909">
      <w:pPr>
        <w:adjustRightInd w:val="0"/>
        <w:snapToGrid w:val="0"/>
        <w:spacing w:beforeAutospacing="0" w:afterAutospacing="0" w:line="360" w:lineRule="auto"/>
        <w:rPr>
          <w:rFonts w:ascii="宋体" w:hAnsi="宋体" w:eastAsia="宋体" w:cs="宋体"/>
          <w:szCs w:val="21"/>
        </w:rPr>
      </w:pPr>
    </w:p>
    <w:p w14:paraId="5EFEB1E0">
      <w:pPr>
        <w:adjustRightInd w:val="0"/>
        <w:snapToGrid w:val="0"/>
        <w:spacing w:beforeAutospacing="0" w:afterAutospacing="0" w:line="360" w:lineRule="auto"/>
        <w:rPr>
          <w:rFonts w:ascii="宋体" w:hAnsi="宋体" w:eastAsia="宋体" w:cs="宋体"/>
          <w:szCs w:val="21"/>
        </w:rPr>
      </w:pPr>
    </w:p>
    <w:p w14:paraId="609E7A9D">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6FD62094">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法定代表人（或授权代表）签字：</w:t>
      </w:r>
    </w:p>
    <w:p w14:paraId="465A232B">
      <w:pPr>
        <w:adjustRightInd w:val="0"/>
        <w:snapToGrid w:val="0"/>
        <w:spacing w:beforeAutospacing="0" w:afterAutospacing="0" w:line="360" w:lineRule="auto"/>
        <w:rPr>
          <w:rFonts w:ascii="宋体" w:hAnsi="宋体" w:eastAsia="宋体" w:cs="宋体"/>
          <w:szCs w:val="21"/>
        </w:rPr>
      </w:pPr>
      <w:bookmarkStart w:id="231" w:name="_Toc453695574"/>
      <w:bookmarkStart w:id="232" w:name="_Toc453695701"/>
      <w:bookmarkStart w:id="233" w:name="_Toc461991265"/>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075ED0FB">
      <w:pPr>
        <w:adjustRightInd w:val="0"/>
        <w:snapToGrid w:val="0"/>
        <w:spacing w:beforeAutospacing="0" w:afterAutospacing="0" w:line="360" w:lineRule="auto"/>
        <w:rPr>
          <w:rFonts w:ascii="宋体" w:hAnsi="宋体" w:eastAsia="宋体" w:cs="宋体"/>
          <w:szCs w:val="21"/>
        </w:rPr>
      </w:pPr>
    </w:p>
    <w:p w14:paraId="0629FEE8">
      <w:pPr>
        <w:adjustRightInd w:val="0"/>
        <w:snapToGrid w:val="0"/>
        <w:spacing w:beforeAutospacing="0" w:afterAutospacing="0" w:line="360" w:lineRule="auto"/>
        <w:jc w:val="center"/>
        <w:rPr>
          <w:rFonts w:ascii="宋体" w:hAnsi="宋体" w:eastAsia="宋体" w:cs="宋体"/>
          <w:b/>
          <w:sz w:val="28"/>
          <w:szCs w:val="28"/>
        </w:rPr>
      </w:pPr>
    </w:p>
    <w:bookmarkEnd w:id="230"/>
    <w:bookmarkEnd w:id="231"/>
    <w:bookmarkEnd w:id="232"/>
    <w:bookmarkEnd w:id="233"/>
    <w:p w14:paraId="3C916499">
      <w:pPr>
        <w:adjustRightInd w:val="0"/>
        <w:snapToGrid w:val="0"/>
        <w:spacing w:beforeAutospacing="0" w:afterAutospacing="0" w:line="360" w:lineRule="auto"/>
        <w:jc w:val="center"/>
        <w:rPr>
          <w:rFonts w:ascii="宋体" w:hAnsi="宋体" w:eastAsia="宋体" w:cs="宋体"/>
          <w:b/>
          <w:sz w:val="28"/>
          <w:szCs w:val="28"/>
        </w:rPr>
      </w:pPr>
      <w:r>
        <w:rPr>
          <w:rFonts w:hint="eastAsia" w:ascii="宋体" w:hAnsi="宋体" w:cs="宋体"/>
          <w:b/>
          <w:sz w:val="28"/>
          <w:szCs w:val="28"/>
          <w:lang w:val="en-US" w:eastAsia="zh-CN"/>
        </w:rPr>
        <w:t>4</w:t>
      </w:r>
      <w:r>
        <w:rPr>
          <w:rFonts w:hint="eastAsia" w:ascii="宋体" w:hAnsi="宋体" w:eastAsia="宋体" w:cs="宋体"/>
          <w:b/>
          <w:sz w:val="28"/>
          <w:szCs w:val="28"/>
        </w:rPr>
        <w:t>、同意招标文件条款说明</w:t>
      </w:r>
    </w:p>
    <w:p w14:paraId="5CEB7BAD">
      <w:pPr>
        <w:spacing w:beforeAutospacing="0" w:afterAutospacing="0" w:line="360" w:lineRule="auto"/>
        <w:rPr>
          <w:rFonts w:ascii="宋体" w:hAnsi="宋体" w:eastAsia="宋体" w:cs="宋体"/>
          <w:b/>
          <w:szCs w:val="21"/>
        </w:rPr>
      </w:pPr>
      <w:r>
        <w:rPr>
          <w:rFonts w:hint="eastAsia" w:ascii="宋体" w:hAnsi="宋体" w:eastAsia="宋体" w:cs="宋体"/>
          <w:b/>
          <w:szCs w:val="21"/>
        </w:rPr>
        <w:t>致：韶关市鸿鑫招标代理有限公司</w:t>
      </w:r>
    </w:p>
    <w:p w14:paraId="496C274A">
      <w:pPr>
        <w:spacing w:beforeAutospacing="0" w:afterAutospacing="0" w:line="360" w:lineRule="auto"/>
        <w:ind w:firstLine="478" w:firstLineChars="228"/>
        <w:rPr>
          <w:rFonts w:ascii="宋体" w:hAnsi="宋体" w:eastAsia="宋体" w:cs="宋体"/>
          <w:szCs w:val="21"/>
        </w:rPr>
      </w:pPr>
      <w:r>
        <w:rPr>
          <w:rFonts w:hint="eastAsia" w:ascii="宋体" w:hAnsi="宋体" w:eastAsia="宋体" w:cs="宋体"/>
          <w:kern w:val="0"/>
          <w:szCs w:val="21"/>
        </w:rPr>
        <w:t>为响应你方组织的项目名称：</w:t>
      </w:r>
      <w:r>
        <w:rPr>
          <w:rFonts w:hint="eastAsia" w:cs="宋体"/>
          <w:color w:val="auto"/>
          <w:sz w:val="21"/>
          <w:szCs w:val="21"/>
          <w:u w:val="single"/>
          <w:lang w:eastAsia="zh-CN"/>
        </w:rPr>
        <w:t>新丰县公共智慧体系配套建设项目</w:t>
      </w:r>
      <w:r>
        <w:rPr>
          <w:rFonts w:hint="eastAsia" w:ascii="宋体" w:hAnsi="宋体" w:eastAsia="宋体" w:cs="宋体"/>
          <w:kern w:val="0"/>
          <w:szCs w:val="21"/>
        </w:rPr>
        <w:t>的公开招标【项目编号：</w:t>
      </w:r>
      <w:r>
        <w:rPr>
          <w:rFonts w:hint="eastAsia" w:ascii="宋体" w:hAnsi="宋体" w:cs="宋体"/>
          <w:szCs w:val="21"/>
          <w:lang w:eastAsia="zh-CN"/>
        </w:rPr>
        <w:t>HXZB2509087FG</w:t>
      </w:r>
      <w:r>
        <w:rPr>
          <w:rFonts w:hint="eastAsia" w:ascii="宋体" w:hAnsi="宋体" w:eastAsia="宋体" w:cs="宋体"/>
          <w:kern w:val="0"/>
          <w:szCs w:val="21"/>
        </w:rPr>
        <w:t>】，我方在参与投标前已详细研究了招标文件的所有内容，包括修改文件（如果有的话）和所有已提供的参考资料以及有关附件，我方完全明白并认为此招标文件没有倾向性，也没有存在排斥潜在投标人的内容，我方并同意招标文件的相关条款。</w:t>
      </w:r>
    </w:p>
    <w:p w14:paraId="126FF78F">
      <w:pPr>
        <w:spacing w:beforeAutospacing="0" w:afterAutospacing="0" w:line="360" w:lineRule="auto"/>
        <w:ind w:firstLine="478" w:firstLineChars="228"/>
        <w:rPr>
          <w:rFonts w:ascii="宋体" w:hAnsi="宋体" w:eastAsia="宋体" w:cs="宋体"/>
          <w:kern w:val="0"/>
          <w:szCs w:val="21"/>
        </w:rPr>
      </w:pPr>
      <w:r>
        <w:rPr>
          <w:rFonts w:hint="eastAsia" w:ascii="宋体" w:hAnsi="宋体" w:eastAsia="宋体" w:cs="宋体"/>
          <w:kern w:val="0"/>
          <w:szCs w:val="21"/>
        </w:rPr>
        <w:t>特此说明。</w:t>
      </w:r>
    </w:p>
    <w:p w14:paraId="111854BE">
      <w:pPr>
        <w:adjustRightInd w:val="0"/>
        <w:snapToGrid w:val="0"/>
        <w:spacing w:beforeAutospacing="0" w:afterAutospacing="0" w:line="360" w:lineRule="auto"/>
        <w:rPr>
          <w:rFonts w:ascii="宋体" w:hAnsi="宋体" w:eastAsia="宋体" w:cs="宋体"/>
          <w:szCs w:val="21"/>
        </w:rPr>
      </w:pPr>
    </w:p>
    <w:p w14:paraId="7FF0E09D">
      <w:pPr>
        <w:adjustRightInd w:val="0"/>
        <w:snapToGrid w:val="0"/>
        <w:spacing w:beforeAutospacing="0" w:afterAutospacing="0" w:line="360" w:lineRule="auto"/>
        <w:rPr>
          <w:rFonts w:ascii="宋体" w:hAnsi="宋体" w:eastAsia="宋体" w:cs="宋体"/>
          <w:szCs w:val="21"/>
        </w:rPr>
      </w:pPr>
    </w:p>
    <w:p w14:paraId="0BD8B72A">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1E6AE6D0">
      <w:pPr>
        <w:adjustRightInd w:val="0"/>
        <w:snapToGrid w:val="0"/>
        <w:spacing w:beforeAutospacing="0" w:afterAutospacing="0" w:line="360" w:lineRule="auto"/>
        <w:rPr>
          <w:rFonts w:hint="eastAsia" w:ascii="宋体" w:hAnsi="宋体" w:eastAsia="宋体" w:cs="宋体"/>
          <w:szCs w:val="21"/>
        </w:rPr>
      </w:pPr>
      <w:r>
        <w:rPr>
          <w:rFonts w:hint="eastAsia" w:ascii="宋体" w:hAnsi="宋体" w:eastAsia="宋体" w:cs="宋体"/>
          <w:szCs w:val="21"/>
        </w:rPr>
        <w:t>法定代表人（或授权代表）签字：</w:t>
      </w:r>
    </w:p>
    <w:p w14:paraId="0E868E84">
      <w:pPr>
        <w:adjustRightInd w:val="0"/>
        <w:snapToGrid w:val="0"/>
        <w:spacing w:beforeAutospacing="0" w:afterAutospacing="0" w:line="360" w:lineRule="auto"/>
        <w:rPr>
          <w:rFonts w:ascii="宋体" w:hAnsi="宋体" w:eastAsia="宋体" w:cs="宋体"/>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1067FA44">
      <w:pPr>
        <w:pStyle w:val="3"/>
        <w:spacing w:before="0" w:beforeAutospacing="0" w:after="120" w:afterAutospacing="0"/>
        <w:rPr>
          <w:rFonts w:ascii="宋体" w:hAnsi="宋体" w:eastAsia="宋体" w:cs="宋体"/>
          <w:b/>
          <w:bCs/>
          <w:color w:val="auto"/>
        </w:rPr>
      </w:pPr>
      <w:bookmarkStart w:id="234" w:name="_Toc29422"/>
      <w:bookmarkEnd w:id="234"/>
      <w:r>
        <w:rPr>
          <w:rFonts w:hint="eastAsia" w:ascii="宋体" w:hAnsi="宋体" w:eastAsia="宋体" w:cs="宋体"/>
          <w:b/>
          <w:bCs/>
          <w:color w:val="auto"/>
        </w:rPr>
        <w:t>四、技术文件</w:t>
      </w:r>
    </w:p>
    <w:p w14:paraId="175161FA">
      <w:pPr>
        <w:spacing w:beforeAutospacing="0" w:afterAutospacing="0" w:line="360" w:lineRule="auto"/>
        <w:jc w:val="center"/>
        <w:rPr>
          <w:rFonts w:ascii="宋体" w:hAnsi="宋体" w:eastAsia="宋体" w:cs="宋体"/>
          <w:b/>
          <w:sz w:val="28"/>
          <w:szCs w:val="28"/>
        </w:rPr>
      </w:pPr>
    </w:p>
    <w:p w14:paraId="5675BA94">
      <w:pPr>
        <w:spacing w:beforeAutospacing="0" w:afterAutospacing="0" w:line="360" w:lineRule="auto"/>
        <w:jc w:val="center"/>
        <w:rPr>
          <w:rFonts w:ascii="宋体" w:hAnsi="宋体" w:eastAsia="宋体" w:cs="宋体"/>
          <w:b/>
          <w:sz w:val="28"/>
          <w:szCs w:val="28"/>
        </w:rPr>
      </w:pPr>
      <w:r>
        <w:rPr>
          <w:rFonts w:hint="eastAsia" w:ascii="宋体" w:hAnsi="宋体" w:eastAsia="宋体" w:cs="宋体"/>
          <w:b/>
          <w:sz w:val="28"/>
          <w:szCs w:val="28"/>
        </w:rPr>
        <w:t>服务方案</w:t>
      </w:r>
    </w:p>
    <w:p w14:paraId="0DBDCF2C">
      <w:pPr>
        <w:spacing w:beforeAutospacing="0" w:afterAutospacing="0" w:line="360" w:lineRule="auto"/>
        <w:jc w:val="center"/>
        <w:rPr>
          <w:rFonts w:ascii="宋体" w:hAnsi="宋体" w:eastAsia="宋体" w:cs="宋体"/>
          <w:b/>
          <w:sz w:val="28"/>
          <w:szCs w:val="28"/>
        </w:rPr>
      </w:pPr>
      <w:r>
        <w:rPr>
          <w:rFonts w:hint="eastAsia" w:ascii="宋体" w:hAnsi="宋体" w:eastAsia="宋体" w:cs="宋体"/>
          <w:bCs/>
        </w:rPr>
        <w:t>【根据技术评审内容编写服务方案，格式自拟】</w:t>
      </w:r>
    </w:p>
    <w:p w14:paraId="138D87CA">
      <w:pPr>
        <w:spacing w:beforeAutospacing="0" w:afterAutospacing="0" w:line="360" w:lineRule="auto"/>
        <w:rPr>
          <w:rFonts w:ascii="宋体" w:hAnsi="宋体" w:eastAsia="宋体" w:cs="宋体"/>
          <w:bCs/>
        </w:rPr>
      </w:pPr>
    </w:p>
    <w:p w14:paraId="1981E31D">
      <w:pPr>
        <w:spacing w:beforeAutospacing="0" w:afterAutospacing="0" w:line="360" w:lineRule="auto"/>
        <w:rPr>
          <w:rFonts w:ascii="宋体" w:hAnsi="宋体" w:eastAsia="宋体" w:cs="宋体"/>
          <w:bCs/>
        </w:rPr>
      </w:pPr>
    </w:p>
    <w:p w14:paraId="71D5EFC4">
      <w:pPr>
        <w:pStyle w:val="151"/>
        <w:spacing w:beforeAutospacing="0" w:afterAutospacing="0" w:line="360" w:lineRule="auto"/>
        <w:rPr>
          <w:rFonts w:ascii="宋体" w:hAnsi="宋体" w:eastAsia="宋体" w:cs="宋体"/>
          <w:bCs/>
        </w:rPr>
      </w:pPr>
    </w:p>
    <w:p w14:paraId="42D2989E">
      <w:pPr>
        <w:pStyle w:val="109"/>
        <w:spacing w:beforeAutospacing="0" w:afterAutospacing="0" w:line="360" w:lineRule="auto"/>
        <w:rPr>
          <w:rFonts w:ascii="宋体" w:hAnsi="宋体" w:eastAsia="宋体" w:cs="宋体"/>
        </w:rPr>
      </w:pPr>
    </w:p>
    <w:p w14:paraId="4765349A">
      <w:pPr>
        <w:adjustRightInd w:val="0"/>
        <w:snapToGrid w:val="0"/>
        <w:spacing w:beforeAutospacing="0" w:afterAutospacing="0" w:line="360" w:lineRule="auto"/>
        <w:rPr>
          <w:rFonts w:ascii="宋体" w:hAnsi="宋体" w:eastAsia="宋体" w:cs="宋体"/>
          <w:szCs w:val="21"/>
          <w:u w:val="single"/>
        </w:rPr>
      </w:pPr>
      <w:r>
        <w:rPr>
          <w:rFonts w:hint="eastAsia" w:ascii="宋体" w:hAnsi="宋体" w:eastAsia="宋体" w:cs="宋体"/>
          <w:szCs w:val="21"/>
        </w:rPr>
        <w:t>投标人名称（加盖公章）：</w:t>
      </w:r>
    </w:p>
    <w:p w14:paraId="09604B34">
      <w:pPr>
        <w:adjustRightInd w:val="0"/>
        <w:snapToGrid w:val="0"/>
        <w:spacing w:beforeAutospacing="0" w:afterAutospacing="0" w:line="360" w:lineRule="auto"/>
        <w:rPr>
          <w:rFonts w:hint="eastAsia" w:ascii="宋体" w:hAnsi="宋体" w:eastAsia="宋体" w:cs="宋体"/>
          <w:szCs w:val="21"/>
        </w:rPr>
      </w:pPr>
      <w:r>
        <w:rPr>
          <w:rFonts w:hint="eastAsia" w:ascii="宋体" w:hAnsi="宋体" w:eastAsia="宋体" w:cs="宋体"/>
          <w:szCs w:val="21"/>
        </w:rPr>
        <w:t>法定代表人（或授权代表）签字：</w:t>
      </w:r>
    </w:p>
    <w:p w14:paraId="7C8AD505">
      <w:pPr>
        <w:adjustRightInd w:val="0"/>
        <w:snapToGrid w:val="0"/>
        <w:spacing w:beforeAutospacing="0" w:afterAutospacing="0" w:line="360" w:lineRule="auto"/>
        <w:rPr>
          <w:rFonts w:ascii="宋体" w:hAnsi="宋体" w:eastAsia="宋体" w:cs="宋体"/>
          <w:szCs w:val="21"/>
        </w:rPr>
      </w:pPr>
      <w:r>
        <w:rPr>
          <w:rFonts w:hint="eastAsia" w:ascii="宋体" w:hAnsi="宋体" w:eastAsia="宋体" w:cs="宋体"/>
          <w:szCs w:val="21"/>
        </w:rPr>
        <w:t>日期：202</w:t>
      </w:r>
      <w:r>
        <w:rPr>
          <w:rFonts w:hint="eastAsia" w:ascii="宋体" w:hAnsi="宋体" w:cs="宋体"/>
          <w:szCs w:val="21"/>
          <w:lang w:val="en-US" w:eastAsia="zh-CN"/>
        </w:rPr>
        <w:t>5</w:t>
      </w:r>
      <w:r>
        <w:rPr>
          <w:rFonts w:hint="eastAsia" w:ascii="宋体" w:hAnsi="宋体" w:eastAsia="宋体" w:cs="宋体"/>
          <w:szCs w:val="21"/>
        </w:rPr>
        <w:t>年   月   日</w:t>
      </w:r>
    </w:p>
    <w:p w14:paraId="4972DCFD">
      <w:pPr>
        <w:pStyle w:val="109"/>
        <w:spacing w:beforeAutospacing="0" w:afterAutospacing="0" w:line="360" w:lineRule="auto"/>
        <w:rPr>
          <w:rFonts w:ascii="宋体" w:hAnsi="宋体" w:eastAsia="宋体" w:cs="宋体"/>
        </w:rPr>
      </w:pPr>
    </w:p>
    <w:p w14:paraId="482C9D07">
      <w:pPr>
        <w:pStyle w:val="109"/>
        <w:spacing w:beforeAutospacing="0" w:afterAutospacing="0" w:line="360" w:lineRule="auto"/>
        <w:rPr>
          <w:rFonts w:ascii="宋体" w:hAnsi="宋体" w:eastAsia="宋体" w:cs="宋体"/>
        </w:rPr>
      </w:pPr>
    </w:p>
    <w:p w14:paraId="0A657E45">
      <w:pPr>
        <w:pStyle w:val="109"/>
        <w:spacing w:beforeAutospacing="0" w:afterAutospacing="0" w:line="360" w:lineRule="auto"/>
        <w:rPr>
          <w:rFonts w:ascii="宋体" w:hAnsi="宋体" w:eastAsia="宋体" w:cs="宋体"/>
        </w:rPr>
      </w:pPr>
    </w:p>
    <w:p w14:paraId="46F410B2">
      <w:pPr>
        <w:pStyle w:val="109"/>
        <w:spacing w:beforeAutospacing="0" w:afterAutospacing="0" w:line="360" w:lineRule="auto"/>
        <w:rPr>
          <w:rFonts w:ascii="宋体" w:hAnsi="宋体" w:eastAsia="宋体" w:cs="宋体"/>
        </w:rPr>
      </w:pPr>
    </w:p>
    <w:p w14:paraId="6E5C6234">
      <w:pPr>
        <w:pStyle w:val="109"/>
        <w:spacing w:beforeAutospacing="0" w:afterAutospacing="0" w:line="360" w:lineRule="auto"/>
        <w:rPr>
          <w:rFonts w:ascii="宋体" w:hAnsi="宋体" w:eastAsia="宋体" w:cs="宋体"/>
        </w:rPr>
      </w:pPr>
    </w:p>
    <w:p w14:paraId="03E411FA">
      <w:pPr>
        <w:pStyle w:val="109"/>
        <w:spacing w:beforeAutospacing="0" w:afterAutospacing="0" w:line="360" w:lineRule="auto"/>
        <w:rPr>
          <w:rFonts w:ascii="宋体" w:hAnsi="宋体" w:eastAsia="宋体" w:cs="宋体"/>
        </w:rPr>
      </w:pPr>
    </w:p>
    <w:p w14:paraId="70F84A38">
      <w:pPr>
        <w:pStyle w:val="24"/>
        <w:spacing w:line="360" w:lineRule="auto"/>
        <w:rPr>
          <w:rFonts w:asciiTheme="majorEastAsia" w:hAnsiTheme="majorEastAsia" w:eastAsiaTheme="majorEastAsia" w:cstheme="majorEastAsia"/>
          <w:b/>
          <w:color w:val="auto"/>
          <w:sz w:val="28"/>
          <w:szCs w:val="28"/>
        </w:rPr>
      </w:pPr>
    </w:p>
    <w:p w14:paraId="0659B0A5">
      <w:pPr>
        <w:pStyle w:val="56"/>
        <w:rPr>
          <w:rFonts w:asciiTheme="majorEastAsia" w:hAnsiTheme="majorEastAsia" w:eastAsiaTheme="majorEastAsia" w:cstheme="majorEastAsia"/>
          <w:b/>
          <w:color w:val="auto"/>
          <w:sz w:val="28"/>
          <w:szCs w:val="28"/>
        </w:rPr>
      </w:pPr>
    </w:p>
    <w:p w14:paraId="2E4DBBE4">
      <w:pPr>
        <w:pStyle w:val="56"/>
        <w:rPr>
          <w:rFonts w:asciiTheme="majorEastAsia" w:hAnsiTheme="majorEastAsia" w:eastAsiaTheme="majorEastAsia" w:cstheme="majorEastAsia"/>
          <w:b/>
          <w:color w:val="auto"/>
          <w:sz w:val="28"/>
          <w:szCs w:val="28"/>
        </w:rPr>
      </w:pPr>
    </w:p>
    <w:p w14:paraId="7512AC5F">
      <w:pPr>
        <w:pStyle w:val="56"/>
        <w:rPr>
          <w:rFonts w:asciiTheme="majorEastAsia" w:hAnsiTheme="majorEastAsia" w:eastAsiaTheme="majorEastAsia" w:cstheme="majorEastAsia"/>
          <w:b/>
          <w:color w:val="auto"/>
          <w:sz w:val="28"/>
          <w:szCs w:val="28"/>
        </w:rPr>
      </w:pPr>
    </w:p>
    <w:p w14:paraId="56EA99B3">
      <w:pPr>
        <w:pStyle w:val="56"/>
        <w:rPr>
          <w:rFonts w:asciiTheme="majorEastAsia" w:hAnsiTheme="majorEastAsia" w:eastAsiaTheme="majorEastAsia" w:cstheme="majorEastAsia"/>
          <w:b/>
          <w:color w:val="auto"/>
          <w:sz w:val="28"/>
          <w:szCs w:val="28"/>
        </w:rPr>
      </w:pPr>
    </w:p>
    <w:p w14:paraId="25505EFC">
      <w:pPr>
        <w:pStyle w:val="56"/>
        <w:rPr>
          <w:rFonts w:asciiTheme="majorEastAsia" w:hAnsiTheme="majorEastAsia" w:eastAsiaTheme="majorEastAsia" w:cstheme="majorEastAsia"/>
          <w:b/>
          <w:color w:val="auto"/>
          <w:sz w:val="28"/>
          <w:szCs w:val="28"/>
        </w:rPr>
      </w:pPr>
    </w:p>
    <w:p w14:paraId="58493403">
      <w:pPr>
        <w:pStyle w:val="56"/>
        <w:rPr>
          <w:rFonts w:asciiTheme="majorEastAsia" w:hAnsiTheme="majorEastAsia" w:eastAsiaTheme="majorEastAsia" w:cstheme="majorEastAsia"/>
          <w:b/>
          <w:color w:val="auto"/>
          <w:sz w:val="28"/>
          <w:szCs w:val="28"/>
        </w:rPr>
      </w:pPr>
    </w:p>
    <w:p w14:paraId="2360F547">
      <w:pPr>
        <w:pStyle w:val="56"/>
        <w:rPr>
          <w:rFonts w:asciiTheme="majorEastAsia" w:hAnsiTheme="majorEastAsia" w:eastAsiaTheme="majorEastAsia" w:cstheme="majorEastAsia"/>
          <w:b/>
          <w:color w:val="auto"/>
          <w:sz w:val="28"/>
          <w:szCs w:val="28"/>
        </w:rPr>
      </w:pPr>
    </w:p>
    <w:p w14:paraId="25CDAF5A">
      <w:pPr>
        <w:pStyle w:val="3"/>
        <w:spacing w:before="0" w:after="120"/>
        <w:rPr>
          <w:rFonts w:hint="default" w:ascii="宋体" w:hAnsi="宋体" w:eastAsia="宋体" w:cs="Times New Roman"/>
          <w:b/>
          <w:color w:val="auto"/>
          <w:sz w:val="30"/>
          <w:lang w:val="en-US" w:eastAsia="zh-CN"/>
        </w:rPr>
      </w:pPr>
      <w:r>
        <w:rPr>
          <w:rFonts w:hint="eastAsia" w:ascii="宋体" w:hAnsi="宋体"/>
          <w:b/>
          <w:color w:val="auto"/>
          <w:sz w:val="30"/>
          <w:lang w:val="en-US" w:eastAsia="zh-CN"/>
        </w:rPr>
        <w:t>五</w:t>
      </w:r>
      <w:r>
        <w:rPr>
          <w:rFonts w:hint="eastAsia" w:ascii="宋体" w:hAnsi="宋体" w:eastAsia="宋体" w:cs="Times New Roman"/>
          <w:b/>
          <w:color w:val="auto"/>
          <w:sz w:val="30"/>
          <w:lang w:val="en-US" w:eastAsia="zh-CN"/>
        </w:rPr>
        <w:t>、</w:t>
      </w:r>
      <w:bookmarkStart w:id="235" w:name="_Toc24492"/>
      <w:r>
        <w:rPr>
          <w:rFonts w:hint="eastAsia" w:cs="Times New Roman"/>
          <w:b/>
          <w:color w:val="auto"/>
          <w:sz w:val="30"/>
          <w:lang w:val="en-US" w:eastAsia="zh-CN"/>
        </w:rPr>
        <w:t>投标保证金缴纳凭证相关资料。</w:t>
      </w:r>
    </w:p>
    <w:p w14:paraId="0FF4F664">
      <w:pPr>
        <w:pStyle w:val="3"/>
        <w:spacing w:before="0" w:after="120"/>
        <w:rPr>
          <w:rFonts w:hint="eastAsia" w:cs="Times New Roman"/>
          <w:b/>
          <w:color w:val="auto"/>
          <w:sz w:val="30"/>
          <w:lang w:val="en-US" w:eastAsia="zh-CN"/>
        </w:rPr>
      </w:pPr>
    </w:p>
    <w:p w14:paraId="1AB4DCCA">
      <w:pPr>
        <w:pStyle w:val="3"/>
        <w:spacing w:before="0" w:after="120"/>
        <w:rPr>
          <w:rFonts w:hint="eastAsia" w:cs="Times New Roman"/>
          <w:b/>
          <w:color w:val="auto"/>
          <w:sz w:val="30"/>
          <w:lang w:val="en-US" w:eastAsia="zh-CN"/>
        </w:rPr>
      </w:pPr>
    </w:p>
    <w:p w14:paraId="02B351D8">
      <w:pPr>
        <w:pStyle w:val="3"/>
        <w:spacing w:before="0" w:after="120"/>
        <w:rPr>
          <w:rFonts w:hint="eastAsia" w:cs="Times New Roman"/>
          <w:b/>
          <w:color w:val="auto"/>
          <w:sz w:val="30"/>
          <w:lang w:val="en-US" w:eastAsia="zh-CN"/>
        </w:rPr>
      </w:pPr>
    </w:p>
    <w:p w14:paraId="4409718C">
      <w:pPr>
        <w:pStyle w:val="3"/>
        <w:spacing w:before="0" w:after="120"/>
        <w:rPr>
          <w:rFonts w:hint="eastAsia" w:cs="Times New Roman"/>
          <w:b/>
          <w:color w:val="auto"/>
          <w:sz w:val="30"/>
          <w:lang w:val="en-US" w:eastAsia="zh-CN"/>
        </w:rPr>
      </w:pPr>
    </w:p>
    <w:p w14:paraId="42A32B6B">
      <w:pPr>
        <w:pStyle w:val="3"/>
        <w:spacing w:before="0" w:after="120"/>
        <w:rPr>
          <w:rFonts w:hint="eastAsia" w:cs="Times New Roman"/>
          <w:b/>
          <w:color w:val="auto"/>
          <w:sz w:val="30"/>
          <w:lang w:val="en-US" w:eastAsia="zh-CN"/>
        </w:rPr>
      </w:pPr>
    </w:p>
    <w:p w14:paraId="3F562D0A">
      <w:pPr>
        <w:pStyle w:val="3"/>
        <w:spacing w:before="0" w:after="120"/>
        <w:rPr>
          <w:rFonts w:hint="eastAsia" w:cs="Times New Roman"/>
          <w:b/>
          <w:color w:val="auto"/>
          <w:sz w:val="30"/>
          <w:lang w:val="en-US" w:eastAsia="zh-CN"/>
        </w:rPr>
      </w:pPr>
    </w:p>
    <w:p w14:paraId="4CEC9460">
      <w:pPr>
        <w:pStyle w:val="3"/>
        <w:spacing w:before="0" w:after="120"/>
        <w:rPr>
          <w:rFonts w:hint="eastAsia" w:cs="Times New Roman"/>
          <w:b/>
          <w:color w:val="auto"/>
          <w:sz w:val="30"/>
          <w:lang w:val="en-US" w:eastAsia="zh-CN"/>
        </w:rPr>
      </w:pPr>
    </w:p>
    <w:p w14:paraId="3AD4B274">
      <w:pPr>
        <w:pStyle w:val="3"/>
        <w:spacing w:before="0" w:after="120"/>
        <w:rPr>
          <w:rFonts w:hint="eastAsia" w:cs="Times New Roman"/>
          <w:b/>
          <w:color w:val="auto"/>
          <w:sz w:val="30"/>
          <w:lang w:val="en-US" w:eastAsia="zh-CN"/>
        </w:rPr>
      </w:pPr>
    </w:p>
    <w:p w14:paraId="3100828A">
      <w:pPr>
        <w:pStyle w:val="3"/>
        <w:spacing w:before="0" w:after="120"/>
        <w:rPr>
          <w:rFonts w:hint="eastAsia" w:cs="Times New Roman"/>
          <w:b/>
          <w:color w:val="auto"/>
          <w:sz w:val="30"/>
          <w:lang w:val="en-US" w:eastAsia="zh-CN"/>
        </w:rPr>
      </w:pPr>
    </w:p>
    <w:p w14:paraId="49EC7CB0">
      <w:pPr>
        <w:pStyle w:val="3"/>
        <w:spacing w:before="0" w:after="120"/>
        <w:rPr>
          <w:rFonts w:hint="eastAsia" w:cs="Times New Roman"/>
          <w:b/>
          <w:color w:val="auto"/>
          <w:sz w:val="30"/>
          <w:lang w:val="en-US" w:eastAsia="zh-CN"/>
        </w:rPr>
      </w:pPr>
    </w:p>
    <w:p w14:paraId="555DE97A">
      <w:pPr>
        <w:pStyle w:val="3"/>
        <w:spacing w:before="0" w:after="120"/>
        <w:rPr>
          <w:rFonts w:hint="eastAsia" w:cs="Times New Roman"/>
          <w:b/>
          <w:color w:val="auto"/>
          <w:sz w:val="30"/>
          <w:lang w:val="en-US" w:eastAsia="zh-CN"/>
        </w:rPr>
      </w:pPr>
    </w:p>
    <w:p w14:paraId="1376F5E5">
      <w:pPr>
        <w:pStyle w:val="3"/>
        <w:spacing w:before="0" w:after="120"/>
        <w:rPr>
          <w:rFonts w:hint="eastAsia" w:cs="Times New Roman"/>
          <w:b/>
          <w:color w:val="auto"/>
          <w:sz w:val="30"/>
          <w:lang w:val="en-US" w:eastAsia="zh-CN"/>
        </w:rPr>
      </w:pPr>
    </w:p>
    <w:p w14:paraId="24679DC8">
      <w:pPr>
        <w:pStyle w:val="3"/>
        <w:spacing w:before="0" w:after="120"/>
        <w:rPr>
          <w:rFonts w:hint="eastAsia" w:cs="Times New Roman"/>
          <w:b/>
          <w:color w:val="auto"/>
          <w:sz w:val="30"/>
          <w:lang w:val="en-US" w:eastAsia="zh-CN"/>
        </w:rPr>
      </w:pPr>
    </w:p>
    <w:p w14:paraId="46D97AC5">
      <w:pPr>
        <w:pStyle w:val="3"/>
        <w:spacing w:before="0" w:after="120"/>
        <w:rPr>
          <w:rFonts w:hint="eastAsia" w:cs="Times New Roman"/>
          <w:b/>
          <w:color w:val="auto"/>
          <w:sz w:val="30"/>
          <w:lang w:val="en-US" w:eastAsia="zh-CN"/>
        </w:rPr>
      </w:pPr>
    </w:p>
    <w:p w14:paraId="49366F32">
      <w:pPr>
        <w:pStyle w:val="3"/>
        <w:spacing w:before="0" w:after="120"/>
        <w:rPr>
          <w:rFonts w:hint="eastAsia" w:cs="Times New Roman"/>
          <w:b/>
          <w:color w:val="auto"/>
          <w:sz w:val="30"/>
          <w:lang w:val="en-US" w:eastAsia="zh-CN"/>
        </w:rPr>
      </w:pPr>
    </w:p>
    <w:p w14:paraId="6185B5D7">
      <w:pPr>
        <w:pStyle w:val="3"/>
        <w:spacing w:before="0" w:after="120"/>
        <w:rPr>
          <w:rFonts w:hint="eastAsia" w:cs="Times New Roman"/>
          <w:b/>
          <w:color w:val="auto"/>
          <w:sz w:val="30"/>
          <w:lang w:val="en-US" w:eastAsia="zh-CN"/>
        </w:rPr>
      </w:pPr>
    </w:p>
    <w:p w14:paraId="09C26F21">
      <w:pPr>
        <w:pStyle w:val="3"/>
        <w:spacing w:before="0" w:after="120"/>
        <w:rPr>
          <w:rFonts w:hint="eastAsia" w:cs="Times New Roman"/>
          <w:b/>
          <w:color w:val="auto"/>
          <w:sz w:val="30"/>
          <w:lang w:val="en-US" w:eastAsia="zh-CN"/>
        </w:rPr>
      </w:pPr>
    </w:p>
    <w:p w14:paraId="472D7302">
      <w:pPr>
        <w:pStyle w:val="3"/>
        <w:spacing w:before="0" w:after="120"/>
        <w:rPr>
          <w:color w:val="auto"/>
        </w:rPr>
      </w:pPr>
      <w:r>
        <w:rPr>
          <w:rFonts w:hint="eastAsia" w:cs="Times New Roman"/>
          <w:b/>
          <w:color w:val="auto"/>
          <w:sz w:val="30"/>
          <w:lang w:val="en-US" w:eastAsia="zh-CN"/>
        </w:rPr>
        <w:t>六、</w:t>
      </w:r>
      <w:r>
        <w:rPr>
          <w:rFonts w:hint="eastAsia" w:ascii="宋体" w:hAnsi="宋体" w:eastAsia="宋体" w:cs="Times New Roman"/>
          <w:b/>
          <w:color w:val="auto"/>
          <w:sz w:val="30"/>
          <w:lang w:val="en-US" w:eastAsia="zh-CN"/>
        </w:rPr>
        <w:t>报价文件</w:t>
      </w:r>
      <w:bookmarkEnd w:id="235"/>
    </w:p>
    <w:p w14:paraId="3D8E05BD">
      <w:pPr>
        <w:pStyle w:val="24"/>
        <w:spacing w:line="276" w:lineRule="auto"/>
        <w:jc w:val="center"/>
        <w:rPr>
          <w:rFonts w:hAnsi="宋体"/>
          <w:b/>
          <w:color w:val="auto"/>
          <w:sz w:val="28"/>
          <w:szCs w:val="28"/>
        </w:rPr>
      </w:pPr>
      <w:r>
        <w:rPr>
          <w:rFonts w:hint="eastAsia" w:hAnsi="宋体"/>
          <w:b/>
          <w:color w:val="auto"/>
          <w:sz w:val="28"/>
          <w:szCs w:val="28"/>
        </w:rPr>
        <w:t>1、</w:t>
      </w:r>
      <w:r>
        <w:rPr>
          <w:rFonts w:hint="eastAsia" w:hAnsi="宋体"/>
          <w:b/>
          <w:color w:val="auto"/>
          <w:sz w:val="28"/>
          <w:szCs w:val="28"/>
          <w:lang w:val="en-US" w:eastAsia="zh-CN"/>
        </w:rPr>
        <w:t>开标</w:t>
      </w:r>
      <w:r>
        <w:rPr>
          <w:rFonts w:hint="eastAsia" w:hAnsi="宋体"/>
          <w:b/>
          <w:color w:val="auto"/>
          <w:sz w:val="28"/>
          <w:szCs w:val="28"/>
        </w:rPr>
        <w:t>一览表</w:t>
      </w:r>
    </w:p>
    <w:p w14:paraId="34E8903F">
      <w:pPr>
        <w:pStyle w:val="24"/>
        <w:spacing w:line="276" w:lineRule="auto"/>
        <w:jc w:val="center"/>
        <w:outlineLvl w:val="0"/>
        <w:rPr>
          <w:rFonts w:hint="eastAsia" w:hAnsi="宋体"/>
          <w:color w:val="auto"/>
        </w:rPr>
      </w:pPr>
      <w:r>
        <w:rPr>
          <w:rFonts w:hint="eastAsia" w:hAnsi="宋体"/>
          <w:color w:val="auto"/>
        </w:rPr>
        <w:t xml:space="preserve"> </w:t>
      </w:r>
      <w:bookmarkStart w:id="236" w:name="_Toc28790"/>
      <w:r>
        <w:rPr>
          <w:rFonts w:hint="eastAsia" w:hAnsi="宋体"/>
          <w:color w:val="auto"/>
        </w:rPr>
        <w:t>[货币单位：人民币/元]</w:t>
      </w:r>
      <w:bookmarkEnd w:id="236"/>
    </w:p>
    <w:p w14:paraId="63FB023B">
      <w:pPr>
        <w:pStyle w:val="24"/>
        <w:spacing w:line="276" w:lineRule="auto"/>
        <w:rPr>
          <w:rFonts w:hint="eastAsia" w:hAnsi="宋体" w:eastAsia="宋体" w:cs="仿宋_GB2312"/>
          <w:color w:val="auto"/>
          <w:kern w:val="2"/>
          <w:sz w:val="21"/>
          <w:lang w:eastAsia="zh-CN"/>
        </w:rPr>
      </w:pPr>
      <w:r>
        <w:rPr>
          <w:rFonts w:hint="eastAsia" w:hAnsi="宋体" w:cs="仿宋_GB2312"/>
          <w:color w:val="auto"/>
          <w:kern w:val="2"/>
          <w:sz w:val="21"/>
        </w:rPr>
        <w:t>项目名称：</w:t>
      </w:r>
      <w:r>
        <w:rPr>
          <w:rFonts w:hint="eastAsia" w:cs="宋体"/>
          <w:color w:val="auto"/>
          <w:sz w:val="21"/>
          <w:szCs w:val="21"/>
          <w:u w:val="none"/>
          <w:lang w:eastAsia="zh-CN"/>
        </w:rPr>
        <w:t>新丰县公共智慧体系配套建设项目</w:t>
      </w:r>
    </w:p>
    <w:p w14:paraId="4238258D">
      <w:pPr>
        <w:pStyle w:val="24"/>
        <w:spacing w:line="276" w:lineRule="auto"/>
        <w:rPr>
          <w:rFonts w:hint="eastAsia" w:hAnsi="宋体" w:eastAsia="宋体" w:cs="仿宋_GB2312"/>
          <w:color w:val="auto"/>
          <w:kern w:val="2"/>
          <w:sz w:val="21"/>
          <w:lang w:eastAsia="zh-CN"/>
        </w:rPr>
      </w:pPr>
      <w:r>
        <w:rPr>
          <w:rFonts w:hint="eastAsia" w:hAnsi="宋体" w:cs="仿宋_GB2312"/>
          <w:color w:val="auto"/>
          <w:kern w:val="2"/>
          <w:sz w:val="21"/>
        </w:rPr>
        <w:t>项目编号：</w:t>
      </w:r>
      <w:r>
        <w:rPr>
          <w:rFonts w:hint="eastAsia" w:ascii="宋体" w:hAnsi="宋体" w:eastAsia="宋体" w:cs="宋体"/>
          <w:color w:val="auto"/>
          <w:kern w:val="2"/>
          <w:sz w:val="21"/>
          <w:szCs w:val="21"/>
          <w:u w:val="none"/>
          <w:lang w:val="en-US" w:eastAsia="zh-CN" w:bidi="ar-SA"/>
        </w:rPr>
        <w:t>HXZB2509087FG</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74"/>
        <w:gridCol w:w="2680"/>
        <w:gridCol w:w="2840"/>
        <w:gridCol w:w="1962"/>
      </w:tblGrid>
      <w:tr w14:paraId="6383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79" w:hRule="atLeast"/>
        </w:trPr>
        <w:tc>
          <w:tcPr>
            <w:tcW w:w="523" w:type="pct"/>
            <w:noWrap w:val="0"/>
            <w:vAlign w:val="center"/>
          </w:tcPr>
          <w:p w14:paraId="2E169473">
            <w:pPr>
              <w:autoSpaceDE w:val="0"/>
              <w:autoSpaceDN w:val="0"/>
              <w:adjustRightInd w:val="0"/>
              <w:spacing w:line="360" w:lineRule="auto"/>
              <w:jc w:val="center"/>
              <w:rPr>
                <w:rFonts w:hint="eastAsia" w:ascii="宋体" w:hAnsi="宋体" w:eastAsia="宋体"/>
                <w:b/>
                <w:color w:val="auto"/>
                <w:szCs w:val="21"/>
                <w:lang w:val="en-US" w:eastAsia="zh-CN"/>
              </w:rPr>
            </w:pPr>
            <w:r>
              <w:rPr>
                <w:rFonts w:hint="eastAsia" w:ascii="宋体" w:hAnsi="宋体"/>
                <w:b/>
                <w:color w:val="auto"/>
                <w:szCs w:val="21"/>
                <w:lang w:val="en-US" w:eastAsia="zh-CN"/>
              </w:rPr>
              <w:t>序号</w:t>
            </w:r>
          </w:p>
        </w:tc>
        <w:tc>
          <w:tcPr>
            <w:tcW w:w="1603" w:type="pct"/>
            <w:noWrap w:val="0"/>
            <w:vAlign w:val="center"/>
          </w:tcPr>
          <w:p w14:paraId="5D910508">
            <w:pPr>
              <w:autoSpaceDE w:val="0"/>
              <w:autoSpaceDN w:val="0"/>
              <w:adjustRightInd w:val="0"/>
              <w:spacing w:line="360" w:lineRule="auto"/>
              <w:jc w:val="center"/>
              <w:rPr>
                <w:rFonts w:ascii="宋体" w:hAnsi="宋体"/>
                <w:b/>
                <w:color w:val="auto"/>
                <w:szCs w:val="21"/>
              </w:rPr>
            </w:pPr>
            <w:r>
              <w:rPr>
                <w:rFonts w:hint="eastAsia" w:ascii="宋体" w:hAnsi="宋体"/>
                <w:b/>
                <w:color w:val="auto"/>
                <w:szCs w:val="21"/>
                <w:lang w:val="en-US" w:eastAsia="zh-CN"/>
              </w:rPr>
              <w:t>招标</w:t>
            </w:r>
            <w:r>
              <w:rPr>
                <w:rFonts w:hint="eastAsia" w:ascii="宋体" w:hAnsi="宋体"/>
                <w:b/>
                <w:color w:val="auto"/>
                <w:szCs w:val="21"/>
              </w:rPr>
              <w:t>内容</w:t>
            </w:r>
          </w:p>
        </w:tc>
        <w:tc>
          <w:tcPr>
            <w:tcW w:w="1699" w:type="pct"/>
            <w:noWrap w:val="0"/>
            <w:vAlign w:val="center"/>
          </w:tcPr>
          <w:p w14:paraId="2BA34AFA">
            <w:pPr>
              <w:autoSpaceDE w:val="0"/>
              <w:autoSpaceDN w:val="0"/>
              <w:adjustRightInd w:val="0"/>
              <w:spacing w:line="360" w:lineRule="auto"/>
              <w:jc w:val="center"/>
              <w:rPr>
                <w:rFonts w:ascii="宋体" w:hAnsi="宋体"/>
                <w:b/>
                <w:color w:val="auto"/>
                <w:szCs w:val="21"/>
              </w:rPr>
            </w:pPr>
            <w:r>
              <w:rPr>
                <w:rFonts w:hint="eastAsia" w:ascii="宋体" w:hAnsi="宋体"/>
                <w:b/>
                <w:color w:val="auto"/>
                <w:szCs w:val="21"/>
                <w:lang w:val="en-US" w:eastAsia="zh-CN"/>
              </w:rPr>
              <w:t>投标</w:t>
            </w:r>
            <w:r>
              <w:rPr>
                <w:rFonts w:hint="eastAsia" w:ascii="宋体" w:hAnsi="宋体"/>
                <w:b/>
                <w:color w:val="auto"/>
                <w:szCs w:val="21"/>
              </w:rPr>
              <w:t>报价（元）</w:t>
            </w:r>
          </w:p>
        </w:tc>
        <w:tc>
          <w:tcPr>
            <w:tcW w:w="1173" w:type="pct"/>
            <w:noWrap w:val="0"/>
            <w:vAlign w:val="center"/>
          </w:tcPr>
          <w:p w14:paraId="09D5C53E">
            <w:pPr>
              <w:widowControl/>
              <w:spacing w:line="360" w:lineRule="auto"/>
              <w:jc w:val="center"/>
              <w:rPr>
                <w:rFonts w:hint="eastAsia" w:ascii="宋体" w:hAnsi="宋体"/>
                <w:b/>
                <w:color w:val="auto"/>
                <w:szCs w:val="21"/>
              </w:rPr>
            </w:pPr>
            <w:r>
              <w:rPr>
                <w:rFonts w:hint="eastAsia" w:ascii="宋体" w:hAnsi="宋体"/>
                <w:b/>
                <w:color w:val="auto"/>
                <w:szCs w:val="21"/>
              </w:rPr>
              <w:t>合同履行期限</w:t>
            </w:r>
          </w:p>
        </w:tc>
      </w:tr>
      <w:tr w14:paraId="4A82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025" w:hRule="atLeast"/>
        </w:trPr>
        <w:tc>
          <w:tcPr>
            <w:tcW w:w="523" w:type="pct"/>
            <w:noWrap w:val="0"/>
            <w:vAlign w:val="center"/>
          </w:tcPr>
          <w:p w14:paraId="736B36F6">
            <w:pPr>
              <w:widowControl/>
              <w:spacing w:line="360" w:lineRule="auto"/>
              <w:jc w:val="center"/>
              <w:rPr>
                <w:rFonts w:hint="default" w:hAnsi="宋体" w:cs="仿宋_GB2312"/>
                <w:color w:val="auto"/>
                <w:lang w:val="en-US" w:eastAsia="zh-CN"/>
              </w:rPr>
            </w:pPr>
            <w:r>
              <w:rPr>
                <w:rFonts w:hint="eastAsia" w:hAnsi="宋体" w:cs="仿宋_GB2312"/>
                <w:color w:val="auto"/>
                <w:lang w:val="en-US" w:eastAsia="zh-CN"/>
              </w:rPr>
              <w:t>1</w:t>
            </w:r>
          </w:p>
        </w:tc>
        <w:tc>
          <w:tcPr>
            <w:tcW w:w="1603" w:type="pct"/>
            <w:noWrap w:val="0"/>
            <w:vAlign w:val="center"/>
          </w:tcPr>
          <w:p w14:paraId="2056249C">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olor w:val="auto"/>
                <w:szCs w:val="21"/>
                <w:lang w:eastAsia="zh-CN"/>
              </w:rPr>
            </w:pPr>
            <w:r>
              <w:rPr>
                <w:rFonts w:hint="eastAsia" w:ascii="宋体" w:hAnsi="宋体" w:eastAsia="宋体" w:cs="Times New Roman"/>
                <w:szCs w:val="21"/>
                <w:lang w:val="en-US" w:eastAsia="zh-CN"/>
              </w:rPr>
              <w:t>公共资源进行有偿使用出让</w:t>
            </w:r>
          </w:p>
        </w:tc>
        <w:tc>
          <w:tcPr>
            <w:tcW w:w="1699" w:type="pct"/>
            <w:noWrap w:val="0"/>
            <w:vAlign w:val="center"/>
          </w:tcPr>
          <w:p w14:paraId="4509DADB">
            <w:pPr>
              <w:autoSpaceDE w:val="0"/>
              <w:autoSpaceDN w:val="0"/>
              <w:adjustRightInd w:val="0"/>
              <w:spacing w:line="360" w:lineRule="auto"/>
              <w:jc w:val="left"/>
              <w:rPr>
                <w:rFonts w:hint="eastAsia" w:ascii="宋体" w:hAnsi="宋体"/>
                <w:b w:val="0"/>
                <w:bCs/>
                <w:color w:val="auto"/>
                <w:szCs w:val="21"/>
              </w:rPr>
            </w:pPr>
            <w:r>
              <w:rPr>
                <w:rFonts w:hint="eastAsia" w:ascii="宋体" w:hAnsi="宋体"/>
                <w:b w:val="0"/>
                <w:bCs/>
                <w:color w:val="auto"/>
                <w:szCs w:val="21"/>
              </w:rPr>
              <w:t xml:space="preserve">大写：                      </w:t>
            </w:r>
          </w:p>
          <w:p w14:paraId="6A93AE32">
            <w:pPr>
              <w:autoSpaceDE w:val="0"/>
              <w:autoSpaceDN w:val="0"/>
              <w:adjustRightInd w:val="0"/>
              <w:spacing w:line="360" w:lineRule="auto"/>
              <w:jc w:val="left"/>
              <w:rPr>
                <w:rFonts w:ascii="宋体" w:hAnsi="宋体"/>
                <w:b/>
                <w:color w:val="auto"/>
                <w:szCs w:val="21"/>
              </w:rPr>
            </w:pPr>
            <w:r>
              <w:rPr>
                <w:rFonts w:hint="eastAsia" w:ascii="宋体" w:hAnsi="宋体"/>
                <w:b w:val="0"/>
                <w:bCs/>
                <w:color w:val="auto"/>
                <w:szCs w:val="21"/>
              </w:rPr>
              <w:t>小写：</w:t>
            </w:r>
          </w:p>
        </w:tc>
        <w:tc>
          <w:tcPr>
            <w:tcW w:w="1173" w:type="pct"/>
            <w:noWrap w:val="0"/>
            <w:vAlign w:val="center"/>
          </w:tcPr>
          <w:p w14:paraId="582E5086">
            <w:pPr>
              <w:widowControl/>
              <w:spacing w:line="360" w:lineRule="auto"/>
              <w:jc w:val="left"/>
              <w:rPr>
                <w:rFonts w:hAnsi="宋体" w:cs="宋体"/>
                <w:color w:val="auto"/>
                <w:kern w:val="0"/>
                <w:szCs w:val="21"/>
              </w:rPr>
            </w:pPr>
          </w:p>
        </w:tc>
      </w:tr>
    </w:tbl>
    <w:p w14:paraId="60CD27BF">
      <w:pPr>
        <w:pStyle w:val="3"/>
        <w:rPr>
          <w:rFonts w:hint="eastAsia"/>
          <w:color w:val="auto"/>
          <w:szCs w:val="21"/>
        </w:rPr>
      </w:pPr>
    </w:p>
    <w:p w14:paraId="02ED87B9">
      <w:pPr>
        <w:rPr>
          <w:rFonts w:hint="eastAsia"/>
          <w:color w:val="auto"/>
          <w:szCs w:val="21"/>
        </w:rPr>
      </w:pPr>
    </w:p>
    <w:p w14:paraId="38022F84">
      <w:pPr>
        <w:pStyle w:val="65"/>
        <w:rPr>
          <w:rFonts w:hint="eastAsia"/>
          <w:color w:val="auto"/>
          <w:szCs w:val="21"/>
        </w:rPr>
      </w:pPr>
    </w:p>
    <w:p w14:paraId="28EBDB3C">
      <w:pPr>
        <w:rPr>
          <w:rFonts w:hint="eastAsia"/>
          <w:color w:val="auto"/>
          <w:szCs w:val="21"/>
        </w:rPr>
      </w:pPr>
    </w:p>
    <w:p w14:paraId="1ECDB4C2">
      <w:pPr>
        <w:pStyle w:val="65"/>
        <w:rPr>
          <w:rFonts w:hint="eastAsia"/>
          <w:color w:val="auto"/>
          <w:szCs w:val="21"/>
        </w:rPr>
      </w:pPr>
    </w:p>
    <w:p w14:paraId="29DE4B33">
      <w:pPr>
        <w:rPr>
          <w:rFonts w:hint="eastAsia"/>
          <w:color w:val="auto"/>
        </w:rPr>
      </w:pPr>
    </w:p>
    <w:p w14:paraId="31440867">
      <w:pPr>
        <w:rPr>
          <w:rFonts w:hint="eastAsia"/>
          <w:color w:val="auto"/>
        </w:rPr>
      </w:pPr>
    </w:p>
    <w:p w14:paraId="03FD9AAF">
      <w:pPr>
        <w:adjustRightInd w:val="0"/>
        <w:snapToGrid w:val="0"/>
        <w:spacing w:line="360" w:lineRule="auto"/>
        <w:rPr>
          <w:rFonts w:ascii="宋体" w:hAnsi="宋体"/>
          <w:color w:val="auto"/>
          <w:szCs w:val="21"/>
          <w:u w:val="single"/>
        </w:rPr>
      </w:pPr>
      <w:r>
        <w:rPr>
          <w:rFonts w:hint="eastAsia" w:ascii="宋体" w:hAnsi="宋体"/>
          <w:color w:val="auto"/>
          <w:szCs w:val="21"/>
          <w:lang w:val="en-US" w:eastAsia="zh-CN"/>
        </w:rPr>
        <w:t>投标人</w:t>
      </w:r>
      <w:r>
        <w:rPr>
          <w:rFonts w:hint="eastAsia" w:ascii="宋体" w:hAnsi="宋体"/>
          <w:color w:val="auto"/>
          <w:szCs w:val="21"/>
        </w:rPr>
        <w:t>名称（加盖公章）：</w:t>
      </w:r>
    </w:p>
    <w:p w14:paraId="7F9281E6">
      <w:pPr>
        <w:adjustRightInd w:val="0"/>
        <w:snapToGrid w:val="0"/>
        <w:spacing w:line="360" w:lineRule="auto"/>
        <w:rPr>
          <w:rFonts w:ascii="宋体" w:hAnsi="宋体"/>
          <w:color w:val="auto"/>
          <w:szCs w:val="21"/>
          <w:u w:val="single"/>
        </w:rPr>
      </w:pPr>
      <w:r>
        <w:rPr>
          <w:rFonts w:hint="eastAsia" w:ascii="宋体" w:hAnsi="宋体"/>
          <w:color w:val="auto"/>
          <w:szCs w:val="21"/>
        </w:rPr>
        <w:t>法定代表人（或授权代表）签字：</w:t>
      </w:r>
    </w:p>
    <w:p w14:paraId="3D242128">
      <w:pPr>
        <w:adjustRightInd w:val="0"/>
        <w:snapToGrid w:val="0"/>
        <w:spacing w:line="360" w:lineRule="auto"/>
        <w:rPr>
          <w:rFonts w:ascii="宋体" w:hAnsi="宋体"/>
          <w:color w:val="auto"/>
          <w:szCs w:val="21"/>
        </w:rPr>
      </w:pPr>
      <w:r>
        <w:rPr>
          <w:rFonts w:hint="eastAsia" w:ascii="宋体" w:hAnsi="宋体"/>
          <w:color w:val="auto"/>
          <w:szCs w:val="21"/>
        </w:rPr>
        <w:t>日期：2025年   月   日</w:t>
      </w:r>
    </w:p>
    <w:p w14:paraId="0E4B3076">
      <w:pPr>
        <w:pStyle w:val="3"/>
        <w:spacing w:before="0" w:after="120"/>
        <w:rPr>
          <w:rFonts w:hint="eastAsia" w:ascii="宋体" w:hAnsi="宋体"/>
          <w:b/>
          <w:color w:val="auto"/>
          <w:sz w:val="30"/>
        </w:rPr>
      </w:pPr>
    </w:p>
    <w:p w14:paraId="6E1BD9E6">
      <w:pPr>
        <w:pStyle w:val="3"/>
        <w:spacing w:before="0" w:after="120"/>
        <w:rPr>
          <w:rFonts w:ascii="宋体" w:hAnsi="宋体"/>
          <w:color w:val="auto"/>
          <w:szCs w:val="21"/>
          <w:u w:val="single"/>
        </w:rPr>
      </w:pPr>
      <w:r>
        <w:rPr>
          <w:rFonts w:hint="eastAsia"/>
          <w:b/>
          <w:color w:val="auto"/>
          <w:sz w:val="30"/>
          <w:lang w:val="en-US" w:eastAsia="zh-CN"/>
        </w:rPr>
        <w:t>七、</w:t>
      </w:r>
      <w:r>
        <w:rPr>
          <w:rFonts w:hint="eastAsia" w:ascii="宋体" w:hAnsi="宋体"/>
          <w:b/>
          <w:color w:val="auto"/>
          <w:sz w:val="30"/>
        </w:rPr>
        <w:t>各类证明材料</w:t>
      </w:r>
    </w:p>
    <w:p w14:paraId="40C89378">
      <w:pPr>
        <w:adjustRightInd w:val="0"/>
        <w:snapToGrid w:val="0"/>
        <w:spacing w:line="360" w:lineRule="auto"/>
        <w:rPr>
          <w:rFonts w:hint="eastAsia" w:ascii="宋体" w:hAnsi="宋体"/>
          <w:color w:val="auto"/>
          <w:szCs w:val="21"/>
        </w:rPr>
      </w:pPr>
    </w:p>
    <w:p w14:paraId="384BCF94">
      <w:pPr>
        <w:adjustRightInd w:val="0"/>
        <w:snapToGrid w:val="0"/>
        <w:spacing w:line="360" w:lineRule="auto"/>
        <w:rPr>
          <w:rFonts w:hint="eastAsia" w:ascii="宋体" w:hAnsi="宋体"/>
          <w:color w:val="auto"/>
          <w:szCs w:val="21"/>
        </w:rPr>
      </w:pPr>
      <w:r>
        <w:rPr>
          <w:rFonts w:hint="eastAsia" w:ascii="宋体" w:hAnsi="宋体"/>
          <w:color w:val="auto"/>
          <w:szCs w:val="21"/>
        </w:rPr>
        <w:t>1.</w:t>
      </w:r>
      <w:r>
        <w:rPr>
          <w:rFonts w:hint="eastAsia" w:ascii="宋体" w:hAnsi="宋体"/>
          <w:color w:val="auto"/>
          <w:szCs w:val="21"/>
          <w:lang w:val="en-US" w:eastAsia="zh-CN"/>
        </w:rPr>
        <w:t>招标</w:t>
      </w:r>
      <w:r>
        <w:rPr>
          <w:rFonts w:hint="eastAsia" w:ascii="宋体" w:hAnsi="宋体"/>
          <w:color w:val="auto"/>
          <w:szCs w:val="21"/>
        </w:rPr>
        <w:t>文件要求提供的其他资料。</w:t>
      </w:r>
    </w:p>
    <w:p w14:paraId="4CC3DDB0">
      <w:pPr>
        <w:adjustRightInd w:val="0"/>
        <w:snapToGrid w:val="0"/>
        <w:spacing w:line="360" w:lineRule="auto"/>
        <w:rPr>
          <w:rFonts w:ascii="宋体" w:hAnsi="宋体" w:eastAsia="宋体" w:cs="宋体"/>
        </w:rPr>
      </w:pPr>
      <w:r>
        <w:rPr>
          <w:rFonts w:hint="eastAsia" w:ascii="宋体" w:hAnsi="宋体"/>
          <w:color w:val="auto"/>
          <w:szCs w:val="21"/>
        </w:rPr>
        <w:t>2.</w:t>
      </w:r>
      <w:r>
        <w:rPr>
          <w:rFonts w:hint="eastAsia" w:ascii="宋体" w:hAnsi="宋体"/>
          <w:color w:val="auto"/>
          <w:szCs w:val="21"/>
          <w:lang w:val="en-US" w:eastAsia="zh-CN"/>
        </w:rPr>
        <w:t>投标人</w:t>
      </w:r>
      <w:r>
        <w:rPr>
          <w:rFonts w:hint="eastAsia" w:ascii="宋体" w:hAnsi="宋体"/>
          <w:color w:val="auto"/>
          <w:szCs w:val="21"/>
        </w:rPr>
        <w:t>认为需提供的其他资料。</w:t>
      </w:r>
    </w:p>
    <w:p w14:paraId="0D01FE49">
      <w:pPr>
        <w:pStyle w:val="109"/>
        <w:spacing w:beforeAutospacing="0" w:afterAutospacing="0" w:line="360" w:lineRule="auto"/>
        <w:rPr>
          <w:rFonts w:ascii="宋体" w:hAnsi="宋体" w:eastAsia="宋体" w:cs="宋体"/>
        </w:rPr>
      </w:pPr>
    </w:p>
    <w:p w14:paraId="4ECF5CCF">
      <w:pPr>
        <w:pStyle w:val="109"/>
        <w:spacing w:beforeAutospacing="0" w:afterAutospacing="0" w:line="360" w:lineRule="auto"/>
        <w:rPr>
          <w:rFonts w:ascii="宋体" w:hAnsi="宋体" w:eastAsia="宋体" w:cs="宋体"/>
        </w:rPr>
      </w:pPr>
    </w:p>
    <w:p w14:paraId="6A0ACFA8">
      <w:pPr>
        <w:pStyle w:val="109"/>
        <w:spacing w:beforeAutospacing="0" w:afterAutospacing="0" w:line="360" w:lineRule="auto"/>
        <w:rPr>
          <w:rFonts w:ascii="宋体" w:hAnsi="宋体" w:eastAsia="宋体" w:cs="宋体"/>
        </w:rPr>
      </w:pPr>
    </w:p>
    <w:p w14:paraId="4551B8D4">
      <w:pPr>
        <w:pStyle w:val="109"/>
        <w:spacing w:beforeAutospacing="0" w:afterAutospacing="0" w:line="360" w:lineRule="auto"/>
        <w:rPr>
          <w:rFonts w:ascii="宋体" w:hAnsi="宋体" w:eastAsia="宋体" w:cs="宋体"/>
        </w:rPr>
      </w:pPr>
    </w:p>
    <w:sectPr>
      <w:headerReference r:id="rId6" w:type="default"/>
      <w:footerReference r:id="rId7" w:type="default"/>
      <w:pgSz w:w="11905" w:h="16838"/>
      <w:pgMar w:top="1440" w:right="1803" w:bottom="1440" w:left="1803" w:header="283" w:footer="1077"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niversity Roman LET">
    <w:altName w:val="Times New Roman"/>
    <w:panose1 w:val="00000000000000000000"/>
    <w:charset w:val="00"/>
    <w:family w:val="auto"/>
    <w:pitch w:val="default"/>
    <w:sig w:usb0="00000000" w:usb1="00000000" w:usb2="00000000" w:usb3="00000000" w:csb0="00000009" w:csb1="00000000"/>
  </w:font>
  <w:font w:name="Tms Rmn">
    <w:altName w:val="Segoe Print"/>
    <w:panose1 w:val="020206030405050203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JEIUCH+ËÎÌå">
    <w:altName w:val="微软雅黑"/>
    <w:panose1 w:val="00000000000000000000"/>
    <w:charset w:val="01"/>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554F">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1E984">
                          <w:pPr>
                            <w:pStyle w:val="2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6F1E984">
                    <w:pPr>
                      <w:pStyle w:val="2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0CFF1">
    <w:pPr>
      <w:pStyle w:val="29"/>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Quad Arrow 3"/>
              <wp:cNvGraphicFramePr/>
              <a:graphic xmlns:a="http://schemas.openxmlformats.org/drawingml/2006/main">
                <a:graphicData uri="http://schemas.microsoft.com/office/word/2010/wordprocessingShape">
                  <wps:wsp>
                    <wps:cNvSpPr txBox="1"/>
                    <wps:spPr>
                      <a:xfrm>
                        <a:off x="0" y="0"/>
                        <a:ext cx="1828800" cy="1828800"/>
                      </a:xfrm>
                      <a:prstGeom prst="rect">
                        <a:avLst/>
                      </a:prstGeom>
                      <a:ln w="12700">
                        <a:noFill/>
                      </a:ln>
                    </wps:spPr>
                    <wps:txbx>
                      <w:txbxContent>
                        <w:p w14:paraId="35323E10">
                          <w:pPr>
                            <w:pStyle w:val="2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83</w:t>
                          </w:r>
                          <w:r>
                            <w:fldChar w:fldCharType="end"/>
                          </w:r>
                          <w:r>
                            <w:rPr>
                              <w:rFonts w:hint="eastAsia"/>
                            </w:rPr>
                            <w:t xml:space="preserve"> 页</w:t>
                          </w:r>
                        </w:p>
                      </w:txbxContent>
                    </wps:txbx>
                    <wps:bodyPr rot="0" vert="horz" wrap="none" lIns="0" tIns="0" rIns="0" bIns="0" anchor="t" anchorCtr="0">
                      <a:spAutoFit/>
                    </wps:bodyPr>
                  </wps:wsp>
                </a:graphicData>
              </a:graphic>
            </wp:anchor>
          </w:drawing>
        </mc:Choice>
        <mc:Fallback>
          <w:pict>
            <v:shape id="Quad Arrow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&#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J92v0wAAAAUBAAAPAAAAAAAAAAEAIAAAACIAAABk&#10;cnMvZG93bnJldi54bWxQSwECFAAUAAAACACHTuJA8Wo1VdIBAAC6AwAADgAAAAAAAAABACAAAAAi&#10;AQAAZHJzL2Uyb0RvYy54bWxQSwUGAAAAAAYABgBZAQAAZgUAAAAA&#10;">
              <v:fill on="f" focussize="0,0"/>
              <v:stroke on="f" weight="1pt"/>
              <v:imagedata o:title=""/>
              <o:lock v:ext="edit" aspectratio="f"/>
              <v:textbox inset="0mm,0mm,0mm,0mm" style="mso-fit-shape-to-text:t;">
                <w:txbxContent>
                  <w:p w14:paraId="35323E10">
                    <w:pPr>
                      <w:pStyle w:val="2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83</w:t>
                    </w:r>
                    <w:r>
                      <w:fldChar w:fldCharType="end"/>
                    </w:r>
                    <w:r>
                      <w:rPr>
                        <w:rFonts w:hint="eastAsia"/>
                      </w:rPr>
                      <w:t xml:space="preserve"> 页</w:t>
                    </w:r>
                  </w:p>
                </w:txbxContent>
              </v:textbox>
            </v:shape>
          </w:pict>
        </mc:Fallback>
      </mc:AlternateContent>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212C">
    <w:pPr>
      <w:pStyle w:val="29"/>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55DD4">
                          <w:pPr>
                            <w:pStyle w:val="2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3A55DD4">
                    <w:pPr>
                      <w:pStyle w:val="2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5E65">
    <w:pPr>
      <w:pStyle w:val="31"/>
      <w:pBdr>
        <w:bottom w:val="none" w:color="auto" w:sz="0" w:space="1"/>
      </w:pBdr>
      <w:jc w:val="left"/>
      <w:rPr>
        <w:rFonts w:eastAsia="隶书"/>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475F">
    <w:pPr>
      <w:pStyle w:val="3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60528"/>
    <w:multiLevelType w:val="singleLevel"/>
    <w:tmpl w:val="B8E60528"/>
    <w:lvl w:ilvl="0" w:tentative="0">
      <w:start w:val="4"/>
      <w:numFmt w:val="decimal"/>
      <w:lvlText w:val="%1."/>
      <w:lvlJc w:val="left"/>
      <w:pPr>
        <w:tabs>
          <w:tab w:val="left" w:pos="312"/>
        </w:tabs>
      </w:pPr>
    </w:lvl>
  </w:abstractNum>
  <w:abstractNum w:abstractNumId="1">
    <w:nsid w:val="00000007"/>
    <w:multiLevelType w:val="multilevel"/>
    <w:tmpl w:val="00000007"/>
    <w:lvl w:ilvl="0" w:tentative="0">
      <w:start w:val="1"/>
      <w:numFmt w:val="decimal"/>
      <w:pStyle w:val="4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8"/>
    <w:multiLevelType w:val="multilevel"/>
    <w:tmpl w:val="00000008"/>
    <w:lvl w:ilvl="0" w:tentative="0">
      <w:start w:val="1"/>
      <w:numFmt w:val="decimal"/>
      <w:pStyle w:val="182"/>
      <w:lvlText w:val="第%1章"/>
      <w:lvlJc w:val="left"/>
      <w:pPr>
        <w:ind w:left="432" w:hanging="432"/>
      </w:pPr>
      <w:rPr>
        <w:rFonts w:hint="eastAsia"/>
        <w:lang w:val="en-US"/>
      </w:rPr>
    </w:lvl>
    <w:lvl w:ilvl="1" w:tentative="0">
      <w:start w:val="1"/>
      <w:numFmt w:val="decimal"/>
      <w:lvlText w:val="%1.%2"/>
      <w:lvlJc w:val="left"/>
      <w:pPr>
        <w:ind w:left="576" w:hanging="576"/>
      </w:pPr>
      <w:rPr>
        <w:rFonts w:hint="eastAsia" w:cs="Times New Roman"/>
        <w:b w:val="0"/>
        <w:bCs w:val="0"/>
        <w:i w:val="0"/>
        <w:iCs w:val="0"/>
        <w:color w:val="000000"/>
        <w:spacing w:val="0"/>
        <w:u w:val="none"/>
      </w:rPr>
    </w:lvl>
    <w:lvl w:ilvl="2" w:tentative="0">
      <w:start w:val="1"/>
      <w:numFmt w:val="decimal"/>
      <w:lvlText w:val="%1.%2.%3"/>
      <w:lvlJc w:val="left"/>
      <w:pPr>
        <w:ind w:left="720" w:hanging="720"/>
      </w:pPr>
      <w:rPr>
        <w:rFonts w:hint="eastAsia"/>
        <w:b w:val="0"/>
        <w:bCs w:val="0"/>
        <w:i w:val="0"/>
        <w:iCs w:val="0"/>
        <w:color w:val="000000"/>
        <w:spacing w:val="0"/>
        <w:sz w:val="32"/>
        <w:szCs w:val="32"/>
        <w:u w:val="none"/>
      </w:rPr>
    </w:lvl>
    <w:lvl w:ilvl="3" w:tentative="0">
      <w:start w:val="1"/>
      <w:numFmt w:val="decimal"/>
      <w:lvlText w:val="%1.%2.%3.%4"/>
      <w:lvlJc w:val="left"/>
      <w:pPr>
        <w:ind w:left="864" w:hanging="864"/>
      </w:pPr>
      <w:rPr>
        <w:rFonts w:hint="eastAsia"/>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0000000C"/>
    <w:multiLevelType w:val="multilevel"/>
    <w:tmpl w:val="0000000C"/>
    <w:lvl w:ilvl="0" w:tentative="0">
      <w:start w:val="1"/>
      <w:numFmt w:val="chineseCountingThousand"/>
      <w:pStyle w:val="122"/>
      <w:suff w:val="nothing"/>
      <w:lvlText w:val="%1、"/>
      <w:lvlJc w:val="left"/>
      <w:pPr>
        <w:ind w:left="0" w:firstLine="0"/>
      </w:pPr>
      <w:rPr>
        <w:rFonts w:hint="eastAsia"/>
      </w:rPr>
    </w:lvl>
    <w:lvl w:ilvl="1" w:tentative="0">
      <w:start w:val="1"/>
      <w:numFmt w:val="decimal"/>
      <w:lvlText w:val="%2."/>
      <w:lvlJc w:val="left"/>
      <w:pPr>
        <w:ind w:left="88" w:firstLine="0"/>
      </w:pPr>
      <w:rPr>
        <w:rFonts w:hint="eastAsia"/>
      </w:rPr>
    </w:lvl>
    <w:lvl w:ilvl="2" w:tentative="0">
      <w:start w:val="3"/>
      <w:numFmt w:val="decimal"/>
      <w:lvlText w:val="%3.1."/>
      <w:lvlJc w:val="left"/>
      <w:pPr>
        <w:ind w:left="88" w:firstLine="0"/>
      </w:pPr>
      <w:rPr>
        <w:rFonts w:hint="eastAsia"/>
        <w:b w:val="0"/>
        <w:i w:val="0"/>
      </w:rPr>
    </w:lvl>
    <w:lvl w:ilvl="3" w:tentative="0">
      <w:start w:val="1"/>
      <w:numFmt w:val="decimal"/>
      <w:lvlText w:val="2.4.%4."/>
      <w:lvlJc w:val="left"/>
      <w:pPr>
        <w:ind w:left="1364" w:firstLine="0"/>
      </w:pPr>
      <w:rPr>
        <w:rFonts w:hint="eastAsia"/>
      </w:rPr>
    </w:lvl>
    <w:lvl w:ilvl="4" w:tentative="0">
      <w:start w:val="1"/>
      <w:numFmt w:val="decimal"/>
      <w:suff w:val="space"/>
      <w:lvlText w:val="%1.%2.%3.%4.%5"/>
      <w:lvlJc w:val="left"/>
      <w:pPr>
        <w:ind w:left="88" w:firstLine="0"/>
      </w:pPr>
      <w:rPr>
        <w:rFonts w:hint="eastAsia"/>
      </w:rPr>
    </w:lvl>
    <w:lvl w:ilvl="5" w:tentative="0">
      <w:start w:val="1"/>
      <w:numFmt w:val="decimal"/>
      <w:lvlText w:val="%1.%2.%3.%4.%5.%6"/>
      <w:lvlJc w:val="left"/>
      <w:pPr>
        <w:ind w:left="88" w:firstLine="0"/>
      </w:pPr>
      <w:rPr>
        <w:rFonts w:hint="eastAsia"/>
      </w:rPr>
    </w:lvl>
    <w:lvl w:ilvl="6" w:tentative="0">
      <w:start w:val="1"/>
      <w:numFmt w:val="decimal"/>
      <w:lvlText w:val="%1.%2.%3.%4.%5.%6.%7"/>
      <w:lvlJc w:val="left"/>
      <w:pPr>
        <w:ind w:left="88" w:firstLine="0"/>
      </w:pPr>
      <w:rPr>
        <w:rFonts w:hint="eastAsia"/>
      </w:rPr>
    </w:lvl>
    <w:lvl w:ilvl="7" w:tentative="0">
      <w:start w:val="1"/>
      <w:numFmt w:val="decimal"/>
      <w:lvlText w:val="%1.%2.%3.%4.%5.%6.%7.%8"/>
      <w:lvlJc w:val="left"/>
      <w:pPr>
        <w:ind w:left="88" w:firstLine="0"/>
      </w:pPr>
      <w:rPr>
        <w:rFonts w:hint="eastAsia"/>
      </w:rPr>
    </w:lvl>
    <w:lvl w:ilvl="8" w:tentative="0">
      <w:start w:val="1"/>
      <w:numFmt w:val="decimal"/>
      <w:lvlText w:val="%1.%2.%3.%4.%5.%6.%7.%8.%9"/>
      <w:lvlJc w:val="left"/>
      <w:pPr>
        <w:ind w:left="88" w:firstLine="0"/>
      </w:pPr>
      <w:rPr>
        <w:rFonts w:hint="eastAsia"/>
      </w:rPr>
    </w:lvl>
  </w:abstractNum>
  <w:abstractNum w:abstractNumId="4">
    <w:nsid w:val="0000000D"/>
    <w:multiLevelType w:val="multilevel"/>
    <w:tmpl w:val="0000000D"/>
    <w:lvl w:ilvl="0" w:tentative="0">
      <w:start w:val="1"/>
      <w:numFmt w:val="decimal"/>
      <w:lvlText w:val="%1."/>
      <w:lvlJc w:val="left"/>
      <w:pPr>
        <w:tabs>
          <w:tab w:val="left" w:pos="425"/>
        </w:tabs>
        <w:ind w:left="425" w:hanging="425"/>
      </w:pPr>
      <w:rPr>
        <w:rFonts w:hint="eastAsia"/>
        <w:b/>
        <w:i w:val="0"/>
        <w:sz w:val="21"/>
        <w:szCs w:val="21"/>
      </w:rPr>
    </w:lvl>
    <w:lvl w:ilvl="1" w:tentative="0">
      <w:start w:val="1"/>
      <w:numFmt w:val="decimal"/>
      <w:lvlText w:val="%1.%2."/>
      <w:lvlJc w:val="left"/>
      <w:pPr>
        <w:tabs>
          <w:tab w:val="left" w:pos="567"/>
        </w:tabs>
        <w:ind w:left="567" w:hanging="567"/>
      </w:pPr>
      <w:rPr>
        <w:rFonts w:hint="eastAsia" w:ascii="宋体" w:hAnsi="宋体" w:eastAsia="宋体"/>
        <w:b/>
        <w:i w:val="0"/>
        <w:sz w:val="21"/>
        <w:szCs w:val="21"/>
      </w:rPr>
    </w:lvl>
    <w:lvl w:ilvl="2" w:tentative="0">
      <w:start w:val="1"/>
      <w:numFmt w:val="decimal"/>
      <w:lvlText w:val="%1.%2.%3."/>
      <w:lvlJc w:val="left"/>
      <w:pPr>
        <w:tabs>
          <w:tab w:val="left" w:pos="624"/>
        </w:tabs>
        <w:ind w:left="624" w:hanging="624"/>
      </w:pPr>
      <w:rPr>
        <w:rFonts w:hint="eastAsia" w:ascii="宋体" w:eastAsia="宋体"/>
        <w:b w:val="0"/>
        <w:i w:val="0"/>
        <w:color w:val="auto"/>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74A484FC"/>
    <w:multiLevelType w:val="singleLevel"/>
    <w:tmpl w:val="74A484FC"/>
    <w:lvl w:ilvl="0" w:tentative="0">
      <w:start w:val="10"/>
      <w:numFmt w:val="chineseCounting"/>
      <w:suff w:val="nothing"/>
      <w:lvlText w:val="（%1）"/>
      <w:lvlJc w:val="left"/>
      <w:rPr>
        <w:rFonts w:hint="eastAsia"/>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xMzI3MDJhZmJmODE3YWUzOWY4NzkwZmJhNzNlZDkifQ=="/>
  </w:docVars>
  <w:rsids>
    <w:rsidRoot w:val="00000000"/>
    <w:rsid w:val="001570FF"/>
    <w:rsid w:val="005C0886"/>
    <w:rsid w:val="00610597"/>
    <w:rsid w:val="00863B59"/>
    <w:rsid w:val="00BD0A57"/>
    <w:rsid w:val="00D60EB6"/>
    <w:rsid w:val="00F1191B"/>
    <w:rsid w:val="01017684"/>
    <w:rsid w:val="01245390"/>
    <w:rsid w:val="013E4730"/>
    <w:rsid w:val="018067FB"/>
    <w:rsid w:val="01A7647D"/>
    <w:rsid w:val="01D614E0"/>
    <w:rsid w:val="0213766F"/>
    <w:rsid w:val="021533E7"/>
    <w:rsid w:val="024840F1"/>
    <w:rsid w:val="02510197"/>
    <w:rsid w:val="02714432"/>
    <w:rsid w:val="0292027E"/>
    <w:rsid w:val="02B23CCA"/>
    <w:rsid w:val="02D23086"/>
    <w:rsid w:val="030703D4"/>
    <w:rsid w:val="03455F4E"/>
    <w:rsid w:val="03462D29"/>
    <w:rsid w:val="035B5702"/>
    <w:rsid w:val="03824AAC"/>
    <w:rsid w:val="0388571F"/>
    <w:rsid w:val="038D2F2A"/>
    <w:rsid w:val="03DE1C9C"/>
    <w:rsid w:val="04096F7B"/>
    <w:rsid w:val="040F5D0F"/>
    <w:rsid w:val="042A6EF2"/>
    <w:rsid w:val="04566439"/>
    <w:rsid w:val="04820ADC"/>
    <w:rsid w:val="04901C43"/>
    <w:rsid w:val="04934A97"/>
    <w:rsid w:val="04A84C58"/>
    <w:rsid w:val="04C25FED"/>
    <w:rsid w:val="04FA6239"/>
    <w:rsid w:val="058D598A"/>
    <w:rsid w:val="05CD3FD8"/>
    <w:rsid w:val="063B2989"/>
    <w:rsid w:val="0642677D"/>
    <w:rsid w:val="068E3768"/>
    <w:rsid w:val="0742552D"/>
    <w:rsid w:val="07465DF0"/>
    <w:rsid w:val="07493882"/>
    <w:rsid w:val="07732C73"/>
    <w:rsid w:val="07972D2B"/>
    <w:rsid w:val="08102414"/>
    <w:rsid w:val="08512AE5"/>
    <w:rsid w:val="087A0447"/>
    <w:rsid w:val="087C0B22"/>
    <w:rsid w:val="08E003AE"/>
    <w:rsid w:val="09026214"/>
    <w:rsid w:val="09402DC9"/>
    <w:rsid w:val="095953E8"/>
    <w:rsid w:val="097A06EC"/>
    <w:rsid w:val="09EC6FF8"/>
    <w:rsid w:val="0A1C687B"/>
    <w:rsid w:val="0A232419"/>
    <w:rsid w:val="0A4B3D93"/>
    <w:rsid w:val="0A540224"/>
    <w:rsid w:val="0ADC05BC"/>
    <w:rsid w:val="0AEC0542"/>
    <w:rsid w:val="0AF97CC1"/>
    <w:rsid w:val="0B2823DD"/>
    <w:rsid w:val="0B5F39C0"/>
    <w:rsid w:val="0BA00692"/>
    <w:rsid w:val="0BAB4D99"/>
    <w:rsid w:val="0BCE014A"/>
    <w:rsid w:val="0BFD025C"/>
    <w:rsid w:val="0C056068"/>
    <w:rsid w:val="0C0B13B7"/>
    <w:rsid w:val="0C1F4E62"/>
    <w:rsid w:val="0C212875"/>
    <w:rsid w:val="0C31167A"/>
    <w:rsid w:val="0C41127C"/>
    <w:rsid w:val="0C4C05FE"/>
    <w:rsid w:val="0C550884"/>
    <w:rsid w:val="0C684A5B"/>
    <w:rsid w:val="0C6A2BAB"/>
    <w:rsid w:val="0CFD51A3"/>
    <w:rsid w:val="0D151277"/>
    <w:rsid w:val="0D184EAC"/>
    <w:rsid w:val="0D303444"/>
    <w:rsid w:val="0D983A1B"/>
    <w:rsid w:val="0DAC0678"/>
    <w:rsid w:val="0DD0089A"/>
    <w:rsid w:val="0DE74EF1"/>
    <w:rsid w:val="0E0662D9"/>
    <w:rsid w:val="0E0A35FC"/>
    <w:rsid w:val="0E0B1C40"/>
    <w:rsid w:val="0E4F7C80"/>
    <w:rsid w:val="0E7F4225"/>
    <w:rsid w:val="0F020460"/>
    <w:rsid w:val="0F4672D5"/>
    <w:rsid w:val="0F49414A"/>
    <w:rsid w:val="0F4E1CE6"/>
    <w:rsid w:val="0F544C89"/>
    <w:rsid w:val="0F5C22C8"/>
    <w:rsid w:val="0F780762"/>
    <w:rsid w:val="0F8E3AB4"/>
    <w:rsid w:val="101C5D45"/>
    <w:rsid w:val="10305D78"/>
    <w:rsid w:val="10521BED"/>
    <w:rsid w:val="107C7598"/>
    <w:rsid w:val="10B95885"/>
    <w:rsid w:val="10F451D4"/>
    <w:rsid w:val="110B145C"/>
    <w:rsid w:val="114F1D45"/>
    <w:rsid w:val="115D3896"/>
    <w:rsid w:val="115E033A"/>
    <w:rsid w:val="11870CE9"/>
    <w:rsid w:val="1191235E"/>
    <w:rsid w:val="11955682"/>
    <w:rsid w:val="11A352CA"/>
    <w:rsid w:val="11B6682A"/>
    <w:rsid w:val="11F56D91"/>
    <w:rsid w:val="120A11A7"/>
    <w:rsid w:val="1287577E"/>
    <w:rsid w:val="128F574E"/>
    <w:rsid w:val="12B101BA"/>
    <w:rsid w:val="12D67BE7"/>
    <w:rsid w:val="12F048B5"/>
    <w:rsid w:val="13496F8C"/>
    <w:rsid w:val="135C01FC"/>
    <w:rsid w:val="137756C7"/>
    <w:rsid w:val="13E50081"/>
    <w:rsid w:val="14005F6A"/>
    <w:rsid w:val="14276FAA"/>
    <w:rsid w:val="142E05AF"/>
    <w:rsid w:val="14364D57"/>
    <w:rsid w:val="14593607"/>
    <w:rsid w:val="14634486"/>
    <w:rsid w:val="14A10B0A"/>
    <w:rsid w:val="14B46A8F"/>
    <w:rsid w:val="14DD7671"/>
    <w:rsid w:val="152A4FA3"/>
    <w:rsid w:val="15910B7E"/>
    <w:rsid w:val="15E038B4"/>
    <w:rsid w:val="166B5873"/>
    <w:rsid w:val="168B3A44"/>
    <w:rsid w:val="169A5917"/>
    <w:rsid w:val="16D27F24"/>
    <w:rsid w:val="17164088"/>
    <w:rsid w:val="173A529E"/>
    <w:rsid w:val="17535ED4"/>
    <w:rsid w:val="176D1ABA"/>
    <w:rsid w:val="1770272B"/>
    <w:rsid w:val="17872239"/>
    <w:rsid w:val="17B30290"/>
    <w:rsid w:val="17B31280"/>
    <w:rsid w:val="17BA057C"/>
    <w:rsid w:val="18001FEB"/>
    <w:rsid w:val="18003D99"/>
    <w:rsid w:val="180D24AE"/>
    <w:rsid w:val="18842C1C"/>
    <w:rsid w:val="18E81791"/>
    <w:rsid w:val="18F90F15"/>
    <w:rsid w:val="191A1D20"/>
    <w:rsid w:val="191C37A3"/>
    <w:rsid w:val="193A0EBB"/>
    <w:rsid w:val="196E525E"/>
    <w:rsid w:val="198F3627"/>
    <w:rsid w:val="19B54023"/>
    <w:rsid w:val="19B968F6"/>
    <w:rsid w:val="19D5046D"/>
    <w:rsid w:val="19DD4BC5"/>
    <w:rsid w:val="19EC6CCB"/>
    <w:rsid w:val="1A0538E9"/>
    <w:rsid w:val="1A2F6BB8"/>
    <w:rsid w:val="1A8D4386"/>
    <w:rsid w:val="1AAF4FCA"/>
    <w:rsid w:val="1AC75042"/>
    <w:rsid w:val="1AD67034"/>
    <w:rsid w:val="1B3C701D"/>
    <w:rsid w:val="1B616C37"/>
    <w:rsid w:val="1B6C4873"/>
    <w:rsid w:val="1B8751B7"/>
    <w:rsid w:val="1B8E16B3"/>
    <w:rsid w:val="1BA57132"/>
    <w:rsid w:val="1BCD0942"/>
    <w:rsid w:val="1BDB2B53"/>
    <w:rsid w:val="1C363B4D"/>
    <w:rsid w:val="1C3708E7"/>
    <w:rsid w:val="1C7D36C7"/>
    <w:rsid w:val="1C8C02F2"/>
    <w:rsid w:val="1CB01D3C"/>
    <w:rsid w:val="1CB6536F"/>
    <w:rsid w:val="1CCA5772"/>
    <w:rsid w:val="1D102CD1"/>
    <w:rsid w:val="1D3F1652"/>
    <w:rsid w:val="1D4902FB"/>
    <w:rsid w:val="1D65301C"/>
    <w:rsid w:val="1D661485"/>
    <w:rsid w:val="1D6B6623"/>
    <w:rsid w:val="1D752371"/>
    <w:rsid w:val="1D9C27B6"/>
    <w:rsid w:val="1DAB6A18"/>
    <w:rsid w:val="1DAC212A"/>
    <w:rsid w:val="1DFF22D5"/>
    <w:rsid w:val="1E2660A9"/>
    <w:rsid w:val="1E3E5320"/>
    <w:rsid w:val="1E617C32"/>
    <w:rsid w:val="1E672DC4"/>
    <w:rsid w:val="1E8972BF"/>
    <w:rsid w:val="1F196F16"/>
    <w:rsid w:val="1FA13238"/>
    <w:rsid w:val="1FC54AD0"/>
    <w:rsid w:val="1FEB2F17"/>
    <w:rsid w:val="2085578B"/>
    <w:rsid w:val="20A26336"/>
    <w:rsid w:val="20BE0F44"/>
    <w:rsid w:val="20BE320C"/>
    <w:rsid w:val="20CA1ACE"/>
    <w:rsid w:val="211803A6"/>
    <w:rsid w:val="212C5E28"/>
    <w:rsid w:val="214E314D"/>
    <w:rsid w:val="2167490E"/>
    <w:rsid w:val="2190618E"/>
    <w:rsid w:val="21AB2FC8"/>
    <w:rsid w:val="21C72108"/>
    <w:rsid w:val="21C91A13"/>
    <w:rsid w:val="22147453"/>
    <w:rsid w:val="22210F14"/>
    <w:rsid w:val="22261CEE"/>
    <w:rsid w:val="22983E9F"/>
    <w:rsid w:val="22BB4743"/>
    <w:rsid w:val="22E91FFA"/>
    <w:rsid w:val="234644D3"/>
    <w:rsid w:val="235F7C2F"/>
    <w:rsid w:val="237D6BE6"/>
    <w:rsid w:val="238E58F4"/>
    <w:rsid w:val="239A32F4"/>
    <w:rsid w:val="23C136C0"/>
    <w:rsid w:val="23C55BDE"/>
    <w:rsid w:val="23DA5DE6"/>
    <w:rsid w:val="23F46EA8"/>
    <w:rsid w:val="245060A9"/>
    <w:rsid w:val="247A5D05"/>
    <w:rsid w:val="249C0AA0"/>
    <w:rsid w:val="24E551BD"/>
    <w:rsid w:val="24F84BE0"/>
    <w:rsid w:val="25310FEB"/>
    <w:rsid w:val="254A2AF8"/>
    <w:rsid w:val="25666701"/>
    <w:rsid w:val="25CB59E7"/>
    <w:rsid w:val="25E47183"/>
    <w:rsid w:val="264B2FCC"/>
    <w:rsid w:val="26712A32"/>
    <w:rsid w:val="268B33C8"/>
    <w:rsid w:val="26E50D2A"/>
    <w:rsid w:val="26F92E10"/>
    <w:rsid w:val="273F6C96"/>
    <w:rsid w:val="275C7C1C"/>
    <w:rsid w:val="275E288B"/>
    <w:rsid w:val="279C3BBD"/>
    <w:rsid w:val="27A23EDD"/>
    <w:rsid w:val="27B626C7"/>
    <w:rsid w:val="27DC4334"/>
    <w:rsid w:val="27F35233"/>
    <w:rsid w:val="281C050B"/>
    <w:rsid w:val="28537F15"/>
    <w:rsid w:val="286B21EF"/>
    <w:rsid w:val="287D0D71"/>
    <w:rsid w:val="28B40D42"/>
    <w:rsid w:val="28CC03F4"/>
    <w:rsid w:val="28EA0701"/>
    <w:rsid w:val="28FC0A1F"/>
    <w:rsid w:val="2916341D"/>
    <w:rsid w:val="29352537"/>
    <w:rsid w:val="293D1D0B"/>
    <w:rsid w:val="294D7CF1"/>
    <w:rsid w:val="29562B06"/>
    <w:rsid w:val="29642508"/>
    <w:rsid w:val="297F5EFD"/>
    <w:rsid w:val="29A64648"/>
    <w:rsid w:val="29CA4207"/>
    <w:rsid w:val="29F30179"/>
    <w:rsid w:val="2A9267CE"/>
    <w:rsid w:val="2AD0640E"/>
    <w:rsid w:val="2B0D4CF3"/>
    <w:rsid w:val="2B782521"/>
    <w:rsid w:val="2BBA196F"/>
    <w:rsid w:val="2BE13AE1"/>
    <w:rsid w:val="2BEA306D"/>
    <w:rsid w:val="2C1128D2"/>
    <w:rsid w:val="2C147CBD"/>
    <w:rsid w:val="2C44306F"/>
    <w:rsid w:val="2C567FD4"/>
    <w:rsid w:val="2C5A1872"/>
    <w:rsid w:val="2C5F17B9"/>
    <w:rsid w:val="2C8261B9"/>
    <w:rsid w:val="2CB4503B"/>
    <w:rsid w:val="2CB847EB"/>
    <w:rsid w:val="2D067C4C"/>
    <w:rsid w:val="2D3252A7"/>
    <w:rsid w:val="2D984D48"/>
    <w:rsid w:val="2DB65067"/>
    <w:rsid w:val="2E5A3CBA"/>
    <w:rsid w:val="2E821554"/>
    <w:rsid w:val="2E8B21B7"/>
    <w:rsid w:val="2E996A2A"/>
    <w:rsid w:val="2ED02896"/>
    <w:rsid w:val="2F4C6F51"/>
    <w:rsid w:val="2F561582"/>
    <w:rsid w:val="2F7610B9"/>
    <w:rsid w:val="2FCB1763"/>
    <w:rsid w:val="2FCC3D0C"/>
    <w:rsid w:val="2FF70277"/>
    <w:rsid w:val="2FF7387C"/>
    <w:rsid w:val="304B09A8"/>
    <w:rsid w:val="305F4F6B"/>
    <w:rsid w:val="30711881"/>
    <w:rsid w:val="307F5C44"/>
    <w:rsid w:val="308A7BC2"/>
    <w:rsid w:val="30AD648F"/>
    <w:rsid w:val="310B75DF"/>
    <w:rsid w:val="31173BCD"/>
    <w:rsid w:val="315A0F54"/>
    <w:rsid w:val="31B761B9"/>
    <w:rsid w:val="31C03994"/>
    <w:rsid w:val="31CA0AD7"/>
    <w:rsid w:val="321049C3"/>
    <w:rsid w:val="32213D0C"/>
    <w:rsid w:val="3239017C"/>
    <w:rsid w:val="32445C96"/>
    <w:rsid w:val="327C2DF9"/>
    <w:rsid w:val="32904240"/>
    <w:rsid w:val="32951856"/>
    <w:rsid w:val="32DB28D0"/>
    <w:rsid w:val="32F11300"/>
    <w:rsid w:val="32F26CA9"/>
    <w:rsid w:val="332B6F4B"/>
    <w:rsid w:val="33D91C17"/>
    <w:rsid w:val="33EF31E8"/>
    <w:rsid w:val="3410040A"/>
    <w:rsid w:val="34384B8F"/>
    <w:rsid w:val="34894B8C"/>
    <w:rsid w:val="351A3611"/>
    <w:rsid w:val="351C00EA"/>
    <w:rsid w:val="352944D8"/>
    <w:rsid w:val="352F312B"/>
    <w:rsid w:val="354D30E3"/>
    <w:rsid w:val="355B5071"/>
    <w:rsid w:val="358C4D11"/>
    <w:rsid w:val="358D4A67"/>
    <w:rsid w:val="35DA1C76"/>
    <w:rsid w:val="35EC7C60"/>
    <w:rsid w:val="35EF74CF"/>
    <w:rsid w:val="36006B49"/>
    <w:rsid w:val="363932F5"/>
    <w:rsid w:val="36401255"/>
    <w:rsid w:val="36936E01"/>
    <w:rsid w:val="36B91800"/>
    <w:rsid w:val="36D8742F"/>
    <w:rsid w:val="36DD477E"/>
    <w:rsid w:val="36DE12F2"/>
    <w:rsid w:val="36EA029A"/>
    <w:rsid w:val="371C142E"/>
    <w:rsid w:val="371D3482"/>
    <w:rsid w:val="377D1455"/>
    <w:rsid w:val="378448BE"/>
    <w:rsid w:val="37A30B05"/>
    <w:rsid w:val="37B81B43"/>
    <w:rsid w:val="37ED5C91"/>
    <w:rsid w:val="3805255C"/>
    <w:rsid w:val="38207E14"/>
    <w:rsid w:val="38323C4F"/>
    <w:rsid w:val="38361BA7"/>
    <w:rsid w:val="383C2774"/>
    <w:rsid w:val="387E4B3B"/>
    <w:rsid w:val="389D1465"/>
    <w:rsid w:val="38D236A7"/>
    <w:rsid w:val="38FD63A7"/>
    <w:rsid w:val="39224AE5"/>
    <w:rsid w:val="39B63DA1"/>
    <w:rsid w:val="39DF4537"/>
    <w:rsid w:val="39E63BA1"/>
    <w:rsid w:val="39EA5F63"/>
    <w:rsid w:val="3A0F434E"/>
    <w:rsid w:val="3A241364"/>
    <w:rsid w:val="3A8A5A19"/>
    <w:rsid w:val="3A965379"/>
    <w:rsid w:val="3AB333D7"/>
    <w:rsid w:val="3B685395"/>
    <w:rsid w:val="3B900DC8"/>
    <w:rsid w:val="3B9B4C08"/>
    <w:rsid w:val="3BC15DB8"/>
    <w:rsid w:val="3C336DD6"/>
    <w:rsid w:val="3C641104"/>
    <w:rsid w:val="3C6E4EC6"/>
    <w:rsid w:val="3C776471"/>
    <w:rsid w:val="3C8A7F52"/>
    <w:rsid w:val="3C9506A5"/>
    <w:rsid w:val="3CBA010B"/>
    <w:rsid w:val="3CD91FD0"/>
    <w:rsid w:val="3CEF4259"/>
    <w:rsid w:val="3D033860"/>
    <w:rsid w:val="3D0E20FE"/>
    <w:rsid w:val="3D0F48FB"/>
    <w:rsid w:val="3D2F0533"/>
    <w:rsid w:val="3D705439"/>
    <w:rsid w:val="3D7753A5"/>
    <w:rsid w:val="3D8726E3"/>
    <w:rsid w:val="3DF8713D"/>
    <w:rsid w:val="3E471F24"/>
    <w:rsid w:val="3E681840"/>
    <w:rsid w:val="3EC36F33"/>
    <w:rsid w:val="3ECF7A14"/>
    <w:rsid w:val="3F110A59"/>
    <w:rsid w:val="3F395C5F"/>
    <w:rsid w:val="3F5860E5"/>
    <w:rsid w:val="3F702E03"/>
    <w:rsid w:val="3F970A7C"/>
    <w:rsid w:val="3FC45529"/>
    <w:rsid w:val="3FED00F0"/>
    <w:rsid w:val="3FF81676"/>
    <w:rsid w:val="40557EB1"/>
    <w:rsid w:val="40C757BD"/>
    <w:rsid w:val="40D95004"/>
    <w:rsid w:val="40E02836"/>
    <w:rsid w:val="4109680D"/>
    <w:rsid w:val="412D3C44"/>
    <w:rsid w:val="413B181B"/>
    <w:rsid w:val="414A3DAF"/>
    <w:rsid w:val="415F56D9"/>
    <w:rsid w:val="41790595"/>
    <w:rsid w:val="41803457"/>
    <w:rsid w:val="41845BCF"/>
    <w:rsid w:val="419D24D5"/>
    <w:rsid w:val="41AF3FB7"/>
    <w:rsid w:val="41DD72D9"/>
    <w:rsid w:val="41FD11C6"/>
    <w:rsid w:val="42023D07"/>
    <w:rsid w:val="42033254"/>
    <w:rsid w:val="421057B6"/>
    <w:rsid w:val="4280659A"/>
    <w:rsid w:val="42862F6A"/>
    <w:rsid w:val="429F5DD9"/>
    <w:rsid w:val="42AB1299"/>
    <w:rsid w:val="42CE4911"/>
    <w:rsid w:val="42DA32B5"/>
    <w:rsid w:val="433665E9"/>
    <w:rsid w:val="433834D6"/>
    <w:rsid w:val="43560B8E"/>
    <w:rsid w:val="43583E01"/>
    <w:rsid w:val="435C1F1C"/>
    <w:rsid w:val="435E1696"/>
    <w:rsid w:val="43B054BC"/>
    <w:rsid w:val="44872AD4"/>
    <w:rsid w:val="44950109"/>
    <w:rsid w:val="44AE49FA"/>
    <w:rsid w:val="4505081B"/>
    <w:rsid w:val="4585533A"/>
    <w:rsid w:val="45876384"/>
    <w:rsid w:val="45B72B27"/>
    <w:rsid w:val="45D472F0"/>
    <w:rsid w:val="465914A9"/>
    <w:rsid w:val="466E1623"/>
    <w:rsid w:val="46767799"/>
    <w:rsid w:val="46A63BDA"/>
    <w:rsid w:val="46ED1809"/>
    <w:rsid w:val="473E02B7"/>
    <w:rsid w:val="47490A0A"/>
    <w:rsid w:val="4764659D"/>
    <w:rsid w:val="478D13A9"/>
    <w:rsid w:val="47B9631D"/>
    <w:rsid w:val="47C6325F"/>
    <w:rsid w:val="47DC19EB"/>
    <w:rsid w:val="47E56F93"/>
    <w:rsid w:val="47EF7803"/>
    <w:rsid w:val="47F6064A"/>
    <w:rsid w:val="48496F13"/>
    <w:rsid w:val="48580F04"/>
    <w:rsid w:val="486E4086"/>
    <w:rsid w:val="48A0176E"/>
    <w:rsid w:val="48AB4D23"/>
    <w:rsid w:val="48B466DB"/>
    <w:rsid w:val="48B5518F"/>
    <w:rsid w:val="48C26B67"/>
    <w:rsid w:val="48D2100A"/>
    <w:rsid w:val="49263D60"/>
    <w:rsid w:val="494D2A33"/>
    <w:rsid w:val="495042D1"/>
    <w:rsid w:val="49B916CD"/>
    <w:rsid w:val="49C56A6D"/>
    <w:rsid w:val="49C604E7"/>
    <w:rsid w:val="49F01532"/>
    <w:rsid w:val="4A1452FF"/>
    <w:rsid w:val="4A2D016F"/>
    <w:rsid w:val="4A330784"/>
    <w:rsid w:val="4A596C44"/>
    <w:rsid w:val="4AAE7501"/>
    <w:rsid w:val="4AAF6DD6"/>
    <w:rsid w:val="4AED038C"/>
    <w:rsid w:val="4B08477A"/>
    <w:rsid w:val="4B2771E0"/>
    <w:rsid w:val="4B37154F"/>
    <w:rsid w:val="4B380D8C"/>
    <w:rsid w:val="4B3D4012"/>
    <w:rsid w:val="4B715402"/>
    <w:rsid w:val="4B916D9B"/>
    <w:rsid w:val="4BF70537"/>
    <w:rsid w:val="4C025E9A"/>
    <w:rsid w:val="4C275277"/>
    <w:rsid w:val="4C3C7AA7"/>
    <w:rsid w:val="4C5E06C3"/>
    <w:rsid w:val="4CAF3D9F"/>
    <w:rsid w:val="4CC535CC"/>
    <w:rsid w:val="4CCC52D2"/>
    <w:rsid w:val="4D0C1DC1"/>
    <w:rsid w:val="4D4B7458"/>
    <w:rsid w:val="4D5C3508"/>
    <w:rsid w:val="4D9F3131"/>
    <w:rsid w:val="4DB029E2"/>
    <w:rsid w:val="4DD252B5"/>
    <w:rsid w:val="4E455EBB"/>
    <w:rsid w:val="4E491A35"/>
    <w:rsid w:val="4E7D7917"/>
    <w:rsid w:val="4E952649"/>
    <w:rsid w:val="4EA20779"/>
    <w:rsid w:val="4EE9082F"/>
    <w:rsid w:val="4EFF576B"/>
    <w:rsid w:val="4F634CFA"/>
    <w:rsid w:val="4F8133D7"/>
    <w:rsid w:val="4FA3572B"/>
    <w:rsid w:val="4FC9093A"/>
    <w:rsid w:val="4FF84D7B"/>
    <w:rsid w:val="4FFD38BA"/>
    <w:rsid w:val="5038283F"/>
    <w:rsid w:val="509264D2"/>
    <w:rsid w:val="50A82D49"/>
    <w:rsid w:val="510C4F82"/>
    <w:rsid w:val="51133638"/>
    <w:rsid w:val="51231512"/>
    <w:rsid w:val="5139564B"/>
    <w:rsid w:val="51577ADD"/>
    <w:rsid w:val="517D0AC3"/>
    <w:rsid w:val="51A90A23"/>
    <w:rsid w:val="51CC51CF"/>
    <w:rsid w:val="523F1B72"/>
    <w:rsid w:val="52411891"/>
    <w:rsid w:val="525070F0"/>
    <w:rsid w:val="52630BD1"/>
    <w:rsid w:val="5284493B"/>
    <w:rsid w:val="52AD6AF2"/>
    <w:rsid w:val="52B4142D"/>
    <w:rsid w:val="52E0494A"/>
    <w:rsid w:val="52E30126"/>
    <w:rsid w:val="531A2B63"/>
    <w:rsid w:val="531C6F66"/>
    <w:rsid w:val="53563628"/>
    <w:rsid w:val="539F6EFE"/>
    <w:rsid w:val="53A70F92"/>
    <w:rsid w:val="53AF7E46"/>
    <w:rsid w:val="53C41F32"/>
    <w:rsid w:val="53EC11EE"/>
    <w:rsid w:val="540B7773"/>
    <w:rsid w:val="541B1589"/>
    <w:rsid w:val="54A379AB"/>
    <w:rsid w:val="54CD4055"/>
    <w:rsid w:val="550A17D8"/>
    <w:rsid w:val="55291B4E"/>
    <w:rsid w:val="55696358"/>
    <w:rsid w:val="556E620B"/>
    <w:rsid w:val="55976FB7"/>
    <w:rsid w:val="55A001A3"/>
    <w:rsid w:val="55BD684B"/>
    <w:rsid w:val="55CF7C27"/>
    <w:rsid w:val="560B479E"/>
    <w:rsid w:val="5642563C"/>
    <w:rsid w:val="566969D2"/>
    <w:rsid w:val="56AA12B5"/>
    <w:rsid w:val="56F444EE"/>
    <w:rsid w:val="56F97D56"/>
    <w:rsid w:val="574A2360"/>
    <w:rsid w:val="577420E6"/>
    <w:rsid w:val="57917F8F"/>
    <w:rsid w:val="57920EE1"/>
    <w:rsid w:val="57C739B1"/>
    <w:rsid w:val="57DD7A72"/>
    <w:rsid w:val="57E55F1B"/>
    <w:rsid w:val="57FB3A55"/>
    <w:rsid w:val="5805272B"/>
    <w:rsid w:val="58127D36"/>
    <w:rsid w:val="586D7D66"/>
    <w:rsid w:val="58B52AE8"/>
    <w:rsid w:val="58C840FD"/>
    <w:rsid w:val="58D35CF5"/>
    <w:rsid w:val="58DC7B06"/>
    <w:rsid w:val="58F669E4"/>
    <w:rsid w:val="59434156"/>
    <w:rsid w:val="598D0C2A"/>
    <w:rsid w:val="598F27C6"/>
    <w:rsid w:val="599947F9"/>
    <w:rsid w:val="59A913B1"/>
    <w:rsid w:val="59AA5338"/>
    <w:rsid w:val="59D62AD0"/>
    <w:rsid w:val="59EB778D"/>
    <w:rsid w:val="5A084146"/>
    <w:rsid w:val="5A265D97"/>
    <w:rsid w:val="5A355549"/>
    <w:rsid w:val="5A3F1F24"/>
    <w:rsid w:val="5A53777D"/>
    <w:rsid w:val="5A5B574E"/>
    <w:rsid w:val="5A6E2779"/>
    <w:rsid w:val="5A7B0A82"/>
    <w:rsid w:val="5A7D236A"/>
    <w:rsid w:val="5ABA77FD"/>
    <w:rsid w:val="5AF70A51"/>
    <w:rsid w:val="5B40505E"/>
    <w:rsid w:val="5B5152B3"/>
    <w:rsid w:val="5B630C7D"/>
    <w:rsid w:val="5B8F0C89"/>
    <w:rsid w:val="5BA364E3"/>
    <w:rsid w:val="5BDE3691"/>
    <w:rsid w:val="5BDE576D"/>
    <w:rsid w:val="5BF02BDC"/>
    <w:rsid w:val="5C0F5926"/>
    <w:rsid w:val="5C906697"/>
    <w:rsid w:val="5CA95D7B"/>
    <w:rsid w:val="5CAE0433"/>
    <w:rsid w:val="5CD65FE4"/>
    <w:rsid w:val="5D1E4295"/>
    <w:rsid w:val="5D303DA6"/>
    <w:rsid w:val="5D4D6A3C"/>
    <w:rsid w:val="5D5A0E23"/>
    <w:rsid w:val="5D79574D"/>
    <w:rsid w:val="5DA55329"/>
    <w:rsid w:val="5E2143E8"/>
    <w:rsid w:val="5E541D16"/>
    <w:rsid w:val="5E781EA8"/>
    <w:rsid w:val="5E87257A"/>
    <w:rsid w:val="5F0D1CEC"/>
    <w:rsid w:val="5F1B2917"/>
    <w:rsid w:val="5F3730B2"/>
    <w:rsid w:val="5F4B2916"/>
    <w:rsid w:val="5F4E54FF"/>
    <w:rsid w:val="5F5A15AE"/>
    <w:rsid w:val="5F6856DD"/>
    <w:rsid w:val="5F8B5419"/>
    <w:rsid w:val="5F9D76BA"/>
    <w:rsid w:val="5FAF3513"/>
    <w:rsid w:val="5FB47948"/>
    <w:rsid w:val="5FEF619A"/>
    <w:rsid w:val="60267593"/>
    <w:rsid w:val="6031230F"/>
    <w:rsid w:val="60344CB6"/>
    <w:rsid w:val="60522285"/>
    <w:rsid w:val="6101384B"/>
    <w:rsid w:val="613320B7"/>
    <w:rsid w:val="6138591F"/>
    <w:rsid w:val="613A1697"/>
    <w:rsid w:val="61B77211"/>
    <w:rsid w:val="61C83B89"/>
    <w:rsid w:val="61FC06FB"/>
    <w:rsid w:val="626A672E"/>
    <w:rsid w:val="626F4FCE"/>
    <w:rsid w:val="62720633"/>
    <w:rsid w:val="62746094"/>
    <w:rsid w:val="627C0263"/>
    <w:rsid w:val="628801E0"/>
    <w:rsid w:val="62CD0742"/>
    <w:rsid w:val="631B72A6"/>
    <w:rsid w:val="636D2D43"/>
    <w:rsid w:val="63770A3E"/>
    <w:rsid w:val="63972DD1"/>
    <w:rsid w:val="63F34FF4"/>
    <w:rsid w:val="63F35B2D"/>
    <w:rsid w:val="63FE3E85"/>
    <w:rsid w:val="641F131C"/>
    <w:rsid w:val="644115AE"/>
    <w:rsid w:val="644A1BF1"/>
    <w:rsid w:val="64813AA7"/>
    <w:rsid w:val="64A07A63"/>
    <w:rsid w:val="64A151CC"/>
    <w:rsid w:val="64A40AB5"/>
    <w:rsid w:val="64AD3F2E"/>
    <w:rsid w:val="6519685F"/>
    <w:rsid w:val="656C5B97"/>
    <w:rsid w:val="65DF0A5F"/>
    <w:rsid w:val="66042274"/>
    <w:rsid w:val="66326DE1"/>
    <w:rsid w:val="66482932"/>
    <w:rsid w:val="665E3544"/>
    <w:rsid w:val="67220C03"/>
    <w:rsid w:val="6740552D"/>
    <w:rsid w:val="67711188"/>
    <w:rsid w:val="677A27ED"/>
    <w:rsid w:val="67A00465"/>
    <w:rsid w:val="67A22DEA"/>
    <w:rsid w:val="67F325A0"/>
    <w:rsid w:val="6832131A"/>
    <w:rsid w:val="686E5601"/>
    <w:rsid w:val="68AE65DD"/>
    <w:rsid w:val="68C61D0B"/>
    <w:rsid w:val="68CB1AE5"/>
    <w:rsid w:val="68D93CAA"/>
    <w:rsid w:val="68E13B71"/>
    <w:rsid w:val="692D4614"/>
    <w:rsid w:val="69581096"/>
    <w:rsid w:val="695B03FD"/>
    <w:rsid w:val="69811F27"/>
    <w:rsid w:val="699F7753"/>
    <w:rsid w:val="69BF098B"/>
    <w:rsid w:val="69BF395D"/>
    <w:rsid w:val="69DD276E"/>
    <w:rsid w:val="69FE712C"/>
    <w:rsid w:val="6A0C16F7"/>
    <w:rsid w:val="6A162854"/>
    <w:rsid w:val="6A3879EE"/>
    <w:rsid w:val="6A4E6C01"/>
    <w:rsid w:val="6A642E74"/>
    <w:rsid w:val="6A6D03E7"/>
    <w:rsid w:val="6A7A3556"/>
    <w:rsid w:val="6A7C687C"/>
    <w:rsid w:val="6A7F55F8"/>
    <w:rsid w:val="6A9E4BEF"/>
    <w:rsid w:val="6AA708FE"/>
    <w:rsid w:val="6AE1332F"/>
    <w:rsid w:val="6AE553B7"/>
    <w:rsid w:val="6B4F0603"/>
    <w:rsid w:val="6B6932A5"/>
    <w:rsid w:val="6BCE53F0"/>
    <w:rsid w:val="6BD12BF8"/>
    <w:rsid w:val="6C1740BD"/>
    <w:rsid w:val="6C2B5ACD"/>
    <w:rsid w:val="6C3A689C"/>
    <w:rsid w:val="6C6756D8"/>
    <w:rsid w:val="6C7041BF"/>
    <w:rsid w:val="6C727F37"/>
    <w:rsid w:val="6C797445"/>
    <w:rsid w:val="6CAB34E9"/>
    <w:rsid w:val="6CD429A0"/>
    <w:rsid w:val="6CD920FB"/>
    <w:rsid w:val="6CF46B9E"/>
    <w:rsid w:val="6D0E5975"/>
    <w:rsid w:val="6D420527"/>
    <w:rsid w:val="6D8A12B0"/>
    <w:rsid w:val="6DB0153E"/>
    <w:rsid w:val="6DF57072"/>
    <w:rsid w:val="6E4A0A40"/>
    <w:rsid w:val="6E55569D"/>
    <w:rsid w:val="6ED06684"/>
    <w:rsid w:val="6EDD378E"/>
    <w:rsid w:val="6F01126C"/>
    <w:rsid w:val="6F011A46"/>
    <w:rsid w:val="6F084B83"/>
    <w:rsid w:val="6F793838"/>
    <w:rsid w:val="6F7E4E45"/>
    <w:rsid w:val="6F8A23CA"/>
    <w:rsid w:val="6F9D22B8"/>
    <w:rsid w:val="6FB72105"/>
    <w:rsid w:val="6FD12B02"/>
    <w:rsid w:val="6FDA7CC8"/>
    <w:rsid w:val="6FDE3B35"/>
    <w:rsid w:val="70553DF8"/>
    <w:rsid w:val="709C427C"/>
    <w:rsid w:val="70DD2DD2"/>
    <w:rsid w:val="70EC412D"/>
    <w:rsid w:val="71496ECC"/>
    <w:rsid w:val="71557594"/>
    <w:rsid w:val="715955FE"/>
    <w:rsid w:val="71687B5B"/>
    <w:rsid w:val="717B788E"/>
    <w:rsid w:val="718638D1"/>
    <w:rsid w:val="719E770A"/>
    <w:rsid w:val="71E116BB"/>
    <w:rsid w:val="724E58A4"/>
    <w:rsid w:val="724E69A2"/>
    <w:rsid w:val="724F4877"/>
    <w:rsid w:val="72897302"/>
    <w:rsid w:val="728D76E0"/>
    <w:rsid w:val="72CC5EC7"/>
    <w:rsid w:val="72F0605A"/>
    <w:rsid w:val="72F773E8"/>
    <w:rsid w:val="733E137A"/>
    <w:rsid w:val="73426189"/>
    <w:rsid w:val="738A38ED"/>
    <w:rsid w:val="73903019"/>
    <w:rsid w:val="741519E4"/>
    <w:rsid w:val="742F1727"/>
    <w:rsid w:val="746555EC"/>
    <w:rsid w:val="74850A24"/>
    <w:rsid w:val="74A470FC"/>
    <w:rsid w:val="74AD7F4C"/>
    <w:rsid w:val="750269A4"/>
    <w:rsid w:val="75075625"/>
    <w:rsid w:val="751650A5"/>
    <w:rsid w:val="75D86033"/>
    <w:rsid w:val="75DC0B17"/>
    <w:rsid w:val="76434533"/>
    <w:rsid w:val="77147E3D"/>
    <w:rsid w:val="773455EC"/>
    <w:rsid w:val="77525CE6"/>
    <w:rsid w:val="77543075"/>
    <w:rsid w:val="77626189"/>
    <w:rsid w:val="776455AF"/>
    <w:rsid w:val="77872E31"/>
    <w:rsid w:val="781616D0"/>
    <w:rsid w:val="78173F63"/>
    <w:rsid w:val="78252301"/>
    <w:rsid w:val="784939F7"/>
    <w:rsid w:val="78532F74"/>
    <w:rsid w:val="7877212D"/>
    <w:rsid w:val="787F3141"/>
    <w:rsid w:val="789A1B9C"/>
    <w:rsid w:val="78BD078C"/>
    <w:rsid w:val="78E545C3"/>
    <w:rsid w:val="79617310"/>
    <w:rsid w:val="796369CD"/>
    <w:rsid w:val="79A547A8"/>
    <w:rsid w:val="79E35D78"/>
    <w:rsid w:val="7A033BF3"/>
    <w:rsid w:val="7A141937"/>
    <w:rsid w:val="7A256BFD"/>
    <w:rsid w:val="7A2B5BC9"/>
    <w:rsid w:val="7A435E34"/>
    <w:rsid w:val="7A603C98"/>
    <w:rsid w:val="7A8F7F06"/>
    <w:rsid w:val="7A903C7E"/>
    <w:rsid w:val="7AEE3332"/>
    <w:rsid w:val="7B256ABC"/>
    <w:rsid w:val="7B5B1E73"/>
    <w:rsid w:val="7B6E3EA5"/>
    <w:rsid w:val="7B711B1F"/>
    <w:rsid w:val="7C0675C4"/>
    <w:rsid w:val="7C166F69"/>
    <w:rsid w:val="7C45642A"/>
    <w:rsid w:val="7C4C743D"/>
    <w:rsid w:val="7C7C2903"/>
    <w:rsid w:val="7CAC1243"/>
    <w:rsid w:val="7CD56640"/>
    <w:rsid w:val="7D241562"/>
    <w:rsid w:val="7D3905FD"/>
    <w:rsid w:val="7D573693"/>
    <w:rsid w:val="7D9019D7"/>
    <w:rsid w:val="7DD16A88"/>
    <w:rsid w:val="7DE90659"/>
    <w:rsid w:val="7E100852"/>
    <w:rsid w:val="7E4C610E"/>
    <w:rsid w:val="7EAB1EEB"/>
    <w:rsid w:val="7EAC2A89"/>
    <w:rsid w:val="7EFA1310"/>
    <w:rsid w:val="7F005876"/>
    <w:rsid w:val="7F390511"/>
    <w:rsid w:val="7FA015CE"/>
    <w:rsid w:val="7FB37823"/>
    <w:rsid w:val="7FE93E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4"/>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3"/>
    <w:qFormat/>
    <w:uiPriority w:val="0"/>
    <w:pPr>
      <w:spacing w:before="340" w:beforeAutospacing="0" w:after="330" w:afterAutospacing="0" w:line="578" w:lineRule="auto"/>
      <w:outlineLvl w:val="0"/>
    </w:pPr>
    <w:rPr>
      <w:kern w:val="44"/>
      <w:sz w:val="44"/>
    </w:rPr>
  </w:style>
  <w:style w:type="paragraph" w:styleId="3">
    <w:name w:val="heading 2"/>
    <w:basedOn w:val="1"/>
    <w:next w:val="1"/>
    <w:link w:val="184"/>
    <w:qFormat/>
    <w:uiPriority w:val="0"/>
    <w:pPr>
      <w:spacing w:before="260" w:beforeAutospacing="0" w:after="260" w:afterAutospacing="0" w:line="360" w:lineRule="auto"/>
      <w:outlineLvl w:val="1"/>
    </w:pPr>
    <w:rPr>
      <w:rFonts w:ascii="宋体" w:hAnsi="宋体"/>
      <w:color w:val="000000"/>
      <w:sz w:val="30"/>
    </w:rPr>
  </w:style>
  <w:style w:type="paragraph" w:styleId="4">
    <w:name w:val="heading 3"/>
    <w:basedOn w:val="3"/>
    <w:next w:val="5"/>
    <w:link w:val="185"/>
    <w:qFormat/>
    <w:uiPriority w:val="0"/>
    <w:pPr>
      <w:autoSpaceDE w:val="0"/>
      <w:autoSpaceDN w:val="0"/>
      <w:adjustRightInd w:val="0"/>
      <w:snapToGrid w:val="0"/>
      <w:spacing w:before="360" w:beforeAutospacing="0" w:after="260" w:afterAutospacing="0" w:line="360" w:lineRule="auto"/>
      <w:textAlignment w:val="baseline"/>
      <w:outlineLvl w:val="2"/>
    </w:pPr>
    <w:rPr>
      <w:rFonts w:ascii="宋体" w:hAnsi="宋体"/>
      <w:b/>
      <w:sz w:val="28"/>
    </w:rPr>
  </w:style>
  <w:style w:type="paragraph" w:styleId="5">
    <w:name w:val="heading 4"/>
    <w:basedOn w:val="1"/>
    <w:next w:val="1"/>
    <w:link w:val="186"/>
    <w:qFormat/>
    <w:uiPriority w:val="0"/>
    <w:pPr>
      <w:spacing w:before="280" w:beforeAutospacing="0" w:after="290" w:afterAutospacing="0" w:line="376" w:lineRule="auto"/>
      <w:outlineLvl w:val="3"/>
    </w:pPr>
    <w:rPr>
      <w:rFonts w:ascii="宋体" w:hAnsi="宋体"/>
      <w:b/>
      <w:sz w:val="28"/>
    </w:rPr>
  </w:style>
  <w:style w:type="paragraph" w:styleId="6">
    <w:name w:val="heading 5"/>
    <w:basedOn w:val="1"/>
    <w:next w:val="1"/>
    <w:link w:val="187"/>
    <w:qFormat/>
    <w:uiPriority w:val="0"/>
    <w:pPr>
      <w:spacing w:before="60" w:beforeAutospacing="0" w:after="60" w:afterAutospacing="0" w:line="360" w:lineRule="auto"/>
      <w:outlineLvl w:val="4"/>
    </w:pPr>
    <w:rPr>
      <w:b/>
      <w:bCs/>
      <w:sz w:val="28"/>
      <w:szCs w:val="28"/>
    </w:rPr>
  </w:style>
  <w:style w:type="paragraph" w:styleId="7">
    <w:name w:val="heading 6"/>
    <w:basedOn w:val="1"/>
    <w:next w:val="1"/>
    <w:link w:val="189"/>
    <w:qFormat/>
    <w:uiPriority w:val="0"/>
    <w:pPr>
      <w:spacing w:before="60" w:beforeAutospacing="0" w:after="60" w:afterAutospacing="0" w:line="360" w:lineRule="auto"/>
      <w:outlineLvl w:val="5"/>
    </w:pPr>
    <w:rPr>
      <w:b/>
      <w:bCs/>
      <w:sz w:val="24"/>
      <w:szCs w:val="24"/>
    </w:rPr>
  </w:style>
  <w:style w:type="paragraph" w:styleId="8">
    <w:name w:val="heading 7"/>
    <w:basedOn w:val="1"/>
    <w:next w:val="1"/>
    <w:link w:val="190"/>
    <w:qFormat/>
    <w:uiPriority w:val="0"/>
    <w:pPr>
      <w:tabs>
        <w:tab w:val="left" w:pos="1296"/>
      </w:tabs>
      <w:spacing w:before="240" w:beforeAutospacing="0" w:after="64" w:afterAutospacing="0" w:line="317" w:lineRule="auto"/>
      <w:ind w:left="1296" w:hanging="1296"/>
      <w:jc w:val="left"/>
      <w:outlineLvl w:val="6"/>
    </w:pPr>
    <w:rPr>
      <w:b/>
      <w:bCs/>
      <w:sz w:val="24"/>
      <w:szCs w:val="24"/>
    </w:rPr>
  </w:style>
  <w:style w:type="paragraph" w:styleId="9">
    <w:name w:val="heading 8"/>
    <w:basedOn w:val="1"/>
    <w:next w:val="1"/>
    <w:link w:val="191"/>
    <w:qFormat/>
    <w:uiPriority w:val="0"/>
    <w:pPr>
      <w:tabs>
        <w:tab w:val="left" w:pos="1440"/>
      </w:tabs>
      <w:spacing w:before="240" w:beforeAutospacing="0" w:after="64" w:afterAutospacing="0" w:line="317" w:lineRule="auto"/>
      <w:ind w:left="1440" w:hanging="1440"/>
      <w:jc w:val="left"/>
      <w:outlineLvl w:val="7"/>
    </w:pPr>
    <w:rPr>
      <w:rFonts w:ascii="Arial" w:hAnsi="Arial" w:eastAsia="黑体"/>
      <w:sz w:val="24"/>
      <w:szCs w:val="24"/>
    </w:rPr>
  </w:style>
  <w:style w:type="paragraph" w:styleId="10">
    <w:name w:val="heading 9"/>
    <w:basedOn w:val="1"/>
    <w:next w:val="1"/>
    <w:link w:val="192"/>
    <w:qFormat/>
    <w:uiPriority w:val="0"/>
    <w:pPr>
      <w:tabs>
        <w:tab w:val="left" w:pos="1584"/>
      </w:tabs>
      <w:spacing w:before="240" w:beforeAutospacing="0" w:after="64" w:afterAutospacing="0" w:line="317" w:lineRule="auto"/>
      <w:ind w:left="1584" w:hanging="1584"/>
      <w:jc w:val="left"/>
      <w:outlineLvl w:val="8"/>
    </w:pPr>
    <w:rPr>
      <w:rFonts w:ascii="Arial" w:hAnsi="Arial" w:eastAsia="黑体"/>
      <w:szCs w:val="21"/>
    </w:rPr>
  </w:style>
  <w:style w:type="character" w:default="1" w:styleId="49">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Cs w:val="21"/>
    </w:rPr>
  </w:style>
  <w:style w:type="paragraph" w:styleId="12">
    <w:name w:val="table of authorities"/>
    <w:basedOn w:val="1"/>
    <w:next w:val="1"/>
    <w:qFormat/>
    <w:uiPriority w:val="99"/>
    <w:pPr>
      <w:ind w:left="420" w:leftChars="200"/>
    </w:pPr>
    <w:rPr>
      <w:rFonts w:ascii="University Roman LET" w:hAnsi="University Roman LET" w:cs="University Roman LET"/>
    </w:rPr>
  </w:style>
  <w:style w:type="paragraph" w:styleId="13">
    <w:name w:val="Normal Indent"/>
    <w:basedOn w:val="1"/>
    <w:qFormat/>
    <w:uiPriority w:val="0"/>
    <w:pPr>
      <w:ind w:firstLine="420"/>
      <w:jc w:val="left"/>
    </w:pPr>
    <w:rPr>
      <w:kern w:val="0"/>
    </w:rPr>
  </w:style>
  <w:style w:type="paragraph" w:styleId="14">
    <w:name w:val="caption"/>
    <w:basedOn w:val="1"/>
    <w:next w:val="1"/>
    <w:qFormat/>
    <w:uiPriority w:val="0"/>
    <w:pPr>
      <w:jc w:val="left"/>
    </w:pPr>
    <w:rPr>
      <w:rFonts w:ascii="Arial" w:hAnsi="Arial" w:eastAsia="黑体" w:cs="Arial"/>
      <w:kern w:val="0"/>
      <w:sz w:val="20"/>
    </w:rPr>
  </w:style>
  <w:style w:type="paragraph" w:styleId="15">
    <w:name w:val="List Bullet"/>
    <w:basedOn w:val="1"/>
    <w:qFormat/>
    <w:uiPriority w:val="0"/>
    <w:pPr>
      <w:tabs>
        <w:tab w:val="left" w:pos="360"/>
      </w:tabs>
      <w:autoSpaceDE w:val="0"/>
      <w:autoSpaceDN w:val="0"/>
      <w:adjustRightInd w:val="0"/>
      <w:snapToGrid w:val="0"/>
      <w:spacing w:beforeAutospacing="0" w:afterAutospacing="0" w:line="360" w:lineRule="auto"/>
      <w:ind w:left="360" w:hanging="360"/>
      <w:textAlignment w:val="baseline"/>
    </w:pPr>
    <w:rPr>
      <w:rFonts w:ascii="宋体" w:hAnsi="Tms Rmn"/>
      <w:snapToGrid w:val="0"/>
      <w:color w:val="000000"/>
      <w:kern w:val="24"/>
      <w:sz w:val="28"/>
    </w:rPr>
  </w:style>
  <w:style w:type="paragraph" w:styleId="16">
    <w:name w:val="Document Map"/>
    <w:basedOn w:val="1"/>
    <w:link w:val="193"/>
    <w:qFormat/>
    <w:uiPriority w:val="0"/>
    <w:pPr>
      <w:shd w:val="clear" w:color="auto" w:fill="000080"/>
    </w:pPr>
    <w:rPr>
      <w:shd w:val="clear" w:color="auto" w:fill="000080"/>
    </w:rPr>
  </w:style>
  <w:style w:type="paragraph" w:styleId="17">
    <w:name w:val="annotation text"/>
    <w:basedOn w:val="1"/>
    <w:link w:val="194"/>
    <w:qFormat/>
    <w:uiPriority w:val="0"/>
    <w:pPr>
      <w:jc w:val="left"/>
    </w:pPr>
    <w:rPr>
      <w:szCs w:val="24"/>
    </w:rPr>
  </w:style>
  <w:style w:type="paragraph" w:styleId="18">
    <w:name w:val="Body Text 3"/>
    <w:basedOn w:val="1"/>
    <w:link w:val="195"/>
    <w:qFormat/>
    <w:uiPriority w:val="0"/>
    <w:pPr>
      <w:spacing w:beforeAutospacing="0" w:afterAutospacing="0" w:line="360" w:lineRule="auto"/>
    </w:pPr>
    <w:rPr>
      <w:rFonts w:ascii="宋体" w:hAnsi="宋体"/>
      <w:b/>
      <w:bCs/>
    </w:rPr>
  </w:style>
  <w:style w:type="paragraph" w:styleId="19">
    <w:name w:val="Body Text"/>
    <w:basedOn w:val="1"/>
    <w:link w:val="188"/>
    <w:qFormat/>
    <w:uiPriority w:val="0"/>
    <w:pPr>
      <w:spacing w:beforeAutospacing="0" w:afterAutospacing="0" w:line="360" w:lineRule="auto"/>
    </w:pPr>
    <w:rPr>
      <w:rFonts w:ascii="黑体"/>
      <w:sz w:val="24"/>
    </w:rPr>
  </w:style>
  <w:style w:type="paragraph" w:styleId="20">
    <w:name w:val="Body Text Indent"/>
    <w:basedOn w:val="1"/>
    <w:link w:val="196"/>
    <w:qFormat/>
    <w:uiPriority w:val="0"/>
    <w:pPr>
      <w:spacing w:beforeAutospacing="0" w:afterAutospacing="0" w:line="360" w:lineRule="auto"/>
      <w:ind w:left="480"/>
    </w:pPr>
    <w:rPr>
      <w:rFonts w:ascii="宋体"/>
      <w:sz w:val="24"/>
    </w:rPr>
  </w:style>
  <w:style w:type="paragraph" w:styleId="21">
    <w:name w:val="List 2"/>
    <w:basedOn w:val="1"/>
    <w:qFormat/>
    <w:uiPriority w:val="0"/>
    <w:pPr>
      <w:spacing w:before="60" w:beforeAutospacing="0" w:after="60" w:afterAutospacing="0" w:line="240" w:lineRule="atLeast"/>
    </w:pPr>
    <w:rPr>
      <w:szCs w:val="24"/>
    </w:rPr>
  </w:style>
  <w:style w:type="paragraph" w:styleId="22">
    <w:name w:val="toc 5"/>
    <w:basedOn w:val="1"/>
    <w:next w:val="1"/>
    <w:qFormat/>
    <w:uiPriority w:val="0"/>
    <w:pPr>
      <w:ind w:left="840"/>
      <w:jc w:val="left"/>
    </w:pPr>
    <w:rPr>
      <w:szCs w:val="21"/>
    </w:rPr>
  </w:style>
  <w:style w:type="paragraph" w:styleId="23">
    <w:name w:val="toc 3"/>
    <w:basedOn w:val="1"/>
    <w:next w:val="1"/>
    <w:qFormat/>
    <w:uiPriority w:val="0"/>
    <w:pPr>
      <w:ind w:left="420"/>
      <w:jc w:val="left"/>
    </w:pPr>
    <w:rPr>
      <w:i/>
      <w:iCs/>
      <w:szCs w:val="24"/>
    </w:rPr>
  </w:style>
  <w:style w:type="paragraph" w:styleId="24">
    <w:name w:val="Plain Text"/>
    <w:basedOn w:val="1"/>
    <w:next w:val="1"/>
    <w:link w:val="197"/>
    <w:qFormat/>
    <w:uiPriority w:val="0"/>
    <w:rPr>
      <w:rFonts w:ascii="宋体" w:hAnsi="Courier New"/>
    </w:rPr>
  </w:style>
  <w:style w:type="paragraph" w:styleId="25">
    <w:name w:val="toc 8"/>
    <w:basedOn w:val="1"/>
    <w:next w:val="1"/>
    <w:qFormat/>
    <w:uiPriority w:val="0"/>
    <w:pPr>
      <w:ind w:left="1470"/>
      <w:jc w:val="left"/>
    </w:pPr>
    <w:rPr>
      <w:szCs w:val="21"/>
    </w:rPr>
  </w:style>
  <w:style w:type="paragraph" w:styleId="26">
    <w:name w:val="Date"/>
    <w:basedOn w:val="1"/>
    <w:next w:val="1"/>
    <w:link w:val="198"/>
    <w:qFormat/>
    <w:uiPriority w:val="0"/>
    <w:rPr>
      <w:sz w:val="24"/>
    </w:rPr>
  </w:style>
  <w:style w:type="paragraph" w:styleId="27">
    <w:name w:val="Body Text Indent 2"/>
    <w:basedOn w:val="1"/>
    <w:link w:val="199"/>
    <w:qFormat/>
    <w:uiPriority w:val="0"/>
    <w:pPr>
      <w:autoSpaceDE w:val="0"/>
      <w:autoSpaceDN w:val="0"/>
      <w:adjustRightInd w:val="0"/>
      <w:spacing w:beforeAutospacing="0" w:afterAutospacing="0" w:line="360" w:lineRule="auto"/>
      <w:ind w:firstLine="538"/>
      <w:jc w:val="left"/>
    </w:pPr>
    <w:rPr>
      <w:rFonts w:ascii="仿宋_GB2312" w:eastAsia="仿宋_GB2312"/>
      <w:color w:val="000000"/>
      <w:kern w:val="0"/>
      <w:sz w:val="28"/>
    </w:rPr>
  </w:style>
  <w:style w:type="paragraph" w:styleId="28">
    <w:name w:val="Balloon Text"/>
    <w:basedOn w:val="1"/>
    <w:link w:val="200"/>
    <w:qFormat/>
    <w:uiPriority w:val="0"/>
    <w:rPr>
      <w:sz w:val="18"/>
      <w:szCs w:val="18"/>
    </w:rPr>
  </w:style>
  <w:style w:type="paragraph" w:styleId="29">
    <w:name w:val="footer"/>
    <w:basedOn w:val="1"/>
    <w:link w:val="201"/>
    <w:qFormat/>
    <w:uiPriority w:val="0"/>
    <w:pPr>
      <w:pBdr>
        <w:top w:val="single" w:color="auto" w:sz="4" w:space="1"/>
      </w:pBdr>
      <w:tabs>
        <w:tab w:val="center" w:pos="4153"/>
        <w:tab w:val="right" w:pos="8306"/>
      </w:tabs>
      <w:snapToGrid w:val="0"/>
      <w:spacing w:beforeAutospacing="0" w:afterAutospacing="0" w:line="360" w:lineRule="auto"/>
      <w:jc w:val="left"/>
    </w:pPr>
    <w:rPr>
      <w:sz w:val="18"/>
    </w:rPr>
  </w:style>
  <w:style w:type="paragraph" w:styleId="30">
    <w:name w:val="envelope return"/>
    <w:basedOn w:val="1"/>
    <w:qFormat/>
    <w:uiPriority w:val="99"/>
    <w:pPr>
      <w:snapToGrid w:val="0"/>
    </w:pPr>
    <w:rPr>
      <w:rFonts w:ascii="Arial" w:hAnsi="Arial"/>
    </w:rPr>
  </w:style>
  <w:style w:type="paragraph" w:styleId="31">
    <w:name w:val="header"/>
    <w:basedOn w:val="1"/>
    <w:link w:val="202"/>
    <w:qFormat/>
    <w:uiPriority w:val="0"/>
    <w:pPr>
      <w:pBdr>
        <w:bottom w:val="thinThickSmallGap" w:color="auto" w:sz="12" w:space="1"/>
      </w:pBdr>
      <w:tabs>
        <w:tab w:val="center" w:pos="4153"/>
        <w:tab w:val="right" w:pos="8306"/>
      </w:tabs>
      <w:snapToGrid w:val="0"/>
      <w:spacing w:beforeAutospacing="0" w:afterAutospacing="0" w:line="360" w:lineRule="auto"/>
      <w:jc w:val="center"/>
    </w:pPr>
    <w:rPr>
      <w:rFonts w:ascii="宋体" w:hAnsi="宋体" w:cs="宋体"/>
      <w:sz w:val="18"/>
      <w:szCs w:val="18"/>
    </w:rPr>
  </w:style>
  <w:style w:type="paragraph" w:styleId="32">
    <w:name w:val="toc 1"/>
    <w:basedOn w:val="1"/>
    <w:next w:val="1"/>
    <w:qFormat/>
    <w:uiPriority w:val="0"/>
    <w:pPr>
      <w:tabs>
        <w:tab w:val="right" w:leader="dot" w:pos="9344"/>
      </w:tabs>
      <w:spacing w:before="120" w:beforeAutospacing="0" w:after="120" w:afterAutospacing="0"/>
      <w:jc w:val="left"/>
    </w:pPr>
    <w:rPr>
      <w:rFonts w:ascii="宋体" w:hAnsi="宋体"/>
      <w:b/>
      <w:bCs/>
      <w:caps/>
      <w:sz w:val="24"/>
      <w:szCs w:val="24"/>
    </w:rPr>
  </w:style>
  <w:style w:type="paragraph" w:styleId="33">
    <w:name w:val="toc 4"/>
    <w:basedOn w:val="1"/>
    <w:next w:val="1"/>
    <w:qFormat/>
    <w:uiPriority w:val="0"/>
    <w:pPr>
      <w:ind w:left="630"/>
      <w:jc w:val="left"/>
    </w:pPr>
    <w:rPr>
      <w:szCs w:val="21"/>
    </w:rPr>
  </w:style>
  <w:style w:type="paragraph" w:styleId="34">
    <w:name w:val="index heading"/>
    <w:basedOn w:val="1"/>
    <w:next w:val="35"/>
    <w:qFormat/>
    <w:uiPriority w:val="0"/>
  </w:style>
  <w:style w:type="paragraph" w:styleId="35">
    <w:name w:val="index 1"/>
    <w:basedOn w:val="1"/>
    <w:next w:val="1"/>
    <w:qFormat/>
    <w:uiPriority w:val="0"/>
    <w:rPr>
      <w:rFonts w:ascii="宋体" w:hAnsi="宋体"/>
      <w:sz w:val="24"/>
      <w:szCs w:val="24"/>
    </w:rPr>
  </w:style>
  <w:style w:type="paragraph" w:styleId="36">
    <w:name w:val="toc 6"/>
    <w:basedOn w:val="1"/>
    <w:next w:val="1"/>
    <w:qFormat/>
    <w:uiPriority w:val="0"/>
    <w:pPr>
      <w:ind w:left="1050"/>
      <w:jc w:val="left"/>
    </w:pPr>
    <w:rPr>
      <w:szCs w:val="21"/>
    </w:rPr>
  </w:style>
  <w:style w:type="paragraph" w:styleId="37">
    <w:name w:val="Body Text Indent 3"/>
    <w:basedOn w:val="1"/>
    <w:link w:val="203"/>
    <w:qFormat/>
    <w:uiPriority w:val="0"/>
    <w:pPr>
      <w:spacing w:beforeAutospacing="0" w:afterAutospacing="0" w:line="360" w:lineRule="auto"/>
      <w:ind w:firstLine="480"/>
    </w:pPr>
    <w:rPr>
      <w:sz w:val="24"/>
    </w:rPr>
  </w:style>
  <w:style w:type="paragraph" w:styleId="38">
    <w:name w:val="toc 2"/>
    <w:basedOn w:val="1"/>
    <w:next w:val="1"/>
    <w:qFormat/>
    <w:uiPriority w:val="0"/>
    <w:pPr>
      <w:ind w:left="210"/>
      <w:jc w:val="left"/>
    </w:pPr>
    <w:rPr>
      <w:smallCaps/>
      <w:szCs w:val="24"/>
    </w:rPr>
  </w:style>
  <w:style w:type="paragraph" w:styleId="39">
    <w:name w:val="toc 9"/>
    <w:basedOn w:val="1"/>
    <w:next w:val="1"/>
    <w:qFormat/>
    <w:uiPriority w:val="0"/>
    <w:pPr>
      <w:ind w:left="1680"/>
      <w:jc w:val="left"/>
    </w:pPr>
    <w:rPr>
      <w:szCs w:val="21"/>
    </w:rPr>
  </w:style>
  <w:style w:type="paragraph" w:styleId="40">
    <w:name w:val="Body Text 2"/>
    <w:basedOn w:val="1"/>
    <w:link w:val="204"/>
    <w:qFormat/>
    <w:uiPriority w:val="0"/>
    <w:rPr>
      <w:rFonts w:eastAsia="楷体_GB2312"/>
      <w:sz w:val="28"/>
    </w:rPr>
  </w:style>
  <w:style w:type="paragraph" w:styleId="41">
    <w:name w:val="HTML Preformatted"/>
    <w:basedOn w:val="1"/>
    <w:link w:val="2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42">
    <w:name w:val="Normal (Web)"/>
    <w:basedOn w:val="1"/>
    <w:qFormat/>
    <w:uiPriority w:val="0"/>
    <w:rPr>
      <w:sz w:val="24"/>
      <w:szCs w:val="24"/>
    </w:rPr>
  </w:style>
  <w:style w:type="paragraph" w:styleId="43">
    <w:name w:val="Title"/>
    <w:basedOn w:val="1"/>
    <w:qFormat/>
    <w:uiPriority w:val="0"/>
    <w:pPr>
      <w:numPr>
        <w:ilvl w:val="0"/>
        <w:numId w:val="1"/>
      </w:numPr>
      <w:spacing w:before="240" w:beforeAutospacing="0" w:after="60" w:afterAutospacing="0"/>
      <w:jc w:val="left"/>
      <w:outlineLvl w:val="0"/>
    </w:pPr>
    <w:rPr>
      <w:rFonts w:ascii="Cambria" w:hAnsi="Cambria"/>
      <w:b/>
      <w:bCs/>
      <w:sz w:val="32"/>
      <w:szCs w:val="32"/>
    </w:rPr>
  </w:style>
  <w:style w:type="paragraph" w:styleId="44">
    <w:name w:val="annotation subject"/>
    <w:basedOn w:val="17"/>
    <w:next w:val="17"/>
    <w:link w:val="206"/>
    <w:qFormat/>
    <w:uiPriority w:val="0"/>
    <w:rPr>
      <w:b/>
      <w:bCs/>
    </w:rPr>
  </w:style>
  <w:style w:type="paragraph" w:styleId="45">
    <w:name w:val="Body Text First Indent"/>
    <w:basedOn w:val="1"/>
    <w:link w:val="207"/>
    <w:qFormat/>
    <w:uiPriority w:val="0"/>
    <w:pPr>
      <w:ind w:firstLine="420" w:firstLineChars="100"/>
      <w:jc w:val="left"/>
    </w:pPr>
  </w:style>
  <w:style w:type="paragraph" w:styleId="46">
    <w:name w:val="Body Text First Indent 2"/>
    <w:basedOn w:val="20"/>
    <w:link w:val="208"/>
    <w:qFormat/>
    <w:uiPriority w:val="0"/>
    <w:pPr>
      <w:spacing w:beforeAutospacing="0" w:after="120" w:afterAutospacing="0" w:line="240" w:lineRule="auto"/>
      <w:ind w:left="420" w:leftChars="200" w:firstLine="420" w:firstLineChars="200"/>
      <w:jc w:val="left"/>
    </w:pPr>
    <w:rPr>
      <w:rFonts w:ascii="Times New Roman"/>
      <w:b/>
      <w:sz w:val="21"/>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0"/>
    <w:rPr>
      <w:rFonts w:eastAsia="黑体"/>
      <w:b/>
      <w:bCs/>
      <w:sz w:val="44"/>
      <w:szCs w:val="44"/>
    </w:rPr>
  </w:style>
  <w:style w:type="character" w:styleId="51">
    <w:name w:val="page number"/>
    <w:basedOn w:val="49"/>
    <w:qFormat/>
    <w:uiPriority w:val="0"/>
    <w:rPr>
      <w:rFonts w:eastAsia="宋体"/>
      <w:sz w:val="18"/>
    </w:rPr>
  </w:style>
  <w:style w:type="character" w:styleId="52">
    <w:name w:val="FollowedHyperlink"/>
    <w:qFormat/>
    <w:uiPriority w:val="0"/>
    <w:rPr>
      <w:color w:val="800080"/>
      <w:u w:val="single"/>
    </w:rPr>
  </w:style>
  <w:style w:type="character" w:styleId="53">
    <w:name w:val="Emphasis"/>
    <w:qFormat/>
    <w:uiPriority w:val="0"/>
  </w:style>
  <w:style w:type="character" w:styleId="54">
    <w:name w:val="Hyperlink"/>
    <w:basedOn w:val="49"/>
    <w:qFormat/>
    <w:uiPriority w:val="0"/>
    <w:rPr>
      <w:color w:val="0000FF"/>
      <w:u w:val="single"/>
    </w:rPr>
  </w:style>
  <w:style w:type="character" w:styleId="55">
    <w:name w:val="annotation reference"/>
    <w:qFormat/>
    <w:uiPriority w:val="0"/>
    <w:rPr>
      <w:sz w:val="21"/>
      <w:szCs w:val="21"/>
    </w:rPr>
  </w:style>
  <w:style w:type="paragraph" w:customStyle="1" w:styleId="5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正文正"/>
    <w:basedOn w:val="58"/>
    <w:qFormat/>
    <w:uiPriority w:val="0"/>
    <w:pPr>
      <w:spacing w:beforeAutospacing="0" w:afterAutospacing="0" w:line="560" w:lineRule="exact"/>
      <w:ind w:firstLine="561"/>
    </w:pPr>
    <w:rPr>
      <w:rFonts w:eastAsia="仿宋_GB2312"/>
      <w:sz w:val="28"/>
    </w:rPr>
  </w:style>
  <w:style w:type="paragraph" w:customStyle="1" w:styleId="58">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59">
    <w:name w:val="正文文本 New"/>
    <w:basedOn w:val="60"/>
    <w:qFormat/>
    <w:uiPriority w:val="0"/>
    <w:pPr>
      <w:spacing w:beforeAutospacing="0" w:after="120" w:afterAutospacing="0" w:line="360" w:lineRule="auto"/>
    </w:pPr>
    <w:rPr>
      <w:rFonts w:ascii="宋体" w:hAnsi="Calibri"/>
      <w:szCs w:val="22"/>
    </w:rPr>
  </w:style>
  <w:style w:type="paragraph" w:customStyle="1" w:styleId="60">
    <w:name w:val="正文 New New New New"/>
    <w:qFormat/>
    <w:uiPriority w:val="0"/>
    <w:pPr>
      <w:widowControl w:val="0"/>
      <w:jc w:val="both"/>
    </w:pPr>
    <w:rPr>
      <w:rFonts w:ascii="Calibri" w:hAnsi="Calibri" w:eastAsia="宋体" w:cs="Times New Roman"/>
      <w:sz w:val="21"/>
      <w:szCs w:val="22"/>
      <w:lang w:val="en-US" w:eastAsia="zh-CN" w:bidi="ar-SA"/>
    </w:rPr>
  </w:style>
  <w:style w:type="paragraph" w:customStyle="1" w:styleId="61">
    <w:name w:val="样式 宋体 行距: 1.5 倍行距"/>
    <w:basedOn w:val="1"/>
    <w:qFormat/>
    <w:uiPriority w:val="0"/>
    <w:pPr>
      <w:jc w:val="center"/>
    </w:pPr>
    <w:rPr>
      <w:b/>
    </w:rPr>
  </w:style>
  <w:style w:type="paragraph" w:customStyle="1" w:styleId="62">
    <w:name w:val="正文缩进1"/>
    <w:basedOn w:val="63"/>
    <w:next w:val="1"/>
    <w:qFormat/>
    <w:uiPriority w:val="0"/>
    <w:pPr>
      <w:ind w:firstLine="420"/>
      <w:jc w:val="left"/>
    </w:pPr>
    <w:rPr>
      <w:kern w:val="0"/>
    </w:rPr>
  </w:style>
  <w:style w:type="paragraph" w:customStyle="1" w:styleId="63">
    <w:name w:val="正文 New"/>
    <w:next w:val="64"/>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Normal Indent1"/>
    <w:basedOn w:val="1"/>
    <w:next w:val="1"/>
    <w:qFormat/>
    <w:uiPriority w:val="0"/>
    <w:pPr>
      <w:ind w:firstLine="420"/>
      <w:jc w:val="left"/>
    </w:pPr>
    <w:rPr>
      <w:kern w:val="0"/>
    </w:rPr>
  </w:style>
  <w:style w:type="paragraph" w:customStyle="1" w:styleId="66">
    <w:name w:val="页脚2"/>
    <w:basedOn w:val="1"/>
    <w:link w:val="209"/>
    <w:qFormat/>
    <w:uiPriority w:val="0"/>
    <w:pPr>
      <w:pBdr>
        <w:top w:val="single" w:color="auto" w:sz="6" w:space="0"/>
      </w:pBdr>
      <w:jc w:val="right"/>
      <w:textAlignment w:val="center"/>
    </w:pPr>
    <w:rPr>
      <w:rFonts w:ascii="宋体" w:hAnsi="宋体"/>
      <w:sz w:val="18"/>
      <w:szCs w:val="18"/>
    </w:rPr>
  </w:style>
  <w:style w:type="paragraph" w:customStyle="1" w:styleId="67">
    <w:name w:val="Char Char Char"/>
    <w:basedOn w:val="1"/>
    <w:link w:val="211"/>
    <w:qFormat/>
    <w:uiPriority w:val="0"/>
    <w:rPr>
      <w:rFonts w:ascii="Tahoma" w:hAnsi="Tahoma"/>
      <w:sz w:val="24"/>
    </w:rPr>
  </w:style>
  <w:style w:type="paragraph" w:customStyle="1" w:styleId="68">
    <w:name w:val="Char Char Char New"/>
    <w:basedOn w:val="1"/>
    <w:link w:val="218"/>
    <w:qFormat/>
    <w:uiPriority w:val="0"/>
    <w:rPr>
      <w:rFonts w:ascii="等线" w:hAnsi="等线" w:cs="等线"/>
      <w:sz w:val="24"/>
      <w:szCs w:val="24"/>
    </w:rPr>
  </w:style>
  <w:style w:type="paragraph" w:customStyle="1" w:styleId="69">
    <w:name w:val="Char Char Char New New New"/>
    <w:basedOn w:val="1"/>
    <w:link w:val="222"/>
    <w:qFormat/>
    <w:uiPriority w:val="0"/>
    <w:rPr>
      <w:rFonts w:ascii="等线" w:hAnsi="等线" w:cs="等线"/>
      <w:sz w:val="24"/>
      <w:szCs w:val="24"/>
    </w:rPr>
  </w:style>
  <w:style w:type="paragraph" w:customStyle="1" w:styleId="70">
    <w:name w:val="Char Char Char New New"/>
    <w:basedOn w:val="1"/>
    <w:link w:val="223"/>
    <w:qFormat/>
    <w:uiPriority w:val="0"/>
    <w:rPr>
      <w:rFonts w:ascii="等线" w:hAnsi="等线" w:cs="等线"/>
      <w:sz w:val="24"/>
      <w:szCs w:val="24"/>
    </w:rPr>
  </w:style>
  <w:style w:type="paragraph" w:customStyle="1" w:styleId="71">
    <w:name w:val="本文正文 Char1 Char Char Char Char Char Char Char Char Char Char Char Char Char Char Char Char Char Char Char Char Char Char Char Char"/>
    <w:basedOn w:val="1"/>
    <w:link w:val="224"/>
    <w:qFormat/>
    <w:uiPriority w:val="0"/>
    <w:pPr>
      <w:spacing w:beforeAutospacing="0" w:afterAutospacing="0" w:line="480" w:lineRule="exact"/>
      <w:ind w:firstLine="200" w:firstLineChars="200"/>
      <w:jc w:val="left"/>
    </w:pPr>
    <w:rPr>
      <w:rFonts w:ascii="宋体" w:hAnsi="宋体"/>
      <w:kern w:val="0"/>
      <w:sz w:val="24"/>
    </w:rPr>
  </w:style>
  <w:style w:type="paragraph" w:customStyle="1" w:styleId="72">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b/>
      <w:kern w:val="0"/>
      <w:sz w:val="18"/>
    </w:rPr>
  </w:style>
  <w:style w:type="paragraph" w:customStyle="1" w:styleId="73">
    <w:name w:val="xl22"/>
    <w:basedOn w:val="1"/>
    <w:qFormat/>
    <w:uiPriority w:val="0"/>
    <w:pP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74">
    <w:name w:val="表"/>
    <w:basedOn w:val="1"/>
    <w:qFormat/>
    <w:uiPriority w:val="0"/>
    <w:pPr>
      <w:jc w:val="center"/>
    </w:pPr>
    <w:rPr>
      <w:rFonts w:ascii="宋体" w:hAnsi="宋体"/>
    </w:rPr>
  </w:style>
  <w:style w:type="paragraph" w:customStyle="1" w:styleId="75">
    <w:name w:val="xl24"/>
    <w:basedOn w:val="1"/>
    <w:qFormat/>
    <w:uiPriority w:val="0"/>
    <w:pPr>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76">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77">
    <w:name w:val="text"/>
    <w:basedOn w:val="1"/>
    <w:qFormat/>
    <w:uiPriority w:val="0"/>
    <w:pPr>
      <w:spacing w:before="100" w:beforeAutospacing="1" w:after="100" w:afterAutospacing="1" w:line="347" w:lineRule="atLeast"/>
      <w:jc w:val="left"/>
    </w:pPr>
    <w:rPr>
      <w:rFonts w:ascii="Arial Unicode MS" w:hAnsi="Arial Unicode MS" w:eastAsia="Arial Unicode MS" w:cs="Arial Unicode MS"/>
      <w:color w:val="000000"/>
      <w:kern w:val="0"/>
      <w:szCs w:val="21"/>
    </w:rPr>
  </w:style>
  <w:style w:type="paragraph" w:customStyle="1" w:styleId="78">
    <w:name w:val="正文3"/>
    <w:basedOn w:val="1"/>
    <w:qFormat/>
    <w:uiPriority w:val="0"/>
    <w:pPr>
      <w:spacing w:before="60" w:beforeAutospacing="0" w:after="60" w:afterAutospacing="0" w:line="360" w:lineRule="auto"/>
      <w:outlineLvl w:val="8"/>
    </w:pPr>
    <w:rPr>
      <w:sz w:val="24"/>
      <w:szCs w:val="21"/>
    </w:rPr>
  </w:style>
  <w:style w:type="paragraph" w:customStyle="1" w:styleId="79">
    <w:name w:val="tb-public-price1"/>
    <w:basedOn w:val="1"/>
    <w:qFormat/>
    <w:uiPriority w:val="0"/>
    <w:pPr>
      <w:pBdr>
        <w:top w:val="single" w:color="D7D7D7" w:sz="6" w:space="6"/>
        <w:left w:val="single" w:color="D7D7D7" w:sz="6" w:space="8"/>
        <w:bottom w:val="single" w:color="D7D7D7" w:sz="6" w:space="6"/>
        <w:right w:val="single" w:color="D7D7D7" w:sz="6" w:space="8"/>
      </w:pBdr>
      <w:shd w:val="clear" w:color="auto" w:fill="F9F9F9"/>
      <w:spacing w:before="100" w:beforeAutospacing="1" w:after="100" w:afterAutospacing="1"/>
      <w:jc w:val="left"/>
    </w:pPr>
    <w:rPr>
      <w:rFonts w:ascii="宋体" w:hAnsi="宋体" w:cs="宋体"/>
      <w:kern w:val="0"/>
      <w:sz w:val="24"/>
      <w:szCs w:val="24"/>
    </w:rPr>
  </w:style>
  <w:style w:type="paragraph" w:customStyle="1" w:styleId="80">
    <w:name w:val="列出段落11"/>
    <w:basedOn w:val="1"/>
    <w:qFormat/>
    <w:uiPriority w:val="0"/>
    <w:pPr>
      <w:ind w:firstLine="420" w:firstLineChars="200"/>
    </w:pPr>
  </w:style>
  <w:style w:type="paragraph" w:customStyle="1" w:styleId="81">
    <w:name w:val="font8"/>
    <w:basedOn w:val="1"/>
    <w:qFormat/>
    <w:uiPriority w:val="0"/>
    <w:pPr>
      <w:spacing w:before="100" w:beforeAutospacing="1" w:after="100" w:afterAutospacing="1"/>
      <w:jc w:val="left"/>
    </w:pPr>
    <w:rPr>
      <w:rFonts w:ascii="Arial" w:hAnsi="Arial"/>
      <w:kern w:val="0"/>
      <w:sz w:val="18"/>
    </w:rPr>
  </w:style>
  <w:style w:type="paragraph" w:customStyle="1" w:styleId="82">
    <w:name w:val="题注4"/>
    <w:basedOn w:val="1"/>
    <w:qFormat/>
    <w:uiPriority w:val="0"/>
    <w:pPr>
      <w:ind w:left="-132" w:leftChars="-64" w:right="-105" w:rightChars="-50" w:hanging="2"/>
      <w:jc w:val="center"/>
    </w:pPr>
    <w:rPr>
      <w:b/>
      <w:color w:val="FF0000"/>
      <w:szCs w:val="21"/>
    </w:rPr>
  </w:style>
  <w:style w:type="paragraph" w:customStyle="1" w:styleId="83">
    <w:name w:val="正文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4">
    <w:name w:val="font9"/>
    <w:basedOn w:val="1"/>
    <w:qFormat/>
    <w:uiPriority w:val="0"/>
    <w:pPr>
      <w:spacing w:before="100" w:beforeAutospacing="1" w:after="100" w:afterAutospacing="1"/>
      <w:jc w:val="left"/>
    </w:pPr>
    <w:rPr>
      <w:rFonts w:ascii="Arial" w:hAnsi="Arial"/>
      <w:kern w:val="0"/>
      <w:sz w:val="18"/>
    </w:rPr>
  </w:style>
  <w:style w:type="paragraph" w:customStyle="1" w:styleId="85">
    <w:name w:val="正文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6">
    <w:name w:val="列出段落3"/>
    <w:basedOn w:val="1"/>
    <w:qFormat/>
    <w:uiPriority w:val="0"/>
    <w:pPr>
      <w:ind w:firstLine="420" w:firstLineChars="200"/>
      <w:jc w:val="left"/>
    </w:pPr>
    <w:rPr>
      <w:rFonts w:ascii="Calibri" w:hAnsi="Calibri"/>
      <w:kern w:val="0"/>
      <w:szCs w:val="22"/>
    </w:rPr>
  </w:style>
  <w:style w:type="paragraph" w:customStyle="1" w:styleId="87">
    <w:name w:val="正文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8">
    <w:name w:val="List Paragraph"/>
    <w:basedOn w:val="1"/>
    <w:qFormat/>
    <w:uiPriority w:val="0"/>
    <w:pPr>
      <w:ind w:firstLine="420" w:firstLineChars="200"/>
    </w:pPr>
  </w:style>
  <w:style w:type="paragraph" w:customStyle="1" w:styleId="89">
    <w:name w:val="Char Char Char Char Char Char1 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90">
    <w:name w:val="正文2"/>
    <w:basedOn w:val="1"/>
    <w:qFormat/>
    <w:uiPriority w:val="0"/>
    <w:pPr>
      <w:spacing w:before="60" w:beforeAutospacing="0" w:after="60" w:afterAutospacing="0" w:line="360" w:lineRule="auto"/>
      <w:outlineLvl w:val="7"/>
    </w:pPr>
    <w:rPr>
      <w:sz w:val="24"/>
      <w:szCs w:val="24"/>
    </w:rPr>
  </w:style>
  <w:style w:type="paragraph" w:customStyle="1" w:styleId="91">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2">
    <w:name w:val="Char Char Char1"/>
    <w:basedOn w:val="1"/>
    <w:qFormat/>
    <w:uiPriority w:val="0"/>
    <w:rPr>
      <w:rFonts w:ascii="宋体" w:hAnsi="宋体"/>
      <w:b/>
      <w:sz w:val="28"/>
      <w:szCs w:val="28"/>
    </w:rPr>
  </w:style>
  <w:style w:type="paragraph" w:customStyle="1" w:styleId="93">
    <w:name w:val="第二级"/>
    <w:qFormat/>
    <w:uiPriority w:val="0"/>
    <w:pPr>
      <w:widowControl w:val="0"/>
      <w:spacing w:before="260" w:beforeAutospacing="0" w:after="260" w:afterAutospacing="0" w:line="416" w:lineRule="auto"/>
      <w:jc w:val="both"/>
      <w:outlineLvl w:val="1"/>
    </w:pPr>
    <w:rPr>
      <w:rFonts w:ascii="Cambria" w:hAnsi="Cambria" w:eastAsia="Cambria" w:cs="Cambria"/>
      <w:b/>
      <w:bCs/>
      <w:color w:val="000000"/>
      <w:kern w:val="2"/>
      <w:sz w:val="32"/>
      <w:szCs w:val="32"/>
      <w:lang w:val="en-US" w:eastAsia="zh-CN" w:bidi="ar-SA"/>
    </w:rPr>
  </w:style>
  <w:style w:type="paragraph" w:customStyle="1" w:styleId="94">
    <w:name w:val="投标文件3"/>
    <w:basedOn w:val="1"/>
    <w:qFormat/>
    <w:uiPriority w:val="0"/>
    <w:pPr>
      <w:spacing w:beforeAutospacing="0" w:afterAutospacing="0" w:line="360" w:lineRule="auto"/>
    </w:pPr>
    <w:rPr>
      <w:rFonts w:ascii="宋体" w:hAnsi="Courier New" w:eastAsia="黑体"/>
      <w:b/>
      <w:sz w:val="30"/>
    </w:rPr>
  </w:style>
  <w:style w:type="paragraph" w:customStyle="1" w:styleId="95">
    <w:name w:val="List Paragraph1"/>
    <w:basedOn w:val="1"/>
    <w:qFormat/>
    <w:uiPriority w:val="0"/>
    <w:pPr>
      <w:ind w:firstLine="420" w:firstLineChars="200"/>
    </w:pPr>
  </w:style>
  <w:style w:type="paragraph" w:customStyle="1" w:styleId="96">
    <w:name w:val="Char1 Char Char Char"/>
    <w:basedOn w:val="1"/>
    <w:qFormat/>
    <w:uiPriority w:val="0"/>
    <w:pPr>
      <w:ind w:left="420" w:hanging="420"/>
    </w:pPr>
    <w:rPr>
      <w:sz w:val="24"/>
      <w:szCs w:val="24"/>
    </w:rPr>
  </w:style>
  <w:style w:type="paragraph" w:customStyle="1" w:styleId="9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8">
    <w:name w:val="Char Char Char Char Char Char Char Char Char Char Char Char Char Char Char Char Char"/>
    <w:basedOn w:val="1"/>
    <w:qFormat/>
    <w:uiPriority w:val="0"/>
    <w:pPr>
      <w:spacing w:beforeAutospacing="0" w:after="160" w:afterAutospacing="0" w:line="240" w:lineRule="exact"/>
      <w:jc w:val="left"/>
    </w:pPr>
    <w:rPr>
      <w:rFonts w:ascii="Verdana" w:hAnsi="Verdana" w:eastAsia="仿宋_GB2312"/>
      <w:kern w:val="0"/>
      <w:sz w:val="24"/>
      <w:lang w:eastAsia="en-US"/>
    </w:rPr>
  </w:style>
  <w:style w:type="paragraph" w:customStyle="1" w:styleId="99">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正文缩进_0"/>
    <w:basedOn w:val="101"/>
    <w:qFormat/>
    <w:uiPriority w:val="0"/>
    <w:pPr>
      <w:ind w:firstLine="420"/>
    </w:pPr>
    <w:rPr>
      <w:rFonts w:ascii="Times New Roman" w:hAnsi="Times New Roman"/>
      <w:kern w:val="0"/>
      <w:sz w:val="20"/>
      <w:szCs w:val="20"/>
    </w:rPr>
  </w:style>
  <w:style w:type="paragraph" w:customStyle="1" w:styleId="10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p0"/>
    <w:basedOn w:val="1"/>
    <w:qFormat/>
    <w:uiPriority w:val="0"/>
    <w:rPr>
      <w:kern w:val="0"/>
      <w:szCs w:val="21"/>
    </w:rPr>
  </w:style>
  <w:style w:type="paragraph" w:customStyle="1" w:styleId="103">
    <w:name w:val="列出段落2"/>
    <w:basedOn w:val="1"/>
    <w:qFormat/>
    <w:uiPriority w:val="0"/>
    <w:pPr>
      <w:ind w:firstLine="420" w:firstLineChars="200"/>
    </w:pPr>
    <w:rPr>
      <w:rFonts w:ascii="Calibri" w:hAnsi="Calibri"/>
      <w:szCs w:val="22"/>
    </w:rPr>
  </w:style>
  <w:style w:type="paragraph" w:customStyle="1" w:styleId="104">
    <w:name w:val="元正正文标题2"/>
    <w:basedOn w:val="5"/>
    <w:qFormat/>
    <w:uiPriority w:val="0"/>
    <w:pPr>
      <w:tabs>
        <w:tab w:val="left" w:pos="1116"/>
        <w:tab w:val="left" w:pos="2159"/>
      </w:tabs>
      <w:adjustRightInd w:val="0"/>
      <w:snapToGrid w:val="0"/>
      <w:spacing w:before="0" w:beforeAutospacing="0" w:after="0" w:afterAutospacing="0" w:line="300" w:lineRule="auto"/>
      <w:jc w:val="center"/>
      <w:outlineLvl w:val="9"/>
    </w:pPr>
    <w:rPr>
      <w:rFonts w:cs="宋体"/>
      <w:bCs/>
      <w:sz w:val="30"/>
      <w:szCs w:val="30"/>
    </w:rPr>
  </w:style>
  <w:style w:type="paragraph" w:customStyle="1" w:styleId="105">
    <w:name w:val="xl38"/>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6">
    <w:name w:val="Char11"/>
    <w:basedOn w:val="1"/>
    <w:qFormat/>
    <w:uiPriority w:val="0"/>
    <w:pPr>
      <w:spacing w:beforeAutospacing="0" w:after="160" w:afterAutospacing="0" w:line="240" w:lineRule="exact"/>
      <w:jc w:val="left"/>
    </w:pPr>
  </w:style>
  <w:style w:type="paragraph" w:customStyle="1" w:styleId="107">
    <w:name w:val="索引 11"/>
    <w:basedOn w:val="1"/>
    <w:qFormat/>
    <w:uiPriority w:val="0"/>
    <w:rPr>
      <w:rFonts w:ascii="宋体" w:hAnsi="宋体"/>
      <w:sz w:val="24"/>
      <w:szCs w:val="24"/>
    </w:rPr>
  </w:style>
  <w:style w:type="paragraph" w:customStyle="1" w:styleId="108">
    <w:name w:val="Char Char Char Char Char Char Char Char Char Char"/>
    <w:basedOn w:val="1"/>
    <w:qFormat/>
    <w:uiPriority w:val="0"/>
    <w:rPr>
      <w:rFonts w:ascii="Tahoma" w:hAnsi="Tahoma"/>
      <w:sz w:val="24"/>
    </w:rPr>
  </w:style>
  <w:style w:type="paragraph" w:customStyle="1" w:styleId="109">
    <w:name w:val="正文缩进111"/>
    <w:basedOn w:val="1"/>
    <w:qFormat/>
    <w:uiPriority w:val="0"/>
    <w:pPr>
      <w:ind w:firstLine="420"/>
      <w:jc w:val="left"/>
    </w:pPr>
    <w:rPr>
      <w:kern w:val="0"/>
    </w:rPr>
  </w:style>
  <w:style w:type="paragraph" w:customStyle="1" w:styleId="110">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1">
    <w:name w:val="默认段落字体 Para Char Char Char Char1 Char Char Char"/>
    <w:basedOn w:val="1"/>
    <w:qFormat/>
    <w:uiPriority w:val="0"/>
    <w:rPr>
      <w:szCs w:val="24"/>
    </w:rPr>
  </w:style>
  <w:style w:type="paragraph" w:customStyle="1" w:styleId="112">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113">
    <w:name w:val="章标题"/>
    <w:qFormat/>
    <w:uiPriority w:val="0"/>
    <w:pPr>
      <w:spacing w:before="50" w:beforeAutospacing="0" w:after="50" w:afterAutospacing="0" w:line="360" w:lineRule="auto"/>
      <w:jc w:val="both"/>
      <w:outlineLvl w:val="1"/>
    </w:pPr>
    <w:rPr>
      <w:rFonts w:ascii="黑体" w:hAnsi="Times New Roman" w:eastAsia="黑体" w:cs="Times New Roman"/>
      <w:sz w:val="21"/>
      <w:lang w:val="en-US" w:eastAsia="zh-CN" w:bidi="ar-SA"/>
    </w:rPr>
  </w:style>
  <w:style w:type="paragraph" w:customStyle="1" w:styleId="114">
    <w:name w:val="图"/>
    <w:basedOn w:val="1"/>
    <w:qFormat/>
    <w:uiPriority w:val="0"/>
    <w:pPr>
      <w:adjustRightInd w:val="0"/>
      <w:spacing w:before="60" w:beforeAutospacing="0" w:after="60" w:afterAutospacing="0" w:line="300" w:lineRule="auto"/>
      <w:jc w:val="center"/>
      <w:textAlignment w:val="center"/>
    </w:pPr>
    <w:rPr>
      <w:snapToGrid w:val="0"/>
      <w:spacing w:val="20"/>
      <w:kern w:val="0"/>
      <w:sz w:val="24"/>
    </w:rPr>
  </w:style>
  <w:style w:type="paragraph" w:customStyle="1" w:styleId="115">
    <w:name w:val="font5"/>
    <w:basedOn w:val="1"/>
    <w:qFormat/>
    <w:uiPriority w:val="0"/>
    <w:pPr>
      <w:spacing w:before="100" w:beforeAutospacing="1" w:after="100" w:afterAutospacing="1"/>
      <w:jc w:val="left"/>
    </w:pPr>
    <w:rPr>
      <w:rFonts w:ascii="宋体" w:hAnsi="宋体"/>
      <w:kern w:val="0"/>
      <w:sz w:val="18"/>
    </w:rPr>
  </w:style>
  <w:style w:type="paragraph" w:customStyle="1" w:styleId="116">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2"/>
    </w:rPr>
  </w:style>
  <w:style w:type="paragraph" w:customStyle="1" w:styleId="117">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8">
    <w:name w:val="普通(网站)1"/>
    <w:basedOn w:val="1"/>
    <w:qFormat/>
    <w:uiPriority w:val="0"/>
    <w:pPr>
      <w:jc w:val="left"/>
    </w:pPr>
    <w:rPr>
      <w:rFonts w:ascii="Calibri" w:hAnsi="Calibri" w:cs="Calibri"/>
      <w:kern w:val="0"/>
      <w:sz w:val="24"/>
      <w:szCs w:val="24"/>
    </w:rPr>
  </w:style>
  <w:style w:type="paragraph" w:customStyle="1" w:styleId="119">
    <w:name w:val="索引标题1"/>
    <w:basedOn w:val="1"/>
    <w:qFormat/>
    <w:uiPriority w:val="0"/>
  </w:style>
  <w:style w:type="paragraph" w:customStyle="1" w:styleId="120">
    <w:name w:val="修订1"/>
    <w:qFormat/>
    <w:uiPriority w:val="0"/>
    <w:rPr>
      <w:rFonts w:ascii="Times New Roman" w:hAnsi="Times New Roman" w:eastAsia="宋体" w:cs="Times New Roman"/>
      <w:kern w:val="2"/>
      <w:sz w:val="21"/>
      <w:lang w:val="en-US" w:eastAsia="zh-CN" w:bidi="ar-SA"/>
    </w:rPr>
  </w:style>
  <w:style w:type="paragraph" w:customStyle="1" w:styleId="121">
    <w:name w:val="纯文本1"/>
    <w:basedOn w:val="1"/>
    <w:qFormat/>
    <w:uiPriority w:val="0"/>
    <w:rPr>
      <w:rFonts w:ascii="宋体" w:hAnsi="Courier New" w:cs="宋体"/>
      <w:szCs w:val="21"/>
    </w:rPr>
  </w:style>
  <w:style w:type="paragraph" w:customStyle="1" w:styleId="122">
    <w:name w:val="HZY01级标题"/>
    <w:qFormat/>
    <w:uiPriority w:val="0"/>
    <w:pPr>
      <w:numPr>
        <w:ilvl w:val="0"/>
        <w:numId w:val="2"/>
      </w:numPr>
      <w:spacing w:before="200" w:beforeAutospacing="0" w:after="60" w:afterAutospacing="0" w:line="360" w:lineRule="auto"/>
      <w:outlineLvl w:val="0"/>
    </w:pPr>
    <w:rPr>
      <w:rFonts w:ascii="Times New Roman" w:hAnsi="Times New Roman" w:eastAsia="宋体" w:cs="Times New Roman"/>
      <w:b/>
      <w:sz w:val="32"/>
      <w:szCs w:val="21"/>
      <w:lang w:val="en-US" w:eastAsia="en-US" w:bidi="en-US"/>
    </w:rPr>
  </w:style>
  <w:style w:type="paragraph" w:customStyle="1" w:styleId="123">
    <w:name w:val="HZY正文"/>
    <w:qFormat/>
    <w:uiPriority w:val="0"/>
    <w:pPr>
      <w:widowControl w:val="0"/>
      <w:spacing w:beforeAutospacing="0" w:after="200" w:afterAutospacing="0" w:line="360" w:lineRule="auto"/>
      <w:ind w:firstLine="200" w:firstLineChars="200"/>
    </w:pPr>
    <w:rPr>
      <w:rFonts w:ascii="Times New Roman" w:hAnsi="Times New Roman" w:eastAsia="宋体" w:cs="Times New Roman"/>
      <w:sz w:val="24"/>
      <w:szCs w:val="21"/>
      <w:lang w:val="en-US" w:eastAsia="en-US" w:bidi="en-US"/>
    </w:rPr>
  </w:style>
  <w:style w:type="paragraph" w:customStyle="1" w:styleId="124">
    <w:name w:val="D文1"/>
    <w:basedOn w:val="1"/>
    <w:qFormat/>
    <w:uiPriority w:val="0"/>
    <w:pPr>
      <w:tabs>
        <w:tab w:val="left" w:pos="720"/>
      </w:tabs>
      <w:autoSpaceDE w:val="0"/>
      <w:autoSpaceDN w:val="0"/>
      <w:adjustRightInd w:val="0"/>
      <w:spacing w:beforeAutospacing="0" w:after="120" w:afterAutospacing="0" w:line="480" w:lineRule="atLeast"/>
      <w:ind w:left="680" w:firstLine="510"/>
    </w:pPr>
    <w:rPr>
      <w:rFonts w:ascii="宋体"/>
      <w:kern w:val="0"/>
      <w:sz w:val="24"/>
    </w:rPr>
  </w:style>
  <w:style w:type="paragraph" w:customStyle="1" w:styleId="125">
    <w:name w:val="font7"/>
    <w:basedOn w:val="1"/>
    <w:qFormat/>
    <w:uiPriority w:val="0"/>
    <w:pPr>
      <w:spacing w:before="100" w:beforeAutospacing="1" w:after="100" w:afterAutospacing="1"/>
      <w:jc w:val="left"/>
    </w:pPr>
    <w:rPr>
      <w:rFonts w:ascii="Arial" w:hAnsi="Arial"/>
      <w:b/>
      <w:kern w:val="0"/>
      <w:sz w:val="22"/>
    </w:rPr>
  </w:style>
  <w:style w:type="paragraph" w:customStyle="1" w:styleId="126">
    <w:name w:val="列表段落1"/>
    <w:basedOn w:val="1"/>
    <w:qFormat/>
    <w:uiPriority w:val="34"/>
    <w:pPr>
      <w:ind w:firstLine="420" w:firstLineChars="200"/>
    </w:pPr>
  </w:style>
  <w:style w:type="paragraph" w:customStyle="1" w:styleId="127">
    <w:name w:val="正文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28">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9">
    <w:name w:val="attention naked"/>
    <w:basedOn w:val="1"/>
    <w:qFormat/>
    <w:uiPriority w:val="0"/>
    <w:pPr>
      <w:spacing w:before="100" w:beforeAutospacing="1" w:after="100" w:afterAutospacing="1"/>
      <w:jc w:val="left"/>
    </w:pPr>
    <w:rPr>
      <w:rFonts w:ascii="宋体" w:hAnsi="宋体" w:cs="宋体"/>
      <w:kern w:val="0"/>
      <w:sz w:val="24"/>
      <w:szCs w:val="24"/>
    </w:rPr>
  </w:style>
  <w:style w:type="paragraph" w:customStyle="1" w:styleId="130">
    <w:name w:val="Char1"/>
    <w:basedOn w:val="1"/>
    <w:qFormat/>
    <w:uiPriority w:val="0"/>
    <w:pPr>
      <w:spacing w:beforeAutospacing="0" w:after="160" w:afterAutospacing="0" w:line="240" w:lineRule="exact"/>
      <w:jc w:val="left"/>
    </w:pPr>
    <w:rPr>
      <w:rFonts w:ascii="Verdana" w:hAnsi="Verdana"/>
      <w:kern w:val="0"/>
      <w:lang w:eastAsia="en-US"/>
    </w:rPr>
  </w:style>
  <w:style w:type="paragraph" w:customStyle="1" w:styleId="131">
    <w:name w:val="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13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18"/>
    </w:rPr>
  </w:style>
  <w:style w:type="paragraph" w:customStyle="1" w:styleId="133">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4">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正文 New New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13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font6"/>
    <w:basedOn w:val="1"/>
    <w:qFormat/>
    <w:uiPriority w:val="0"/>
    <w:pPr>
      <w:spacing w:before="100" w:beforeAutospacing="1" w:after="100" w:afterAutospacing="1"/>
      <w:jc w:val="left"/>
    </w:pPr>
    <w:rPr>
      <w:rFonts w:ascii="宋体" w:hAnsi="宋体"/>
      <w:b/>
      <w:kern w:val="0"/>
      <w:sz w:val="22"/>
    </w:rPr>
  </w:style>
  <w:style w:type="paragraph" w:customStyle="1" w:styleId="138">
    <w:name w:val="正文缩进2"/>
    <w:basedOn w:val="1"/>
    <w:qFormat/>
    <w:uiPriority w:val="0"/>
    <w:pPr>
      <w:spacing w:beforeAutospacing="0" w:afterAutospacing="0" w:line="360" w:lineRule="auto"/>
      <w:ind w:firstLine="420"/>
      <w:jc w:val="left"/>
    </w:pPr>
    <w:rPr>
      <w:spacing w:val="-2"/>
      <w:szCs w:val="24"/>
    </w:rPr>
  </w:style>
  <w:style w:type="paragraph" w:customStyle="1" w:styleId="139">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0">
    <w:name w:val="列出段落1"/>
    <w:basedOn w:val="1"/>
    <w:qFormat/>
    <w:uiPriority w:val="0"/>
    <w:pPr>
      <w:autoSpaceDE w:val="0"/>
      <w:autoSpaceDN w:val="0"/>
      <w:adjustRightInd w:val="0"/>
      <w:ind w:firstLine="420" w:firstLineChars="200"/>
    </w:pPr>
    <w:rPr>
      <w:kern w:val="0"/>
      <w:sz w:val="20"/>
    </w:rPr>
  </w:style>
  <w:style w:type="paragraph" w:customStyle="1" w:styleId="141">
    <w:name w:val="列出段落4"/>
    <w:basedOn w:val="1"/>
    <w:qFormat/>
    <w:uiPriority w:val="0"/>
    <w:pPr>
      <w:ind w:firstLine="420" w:firstLineChars="200"/>
    </w:pPr>
  </w:style>
  <w:style w:type="paragraph" w:customStyle="1" w:styleId="142">
    <w:name w:val="正文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43">
    <w:name w:val="xl29"/>
    <w:basedOn w:val="1"/>
    <w:qFormat/>
    <w:uiPriority w:val="0"/>
    <w:pPr>
      <w:spacing w:before="100" w:beforeAutospacing="0" w:after="100" w:afterAutospacing="0"/>
      <w:jc w:val="center"/>
    </w:pPr>
    <w:rPr>
      <w:rFonts w:ascii="宋体" w:hAnsi="宋体"/>
      <w:kern w:val="0"/>
      <w:sz w:val="28"/>
    </w:rPr>
  </w:style>
  <w:style w:type="paragraph" w:customStyle="1" w:styleId="144">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5">
    <w:name w:val="Char Char2 Char"/>
    <w:basedOn w:val="1"/>
    <w:qFormat/>
    <w:uiPriority w:val="0"/>
    <w:rPr>
      <w:rFonts w:ascii="宋体" w:hAnsi="宋体"/>
      <w:b/>
      <w:sz w:val="28"/>
      <w:szCs w:val="28"/>
    </w:rPr>
  </w:style>
  <w:style w:type="paragraph" w:customStyle="1" w:styleId="146">
    <w:name w:val="样式 标题 3H3l3CTh33rd levelLevel 3 HeadHeading 3 - oldISO2..."/>
    <w:basedOn w:val="4"/>
    <w:qFormat/>
    <w:uiPriority w:val="0"/>
    <w:pPr>
      <w:adjustRightInd/>
      <w:spacing w:before="0" w:beforeAutospacing="0" w:after="0" w:afterAutospacing="0"/>
      <w:ind w:left="737" w:hanging="539"/>
      <w:textAlignment w:val="auto"/>
    </w:pPr>
    <w:rPr>
      <w:sz w:val="24"/>
    </w:rPr>
  </w:style>
  <w:style w:type="paragraph" w:customStyle="1" w:styleId="147">
    <w:name w:val="Char1 Char Char Char Char Char Char Char Char Char"/>
    <w:basedOn w:val="1"/>
    <w:qFormat/>
    <w:uiPriority w:val="0"/>
    <w:pPr>
      <w:spacing w:beforeAutospacing="0" w:afterAutospacing="0" w:line="400" w:lineRule="exact"/>
      <w:jc w:val="center"/>
    </w:pPr>
    <w:rPr>
      <w:rFonts w:ascii="Verdana" w:hAnsi="Verdana" w:cs="Verdana"/>
      <w:kern w:val="0"/>
      <w:szCs w:val="21"/>
      <w:lang w:eastAsia="en-US"/>
    </w:rPr>
  </w:style>
  <w:style w:type="paragraph" w:customStyle="1" w:styleId="148">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customStyle="1" w:styleId="14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样式 样式 标题 2H2PIM2Heading 2 Hidden2nd levelh22Header 2l2Titr... + ..."/>
    <w:basedOn w:val="1"/>
    <w:qFormat/>
    <w:uiPriority w:val="0"/>
    <w:pPr>
      <w:spacing w:beforeLines="50" w:beforeAutospacing="0" w:afterAutospacing="0" w:line="360" w:lineRule="auto"/>
      <w:ind w:left="180"/>
      <w:outlineLvl w:val="1"/>
    </w:pPr>
    <w:rPr>
      <w:rFonts w:ascii="宋体" w:hAnsi="宋体"/>
      <w:b/>
      <w:sz w:val="28"/>
    </w:rPr>
  </w:style>
  <w:style w:type="paragraph" w:customStyle="1" w:styleId="151">
    <w:name w:val="正文缩进11"/>
    <w:basedOn w:val="1"/>
    <w:qFormat/>
    <w:uiPriority w:val="0"/>
    <w:pPr>
      <w:ind w:firstLine="420"/>
    </w:pPr>
    <w:rPr>
      <w:rFonts w:ascii="Calibri" w:hAnsi="Calibri" w:cs="Calibri"/>
      <w:szCs w:val="21"/>
    </w:rPr>
  </w:style>
  <w:style w:type="paragraph" w:customStyle="1" w:styleId="152">
    <w:name w:val="正文1"/>
    <w:basedOn w:val="1"/>
    <w:qFormat/>
    <w:uiPriority w:val="0"/>
    <w:pPr>
      <w:spacing w:before="60" w:beforeAutospacing="0" w:after="60" w:afterAutospacing="0" w:line="360" w:lineRule="auto"/>
      <w:outlineLvl w:val="6"/>
    </w:pPr>
    <w:rPr>
      <w:sz w:val="24"/>
      <w:szCs w:val="24"/>
    </w:rPr>
  </w:style>
  <w:style w:type="paragraph" w:customStyle="1" w:styleId="153">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4">
    <w:name w:val="Table Text"/>
    <w:basedOn w:val="1"/>
    <w:qFormat/>
    <w:uiPriority w:val="0"/>
    <w:rPr>
      <w:sz w:val="18"/>
    </w:rPr>
  </w:style>
  <w:style w:type="paragraph" w:customStyle="1" w:styleId="155">
    <w:name w:val="题注5"/>
    <w:basedOn w:val="1"/>
    <w:qFormat/>
    <w:uiPriority w:val="0"/>
    <w:pPr>
      <w:jc w:val="center"/>
    </w:pPr>
    <w:rPr>
      <w:b/>
      <w:color w:val="000000"/>
      <w:sz w:val="24"/>
      <w:szCs w:val="21"/>
    </w:rPr>
  </w:style>
  <w:style w:type="paragraph" w:customStyle="1" w:styleId="156">
    <w:name w:val="正文 首行缩进"/>
    <w:basedOn w:val="1"/>
    <w:qFormat/>
    <w:uiPriority w:val="0"/>
    <w:pPr>
      <w:adjustRightInd w:val="0"/>
      <w:ind w:firstLine="437"/>
      <w:jc w:val="left"/>
    </w:pPr>
    <w:rPr>
      <w:rFonts w:hint="eastAsia" w:ascii="宋体" w:hAnsi="宋体"/>
      <w:kern w:val="0"/>
      <w:szCs w:val="21"/>
    </w:rPr>
  </w:style>
  <w:style w:type="paragraph" w:customStyle="1" w:styleId="157">
    <w:name w:val="Char Char1"/>
    <w:basedOn w:val="1"/>
    <w:qFormat/>
    <w:uiPriority w:val="0"/>
    <w:pPr>
      <w:spacing w:beforeAutospacing="0" w:after="160" w:afterAutospacing="0" w:line="240" w:lineRule="exact"/>
      <w:jc w:val="left"/>
    </w:pPr>
    <w:rPr>
      <w:rFonts w:ascii="Verdana" w:hAnsi="Verdana" w:eastAsia="楷体_GB2312"/>
      <w:b/>
      <w:i/>
      <w:iCs/>
      <w:color w:val="000000"/>
      <w:kern w:val="0"/>
      <w:sz w:val="20"/>
      <w:lang w:eastAsia="en-US"/>
    </w:rPr>
  </w:style>
  <w:style w:type="paragraph" w:customStyle="1" w:styleId="158">
    <w:name w:val="正文文本 21"/>
    <w:basedOn w:val="1"/>
    <w:qFormat/>
    <w:uiPriority w:val="0"/>
    <w:pPr>
      <w:autoSpaceDE w:val="0"/>
      <w:autoSpaceDN w:val="0"/>
      <w:adjustRightInd w:val="0"/>
      <w:jc w:val="center"/>
    </w:pPr>
    <w:rPr>
      <w:rFonts w:ascii="宋体" w:hAnsi="Calibri" w:cs="宋体"/>
      <w:szCs w:val="21"/>
      <w:lang w:val="zh-CN"/>
    </w:rPr>
  </w:style>
  <w:style w:type="paragraph" w:customStyle="1" w:styleId="159">
    <w:name w:val="wsf"/>
    <w:basedOn w:val="1"/>
    <w:qFormat/>
    <w:uiPriority w:val="0"/>
    <w:pPr>
      <w:outlineLvl w:val="0"/>
    </w:pPr>
    <w:rPr>
      <w:rFonts w:ascii="Calibri" w:hAnsi="Calibri"/>
      <w:b/>
      <w:sz w:val="24"/>
      <w:szCs w:val="22"/>
    </w:rPr>
  </w:style>
  <w:style w:type="paragraph" w:customStyle="1" w:styleId="160">
    <w:name w:val="表格文字"/>
    <w:basedOn w:val="1"/>
    <w:qFormat/>
    <w:uiPriority w:val="0"/>
    <w:pPr>
      <w:spacing w:before="25" w:beforeAutospacing="0" w:after="25" w:afterAutospacing="0"/>
      <w:jc w:val="left"/>
    </w:pPr>
    <w:rPr>
      <w:bCs/>
      <w:spacing w:val="10"/>
      <w:kern w:val="0"/>
      <w:sz w:val="24"/>
    </w:rPr>
  </w:style>
  <w:style w:type="paragraph" w:customStyle="1" w:styleId="161">
    <w:name w:val="正文_0_0"/>
    <w:qFormat/>
    <w:uiPriority w:val="0"/>
    <w:pPr>
      <w:widowControl w:val="0"/>
      <w:spacing w:beforeAutospacing="0" w:after="200" w:afterAutospacing="0" w:line="276" w:lineRule="auto"/>
      <w:jc w:val="both"/>
    </w:pPr>
    <w:rPr>
      <w:rFonts w:ascii="Calibri" w:hAnsi="Calibri" w:eastAsia="宋体" w:cs="Calibri"/>
      <w:kern w:val="2"/>
      <w:sz w:val="21"/>
      <w:szCs w:val="21"/>
      <w:lang w:val="en-US" w:eastAsia="zh-CN" w:bidi="ar-SA"/>
    </w:rPr>
  </w:style>
  <w:style w:type="paragraph" w:customStyle="1" w:styleId="162">
    <w:name w:val="Table Paragraph"/>
    <w:basedOn w:val="1"/>
    <w:qFormat/>
    <w:uiPriority w:val="0"/>
    <w:rPr>
      <w:rFonts w:cs="宋体"/>
    </w:rPr>
  </w:style>
  <w:style w:type="paragraph" w:customStyle="1" w:styleId="163">
    <w:name w:val="font10"/>
    <w:basedOn w:val="1"/>
    <w:qFormat/>
    <w:uiPriority w:val="0"/>
    <w:pPr>
      <w:spacing w:before="100" w:beforeAutospacing="1" w:after="100" w:afterAutospacing="1"/>
      <w:jc w:val="left"/>
    </w:pPr>
    <w:rPr>
      <w:rFonts w:ascii="宋体" w:hAnsi="宋体"/>
      <w:kern w:val="0"/>
      <w:sz w:val="18"/>
    </w:rPr>
  </w:style>
  <w:style w:type="paragraph" w:customStyle="1" w:styleId="164">
    <w:name w:val="表格"/>
    <w:basedOn w:val="1"/>
    <w:qFormat/>
    <w:uiPriority w:val="0"/>
    <w:pPr>
      <w:spacing w:beforeAutospacing="0" w:afterAutospacing="0" w:line="400" w:lineRule="exact"/>
    </w:pPr>
    <w:rPr>
      <w:sz w:val="24"/>
      <w:szCs w:val="24"/>
    </w:rPr>
  </w:style>
  <w:style w:type="paragraph" w:customStyle="1" w:styleId="165">
    <w:name w:val="WPSOffice手动目录 1"/>
    <w:qFormat/>
    <w:uiPriority w:val="0"/>
    <w:rPr>
      <w:rFonts w:ascii="Times New Roman" w:hAnsi="Times New Roman" w:eastAsia="宋体" w:cs="Times New Roman"/>
      <w:lang w:val="en-US" w:eastAsia="zh-CN" w:bidi="ar-SA"/>
    </w:rPr>
  </w:style>
  <w:style w:type="paragraph" w:customStyle="1" w:styleId="166">
    <w:name w:val="DocParagraph"/>
    <w:basedOn w:val="1"/>
    <w:qFormat/>
    <w:uiPriority w:val="1"/>
    <w:pPr>
      <w:spacing w:before="120" w:beforeAutospacing="0" w:afterAutospacing="0" w:line="288" w:lineRule="auto"/>
      <w:ind w:left="1247"/>
    </w:pPr>
    <w:rPr>
      <w:kern w:val="44"/>
      <w:szCs w:val="44"/>
    </w:rPr>
  </w:style>
  <w:style w:type="paragraph" w:customStyle="1" w:styleId="167">
    <w:name w:val="TableContent"/>
    <w:qFormat/>
    <w:uiPriority w:val="1"/>
    <w:pPr>
      <w:spacing w:before="40" w:beforeAutospacing="0" w:after="40" w:afterAutospacing="0"/>
      <w:jc w:val="both"/>
    </w:pPr>
    <w:rPr>
      <w:rFonts w:ascii="Arial" w:hAnsi="Arial" w:eastAsia="宋体" w:cs="Times New Roman"/>
      <w:kern w:val="44"/>
      <w:sz w:val="18"/>
      <w:szCs w:val="44"/>
      <w:lang w:val="en-US" w:eastAsia="zh-CN" w:bidi="ar-SA"/>
    </w:rPr>
  </w:style>
  <w:style w:type="paragraph" w:customStyle="1" w:styleId="168">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样式 行距: 1.5 倍行距 首行缩进:  2 字符"/>
    <w:basedOn w:val="1"/>
    <w:qFormat/>
    <w:uiPriority w:val="0"/>
    <w:pPr>
      <w:adjustRightInd w:val="0"/>
      <w:snapToGrid w:val="0"/>
      <w:spacing w:beforeAutospacing="0" w:afterAutospacing="0" w:line="460" w:lineRule="exact"/>
    </w:pPr>
    <w:rPr>
      <w:sz w:val="24"/>
    </w:rPr>
  </w:style>
  <w:style w:type="paragraph" w:customStyle="1" w:styleId="170">
    <w:name w:val="正文 New New New New New New New New New New New New New New New New New New New New New New New New New New New New New New New New New New New New New New New New New New New New New New New New New New New New New New New New New New New New New New Ne1"/>
    <w:qFormat/>
    <w:uiPriority w:val="0"/>
    <w:pPr>
      <w:widowControl w:val="0"/>
      <w:jc w:val="both"/>
    </w:pPr>
    <w:rPr>
      <w:rFonts w:ascii="宋体" w:hAnsi="宋体" w:eastAsia="宋体" w:cs="Times New Roman"/>
      <w:kern w:val="16"/>
      <w:sz w:val="21"/>
      <w:szCs w:val="24"/>
      <w:lang w:val="en-US" w:eastAsia="zh-CN" w:bidi="ar-SA"/>
    </w:rPr>
  </w:style>
  <w:style w:type="paragraph" w:customStyle="1" w:styleId="171">
    <w:name w:val="正文 New New New New New New New New New New New New New New New New New New New New New New New New New New New New New New New New New New New New New New New New New New New New New New New New New New New New New New New New New New New New New New Ne2"/>
    <w:qFormat/>
    <w:uiPriority w:val="0"/>
    <w:pPr>
      <w:widowControl w:val="0"/>
      <w:jc w:val="both"/>
    </w:pPr>
    <w:rPr>
      <w:rFonts w:ascii="宋体" w:hAnsi="宋体" w:eastAsia="宋体" w:cs="Times New Roman"/>
      <w:kern w:val="16"/>
      <w:sz w:val="21"/>
      <w:szCs w:val="24"/>
      <w:lang w:val="en-US" w:eastAsia="zh-CN" w:bidi="ar-SA"/>
    </w:rPr>
  </w:style>
  <w:style w:type="paragraph" w:customStyle="1" w:styleId="172">
    <w:name w:val="正文 New New New New New New New New New New New New New New New New New New New New New New New New New New New New New New New New New New New New New New New New New New New New New New New New New New New New New New New New New New New New New New Ne3"/>
    <w:qFormat/>
    <w:uiPriority w:val="0"/>
    <w:pPr>
      <w:widowControl w:val="0"/>
      <w:jc w:val="both"/>
    </w:pPr>
    <w:rPr>
      <w:rFonts w:ascii="宋体" w:hAnsi="宋体" w:eastAsia="宋体" w:cs="Times New Roman"/>
      <w:kern w:val="16"/>
      <w:sz w:val="21"/>
      <w:szCs w:val="24"/>
      <w:lang w:val="en-US" w:eastAsia="zh-CN" w:bidi="ar-SA"/>
    </w:rPr>
  </w:style>
  <w:style w:type="paragraph" w:customStyle="1" w:styleId="173">
    <w:name w:val="正文 New New New New New New New New New New New New New New New New New New New New New New New New New New New New New New New New New New New New New New New New New New New New New New New New New New New New New New New New New New New New New New Ne4"/>
    <w:qFormat/>
    <w:uiPriority w:val="0"/>
    <w:pPr>
      <w:widowControl w:val="0"/>
      <w:jc w:val="both"/>
    </w:pPr>
    <w:rPr>
      <w:rFonts w:ascii="宋体" w:hAnsi="宋体" w:eastAsia="宋体" w:cs="Times New Roman"/>
      <w:kern w:val="16"/>
      <w:sz w:val="21"/>
      <w:szCs w:val="24"/>
      <w:lang w:val="en-US" w:eastAsia="zh-CN" w:bidi="ar-SA"/>
    </w:rPr>
  </w:style>
  <w:style w:type="paragraph" w:customStyle="1" w:styleId="174">
    <w:name w:val="方案正文"/>
    <w:basedOn w:val="1"/>
    <w:qFormat/>
    <w:uiPriority w:val="0"/>
    <w:pPr>
      <w:spacing w:beforeAutospacing="0" w:afterAutospacing="0" w:line="360" w:lineRule="auto"/>
      <w:ind w:firstLine="200" w:firstLineChars="200"/>
    </w:pPr>
    <w:rPr>
      <w:sz w:val="24"/>
    </w:rPr>
  </w:style>
  <w:style w:type="paragraph" w:customStyle="1" w:styleId="175">
    <w:name w:val="正文 New New New New New New New New New New New New New New New New New New New New New New New New New New New New New New New New New New New New New New New New New New New New New New New New New New New New New New New New New New New New New New Ne5"/>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6">
    <w:name w:val="正文 New New New New New New New New New New New New New New New New New New New New New New New New New New New New New New New New New New New New New New New New New New New New New New New New New New New New New New New New New New New New New New Ne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 New New New New New New New New New New New New New New New New New New New New New New New New New New New New New New New New New New New New New New New New New New New New New New New New New New New New New New New New New New New New New New Ne7"/>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8">
    <w:name w:val="样式 正文文本 + 首行缩进:  2 字符"/>
    <w:basedOn w:val="1"/>
    <w:qFormat/>
    <w:uiPriority w:val="0"/>
    <w:pPr>
      <w:spacing w:beforeAutospacing="0" w:after="120" w:afterAutospacing="0" w:line="360" w:lineRule="auto"/>
      <w:ind w:firstLine="480" w:firstLineChars="200"/>
    </w:pPr>
    <w:rPr>
      <w:rFonts w:ascii="Arial" w:hAnsi="Arial" w:cs="宋体"/>
      <w:sz w:val="24"/>
    </w:rPr>
  </w:style>
  <w:style w:type="paragraph" w:customStyle="1" w:styleId="179">
    <w:name w:val="索引标题2"/>
    <w:basedOn w:val="1"/>
    <w:qFormat/>
    <w:uiPriority w:val="0"/>
  </w:style>
  <w:style w:type="paragraph" w:customStyle="1" w:styleId="180">
    <w:name w:val="索引 12"/>
    <w:basedOn w:val="1"/>
    <w:qFormat/>
    <w:uiPriority w:val="0"/>
    <w:rPr>
      <w:rFonts w:ascii="宋体" w:hAnsi="宋体"/>
      <w:sz w:val="24"/>
      <w:szCs w:val="24"/>
    </w:rPr>
  </w:style>
  <w:style w:type="paragraph" w:customStyle="1" w:styleId="181">
    <w:name w:val="文档正文"/>
    <w:basedOn w:val="134"/>
    <w:qFormat/>
    <w:uiPriority w:val="0"/>
    <w:pPr>
      <w:ind w:firstLine="482"/>
    </w:pPr>
    <w:rPr>
      <w:sz w:val="24"/>
    </w:rPr>
  </w:style>
  <w:style w:type="paragraph" w:customStyle="1" w:styleId="182">
    <w:name w:val="标题 1 New"/>
    <w:basedOn w:val="134"/>
    <w:qFormat/>
    <w:uiPriority w:val="0"/>
    <w:pPr>
      <w:numPr>
        <w:ilvl w:val="0"/>
        <w:numId w:val="3"/>
      </w:numPr>
      <w:spacing w:before="0" w:beforeAutospacing="0" w:after="0" w:afterAutospacing="0"/>
      <w:ind w:firstLine="0" w:firstLineChars="0"/>
      <w:jc w:val="left"/>
      <w:outlineLvl w:val="0"/>
    </w:pPr>
    <w:rPr>
      <w:rFonts w:ascii="微软雅黑" w:hAnsi="微软雅黑" w:eastAsia="微软雅黑"/>
      <w:b/>
      <w:kern w:val="44"/>
      <w:sz w:val="36"/>
    </w:rPr>
  </w:style>
  <w:style w:type="character" w:customStyle="1" w:styleId="183">
    <w:name w:val="标题 1 Char"/>
    <w:basedOn w:val="49"/>
    <w:link w:val="2"/>
    <w:qFormat/>
    <w:uiPriority w:val="0"/>
    <w:rPr>
      <w:rFonts w:ascii="Times New Roman" w:hAnsi="Times New Roman" w:eastAsia="宋体" w:cs="Times New Roman"/>
      <w:b/>
      <w:kern w:val="44"/>
      <w:sz w:val="44"/>
      <w:szCs w:val="20"/>
    </w:rPr>
  </w:style>
  <w:style w:type="character" w:customStyle="1" w:styleId="184">
    <w:name w:val="标题 2 Char"/>
    <w:basedOn w:val="49"/>
    <w:link w:val="3"/>
    <w:qFormat/>
    <w:uiPriority w:val="0"/>
    <w:rPr>
      <w:rFonts w:ascii="宋体" w:hAnsi="宋体" w:eastAsia="宋体" w:cs="Times New Roman"/>
      <w:b/>
      <w:color w:val="000000"/>
      <w:sz w:val="30"/>
      <w:szCs w:val="20"/>
    </w:rPr>
  </w:style>
  <w:style w:type="character" w:customStyle="1" w:styleId="185">
    <w:name w:val="标题 3 Char"/>
    <w:basedOn w:val="49"/>
    <w:link w:val="4"/>
    <w:qFormat/>
    <w:uiPriority w:val="0"/>
    <w:rPr>
      <w:rFonts w:ascii="宋体" w:hAnsi="宋体" w:eastAsia="宋体" w:cs="Times New Roman"/>
      <w:b/>
      <w:sz w:val="28"/>
      <w:szCs w:val="20"/>
    </w:rPr>
  </w:style>
  <w:style w:type="character" w:customStyle="1" w:styleId="186">
    <w:name w:val="标题 4 Char"/>
    <w:basedOn w:val="49"/>
    <w:link w:val="5"/>
    <w:qFormat/>
    <w:uiPriority w:val="0"/>
    <w:rPr>
      <w:rFonts w:ascii="宋体" w:hAnsi="宋体" w:eastAsia="宋体" w:cs="Times New Roman"/>
      <w:b/>
      <w:sz w:val="28"/>
      <w:szCs w:val="20"/>
    </w:rPr>
  </w:style>
  <w:style w:type="character" w:customStyle="1" w:styleId="187">
    <w:name w:val="标题 5 Char"/>
    <w:basedOn w:val="49"/>
    <w:link w:val="6"/>
    <w:qFormat/>
    <w:uiPriority w:val="0"/>
    <w:rPr>
      <w:rFonts w:ascii="Times New Roman" w:hAnsi="Times New Roman" w:eastAsia="宋体" w:cs="Times New Roman"/>
      <w:b/>
      <w:bCs/>
      <w:sz w:val="28"/>
      <w:szCs w:val="28"/>
    </w:rPr>
  </w:style>
  <w:style w:type="character" w:customStyle="1" w:styleId="188">
    <w:name w:val="正文文本 Char"/>
    <w:basedOn w:val="49"/>
    <w:link w:val="19"/>
    <w:qFormat/>
    <w:uiPriority w:val="0"/>
    <w:rPr>
      <w:rFonts w:ascii="黑体" w:hAnsi="Times New Roman" w:eastAsia="宋体" w:cs="Times New Roman"/>
      <w:sz w:val="24"/>
      <w:szCs w:val="20"/>
    </w:rPr>
  </w:style>
  <w:style w:type="character" w:customStyle="1" w:styleId="189">
    <w:name w:val="标题 6 Char"/>
    <w:basedOn w:val="49"/>
    <w:link w:val="7"/>
    <w:qFormat/>
    <w:uiPriority w:val="0"/>
    <w:rPr>
      <w:rFonts w:ascii="Times New Roman" w:hAnsi="Times New Roman" w:eastAsia="宋体" w:cs="Times New Roman"/>
      <w:b/>
      <w:bCs/>
      <w:sz w:val="24"/>
      <w:szCs w:val="24"/>
    </w:rPr>
  </w:style>
  <w:style w:type="character" w:customStyle="1" w:styleId="190">
    <w:name w:val="标题 7 Char"/>
    <w:basedOn w:val="49"/>
    <w:link w:val="8"/>
    <w:qFormat/>
    <w:uiPriority w:val="0"/>
    <w:rPr>
      <w:rFonts w:ascii="Times New Roman" w:hAnsi="Times New Roman" w:eastAsia="宋体" w:cs="Times New Roman"/>
      <w:b/>
      <w:bCs/>
      <w:sz w:val="24"/>
      <w:szCs w:val="24"/>
    </w:rPr>
  </w:style>
  <w:style w:type="character" w:customStyle="1" w:styleId="191">
    <w:name w:val="标题 8 Char"/>
    <w:basedOn w:val="49"/>
    <w:link w:val="9"/>
    <w:qFormat/>
    <w:uiPriority w:val="0"/>
    <w:rPr>
      <w:rFonts w:ascii="Arial" w:hAnsi="Arial" w:eastAsia="黑体" w:cs="Times New Roman"/>
      <w:sz w:val="24"/>
      <w:szCs w:val="24"/>
    </w:rPr>
  </w:style>
  <w:style w:type="character" w:customStyle="1" w:styleId="192">
    <w:name w:val="标题 9 Char"/>
    <w:basedOn w:val="49"/>
    <w:link w:val="10"/>
    <w:qFormat/>
    <w:uiPriority w:val="0"/>
    <w:rPr>
      <w:rFonts w:ascii="Arial" w:hAnsi="Arial" w:eastAsia="黑体" w:cs="Times New Roman"/>
      <w:sz w:val="21"/>
      <w:szCs w:val="21"/>
    </w:rPr>
  </w:style>
  <w:style w:type="character" w:customStyle="1" w:styleId="193">
    <w:name w:val="文档结构图 Char"/>
    <w:basedOn w:val="49"/>
    <w:link w:val="16"/>
    <w:qFormat/>
    <w:uiPriority w:val="0"/>
    <w:rPr>
      <w:rFonts w:ascii="Times New Roman" w:hAnsi="Times New Roman" w:eastAsia="宋体" w:cs="Times New Roman"/>
      <w:szCs w:val="20"/>
      <w:shd w:val="clear" w:color="auto" w:fill="000080"/>
    </w:rPr>
  </w:style>
  <w:style w:type="character" w:customStyle="1" w:styleId="194">
    <w:name w:val="批注文字 Char"/>
    <w:basedOn w:val="49"/>
    <w:link w:val="17"/>
    <w:qFormat/>
    <w:uiPriority w:val="0"/>
    <w:rPr>
      <w:rFonts w:eastAsia="宋体"/>
      <w:szCs w:val="24"/>
    </w:rPr>
  </w:style>
  <w:style w:type="character" w:customStyle="1" w:styleId="195">
    <w:name w:val="正文文本 3 Char"/>
    <w:basedOn w:val="49"/>
    <w:link w:val="18"/>
    <w:qFormat/>
    <w:uiPriority w:val="0"/>
    <w:rPr>
      <w:rFonts w:ascii="宋体" w:hAnsi="宋体" w:eastAsia="宋体" w:cs="Times New Roman"/>
      <w:b/>
      <w:bCs/>
      <w:szCs w:val="20"/>
    </w:rPr>
  </w:style>
  <w:style w:type="character" w:customStyle="1" w:styleId="196">
    <w:name w:val="正文文本缩进 Char"/>
    <w:basedOn w:val="49"/>
    <w:link w:val="20"/>
    <w:qFormat/>
    <w:uiPriority w:val="0"/>
    <w:rPr>
      <w:rFonts w:ascii="宋体" w:hAnsi="Times New Roman" w:eastAsia="宋体" w:cs="Times New Roman"/>
      <w:sz w:val="24"/>
      <w:szCs w:val="20"/>
    </w:rPr>
  </w:style>
  <w:style w:type="character" w:customStyle="1" w:styleId="197">
    <w:name w:val="纯文本 Char"/>
    <w:basedOn w:val="49"/>
    <w:link w:val="24"/>
    <w:qFormat/>
    <w:uiPriority w:val="0"/>
    <w:rPr>
      <w:rFonts w:ascii="宋体" w:hAnsi="Courier New" w:eastAsia="宋体"/>
    </w:rPr>
  </w:style>
  <w:style w:type="character" w:customStyle="1" w:styleId="198">
    <w:name w:val="日期 Char"/>
    <w:basedOn w:val="49"/>
    <w:link w:val="26"/>
    <w:qFormat/>
    <w:uiPriority w:val="0"/>
    <w:rPr>
      <w:rFonts w:ascii="Times New Roman" w:hAnsi="Times New Roman" w:eastAsia="宋体" w:cs="Times New Roman"/>
      <w:sz w:val="24"/>
      <w:szCs w:val="20"/>
    </w:rPr>
  </w:style>
  <w:style w:type="character" w:customStyle="1" w:styleId="199">
    <w:name w:val="正文文本缩进 2 Char"/>
    <w:basedOn w:val="49"/>
    <w:link w:val="27"/>
    <w:qFormat/>
    <w:uiPriority w:val="0"/>
    <w:rPr>
      <w:rFonts w:ascii="仿宋_GB2312" w:hAnsi="Times New Roman" w:eastAsia="仿宋_GB2312" w:cs="Times New Roman"/>
      <w:color w:val="000000"/>
      <w:kern w:val="0"/>
      <w:sz w:val="28"/>
      <w:szCs w:val="20"/>
    </w:rPr>
  </w:style>
  <w:style w:type="character" w:customStyle="1" w:styleId="200">
    <w:name w:val="批注框文本 Char"/>
    <w:basedOn w:val="49"/>
    <w:link w:val="28"/>
    <w:qFormat/>
    <w:uiPriority w:val="0"/>
    <w:rPr>
      <w:rFonts w:ascii="Times New Roman" w:hAnsi="Times New Roman" w:eastAsia="宋体" w:cs="Times New Roman"/>
      <w:sz w:val="18"/>
      <w:szCs w:val="18"/>
    </w:rPr>
  </w:style>
  <w:style w:type="character" w:customStyle="1" w:styleId="201">
    <w:name w:val="页脚 Char"/>
    <w:basedOn w:val="49"/>
    <w:link w:val="29"/>
    <w:qFormat/>
    <w:uiPriority w:val="0"/>
    <w:rPr>
      <w:rFonts w:ascii="Times New Roman" w:hAnsi="Times New Roman" w:eastAsia="宋体" w:cs="Times New Roman"/>
      <w:sz w:val="18"/>
      <w:szCs w:val="20"/>
    </w:rPr>
  </w:style>
  <w:style w:type="character" w:customStyle="1" w:styleId="202">
    <w:name w:val="页眉 Char"/>
    <w:basedOn w:val="49"/>
    <w:link w:val="31"/>
    <w:qFormat/>
    <w:uiPriority w:val="0"/>
    <w:rPr>
      <w:rFonts w:ascii="宋体" w:hAnsi="宋体" w:eastAsia="宋体" w:cs="宋体"/>
      <w:sz w:val="18"/>
      <w:szCs w:val="18"/>
    </w:rPr>
  </w:style>
  <w:style w:type="character" w:customStyle="1" w:styleId="203">
    <w:name w:val="正文文本缩进 3 Char"/>
    <w:basedOn w:val="49"/>
    <w:link w:val="37"/>
    <w:qFormat/>
    <w:uiPriority w:val="0"/>
    <w:rPr>
      <w:rFonts w:ascii="Times New Roman" w:hAnsi="Times New Roman" w:eastAsia="宋体" w:cs="Times New Roman"/>
      <w:sz w:val="24"/>
      <w:szCs w:val="20"/>
    </w:rPr>
  </w:style>
  <w:style w:type="character" w:customStyle="1" w:styleId="204">
    <w:name w:val="正文文本 2 Char"/>
    <w:basedOn w:val="49"/>
    <w:link w:val="40"/>
    <w:qFormat/>
    <w:uiPriority w:val="0"/>
    <w:rPr>
      <w:rFonts w:ascii="Times New Roman" w:hAnsi="Times New Roman" w:eastAsia="楷体_GB2312" w:cs="Times New Roman"/>
      <w:sz w:val="28"/>
      <w:szCs w:val="20"/>
    </w:rPr>
  </w:style>
  <w:style w:type="character" w:customStyle="1" w:styleId="205">
    <w:name w:val="HTML 预设格式 Char"/>
    <w:basedOn w:val="49"/>
    <w:link w:val="41"/>
    <w:qFormat/>
    <w:uiPriority w:val="0"/>
    <w:rPr>
      <w:rFonts w:ascii="黑体" w:hAnsi="Courier New" w:eastAsia="黑体" w:cs="Courier New"/>
      <w:kern w:val="0"/>
      <w:sz w:val="20"/>
      <w:szCs w:val="20"/>
    </w:rPr>
  </w:style>
  <w:style w:type="character" w:customStyle="1" w:styleId="206">
    <w:name w:val="批注主题 Char"/>
    <w:basedOn w:val="194"/>
    <w:link w:val="44"/>
    <w:qFormat/>
    <w:uiPriority w:val="0"/>
    <w:rPr>
      <w:rFonts w:eastAsia="宋体"/>
      <w:b/>
      <w:bCs/>
      <w:szCs w:val="24"/>
    </w:rPr>
  </w:style>
  <w:style w:type="character" w:customStyle="1" w:styleId="207">
    <w:name w:val="正文首行缩进 Char"/>
    <w:basedOn w:val="188"/>
    <w:link w:val="45"/>
    <w:qFormat/>
    <w:uiPriority w:val="0"/>
    <w:rPr>
      <w:rFonts w:ascii="Times New Roman" w:hAnsi="Times New Roman" w:eastAsia="宋体" w:cs="Times New Roman"/>
      <w:sz w:val="21"/>
      <w:szCs w:val="20"/>
    </w:rPr>
  </w:style>
  <w:style w:type="character" w:customStyle="1" w:styleId="208">
    <w:name w:val="正文首行缩进 2 Char"/>
    <w:basedOn w:val="196"/>
    <w:link w:val="46"/>
    <w:qFormat/>
    <w:uiPriority w:val="0"/>
    <w:rPr>
      <w:rFonts w:ascii="Times New Roman" w:hAnsi="Times New Roman" w:eastAsia="宋体" w:cs="Times New Roman"/>
      <w:b/>
      <w:sz w:val="21"/>
      <w:szCs w:val="20"/>
    </w:rPr>
  </w:style>
  <w:style w:type="character" w:customStyle="1" w:styleId="209">
    <w:name w:val="页脚2 Char Char"/>
    <w:link w:val="66"/>
    <w:qFormat/>
    <w:uiPriority w:val="0"/>
    <w:rPr>
      <w:rFonts w:ascii="宋体" w:hAnsi="宋体" w:eastAsia="宋体"/>
      <w:sz w:val="18"/>
      <w:szCs w:val="18"/>
    </w:rPr>
  </w:style>
  <w:style w:type="character" w:customStyle="1" w:styleId="210">
    <w:name w:val="font01"/>
    <w:basedOn w:val="49"/>
    <w:qFormat/>
    <w:uiPriority w:val="0"/>
    <w:rPr>
      <w:rFonts w:ascii="Calibri" w:hAnsi="Calibri" w:cs="Calibri"/>
      <w:color w:val="000000"/>
      <w:sz w:val="21"/>
      <w:szCs w:val="21"/>
      <w:u w:val="none"/>
    </w:rPr>
  </w:style>
  <w:style w:type="character" w:customStyle="1" w:styleId="211">
    <w:name w:val="默认段落字体1"/>
    <w:link w:val="67"/>
    <w:qFormat/>
    <w:uiPriority w:val="0"/>
    <w:rPr>
      <w:rFonts w:ascii="Tahoma" w:hAnsi="Tahoma" w:eastAsia="宋体" w:cs="Times New Roman"/>
      <w:kern w:val="2"/>
      <w:sz w:val="24"/>
    </w:rPr>
  </w:style>
  <w:style w:type="character" w:customStyle="1" w:styleId="212">
    <w:name w:val="Char Char6"/>
    <w:qFormat/>
    <w:uiPriority w:val="0"/>
    <w:rPr>
      <w:rFonts w:ascii="宋体" w:hAnsi="Courier New" w:eastAsia="宋体"/>
      <w:kern w:val="2"/>
      <w:sz w:val="24"/>
      <w:lang w:val="en-US" w:eastAsia="zh-CN" w:bidi="ar-SA"/>
    </w:rPr>
  </w:style>
  <w:style w:type="character" w:customStyle="1" w:styleId="213">
    <w:name w:val="unnamed21"/>
    <w:qFormat/>
    <w:uiPriority w:val="0"/>
    <w:rPr>
      <w:b/>
      <w:bCs/>
      <w:color w:val="FF6600"/>
      <w:sz w:val="26"/>
      <w:szCs w:val="26"/>
      <w:u w:val="none"/>
    </w:rPr>
  </w:style>
  <w:style w:type="character" w:customStyle="1" w:styleId="214">
    <w:name w:val="font11"/>
    <w:basedOn w:val="49"/>
    <w:qFormat/>
    <w:uiPriority w:val="0"/>
    <w:rPr>
      <w:rFonts w:ascii="宋体" w:hAnsi="宋体" w:eastAsia="宋体" w:cs="宋体"/>
      <w:color w:val="000000"/>
      <w:sz w:val="21"/>
      <w:szCs w:val="21"/>
      <w:u w:val="none"/>
    </w:rPr>
  </w:style>
  <w:style w:type="character" w:customStyle="1" w:styleId="215">
    <w:name w:val="text1"/>
    <w:qFormat/>
    <w:uiPriority w:val="0"/>
    <w:rPr>
      <w:sz w:val="21"/>
      <w:szCs w:val="21"/>
      <w:u w:val="none"/>
    </w:rPr>
  </w:style>
  <w:style w:type="character" w:customStyle="1" w:styleId="216">
    <w:name w:val="正文缩进 Char Char"/>
    <w:qFormat/>
    <w:uiPriority w:val="0"/>
    <w:rPr>
      <w:rFonts w:eastAsia="宋体"/>
      <w:sz w:val="24"/>
    </w:rPr>
  </w:style>
  <w:style w:type="character" w:customStyle="1" w:styleId="217">
    <w:name w:val="banner11"/>
    <w:qFormat/>
    <w:uiPriority w:val="0"/>
    <w:rPr>
      <w:color w:val="000099"/>
      <w:sz w:val="32"/>
      <w:szCs w:val="32"/>
    </w:rPr>
  </w:style>
  <w:style w:type="character" w:customStyle="1" w:styleId="218">
    <w:name w:val="Default Paragraph Font New"/>
    <w:link w:val="68"/>
    <w:qFormat/>
    <w:uiPriority w:val="0"/>
    <w:rPr>
      <w:rFonts w:ascii="等线" w:hAnsi="等线" w:eastAsia="宋体" w:cs="等线"/>
      <w:kern w:val="2"/>
      <w:sz w:val="24"/>
      <w:szCs w:val="24"/>
    </w:rPr>
  </w:style>
  <w:style w:type="character" w:customStyle="1" w:styleId="219">
    <w:name w:val="ww-light ww-large"/>
    <w:basedOn w:val="49"/>
    <w:qFormat/>
    <w:uiPriority w:val="0"/>
    <w:rPr>
      <w:rFonts w:ascii="Verdana" w:hAnsi="Verdana"/>
      <w:lang w:eastAsia="en-US"/>
    </w:rPr>
  </w:style>
  <w:style w:type="character" w:customStyle="1" w:styleId="220">
    <w:name w:val="p141"/>
    <w:basedOn w:val="49"/>
    <w:qFormat/>
    <w:uiPriority w:val="0"/>
    <w:rPr>
      <w:sz w:val="21"/>
      <w:szCs w:val="21"/>
    </w:rPr>
  </w:style>
  <w:style w:type="character" w:customStyle="1" w:styleId="221">
    <w:name w:val="weby11"/>
    <w:qFormat/>
    <w:uiPriority w:val="0"/>
    <w:rPr>
      <w:sz w:val="18"/>
      <w:szCs w:val="18"/>
    </w:rPr>
  </w:style>
  <w:style w:type="character" w:customStyle="1" w:styleId="222">
    <w:name w:val="Default Paragraph Font New New New"/>
    <w:link w:val="69"/>
    <w:qFormat/>
    <w:uiPriority w:val="0"/>
    <w:rPr>
      <w:rFonts w:ascii="等线" w:hAnsi="等线" w:eastAsia="宋体" w:cs="等线"/>
      <w:kern w:val="2"/>
      <w:sz w:val="24"/>
      <w:szCs w:val="24"/>
    </w:rPr>
  </w:style>
  <w:style w:type="character" w:customStyle="1" w:styleId="223">
    <w:name w:val="Default Paragraph Font New New"/>
    <w:link w:val="70"/>
    <w:qFormat/>
    <w:uiPriority w:val="0"/>
    <w:rPr>
      <w:rFonts w:ascii="等线" w:hAnsi="等线" w:eastAsia="宋体" w:cs="等线"/>
      <w:kern w:val="2"/>
      <w:sz w:val="24"/>
      <w:szCs w:val="24"/>
    </w:rPr>
  </w:style>
  <w:style w:type="character" w:customStyle="1" w:styleId="224">
    <w:name w:val="本文正文 Char1 Char Char Char Char Char Char Char Char Char Char Char Char Char Char Char Char Char Char Char Char Char Char Char Char Char Char"/>
    <w:link w:val="71"/>
    <w:qFormat/>
    <w:uiPriority w:val="0"/>
    <w:rPr>
      <w:rFonts w:ascii="宋体" w:hAnsi="宋体"/>
      <w:kern w:val="0"/>
      <w:sz w:val="24"/>
    </w:rPr>
  </w:style>
  <w:style w:type="character" w:customStyle="1" w:styleId="225">
    <w:name w:val="页码1"/>
    <w:basedOn w:val="49"/>
    <w:qFormat/>
    <w:uiPriority w:val="0"/>
  </w:style>
  <w:style w:type="character" w:customStyle="1" w:styleId="226">
    <w:name w:val="apple-style-span"/>
    <w:basedOn w:val="49"/>
    <w:qFormat/>
    <w:uiPriority w:val="0"/>
    <w:rPr>
      <w:rFonts w:ascii="Verdana" w:hAnsi="Verdana"/>
      <w:lang w:eastAsia="en-US"/>
    </w:rPr>
  </w:style>
  <w:style w:type="character" w:customStyle="1" w:styleId="227">
    <w:name w:val="font61"/>
    <w:basedOn w:val="49"/>
    <w:qFormat/>
    <w:uiPriority w:val="0"/>
    <w:rPr>
      <w:rFonts w:hint="default" w:ascii="Times New Roman" w:hAnsi="Times New Roman" w:cs="Times New Roman"/>
      <w:color w:val="000000"/>
      <w:sz w:val="18"/>
      <w:szCs w:val="18"/>
      <w:u w:val="none"/>
    </w:rPr>
  </w:style>
  <w:style w:type="character" w:customStyle="1" w:styleId="228">
    <w:name w:val="font21"/>
    <w:basedOn w:val="49"/>
    <w:qFormat/>
    <w:uiPriority w:val="0"/>
    <w:rPr>
      <w:rFonts w:hint="eastAsia" w:ascii="宋体" w:hAnsi="宋体" w:eastAsia="宋体" w:cs="宋体"/>
      <w:color w:val="000000"/>
      <w:sz w:val="18"/>
      <w:szCs w:val="18"/>
      <w:u w:val="none"/>
    </w:rPr>
  </w:style>
  <w:style w:type="character" w:customStyle="1" w:styleId="229">
    <w:name w:val="font51"/>
    <w:basedOn w:val="49"/>
    <w:qFormat/>
    <w:uiPriority w:val="0"/>
    <w:rPr>
      <w:rFonts w:hint="default" w:ascii="Times New Roman" w:hAnsi="Times New Roman" w:cs="Times New Roman"/>
      <w:color w:val="000000"/>
      <w:sz w:val="21"/>
      <w:szCs w:val="21"/>
      <w:u w:val="none"/>
    </w:rPr>
  </w:style>
  <w:style w:type="character" w:customStyle="1" w:styleId="230">
    <w:name w:val="font71"/>
    <w:basedOn w:val="49"/>
    <w:qFormat/>
    <w:uiPriority w:val="0"/>
    <w:rPr>
      <w:rFonts w:hint="eastAsia" w:ascii="宋体" w:hAnsi="宋体" w:eastAsia="宋体" w:cs="宋体"/>
      <w:b/>
      <w:bCs/>
      <w:color w:val="000000"/>
      <w:sz w:val="24"/>
      <w:szCs w:val="24"/>
      <w:u w:val="none"/>
    </w:rPr>
  </w:style>
  <w:style w:type="character" w:customStyle="1" w:styleId="231">
    <w:name w:val="font41"/>
    <w:basedOn w:val="49"/>
    <w:qFormat/>
    <w:uiPriority w:val="0"/>
    <w:rPr>
      <w:rFonts w:hint="eastAsia" w:ascii="宋体" w:hAnsi="宋体" w:eastAsia="宋体" w:cs="宋体"/>
      <w:color w:val="000000"/>
      <w:sz w:val="24"/>
      <w:szCs w:val="24"/>
      <w:u w:val="none"/>
    </w:rPr>
  </w:style>
  <w:style w:type="character" w:customStyle="1" w:styleId="232">
    <w:name w:val="font31"/>
    <w:basedOn w:val="49"/>
    <w:qFormat/>
    <w:uiPriority w:val="0"/>
    <w:rPr>
      <w:rFonts w:hint="eastAsia" w:ascii="宋体" w:hAnsi="宋体" w:eastAsia="宋体" w:cs="宋体"/>
      <w:color w:val="000000"/>
      <w:sz w:val="22"/>
      <w:szCs w:val="22"/>
      <w:u w:val="none"/>
    </w:rPr>
  </w:style>
  <w:style w:type="character" w:customStyle="1" w:styleId="233">
    <w:name w:val="font81"/>
    <w:basedOn w:val="49"/>
    <w:qFormat/>
    <w:uiPriority w:val="0"/>
    <w:rPr>
      <w:rFonts w:hint="default" w:ascii="Times New Roman" w:hAnsi="Times New Roman" w:cs="Times New Roman"/>
      <w:color w:val="000000"/>
      <w:sz w:val="21"/>
      <w:szCs w:val="21"/>
      <w:u w:val="none"/>
    </w:rPr>
  </w:style>
  <w:style w:type="character" w:customStyle="1" w:styleId="234">
    <w:name w:val="NormalCharacter"/>
    <w:link w:val="1"/>
    <w:qFormat/>
    <w:uiPriority w:val="0"/>
    <w:rPr>
      <w:rFonts w:ascii="Times New Roman" w:hAnsi="Times New Roman" w:eastAsia="宋体" w:cs="Times New Roman"/>
      <w:kern w:val="2"/>
      <w:sz w:val="21"/>
      <w:lang w:val="en-US" w:eastAsia="zh-CN" w:bidi="ar-SA"/>
    </w:rPr>
  </w:style>
  <w:style w:type="character" w:customStyle="1" w:styleId="235">
    <w:name w:val="bjh-p"/>
    <w:basedOn w:val="49"/>
    <w:qFormat/>
    <w:uiPriority w:val="0"/>
  </w:style>
  <w:style w:type="table" w:customStyle="1" w:styleId="236">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37">
    <w:name w:val="Normal Indent"/>
    <w:basedOn w:val="1"/>
    <w:qFormat/>
    <w:uiPriority w:val="0"/>
    <w:pPr>
      <w:ind w:firstLine="420"/>
      <w:jc w:val="left"/>
    </w:pPr>
    <w:rPr>
      <w:rFonts w:ascii="Times New Roman" w:hAnsi="Times New Roman"/>
      <w:kern w:val="0"/>
      <w:szCs w:val="20"/>
    </w:rPr>
  </w:style>
  <w:style w:type="paragraph" w:customStyle="1" w:styleId="238">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75</Pages>
  <Words>5257</Words>
  <Characters>6202</Characters>
  <Lines>261</Lines>
  <Paragraphs>73</Paragraphs>
  <TotalTime>16</TotalTime>
  <ScaleCrop>false</ScaleCrop>
  <LinksUpToDate>false</LinksUpToDate>
  <CharactersWithSpaces>6247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2022-04-02T02:13:00Z</dcterms:created>
  <dc:creator>微软用户</dc:creator>
  <cp:lastModifiedBy>X</cp:lastModifiedBy>
  <cp:lastPrinted>2025-09-26T08:18:00Z</cp:lastPrinted>
  <dcterms:modified xsi:type="dcterms:W3CDTF">2025-09-30T07:05:41Z</dcterms:modified>
  <dc:title>瑞诚</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9C9E7949047D451B9EF7E22FB819A605_13</vt:lpwstr>
  </property>
  <property fmtid="{D5CDD505-2E9C-101B-9397-08002B2CF9AE}" pid="4" name="KSOTemplateDocerSaveRecord">
    <vt:lpwstr>eyJoZGlkIjoiMzQxMzI3MDJhZmJmODE3YWUzOWY4NzkwZmJhNzNlZDkiLCJ1c2VySWQiOiIxNjU2MjgxMTQ2In0=</vt:lpwstr>
  </property>
</Properties>
</file>