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5C00C">
      <w:pPr>
        <w:snapToGrid w:val="0"/>
        <w:spacing w:before="156" w:beforeLines="50" w:after="156" w:afterLines="50" w:line="360" w:lineRule="auto"/>
        <w:jc w:val="center"/>
        <w:rPr>
          <w:rFonts w:ascii="宋体" w:hAnsi="宋体"/>
          <w:b/>
          <w:sz w:val="44"/>
          <w:szCs w:val="44"/>
        </w:rPr>
      </w:pPr>
      <w:r>
        <w:rPr>
          <w:rFonts w:ascii="黑体" w:hAnsi="华文中宋" w:eastAsia="黑体" w:cs="华文中宋"/>
          <w:sz w:val="30"/>
          <w:szCs w:val="30"/>
        </w:rPr>
        <w:drawing>
          <wp:inline distT="0" distB="0" distL="114300" distR="114300">
            <wp:extent cx="6167120" cy="8722360"/>
            <wp:effectExtent l="0" t="0" r="5080" b="2540"/>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6"/>
                    <a:stretch>
                      <a:fillRect/>
                    </a:stretch>
                  </pic:blipFill>
                  <pic:spPr>
                    <a:xfrm>
                      <a:off x="0" y="0"/>
                      <a:ext cx="6167120" cy="8722360"/>
                    </a:xfrm>
                    <a:prstGeom prst="rect">
                      <a:avLst/>
                    </a:prstGeom>
                  </pic:spPr>
                </pic:pic>
              </a:graphicData>
            </a:graphic>
          </wp:inline>
        </w:drawing>
      </w:r>
      <w:r>
        <w:rPr>
          <w:rFonts w:ascii="黑体" w:hAnsi="华文中宋" w:eastAsia="黑体" w:cs="华文中宋"/>
          <w:sz w:val="30"/>
          <w:szCs w:val="30"/>
        </w:rPr>
        <w:br w:type="page"/>
      </w:r>
      <w:r>
        <w:rPr>
          <w:rFonts w:hint="eastAsia" w:ascii="宋体" w:hAnsi="宋体"/>
          <w:b/>
          <w:sz w:val="44"/>
          <w:szCs w:val="44"/>
        </w:rPr>
        <w:t>温馨提示！！！</w:t>
      </w:r>
    </w:p>
    <w:p w14:paraId="27055544">
      <w:pPr>
        <w:tabs>
          <w:tab w:val="left" w:pos="0"/>
        </w:tabs>
        <w:spacing w:before="156" w:beforeLines="50" w:after="156" w:afterLines="50" w:line="360" w:lineRule="auto"/>
        <w:jc w:val="center"/>
        <w:rPr>
          <w:rFonts w:ascii="宋体" w:hAnsi="宋体" w:cs="宋体"/>
          <w:b/>
          <w:sz w:val="24"/>
          <w:szCs w:val="24"/>
        </w:rPr>
      </w:pPr>
      <w:r>
        <w:rPr>
          <w:rFonts w:hint="eastAsia" w:ascii="宋体" w:hAnsi="宋体" w:cs="宋体"/>
          <w:b/>
          <w:sz w:val="24"/>
          <w:szCs w:val="24"/>
        </w:rPr>
        <w:t>（本提示内容非招标文件的组成部分，仅为善意提醒。如有不一致的地方，以招标文件为准）</w:t>
      </w:r>
    </w:p>
    <w:p w14:paraId="12A4E16E">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如无另行说明，投标文件递交时间为投标截止时间</w:t>
      </w:r>
      <w:r>
        <w:rPr>
          <w:rFonts w:hint="eastAsia" w:ascii="宋体" w:hAnsi="宋体" w:cs="宋体"/>
          <w:b/>
          <w:sz w:val="24"/>
          <w:szCs w:val="24"/>
          <w:u w:val="single"/>
        </w:rPr>
        <w:t>前30分钟</w:t>
      </w:r>
      <w:r>
        <w:rPr>
          <w:rFonts w:hint="eastAsia" w:ascii="宋体" w:hAnsi="宋体" w:cs="宋体"/>
          <w:sz w:val="24"/>
          <w:szCs w:val="24"/>
        </w:rPr>
        <w:t>内。</w:t>
      </w:r>
    </w:p>
    <w:p w14:paraId="5A68F6A0">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本项目邀请投标人参加开标会议，请适当提前到达。</w:t>
      </w:r>
    </w:p>
    <w:p w14:paraId="07CA44C6">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递交投标文件前请仔细检查投标文件是否已密封。</w:t>
      </w:r>
    </w:p>
    <w:p w14:paraId="73CBF55C">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投标文件应按顺序编制页码。</w:t>
      </w:r>
    </w:p>
    <w:p w14:paraId="7290D051">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请仔细检查投标文件是否已按招标文件要求盖章、签名、签署日期。</w:t>
      </w:r>
    </w:p>
    <w:p w14:paraId="3894A40B">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请正确填写《开标一览表（报价表）》。多标段项目请仔细检查标段号，标段号与标段采购内容必须对应。</w:t>
      </w:r>
    </w:p>
    <w:p w14:paraId="39661423">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如投标产品属于许可证管理范围内的，须提交相应的许可证复印件。</w:t>
      </w:r>
    </w:p>
    <w:p w14:paraId="1C1F49E6">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投标人如需对项目提出询问或质疑，应按招标文件附件中的询问函和质疑函的格式提交。</w:t>
      </w:r>
    </w:p>
    <w:p w14:paraId="7762C575">
      <w:pPr>
        <w:numPr>
          <w:ilvl w:val="0"/>
          <w:numId w:val="1"/>
        </w:numPr>
        <w:tabs>
          <w:tab w:val="left" w:pos="426"/>
        </w:tabs>
        <w:autoSpaceDE/>
        <w:autoSpaceDN/>
        <w:adjustRightInd/>
        <w:spacing w:line="360" w:lineRule="auto"/>
        <w:ind w:left="700" w:hanging="700"/>
        <w:jc w:val="both"/>
        <w:rPr>
          <w:rFonts w:ascii="宋体" w:hAnsi="宋体" w:cs="宋体"/>
          <w:sz w:val="24"/>
          <w:szCs w:val="24"/>
        </w:rPr>
      </w:pPr>
      <w:r>
        <w:rPr>
          <w:rFonts w:hint="eastAsia" w:ascii="宋体" w:hAnsi="宋体" w:cs="宋体"/>
          <w:sz w:val="24"/>
          <w:szCs w:val="24"/>
        </w:rPr>
        <w:t xml:space="preserve">  招标代理服务费发票类型开具须知：投标时，投标人必须按《招标代理服务费承诺书》确认“缴纳招标代理服务费”开具的发票类型，并提供开票资料和一般纳税人资格认定税务通知书或其他可证明具有该项资格证明文件复印件。</w:t>
      </w:r>
    </w:p>
    <w:p w14:paraId="5F822D12">
      <w:pPr>
        <w:pStyle w:val="30"/>
      </w:pPr>
    </w:p>
    <w:p w14:paraId="233E0F98">
      <w:pPr>
        <w:widowControl/>
        <w:autoSpaceDE/>
        <w:autoSpaceDN/>
        <w:adjustRightInd/>
        <w:spacing w:line="360" w:lineRule="auto"/>
        <w:rPr>
          <w:rFonts w:ascii="黑体" w:hAnsi="华文中宋" w:eastAsia="黑体" w:cs="华文中宋"/>
          <w:sz w:val="30"/>
          <w:szCs w:val="30"/>
        </w:rPr>
      </w:pPr>
    </w:p>
    <w:p w14:paraId="1EE8F7E3">
      <w:pPr>
        <w:snapToGrid w:val="0"/>
        <w:spacing w:line="360" w:lineRule="auto"/>
        <w:jc w:val="center"/>
        <w:rPr>
          <w:rFonts w:hAnsi="宋体"/>
          <w:b/>
          <w:bCs/>
          <w:sz w:val="44"/>
          <w:szCs w:val="44"/>
          <w:lang w:eastAsia="zh-TW"/>
        </w:rPr>
      </w:pPr>
      <w:r>
        <w:rPr>
          <w:rFonts w:hAnsi="宋体"/>
          <w:b/>
          <w:bCs/>
          <w:sz w:val="44"/>
          <w:szCs w:val="44"/>
          <w:lang w:eastAsia="zh-TW"/>
        </w:rPr>
        <w:br w:type="page"/>
      </w:r>
      <w:r>
        <w:rPr>
          <w:rFonts w:hAnsi="宋体"/>
          <w:b/>
          <w:bCs/>
          <w:sz w:val="44"/>
          <w:szCs w:val="44"/>
          <w:lang w:eastAsia="zh-TW"/>
        </w:rPr>
        <w:t>目</w:t>
      </w:r>
      <w:r>
        <w:rPr>
          <w:b/>
          <w:bCs/>
          <w:sz w:val="44"/>
          <w:szCs w:val="44"/>
        </w:rPr>
        <w:t xml:space="preserve">   </w:t>
      </w:r>
      <w:r>
        <w:rPr>
          <w:rFonts w:hAnsi="宋体"/>
          <w:b/>
          <w:bCs/>
          <w:sz w:val="44"/>
          <w:szCs w:val="44"/>
          <w:lang w:eastAsia="zh-TW"/>
        </w:rPr>
        <w:t>录</w:t>
      </w:r>
    </w:p>
    <w:p w14:paraId="6A7A85BF">
      <w:pPr>
        <w:pStyle w:val="15"/>
        <w:tabs>
          <w:tab w:val="right" w:leader="dot" w:pos="9746"/>
          <w:tab w:val="clear" w:pos="9060"/>
        </w:tabs>
      </w:pPr>
      <w:r>
        <w:rPr>
          <w:rFonts w:hAnsi="宋体"/>
          <w:b/>
          <w:bCs/>
          <w:sz w:val="72"/>
          <w:szCs w:val="72"/>
          <w:lang w:eastAsia="zh-TW"/>
        </w:rPr>
        <w:fldChar w:fldCharType="begin"/>
      </w:r>
      <w:r>
        <w:rPr>
          <w:rFonts w:hAnsi="宋体"/>
          <w:b/>
          <w:bCs/>
          <w:sz w:val="72"/>
          <w:szCs w:val="72"/>
          <w:lang w:eastAsia="zh-TW"/>
        </w:rPr>
        <w:instrText xml:space="preserve">TOC \o "1-1" \h \u </w:instrText>
      </w:r>
      <w:r>
        <w:rPr>
          <w:rFonts w:hAnsi="宋体"/>
          <w:b/>
          <w:bCs/>
          <w:sz w:val="72"/>
          <w:szCs w:val="72"/>
          <w:lang w:eastAsia="zh-TW"/>
        </w:rPr>
        <w:fldChar w:fldCharType="separate"/>
      </w:r>
      <w:r>
        <w:fldChar w:fldCharType="begin"/>
      </w:r>
      <w:r>
        <w:instrText xml:space="preserve"> HYPERLINK \l "_Toc15653" </w:instrText>
      </w:r>
      <w:r>
        <w:fldChar w:fldCharType="separate"/>
      </w:r>
      <w:r>
        <w:rPr>
          <w:rFonts w:hint="eastAsia"/>
          <w:szCs w:val="13"/>
        </w:rPr>
        <w:t>第一章  投标邀请</w:t>
      </w:r>
      <w:r>
        <w:tab/>
      </w:r>
      <w:r>
        <w:fldChar w:fldCharType="begin"/>
      </w:r>
      <w:r>
        <w:instrText xml:space="preserve"> PAGEREF _Toc15653 \h </w:instrText>
      </w:r>
      <w:r>
        <w:fldChar w:fldCharType="separate"/>
      </w:r>
      <w:r>
        <w:t>4</w:t>
      </w:r>
      <w:r>
        <w:fldChar w:fldCharType="end"/>
      </w:r>
      <w:r>
        <w:fldChar w:fldCharType="end"/>
      </w:r>
    </w:p>
    <w:p w14:paraId="6CAD8BA7">
      <w:pPr>
        <w:pStyle w:val="15"/>
        <w:tabs>
          <w:tab w:val="right" w:leader="dot" w:pos="9746"/>
          <w:tab w:val="clear" w:pos="9060"/>
        </w:tabs>
      </w:pPr>
      <w:r>
        <w:fldChar w:fldCharType="begin"/>
      </w:r>
      <w:r>
        <w:instrText xml:space="preserve"> HYPERLINK \l "_Toc29748" </w:instrText>
      </w:r>
      <w:r>
        <w:fldChar w:fldCharType="separate"/>
      </w:r>
      <w:r>
        <w:rPr>
          <w:rFonts w:hint="eastAsia"/>
          <w:szCs w:val="13"/>
        </w:rPr>
        <w:t>第二章  用户需求书</w:t>
      </w:r>
      <w:r>
        <w:tab/>
      </w:r>
      <w:r>
        <w:fldChar w:fldCharType="begin"/>
      </w:r>
      <w:r>
        <w:instrText xml:space="preserve"> PAGEREF _Toc29748 \h </w:instrText>
      </w:r>
      <w:r>
        <w:fldChar w:fldCharType="separate"/>
      </w:r>
      <w:r>
        <w:t>10</w:t>
      </w:r>
      <w:r>
        <w:fldChar w:fldCharType="end"/>
      </w:r>
      <w:r>
        <w:fldChar w:fldCharType="end"/>
      </w:r>
    </w:p>
    <w:p w14:paraId="58D36533">
      <w:pPr>
        <w:pStyle w:val="15"/>
        <w:tabs>
          <w:tab w:val="right" w:leader="dot" w:pos="9746"/>
          <w:tab w:val="clear" w:pos="9060"/>
        </w:tabs>
      </w:pPr>
      <w:r>
        <w:fldChar w:fldCharType="begin"/>
      </w:r>
      <w:r>
        <w:instrText xml:space="preserve"> HYPERLINK \l "_Toc30390" </w:instrText>
      </w:r>
      <w:r>
        <w:fldChar w:fldCharType="separate"/>
      </w:r>
      <w:r>
        <w:rPr>
          <w:rFonts w:hint="eastAsia"/>
          <w:szCs w:val="13"/>
        </w:rPr>
        <w:t>第三章  评分体系与标准</w:t>
      </w:r>
      <w:r>
        <w:tab/>
      </w:r>
      <w:r>
        <w:fldChar w:fldCharType="begin"/>
      </w:r>
      <w:r>
        <w:instrText xml:space="preserve"> PAGEREF _Toc30390 \h </w:instrText>
      </w:r>
      <w:r>
        <w:fldChar w:fldCharType="separate"/>
      </w:r>
      <w:r>
        <w:t>23</w:t>
      </w:r>
      <w:r>
        <w:fldChar w:fldCharType="end"/>
      </w:r>
      <w:r>
        <w:fldChar w:fldCharType="end"/>
      </w:r>
    </w:p>
    <w:p w14:paraId="40DE4625">
      <w:pPr>
        <w:pStyle w:val="15"/>
        <w:tabs>
          <w:tab w:val="right" w:leader="dot" w:pos="9746"/>
          <w:tab w:val="clear" w:pos="9060"/>
        </w:tabs>
      </w:pPr>
      <w:r>
        <w:fldChar w:fldCharType="begin"/>
      </w:r>
      <w:r>
        <w:instrText xml:space="preserve"> HYPERLINK \l "_Toc20898" </w:instrText>
      </w:r>
      <w:r>
        <w:fldChar w:fldCharType="separate"/>
      </w:r>
      <w:r>
        <w:rPr>
          <w:rFonts w:hint="eastAsia"/>
          <w:szCs w:val="13"/>
        </w:rPr>
        <w:t>第四章  投标人须知</w:t>
      </w:r>
      <w:r>
        <w:tab/>
      </w:r>
      <w:r>
        <w:fldChar w:fldCharType="begin"/>
      </w:r>
      <w:r>
        <w:instrText xml:space="preserve"> PAGEREF _Toc20898 \h </w:instrText>
      </w:r>
      <w:r>
        <w:fldChar w:fldCharType="separate"/>
      </w:r>
      <w:r>
        <w:t>30</w:t>
      </w:r>
      <w:r>
        <w:fldChar w:fldCharType="end"/>
      </w:r>
      <w:r>
        <w:fldChar w:fldCharType="end"/>
      </w:r>
    </w:p>
    <w:p w14:paraId="6DFFE270">
      <w:pPr>
        <w:pStyle w:val="15"/>
        <w:tabs>
          <w:tab w:val="right" w:leader="dot" w:pos="9746"/>
          <w:tab w:val="clear" w:pos="9060"/>
        </w:tabs>
      </w:pPr>
      <w:r>
        <w:fldChar w:fldCharType="begin"/>
      </w:r>
      <w:r>
        <w:instrText xml:space="preserve"> HYPERLINK \l "_Toc15464" </w:instrText>
      </w:r>
      <w:r>
        <w:fldChar w:fldCharType="separate"/>
      </w:r>
      <w:r>
        <w:rPr>
          <w:rFonts w:hint="eastAsia"/>
          <w:bCs/>
          <w:szCs w:val="30"/>
        </w:rPr>
        <w:t>第五章  合同格式条款</w:t>
      </w:r>
      <w:r>
        <w:tab/>
      </w:r>
      <w:r>
        <w:fldChar w:fldCharType="begin"/>
      </w:r>
      <w:r>
        <w:instrText xml:space="preserve"> PAGEREF _Toc15464 \h </w:instrText>
      </w:r>
      <w:r>
        <w:fldChar w:fldCharType="separate"/>
      </w:r>
      <w:r>
        <w:t>48</w:t>
      </w:r>
      <w:r>
        <w:fldChar w:fldCharType="end"/>
      </w:r>
      <w:r>
        <w:fldChar w:fldCharType="end"/>
      </w:r>
    </w:p>
    <w:p w14:paraId="0C9ED615">
      <w:pPr>
        <w:pStyle w:val="15"/>
        <w:tabs>
          <w:tab w:val="right" w:leader="dot" w:pos="9746"/>
          <w:tab w:val="clear" w:pos="9060"/>
        </w:tabs>
      </w:pPr>
      <w:r>
        <w:fldChar w:fldCharType="begin"/>
      </w:r>
      <w:r>
        <w:instrText xml:space="preserve"> HYPERLINK \l "_Toc20668" </w:instrText>
      </w:r>
      <w:r>
        <w:fldChar w:fldCharType="separate"/>
      </w:r>
      <w:r>
        <w:rPr>
          <w:rFonts w:hint="eastAsia"/>
          <w:bCs/>
          <w:szCs w:val="30"/>
        </w:rPr>
        <w:t>第六章  投标文件格式</w:t>
      </w:r>
      <w:r>
        <w:tab/>
      </w:r>
      <w:r>
        <w:fldChar w:fldCharType="begin"/>
      </w:r>
      <w:r>
        <w:instrText xml:space="preserve"> PAGEREF _Toc20668 \h </w:instrText>
      </w:r>
      <w:r>
        <w:fldChar w:fldCharType="separate"/>
      </w:r>
      <w:r>
        <w:t>52</w:t>
      </w:r>
      <w:r>
        <w:fldChar w:fldCharType="end"/>
      </w:r>
      <w:r>
        <w:fldChar w:fldCharType="end"/>
      </w:r>
    </w:p>
    <w:p w14:paraId="44878C9D">
      <w:pPr>
        <w:snapToGrid w:val="0"/>
        <w:spacing w:line="360" w:lineRule="auto"/>
        <w:jc w:val="center"/>
        <w:rPr>
          <w:rFonts w:hAnsi="宋体"/>
          <w:b/>
          <w:bCs/>
          <w:sz w:val="44"/>
          <w:szCs w:val="44"/>
          <w:lang w:eastAsia="zh-TW"/>
        </w:rPr>
      </w:pPr>
      <w:r>
        <w:rPr>
          <w:rFonts w:hAnsi="宋体"/>
          <w:bCs/>
          <w:szCs w:val="72"/>
          <w:lang w:eastAsia="zh-TW"/>
        </w:rPr>
        <w:fldChar w:fldCharType="end"/>
      </w:r>
    </w:p>
    <w:p w14:paraId="1F2A4A97">
      <w:pPr>
        <w:snapToGrid w:val="0"/>
        <w:spacing w:line="360" w:lineRule="auto"/>
        <w:jc w:val="center"/>
        <w:rPr>
          <w:rFonts w:hAnsi="宋体"/>
          <w:b/>
          <w:bCs/>
          <w:sz w:val="44"/>
          <w:szCs w:val="44"/>
          <w:lang w:eastAsia="zh-TW"/>
        </w:rPr>
      </w:pPr>
    </w:p>
    <w:p w14:paraId="347C3762">
      <w:pPr>
        <w:snapToGrid w:val="0"/>
        <w:spacing w:line="360" w:lineRule="auto"/>
        <w:jc w:val="center"/>
        <w:rPr>
          <w:rFonts w:hAnsi="宋体"/>
          <w:b/>
          <w:bCs/>
          <w:sz w:val="44"/>
          <w:szCs w:val="44"/>
          <w:lang w:eastAsia="zh-TW"/>
        </w:rPr>
      </w:pPr>
    </w:p>
    <w:p w14:paraId="1C656ABE">
      <w:pPr>
        <w:snapToGrid w:val="0"/>
        <w:spacing w:line="360" w:lineRule="auto"/>
        <w:rPr>
          <w:rFonts w:ascii="宋体" w:hAnsi="宋体"/>
          <w:b/>
          <w:sz w:val="21"/>
          <w:szCs w:val="21"/>
        </w:rPr>
      </w:pPr>
    </w:p>
    <w:p w14:paraId="79BCC114">
      <w:pPr>
        <w:snapToGrid w:val="0"/>
        <w:spacing w:line="360" w:lineRule="auto"/>
        <w:rPr>
          <w:rFonts w:ascii="宋体" w:hAnsi="宋体"/>
          <w:b/>
          <w:sz w:val="21"/>
          <w:szCs w:val="21"/>
        </w:rPr>
      </w:pPr>
    </w:p>
    <w:p w14:paraId="59481619">
      <w:pPr>
        <w:snapToGrid w:val="0"/>
        <w:spacing w:line="360" w:lineRule="auto"/>
        <w:rPr>
          <w:rFonts w:ascii="宋体" w:hAnsi="宋体"/>
          <w:b/>
          <w:sz w:val="21"/>
          <w:szCs w:val="21"/>
        </w:rPr>
      </w:pPr>
    </w:p>
    <w:p w14:paraId="3D84A469">
      <w:pPr>
        <w:snapToGrid w:val="0"/>
        <w:spacing w:line="360" w:lineRule="auto"/>
        <w:rPr>
          <w:rFonts w:ascii="宋体" w:hAnsi="宋体"/>
          <w:b/>
          <w:sz w:val="21"/>
          <w:szCs w:val="21"/>
        </w:rPr>
      </w:pPr>
    </w:p>
    <w:p w14:paraId="24A41621">
      <w:pPr>
        <w:snapToGrid w:val="0"/>
        <w:spacing w:line="360" w:lineRule="auto"/>
        <w:rPr>
          <w:rFonts w:ascii="宋体" w:hAnsi="宋体"/>
          <w:b/>
          <w:sz w:val="21"/>
          <w:szCs w:val="21"/>
        </w:rPr>
      </w:pPr>
    </w:p>
    <w:p w14:paraId="45F1BC7D">
      <w:pPr>
        <w:snapToGrid w:val="0"/>
        <w:spacing w:line="360" w:lineRule="auto"/>
        <w:rPr>
          <w:rFonts w:ascii="宋体" w:hAnsi="宋体"/>
          <w:b/>
          <w:sz w:val="21"/>
          <w:szCs w:val="21"/>
        </w:rPr>
      </w:pPr>
    </w:p>
    <w:p w14:paraId="65D8F2B5">
      <w:pPr>
        <w:snapToGrid w:val="0"/>
        <w:spacing w:line="360" w:lineRule="auto"/>
        <w:rPr>
          <w:rFonts w:ascii="宋体" w:hAnsi="宋体"/>
          <w:b/>
          <w:sz w:val="21"/>
          <w:szCs w:val="21"/>
        </w:rPr>
      </w:pPr>
    </w:p>
    <w:p w14:paraId="4EE3E7CA">
      <w:pPr>
        <w:snapToGrid w:val="0"/>
        <w:spacing w:line="360" w:lineRule="auto"/>
        <w:rPr>
          <w:rFonts w:ascii="宋体" w:hAnsi="宋体"/>
          <w:b/>
          <w:sz w:val="21"/>
          <w:szCs w:val="21"/>
        </w:rPr>
      </w:pPr>
    </w:p>
    <w:p w14:paraId="184008A7">
      <w:pPr>
        <w:snapToGrid w:val="0"/>
        <w:spacing w:line="360" w:lineRule="auto"/>
        <w:rPr>
          <w:rFonts w:ascii="宋体" w:hAnsi="宋体"/>
          <w:b/>
          <w:sz w:val="21"/>
          <w:szCs w:val="21"/>
        </w:rPr>
      </w:pPr>
    </w:p>
    <w:p w14:paraId="6B98A118">
      <w:pPr>
        <w:snapToGrid w:val="0"/>
        <w:spacing w:line="360" w:lineRule="auto"/>
        <w:rPr>
          <w:rFonts w:ascii="宋体" w:hAnsi="宋体"/>
          <w:b/>
          <w:sz w:val="21"/>
          <w:szCs w:val="21"/>
        </w:rPr>
      </w:pPr>
    </w:p>
    <w:p w14:paraId="5968F8EC">
      <w:pPr>
        <w:snapToGrid w:val="0"/>
        <w:spacing w:line="360" w:lineRule="auto"/>
        <w:rPr>
          <w:rFonts w:ascii="宋体" w:hAnsi="宋体"/>
          <w:b/>
          <w:sz w:val="21"/>
          <w:szCs w:val="21"/>
        </w:rPr>
      </w:pPr>
    </w:p>
    <w:p w14:paraId="2B226275">
      <w:pPr>
        <w:snapToGrid w:val="0"/>
        <w:spacing w:line="360" w:lineRule="auto"/>
        <w:rPr>
          <w:rFonts w:ascii="宋体" w:hAnsi="宋体"/>
          <w:b/>
          <w:sz w:val="21"/>
          <w:szCs w:val="21"/>
        </w:rPr>
      </w:pPr>
    </w:p>
    <w:p w14:paraId="6127EB7B">
      <w:pPr>
        <w:snapToGrid w:val="0"/>
        <w:spacing w:line="360" w:lineRule="auto"/>
        <w:rPr>
          <w:rFonts w:ascii="宋体" w:hAnsi="宋体"/>
          <w:b/>
          <w:sz w:val="21"/>
          <w:szCs w:val="21"/>
        </w:rPr>
      </w:pPr>
    </w:p>
    <w:p w14:paraId="5381CABD">
      <w:pPr>
        <w:snapToGrid w:val="0"/>
        <w:spacing w:line="360" w:lineRule="auto"/>
        <w:rPr>
          <w:rFonts w:ascii="宋体" w:hAnsi="宋体"/>
          <w:b/>
          <w:sz w:val="21"/>
          <w:szCs w:val="21"/>
        </w:rPr>
      </w:pPr>
    </w:p>
    <w:p w14:paraId="354B9492">
      <w:pPr>
        <w:snapToGrid w:val="0"/>
        <w:spacing w:line="360" w:lineRule="auto"/>
        <w:rPr>
          <w:rFonts w:ascii="宋体" w:hAnsi="宋体"/>
          <w:b/>
          <w:sz w:val="21"/>
          <w:szCs w:val="21"/>
        </w:rPr>
      </w:pPr>
    </w:p>
    <w:p w14:paraId="2F8F6BB3">
      <w:pPr>
        <w:snapToGrid w:val="0"/>
        <w:spacing w:line="360" w:lineRule="auto"/>
        <w:rPr>
          <w:rFonts w:ascii="宋体" w:hAnsi="宋体"/>
          <w:b/>
          <w:sz w:val="21"/>
          <w:szCs w:val="21"/>
        </w:rPr>
      </w:pPr>
    </w:p>
    <w:p w14:paraId="2C237085">
      <w:pPr>
        <w:snapToGrid w:val="0"/>
        <w:spacing w:line="360" w:lineRule="auto"/>
        <w:rPr>
          <w:rFonts w:ascii="宋体" w:hAnsi="宋体"/>
          <w:b/>
          <w:sz w:val="21"/>
          <w:szCs w:val="21"/>
        </w:rPr>
      </w:pPr>
    </w:p>
    <w:p w14:paraId="7E4B3DDE">
      <w:pPr>
        <w:snapToGrid/>
        <w:spacing w:line="240" w:lineRule="auto"/>
        <w:jc w:val="left"/>
        <w:outlineLvl w:val="9"/>
        <w:rPr>
          <w:rFonts w:hint="default"/>
          <w:sz w:val="20"/>
          <w:szCs w:val="20"/>
        </w:rPr>
      </w:pPr>
      <w:bookmarkStart w:id="0" w:name="_Toc30153"/>
      <w:bookmarkStart w:id="1" w:name="_Toc2912"/>
      <w:bookmarkStart w:id="2" w:name="_Toc2337"/>
      <w:bookmarkStart w:id="3" w:name="_Toc15653"/>
      <w:bookmarkStart w:id="4" w:name="_Toc27302"/>
      <w:bookmarkStart w:id="5" w:name="_Toc13838"/>
    </w:p>
    <w:p w14:paraId="127B97C1">
      <w:pPr>
        <w:snapToGrid/>
        <w:spacing w:line="240" w:lineRule="auto"/>
        <w:jc w:val="left"/>
        <w:outlineLvl w:val="9"/>
        <w:rPr>
          <w:rFonts w:hint="default"/>
          <w:sz w:val="20"/>
          <w:szCs w:val="20"/>
        </w:rPr>
      </w:pPr>
    </w:p>
    <w:p w14:paraId="532B4DA9">
      <w:pPr>
        <w:snapToGrid/>
        <w:spacing w:line="240" w:lineRule="auto"/>
        <w:jc w:val="left"/>
        <w:outlineLvl w:val="9"/>
        <w:rPr>
          <w:rFonts w:hint="default"/>
          <w:sz w:val="20"/>
          <w:szCs w:val="20"/>
        </w:rPr>
      </w:pPr>
    </w:p>
    <w:p w14:paraId="66A06486">
      <w:pPr>
        <w:snapToGrid w:val="0"/>
        <w:spacing w:line="360" w:lineRule="auto"/>
        <w:jc w:val="center"/>
        <w:outlineLvl w:val="0"/>
        <w:rPr>
          <w:rStyle w:val="29"/>
        </w:rPr>
      </w:pPr>
      <w:r>
        <w:rPr>
          <w:rStyle w:val="31"/>
          <w:rFonts w:hint="eastAsia"/>
          <w:sz w:val="28"/>
          <w:szCs w:val="13"/>
        </w:rPr>
        <w:t>第一章  投标邀请</w:t>
      </w:r>
      <w:bookmarkEnd w:id="0"/>
      <w:bookmarkEnd w:id="1"/>
      <w:bookmarkEnd w:id="2"/>
      <w:bookmarkEnd w:id="3"/>
      <w:bookmarkEnd w:id="4"/>
      <w:bookmarkEnd w:id="5"/>
    </w:p>
    <w:p w14:paraId="74500CEC">
      <w:pPr>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（招标编号：</w:t>
      </w:r>
      <w:r>
        <w:rPr>
          <w:rFonts w:hint="eastAsia" w:ascii="宋体" w:hAnsi="宋体" w:eastAsia="宋体" w:cs="宋体"/>
          <w:b/>
          <w:color w:val="FF0000"/>
          <w:sz w:val="24"/>
          <w:szCs w:val="24"/>
        </w:rPr>
        <w:t xml:space="preserve"> </w:t>
      </w:r>
      <w:r>
        <w:rPr>
          <w:rFonts w:hint="eastAsia" w:ascii="宋体" w:hAnsi="宋体" w:eastAsia="宋体" w:cs="宋体"/>
          <w:b/>
          <w:color w:val="auto"/>
          <w:sz w:val="24"/>
          <w:szCs w:val="24"/>
          <w:lang w:eastAsia="zh-CN"/>
        </w:rPr>
        <w:t>CLZ0125SG01GC05</w:t>
      </w:r>
      <w:r>
        <w:rPr>
          <w:rFonts w:hint="eastAsia" w:ascii="宋体" w:hAnsi="宋体" w:eastAsia="宋体" w:cs="宋体"/>
          <w:b/>
          <w:color w:val="000000"/>
          <w:sz w:val="24"/>
          <w:szCs w:val="24"/>
        </w:rPr>
        <w:t>）</w:t>
      </w:r>
    </w:p>
    <w:p w14:paraId="33529703">
      <w:pPr>
        <w:snapToGrid w:val="0"/>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sz w:val="24"/>
          <w:szCs w:val="24"/>
        </w:rPr>
        <w:t>项目所在地区：</w:t>
      </w:r>
      <w:r>
        <w:rPr>
          <w:rFonts w:hint="eastAsia" w:ascii="宋体" w:hAnsi="宋体" w:eastAsia="宋体" w:cs="宋体"/>
          <w:color w:val="000000" w:themeColor="text1"/>
          <w:sz w:val="24"/>
          <w:szCs w:val="24"/>
          <w14:textFill>
            <w14:solidFill>
              <w14:schemeClr w14:val="tx1"/>
            </w14:solidFill>
          </w14:textFill>
        </w:rPr>
        <w:t>广东省</w:t>
      </w:r>
      <w:r>
        <w:rPr>
          <w:rFonts w:hint="eastAsia" w:ascii="宋体" w:hAnsi="宋体" w:eastAsia="宋体" w:cs="宋体"/>
          <w:color w:val="000000" w:themeColor="text1"/>
          <w:sz w:val="24"/>
          <w:szCs w:val="24"/>
          <w:lang w:val="en-US" w:eastAsia="zh-CN"/>
          <w14:textFill>
            <w14:solidFill>
              <w14:schemeClr w14:val="tx1"/>
            </w14:solidFill>
          </w14:textFill>
        </w:rPr>
        <w:t>南雄市</w:t>
      </w:r>
    </w:p>
    <w:p w14:paraId="2B8D0DE4">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招标条件</w:t>
      </w:r>
    </w:p>
    <w:p w14:paraId="05AD1405">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color w:val="000000" w:themeColor="text1"/>
          <w:sz w:val="24"/>
          <w:szCs w:val="24"/>
          <w:lang w:eastAsia="zh-CN"/>
          <w14:textFill>
            <w14:solidFill>
              <w14:schemeClr w14:val="tx1"/>
            </w14:solidFill>
          </w14:textFill>
        </w:rPr>
        <w:t>南雄市人民医院食堂对外承包项目</w:t>
      </w:r>
      <w:r>
        <w:rPr>
          <w:rFonts w:hint="eastAsia" w:ascii="宋体" w:hAnsi="宋体" w:eastAsia="宋体" w:cs="宋体"/>
          <w:color w:val="000000" w:themeColor="text1"/>
          <w:sz w:val="24"/>
          <w:szCs w:val="24"/>
          <w14:textFill>
            <w14:solidFill>
              <w14:schemeClr w14:val="tx1"/>
            </w14:solidFill>
          </w14:textFill>
        </w:rPr>
        <w:t>已由项目</w:t>
      </w:r>
      <w:r>
        <w:rPr>
          <w:rFonts w:hint="eastAsia" w:ascii="宋体" w:hAnsi="宋体" w:eastAsia="宋体" w:cs="宋体"/>
          <w:color w:val="000000"/>
          <w:sz w:val="24"/>
          <w:szCs w:val="24"/>
        </w:rPr>
        <w:t>审批/核准/备案机关批准，项目资金为</w:t>
      </w:r>
      <w:r>
        <w:rPr>
          <w:rFonts w:hint="eastAsia" w:ascii="宋体" w:hAnsi="宋体" w:eastAsia="宋体" w:cs="宋体"/>
          <w:sz w:val="24"/>
          <w:szCs w:val="24"/>
        </w:rPr>
        <w:t>自筹资金</w:t>
      </w:r>
      <w:r>
        <w:rPr>
          <w:rStyle w:val="29"/>
          <w:rFonts w:hint="eastAsia" w:ascii="宋体" w:hAnsi="宋体" w:eastAsia="宋体" w:cs="宋体"/>
          <w:color w:val="auto"/>
          <w:sz w:val="24"/>
          <w:szCs w:val="24"/>
          <w:lang w:val="en-US" w:eastAsia="zh-CN"/>
        </w:rPr>
        <w:t>0万</w:t>
      </w:r>
      <w:r>
        <w:rPr>
          <w:rFonts w:hint="eastAsia" w:ascii="宋体" w:hAnsi="宋体" w:eastAsia="宋体" w:cs="宋体"/>
          <w:color w:val="auto"/>
          <w:sz w:val="24"/>
          <w:szCs w:val="24"/>
        </w:rPr>
        <w:t>元</w:t>
      </w:r>
      <w:r>
        <w:rPr>
          <w:rFonts w:hint="eastAsia" w:ascii="宋体" w:hAnsi="宋体" w:eastAsia="宋体" w:cs="宋体"/>
          <w:color w:val="000000"/>
          <w:sz w:val="24"/>
          <w:szCs w:val="24"/>
        </w:rPr>
        <w:t>；招标人为</w:t>
      </w:r>
      <w:r>
        <w:rPr>
          <w:rFonts w:hint="eastAsia" w:ascii="宋体" w:hAnsi="宋体" w:eastAsia="宋体" w:cs="宋体"/>
          <w:color w:val="auto"/>
          <w:sz w:val="24"/>
          <w:szCs w:val="24"/>
          <w:lang w:eastAsia="zh-CN"/>
        </w:rPr>
        <w:t>南雄市人民医院</w:t>
      </w:r>
      <w:r>
        <w:rPr>
          <w:rFonts w:hint="eastAsia" w:ascii="宋体" w:hAnsi="宋体" w:eastAsia="宋体" w:cs="宋体"/>
          <w:color w:val="000000"/>
          <w:sz w:val="24"/>
          <w:szCs w:val="24"/>
        </w:rPr>
        <w:t>。本项目已具备招</w:t>
      </w:r>
      <w:r>
        <w:rPr>
          <w:rFonts w:hint="eastAsia" w:ascii="宋体" w:hAnsi="宋体" w:eastAsia="宋体" w:cs="宋体"/>
          <w:color w:val="000000" w:themeColor="text1"/>
          <w:sz w:val="24"/>
          <w:szCs w:val="24"/>
          <w14:textFill>
            <w14:solidFill>
              <w14:schemeClr w14:val="tx1"/>
            </w14:solidFill>
          </w14:textFill>
        </w:rPr>
        <w:t>标条件，现进行公开招标。</w:t>
      </w:r>
    </w:p>
    <w:p w14:paraId="37366235">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项目概况</w:t>
      </w:r>
    </w:p>
    <w:p w14:paraId="61CB0DF2">
      <w:pPr>
        <w:tabs>
          <w:tab w:val="left" w:pos="284"/>
          <w:tab w:val="left" w:pos="426"/>
        </w:tabs>
        <w:snapToGrid w:val="0"/>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规模：</w:t>
      </w:r>
      <w:r>
        <w:rPr>
          <w:rFonts w:hint="eastAsia" w:ascii="宋体" w:hAnsi="宋体" w:eastAsia="宋体" w:cs="宋体"/>
          <w:color w:val="000000" w:themeColor="text1"/>
          <w:kern w:val="28"/>
          <w:sz w:val="24"/>
          <w:szCs w:val="24"/>
          <w14:textFill>
            <w14:solidFill>
              <w14:schemeClr w14:val="tx1"/>
            </w14:solidFill>
          </w14:textFill>
        </w:rPr>
        <w:t>招标内容为</w:t>
      </w:r>
      <w:r>
        <w:rPr>
          <w:rFonts w:hint="eastAsia" w:ascii="宋体" w:hAnsi="宋体" w:eastAsia="宋体" w:cs="宋体"/>
          <w:color w:val="000000" w:themeColor="text1"/>
          <w:kern w:val="28"/>
          <w:sz w:val="24"/>
          <w:szCs w:val="24"/>
          <w:lang w:eastAsia="zh-CN"/>
          <w14:textFill>
            <w14:solidFill>
              <w14:schemeClr w14:val="tx1"/>
            </w14:solidFill>
          </w14:textFill>
        </w:rPr>
        <w:t>南雄市人民医院食堂对外承包</w:t>
      </w:r>
      <w:r>
        <w:rPr>
          <w:rFonts w:hint="eastAsia" w:ascii="宋体" w:hAnsi="宋体" w:eastAsia="宋体" w:cs="宋体"/>
          <w:color w:val="000000" w:themeColor="text1"/>
          <w:kern w:val="28"/>
          <w:sz w:val="24"/>
          <w:szCs w:val="24"/>
          <w14:textFill>
            <w14:solidFill>
              <w14:schemeClr w14:val="tx1"/>
            </w14:solidFill>
          </w14:textFill>
        </w:rPr>
        <w:t>，中标人数量</w:t>
      </w:r>
      <w:r>
        <w:rPr>
          <w:rFonts w:hint="eastAsia" w:ascii="宋体" w:hAnsi="宋体" w:eastAsia="宋体" w:cs="宋体"/>
          <w:color w:val="000000" w:themeColor="text1"/>
          <w:kern w:val="28"/>
          <w:sz w:val="24"/>
          <w:szCs w:val="24"/>
          <w:lang w:val="en-US" w:eastAsia="zh-CN"/>
          <w14:textFill>
            <w14:solidFill>
              <w14:schemeClr w14:val="tx1"/>
            </w14:solidFill>
          </w14:textFill>
        </w:rPr>
        <w:t>1</w:t>
      </w:r>
      <w:r>
        <w:rPr>
          <w:rFonts w:hint="eastAsia" w:ascii="宋体" w:hAnsi="宋体" w:eastAsia="宋体" w:cs="宋体"/>
          <w:color w:val="000000" w:themeColor="text1"/>
          <w:kern w:val="28"/>
          <w:sz w:val="24"/>
          <w:szCs w:val="24"/>
          <w14:textFill>
            <w14:solidFill>
              <w14:schemeClr w14:val="tx1"/>
            </w14:solidFill>
          </w14:textFill>
        </w:rPr>
        <w:t>家，合同有效期为自合同签订之日起</w:t>
      </w:r>
      <w:r>
        <w:rPr>
          <w:rFonts w:hint="eastAsia" w:ascii="宋体" w:hAnsi="宋体" w:eastAsia="宋体" w:cs="宋体"/>
          <w:color w:val="000000" w:themeColor="text1"/>
          <w:kern w:val="28"/>
          <w:sz w:val="24"/>
          <w:szCs w:val="24"/>
          <w:lang w:val="en-US" w:eastAsia="zh-CN"/>
          <w14:textFill>
            <w14:solidFill>
              <w14:schemeClr w14:val="tx1"/>
            </w14:solidFill>
          </w14:textFill>
        </w:rPr>
        <w:t>三</w:t>
      </w:r>
      <w:r>
        <w:rPr>
          <w:rFonts w:hint="eastAsia" w:ascii="宋体" w:hAnsi="宋体" w:eastAsia="宋体" w:cs="宋体"/>
          <w:color w:val="000000" w:themeColor="text1"/>
          <w:kern w:val="28"/>
          <w:sz w:val="24"/>
          <w:szCs w:val="24"/>
          <w14:textFill>
            <w14:solidFill>
              <w14:schemeClr w14:val="tx1"/>
            </w14:solidFill>
          </w14:textFill>
        </w:rPr>
        <w:t>年。</w:t>
      </w:r>
    </w:p>
    <w:p w14:paraId="3A1198BC">
      <w:pPr>
        <w:tabs>
          <w:tab w:val="left" w:pos="284"/>
          <w:tab w:val="left" w:pos="426"/>
        </w:tabs>
        <w:snapToGrid w:val="0"/>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范围：本招标项目划分为</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个标段，本次招标为其中的：</w:t>
      </w:r>
    </w:p>
    <w:p w14:paraId="2FBD4EE9">
      <w:pPr>
        <w:tabs>
          <w:tab w:val="left" w:pos="284"/>
          <w:tab w:val="left" w:pos="426"/>
        </w:tabs>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Style w:val="29"/>
          <w:rFonts w:hint="eastAsia" w:ascii="宋体" w:hAnsi="宋体" w:eastAsia="宋体" w:cs="宋体"/>
          <w:color w:val="000000" w:themeColor="text1"/>
          <w:sz w:val="24"/>
          <w:szCs w:val="24"/>
          <w14:textFill>
            <w14:solidFill>
              <w14:schemeClr w14:val="tx1"/>
            </w14:solidFill>
          </w14:textFill>
        </w:rPr>
        <w:t>采购内容1：</w:t>
      </w:r>
      <w:r>
        <w:rPr>
          <w:rFonts w:hint="eastAsia" w:ascii="宋体" w:hAnsi="宋体" w:eastAsia="宋体" w:cs="宋体"/>
          <w:color w:val="000000" w:themeColor="text1"/>
          <w:kern w:val="28"/>
          <w:sz w:val="24"/>
          <w:szCs w:val="24"/>
          <w:lang w:eastAsia="zh-CN"/>
          <w14:textFill>
            <w14:solidFill>
              <w14:schemeClr w14:val="tx1"/>
            </w14:solidFill>
          </w14:textFill>
        </w:rPr>
        <w:t>南雄市人民医院食堂对外承包</w:t>
      </w:r>
      <w:r>
        <w:rPr>
          <w:rStyle w:val="29"/>
          <w:rFonts w:hint="eastAsia" w:ascii="宋体" w:hAnsi="宋体" w:eastAsia="宋体" w:cs="宋体"/>
          <w:color w:val="000000" w:themeColor="text1"/>
          <w:sz w:val="24"/>
          <w:szCs w:val="24"/>
          <w14:textFill>
            <w14:solidFill>
              <w14:schemeClr w14:val="tx1"/>
            </w14:solidFill>
          </w14:textFill>
        </w:rPr>
        <w:t>；</w:t>
      </w:r>
    </w:p>
    <w:p w14:paraId="0CF79748">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投标人资格要求</w:t>
      </w:r>
    </w:p>
    <w:p w14:paraId="4E0CE6F9">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lang w:eastAsia="zh-CN"/>
        </w:rPr>
        <w:t>南雄市人民医院食堂对外承包</w:t>
      </w:r>
      <w:r>
        <w:rPr>
          <w:rFonts w:hint="eastAsia" w:ascii="宋体" w:hAnsi="宋体" w:eastAsia="宋体" w:cs="宋体"/>
          <w:b/>
          <w:color w:val="auto"/>
          <w:sz w:val="24"/>
          <w:szCs w:val="24"/>
        </w:rPr>
        <w:t>）投标人的资格能力要求：</w:t>
      </w:r>
    </w:p>
    <w:p w14:paraId="0F9E98B5">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具有独立承担民事责任能力的在中华人民共和国境内注册的法人或其他组织（提供企业法人或者其他组织营业执照或事业法人登记证及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p>
    <w:p w14:paraId="48F8D3EB">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必须具有良好的商业信誉和健全的财务会计制度（提供20</w:t>
      </w:r>
      <w:r>
        <w:rPr>
          <w:rFonts w:hint="eastAsia" w:ascii="宋体" w:hAnsi="宋体" w:eastAsia="宋体" w:cs="宋体"/>
          <w:bCs/>
          <w:color w:val="auto"/>
          <w:sz w:val="24"/>
          <w:szCs w:val="24"/>
          <w:lang w:val="en-US" w:eastAsia="zh-CN"/>
        </w:rPr>
        <w:t>24</w:t>
      </w:r>
      <w:r>
        <w:rPr>
          <w:rFonts w:hint="eastAsia" w:ascii="宋体" w:hAnsi="宋体" w:eastAsia="宋体" w:cs="宋体"/>
          <w:bCs/>
          <w:color w:val="auto"/>
          <w:sz w:val="24"/>
          <w:szCs w:val="24"/>
        </w:rPr>
        <w:t>年度财务状况报告或财务报表或者基本户开户银行出具的资信证明，若新成立的，提供成立至今的月或季度财务状况报告或财务报表复印件并加盖公章）；</w:t>
      </w:r>
    </w:p>
    <w:p w14:paraId="21A9D36C">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有依法缴纳税收和社会保障资金的良好记录（提供投标截止时间前6个月任意1个月依法缴纳税收和社会保障资金相关证明材料；如依法免税和依法不需要缴纳社会保障资金，则须提供相应文件证明其依法免税和不需要缴纳社会保障资金）；</w:t>
      </w:r>
    </w:p>
    <w:p w14:paraId="58D7993C">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具备履行合同所必需的设备和专业技术能力；(提供《投标人资格声明函》。)</w:t>
      </w:r>
    </w:p>
    <w:p w14:paraId="5309C1F3">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参加招标活动前3年内，在经营活动中没有重大违法记录；(提供《投标人资格声明函》。)</w:t>
      </w:r>
    </w:p>
    <w:p w14:paraId="1C3F3221">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投标人须具备有效的《食品经营许可证》（主体业态：餐饮服务经营者）</w:t>
      </w:r>
      <w:r>
        <w:rPr>
          <w:rFonts w:hint="eastAsia" w:ascii="宋体" w:hAnsi="宋体" w:eastAsia="宋体" w:cs="宋体"/>
          <w:bCs/>
          <w:color w:val="auto"/>
          <w:sz w:val="24"/>
          <w:szCs w:val="24"/>
          <w:lang w:val="en-US" w:eastAsia="zh-CN"/>
        </w:rPr>
        <w:t>。（提供有效的《食品经营许可证》复印件）</w:t>
      </w:r>
    </w:p>
    <w:p w14:paraId="4C5480BB">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单位负责人为同一人或者存在控股、管理关系的不同供应商，不得参加同一合同项下的招标活动</w:t>
      </w:r>
      <w:r>
        <w:rPr>
          <w:rFonts w:hint="eastAsia" w:ascii="宋体" w:hAnsi="宋体" w:eastAsia="宋体" w:cs="宋体"/>
          <w:bCs/>
          <w:color w:val="auto"/>
          <w:kern w:val="2"/>
          <w:sz w:val="24"/>
          <w:szCs w:val="24"/>
        </w:rPr>
        <w:t>。</w:t>
      </w:r>
      <w:r>
        <w:rPr>
          <w:rFonts w:hint="eastAsia" w:ascii="宋体" w:hAnsi="宋体" w:eastAsia="宋体" w:cs="宋体"/>
          <w:bCs/>
          <w:color w:val="auto"/>
          <w:sz w:val="24"/>
          <w:szCs w:val="24"/>
        </w:rPr>
        <w:t>（提供《投标人资格声明函》）</w:t>
      </w:r>
    </w:p>
    <w:p w14:paraId="62CE562F">
      <w:pPr>
        <w:numPr>
          <w:ilvl w:val="0"/>
          <w:numId w:val="3"/>
        </w:numPr>
        <w:autoSpaceDE/>
        <w:autoSpaceDN/>
        <w:snapToGrid w:val="0"/>
        <w:spacing w:line="360" w:lineRule="auto"/>
        <w:ind w:left="400" w:hanging="42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投标人未被列入“信用中国”网站(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www.creditchina.gov.cn</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rPr>
        <w:t>人、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商存在不良信用记录。）</w:t>
      </w:r>
    </w:p>
    <w:p w14:paraId="0E8AA96B">
      <w:pPr>
        <w:numPr>
          <w:ilvl w:val="0"/>
          <w:numId w:val="3"/>
        </w:numPr>
        <w:autoSpaceDE/>
        <w:autoSpaceDN/>
        <w:snapToGrid w:val="0"/>
        <w:spacing w:line="360" w:lineRule="auto"/>
        <w:ind w:left="400" w:hanging="42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本项目不允许联合体投标</w:t>
      </w:r>
      <w:r>
        <w:rPr>
          <w:rFonts w:hint="eastAsia" w:ascii="宋体" w:hAnsi="宋体" w:eastAsia="宋体" w:cs="宋体"/>
          <w:color w:val="auto"/>
          <w:sz w:val="24"/>
          <w:szCs w:val="24"/>
        </w:rPr>
        <w:t>，中标后不得转包、不得分包</w:t>
      </w:r>
      <w:r>
        <w:rPr>
          <w:rFonts w:hint="eastAsia" w:ascii="宋体" w:hAnsi="宋体" w:eastAsia="宋体" w:cs="宋体"/>
          <w:b w:val="0"/>
          <w:bCs/>
          <w:color w:val="auto"/>
          <w:sz w:val="24"/>
          <w:szCs w:val="24"/>
        </w:rPr>
        <w:t>。</w:t>
      </w:r>
      <w:r>
        <w:rPr>
          <w:rFonts w:hint="eastAsia" w:ascii="宋体" w:hAnsi="宋体" w:eastAsia="宋体" w:cs="宋体"/>
          <w:bCs/>
          <w:color w:val="auto"/>
          <w:sz w:val="24"/>
          <w:szCs w:val="24"/>
        </w:rPr>
        <w:t>（提供《投标人资格声明函》）</w:t>
      </w:r>
    </w:p>
    <w:p w14:paraId="79F222CB">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招标文件的获取</w:t>
      </w:r>
    </w:p>
    <w:p w14:paraId="5D441D25">
      <w:pPr>
        <w:pStyle w:val="7"/>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获取时间：</w:t>
      </w:r>
      <w:r>
        <w:rPr>
          <w:rFonts w:hint="eastAsia" w:ascii="宋体" w:hAnsi="宋体" w:eastAsia="宋体" w:cs="宋体"/>
          <w:bCs/>
          <w:i w:val="0"/>
          <w:iCs w:val="0"/>
          <w:caps w:val="0"/>
          <w:color w:val="000000"/>
          <w:spacing w:val="0"/>
          <w:sz w:val="24"/>
          <w:szCs w:val="24"/>
          <w:shd w:val="clear"/>
        </w:rPr>
        <w:t>202</w:t>
      </w:r>
      <w:r>
        <w:rPr>
          <w:rFonts w:hint="eastAsia" w:ascii="宋体" w:hAnsi="宋体" w:eastAsia="宋体" w:cs="宋体"/>
          <w:bCs/>
          <w:i w:val="0"/>
          <w:iCs w:val="0"/>
          <w:caps w:val="0"/>
          <w:color w:val="000000"/>
          <w:spacing w:val="0"/>
          <w:sz w:val="24"/>
          <w:szCs w:val="24"/>
          <w:shd w:val="clear"/>
          <w:lang w:val="en-US" w:eastAsia="zh-CN"/>
        </w:rPr>
        <w:t>6</w:t>
      </w:r>
      <w:r>
        <w:rPr>
          <w:rFonts w:hint="eastAsia" w:ascii="宋体" w:hAnsi="宋体" w:eastAsia="宋体" w:cs="宋体"/>
          <w:bCs/>
          <w:i w:val="0"/>
          <w:iCs w:val="0"/>
          <w:caps w:val="0"/>
          <w:color w:val="000000"/>
          <w:spacing w:val="0"/>
          <w:sz w:val="24"/>
          <w:szCs w:val="24"/>
          <w:shd w:val="clear"/>
        </w:rPr>
        <w:t>年</w:t>
      </w:r>
      <w:r>
        <w:rPr>
          <w:rFonts w:hint="eastAsia" w:ascii="宋体" w:hAnsi="宋体" w:eastAsia="宋体" w:cs="宋体"/>
          <w:bCs/>
          <w:i w:val="0"/>
          <w:iCs w:val="0"/>
          <w:caps w:val="0"/>
          <w:color w:val="000000"/>
          <w:spacing w:val="0"/>
          <w:sz w:val="24"/>
          <w:szCs w:val="24"/>
          <w:shd w:val="clear"/>
          <w:lang w:val="en-US" w:eastAsia="zh-CN"/>
        </w:rPr>
        <w:t>01</w:t>
      </w:r>
      <w:r>
        <w:rPr>
          <w:rFonts w:hint="eastAsia" w:ascii="宋体" w:hAnsi="宋体" w:eastAsia="宋体" w:cs="宋体"/>
          <w:bCs/>
          <w:i w:val="0"/>
          <w:iCs w:val="0"/>
          <w:caps w:val="0"/>
          <w:color w:val="000000"/>
          <w:spacing w:val="0"/>
          <w:sz w:val="24"/>
          <w:szCs w:val="24"/>
          <w:shd w:val="clear"/>
        </w:rPr>
        <w:t>月</w:t>
      </w:r>
      <w:r>
        <w:rPr>
          <w:rFonts w:hint="eastAsia" w:ascii="宋体" w:hAnsi="宋体" w:eastAsia="宋体" w:cs="宋体"/>
          <w:bCs/>
          <w:i w:val="0"/>
          <w:iCs w:val="0"/>
          <w:caps w:val="0"/>
          <w:color w:val="000000"/>
          <w:spacing w:val="0"/>
          <w:sz w:val="24"/>
          <w:szCs w:val="24"/>
          <w:shd w:val="clear"/>
          <w:lang w:val="en-US" w:eastAsia="zh-CN"/>
        </w:rPr>
        <w:t>22</w:t>
      </w:r>
      <w:r>
        <w:rPr>
          <w:rFonts w:hint="eastAsia" w:ascii="宋体" w:hAnsi="宋体" w:eastAsia="宋体" w:cs="宋体"/>
          <w:bCs/>
          <w:i w:val="0"/>
          <w:iCs w:val="0"/>
          <w:caps w:val="0"/>
          <w:color w:val="000000"/>
          <w:spacing w:val="0"/>
          <w:sz w:val="24"/>
          <w:szCs w:val="24"/>
          <w:shd w:val="clear"/>
        </w:rPr>
        <w:t>日</w:t>
      </w:r>
      <w:r>
        <w:rPr>
          <w:rFonts w:hint="eastAsia" w:ascii="宋体" w:hAnsi="宋体" w:eastAsia="宋体" w:cs="宋体"/>
          <w:bCs/>
          <w:i w:val="0"/>
          <w:iCs w:val="0"/>
          <w:caps w:val="0"/>
          <w:color w:val="000000"/>
          <w:spacing w:val="0"/>
          <w:sz w:val="24"/>
          <w:szCs w:val="24"/>
          <w:shd w:val="clear"/>
          <w:lang w:val="en-US" w:eastAsia="zh-CN"/>
        </w:rPr>
        <w:t>16时00分</w:t>
      </w:r>
      <w:r>
        <w:rPr>
          <w:rFonts w:hint="eastAsia" w:ascii="宋体" w:hAnsi="宋体" w:eastAsia="宋体" w:cs="宋体"/>
          <w:bCs/>
          <w:i w:val="0"/>
          <w:iCs w:val="0"/>
          <w:caps w:val="0"/>
          <w:color w:val="000000"/>
          <w:spacing w:val="0"/>
          <w:sz w:val="24"/>
          <w:szCs w:val="24"/>
          <w:shd w:val="clear"/>
        </w:rPr>
        <w:t>起至202</w:t>
      </w:r>
      <w:r>
        <w:rPr>
          <w:rFonts w:hint="eastAsia" w:ascii="宋体" w:hAnsi="宋体" w:eastAsia="宋体" w:cs="宋体"/>
          <w:bCs/>
          <w:i w:val="0"/>
          <w:iCs w:val="0"/>
          <w:caps w:val="0"/>
          <w:color w:val="000000"/>
          <w:spacing w:val="0"/>
          <w:sz w:val="24"/>
          <w:szCs w:val="24"/>
          <w:shd w:val="clear"/>
          <w:lang w:val="en-US" w:eastAsia="zh-CN"/>
        </w:rPr>
        <w:t>6</w:t>
      </w:r>
      <w:r>
        <w:rPr>
          <w:rFonts w:hint="eastAsia" w:ascii="宋体" w:hAnsi="宋体" w:eastAsia="宋体" w:cs="宋体"/>
          <w:bCs/>
          <w:i w:val="0"/>
          <w:iCs w:val="0"/>
          <w:caps w:val="0"/>
          <w:color w:val="000000"/>
          <w:spacing w:val="0"/>
          <w:sz w:val="24"/>
          <w:szCs w:val="24"/>
          <w:shd w:val="clear"/>
        </w:rPr>
        <w:t>年</w:t>
      </w:r>
      <w:r>
        <w:rPr>
          <w:rFonts w:hint="eastAsia" w:ascii="宋体" w:hAnsi="宋体" w:eastAsia="宋体" w:cs="宋体"/>
          <w:bCs/>
          <w:i w:val="0"/>
          <w:iCs w:val="0"/>
          <w:caps w:val="0"/>
          <w:color w:val="000000"/>
          <w:spacing w:val="0"/>
          <w:sz w:val="24"/>
          <w:szCs w:val="24"/>
          <w:shd w:val="clear"/>
          <w:lang w:val="en-US" w:eastAsia="zh-CN"/>
        </w:rPr>
        <w:t>01</w:t>
      </w:r>
      <w:r>
        <w:rPr>
          <w:rFonts w:hint="eastAsia" w:ascii="宋体" w:hAnsi="宋体" w:eastAsia="宋体" w:cs="宋体"/>
          <w:bCs/>
          <w:i w:val="0"/>
          <w:iCs w:val="0"/>
          <w:caps w:val="0"/>
          <w:color w:val="000000"/>
          <w:spacing w:val="0"/>
          <w:sz w:val="24"/>
          <w:szCs w:val="24"/>
          <w:shd w:val="clear"/>
        </w:rPr>
        <w:t>月</w:t>
      </w:r>
      <w:r>
        <w:rPr>
          <w:rFonts w:hint="eastAsia" w:ascii="宋体" w:hAnsi="宋体" w:eastAsia="宋体" w:cs="宋体"/>
          <w:bCs/>
          <w:i w:val="0"/>
          <w:iCs w:val="0"/>
          <w:caps w:val="0"/>
          <w:color w:val="000000"/>
          <w:spacing w:val="0"/>
          <w:sz w:val="24"/>
          <w:szCs w:val="24"/>
          <w:shd w:val="clear"/>
          <w:lang w:val="en-US" w:eastAsia="zh-CN"/>
        </w:rPr>
        <w:t>2</w:t>
      </w:r>
      <w:r>
        <w:rPr>
          <w:rFonts w:hint="eastAsia" w:ascii="宋体" w:hAnsi="宋体" w:cs="宋体"/>
          <w:bCs/>
          <w:i w:val="0"/>
          <w:iCs w:val="0"/>
          <w:caps w:val="0"/>
          <w:color w:val="000000"/>
          <w:spacing w:val="0"/>
          <w:sz w:val="24"/>
          <w:szCs w:val="24"/>
          <w:shd w:val="clear"/>
          <w:lang w:val="en-US" w:eastAsia="zh-CN"/>
        </w:rPr>
        <w:t>9</w:t>
      </w:r>
      <w:r>
        <w:rPr>
          <w:rFonts w:hint="eastAsia" w:ascii="宋体" w:hAnsi="宋体" w:eastAsia="宋体" w:cs="宋体"/>
          <w:bCs/>
          <w:i w:val="0"/>
          <w:iCs w:val="0"/>
          <w:caps w:val="0"/>
          <w:color w:val="000000"/>
          <w:spacing w:val="0"/>
          <w:sz w:val="24"/>
          <w:szCs w:val="24"/>
          <w:shd w:val="clear"/>
        </w:rPr>
        <w:t>日</w:t>
      </w:r>
      <w:r>
        <w:rPr>
          <w:rFonts w:hint="eastAsia" w:ascii="宋体" w:hAnsi="宋体" w:eastAsia="宋体" w:cs="宋体"/>
          <w:bCs/>
          <w:i w:val="0"/>
          <w:iCs w:val="0"/>
          <w:caps w:val="0"/>
          <w:color w:val="000000"/>
          <w:spacing w:val="0"/>
          <w:sz w:val="24"/>
          <w:szCs w:val="24"/>
          <w:shd w:val="clear"/>
          <w:lang w:val="en-US" w:eastAsia="zh-CN"/>
        </w:rPr>
        <w:t>23时59分</w:t>
      </w:r>
      <w:r>
        <w:rPr>
          <w:rFonts w:hint="eastAsia" w:ascii="宋体" w:hAnsi="宋体" w:eastAsia="宋体" w:cs="宋体"/>
          <w:bCs/>
          <w:i w:val="0"/>
          <w:iCs w:val="0"/>
          <w:caps w:val="0"/>
          <w:color w:val="000000"/>
          <w:spacing w:val="0"/>
          <w:sz w:val="24"/>
          <w:szCs w:val="24"/>
          <w:shd w:val="clear"/>
        </w:rPr>
        <w:t>（提供期限自本公告发布之日起不得少于5个工作日，北京时间，法定节假日除外）</w:t>
      </w:r>
    </w:p>
    <w:p w14:paraId="019B1CC8">
      <w:pPr>
        <w:snapToGrid w:val="0"/>
        <w:spacing w:line="360" w:lineRule="auto"/>
        <w:ind w:firstLine="482" w:firstLineChars="200"/>
        <w:jc w:val="left"/>
        <w:rPr>
          <w:rFonts w:hint="eastAsia" w:ascii="宋体" w:hAnsi="宋体" w:eastAsia="宋体" w:cs="宋体"/>
          <w:b w:val="0"/>
          <w:bCs/>
          <w:color w:val="000000"/>
          <w:sz w:val="24"/>
          <w:szCs w:val="24"/>
        </w:rPr>
      </w:pPr>
      <w:r>
        <w:rPr>
          <w:rFonts w:hint="eastAsia" w:ascii="宋体" w:hAnsi="宋体" w:eastAsia="宋体" w:cs="宋体"/>
          <w:b/>
          <w:color w:val="000000"/>
          <w:sz w:val="24"/>
          <w:szCs w:val="24"/>
        </w:rPr>
        <w:t>地点：</w:t>
      </w:r>
      <w:r>
        <w:rPr>
          <w:rFonts w:hint="eastAsia" w:ascii="宋体" w:hAnsi="宋体" w:eastAsia="宋体" w:cs="宋体"/>
          <w:b w:val="0"/>
          <w:bCs/>
          <w:color w:val="000000"/>
          <w:sz w:val="24"/>
          <w:szCs w:val="24"/>
        </w:rPr>
        <w:t>本项目采用</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 w:val="0"/>
          <w:bCs/>
          <w:color w:val="000000"/>
          <w:sz w:val="24"/>
          <w:szCs w:val="24"/>
        </w:rPr>
        <w:t>“产权招标交易系统”进行网上报名，详见“</w:t>
      </w: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、其他”。</w:t>
      </w:r>
    </w:p>
    <w:p w14:paraId="1BB15916">
      <w:pPr>
        <w:snapToGrid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方式：</w:t>
      </w:r>
      <w:r>
        <w:rPr>
          <w:rFonts w:hint="eastAsia" w:ascii="宋体" w:hAnsi="宋体" w:eastAsia="宋体" w:cs="宋体"/>
          <w:b w:val="0"/>
          <w:bCs/>
          <w:color w:val="000000"/>
          <w:sz w:val="24"/>
          <w:szCs w:val="24"/>
        </w:rPr>
        <w:t>网上报名</w:t>
      </w:r>
    </w:p>
    <w:p w14:paraId="2F7BC9BC">
      <w:pPr>
        <w:snapToGrid w:val="0"/>
        <w:spacing w:line="360" w:lineRule="auto"/>
        <w:ind w:firstLine="482" w:firstLineChars="200"/>
        <w:jc w:val="left"/>
        <w:rPr>
          <w:rFonts w:hint="eastAsia" w:ascii="宋体" w:hAnsi="宋体" w:eastAsia="宋体" w:cs="宋体"/>
          <w:b w:val="0"/>
          <w:bCs/>
          <w:color w:val="000000"/>
          <w:sz w:val="24"/>
          <w:szCs w:val="24"/>
        </w:rPr>
      </w:pPr>
      <w:r>
        <w:rPr>
          <w:rFonts w:hint="eastAsia" w:ascii="宋体" w:hAnsi="宋体" w:eastAsia="宋体" w:cs="宋体"/>
          <w:b/>
          <w:color w:val="000000"/>
          <w:sz w:val="24"/>
          <w:szCs w:val="24"/>
        </w:rPr>
        <w:t>售价(元)：</w:t>
      </w:r>
      <w:r>
        <w:rPr>
          <w:rFonts w:hint="eastAsia" w:ascii="宋体" w:hAnsi="宋体" w:eastAsia="宋体" w:cs="宋体"/>
          <w:b w:val="0"/>
          <w:bCs/>
          <w:color w:val="000000"/>
          <w:sz w:val="24"/>
          <w:szCs w:val="24"/>
        </w:rPr>
        <w:t>0.00</w:t>
      </w:r>
    </w:p>
    <w:p w14:paraId="3AA77C96">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投标文件的递交</w:t>
      </w:r>
    </w:p>
    <w:p w14:paraId="0384977C">
      <w:pPr>
        <w:tabs>
          <w:tab w:val="left" w:pos="284"/>
          <w:tab w:val="left" w:pos="426"/>
        </w:tabs>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000000"/>
          <w:sz w:val="24"/>
          <w:szCs w:val="24"/>
          <w:lang w:val="en-US" w:eastAsia="zh-CN"/>
        </w:rPr>
        <w:t>电子投标</w:t>
      </w:r>
      <w:r>
        <w:rPr>
          <w:rFonts w:hint="eastAsia" w:ascii="宋体" w:hAnsi="宋体" w:eastAsia="宋体" w:cs="宋体"/>
          <w:b/>
          <w:color w:val="000000"/>
          <w:sz w:val="24"/>
          <w:szCs w:val="24"/>
        </w:rPr>
        <w:t>递交截止时间：</w:t>
      </w:r>
      <w:r>
        <w:rPr>
          <w:rFonts w:hint="eastAsia" w:ascii="宋体" w:hAnsi="宋体" w:eastAsia="宋体" w:cs="宋体"/>
          <w:bCs/>
          <w:color w:val="auto"/>
          <w:sz w:val="24"/>
          <w:szCs w:val="24"/>
          <w:u w:val="single"/>
          <w:lang w:val="en-US" w:eastAsia="zh-CN"/>
        </w:rPr>
        <w:t>2026</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02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p>
    <w:p w14:paraId="4E9C88DC">
      <w:pPr>
        <w:tabs>
          <w:tab w:val="left" w:pos="284"/>
          <w:tab w:val="left" w:pos="426"/>
        </w:tabs>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iCs w:val="0"/>
          <w:color w:val="auto"/>
          <w:sz w:val="24"/>
          <w:szCs w:val="24"/>
          <w:u w:val="none"/>
          <w:lang w:val="en-US" w:eastAsia="zh-CN"/>
        </w:rPr>
        <w:t>纸质投标文件截止时间：</w:t>
      </w:r>
      <w:r>
        <w:rPr>
          <w:rFonts w:hint="eastAsia" w:ascii="宋体" w:hAnsi="宋体" w:eastAsia="宋体" w:cs="宋体"/>
          <w:bCs/>
          <w:color w:val="auto"/>
          <w:sz w:val="24"/>
          <w:szCs w:val="24"/>
          <w:u w:val="single"/>
          <w:lang w:val="en-US" w:eastAsia="zh-CN"/>
        </w:rPr>
        <w:t>2026</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02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p>
    <w:p w14:paraId="1A5E1C9E">
      <w:pPr>
        <w:spacing w:line="360" w:lineRule="auto"/>
        <w:ind w:firstLine="54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递交方式：</w:t>
      </w:r>
      <w:r>
        <w:rPr>
          <w:rFonts w:hint="eastAsia" w:ascii="宋体" w:hAnsi="宋体" w:eastAsia="宋体" w:cs="宋体"/>
          <w:color w:val="auto"/>
          <w:sz w:val="24"/>
          <w:szCs w:val="24"/>
          <w:u w:val="none"/>
        </w:rPr>
        <w:t>参与本项目的投标人须采用全国公共资源交易平台（广东省·韶关市）（网址：https://ygp.gdzwfw.gov.cn/#/440200/index）“产权招标交易系统”进行网上报名，详见“</w:t>
      </w:r>
      <w:r>
        <w:rPr>
          <w:rFonts w:hint="eastAsia" w:ascii="宋体" w:hAnsi="宋体" w:eastAsia="宋体" w:cs="宋体"/>
          <w:color w:val="auto"/>
          <w:sz w:val="24"/>
          <w:szCs w:val="24"/>
          <w:u w:val="none"/>
          <w:lang w:val="en-US" w:eastAsia="zh-CN"/>
        </w:rPr>
        <w:t>七</w:t>
      </w:r>
      <w:r>
        <w:rPr>
          <w:rFonts w:hint="eastAsia" w:ascii="宋体" w:hAnsi="宋体" w:eastAsia="宋体" w:cs="宋体"/>
          <w:color w:val="auto"/>
          <w:sz w:val="24"/>
          <w:szCs w:val="24"/>
          <w:u w:val="none"/>
        </w:rPr>
        <w:t>、其他”</w:t>
      </w:r>
      <w:r>
        <w:rPr>
          <w:rFonts w:hint="eastAsia" w:ascii="宋体" w:hAnsi="宋体" w:eastAsia="宋体" w:cs="宋体"/>
          <w:color w:val="auto"/>
          <w:sz w:val="24"/>
          <w:szCs w:val="24"/>
          <w:u w:val="none"/>
          <w:lang w:eastAsia="zh-CN"/>
        </w:rPr>
        <w:t>。</w:t>
      </w:r>
    </w:p>
    <w:p w14:paraId="1F47D6F3">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开标时间及地点</w:t>
      </w:r>
    </w:p>
    <w:p w14:paraId="3182FEAE">
      <w:pPr>
        <w:tabs>
          <w:tab w:val="left" w:pos="284"/>
          <w:tab w:val="left" w:pos="426"/>
        </w:tabs>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开标时间：</w:t>
      </w:r>
      <w:r>
        <w:rPr>
          <w:rFonts w:hint="eastAsia" w:ascii="宋体" w:hAnsi="宋体" w:eastAsia="宋体" w:cs="宋体"/>
          <w:bCs/>
          <w:color w:val="auto"/>
          <w:sz w:val="24"/>
          <w:szCs w:val="24"/>
          <w:u w:val="single"/>
        </w:rPr>
        <w:t>20</w:t>
      </w:r>
      <w:r>
        <w:rPr>
          <w:rFonts w:hint="eastAsia" w:ascii="宋体" w:hAnsi="宋体" w:eastAsia="宋体" w:cs="宋体"/>
          <w:bCs/>
          <w:color w:val="auto"/>
          <w:sz w:val="24"/>
          <w:szCs w:val="24"/>
          <w:u w:val="single"/>
          <w:lang w:val="en-US" w:eastAsia="zh-CN"/>
        </w:rPr>
        <w:t>26</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02</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12</w:t>
      </w:r>
      <w:r>
        <w:rPr>
          <w:rFonts w:hint="eastAsia" w:ascii="宋体" w:hAnsi="宋体" w:eastAsia="宋体" w:cs="宋体"/>
          <w:bCs/>
          <w:color w:val="auto"/>
          <w:sz w:val="24"/>
          <w:szCs w:val="24"/>
          <w:u w:val="single"/>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p>
    <w:p w14:paraId="681D979C">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开标地点：</w:t>
      </w:r>
      <w:r>
        <w:rPr>
          <w:rFonts w:hint="eastAsia" w:ascii="宋体" w:hAnsi="宋体" w:eastAsia="宋体" w:cs="宋体"/>
          <w:i w:val="0"/>
          <w:iCs w:val="0"/>
          <w:caps w:val="0"/>
          <w:color w:val="auto"/>
          <w:spacing w:val="0"/>
          <w:sz w:val="24"/>
          <w:szCs w:val="24"/>
          <w:u w:val="single"/>
          <w:shd w:val="clear"/>
        </w:rPr>
        <w:t>南雄市雄东路1号大润发四楼</w:t>
      </w:r>
      <w:r>
        <w:rPr>
          <w:rFonts w:hint="eastAsia" w:ascii="宋体" w:hAnsi="宋体" w:eastAsia="宋体" w:cs="宋体"/>
          <w:color w:val="auto"/>
          <w:sz w:val="24"/>
          <w:szCs w:val="24"/>
          <w:u w:val="single"/>
          <w:lang w:eastAsia="zh-CN"/>
        </w:rPr>
        <w:t>（韶关市公共资源交易中心南雄分中心，具体房间号以当日现场通知为准）</w:t>
      </w:r>
    </w:p>
    <w:p w14:paraId="607C603B">
      <w:pPr>
        <w:numPr>
          <w:ilvl w:val="0"/>
          <w:numId w:val="2"/>
        </w:numPr>
        <w:tabs>
          <w:tab w:val="left" w:pos="284"/>
          <w:tab w:val="left" w:pos="426"/>
        </w:tabs>
        <w:autoSpaceDE/>
        <w:autoSpaceDN/>
        <w:adjustRightInd/>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其他</w:t>
      </w:r>
      <w:r>
        <w:rPr>
          <w:rFonts w:hint="eastAsia" w:ascii="宋体" w:hAnsi="宋体" w:eastAsia="宋体" w:cs="宋体"/>
          <w:b/>
          <w:sz w:val="24"/>
          <w:szCs w:val="24"/>
          <w:lang w:val="en-US" w:eastAsia="zh-CN"/>
        </w:rPr>
        <w:t xml:space="preserve"> (温馨提示：为了避免投标人参与投标失败，请着重阅读此章节）</w:t>
      </w:r>
    </w:p>
    <w:p w14:paraId="5F88A1B6">
      <w:pPr>
        <w:numPr>
          <w:ilvl w:val="0"/>
          <w:numId w:val="4"/>
        </w:numPr>
        <w:autoSpaceDE/>
        <w:autoSpaceDN/>
        <w:snapToGrid w:val="0"/>
        <w:spacing w:line="360" w:lineRule="auto"/>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报名事宜</w:t>
      </w:r>
    </w:p>
    <w:p w14:paraId="42C1AF73">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 参与本项目的投标人须采用</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Cs/>
          <w:color w:val="auto"/>
          <w:sz w:val="24"/>
          <w:szCs w:val="24"/>
        </w:rPr>
        <w:t>“产权招标交易系统”进行网上报名、交纳投标保证金。</w:t>
      </w:r>
    </w:p>
    <w:p w14:paraId="172D7B45">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 报名流程：投标人必须在报名时间内登录</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Cs/>
          <w:color w:val="auto"/>
          <w:sz w:val="24"/>
          <w:szCs w:val="24"/>
        </w:rPr>
        <w:t>，在用户登录窗口登录。登录成功后，点击“产权招标交易系统”进入产权招标交易系统，投标人点击菜单“项目投标 &gt;项目列表”，可以查看当前可报名的产权招标项目，点击一个项目的“报名”链接，可以进入查看项目信息，并进行报名。报名时输入“企业联系人”、“联系手机”，点击“报名”按钮，插入CA，输入正确的PIN码，即可报名。在“已报项目”栏中看到已报项目，即为报名成功。</w:t>
      </w:r>
    </w:p>
    <w:p w14:paraId="18B6A2C9">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 未在韶关市公共资源交易中心办理韶关市电子交易平台数字证书和产权招标交易系统供应商入库手续的，投标人应当登录</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Cs/>
          <w:color w:val="auto"/>
          <w:sz w:val="24"/>
          <w:szCs w:val="24"/>
        </w:rPr>
        <w:t>用户注册及完善企业信息、上传资料，携带相关资料到韶关市公共资源交易中心1号楼一楼办事大厅办理相关手续（详见</w:t>
      </w:r>
      <w:r>
        <w:rPr>
          <w:rFonts w:hint="eastAsia" w:ascii="宋体" w:hAnsi="宋体" w:eastAsia="宋体" w:cs="宋体"/>
          <w:bCs/>
          <w:color w:val="auto"/>
          <w:sz w:val="24"/>
          <w:szCs w:val="24"/>
          <w:lang w:val="en-US" w:eastAsia="zh-CN"/>
        </w:rPr>
        <w:t>全国公共资源交易平台（广东省·韶关市）</w:t>
      </w:r>
      <w:r>
        <w:rPr>
          <w:rFonts w:hint="eastAsia" w:ascii="宋体" w:hAnsi="宋体" w:eastAsia="宋体" w:cs="宋体"/>
          <w:bCs/>
          <w:color w:val="auto"/>
          <w:sz w:val="24"/>
          <w:szCs w:val="24"/>
        </w:rPr>
        <w:t>的《韶关市公共资源交易一体化平台使用产权招标交易系统注意事项》的附件《韶关市公共资源交易一体化平台产权招标交易-投标人用户手册》）。</w:t>
      </w:r>
    </w:p>
    <w:p w14:paraId="01DA74D1">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 报名成功后，投标人自行登录</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Cs/>
          <w:color w:val="auto"/>
          <w:sz w:val="24"/>
          <w:szCs w:val="24"/>
        </w:rPr>
        <w:t>“产权招标交易系统”下载招标文件、操作指南（以最新日期版本为准）参加投标活动。</w:t>
      </w:r>
    </w:p>
    <w:p w14:paraId="1335F120">
      <w:pPr>
        <w:numPr>
          <w:ilvl w:val="0"/>
          <w:numId w:val="4"/>
        </w:numPr>
        <w:autoSpaceDE/>
        <w:autoSpaceDN/>
        <w:snapToGrid w:val="0"/>
        <w:spacing w:line="360" w:lineRule="auto"/>
        <w:ind w:left="782" w:hanging="363"/>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交纳投标保证金事宜（技术支持：QQ：260153990/电话：0751-8379671伍工）</w:t>
      </w:r>
    </w:p>
    <w:p w14:paraId="55ADE3F1">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 投标保证金交纳截止时间：202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02</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1</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日</w:t>
      </w:r>
      <w:r>
        <w:rPr>
          <w:rFonts w:hint="eastAsia" w:ascii="宋体" w:hAnsi="宋体" w:eastAsia="宋体" w:cs="宋体"/>
          <w:bCs/>
          <w:color w:val="auto"/>
          <w:sz w:val="24"/>
          <w:szCs w:val="24"/>
          <w:lang w:val="en-US" w:eastAsia="zh-CN"/>
        </w:rPr>
        <w:t>09</w:t>
      </w:r>
      <w:r>
        <w:rPr>
          <w:rFonts w:hint="eastAsia" w:ascii="宋体" w:hAnsi="宋体" w:eastAsia="宋体" w:cs="宋体"/>
          <w:bCs/>
          <w:color w:val="auto"/>
          <w:sz w:val="24"/>
          <w:szCs w:val="24"/>
        </w:rPr>
        <w:t>点</w:t>
      </w:r>
      <w:r>
        <w:rPr>
          <w:rFonts w:hint="eastAsia" w:ascii="宋体" w:hAnsi="宋体" w:eastAsia="宋体" w:cs="宋体"/>
          <w:bCs/>
          <w:color w:val="auto"/>
          <w:sz w:val="24"/>
          <w:szCs w:val="24"/>
          <w:lang w:val="en-US" w:eastAsia="zh-CN"/>
        </w:rPr>
        <w:t>30分</w:t>
      </w:r>
    </w:p>
    <w:p w14:paraId="725CA1E9">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 本项目投标保证金金额为：</w:t>
      </w:r>
      <w:r>
        <w:rPr>
          <w:rFonts w:hint="eastAsia" w:ascii="宋体" w:hAnsi="宋体" w:eastAsia="宋体" w:cs="宋体"/>
          <w:bCs/>
          <w:color w:val="auto"/>
          <w:sz w:val="24"/>
          <w:szCs w:val="24"/>
          <w:lang w:val="en-US" w:eastAsia="zh-CN"/>
        </w:rPr>
        <w:t>人民币22</w:t>
      </w:r>
      <w:r>
        <w:rPr>
          <w:rFonts w:hint="eastAsia" w:ascii="宋体" w:hAnsi="宋体" w:eastAsia="宋体" w:cs="宋体"/>
          <w:bCs/>
          <w:color w:val="auto"/>
          <w:sz w:val="24"/>
          <w:szCs w:val="24"/>
        </w:rPr>
        <w:t>,000.00元（人民币</w:t>
      </w:r>
      <w:r>
        <w:rPr>
          <w:rFonts w:hint="eastAsia" w:ascii="宋体" w:hAnsi="宋体" w:eastAsia="宋体" w:cs="宋体"/>
          <w:bCs/>
          <w:color w:val="auto"/>
          <w:sz w:val="24"/>
          <w:szCs w:val="24"/>
          <w:lang w:val="en-US" w:eastAsia="zh-CN"/>
        </w:rPr>
        <w:t>贰万贰仟元</w:t>
      </w:r>
      <w:r>
        <w:rPr>
          <w:rFonts w:hint="eastAsia" w:ascii="宋体" w:hAnsi="宋体" w:eastAsia="宋体" w:cs="宋体"/>
          <w:bCs/>
          <w:color w:val="auto"/>
          <w:sz w:val="24"/>
          <w:szCs w:val="24"/>
        </w:rPr>
        <w:t>）</w:t>
      </w:r>
    </w:p>
    <w:p w14:paraId="3CF12F46">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u w:val="none"/>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u w:val="none"/>
        </w:rPr>
        <w:t xml:space="preserve"> 交纳投标保证金流程：投标人在已报项目处理页面中，点击“缴纳保证金”按钮，可以进入缴纳投标保证金页面。</w:t>
      </w:r>
    </w:p>
    <w:p w14:paraId="6E04EFED">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rPr>
        <w:t>(4) 缴纳投标保证金方式：</w:t>
      </w:r>
    </w:p>
    <w:p w14:paraId="16548B7D">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转账：</w:t>
      </w:r>
      <w:bookmarkStart w:id="6" w:name="OLE_LINK45"/>
      <w:r>
        <w:rPr>
          <w:rFonts w:hint="eastAsia" w:ascii="宋体" w:hAnsi="宋体" w:eastAsia="宋体" w:cs="宋体"/>
          <w:bCs/>
          <w:color w:val="auto"/>
          <w:sz w:val="24"/>
          <w:szCs w:val="24"/>
          <w:u w:val="none"/>
          <w:lang w:val="en-US" w:eastAsia="zh-CN"/>
        </w:rPr>
        <w:t>投标人</w:t>
      </w:r>
      <w:r>
        <w:rPr>
          <w:rFonts w:hint="eastAsia" w:ascii="宋体" w:hAnsi="宋体" w:eastAsia="宋体" w:cs="宋体"/>
          <w:bCs/>
          <w:color w:val="auto"/>
          <w:sz w:val="24"/>
          <w:szCs w:val="24"/>
          <w:u w:val="none"/>
          <w:lang w:eastAsia="zh-CN"/>
        </w:rPr>
        <w:t>必须在投标保证金交纳截止时间前登录产权招标交易系统，点击“系统功能菜单”中的“投标报名 &gt; 已报项目”，选择相应的项目，点击“缴纳保证金”，产权招标交易系统将弹出“缴纳保证金”窗口，选择缴费银行，点击“确定，下一步”，产权招标交易系统将自动生成子账号（特别注意：该子账号为一次性账号，仅限当前获取该子账号的</w:t>
      </w:r>
      <w:r>
        <w:rPr>
          <w:rFonts w:hint="eastAsia" w:ascii="宋体" w:hAnsi="宋体" w:eastAsia="宋体" w:cs="宋体"/>
          <w:bCs/>
          <w:color w:val="auto"/>
          <w:sz w:val="24"/>
          <w:szCs w:val="24"/>
          <w:u w:val="none"/>
          <w:lang w:val="en-US" w:eastAsia="zh-CN"/>
        </w:rPr>
        <w:t>投标人</w:t>
      </w:r>
      <w:r>
        <w:rPr>
          <w:rFonts w:hint="eastAsia" w:ascii="宋体" w:hAnsi="宋体" w:eastAsia="宋体" w:cs="宋体"/>
          <w:bCs/>
          <w:color w:val="auto"/>
          <w:sz w:val="24"/>
          <w:szCs w:val="24"/>
          <w:u w:val="none"/>
          <w:lang w:eastAsia="zh-CN"/>
        </w:rPr>
        <w:t>参加该项目当次采购活动有效），投标人将投标保证金一次性足额汇入子帐号。在“是否缴纳保证金”栏显示为“是”后（请勿在显示“否”时打印），点击“打印保证金交纳信息表”，将保证金交纳信息表打印出来，并粘贴或装订在投标文件。产权招标交易系统将根据投标保证金到达产权招标交易系统的时间判断投标保证金是否有效，“保证金是否有效交纳”栏显示为“已交纳”，即为投标保证金有效。投标保证金有效与否，将以产权招标交易系统作为判断依据。请各投标人充分考虑到银行转账的时间差，适时提前转账（建议投标人在投标保证金提交截止时间的2个工作日之前交纳投标保证金），否则，由此产生的一切后果由投标人自行承担。</w:t>
      </w:r>
      <w:bookmarkEnd w:id="6"/>
    </w:p>
    <w:p w14:paraId="11527658">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u w:val="none"/>
        </w:rPr>
        <w:t>具体操作流程:登录</w:t>
      </w:r>
      <w:r>
        <w:rPr>
          <w:rFonts w:hint="eastAsia" w:ascii="宋体" w:hAnsi="宋体" w:eastAsia="宋体" w:cs="宋体"/>
          <w:color w:val="auto"/>
          <w:sz w:val="24"/>
          <w:szCs w:val="24"/>
          <w:u w:val="none"/>
        </w:rPr>
        <w:t>全国公共资源交易平台（广东省·韶关市）（网址：https://ygp.gdzwfw.gov.cn/#/440200/index）</w:t>
      </w:r>
      <w:r>
        <w:rPr>
          <w:rFonts w:hint="eastAsia" w:ascii="宋体" w:hAnsi="宋体" w:eastAsia="宋体" w:cs="宋体"/>
          <w:bCs/>
          <w:color w:val="auto"/>
          <w:sz w:val="24"/>
          <w:szCs w:val="24"/>
          <w:u w:val="none"/>
        </w:rPr>
        <w:t>-服务指南-下载《韶关市公共资源交易一体化平台产权招标交易-投标人用户手册》。</w:t>
      </w:r>
    </w:p>
    <w:p w14:paraId="25072086">
      <w:pPr>
        <w:numPr>
          <w:ilvl w:val="0"/>
          <w:numId w:val="4"/>
        </w:numPr>
        <w:autoSpaceDE/>
        <w:autoSpaceDN/>
        <w:snapToGrid w:val="0"/>
        <w:spacing w:line="360" w:lineRule="auto"/>
        <w:ind w:left="782" w:hanging="363"/>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交纳投标保证金注意事项：</w:t>
      </w:r>
    </w:p>
    <w:p w14:paraId="3EDF0D52">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 交纳投标保证金的供应商必须已报名本项目，供应商必须按招标文件规定的金额和规定的期限内交纳投标保证金，供应商与投标保证金的交款人名称必须一致，否则，评标委员会将对其投标文件作无效投标处理。</w:t>
      </w:r>
    </w:p>
    <w:p w14:paraId="2C0609BB">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 供应商必须将投标保证金一次性足额汇入交易系统自动生成的子账户，不接受现金、分批次交款或采用EFT系统(广东金融结算系统)方式交纳投标保证金，否则，评标委员会将对其投标文件作无效投标处理。</w:t>
      </w:r>
    </w:p>
    <w:p w14:paraId="37C943D8">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 产权招标交易系统将在采购活动结束后按政府采购相关法律法规的规定以“原渠道返回”方式退回投标保证金。</w:t>
      </w:r>
    </w:p>
    <w:p w14:paraId="408139F5">
      <w:pPr>
        <w:keepNext w:val="0"/>
        <w:keepLines w:val="0"/>
        <w:pageBreakBefore w:val="0"/>
        <w:widowControl w:val="0"/>
        <w:numPr>
          <w:ilvl w:val="0"/>
          <w:numId w:val="4"/>
        </w:numPr>
        <w:kinsoku/>
        <w:wordWrap/>
        <w:overflowPunct/>
        <w:topLinePunct w:val="0"/>
        <w:bidi w:val="0"/>
        <w:spacing w:line="360" w:lineRule="auto"/>
        <w:textAlignment w:val="auto"/>
        <w:rPr>
          <w:rFonts w:hint="eastAsia" w:ascii="宋体" w:hAnsi="宋体" w:eastAsia="宋体" w:cs="宋体"/>
          <w:b/>
          <w:bCs/>
          <w:color w:val="auto"/>
          <w:kern w:val="16"/>
          <w:sz w:val="24"/>
          <w:szCs w:val="24"/>
          <w:highlight w:val="none"/>
          <w:lang w:val="en-US" w:eastAsia="zh-CN"/>
        </w:rPr>
      </w:pPr>
      <w:r>
        <w:rPr>
          <w:rFonts w:hint="eastAsia" w:ascii="宋体" w:hAnsi="宋体" w:eastAsia="宋体" w:cs="宋体"/>
          <w:b/>
          <w:bCs/>
          <w:color w:val="auto"/>
          <w:kern w:val="16"/>
          <w:sz w:val="24"/>
          <w:szCs w:val="24"/>
          <w:highlight w:val="none"/>
          <w:lang w:val="en-US" w:eastAsia="zh-CN"/>
        </w:rPr>
        <w:t>特别注意事项</w:t>
      </w:r>
    </w:p>
    <w:p w14:paraId="6E132FE9">
      <w:pPr>
        <w:pStyle w:val="57"/>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color w:val="auto"/>
          <w:kern w:val="16"/>
          <w:sz w:val="24"/>
          <w:szCs w:val="24"/>
          <w:highlight w:val="none"/>
          <w:lang w:val="en-US" w:eastAsia="zh-CN"/>
        </w:rPr>
      </w:pPr>
      <w:r>
        <w:rPr>
          <w:rFonts w:hint="eastAsia" w:ascii="宋体" w:hAnsi="宋体" w:eastAsia="宋体" w:cs="宋体"/>
          <w:b/>
          <w:bCs/>
          <w:color w:val="auto"/>
          <w:kern w:val="16"/>
          <w:sz w:val="24"/>
          <w:szCs w:val="24"/>
          <w:highlight w:val="none"/>
          <w:lang w:val="en-US" w:eastAsia="zh-CN"/>
        </w:rPr>
        <w:t>(1)首次在全国公共资源交易平台（广东省·韶关市）（网址：https://ygp.gdzwfw.gov.cn/#/440200/index）“产权招标交易”招标投标活动的投标人，必须在平台系统上传企业相关资料办理企业入库事宜。投标人可登录全国公共资源交易平台（广东省·韶关市）（https://ygp.gdzwfw.gov.cn/#/440200/index）办理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请及时办理相关电子印章）</w:t>
      </w:r>
    </w:p>
    <w:p w14:paraId="6945FA43">
      <w:pPr>
        <w:pStyle w:val="57"/>
        <w:keepNext w:val="0"/>
        <w:keepLines w:val="0"/>
        <w:pageBreakBefore w:val="0"/>
        <w:widowControl w:val="0"/>
        <w:kinsoku/>
        <w:wordWrap/>
        <w:overflowPunct/>
        <w:topLinePunct w:val="0"/>
        <w:autoSpaceDE/>
        <w:autoSpaceDN/>
        <w:bidi w:val="0"/>
        <w:adjustRightInd/>
        <w:snapToGrid w:val="0"/>
        <w:spacing w:line="360" w:lineRule="auto"/>
        <w:ind w:firstLine="241" w:firstLineChars="100"/>
        <w:textAlignment w:val="auto"/>
        <w:outlineLvl w:val="9"/>
        <w:rPr>
          <w:rFonts w:hint="eastAsia" w:ascii="宋体" w:hAnsi="宋体" w:eastAsia="宋体" w:cs="宋体"/>
          <w:b/>
          <w:bCs/>
          <w:color w:val="auto"/>
          <w:kern w:val="16"/>
          <w:sz w:val="24"/>
          <w:szCs w:val="24"/>
          <w:highlight w:val="none"/>
          <w:lang w:val="en-US" w:eastAsia="zh-CN"/>
        </w:rPr>
      </w:pPr>
      <w:r>
        <w:rPr>
          <w:rFonts w:hint="eastAsia" w:ascii="宋体" w:hAnsi="宋体" w:eastAsia="宋体" w:cs="宋体"/>
          <w:b/>
          <w:bCs/>
          <w:color w:val="auto"/>
          <w:kern w:val="16"/>
          <w:sz w:val="24"/>
          <w:szCs w:val="24"/>
          <w:highlight w:val="none"/>
          <w:lang w:val="en-US" w:eastAsia="zh-CN"/>
        </w:rPr>
        <w:t>(2)在投标文件提交截止时间前，投标人须在产权招标交易系统按要求完成授权、保证金递交及在线投标（上传标书），相关操作流程可查看投标全国公共资源交易平台（广东省·韶关市）的《韶关市公共资源交易一体化平台使用产权招标交易系统注意事项》的附件《韶关市公共资源交易一体化平台产权招标交易-投标人用户手册》）。如遇系统问题请联系系统</w:t>
      </w:r>
      <w:r>
        <w:rPr>
          <w:rFonts w:hint="eastAsia" w:ascii="宋体" w:hAnsi="宋体" w:eastAsia="宋体" w:cs="宋体"/>
          <w:b/>
          <w:bCs/>
          <w:color w:val="auto"/>
          <w:kern w:val="16"/>
          <w:sz w:val="24"/>
          <w:szCs w:val="24"/>
          <w:highlight w:val="none"/>
          <w:lang w:eastAsia="zh-CN"/>
        </w:rPr>
        <w:t>技术支持：</w:t>
      </w:r>
      <w:r>
        <w:rPr>
          <w:rFonts w:hint="eastAsia" w:ascii="宋体" w:hAnsi="宋体" w:eastAsia="宋体" w:cs="宋体"/>
          <w:b/>
          <w:bCs/>
          <w:color w:val="auto"/>
          <w:kern w:val="16"/>
          <w:sz w:val="24"/>
          <w:szCs w:val="24"/>
          <w:highlight w:val="none"/>
          <w:lang w:val="en-US" w:eastAsia="zh-CN"/>
        </w:rPr>
        <w:t>伍工 0751-8379671。</w:t>
      </w:r>
    </w:p>
    <w:p w14:paraId="1251E8B5">
      <w:pPr>
        <w:numPr>
          <w:ilvl w:val="0"/>
          <w:numId w:val="4"/>
        </w:numPr>
        <w:autoSpaceDE/>
        <w:autoSpaceDN/>
        <w:snapToGrid w:val="0"/>
        <w:spacing w:line="360" w:lineRule="auto"/>
        <w:jc w:val="both"/>
        <w:rPr>
          <w:rFonts w:hint="eastAsia" w:ascii="宋体" w:hAnsi="宋体" w:eastAsia="宋体" w:cs="宋体"/>
          <w:bCs/>
          <w:color w:val="auto"/>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color w:val="auto"/>
          <w:sz w:val="24"/>
          <w:szCs w:val="24"/>
        </w:rPr>
        <w:t>补救方案：</w:t>
      </w:r>
    </w:p>
    <w:p w14:paraId="0CA4D67B">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（1）开评标时突发情况的补救方案</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在开评标过程中，因主场或副场网络故障、电子设备或者评标系统故障，以及其他原因导致无法继续进行开评标活动时，在短时间内无法解除故障的，则转为线下评审。</w:t>
      </w:r>
    </w:p>
    <w:p w14:paraId="42DF53D9">
      <w:pPr>
        <w:numPr>
          <w:ilvl w:val="-1"/>
          <w:numId w:val="0"/>
        </w:numPr>
        <w:autoSpaceDE/>
        <w:autoSpaceDN/>
        <w:snapToGrid w:val="0"/>
        <w:spacing w:line="360" w:lineRule="auto"/>
        <w:ind w:left="420" w:firstLine="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（2）本次招标实行电子投标，开标评标均以投标人通过交易平台上传的电子投标文件为准，若因系统故障转为线下评审，则以递交的纸质投标文件为准。</w:t>
      </w:r>
    </w:p>
    <w:p w14:paraId="3C7B1985">
      <w:pPr>
        <w:numPr>
          <w:ilvl w:val="0"/>
          <w:numId w:val="4"/>
        </w:numPr>
        <w:autoSpaceDE/>
        <w:autoSpaceDN/>
        <w:snapToGrid w:val="0"/>
        <w:spacing w:line="360" w:lineRule="auto"/>
        <w:ind w:left="782" w:hanging="363"/>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当在参与采购活动前详细研究了招标文件的所有内容，包括澄清、修改文件（如果有）和所有已提供的参考资料以及有关附件，且不存在任何含糊不清和误解之处，否则，由此产生的一切后果由供应商自行承担。</w:t>
      </w:r>
    </w:p>
    <w:p w14:paraId="2A6DBE83">
      <w:pPr>
        <w:numPr>
          <w:ilvl w:val="0"/>
          <w:numId w:val="4"/>
        </w:numPr>
        <w:autoSpaceDE/>
        <w:autoSpaceDN/>
        <w:snapToGrid w:val="0"/>
        <w:spacing w:line="36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项目类型：服务类</w:t>
      </w:r>
    </w:p>
    <w:p w14:paraId="7906CAE2">
      <w:pPr>
        <w:numPr>
          <w:ilvl w:val="0"/>
          <w:numId w:val="4"/>
        </w:numPr>
        <w:autoSpaceDE/>
        <w:autoSpaceDN/>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项目的具体内容详见招标文件中的“用户需求书”。</w:t>
      </w:r>
    </w:p>
    <w:p w14:paraId="36BC9C6D">
      <w:pPr>
        <w:numPr>
          <w:ilvl w:val="0"/>
          <w:numId w:val="4"/>
        </w:numPr>
        <w:autoSpaceDE/>
        <w:autoSpaceDN/>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本项目相关公告在</w:t>
      </w:r>
      <w:r>
        <w:rPr>
          <w:rFonts w:hint="eastAsia" w:ascii="宋体" w:hAnsi="宋体" w:eastAsia="宋体" w:cs="宋体"/>
          <w:color w:val="auto"/>
          <w:sz w:val="24"/>
          <w:szCs w:val="24"/>
        </w:rPr>
        <w:t>全国公共资源交易平台（广东省·韶关市）（https://ygp.gdzwfw.gov.cn/ggzy-portal/#/440200/index）</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韶关市采联采</w:t>
      </w:r>
      <w:r>
        <w:rPr>
          <w:rFonts w:hint="eastAsia" w:ascii="宋体" w:hAnsi="宋体" w:eastAsia="宋体" w:cs="宋体"/>
          <w:color w:val="auto"/>
          <w:sz w:val="24"/>
          <w:szCs w:val="24"/>
          <w:u w:val="dotted"/>
          <w:lang w:val="en-US" w:eastAsia="zh-CN"/>
        </w:rPr>
        <w:t>购招标</w:t>
      </w:r>
      <w:r>
        <w:rPr>
          <w:rFonts w:hint="eastAsia" w:ascii="宋体" w:hAnsi="宋体" w:eastAsia="宋体" w:cs="宋体"/>
          <w:color w:val="auto"/>
          <w:sz w:val="24"/>
          <w:szCs w:val="24"/>
        </w:rPr>
        <w:t>有限公司网站（www.chinapsp.cn）上公布之日即视为有效送达，不再</w:t>
      </w:r>
      <w:r>
        <w:rPr>
          <w:rFonts w:hint="eastAsia" w:ascii="宋体" w:hAnsi="宋体" w:eastAsia="宋体" w:cs="宋体"/>
          <w:sz w:val="24"/>
          <w:szCs w:val="24"/>
        </w:rPr>
        <w:t>另行通知。</w:t>
      </w:r>
    </w:p>
    <w:p w14:paraId="7DE45A0D">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监管部门</w:t>
      </w:r>
    </w:p>
    <w:p w14:paraId="439A1CFF">
      <w:pPr>
        <w:tabs>
          <w:tab w:val="left" w:pos="284"/>
          <w:tab w:val="left" w:pos="426"/>
        </w:tabs>
        <w:snapToGrid w:val="0"/>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本招标项目的监管部门</w:t>
      </w:r>
      <w:r>
        <w:rPr>
          <w:rFonts w:hint="eastAsia" w:ascii="宋体" w:hAnsi="宋体" w:eastAsia="宋体" w:cs="宋体"/>
          <w:b/>
          <w:color w:val="auto"/>
          <w:sz w:val="24"/>
          <w:szCs w:val="24"/>
        </w:rPr>
        <w:t>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t>
      </w:r>
    </w:p>
    <w:p w14:paraId="090E5F16">
      <w:pPr>
        <w:numPr>
          <w:ilvl w:val="0"/>
          <w:numId w:val="2"/>
        </w:numPr>
        <w:tabs>
          <w:tab w:val="left" w:pos="284"/>
          <w:tab w:val="left" w:pos="426"/>
        </w:tabs>
        <w:autoSpaceDE/>
        <w:autoSpaceDN/>
        <w:adjustRightInd/>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联系方式</w:t>
      </w:r>
    </w:p>
    <w:p w14:paraId="2030EF77">
      <w:pPr>
        <w:snapToGrid w:val="0"/>
        <w:spacing w:line="360" w:lineRule="auto"/>
        <w:ind w:firstLine="482" w:firstLineChars="200"/>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招 标 人：</w:t>
      </w:r>
      <w:r>
        <w:rPr>
          <w:rFonts w:hint="eastAsia" w:ascii="宋体" w:hAnsi="宋体" w:eastAsia="宋体" w:cs="宋体"/>
          <w:bCs/>
          <w:color w:val="auto"/>
          <w:sz w:val="24"/>
          <w:szCs w:val="24"/>
          <w:lang w:eastAsia="zh-CN"/>
        </w:rPr>
        <w:t>南雄市人民医院</w:t>
      </w:r>
    </w:p>
    <w:p w14:paraId="25E76241">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地    址：</w:t>
      </w:r>
      <w:r>
        <w:rPr>
          <w:rFonts w:hint="eastAsia" w:ascii="宋体" w:hAnsi="宋体" w:eastAsia="宋体" w:cs="宋体"/>
          <w:b w:val="0"/>
          <w:bCs/>
          <w:color w:val="auto"/>
          <w:sz w:val="24"/>
          <w:szCs w:val="24"/>
          <w:u w:val="none"/>
        </w:rPr>
        <w:t>南雄市雄州街道环城西路238号</w:t>
      </w:r>
    </w:p>
    <w:p w14:paraId="77BFC20B">
      <w:pPr>
        <w:snapToGrid w:val="0"/>
        <w:spacing w:line="360" w:lineRule="auto"/>
        <w:ind w:firstLine="482" w:firstLineChars="200"/>
        <w:rPr>
          <w:rFonts w:hint="eastAsia" w:ascii="宋体" w:hAnsi="宋体" w:eastAsia="宋体" w:cs="宋体"/>
          <w:color w:val="FF0000"/>
          <w:sz w:val="24"/>
          <w:szCs w:val="24"/>
        </w:rPr>
      </w:pPr>
      <w:r>
        <w:rPr>
          <w:rFonts w:hint="eastAsia" w:ascii="宋体" w:hAnsi="宋体" w:eastAsia="宋体" w:cs="宋体"/>
          <w:b/>
          <w:color w:val="000000"/>
          <w:sz w:val="24"/>
          <w:szCs w:val="24"/>
        </w:rPr>
        <w:t>联 系 人：</w:t>
      </w:r>
      <w:r>
        <w:rPr>
          <w:rFonts w:hint="eastAsia" w:ascii="宋体" w:hAnsi="宋体" w:eastAsia="宋体" w:cs="宋体"/>
          <w:color w:val="auto"/>
          <w:sz w:val="24"/>
          <w:szCs w:val="24"/>
          <w:lang w:val="en-US" w:eastAsia="zh-CN"/>
        </w:rPr>
        <w:t>林</w:t>
      </w:r>
      <w:r>
        <w:rPr>
          <w:rFonts w:hint="eastAsia" w:ascii="宋体" w:hAnsi="宋体" w:eastAsia="宋体" w:cs="宋体"/>
          <w:color w:val="auto"/>
          <w:sz w:val="24"/>
          <w:szCs w:val="24"/>
        </w:rPr>
        <w:t>先生</w:t>
      </w:r>
    </w:p>
    <w:p w14:paraId="5927BFE0">
      <w:pPr>
        <w:snapToGrid w:val="0"/>
        <w:spacing w:line="360" w:lineRule="auto"/>
        <w:ind w:firstLine="482" w:firstLineChars="200"/>
        <w:rPr>
          <w:rFonts w:hint="eastAsia" w:ascii="宋体" w:hAnsi="宋体" w:eastAsia="宋体" w:cs="宋体"/>
          <w:color w:val="FF0000"/>
          <w:sz w:val="24"/>
          <w:szCs w:val="24"/>
          <w:lang w:val="en-US" w:eastAsia="zh-CN"/>
        </w:rPr>
      </w:pPr>
      <w:r>
        <w:rPr>
          <w:rFonts w:hint="eastAsia" w:ascii="宋体" w:hAnsi="宋体" w:eastAsia="宋体" w:cs="宋体"/>
          <w:b/>
          <w:color w:val="000000"/>
          <w:sz w:val="24"/>
          <w:szCs w:val="24"/>
        </w:rPr>
        <w:t>电    话：</w:t>
      </w:r>
      <w:r>
        <w:rPr>
          <w:rFonts w:hint="eastAsia" w:ascii="宋体" w:hAnsi="宋体" w:eastAsia="宋体" w:cs="宋体"/>
          <w:bCs/>
          <w:color w:val="000000"/>
          <w:sz w:val="24"/>
          <w:szCs w:val="24"/>
          <w:lang w:val="en-US" w:eastAsia="zh-CN"/>
        </w:rPr>
        <w:t>0751-3871903</w:t>
      </w:r>
    </w:p>
    <w:p w14:paraId="14220760">
      <w:pPr>
        <w:snapToGrid w:val="0"/>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电子邮箱：</w:t>
      </w:r>
      <w:r>
        <w:rPr>
          <w:rFonts w:hint="eastAsia" w:ascii="宋体" w:hAnsi="宋体" w:eastAsia="宋体" w:cs="宋体"/>
          <w:sz w:val="24"/>
          <w:szCs w:val="24"/>
        </w:rPr>
        <w:t>932378013@qq.com</w:t>
      </w:r>
    </w:p>
    <w:p w14:paraId="7C64F946">
      <w:pPr>
        <w:snapToGrid w:val="0"/>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招标代理：</w:t>
      </w:r>
      <w:r>
        <w:rPr>
          <w:rFonts w:hint="eastAsia" w:ascii="宋体" w:hAnsi="宋体" w:eastAsia="宋体" w:cs="宋体"/>
          <w:color w:val="000000"/>
          <w:sz w:val="24"/>
          <w:szCs w:val="24"/>
        </w:rPr>
        <w:t>韶关市采联采购招标有限公司</w:t>
      </w:r>
    </w:p>
    <w:p w14:paraId="1A6F309A">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地    址：</w:t>
      </w:r>
      <w:r>
        <w:rPr>
          <w:rFonts w:hint="eastAsia" w:ascii="宋体" w:hAnsi="宋体" w:eastAsia="宋体" w:cs="宋体"/>
          <w:color w:val="auto"/>
          <w:sz w:val="24"/>
          <w:szCs w:val="24"/>
        </w:rPr>
        <w:t>韶关市武江区新华南路40号湘商大厦6楼601B-1</w:t>
      </w:r>
    </w:p>
    <w:p w14:paraId="29E5CF57">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联 系 人：</w:t>
      </w:r>
      <w:r>
        <w:rPr>
          <w:rFonts w:hint="eastAsia" w:ascii="宋体" w:hAnsi="宋体" w:eastAsia="宋体" w:cs="宋体"/>
          <w:b w:val="0"/>
          <w:bCs/>
          <w:color w:val="auto"/>
          <w:sz w:val="24"/>
          <w:szCs w:val="24"/>
          <w:lang w:val="en-US" w:eastAsia="zh-CN"/>
        </w:rPr>
        <w:t>崔</w:t>
      </w:r>
      <w:r>
        <w:rPr>
          <w:rFonts w:hint="eastAsia" w:ascii="宋体" w:hAnsi="宋体" w:eastAsia="宋体" w:cs="宋体"/>
          <w:color w:val="auto"/>
          <w:sz w:val="24"/>
          <w:szCs w:val="24"/>
        </w:rPr>
        <w:t>小姐</w:t>
      </w:r>
    </w:p>
    <w:p w14:paraId="6CCF8376">
      <w:pPr>
        <w:snapToGrid w:val="0"/>
        <w:spacing w:line="360" w:lineRule="auto"/>
        <w:ind w:firstLine="482" w:firstLineChars="200"/>
        <w:rPr>
          <w:rFonts w:hint="eastAsia" w:ascii="宋体" w:hAnsi="宋体" w:eastAsia="宋体" w:cs="宋体"/>
          <w:b/>
          <w:color w:val="auto"/>
          <w:sz w:val="24"/>
          <w:szCs w:val="24"/>
          <w:u w:val="double"/>
          <w:lang w:val="en-US" w:eastAsia="zh-CN"/>
        </w:rPr>
      </w:pPr>
      <w:r>
        <w:rPr>
          <w:rFonts w:hint="eastAsia" w:ascii="宋体" w:hAnsi="宋体" w:eastAsia="宋体" w:cs="宋体"/>
          <w:b/>
          <w:color w:val="auto"/>
          <w:sz w:val="24"/>
          <w:szCs w:val="24"/>
        </w:rPr>
        <w:t>电    话：</w:t>
      </w:r>
      <w:r>
        <w:rPr>
          <w:rFonts w:hint="eastAsia" w:ascii="宋体" w:hAnsi="宋体" w:eastAsia="宋体" w:cs="宋体"/>
          <w:bCs/>
          <w:color w:val="auto"/>
          <w:sz w:val="24"/>
          <w:szCs w:val="24"/>
        </w:rPr>
        <w:t>0751-8329009-2</w:t>
      </w:r>
      <w:r>
        <w:rPr>
          <w:rFonts w:hint="eastAsia" w:ascii="宋体" w:hAnsi="宋体" w:eastAsia="宋体" w:cs="宋体"/>
          <w:bCs/>
          <w:color w:val="auto"/>
          <w:sz w:val="24"/>
          <w:szCs w:val="24"/>
          <w:lang w:val="en-US" w:eastAsia="zh-CN"/>
        </w:rPr>
        <w:t>104</w:t>
      </w:r>
    </w:p>
    <w:p w14:paraId="6A1BE1AF">
      <w:pPr>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电子邮箱：</w:t>
      </w:r>
      <w:r>
        <w:rPr>
          <w:rFonts w:hint="eastAsia" w:ascii="宋体" w:hAnsi="宋体" w:eastAsia="宋体" w:cs="宋体"/>
          <w:bCs/>
          <w:color w:val="auto"/>
          <w:sz w:val="24"/>
          <w:szCs w:val="24"/>
          <w:u w:val="none"/>
        </w:rPr>
        <w:t>ZC8329009@163.com</w:t>
      </w:r>
    </w:p>
    <w:p w14:paraId="68AA8144">
      <w:pPr>
        <w:snapToGrid w:val="0"/>
        <w:spacing w:line="360" w:lineRule="auto"/>
        <w:ind w:firstLine="482" w:firstLineChars="200"/>
        <w:jc w:val="right"/>
        <w:rPr>
          <w:rFonts w:hint="eastAsia" w:ascii="宋体" w:hAnsi="宋体" w:eastAsia="宋体" w:cs="宋体"/>
          <w:b/>
          <w:sz w:val="24"/>
          <w:szCs w:val="24"/>
        </w:rPr>
      </w:pPr>
    </w:p>
    <w:p w14:paraId="73EAFBA2">
      <w:pPr>
        <w:snapToGrid w:val="0"/>
        <w:spacing w:line="360" w:lineRule="auto"/>
        <w:ind w:firstLine="480" w:firstLineChars="200"/>
        <w:jc w:val="right"/>
        <w:rPr>
          <w:rFonts w:hint="eastAsia" w:ascii="宋体" w:hAnsi="宋体" w:eastAsia="宋体" w:cs="宋体"/>
          <w:b w:val="0"/>
          <w:bCs/>
          <w:sz w:val="24"/>
          <w:szCs w:val="24"/>
        </w:rPr>
      </w:pPr>
      <w:r>
        <w:rPr>
          <w:rFonts w:hint="eastAsia" w:ascii="宋体" w:hAnsi="宋体" w:eastAsia="宋体" w:cs="宋体"/>
          <w:b w:val="0"/>
          <w:bCs/>
          <w:sz w:val="24"/>
          <w:szCs w:val="24"/>
        </w:rPr>
        <w:t>韶关市采联采购招标有限公司</w:t>
      </w:r>
    </w:p>
    <w:p w14:paraId="2840EFBD">
      <w:pPr>
        <w:wordWrap w:val="0"/>
        <w:jc w:val="righ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2026</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01</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22</w:t>
      </w:r>
      <w:r>
        <w:rPr>
          <w:rFonts w:hint="eastAsia" w:ascii="宋体" w:hAnsi="宋体" w:eastAsia="宋体" w:cs="宋体"/>
          <w:b w:val="0"/>
          <w:bCs/>
          <w:color w:val="auto"/>
          <w:sz w:val="24"/>
          <w:szCs w:val="24"/>
        </w:rPr>
        <w:t>日</w:t>
      </w:r>
    </w:p>
    <w:p w14:paraId="721F6A4D">
      <w:pPr>
        <w:tabs>
          <w:tab w:val="left" w:pos="567"/>
        </w:tabs>
        <w:autoSpaceDE/>
        <w:autoSpaceDN/>
        <w:snapToGrid w:val="0"/>
        <w:spacing w:line="360" w:lineRule="auto"/>
        <w:jc w:val="center"/>
        <w:textAlignment w:val="baseline"/>
        <w:outlineLvl w:val="0"/>
        <w:rPr>
          <w:b/>
          <w:bCs/>
          <w:color w:val="FF0000"/>
          <w:sz w:val="28"/>
          <w:szCs w:val="28"/>
          <w:highlight w:val="lightGray"/>
        </w:rPr>
      </w:pPr>
      <w:r>
        <w:rPr>
          <w:b/>
          <w:bCs/>
          <w:sz w:val="30"/>
          <w:szCs w:val="30"/>
        </w:rPr>
        <w:br w:type="page"/>
      </w:r>
      <w:bookmarkStart w:id="7" w:name="_Toc29748"/>
      <w:bookmarkStart w:id="8" w:name="_Toc11843"/>
      <w:bookmarkStart w:id="9" w:name="_Toc25495"/>
      <w:bookmarkStart w:id="10" w:name="_Toc6331"/>
      <w:bookmarkStart w:id="11" w:name="_Toc8543"/>
      <w:bookmarkStart w:id="12" w:name="_Toc15481"/>
      <w:r>
        <w:rPr>
          <w:rStyle w:val="31"/>
          <w:rFonts w:hint="eastAsia"/>
          <w:sz w:val="28"/>
          <w:szCs w:val="13"/>
        </w:rPr>
        <w:t>第二章  用户需求书</w:t>
      </w:r>
    </w:p>
    <w:p w14:paraId="10200D59">
      <w:pPr>
        <w:numPr>
          <w:ilvl w:val="0"/>
          <w:numId w:val="5"/>
        </w:numPr>
        <w:tabs>
          <w:tab w:val="left" w:pos="540"/>
        </w:tabs>
        <w:autoSpaceDE/>
        <w:autoSpaceDN/>
        <w:snapToGrid w:val="0"/>
        <w:spacing w:line="360" w:lineRule="auto"/>
        <w:jc w:val="both"/>
        <w:rPr>
          <w:rFonts w:ascii="宋体" w:hAnsi="宋体"/>
          <w:b/>
          <w:sz w:val="24"/>
          <w:szCs w:val="24"/>
        </w:rPr>
      </w:pPr>
      <w:r>
        <w:rPr>
          <w:rFonts w:hint="eastAsia" w:ascii="宋体" w:hAnsi="宋体"/>
          <w:b/>
          <w:sz w:val="24"/>
          <w:szCs w:val="24"/>
        </w:rPr>
        <w:t>有关说明</w:t>
      </w:r>
    </w:p>
    <w:p w14:paraId="7BA4D78E">
      <w:pPr>
        <w:numPr>
          <w:ilvl w:val="0"/>
          <w:numId w:val="6"/>
        </w:numPr>
        <w:tabs>
          <w:tab w:val="left" w:pos="567"/>
          <w:tab w:val="clear" w:pos="420"/>
        </w:tabs>
        <w:autoSpaceDE/>
        <w:autoSpaceDN/>
        <w:snapToGrid w:val="0"/>
        <w:spacing w:line="360" w:lineRule="auto"/>
        <w:jc w:val="both"/>
        <w:textAlignment w:val="baseline"/>
        <w:rPr>
          <w:rFonts w:ascii="宋体" w:hAnsi="宋体"/>
          <w:bCs/>
          <w:sz w:val="24"/>
          <w:szCs w:val="24"/>
        </w:rPr>
      </w:pPr>
      <w:r>
        <w:rPr>
          <w:rFonts w:hint="eastAsia" w:ascii="宋体" w:hAnsi="宋体"/>
          <w:bCs/>
          <w:sz w:val="24"/>
          <w:szCs w:val="24"/>
        </w:rPr>
        <w:t>投标人须对本项目的采购标的进行整体投标，任何只对本项目采购标的其中一部分内容、数量进行的投标都应予否决投标。</w:t>
      </w:r>
    </w:p>
    <w:p w14:paraId="20DC13C8">
      <w:pPr>
        <w:numPr>
          <w:ilvl w:val="0"/>
          <w:numId w:val="6"/>
        </w:numPr>
        <w:tabs>
          <w:tab w:val="left" w:pos="567"/>
          <w:tab w:val="clear" w:pos="420"/>
        </w:tabs>
        <w:autoSpaceDE/>
        <w:autoSpaceDN/>
        <w:snapToGrid w:val="0"/>
        <w:spacing w:line="360" w:lineRule="auto"/>
        <w:jc w:val="both"/>
        <w:textAlignment w:val="baseline"/>
        <w:rPr>
          <w:rFonts w:ascii="宋体" w:hAnsi="宋体"/>
          <w:bCs/>
          <w:sz w:val="24"/>
          <w:szCs w:val="24"/>
        </w:rPr>
      </w:pPr>
      <w:r>
        <w:rPr>
          <w:rFonts w:hint="eastAsia" w:ascii="宋体" w:hAnsi="宋体"/>
          <w:bCs/>
          <w:sz w:val="24"/>
          <w:szCs w:val="24"/>
        </w:rPr>
        <w:t>采购需求中标注</w:t>
      </w:r>
      <w:r>
        <w:rPr>
          <w:rFonts w:ascii="宋体" w:hAnsi="宋体"/>
          <w:bCs/>
          <w:sz w:val="24"/>
          <w:szCs w:val="24"/>
        </w:rPr>
        <w:t>“</w:t>
      </w:r>
      <w:r>
        <w:rPr>
          <w:rFonts w:hint="eastAsia" w:ascii="宋体" w:hAnsi="宋体"/>
          <w:bCs/>
          <w:sz w:val="24"/>
          <w:szCs w:val="24"/>
        </w:rPr>
        <w:t>★</w:t>
      </w:r>
      <w:r>
        <w:rPr>
          <w:rFonts w:ascii="宋体" w:hAnsi="宋体"/>
          <w:bCs/>
          <w:sz w:val="24"/>
          <w:szCs w:val="24"/>
        </w:rPr>
        <w:t>”</w:t>
      </w:r>
      <w:r>
        <w:rPr>
          <w:rFonts w:hint="eastAsia" w:ascii="宋体" w:hAnsi="宋体"/>
          <w:bCs/>
          <w:sz w:val="24"/>
          <w:szCs w:val="24"/>
        </w:rPr>
        <w:t>号条款为实质性条款，必须逐条进行响应，有任何一条负偏离的，应予否决投标。</w:t>
      </w:r>
    </w:p>
    <w:p w14:paraId="4C0EE3EE">
      <w:pPr>
        <w:numPr>
          <w:ilvl w:val="0"/>
          <w:numId w:val="5"/>
        </w:numPr>
        <w:tabs>
          <w:tab w:val="left" w:pos="540"/>
        </w:tabs>
        <w:autoSpaceDE/>
        <w:autoSpaceDN/>
        <w:snapToGrid w:val="0"/>
        <w:spacing w:line="360" w:lineRule="auto"/>
        <w:jc w:val="both"/>
        <w:rPr>
          <w:rFonts w:ascii="宋体" w:hAnsi="宋体"/>
          <w:b/>
          <w:bCs/>
          <w:sz w:val="24"/>
          <w:szCs w:val="24"/>
        </w:rPr>
      </w:pPr>
      <w:r>
        <w:rPr>
          <w:rFonts w:hint="eastAsia" w:ascii="宋体" w:hAnsi="宋体"/>
          <w:b/>
          <w:bCs/>
          <w:sz w:val="24"/>
          <w:szCs w:val="24"/>
        </w:rPr>
        <w:t>项目一览表</w:t>
      </w:r>
    </w:p>
    <w:tbl>
      <w:tblPr>
        <w:tblStyle w:val="2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9"/>
        <w:gridCol w:w="929"/>
        <w:gridCol w:w="2661"/>
        <w:gridCol w:w="2661"/>
      </w:tblGrid>
      <w:tr w14:paraId="5B67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709" w:type="dxa"/>
            <w:shd w:val="clear" w:color="auto" w:fill="EEECE1"/>
            <w:vAlign w:val="center"/>
          </w:tcPr>
          <w:p w14:paraId="39BD967C">
            <w:pPr>
              <w:jc w:val="center"/>
              <w:rPr>
                <w:rFonts w:ascii="宋体" w:hAnsi="宋体"/>
                <w:b/>
                <w:color w:val="auto"/>
                <w:sz w:val="24"/>
                <w:szCs w:val="24"/>
              </w:rPr>
            </w:pPr>
            <w:r>
              <w:rPr>
                <w:rFonts w:hint="eastAsia" w:ascii="宋体" w:hAnsi="宋体"/>
                <w:b/>
                <w:color w:val="auto"/>
                <w:sz w:val="24"/>
                <w:szCs w:val="24"/>
              </w:rPr>
              <w:t>服务内容</w:t>
            </w:r>
          </w:p>
        </w:tc>
        <w:tc>
          <w:tcPr>
            <w:tcW w:w="929" w:type="dxa"/>
            <w:shd w:val="clear" w:color="auto" w:fill="EEECE1"/>
            <w:vAlign w:val="center"/>
          </w:tcPr>
          <w:p w14:paraId="50651C2D">
            <w:pPr>
              <w:jc w:val="center"/>
              <w:rPr>
                <w:rFonts w:ascii="宋体" w:hAnsi="宋体"/>
                <w:b/>
                <w:color w:val="auto"/>
                <w:sz w:val="24"/>
                <w:szCs w:val="24"/>
              </w:rPr>
            </w:pPr>
            <w:r>
              <w:rPr>
                <w:rFonts w:hint="eastAsia" w:ascii="宋体" w:hAnsi="宋体"/>
                <w:b/>
                <w:color w:val="auto"/>
                <w:sz w:val="24"/>
                <w:szCs w:val="24"/>
              </w:rPr>
              <w:t>数量</w:t>
            </w:r>
          </w:p>
        </w:tc>
        <w:tc>
          <w:tcPr>
            <w:tcW w:w="2661" w:type="dxa"/>
            <w:shd w:val="clear" w:color="auto" w:fill="EEECE1"/>
            <w:vAlign w:val="center"/>
          </w:tcPr>
          <w:p w14:paraId="6B66DE4B">
            <w:pPr>
              <w:jc w:val="center"/>
              <w:rPr>
                <w:rFonts w:ascii="宋体" w:hAnsi="宋体"/>
                <w:b/>
                <w:color w:val="auto"/>
                <w:sz w:val="24"/>
                <w:szCs w:val="24"/>
              </w:rPr>
            </w:pPr>
            <w:r>
              <w:rPr>
                <w:rFonts w:hint="eastAsia" w:ascii="宋体"/>
                <w:b/>
                <w:color w:val="auto"/>
                <w:sz w:val="24"/>
              </w:rPr>
              <w:t>履行期限</w:t>
            </w:r>
          </w:p>
        </w:tc>
        <w:tc>
          <w:tcPr>
            <w:tcW w:w="2661" w:type="dxa"/>
            <w:shd w:val="clear" w:color="auto" w:fill="EEECE1"/>
            <w:vAlign w:val="center"/>
          </w:tcPr>
          <w:p w14:paraId="21828776">
            <w:pPr>
              <w:jc w:val="center"/>
              <w:rPr>
                <w:rFonts w:hint="default" w:ascii="宋体" w:eastAsia="宋体"/>
                <w:b/>
                <w:color w:val="auto"/>
                <w:sz w:val="24"/>
                <w:lang w:val="en-US" w:eastAsia="zh-CN"/>
              </w:rPr>
            </w:pPr>
            <w:r>
              <w:rPr>
                <w:rFonts w:hint="eastAsia" w:ascii="宋体"/>
                <w:b/>
                <w:color w:val="auto"/>
                <w:sz w:val="24"/>
                <w:lang w:val="en-US" w:eastAsia="zh-CN"/>
              </w:rPr>
              <w:t>服务管理费限价</w:t>
            </w:r>
          </w:p>
        </w:tc>
      </w:tr>
      <w:tr w14:paraId="65D5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3709" w:type="dxa"/>
            <w:vAlign w:val="center"/>
          </w:tcPr>
          <w:p w14:paraId="02338003">
            <w:pPr>
              <w:jc w:val="center"/>
              <w:rPr>
                <w:rFonts w:ascii="宋体" w:hAnsi="宋体"/>
                <w:bCs/>
                <w:color w:val="auto"/>
                <w:sz w:val="24"/>
                <w:szCs w:val="24"/>
              </w:rPr>
            </w:pPr>
            <w:r>
              <w:rPr>
                <w:rFonts w:hint="eastAsia" w:ascii="宋体" w:hAnsi="宋体"/>
                <w:bCs/>
                <w:color w:val="auto"/>
                <w:sz w:val="24"/>
                <w:szCs w:val="24"/>
                <w:lang w:eastAsia="zh-CN"/>
              </w:rPr>
              <w:t>南雄市人民医院食堂对外承包</w:t>
            </w:r>
          </w:p>
        </w:tc>
        <w:tc>
          <w:tcPr>
            <w:tcW w:w="929" w:type="dxa"/>
            <w:vAlign w:val="center"/>
          </w:tcPr>
          <w:p w14:paraId="47EB9A36">
            <w:pPr>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1项</w:t>
            </w:r>
          </w:p>
        </w:tc>
        <w:tc>
          <w:tcPr>
            <w:tcW w:w="2661" w:type="dxa"/>
            <w:vAlign w:val="center"/>
          </w:tcPr>
          <w:p w14:paraId="1D1C7751">
            <w:pPr>
              <w:keepNext w:val="0"/>
              <w:autoSpaceDE/>
              <w:autoSpaceDN/>
              <w:spacing w:before="0" w:after="0"/>
              <w:ind w:firstLine="0"/>
              <w:jc w:val="center"/>
              <w:textAlignment w:val="auto"/>
              <w:rPr>
                <w:rFonts w:ascii="宋体" w:hAnsi="宋体"/>
                <w:color w:val="auto"/>
                <w:kern w:val="2"/>
                <w:sz w:val="24"/>
                <w:szCs w:val="24"/>
              </w:rPr>
            </w:pPr>
            <w:r>
              <w:rPr>
                <w:rFonts w:hint="eastAsia" w:ascii="宋体" w:hAnsi="宋体" w:eastAsia="宋体" w:cs="Times New Roman"/>
                <w:bCs/>
                <w:color w:val="auto"/>
                <w:sz w:val="24"/>
                <w:szCs w:val="24"/>
              </w:rPr>
              <w:t>合同签订之日起</w:t>
            </w:r>
            <w:r>
              <w:rPr>
                <w:rFonts w:hint="eastAsia" w:ascii="宋体" w:hAnsi="宋体" w:eastAsia="宋体" w:cs="Times New Roman"/>
                <w:bCs/>
                <w:color w:val="auto"/>
                <w:sz w:val="24"/>
                <w:szCs w:val="24"/>
                <w:lang w:eastAsia="zh-CN"/>
              </w:rPr>
              <w:t>三</w:t>
            </w:r>
            <w:r>
              <w:rPr>
                <w:rFonts w:hint="eastAsia" w:ascii="宋体" w:hAnsi="宋体" w:eastAsia="宋体" w:cs="Times New Roman"/>
                <w:bCs/>
                <w:color w:val="auto"/>
                <w:sz w:val="24"/>
                <w:szCs w:val="24"/>
              </w:rPr>
              <w:t>年</w:t>
            </w:r>
          </w:p>
        </w:tc>
        <w:tc>
          <w:tcPr>
            <w:tcW w:w="2661" w:type="dxa"/>
            <w:vAlign w:val="center"/>
          </w:tcPr>
          <w:p w14:paraId="1385FE7B">
            <w:pPr>
              <w:keepNext w:val="0"/>
              <w:autoSpaceDE/>
              <w:autoSpaceDN/>
              <w:spacing w:before="0" w:after="0"/>
              <w:ind w:firstLine="0"/>
              <w:jc w:val="center"/>
              <w:textAlignment w:val="auto"/>
              <w:rPr>
                <w:rFonts w:hint="default" w:ascii="宋体" w:hAnsi="宋体" w:eastAsia="宋体" w:cs="Times New Roman"/>
                <w:bCs/>
                <w:color w:val="auto"/>
                <w:sz w:val="24"/>
                <w:szCs w:val="24"/>
                <w:lang w:val="en-US" w:eastAsia="zh-CN"/>
              </w:rPr>
            </w:pPr>
            <w:r>
              <w:rPr>
                <w:rFonts w:hint="eastAsia" w:ascii="宋体" w:hAnsi="宋体" w:cs="Times New Roman"/>
                <w:bCs/>
                <w:color w:val="auto"/>
                <w:sz w:val="24"/>
                <w:szCs w:val="24"/>
                <w:lang w:val="en-US" w:eastAsia="zh-CN"/>
              </w:rPr>
              <w:t>人民币11000元/月</w:t>
            </w:r>
          </w:p>
        </w:tc>
      </w:tr>
    </w:tbl>
    <w:p w14:paraId="47B9071D">
      <w:pPr>
        <w:pStyle w:val="56"/>
        <w:tabs>
          <w:tab w:val="left" w:pos="900"/>
        </w:tabs>
        <w:spacing w:line="360" w:lineRule="auto"/>
        <w:ind w:left="630" w:hanging="720" w:hangingChars="300"/>
        <w:rPr>
          <w:rFonts w:hint="eastAsia" w:ascii="宋体" w:hAnsi="宋体" w:eastAsia="宋体" w:cs="宋体"/>
          <w:b w:val="0"/>
          <w:bCs w:val="0"/>
          <w:color w:val="FF0000"/>
          <w:sz w:val="24"/>
          <w:szCs w:val="24"/>
          <w:highlight w:val="none"/>
          <w:lang w:val="en-US" w:eastAsia="zh-CN"/>
        </w:rPr>
      </w:pPr>
      <w:r>
        <w:rPr>
          <w:rFonts w:hint="eastAsia" w:ascii="宋体" w:hAnsi="宋体" w:eastAsia="宋体" w:cs="宋体"/>
          <w:color w:val="auto"/>
          <w:sz w:val="24"/>
          <w:szCs w:val="24"/>
          <w:highlight w:val="none"/>
          <w:lang w:val="zh-CN" w:eastAsia="zh-CN"/>
        </w:rPr>
        <w:t>注：</w:t>
      </w: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zh-CN" w:eastAsia="zh-CN"/>
        </w:rPr>
        <w:t>报价</w:t>
      </w:r>
      <w:r>
        <w:rPr>
          <w:rFonts w:hint="eastAsia" w:ascii="宋体" w:hAnsi="宋体" w:cs="宋体"/>
          <w:b/>
          <w:bCs/>
          <w:color w:val="auto"/>
          <w:sz w:val="24"/>
          <w:szCs w:val="24"/>
          <w:highlight w:val="none"/>
          <w:u w:val="none"/>
          <w:lang w:val="en-US" w:eastAsia="zh-CN"/>
        </w:rPr>
        <w:t>不得</w:t>
      </w:r>
      <w:r>
        <w:rPr>
          <w:rFonts w:hint="eastAsia" w:ascii="宋体" w:hAnsi="宋体" w:eastAsia="宋体" w:cs="宋体"/>
          <w:b/>
          <w:bCs/>
          <w:color w:val="auto"/>
          <w:sz w:val="24"/>
          <w:szCs w:val="24"/>
          <w:highlight w:val="none"/>
          <w:u w:val="none"/>
          <w:lang w:val="zh-CN" w:eastAsia="zh-CN"/>
        </w:rPr>
        <w:t>低于</w:t>
      </w:r>
      <w:r>
        <w:rPr>
          <w:rFonts w:hint="eastAsia" w:ascii="宋体" w:hAnsi="宋体" w:cs="宋体"/>
          <w:b/>
          <w:bCs/>
          <w:color w:val="auto"/>
          <w:sz w:val="24"/>
          <w:szCs w:val="24"/>
          <w:highlight w:val="none"/>
          <w:u w:val="none"/>
          <w:lang w:val="en-US" w:eastAsia="zh-CN"/>
        </w:rPr>
        <w:t>人民币</w:t>
      </w:r>
      <w:r>
        <w:rPr>
          <w:rFonts w:hint="eastAsia" w:ascii="宋体" w:hAnsi="宋体" w:cs="Times New Roman"/>
          <w:b/>
          <w:bCs/>
          <w:color w:val="auto"/>
          <w:sz w:val="24"/>
          <w:szCs w:val="24"/>
          <w:lang w:val="en-US" w:eastAsia="zh-CN"/>
        </w:rPr>
        <w:t>11000</w:t>
      </w:r>
      <w:r>
        <w:rPr>
          <w:rFonts w:hint="eastAsia" w:ascii="宋体" w:hAnsi="宋体" w:eastAsia="宋体" w:cs="宋体"/>
          <w:b/>
          <w:bCs/>
          <w:color w:val="auto"/>
          <w:sz w:val="24"/>
          <w:szCs w:val="24"/>
          <w:highlight w:val="none"/>
          <w:lang w:val="zh-CN" w:eastAsia="zh-CN"/>
        </w:rPr>
        <w:t>元/月，</w:t>
      </w:r>
      <w:r>
        <w:rPr>
          <w:rFonts w:hint="eastAsia" w:ascii="宋体" w:hAnsi="宋体" w:eastAsia="宋体" w:cs="宋体"/>
          <w:b/>
          <w:bCs/>
          <w:color w:val="auto"/>
          <w:sz w:val="24"/>
          <w:szCs w:val="24"/>
          <w:highlight w:val="none"/>
          <w:lang w:val="en-US" w:eastAsia="zh-CN"/>
        </w:rPr>
        <w:t>本次招标项目只允许唯一报价，多报价将不被接受。不符合要求的，其投标文件作无效投标处理。</w:t>
      </w:r>
    </w:p>
    <w:p w14:paraId="1D053F27">
      <w:pPr>
        <w:numPr>
          <w:ilvl w:val="0"/>
          <w:numId w:val="5"/>
        </w:numPr>
        <w:tabs>
          <w:tab w:val="left" w:pos="540"/>
        </w:tabs>
        <w:autoSpaceDE/>
        <w:autoSpaceDN/>
        <w:snapToGrid w:val="0"/>
        <w:spacing w:line="360" w:lineRule="auto"/>
        <w:jc w:val="both"/>
        <w:rPr>
          <w:rFonts w:ascii="宋体" w:hAnsi="宋体"/>
          <w:b/>
          <w:color w:val="auto"/>
          <w:sz w:val="24"/>
          <w:szCs w:val="24"/>
        </w:rPr>
      </w:pPr>
      <w:r>
        <w:rPr>
          <w:rFonts w:hint="eastAsia" w:ascii="宋体" w:hAnsi="宋体"/>
          <w:b/>
          <w:bCs/>
          <w:color w:val="auto"/>
          <w:sz w:val="24"/>
          <w:szCs w:val="24"/>
        </w:rPr>
        <w:t>项目基本概况</w:t>
      </w:r>
    </w:p>
    <w:p w14:paraId="651B63AB">
      <w:pPr>
        <w:numPr>
          <w:ilvl w:val="0"/>
          <w:numId w:val="7"/>
        </w:numPr>
        <w:tabs>
          <w:tab w:val="left" w:pos="567"/>
          <w:tab w:val="clear" w:pos="420"/>
        </w:tabs>
        <w:autoSpaceDE/>
        <w:autoSpaceDN/>
        <w:snapToGrid w:val="0"/>
        <w:spacing w:line="360" w:lineRule="auto"/>
        <w:ind w:left="0" w:firstLine="0"/>
        <w:jc w:val="both"/>
        <w:textAlignment w:val="baseline"/>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采购范围</w:t>
      </w:r>
    </w:p>
    <w:p w14:paraId="055E88BC">
      <w:pPr>
        <w:numPr>
          <w:ilvl w:val="-1"/>
          <w:numId w:val="0"/>
        </w:numPr>
        <w:tabs>
          <w:tab w:val="left" w:pos="567"/>
        </w:tabs>
        <w:autoSpaceDE/>
        <w:autoSpaceDN/>
        <w:snapToGrid w:val="0"/>
        <w:spacing w:line="360" w:lineRule="auto"/>
        <w:ind w:left="0" w:firstLine="480" w:firstLineChars="200"/>
        <w:jc w:val="both"/>
        <w:textAlignment w:val="baseline"/>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eastAsia="zh-CN"/>
        </w:rPr>
        <w:t>本</w:t>
      </w:r>
      <w:r>
        <w:rPr>
          <w:rFonts w:hint="eastAsia" w:ascii="宋体" w:hAnsi="宋体" w:eastAsia="宋体" w:cs="Times New Roman"/>
          <w:b w:val="0"/>
          <w:bCs/>
          <w:sz w:val="24"/>
          <w:szCs w:val="24"/>
        </w:rPr>
        <w:t>项目</w:t>
      </w:r>
      <w:r>
        <w:rPr>
          <w:rFonts w:hint="eastAsia" w:ascii="宋体" w:hAnsi="宋体" w:eastAsia="宋体" w:cs="Times New Roman"/>
          <w:b w:val="0"/>
          <w:bCs/>
          <w:sz w:val="24"/>
          <w:szCs w:val="24"/>
          <w:lang w:eastAsia="zh-CN"/>
        </w:rPr>
        <w:t>现有食堂</w:t>
      </w:r>
      <w:r>
        <w:rPr>
          <w:rFonts w:hint="eastAsia" w:ascii="宋体" w:hAnsi="宋体" w:eastAsia="宋体" w:cs="Times New Roman"/>
          <w:b w:val="0"/>
          <w:bCs/>
          <w:sz w:val="24"/>
          <w:szCs w:val="24"/>
        </w:rPr>
        <w:t>位于南雄市人民医院住院部，食堂</w:t>
      </w:r>
      <w:r>
        <w:rPr>
          <w:rFonts w:hint="eastAsia" w:ascii="宋体" w:hAnsi="宋体" w:cs="Times New Roman"/>
          <w:b w:val="0"/>
          <w:bCs/>
          <w:sz w:val="24"/>
          <w:szCs w:val="24"/>
          <w:lang w:val="en-US" w:eastAsia="zh-CN"/>
        </w:rPr>
        <w:t>有三层楼，总</w:t>
      </w:r>
      <w:r>
        <w:rPr>
          <w:rFonts w:hint="eastAsia" w:ascii="宋体" w:hAnsi="宋体" w:eastAsia="宋体" w:cs="Times New Roman"/>
          <w:b w:val="0"/>
          <w:bCs/>
          <w:sz w:val="24"/>
          <w:szCs w:val="24"/>
        </w:rPr>
        <w:t>面积约</w:t>
      </w:r>
      <w:r>
        <w:rPr>
          <w:rFonts w:hint="eastAsia" w:ascii="宋体" w:hAnsi="宋体" w:cs="Times New Roman"/>
          <w:b w:val="0"/>
          <w:bCs/>
          <w:sz w:val="24"/>
          <w:szCs w:val="24"/>
          <w:lang w:val="en-US" w:eastAsia="zh-CN"/>
        </w:rPr>
        <w:t>1500</w:t>
      </w:r>
      <w:r>
        <w:rPr>
          <w:rFonts w:hint="eastAsia" w:ascii="宋体" w:hAnsi="宋体" w:eastAsia="宋体" w:cs="Times New Roman"/>
          <w:b w:val="0"/>
          <w:bCs/>
          <w:sz w:val="24"/>
          <w:szCs w:val="24"/>
        </w:rPr>
        <w:t>平方米，包括职工用餐区、病员及家属用餐区、厨房、综合大餐厅、3间包间、1间食品仓。水、电、天然气、炉灶、</w:t>
      </w:r>
      <w:r>
        <w:rPr>
          <w:rFonts w:hint="eastAsia" w:ascii="宋体" w:hAnsi="宋体" w:cs="Times New Roman"/>
          <w:b w:val="0"/>
          <w:bCs/>
          <w:sz w:val="24"/>
          <w:szCs w:val="24"/>
          <w:lang w:val="en-US" w:eastAsia="zh-CN"/>
        </w:rPr>
        <w:t>餐梯、</w:t>
      </w:r>
      <w:r>
        <w:rPr>
          <w:rFonts w:hint="eastAsia" w:ascii="宋体" w:hAnsi="宋体" w:eastAsia="宋体" w:cs="Times New Roman"/>
          <w:b w:val="0"/>
          <w:bCs/>
          <w:sz w:val="24"/>
          <w:szCs w:val="24"/>
        </w:rPr>
        <w:t>家具家饰、电视、空调、灯具等基础设施齐全完好，</w:t>
      </w:r>
      <w:r>
        <w:rPr>
          <w:rFonts w:hint="eastAsia" w:ascii="宋体" w:hAnsi="宋体" w:eastAsia="宋体" w:cs="Times New Roman"/>
          <w:b w:val="0"/>
          <w:bCs/>
          <w:sz w:val="24"/>
          <w:szCs w:val="24"/>
          <w:lang w:eastAsia="zh-CN"/>
        </w:rPr>
        <w:t>正常</w:t>
      </w:r>
      <w:r>
        <w:rPr>
          <w:rFonts w:hint="eastAsia" w:ascii="宋体" w:hAnsi="宋体" w:eastAsia="宋体" w:cs="Times New Roman"/>
          <w:b w:val="0"/>
          <w:bCs/>
          <w:sz w:val="24"/>
          <w:szCs w:val="24"/>
        </w:rPr>
        <w:t>运行。</w:t>
      </w:r>
    </w:p>
    <w:p w14:paraId="0E2B29E1">
      <w:pPr>
        <w:numPr>
          <w:ilvl w:val="0"/>
          <w:numId w:val="8"/>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 w:val="0"/>
          <w:bCs/>
          <w:sz w:val="24"/>
          <w:szCs w:val="24"/>
        </w:rPr>
      </w:pPr>
      <w:r>
        <w:rPr>
          <w:rFonts w:hint="eastAsia" w:ascii="宋体" w:hAnsi="宋体" w:eastAsia="宋体" w:cs="Times New Roman"/>
          <w:b w:val="0"/>
          <w:bCs/>
          <w:sz w:val="24"/>
          <w:szCs w:val="24"/>
        </w:rPr>
        <w:t>南雄市人民医院住院部食堂房屋、设施、设备等提供给</w:t>
      </w:r>
      <w:r>
        <w:rPr>
          <w:rFonts w:hint="eastAsia" w:ascii="宋体" w:hAnsi="宋体" w:eastAsia="宋体" w:cs="Times New Roman"/>
          <w:b w:val="0"/>
          <w:bCs/>
          <w:sz w:val="24"/>
          <w:szCs w:val="24"/>
          <w:lang w:eastAsia="zh-CN"/>
        </w:rPr>
        <w:t>中标人</w:t>
      </w:r>
      <w:r>
        <w:rPr>
          <w:rFonts w:hint="eastAsia" w:ascii="宋体" w:hAnsi="宋体" w:eastAsia="宋体" w:cs="Times New Roman"/>
          <w:b w:val="0"/>
          <w:bCs/>
          <w:sz w:val="24"/>
          <w:szCs w:val="24"/>
        </w:rPr>
        <w:t>使用</w:t>
      </w:r>
      <w:r>
        <w:rPr>
          <w:rFonts w:hint="eastAsia" w:ascii="宋体" w:hAnsi="宋体" w:eastAsia="宋体" w:cs="Times New Roman"/>
          <w:b w:val="0"/>
          <w:bCs/>
          <w:sz w:val="24"/>
          <w:szCs w:val="24"/>
          <w:lang w:eastAsia="zh-CN"/>
        </w:rPr>
        <w:t>，</w:t>
      </w:r>
      <w:r>
        <w:rPr>
          <w:rFonts w:hint="eastAsia" w:ascii="宋体" w:hAnsi="宋体" w:eastAsia="宋体" w:cs="Times New Roman"/>
          <w:b w:val="0"/>
          <w:bCs/>
          <w:sz w:val="24"/>
          <w:szCs w:val="24"/>
        </w:rPr>
        <w:t>中标人对招标人提供的房屋、各类设备、设施及资产建立好档案，负有保管和维护的责任，所产生费用全部由中标人负责。</w:t>
      </w:r>
    </w:p>
    <w:p w14:paraId="6A3DE6D1">
      <w:pPr>
        <w:numPr>
          <w:ilvl w:val="0"/>
          <w:numId w:val="8"/>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 w:val="0"/>
          <w:bCs/>
          <w:sz w:val="24"/>
          <w:szCs w:val="24"/>
        </w:rPr>
      </w:pPr>
      <w:r>
        <w:rPr>
          <w:rFonts w:hint="eastAsia" w:ascii="宋体" w:hAnsi="宋体" w:eastAsia="宋体" w:cs="Times New Roman"/>
          <w:b w:val="0"/>
          <w:bCs/>
          <w:sz w:val="24"/>
          <w:szCs w:val="24"/>
        </w:rPr>
        <w:t>食堂必须满足医院工作需要，确保职工就餐、职工加班用餐配送、手术用餐、进修实习生的生活用餐；住院患者及其家属陪人的订餐、就餐、送餐、治疗膳食；医院另行安排的餐饮。</w:t>
      </w:r>
    </w:p>
    <w:p w14:paraId="329063EF">
      <w:pPr>
        <w:numPr>
          <w:ilvl w:val="0"/>
          <w:numId w:val="7"/>
        </w:numPr>
        <w:tabs>
          <w:tab w:val="left" w:pos="567"/>
          <w:tab w:val="clear" w:pos="420"/>
        </w:tabs>
        <w:autoSpaceDE/>
        <w:autoSpaceDN/>
        <w:snapToGrid w:val="0"/>
        <w:spacing w:line="360" w:lineRule="auto"/>
        <w:ind w:left="0" w:firstLine="0"/>
        <w:jc w:val="both"/>
        <w:textAlignment w:val="baseline"/>
        <w:rPr>
          <w:rFonts w:hint="eastAsia" w:ascii="宋体" w:hAnsi="宋体" w:eastAsia="宋体" w:cs="Times New Roman"/>
          <w:b w:val="0"/>
          <w:bCs/>
          <w:sz w:val="24"/>
          <w:szCs w:val="24"/>
        </w:rPr>
      </w:pPr>
      <w:r>
        <w:rPr>
          <w:rFonts w:hint="eastAsia" w:ascii="宋体" w:hAnsi="宋体" w:cs="Times New Roman"/>
          <w:b w:val="0"/>
          <w:bCs/>
          <w:sz w:val="24"/>
          <w:szCs w:val="24"/>
          <w:lang w:val="en-US" w:eastAsia="zh-CN"/>
        </w:rPr>
        <w:t>承包经营范围：包括但不限于热食类食品制售；冷食类食品制售（含烧卤熟肉）；糕点类食品制售（含裱花蛋糕、自制饮品）；预包装食品销售。</w:t>
      </w:r>
    </w:p>
    <w:p w14:paraId="09CB50EF">
      <w:pPr>
        <w:numPr>
          <w:ilvl w:val="0"/>
          <w:numId w:val="7"/>
        </w:numPr>
        <w:tabs>
          <w:tab w:val="left" w:pos="567"/>
          <w:tab w:val="clear" w:pos="420"/>
        </w:tabs>
        <w:autoSpaceDE/>
        <w:autoSpaceDN/>
        <w:snapToGrid w:val="0"/>
        <w:spacing w:line="360" w:lineRule="auto"/>
        <w:ind w:left="0" w:firstLine="0"/>
        <w:jc w:val="both"/>
        <w:textAlignment w:val="baseline"/>
        <w:rPr>
          <w:rFonts w:hint="eastAsia" w:ascii="宋体" w:hAnsi="宋体" w:eastAsia="宋体" w:cs="Times New Roman"/>
          <w:b w:val="0"/>
          <w:bCs/>
          <w:sz w:val="24"/>
          <w:szCs w:val="24"/>
        </w:rPr>
      </w:pPr>
      <w:r>
        <w:rPr>
          <w:rFonts w:hint="eastAsia" w:ascii="宋体" w:hAnsi="宋体" w:eastAsia="宋体" w:cs="Times New Roman"/>
          <w:b w:val="0"/>
          <w:bCs/>
          <w:sz w:val="24"/>
          <w:szCs w:val="24"/>
        </w:rPr>
        <w:t>承包方式：承包方自主经营，独立核算，发生的债权、债务与</w:t>
      </w:r>
      <w:r>
        <w:rPr>
          <w:rFonts w:hint="eastAsia" w:ascii="宋体" w:hAnsi="宋体" w:cs="Times New Roman"/>
          <w:b w:val="0"/>
          <w:bCs/>
          <w:sz w:val="24"/>
          <w:szCs w:val="24"/>
          <w:lang w:val="en-US" w:eastAsia="zh-CN"/>
        </w:rPr>
        <w:t>招标人</w:t>
      </w:r>
      <w:r>
        <w:rPr>
          <w:rFonts w:hint="eastAsia" w:ascii="宋体" w:hAnsi="宋体" w:eastAsia="宋体" w:cs="Times New Roman"/>
          <w:b w:val="0"/>
          <w:bCs/>
          <w:sz w:val="24"/>
          <w:szCs w:val="24"/>
        </w:rPr>
        <w:t>无关。</w:t>
      </w:r>
    </w:p>
    <w:p w14:paraId="317DB0D8">
      <w:pPr>
        <w:numPr>
          <w:ilvl w:val="0"/>
          <w:numId w:val="5"/>
        </w:numPr>
        <w:tabs>
          <w:tab w:val="left" w:pos="540"/>
        </w:tabs>
        <w:autoSpaceDE/>
        <w:autoSpaceDN/>
        <w:snapToGrid w:val="0"/>
        <w:spacing w:line="360" w:lineRule="auto"/>
        <w:jc w:val="both"/>
        <w:rPr>
          <w:rFonts w:ascii="宋体" w:hAnsi="宋体"/>
          <w:b/>
          <w:color w:val="FF0000"/>
          <w:sz w:val="24"/>
          <w:szCs w:val="24"/>
        </w:rPr>
      </w:pPr>
      <w:r>
        <w:rPr>
          <w:rFonts w:hint="eastAsia" w:ascii="宋体" w:hAnsi="宋体"/>
          <w:b/>
          <w:sz w:val="24"/>
          <w:szCs w:val="24"/>
          <w:lang w:val="en-US" w:eastAsia="zh-CN"/>
        </w:rPr>
        <w:t>技术要求</w:t>
      </w:r>
    </w:p>
    <w:p w14:paraId="43C46E67">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设施要求</w:t>
      </w:r>
      <w:r>
        <w:rPr>
          <w:rFonts w:hint="eastAsia" w:ascii="宋体" w:hAnsi="宋体" w:cs="Times New Roman"/>
          <w:bCs/>
          <w:sz w:val="24"/>
          <w:szCs w:val="24"/>
          <w:lang w:val="en-US" w:eastAsia="zh-CN"/>
        </w:rPr>
        <w:t>：</w:t>
      </w:r>
    </w:p>
    <w:p w14:paraId="2C146521">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1.</w:t>
      </w:r>
      <w:r>
        <w:rPr>
          <w:rFonts w:hint="eastAsia" w:ascii="宋体" w:hAnsi="宋体" w:eastAsia="宋体" w:cs="Times New Roman"/>
          <w:bCs/>
          <w:sz w:val="24"/>
          <w:szCs w:val="24"/>
          <w:lang w:eastAsia="zh-CN"/>
        </w:rPr>
        <w:t>★投标人应承诺保持所承包的房产原状和用途，如确需对房屋进行装修、改造，必须经招标人允许在不影响房屋</w:t>
      </w:r>
      <w:r>
        <w:rPr>
          <w:rFonts w:hint="eastAsia" w:ascii="宋体" w:hAnsi="宋体" w:eastAsia="宋体" w:cs="Times New Roman"/>
          <w:bCs/>
          <w:sz w:val="24"/>
          <w:szCs w:val="24"/>
          <w:lang w:val="en-US" w:eastAsia="zh-CN"/>
        </w:rPr>
        <w:t>主体</w:t>
      </w:r>
      <w:r>
        <w:rPr>
          <w:rFonts w:hint="eastAsia" w:ascii="宋体" w:hAnsi="宋体" w:eastAsia="宋体" w:cs="Times New Roman"/>
          <w:bCs/>
          <w:sz w:val="24"/>
          <w:szCs w:val="24"/>
          <w:lang w:eastAsia="zh-CN"/>
        </w:rPr>
        <w:t>结构</w:t>
      </w:r>
      <w:r>
        <w:rPr>
          <w:rFonts w:hint="eastAsia" w:ascii="宋体" w:hAnsi="宋体" w:eastAsia="宋体" w:cs="Times New Roman"/>
          <w:bCs/>
          <w:sz w:val="24"/>
          <w:szCs w:val="24"/>
          <w:lang w:val="zh-CN" w:eastAsia="zh-CN"/>
        </w:rPr>
        <w:t>和</w:t>
      </w:r>
      <w:r>
        <w:rPr>
          <w:rFonts w:hint="eastAsia" w:ascii="宋体" w:hAnsi="宋体" w:eastAsia="宋体" w:cs="Times New Roman"/>
          <w:bCs/>
          <w:sz w:val="24"/>
          <w:szCs w:val="24"/>
          <w:lang w:val="en-US" w:eastAsia="zh-CN"/>
        </w:rPr>
        <w:t>不</w:t>
      </w:r>
      <w:r>
        <w:rPr>
          <w:rFonts w:hint="eastAsia" w:ascii="宋体" w:hAnsi="宋体" w:eastAsia="宋体" w:cs="Times New Roman"/>
          <w:bCs/>
          <w:sz w:val="24"/>
          <w:szCs w:val="24"/>
          <w:lang w:val="zh-CN" w:eastAsia="zh-CN"/>
        </w:rPr>
        <w:t>影响主体结构安全</w:t>
      </w:r>
      <w:r>
        <w:rPr>
          <w:rFonts w:hint="eastAsia" w:ascii="宋体" w:hAnsi="宋体" w:eastAsia="宋体" w:cs="Times New Roman"/>
          <w:bCs/>
          <w:sz w:val="24"/>
          <w:szCs w:val="24"/>
          <w:lang w:eastAsia="zh-CN"/>
        </w:rPr>
        <w:t>的情况下进行，招标人不支付任何费用。除房屋主体基建基础设施外，食堂的其他任何维修、维护费用由投标人自行承担。</w:t>
      </w:r>
      <w:r>
        <w:rPr>
          <w:rFonts w:hint="eastAsia" w:ascii="宋体" w:hAnsi="宋体" w:eastAsia="宋体" w:cs="Times New Roman"/>
          <w:b/>
          <w:bCs w:val="0"/>
          <w:sz w:val="24"/>
          <w:szCs w:val="24"/>
          <w:lang w:eastAsia="zh-CN"/>
        </w:rPr>
        <w:t>（投标时提供承诺函，格式自拟</w:t>
      </w:r>
      <w:r>
        <w:rPr>
          <w:rFonts w:hint="eastAsia" w:ascii="宋体" w:hAnsi="宋体" w:eastAsia="宋体" w:cs="Times New Roman"/>
          <w:b/>
          <w:bCs w:val="0"/>
          <w:sz w:val="24"/>
          <w:szCs w:val="24"/>
          <w:lang w:val="en-US" w:eastAsia="zh-CN"/>
        </w:rPr>
        <w:t>)</w:t>
      </w:r>
    </w:p>
    <w:p w14:paraId="0541CBDB">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2.</w:t>
      </w:r>
      <w:r>
        <w:rPr>
          <w:rFonts w:hint="eastAsia" w:ascii="宋体" w:hAnsi="宋体" w:eastAsia="宋体" w:cs="Times New Roman"/>
          <w:bCs/>
          <w:sz w:val="24"/>
          <w:szCs w:val="24"/>
          <w:lang w:val="en-US" w:eastAsia="zh-CN"/>
        </w:rPr>
        <w:t>中标人装修改造</w:t>
      </w:r>
      <w:r>
        <w:rPr>
          <w:rFonts w:hint="eastAsia" w:ascii="宋体" w:hAnsi="宋体" w:eastAsia="宋体" w:cs="Times New Roman"/>
          <w:bCs/>
          <w:sz w:val="24"/>
          <w:szCs w:val="24"/>
          <w:lang w:val="zh-CN" w:eastAsia="zh-CN"/>
        </w:rPr>
        <w:t>应经招标人相关部门审核，严格按照经招标人及相关职能部门审核同意，并接受招标人、属地有关部门的监督与指导；</w:t>
      </w:r>
      <w:r>
        <w:rPr>
          <w:rFonts w:hint="eastAsia" w:ascii="宋体" w:hAnsi="宋体" w:eastAsia="宋体" w:cs="Times New Roman"/>
          <w:bCs/>
          <w:sz w:val="24"/>
          <w:szCs w:val="24"/>
          <w:lang w:val="en-US" w:eastAsia="zh-CN"/>
        </w:rPr>
        <w:t>进行装修改造前</w:t>
      </w:r>
      <w:r>
        <w:rPr>
          <w:rFonts w:hint="eastAsia" w:ascii="宋体" w:hAnsi="宋体" w:eastAsia="宋体" w:cs="Times New Roman"/>
          <w:bCs/>
          <w:sz w:val="24"/>
          <w:szCs w:val="24"/>
          <w:lang w:val="zh-CN" w:eastAsia="zh-CN"/>
        </w:rPr>
        <w:t>应提交《食堂厨房平面布局图》等相关资料到属地市场监督管理部门审批。</w:t>
      </w:r>
    </w:p>
    <w:p w14:paraId="414DE22C">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3.</w:t>
      </w:r>
      <w:r>
        <w:rPr>
          <w:rFonts w:hint="eastAsia" w:ascii="宋体" w:hAnsi="宋体" w:eastAsia="宋体" w:cs="Times New Roman"/>
          <w:bCs/>
          <w:sz w:val="24"/>
          <w:szCs w:val="24"/>
          <w:lang w:val="zh-CN" w:eastAsia="zh-CN"/>
        </w:rPr>
        <w:t>中标人应按照《餐饮服务食品安全操作规范》等要求对基础设施设备进行补充和完善，并负责经营期间食堂所需设备与餐厨具的添置。</w:t>
      </w:r>
    </w:p>
    <w:p w14:paraId="66410D39">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4.</w:t>
      </w:r>
      <w:r>
        <w:rPr>
          <w:rFonts w:hint="eastAsia" w:ascii="宋体" w:hAnsi="宋体" w:eastAsia="宋体" w:cs="Times New Roman"/>
          <w:bCs/>
          <w:sz w:val="24"/>
          <w:szCs w:val="24"/>
          <w:lang w:val="en-US" w:eastAsia="zh-CN"/>
        </w:rPr>
        <w:t>如</w:t>
      </w:r>
      <w:r>
        <w:rPr>
          <w:rFonts w:hint="eastAsia" w:ascii="宋体" w:hAnsi="宋体" w:eastAsia="宋体" w:cs="Times New Roman"/>
          <w:bCs/>
          <w:sz w:val="24"/>
          <w:szCs w:val="24"/>
          <w:lang w:val="zh-CN" w:eastAsia="zh-CN"/>
        </w:rPr>
        <w:t>中标人对食堂优化</w:t>
      </w:r>
      <w:r>
        <w:rPr>
          <w:rFonts w:hint="eastAsia" w:ascii="宋体" w:hAnsi="宋体" w:eastAsia="宋体" w:cs="Times New Roman"/>
          <w:bCs/>
          <w:sz w:val="24"/>
          <w:szCs w:val="24"/>
          <w:lang w:val="en-US" w:eastAsia="zh-CN"/>
        </w:rPr>
        <w:t>装修</w:t>
      </w:r>
      <w:r>
        <w:rPr>
          <w:rFonts w:hint="eastAsia" w:ascii="宋体" w:hAnsi="宋体" w:eastAsia="宋体" w:cs="Times New Roman"/>
          <w:bCs/>
          <w:sz w:val="24"/>
          <w:szCs w:val="24"/>
          <w:lang w:eastAsia="zh-CN"/>
        </w:rPr>
        <w:t>改造</w:t>
      </w:r>
      <w:r>
        <w:rPr>
          <w:rFonts w:hint="eastAsia" w:ascii="宋体" w:hAnsi="宋体" w:eastAsia="宋体" w:cs="Times New Roman"/>
          <w:bCs/>
          <w:sz w:val="24"/>
          <w:szCs w:val="24"/>
          <w:lang w:val="zh-CN" w:eastAsia="zh-CN"/>
        </w:rPr>
        <w:t>，</w:t>
      </w:r>
      <w:r>
        <w:rPr>
          <w:rFonts w:hint="eastAsia" w:ascii="宋体" w:hAnsi="宋体" w:eastAsia="宋体" w:cs="Times New Roman"/>
          <w:bCs/>
          <w:sz w:val="24"/>
          <w:szCs w:val="24"/>
          <w:lang w:eastAsia="zh-CN"/>
        </w:rPr>
        <w:t>要</w:t>
      </w:r>
      <w:r>
        <w:rPr>
          <w:rFonts w:hint="eastAsia" w:ascii="宋体" w:hAnsi="宋体" w:eastAsia="宋体" w:cs="Times New Roman"/>
          <w:bCs/>
          <w:sz w:val="24"/>
          <w:szCs w:val="24"/>
          <w:lang w:val="zh-CN" w:eastAsia="zh-CN"/>
        </w:rPr>
        <w:t>按</w:t>
      </w:r>
      <w:r>
        <w:rPr>
          <w:rFonts w:hint="eastAsia" w:ascii="宋体" w:hAnsi="宋体" w:eastAsia="宋体" w:cs="Times New Roman"/>
          <w:bCs/>
          <w:sz w:val="24"/>
          <w:szCs w:val="24"/>
          <w:lang w:eastAsia="zh-CN"/>
        </w:rPr>
        <w:t>食品卫生安全和</w:t>
      </w:r>
      <w:r>
        <w:rPr>
          <w:rFonts w:hint="eastAsia" w:ascii="宋体" w:hAnsi="宋体" w:eastAsia="宋体" w:cs="Times New Roman"/>
          <w:bCs/>
          <w:sz w:val="24"/>
          <w:szCs w:val="24"/>
          <w:lang w:val="zh-CN" w:eastAsia="zh-CN"/>
        </w:rPr>
        <w:t>消防规范设计</w:t>
      </w:r>
      <w:r>
        <w:rPr>
          <w:rFonts w:hint="eastAsia" w:ascii="宋体" w:hAnsi="宋体" w:eastAsia="宋体" w:cs="Times New Roman"/>
          <w:bCs/>
          <w:sz w:val="24"/>
          <w:szCs w:val="24"/>
          <w:lang w:eastAsia="zh-CN"/>
        </w:rPr>
        <w:t>要求</w:t>
      </w:r>
      <w:r>
        <w:rPr>
          <w:rFonts w:hint="eastAsia" w:ascii="宋体" w:hAnsi="宋体" w:eastAsia="宋体" w:cs="Times New Roman"/>
          <w:bCs/>
          <w:sz w:val="24"/>
          <w:szCs w:val="24"/>
          <w:lang w:val="zh-CN" w:eastAsia="zh-CN"/>
        </w:rPr>
        <w:t>施工。中标人对</w:t>
      </w:r>
      <w:r>
        <w:rPr>
          <w:rFonts w:hint="eastAsia" w:ascii="宋体" w:hAnsi="宋体" w:eastAsia="宋体" w:cs="Times New Roman"/>
          <w:bCs/>
          <w:sz w:val="24"/>
          <w:szCs w:val="24"/>
          <w:lang w:eastAsia="zh-CN"/>
        </w:rPr>
        <w:t>所</w:t>
      </w:r>
      <w:r>
        <w:rPr>
          <w:rFonts w:hint="eastAsia" w:ascii="宋体" w:hAnsi="宋体" w:eastAsia="宋体" w:cs="Times New Roman"/>
          <w:bCs/>
          <w:sz w:val="24"/>
          <w:szCs w:val="24"/>
          <w:lang w:val="zh-CN" w:eastAsia="zh-CN"/>
        </w:rPr>
        <w:t>采购的设施设备，应在</w:t>
      </w:r>
      <w:r>
        <w:rPr>
          <w:rFonts w:hint="eastAsia" w:ascii="宋体" w:hAnsi="宋体" w:eastAsia="宋体" w:cs="Times New Roman"/>
          <w:bCs/>
          <w:sz w:val="24"/>
          <w:szCs w:val="24"/>
          <w:lang w:eastAsia="zh-CN"/>
        </w:rPr>
        <w:t>验收</w:t>
      </w:r>
      <w:r>
        <w:rPr>
          <w:rFonts w:hint="eastAsia" w:ascii="宋体" w:hAnsi="宋体" w:eastAsia="宋体" w:cs="Times New Roman"/>
          <w:bCs/>
          <w:sz w:val="24"/>
          <w:szCs w:val="24"/>
          <w:lang w:val="zh-CN" w:eastAsia="zh-CN"/>
        </w:rPr>
        <w:t>投入使用后两个月内全部列明详细清单并附图纸及实物相片，整理成册连同优化建设有关资料（包括但不限于原状、改造内容、改造后现状、工程签证单等）一并交由招标人</w:t>
      </w:r>
      <w:r>
        <w:rPr>
          <w:rFonts w:hint="eastAsia" w:ascii="宋体" w:hAnsi="宋体" w:eastAsia="宋体" w:cs="Times New Roman"/>
          <w:bCs/>
          <w:sz w:val="24"/>
          <w:szCs w:val="24"/>
          <w:lang w:eastAsia="zh-CN"/>
        </w:rPr>
        <w:t>备案</w:t>
      </w:r>
      <w:r>
        <w:rPr>
          <w:rFonts w:hint="eastAsia" w:ascii="宋体" w:hAnsi="宋体" w:eastAsia="宋体" w:cs="Times New Roman"/>
          <w:bCs/>
          <w:sz w:val="24"/>
          <w:szCs w:val="24"/>
          <w:lang w:val="zh-CN" w:eastAsia="zh-CN"/>
        </w:rPr>
        <w:t>。</w:t>
      </w:r>
    </w:p>
    <w:p w14:paraId="7F9C6D97">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5.</w:t>
      </w:r>
      <w:r>
        <w:rPr>
          <w:rFonts w:hint="eastAsia" w:ascii="宋体" w:hAnsi="宋体" w:eastAsia="宋体" w:cs="Times New Roman"/>
          <w:bCs/>
          <w:sz w:val="24"/>
          <w:szCs w:val="24"/>
          <w:lang w:val="zh-CN" w:eastAsia="zh-CN"/>
        </w:rPr>
        <w:t>中标人应在</w:t>
      </w:r>
      <w:r>
        <w:rPr>
          <w:rFonts w:hint="eastAsia" w:ascii="宋体" w:hAnsi="宋体" w:eastAsia="宋体" w:cs="Times New Roman"/>
          <w:bCs/>
          <w:sz w:val="24"/>
          <w:szCs w:val="24"/>
          <w:lang w:val="en-US" w:eastAsia="zh-CN"/>
        </w:rPr>
        <w:t>装修</w:t>
      </w:r>
      <w:r>
        <w:rPr>
          <w:rFonts w:hint="eastAsia" w:ascii="宋体" w:hAnsi="宋体" w:eastAsia="宋体" w:cs="Times New Roman"/>
          <w:bCs/>
          <w:sz w:val="24"/>
          <w:szCs w:val="24"/>
          <w:lang w:eastAsia="zh-CN"/>
        </w:rPr>
        <w:t>改造</w:t>
      </w:r>
      <w:r>
        <w:rPr>
          <w:rFonts w:hint="eastAsia" w:ascii="宋体" w:hAnsi="宋体" w:eastAsia="宋体" w:cs="Times New Roman"/>
          <w:bCs/>
          <w:sz w:val="24"/>
          <w:szCs w:val="24"/>
          <w:lang w:val="zh-CN" w:eastAsia="zh-CN"/>
        </w:rPr>
        <w:t>前</w:t>
      </w:r>
      <w:r>
        <w:rPr>
          <w:rFonts w:hint="eastAsia" w:ascii="宋体" w:hAnsi="宋体" w:eastAsia="宋体" w:cs="Times New Roman"/>
          <w:bCs/>
          <w:sz w:val="24"/>
          <w:szCs w:val="24"/>
          <w:lang w:eastAsia="zh-CN"/>
        </w:rPr>
        <w:t>将</w:t>
      </w:r>
      <w:r>
        <w:rPr>
          <w:rFonts w:hint="eastAsia" w:ascii="宋体" w:hAnsi="宋体" w:eastAsia="宋体" w:cs="Times New Roman"/>
          <w:bCs/>
          <w:sz w:val="24"/>
          <w:szCs w:val="24"/>
          <w:lang w:val="zh-CN" w:eastAsia="zh-CN"/>
        </w:rPr>
        <w:t>食堂的配电</w:t>
      </w:r>
      <w:r>
        <w:rPr>
          <w:rFonts w:hint="eastAsia" w:ascii="宋体" w:hAnsi="宋体" w:eastAsia="宋体" w:cs="Times New Roman"/>
          <w:bCs/>
          <w:sz w:val="24"/>
          <w:szCs w:val="24"/>
          <w:lang w:eastAsia="zh-CN"/>
        </w:rPr>
        <w:t>需求报</w:t>
      </w:r>
      <w:r>
        <w:rPr>
          <w:rFonts w:hint="eastAsia" w:ascii="宋体" w:hAnsi="宋体" w:eastAsia="宋体" w:cs="Times New Roman"/>
          <w:bCs/>
          <w:sz w:val="24"/>
          <w:szCs w:val="24"/>
          <w:lang w:val="en-US" w:eastAsia="zh-CN"/>
        </w:rPr>
        <w:t>招标人</w:t>
      </w:r>
      <w:r>
        <w:rPr>
          <w:rFonts w:hint="eastAsia" w:ascii="宋体" w:hAnsi="宋体" w:eastAsia="宋体" w:cs="Times New Roman"/>
          <w:bCs/>
          <w:sz w:val="24"/>
          <w:szCs w:val="24"/>
          <w:lang w:eastAsia="zh-CN"/>
        </w:rPr>
        <w:t>审批</w:t>
      </w:r>
      <w:r>
        <w:rPr>
          <w:rFonts w:hint="eastAsia" w:ascii="宋体" w:hAnsi="宋体" w:eastAsia="宋体" w:cs="Times New Roman"/>
          <w:bCs/>
          <w:sz w:val="24"/>
          <w:szCs w:val="24"/>
          <w:lang w:val="zh-CN" w:eastAsia="zh-CN"/>
        </w:rPr>
        <w:t>，避免后期出现设备运行负荷不够的情况，</w:t>
      </w:r>
      <w:r>
        <w:rPr>
          <w:rFonts w:hint="eastAsia" w:ascii="宋体" w:hAnsi="宋体" w:eastAsia="宋体" w:cs="Times New Roman"/>
          <w:bCs/>
          <w:sz w:val="24"/>
          <w:szCs w:val="24"/>
          <w:lang w:eastAsia="zh-CN"/>
        </w:rPr>
        <w:t>相关提升改造费用由中标人承担。</w:t>
      </w:r>
    </w:p>
    <w:p w14:paraId="7F130E0A">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6.</w:t>
      </w:r>
      <w:r>
        <w:rPr>
          <w:rFonts w:hint="eastAsia" w:ascii="宋体" w:hAnsi="宋体" w:eastAsia="宋体" w:cs="Times New Roman"/>
          <w:bCs/>
          <w:sz w:val="24"/>
          <w:szCs w:val="24"/>
          <w:lang w:eastAsia="zh-CN"/>
        </w:rPr>
        <w:t>经营前，中标人必须与招标人进行建筑物（房屋）、设备、设施的清点，列表移交招标人管理部门后，方可使用。</w:t>
      </w:r>
    </w:p>
    <w:p w14:paraId="06980046">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lang w:eastAsia="zh-CN"/>
        </w:rPr>
        <w:t>投标</w:t>
      </w:r>
      <w:r>
        <w:rPr>
          <w:rFonts w:hint="eastAsia" w:ascii="宋体" w:hAnsi="宋体" w:eastAsia="宋体" w:cs="Times New Roman"/>
          <w:bCs/>
          <w:sz w:val="24"/>
          <w:szCs w:val="24"/>
        </w:rPr>
        <w:t>人不得将食堂私自转让或委托他人经营，更不能利用医院资产搞不法经营，一经发现，</w:t>
      </w:r>
      <w:r>
        <w:rPr>
          <w:rFonts w:hint="eastAsia" w:ascii="宋体" w:hAnsi="宋体" w:eastAsia="宋体" w:cs="Times New Roman"/>
          <w:bCs/>
          <w:sz w:val="24"/>
          <w:szCs w:val="24"/>
          <w:lang w:eastAsia="zh-CN"/>
        </w:rPr>
        <w:t>招标人</w:t>
      </w:r>
      <w:r>
        <w:rPr>
          <w:rFonts w:hint="eastAsia" w:ascii="宋体" w:hAnsi="宋体" w:eastAsia="宋体" w:cs="Times New Roman"/>
          <w:bCs/>
          <w:sz w:val="24"/>
          <w:szCs w:val="24"/>
        </w:rPr>
        <w:t>有权取消其承包资格，并给予经济处罚或诉讼法律。</w:t>
      </w:r>
    </w:p>
    <w:p w14:paraId="23A701E3">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必须做好为医院患者及陪护的治疗饮食制作、配送；职工用餐、进修实习生生活用餐、体检用餐、手术用餐等服务。</w:t>
      </w:r>
    </w:p>
    <w:p w14:paraId="3B9F8F04">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中标人应配置一定数量的营养厨师，按照医院的要求，做好治疗饮食单制作和配送治疗饮食。菜色风味应以供应本地菜为主。</w:t>
      </w:r>
    </w:p>
    <w:p w14:paraId="20198E49">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服务原则：确保饮食安全，配送及时，保证供给</w:t>
      </w:r>
      <w:r>
        <w:rPr>
          <w:rFonts w:hint="eastAsia" w:ascii="宋体" w:hAnsi="宋体" w:eastAsia="宋体" w:cs="Times New Roman"/>
          <w:bCs/>
          <w:sz w:val="24"/>
          <w:szCs w:val="24"/>
          <w:lang w:eastAsia="zh-CN"/>
        </w:rPr>
        <w:t>。</w:t>
      </w:r>
    </w:p>
    <w:p w14:paraId="368D45B9">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工作要求：中标人在经营活动中要严格遵守《中华人民共和国食品安全法》、《中华人民共和国食品安全实施条例》</w:t>
      </w:r>
      <w:r>
        <w:rPr>
          <w:rFonts w:hint="eastAsia" w:ascii="宋体" w:hAnsi="宋体" w:cs="Times New Roman"/>
          <w:bCs/>
          <w:sz w:val="24"/>
          <w:szCs w:val="24"/>
          <w:lang w:eastAsia="zh-CN"/>
        </w:rPr>
        <w:t>、《食品生产经营日常监督检查管理办法》、《餐饮服务食品安全操作规范》</w:t>
      </w:r>
      <w:r>
        <w:rPr>
          <w:rFonts w:hint="eastAsia" w:ascii="宋体" w:hAnsi="宋体" w:eastAsia="宋体" w:cs="Times New Roman"/>
          <w:bCs/>
          <w:sz w:val="24"/>
          <w:szCs w:val="24"/>
        </w:rPr>
        <w:t>等法律法规，遵守《餐饮业和集体送餐配送单位卫生规范》、医院餐饮消毒技术规范、医院感染管理规范等行业规范及医院的各项管理规定，完成医院管理中的各项指标和要求，经营花色品种齐全，价格合理；制定服务水平、饭菜品种、质量、价格水平、利润管理、环境卫生等方面的规章制度，并保证有效执行。</w:t>
      </w:r>
    </w:p>
    <w:p w14:paraId="1FCE2C7B">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卫生监管要求：</w:t>
      </w:r>
    </w:p>
    <w:p w14:paraId="6F89130B">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1.</w:t>
      </w:r>
      <w:r>
        <w:rPr>
          <w:rFonts w:hint="eastAsia" w:ascii="宋体" w:hAnsi="宋体" w:eastAsia="宋体" w:cs="Times New Roman"/>
          <w:bCs/>
          <w:sz w:val="24"/>
          <w:szCs w:val="24"/>
        </w:rPr>
        <w:t>中标人应根据《广东省市场监督管理局关于“明厨亮灶”建设规范的指引》，在食堂安装视频监控，费用由中标人自行负责，须满足招标人、政府监管平台建设要求及监控系统联网的终端需要，实现互联网式“明厨亮灶”。</w:t>
      </w:r>
    </w:p>
    <w:p w14:paraId="7219524F">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2.</w:t>
      </w:r>
      <w:r>
        <w:rPr>
          <w:rFonts w:hint="eastAsia" w:ascii="宋体" w:hAnsi="宋体" w:eastAsia="宋体" w:cs="Times New Roman"/>
          <w:bCs/>
          <w:sz w:val="24"/>
          <w:szCs w:val="24"/>
        </w:rPr>
        <w:t>视频监控摄像设备要求参照视频监控式“明厨亮灶”建设规范要求，利用液晶电视或扫码线上查看的方式向消费者展示食品加工制作关键过程。</w:t>
      </w:r>
    </w:p>
    <w:p w14:paraId="0E71BC66">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3.</w:t>
      </w:r>
      <w:r>
        <w:rPr>
          <w:rFonts w:hint="eastAsia" w:ascii="宋体" w:hAnsi="宋体" w:eastAsia="宋体" w:cs="Times New Roman"/>
          <w:bCs/>
          <w:sz w:val="24"/>
          <w:szCs w:val="24"/>
        </w:rPr>
        <w:t>视频储存设备（含云储存）应支持存储监控摄像设备采集所得的原始视频或图像数据进行存储，视频信息保存不得少于30天。</w:t>
      </w:r>
    </w:p>
    <w:p w14:paraId="6BD3119D">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价格标准：为保证职工和患者利益，食品饭菜价格以不高于市场价格为标准经营，具体标准由</w:t>
      </w:r>
      <w:r>
        <w:rPr>
          <w:rFonts w:hint="eastAsia" w:ascii="宋体" w:hAnsi="宋体" w:eastAsia="宋体" w:cs="Times New Roman"/>
          <w:bCs/>
          <w:sz w:val="24"/>
          <w:szCs w:val="24"/>
          <w:lang w:eastAsia="zh-CN"/>
        </w:rPr>
        <w:t>招标人</w:t>
      </w:r>
      <w:r>
        <w:rPr>
          <w:rFonts w:hint="eastAsia" w:ascii="宋体" w:hAnsi="宋体" w:eastAsia="宋体" w:cs="Times New Roman"/>
          <w:bCs/>
          <w:sz w:val="24"/>
          <w:szCs w:val="24"/>
        </w:rPr>
        <w:t>及中标人共同制定</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饭菜及主食品价格由</w:t>
      </w:r>
      <w:r>
        <w:rPr>
          <w:rFonts w:hint="eastAsia" w:ascii="宋体" w:hAnsi="宋体" w:eastAsia="宋体" w:cs="Times New Roman"/>
          <w:bCs/>
          <w:sz w:val="24"/>
          <w:szCs w:val="24"/>
          <w:lang w:eastAsia="zh-CN"/>
        </w:rPr>
        <w:t>招标人</w:t>
      </w:r>
      <w:r>
        <w:rPr>
          <w:rFonts w:hint="eastAsia" w:ascii="宋体" w:hAnsi="宋体" w:eastAsia="宋体" w:cs="Times New Roman"/>
          <w:bCs/>
          <w:sz w:val="24"/>
          <w:szCs w:val="24"/>
        </w:rPr>
        <w:t>审定后确定，</w:t>
      </w:r>
      <w:r>
        <w:rPr>
          <w:rFonts w:hint="eastAsia" w:ascii="宋体" w:hAnsi="宋体" w:cs="Times New Roman"/>
          <w:bCs/>
          <w:sz w:val="24"/>
          <w:szCs w:val="24"/>
          <w:lang w:val="en-US" w:eastAsia="zh-CN"/>
        </w:rPr>
        <w:t>承包期间</w:t>
      </w:r>
      <w:r>
        <w:rPr>
          <w:rFonts w:hint="eastAsia" w:ascii="宋体" w:hAnsi="宋体" w:eastAsia="宋体" w:cs="Times New Roman"/>
          <w:bCs/>
          <w:sz w:val="24"/>
          <w:szCs w:val="24"/>
        </w:rPr>
        <w:t>不准擅自上调价格，如上调须上报</w:t>
      </w:r>
      <w:r>
        <w:rPr>
          <w:rFonts w:hint="eastAsia" w:ascii="宋体" w:hAnsi="宋体" w:eastAsia="宋体" w:cs="Times New Roman"/>
          <w:bCs/>
          <w:sz w:val="24"/>
          <w:szCs w:val="24"/>
          <w:lang w:eastAsia="zh-CN"/>
        </w:rPr>
        <w:t>招标人</w:t>
      </w:r>
      <w:r>
        <w:rPr>
          <w:rFonts w:hint="eastAsia" w:ascii="宋体" w:hAnsi="宋体" w:eastAsia="宋体" w:cs="Times New Roman"/>
          <w:bCs/>
          <w:sz w:val="24"/>
          <w:szCs w:val="24"/>
        </w:rPr>
        <w:t>审批后执行。</w:t>
      </w:r>
    </w:p>
    <w:p w14:paraId="55A03C94">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质量保证：饭菜质量好、</w:t>
      </w:r>
      <w:r>
        <w:rPr>
          <w:rFonts w:hint="eastAsia" w:ascii="宋体" w:hAnsi="宋体" w:eastAsia="宋体" w:cs="Times New Roman"/>
          <w:bCs/>
          <w:sz w:val="24"/>
          <w:szCs w:val="24"/>
          <w:lang w:val="en-US" w:eastAsia="zh-CN"/>
        </w:rPr>
        <w:t>荤素营养搭配，荤菜素菜各不少于3样，参照《</w:t>
      </w:r>
      <w:r>
        <w:rPr>
          <w:rFonts w:hint="eastAsia" w:ascii="宋体" w:hAnsi="宋体" w:eastAsia="宋体" w:cs="Times New Roman"/>
          <w:bCs/>
          <w:sz w:val="24"/>
          <w:szCs w:val="24"/>
        </w:rPr>
        <w:t>营养健康食堂建设指南</w:t>
      </w:r>
      <w:r>
        <w:rPr>
          <w:rFonts w:hint="eastAsia" w:ascii="宋体" w:hAnsi="宋体" w:eastAsia="宋体" w:cs="Times New Roman"/>
          <w:bCs/>
          <w:sz w:val="24"/>
          <w:szCs w:val="24"/>
          <w:lang w:val="en-US" w:eastAsia="zh-CN"/>
        </w:rPr>
        <w:t>》，提供符合指南健康营养标准的菜品</w:t>
      </w:r>
      <w:r>
        <w:rPr>
          <w:rFonts w:hint="eastAsia" w:ascii="宋体" w:hAnsi="宋体" w:eastAsia="宋体" w:cs="Times New Roman"/>
          <w:bCs/>
          <w:sz w:val="24"/>
          <w:szCs w:val="24"/>
        </w:rPr>
        <w:t>，严禁经营腐烂变质食品，原材料进货渠道正规，供应商证件齐全，职工及患者满意度在80%以上。根据每</w:t>
      </w:r>
      <w:r>
        <w:rPr>
          <w:rFonts w:hint="eastAsia" w:ascii="宋体" w:hAnsi="宋体" w:cs="Times New Roman"/>
          <w:bCs/>
          <w:sz w:val="24"/>
          <w:szCs w:val="24"/>
          <w:lang w:val="en-US" w:eastAsia="zh-CN"/>
        </w:rPr>
        <w:t>月</w:t>
      </w:r>
      <w:r>
        <w:rPr>
          <w:rFonts w:hint="eastAsia" w:ascii="宋体" w:hAnsi="宋体" w:eastAsia="宋体" w:cs="Times New Roman"/>
          <w:bCs/>
          <w:sz w:val="24"/>
          <w:szCs w:val="24"/>
        </w:rPr>
        <w:t>的考核满意率进行考核与处罚（考核办法附后）。</w:t>
      </w:r>
    </w:p>
    <w:p w14:paraId="027D5713">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监督考核：医院业务管理部门按照国家相关法律法规、规范及医院相关规章制度，对承包方的经营状况、食品卫生、饭菜质量、花色品种、价格、原材料购置渠道、食品留样观察、服务态度、综合治理、生产安全、从业人员情况、培训状况、操作规程、食品存储标准、患者治疗饮食工作的开展等进行监督、检查和指导，每</w:t>
      </w:r>
      <w:r>
        <w:rPr>
          <w:rFonts w:hint="eastAsia" w:ascii="宋体" w:hAnsi="宋体" w:cs="Times New Roman"/>
          <w:bCs/>
          <w:sz w:val="24"/>
          <w:szCs w:val="24"/>
          <w:lang w:val="en-US" w:eastAsia="zh-CN"/>
        </w:rPr>
        <w:t>月</w:t>
      </w:r>
      <w:r>
        <w:rPr>
          <w:rFonts w:hint="eastAsia" w:ascii="宋体" w:hAnsi="宋体" w:eastAsia="宋体" w:cs="Times New Roman"/>
          <w:bCs/>
          <w:sz w:val="24"/>
          <w:szCs w:val="24"/>
        </w:rPr>
        <w:t>进行考核（考核办法附后）。</w:t>
      </w:r>
    </w:p>
    <w:p w14:paraId="04A7D7AC">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 w:val="0"/>
          <w:bCs/>
          <w:sz w:val="24"/>
          <w:szCs w:val="24"/>
        </w:rPr>
        <w:t>★</w:t>
      </w:r>
      <w:r>
        <w:rPr>
          <w:rFonts w:hint="eastAsia" w:ascii="宋体" w:hAnsi="宋体" w:eastAsia="宋体" w:cs="Times New Roman"/>
          <w:bCs/>
          <w:sz w:val="24"/>
          <w:szCs w:val="24"/>
        </w:rPr>
        <w:t>如出现食物中毒、饮食纠纷、拖欠员工工资、社会保障福利、保险金、触犯治安管理及法律行为，或其它安全责任事故等，所造成的一切后果（包括行政、法律责任和经济赔偿等）由</w:t>
      </w:r>
      <w:r>
        <w:rPr>
          <w:rFonts w:hint="eastAsia" w:ascii="宋体" w:hAnsi="宋体" w:eastAsia="宋体" w:cs="Times New Roman"/>
          <w:bCs/>
          <w:sz w:val="24"/>
          <w:szCs w:val="24"/>
          <w:lang w:eastAsia="zh-CN"/>
        </w:rPr>
        <w:t>中标人</w:t>
      </w:r>
      <w:r>
        <w:rPr>
          <w:rFonts w:hint="eastAsia" w:ascii="宋体" w:hAnsi="宋体" w:eastAsia="宋体" w:cs="Times New Roman"/>
          <w:bCs/>
          <w:sz w:val="24"/>
          <w:szCs w:val="24"/>
        </w:rPr>
        <w:t>承担。</w:t>
      </w:r>
      <w:r>
        <w:rPr>
          <w:rFonts w:hint="eastAsia" w:ascii="宋体" w:hAnsi="宋体" w:eastAsia="宋体" w:cs="Times New Roman"/>
          <w:b/>
          <w:bCs w:val="0"/>
          <w:sz w:val="24"/>
          <w:szCs w:val="24"/>
          <w:lang w:eastAsia="zh-CN"/>
        </w:rPr>
        <w:t>（</w:t>
      </w:r>
      <w:r>
        <w:rPr>
          <w:rFonts w:hint="eastAsia" w:ascii="宋体" w:hAnsi="宋体" w:eastAsia="宋体" w:cs="Times New Roman"/>
          <w:b/>
          <w:bCs w:val="0"/>
          <w:sz w:val="24"/>
          <w:szCs w:val="24"/>
        </w:rPr>
        <w:t>投标时提供承诺函</w:t>
      </w:r>
      <w:r>
        <w:rPr>
          <w:rFonts w:hint="eastAsia" w:ascii="宋体" w:hAnsi="宋体" w:eastAsia="宋体" w:cs="Times New Roman"/>
          <w:b/>
          <w:bCs w:val="0"/>
          <w:sz w:val="24"/>
          <w:szCs w:val="24"/>
          <w:lang w:eastAsia="zh-CN"/>
        </w:rPr>
        <w:t>，格式自拟</w:t>
      </w:r>
      <w:r>
        <w:rPr>
          <w:rFonts w:hint="eastAsia" w:ascii="宋体" w:hAnsi="宋体" w:eastAsia="宋体" w:cs="Times New Roman"/>
          <w:b/>
          <w:bCs w:val="0"/>
          <w:sz w:val="24"/>
          <w:szCs w:val="24"/>
          <w:lang w:val="en-US" w:eastAsia="zh-CN"/>
        </w:rPr>
        <w:t>)</w:t>
      </w:r>
    </w:p>
    <w:p w14:paraId="1E213D14">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经营管理要求：</w:t>
      </w:r>
    </w:p>
    <w:p w14:paraId="5B5197CD">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default" w:ascii="宋体" w:hAnsi="宋体" w:eastAsia="宋体" w:cs="Times New Roman"/>
          <w:bCs/>
          <w:sz w:val="24"/>
          <w:szCs w:val="24"/>
          <w:lang w:val="en-US" w:eastAsia="zh-CN" w:bidi="ar-SA"/>
        </w:rPr>
        <w:t>1.</w:t>
      </w:r>
      <w:r>
        <w:rPr>
          <w:rFonts w:hint="eastAsia" w:ascii="宋体" w:hAnsi="宋体" w:eastAsia="宋体" w:cs="Times New Roman"/>
          <w:bCs/>
          <w:sz w:val="24"/>
          <w:szCs w:val="24"/>
          <w:lang w:val="en-US" w:eastAsia="zh-CN"/>
        </w:rPr>
        <w:t>食堂内设备管理与维护：食堂内所有设备的维修、维保、年检、电费等用由中标人负责。如因中标人不按时支付年检等费用导致招标人被相关职能部门处罚的，所有损失由中标人承担，并且招标人有权从当月营业款中进行扣除。</w:t>
      </w:r>
    </w:p>
    <w:p w14:paraId="03DA8D16">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2.</w:t>
      </w:r>
      <w:r>
        <w:rPr>
          <w:rFonts w:hint="eastAsia" w:ascii="宋体" w:hAnsi="宋体" w:eastAsia="宋体" w:cs="Times New Roman"/>
          <w:bCs/>
          <w:sz w:val="24"/>
          <w:szCs w:val="24"/>
          <w:lang w:val="en-US" w:eastAsia="zh-CN"/>
        </w:rPr>
        <w:t>垃圾清运与卫生管理：</w:t>
      </w:r>
    </w:p>
    <w:p w14:paraId="16A2EAF9">
      <w:pPr>
        <w:numPr>
          <w:ilvl w:val="0"/>
          <w:numId w:val="10"/>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食堂经营过程中产生的所有生活垃圾、厨余垃圾等，中标人按照垃圾分类相关法律法规进行分类，并交由符合资质的清运公司处理，费用由中标人负责。</w:t>
      </w:r>
    </w:p>
    <w:p w14:paraId="50C0ACC2">
      <w:pPr>
        <w:numPr>
          <w:ilvl w:val="0"/>
          <w:numId w:val="10"/>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中标人除了保证食堂内部的环境卫生，还要保证每天做到门前“三包”，以保障食堂及食堂周边整体环境卫生。</w:t>
      </w:r>
    </w:p>
    <w:p w14:paraId="5149A3EE">
      <w:pPr>
        <w:numPr>
          <w:ilvl w:val="0"/>
          <w:numId w:val="10"/>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中标人食堂须每月至少清理两次食堂周边管辖范围内的下水道、污水井、沉渣池（井）、隔油池（井）；每个月至少两次对食堂进行除“四害”（按季节适当增加）；每年至少四次对油烟抽排系统进行清洗，费用由中标人负责，并建立清理工作台账。</w:t>
      </w:r>
    </w:p>
    <w:p w14:paraId="2BC3B5F3">
      <w:pPr>
        <w:numPr>
          <w:ilvl w:val="0"/>
          <w:numId w:val="10"/>
        </w:numPr>
        <w:tabs>
          <w:tab w:val="left" w:pos="567"/>
        </w:tabs>
        <w:autoSpaceDE/>
        <w:autoSpaceDN/>
        <w:snapToGrid w:val="0"/>
        <w:spacing w:line="360" w:lineRule="auto"/>
        <w:ind w:left="425" w:hanging="425" w:firstLineChars="0"/>
        <w:jc w:val="both"/>
        <w:textAlignment w:val="baseline"/>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食堂承包期内因经营场所下水道堵塞而产生的疏通、修理（维修）等费用由中标人负责。</w:t>
      </w:r>
    </w:p>
    <w:p w14:paraId="24C6C3C5">
      <w:pPr>
        <w:numPr>
          <w:ilvl w:val="0"/>
          <w:numId w:val="1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食堂污水排放符合环保要求，保持明管道畅通及隔油池良好工作状态。</w:t>
      </w:r>
    </w:p>
    <w:p w14:paraId="4D0B5668">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cs="Times New Roman"/>
          <w:bCs/>
          <w:sz w:val="24"/>
          <w:szCs w:val="24"/>
          <w:lang w:val="en-US" w:eastAsia="zh-CN"/>
        </w:rPr>
        <w:t>安全生产要求：</w:t>
      </w:r>
    </w:p>
    <w:p w14:paraId="6C693BA8">
      <w:pPr>
        <w:numPr>
          <w:ilvl w:val="0"/>
          <w:numId w:val="0"/>
        </w:numPr>
        <w:tabs>
          <w:tab w:val="left" w:pos="567"/>
        </w:tabs>
        <w:autoSpaceDE/>
        <w:autoSpaceDN/>
        <w:snapToGrid w:val="0"/>
        <w:spacing w:line="360" w:lineRule="auto"/>
        <w:ind w:left="0" w:firstLine="0"/>
        <w:jc w:val="both"/>
        <w:textAlignment w:val="baseline"/>
        <w:rPr>
          <w:rFonts w:hint="eastAsia" w:ascii="宋体" w:hAnsi="宋体" w:eastAsia="宋体" w:cs="Times New Roman"/>
          <w:bCs/>
          <w:i w:val="0"/>
          <w:iCs w:val="0"/>
          <w:caps w:val="0"/>
          <w:spacing w:val="0"/>
          <w:sz w:val="24"/>
          <w:szCs w:val="24"/>
          <w:shd w:val="clear"/>
        </w:rPr>
      </w:pPr>
      <w:r>
        <w:rPr>
          <w:rFonts w:hint="default" w:ascii="宋体" w:hAnsi="宋体" w:eastAsia="宋体" w:cs="Times New Roman"/>
          <w:bCs/>
          <w:i w:val="0"/>
          <w:iCs w:val="0"/>
          <w:caps w:val="0"/>
          <w:spacing w:val="0"/>
          <w:sz w:val="24"/>
          <w:szCs w:val="24"/>
          <w:shd w:val="clear"/>
          <w:lang w:val="en-US" w:eastAsia="zh-CN" w:bidi="ar-SA"/>
        </w:rPr>
        <w:t>1.</w:t>
      </w:r>
      <w:r>
        <w:rPr>
          <w:rFonts w:hint="eastAsia" w:ascii="宋体" w:hAnsi="宋体" w:eastAsia="宋体" w:cs="Times New Roman"/>
          <w:bCs/>
          <w:sz w:val="24"/>
          <w:szCs w:val="24"/>
          <w:lang w:val="en-US" w:eastAsia="zh-CN"/>
        </w:rPr>
        <w:t>中标人应按规定配置消防器材。消防器材包括但不限于灭火器、应急灯等，</w:t>
      </w:r>
      <w:r>
        <w:rPr>
          <w:rFonts w:hint="eastAsia" w:ascii="宋体" w:hAnsi="宋体" w:eastAsia="宋体" w:cs="Times New Roman"/>
          <w:bCs/>
          <w:sz w:val="24"/>
          <w:szCs w:val="24"/>
          <w:lang w:eastAsia="zh-CN"/>
        </w:rPr>
        <w:t>消防器材须符合国家相关安全管理规定</w:t>
      </w:r>
      <w:r>
        <w:rPr>
          <w:rFonts w:hint="eastAsia" w:ascii="宋体" w:hAnsi="宋体" w:cs="Times New Roman"/>
          <w:bCs/>
          <w:sz w:val="24"/>
          <w:szCs w:val="24"/>
          <w:lang w:val="en-US" w:eastAsia="zh-CN"/>
        </w:rPr>
        <w:t>,</w:t>
      </w:r>
      <w:r>
        <w:rPr>
          <w:rFonts w:hint="eastAsia" w:ascii="宋体" w:hAnsi="宋体" w:eastAsia="宋体" w:cs="Times New Roman"/>
          <w:bCs/>
          <w:i w:val="0"/>
          <w:iCs w:val="0"/>
          <w:caps w:val="0"/>
          <w:spacing w:val="0"/>
          <w:sz w:val="24"/>
          <w:szCs w:val="24"/>
          <w:shd w:val="clear"/>
        </w:rPr>
        <w:t>并确保其完好可用，不得遮挡、挪用或损坏。</w:t>
      </w:r>
    </w:p>
    <w:p w14:paraId="2B612B62">
      <w:pPr>
        <w:numPr>
          <w:ilvl w:val="0"/>
          <w:numId w:val="0"/>
        </w:numPr>
        <w:tabs>
          <w:tab w:val="left" w:pos="567"/>
        </w:tabs>
        <w:autoSpaceDE/>
        <w:autoSpaceDN/>
        <w:snapToGrid w:val="0"/>
        <w:spacing w:line="360" w:lineRule="auto"/>
        <w:ind w:left="0" w:firstLine="0"/>
        <w:jc w:val="both"/>
        <w:textAlignment w:val="baseline"/>
        <w:rPr>
          <w:rFonts w:hint="eastAsia" w:ascii="宋体" w:hAnsi="宋体" w:eastAsia="宋体" w:cs="Times New Roman"/>
          <w:bCs/>
          <w:i w:val="0"/>
          <w:iCs w:val="0"/>
          <w:caps w:val="0"/>
          <w:spacing w:val="0"/>
          <w:sz w:val="24"/>
          <w:szCs w:val="24"/>
          <w:shd w:val="clear"/>
        </w:rPr>
      </w:pPr>
      <w:r>
        <w:rPr>
          <w:rFonts w:hint="default" w:ascii="宋体" w:hAnsi="宋体" w:eastAsia="宋体" w:cs="Times New Roman"/>
          <w:bCs/>
          <w:i w:val="0"/>
          <w:iCs w:val="0"/>
          <w:caps w:val="0"/>
          <w:spacing w:val="0"/>
          <w:sz w:val="24"/>
          <w:szCs w:val="24"/>
          <w:shd w:val="clear"/>
          <w:lang w:val="en-US" w:eastAsia="zh-CN" w:bidi="ar-SA"/>
        </w:rPr>
        <w:t>2.</w:t>
      </w:r>
      <w:r>
        <w:rPr>
          <w:rFonts w:hint="eastAsia" w:ascii="宋体" w:hAnsi="宋体" w:eastAsia="宋体" w:cs="Times New Roman"/>
          <w:bCs/>
          <w:i w:val="0"/>
          <w:iCs w:val="0"/>
          <w:caps w:val="0"/>
          <w:spacing w:val="0"/>
          <w:sz w:val="24"/>
          <w:szCs w:val="24"/>
          <w:shd w:val="clear"/>
        </w:rPr>
        <w:t>保持消防通道、安全出口畅通无阻，严禁堆放杂物或上锁</w:t>
      </w:r>
      <w:r>
        <w:rPr>
          <w:rFonts w:hint="eastAsia" w:ascii="宋体" w:hAnsi="宋体" w:eastAsia="宋体" w:cs="Times New Roman"/>
          <w:bCs/>
          <w:i w:val="0"/>
          <w:iCs w:val="0"/>
          <w:caps w:val="0"/>
          <w:spacing w:val="0"/>
          <w:sz w:val="24"/>
          <w:szCs w:val="24"/>
          <w:shd w:val="clear"/>
          <w:lang w:eastAsia="zh-CN"/>
        </w:rPr>
        <w:t>。</w:t>
      </w:r>
      <w:r>
        <w:rPr>
          <w:rFonts w:hint="eastAsia" w:ascii="宋体" w:hAnsi="宋体" w:eastAsia="宋体" w:cs="Times New Roman"/>
          <w:bCs/>
          <w:i w:val="0"/>
          <w:iCs w:val="0"/>
          <w:caps w:val="0"/>
          <w:spacing w:val="0"/>
          <w:sz w:val="24"/>
          <w:szCs w:val="24"/>
          <w:shd w:val="clear"/>
        </w:rPr>
        <w:t>应急疏散标识须清晰醒目。</w:t>
      </w:r>
    </w:p>
    <w:p w14:paraId="053ADA2E">
      <w:pPr>
        <w:numPr>
          <w:ilvl w:val="0"/>
          <w:numId w:val="0"/>
        </w:numPr>
        <w:tabs>
          <w:tab w:val="left" w:pos="567"/>
        </w:tabs>
        <w:autoSpaceDE/>
        <w:autoSpaceDN/>
        <w:snapToGrid w:val="0"/>
        <w:spacing w:line="360" w:lineRule="auto"/>
        <w:ind w:left="0" w:firstLine="0"/>
        <w:jc w:val="both"/>
        <w:textAlignment w:val="baseline"/>
        <w:rPr>
          <w:rFonts w:hint="eastAsia" w:ascii="宋体" w:hAnsi="宋体"/>
          <w:bCs/>
          <w:sz w:val="24"/>
          <w:szCs w:val="24"/>
        </w:rPr>
      </w:pPr>
      <w:r>
        <w:rPr>
          <w:rFonts w:hint="default" w:ascii="宋体" w:hAnsi="宋体" w:eastAsia="宋体" w:cs="Times New Roman"/>
          <w:bCs/>
          <w:sz w:val="24"/>
          <w:szCs w:val="24"/>
          <w:lang w:val="en-US" w:eastAsia="zh-CN" w:bidi="ar-SA"/>
        </w:rPr>
        <w:t>3.</w:t>
      </w:r>
      <w:r>
        <w:rPr>
          <w:rFonts w:hint="eastAsia" w:ascii="宋体" w:hAnsi="宋体" w:eastAsia="宋体" w:cs="Times New Roman"/>
          <w:bCs/>
          <w:i w:val="0"/>
          <w:iCs w:val="0"/>
          <w:caps w:val="0"/>
          <w:spacing w:val="0"/>
          <w:sz w:val="24"/>
          <w:szCs w:val="24"/>
          <w:shd w:val="clear"/>
        </w:rPr>
        <w:t>定期检查电气线路、设备，严禁私拉乱接、超负荷用电。动火作业须提前审批并做好现场防护。</w:t>
      </w:r>
    </w:p>
    <w:p w14:paraId="47281728">
      <w:pPr>
        <w:numPr>
          <w:ilvl w:val="0"/>
          <w:numId w:val="0"/>
        </w:numPr>
        <w:tabs>
          <w:tab w:val="left" w:pos="567"/>
        </w:tabs>
        <w:autoSpaceDE/>
        <w:autoSpaceDN/>
        <w:snapToGrid w:val="0"/>
        <w:spacing w:line="360" w:lineRule="auto"/>
        <w:ind w:left="0" w:firstLine="0"/>
        <w:jc w:val="both"/>
        <w:textAlignment w:val="baseline"/>
        <w:rPr>
          <w:rFonts w:hint="eastAsia" w:ascii="宋体" w:hAnsi="宋体"/>
          <w:bCs/>
          <w:sz w:val="24"/>
          <w:szCs w:val="24"/>
          <w:lang w:val="en-US" w:eastAsia="zh-CN"/>
        </w:rPr>
      </w:pPr>
      <w:r>
        <w:rPr>
          <w:rFonts w:hint="default" w:ascii="宋体" w:hAnsi="宋体" w:eastAsia="宋体" w:cs="Times New Roman"/>
          <w:bCs/>
          <w:sz w:val="24"/>
          <w:szCs w:val="24"/>
          <w:lang w:val="en-US" w:eastAsia="zh-CN" w:bidi="ar-SA"/>
        </w:rPr>
        <w:t>4.</w:t>
      </w:r>
      <w:r>
        <w:rPr>
          <w:rFonts w:hint="eastAsia" w:ascii="宋体" w:hAnsi="宋体" w:eastAsia="宋体" w:cs="Times New Roman"/>
          <w:bCs/>
          <w:i w:val="0"/>
          <w:iCs w:val="0"/>
          <w:caps w:val="0"/>
          <w:spacing w:val="0"/>
          <w:sz w:val="24"/>
          <w:szCs w:val="24"/>
          <w:shd w:val="clear"/>
        </w:rPr>
        <w:t>食用油、酒精等易燃物品须单独安全存放，远离火源。废油脂、纸箱等废弃物应及时清理，不得堆积。</w:t>
      </w:r>
    </w:p>
    <w:p w14:paraId="48E1EE8E">
      <w:pPr>
        <w:numPr>
          <w:ilvl w:val="0"/>
          <w:numId w:val="0"/>
        </w:numPr>
        <w:tabs>
          <w:tab w:val="left" w:pos="567"/>
        </w:tabs>
        <w:autoSpaceDE/>
        <w:autoSpaceDN/>
        <w:snapToGrid w:val="0"/>
        <w:spacing w:line="360" w:lineRule="auto"/>
        <w:ind w:left="0" w:firstLine="0"/>
        <w:jc w:val="both"/>
        <w:textAlignment w:val="baseline"/>
        <w:rPr>
          <w:rFonts w:hint="eastAsia" w:ascii="宋体" w:hAnsi="宋体" w:eastAsia="宋体" w:cs="Times New Roman"/>
          <w:bCs/>
          <w:i w:val="0"/>
          <w:iCs w:val="0"/>
          <w:caps w:val="0"/>
          <w:spacing w:val="0"/>
          <w:sz w:val="24"/>
          <w:szCs w:val="24"/>
          <w:shd w:val="clear"/>
        </w:rPr>
      </w:pPr>
      <w:r>
        <w:rPr>
          <w:rFonts w:hint="default" w:ascii="宋体" w:hAnsi="宋体" w:eastAsia="宋体" w:cs="Times New Roman"/>
          <w:bCs/>
          <w:i w:val="0"/>
          <w:iCs w:val="0"/>
          <w:caps w:val="0"/>
          <w:spacing w:val="0"/>
          <w:sz w:val="24"/>
          <w:szCs w:val="24"/>
          <w:shd w:val="clear"/>
          <w:lang w:val="en-US" w:eastAsia="zh-CN" w:bidi="ar-SA"/>
        </w:rPr>
        <w:t>5.</w:t>
      </w:r>
      <w:r>
        <w:rPr>
          <w:rFonts w:hint="eastAsia" w:ascii="宋体" w:hAnsi="宋体" w:eastAsia="宋体" w:cs="Times New Roman"/>
          <w:bCs/>
          <w:sz w:val="24"/>
          <w:szCs w:val="24"/>
          <w:lang w:eastAsia="zh-CN"/>
        </w:rPr>
        <w:t>使用燃气的食堂须加装燃气自动灭火装置，至少配有一支漏气检测仪，每天检测管道是否漏气并做好台账。</w:t>
      </w:r>
    </w:p>
    <w:p w14:paraId="3226BCE0">
      <w:pPr>
        <w:numPr>
          <w:ilvl w:val="0"/>
          <w:numId w:val="0"/>
        </w:numPr>
        <w:tabs>
          <w:tab w:val="left" w:pos="567"/>
        </w:tabs>
        <w:autoSpaceDE/>
        <w:autoSpaceDN/>
        <w:snapToGrid w:val="0"/>
        <w:spacing w:line="360" w:lineRule="auto"/>
        <w:ind w:left="0" w:firstLine="0"/>
        <w:jc w:val="both"/>
        <w:textAlignment w:val="baseline"/>
        <w:rPr>
          <w:rFonts w:hint="eastAsia" w:ascii="宋体" w:hAnsi="宋体" w:eastAsia="宋体" w:cs="Times New Roman"/>
          <w:bCs/>
          <w:i w:val="0"/>
          <w:iCs w:val="0"/>
          <w:caps w:val="0"/>
          <w:spacing w:val="0"/>
          <w:sz w:val="24"/>
          <w:szCs w:val="24"/>
          <w:shd w:val="clear"/>
        </w:rPr>
      </w:pPr>
      <w:r>
        <w:rPr>
          <w:rFonts w:hint="default" w:ascii="宋体" w:hAnsi="宋体" w:eastAsia="宋体" w:cs="Times New Roman"/>
          <w:bCs/>
          <w:i w:val="0"/>
          <w:iCs w:val="0"/>
          <w:caps w:val="0"/>
          <w:spacing w:val="0"/>
          <w:sz w:val="24"/>
          <w:szCs w:val="24"/>
          <w:shd w:val="clear"/>
          <w:lang w:val="en-US" w:eastAsia="zh-CN" w:bidi="ar-SA"/>
        </w:rPr>
        <w:t>6.</w:t>
      </w:r>
      <w:r>
        <w:rPr>
          <w:rFonts w:hint="eastAsia" w:ascii="宋体" w:hAnsi="宋体" w:eastAsia="宋体" w:cs="Times New Roman"/>
          <w:bCs/>
          <w:i w:val="0"/>
          <w:iCs w:val="0"/>
          <w:caps w:val="0"/>
          <w:spacing w:val="0"/>
          <w:sz w:val="24"/>
          <w:szCs w:val="24"/>
          <w:shd w:val="clear"/>
        </w:rPr>
        <w:t>使用燃气时须有专人值守，使用完毕后应及时关闭总阀及分阀。严禁在燃气设施附近堆放易燃易爆物品。</w:t>
      </w:r>
    </w:p>
    <w:p w14:paraId="306DA669">
      <w:pPr>
        <w:numPr>
          <w:ilvl w:val="0"/>
          <w:numId w:val="0"/>
        </w:numPr>
        <w:tabs>
          <w:tab w:val="left" w:pos="567"/>
        </w:tabs>
        <w:autoSpaceDE/>
        <w:autoSpaceDN/>
        <w:snapToGrid w:val="0"/>
        <w:spacing w:line="360" w:lineRule="auto"/>
        <w:ind w:left="0" w:firstLine="0"/>
        <w:jc w:val="both"/>
        <w:textAlignment w:val="baseline"/>
        <w:rPr>
          <w:rFonts w:hint="eastAsia" w:ascii="宋体" w:hAnsi="宋体" w:eastAsia="宋体" w:cs="Times New Roman"/>
          <w:bCs/>
          <w:i w:val="0"/>
          <w:iCs w:val="0"/>
          <w:caps w:val="0"/>
          <w:spacing w:val="0"/>
          <w:sz w:val="24"/>
          <w:szCs w:val="24"/>
          <w:shd w:val="clear"/>
        </w:rPr>
      </w:pPr>
      <w:r>
        <w:rPr>
          <w:rFonts w:hint="default" w:ascii="宋体" w:hAnsi="宋体" w:eastAsia="宋体" w:cs="Times New Roman"/>
          <w:bCs/>
          <w:i w:val="0"/>
          <w:iCs w:val="0"/>
          <w:caps w:val="0"/>
          <w:spacing w:val="0"/>
          <w:sz w:val="24"/>
          <w:szCs w:val="24"/>
          <w:shd w:val="clear"/>
          <w:lang w:val="en-US" w:eastAsia="zh-CN" w:bidi="ar-SA"/>
        </w:rPr>
        <w:t>7.</w:t>
      </w:r>
      <w:r>
        <w:rPr>
          <w:rFonts w:hint="eastAsia" w:ascii="宋体" w:hAnsi="宋体" w:eastAsia="宋体" w:cs="Times New Roman"/>
          <w:bCs/>
          <w:i w:val="0"/>
          <w:iCs w:val="0"/>
          <w:caps w:val="0"/>
          <w:spacing w:val="0"/>
          <w:sz w:val="24"/>
          <w:szCs w:val="24"/>
          <w:shd w:val="clear"/>
        </w:rPr>
        <w:t>发现燃气泄漏，应立即关闭阀门、开窗通风、严禁启闭任何电器，并在安全区域报告</w:t>
      </w:r>
      <w:r>
        <w:rPr>
          <w:rFonts w:hint="eastAsia" w:ascii="宋体" w:hAnsi="宋体" w:cs="Times New Roman"/>
          <w:bCs/>
          <w:i w:val="0"/>
          <w:iCs w:val="0"/>
          <w:caps w:val="0"/>
          <w:spacing w:val="0"/>
          <w:sz w:val="24"/>
          <w:szCs w:val="24"/>
          <w:shd w:val="clear"/>
          <w:lang w:val="en-US" w:eastAsia="zh-CN"/>
        </w:rPr>
        <w:t>招标人管理部门</w:t>
      </w:r>
      <w:r>
        <w:rPr>
          <w:rFonts w:hint="eastAsia" w:ascii="宋体" w:hAnsi="宋体" w:eastAsia="宋体" w:cs="Times New Roman"/>
          <w:bCs/>
          <w:i w:val="0"/>
          <w:iCs w:val="0"/>
          <w:caps w:val="0"/>
          <w:spacing w:val="0"/>
          <w:sz w:val="24"/>
          <w:szCs w:val="24"/>
          <w:shd w:val="clear"/>
        </w:rPr>
        <w:t>及燃气公司，不得自行处理。</w:t>
      </w:r>
    </w:p>
    <w:p w14:paraId="4B2ACB8C">
      <w:pPr>
        <w:numPr>
          <w:ilvl w:val="0"/>
          <w:numId w:val="0"/>
        </w:numPr>
        <w:tabs>
          <w:tab w:val="left" w:pos="567"/>
        </w:tabs>
        <w:autoSpaceDE/>
        <w:autoSpaceDN/>
        <w:snapToGrid w:val="0"/>
        <w:spacing w:line="360" w:lineRule="auto"/>
        <w:ind w:left="0" w:firstLine="0"/>
        <w:jc w:val="both"/>
        <w:textAlignment w:val="baseline"/>
        <w:rPr>
          <w:rFonts w:hint="eastAsia" w:ascii="宋体" w:hAnsi="宋体"/>
          <w:bCs/>
          <w:sz w:val="24"/>
          <w:szCs w:val="24"/>
        </w:rPr>
      </w:pPr>
      <w:r>
        <w:rPr>
          <w:rFonts w:hint="default" w:ascii="宋体" w:hAnsi="宋体" w:eastAsia="宋体" w:cs="Times New Roman"/>
          <w:bCs/>
          <w:sz w:val="24"/>
          <w:szCs w:val="24"/>
          <w:lang w:val="en-US" w:eastAsia="zh-CN" w:bidi="ar-SA"/>
        </w:rPr>
        <w:t>8.</w:t>
      </w:r>
      <w:r>
        <w:rPr>
          <w:rFonts w:hint="eastAsia" w:ascii="宋体" w:hAnsi="宋体" w:eastAsia="宋体" w:cs="Times New Roman"/>
          <w:bCs/>
          <w:i w:val="0"/>
          <w:iCs w:val="0"/>
          <w:caps w:val="0"/>
          <w:spacing w:val="0"/>
          <w:sz w:val="24"/>
          <w:szCs w:val="24"/>
          <w:shd w:val="clear"/>
        </w:rPr>
        <w:t>所有员工须经消防安全培训，熟悉消防设施位置及使用方法，掌握初起火灾扑救和疏散逃生技能。每半年至少组织一次消防应急演练，并做好记录。</w:t>
      </w:r>
    </w:p>
    <w:p w14:paraId="117F5CBA">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rPr>
      </w:pPr>
      <w:r>
        <w:rPr>
          <w:rFonts w:hint="eastAsia" w:ascii="宋体" w:hAnsi="宋体" w:eastAsia="宋体" w:cs="Times New Roman"/>
          <w:bCs/>
          <w:sz w:val="24"/>
          <w:szCs w:val="24"/>
        </w:rPr>
        <w:t>能源管理：</w:t>
      </w:r>
      <w:r>
        <w:rPr>
          <w:rFonts w:hint="eastAsia" w:ascii="宋体" w:hAnsi="宋体" w:cs="宋体"/>
          <w:color w:val="auto"/>
          <w:sz w:val="24"/>
          <w:szCs w:val="24"/>
          <w:highlight w:val="none"/>
        </w:rPr>
        <w:t>食堂所有水、电、天然气、煤气等能源消耗费用由中标人承担</w:t>
      </w:r>
      <w:r>
        <w:rPr>
          <w:rFonts w:hint="eastAsia" w:ascii="宋体" w:hAnsi="宋体" w:cs="宋体"/>
          <w:color w:val="auto"/>
          <w:sz w:val="24"/>
          <w:szCs w:val="24"/>
          <w:highlight w:val="none"/>
          <w:lang w:eastAsia="zh-CN"/>
        </w:rPr>
        <w:t>，</w:t>
      </w:r>
      <w:r>
        <w:rPr>
          <w:rFonts w:hint="eastAsia" w:ascii="宋体" w:hAnsi="宋体" w:eastAsia="宋体" w:cs="Times New Roman"/>
          <w:bCs/>
          <w:sz w:val="24"/>
          <w:szCs w:val="24"/>
          <w:lang w:eastAsia="zh-CN"/>
        </w:rPr>
        <w:t>中标人</w:t>
      </w:r>
      <w:r>
        <w:rPr>
          <w:rFonts w:hint="eastAsia" w:ascii="宋体" w:hAnsi="宋体" w:eastAsia="宋体" w:cs="Times New Roman"/>
          <w:bCs/>
          <w:sz w:val="24"/>
          <w:szCs w:val="24"/>
        </w:rPr>
        <w:t>根据物价部门核定的能源费，按实际使用量每月定期</w:t>
      </w:r>
      <w:r>
        <w:rPr>
          <w:rFonts w:hint="eastAsia" w:ascii="宋体" w:hAnsi="宋体" w:cs="Times New Roman"/>
          <w:bCs/>
          <w:sz w:val="24"/>
          <w:szCs w:val="24"/>
          <w:lang w:eastAsia="zh-CN"/>
        </w:rPr>
        <w:t>（</w:t>
      </w:r>
      <w:r>
        <w:rPr>
          <w:rFonts w:hint="eastAsia" w:ascii="宋体" w:hAnsi="宋体"/>
          <w:bCs/>
          <w:sz w:val="24"/>
          <w:szCs w:val="24"/>
          <w:lang w:val="en-US" w:eastAsia="zh-CN"/>
        </w:rPr>
        <w:t>15号之前）</w:t>
      </w:r>
      <w:r>
        <w:rPr>
          <w:rFonts w:hint="eastAsia" w:ascii="宋体" w:hAnsi="宋体" w:eastAsia="宋体" w:cs="Times New Roman"/>
          <w:bCs/>
          <w:sz w:val="24"/>
          <w:szCs w:val="24"/>
        </w:rPr>
        <w:t>向</w:t>
      </w:r>
      <w:r>
        <w:rPr>
          <w:rFonts w:hint="eastAsia" w:ascii="宋体" w:hAnsi="宋体" w:cs="Times New Roman"/>
          <w:bCs/>
          <w:sz w:val="24"/>
          <w:szCs w:val="24"/>
          <w:lang w:val="en-US" w:eastAsia="zh-CN"/>
        </w:rPr>
        <w:t>招标人</w:t>
      </w:r>
      <w:r>
        <w:rPr>
          <w:rFonts w:hint="eastAsia" w:ascii="宋体" w:hAnsi="宋体" w:eastAsia="宋体" w:cs="Times New Roman"/>
          <w:bCs/>
          <w:sz w:val="24"/>
          <w:szCs w:val="24"/>
        </w:rPr>
        <w:t>交纳水、电、天然气、煤气等能源费。</w:t>
      </w:r>
    </w:p>
    <w:p w14:paraId="71A90FF1">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 w:val="0"/>
          <w:bCs/>
          <w:sz w:val="24"/>
          <w:szCs w:val="24"/>
          <w:lang w:val="en-US" w:eastAsia="zh-CN"/>
        </w:rPr>
      </w:pPr>
      <w:r>
        <w:rPr>
          <w:rFonts w:hint="eastAsia" w:ascii="宋体" w:hAnsi="宋体" w:eastAsia="宋体" w:cs="Times New Roman"/>
          <w:bCs/>
          <w:sz w:val="24"/>
          <w:szCs w:val="24"/>
        </w:rPr>
        <w:t>就餐管理模式：</w:t>
      </w:r>
      <w:r>
        <w:rPr>
          <w:rFonts w:hint="eastAsia" w:ascii="宋体" w:hAnsi="宋体" w:eastAsia="宋体" w:cs="Times New Roman"/>
          <w:bCs/>
          <w:sz w:val="24"/>
          <w:szCs w:val="24"/>
          <w:lang w:eastAsia="zh-CN"/>
        </w:rPr>
        <w:t>中标人</w:t>
      </w:r>
      <w:r>
        <w:rPr>
          <w:rFonts w:hint="eastAsia" w:ascii="宋体" w:hAnsi="宋体" w:eastAsia="宋体" w:cs="Times New Roman"/>
          <w:bCs/>
          <w:sz w:val="24"/>
          <w:szCs w:val="24"/>
          <w:lang w:val="en-US" w:eastAsia="zh-CN"/>
        </w:rPr>
        <w:t>出资</w:t>
      </w:r>
      <w:r>
        <w:rPr>
          <w:rFonts w:hint="eastAsia" w:ascii="宋体" w:hAnsi="宋体" w:eastAsia="宋体" w:cs="Times New Roman"/>
          <w:bCs/>
          <w:sz w:val="24"/>
          <w:szCs w:val="24"/>
        </w:rPr>
        <w:t>安装就餐</w:t>
      </w:r>
      <w:r>
        <w:rPr>
          <w:rFonts w:hint="eastAsia" w:ascii="宋体" w:hAnsi="宋体" w:cs="Times New Roman"/>
          <w:bCs/>
          <w:sz w:val="24"/>
          <w:szCs w:val="24"/>
          <w:lang w:val="en-US" w:eastAsia="zh-CN"/>
        </w:rPr>
        <w:t>刷卡系统和智慧收银系统，满足就餐人员包括但不限于刷卡、微信、支付宝等多种支付需求</w:t>
      </w:r>
      <w:r>
        <w:rPr>
          <w:rFonts w:hint="eastAsia" w:ascii="宋体" w:hAnsi="宋体" w:eastAsia="宋体" w:cs="Times New Roman"/>
          <w:bCs/>
          <w:sz w:val="24"/>
          <w:szCs w:val="24"/>
        </w:rPr>
        <w:t>。</w:t>
      </w:r>
    </w:p>
    <w:p w14:paraId="67055662">
      <w:pPr>
        <w:numPr>
          <w:ilvl w:val="0"/>
          <w:numId w:val="9"/>
        </w:numPr>
        <w:tabs>
          <w:tab w:val="left" w:pos="567"/>
          <w:tab w:val="clear" w:pos="420"/>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其他要求：</w:t>
      </w:r>
    </w:p>
    <w:p w14:paraId="05B49A01">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1.</w:t>
      </w:r>
      <w:r>
        <w:rPr>
          <w:rFonts w:hint="eastAsia" w:ascii="宋体" w:hAnsi="宋体" w:eastAsia="宋体" w:cs="Times New Roman"/>
          <w:bCs/>
          <w:sz w:val="24"/>
          <w:szCs w:val="24"/>
          <w:lang w:val="en-US" w:eastAsia="zh-CN"/>
        </w:rPr>
        <w:t>中标人应自觉接受属地市场监督部门、食品监管部门以及消防部门等相关部门的监督检查。若因受检查后，提出整改意见的，中标人应按要求落实整改并承担全部费用。</w:t>
      </w:r>
    </w:p>
    <w:p w14:paraId="251FCD6F">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2.</w:t>
      </w:r>
      <w:r>
        <w:rPr>
          <w:rFonts w:hint="eastAsia" w:ascii="宋体" w:hAnsi="宋体" w:eastAsia="宋体" w:cs="Times New Roman"/>
          <w:bCs/>
          <w:sz w:val="24"/>
          <w:szCs w:val="24"/>
          <w:lang w:val="en-US" w:eastAsia="zh-CN"/>
        </w:rPr>
        <w:t>经营期间，中标人应维护、保养、保管好招标人的资产，并承担维修维护费用及原相关折旧费用（具体由中标人与招标人复核后确定）。不能随意改动房屋结构和设施位置；不得占用食堂外围搞其他经营项目，不得将经营场所转租，不得私自增设大功率的电器和私自改动用电线路。如需调整经营布局或增加新项目事先要以书面形式向招标人提出申请，经同意后方可实施。否则损坏的设施、设备，应承担相应的维修责任并及时恢复原状，所产生的一切费用由中标人支付。</w:t>
      </w:r>
    </w:p>
    <w:p w14:paraId="7F27DECC">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3.</w:t>
      </w:r>
      <w:r>
        <w:rPr>
          <w:rFonts w:hint="eastAsia" w:ascii="宋体" w:hAnsi="宋体" w:eastAsia="宋体" w:cs="Times New Roman"/>
          <w:bCs/>
          <w:sz w:val="24"/>
          <w:szCs w:val="24"/>
          <w:lang w:val="en-US" w:eastAsia="zh-CN"/>
        </w:rPr>
        <w:t>经营期满后，中标人与招标人双方应进行房屋、设备、设施的清点。中标人须保证经营期内房屋、设备、设施的完好和及时维修。中标人对损坏部分应在规定期限内维修完好，并办理移交手续，若有损坏未修好的照价赔偿。</w:t>
      </w:r>
    </w:p>
    <w:p w14:paraId="0348370F">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4.</w:t>
      </w:r>
      <w:r>
        <w:rPr>
          <w:rFonts w:hint="eastAsia" w:ascii="宋体" w:hAnsi="宋体" w:eastAsia="宋体" w:cs="Times New Roman"/>
          <w:bCs/>
          <w:sz w:val="24"/>
          <w:szCs w:val="24"/>
          <w:lang w:val="en-US" w:eastAsia="zh-CN"/>
        </w:rPr>
        <w:t>中标人负责管理食堂内的全部固定资产，确保资产的安全和完好。设备未到使用年限已不能继续使用或因技术性能落后丧失使用价值的，经招标人资产管理部门确认后按规定处理。合同期满，双方共同对招标人原有资产进行盘点。若有丢失或毁损的，由中标人按资产重置价值赔偿。</w:t>
      </w:r>
    </w:p>
    <w:p w14:paraId="27FA2313">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5.</w:t>
      </w:r>
      <w:r>
        <w:rPr>
          <w:rFonts w:hint="eastAsia" w:ascii="宋体" w:hAnsi="宋体" w:eastAsia="宋体" w:cs="Times New Roman"/>
          <w:bCs/>
          <w:sz w:val="24"/>
          <w:szCs w:val="24"/>
          <w:lang w:val="en-US" w:eastAsia="zh-CN"/>
        </w:rPr>
        <w:t>如未按招投标要求实施优化建设和经营管理的，按违约处理，招标人有权单方终止合同，且不作任何补偿。</w:t>
      </w:r>
    </w:p>
    <w:p w14:paraId="04EAA79C">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Cs/>
          <w:sz w:val="24"/>
          <w:szCs w:val="24"/>
          <w:lang w:val="en-US" w:eastAsia="zh-CN"/>
        </w:rPr>
      </w:pPr>
      <w:r>
        <w:rPr>
          <w:rFonts w:hint="default" w:ascii="宋体" w:hAnsi="宋体" w:eastAsia="宋体" w:cs="Times New Roman"/>
          <w:bCs/>
          <w:sz w:val="24"/>
          <w:szCs w:val="24"/>
          <w:lang w:val="en-US" w:eastAsia="zh-CN" w:bidi="ar-SA"/>
        </w:rPr>
        <w:t>6.</w:t>
      </w:r>
      <w:r>
        <w:rPr>
          <w:rFonts w:hint="eastAsia" w:ascii="宋体" w:hAnsi="宋体" w:eastAsia="宋体" w:cs="Times New Roman"/>
          <w:bCs/>
          <w:sz w:val="24"/>
          <w:szCs w:val="24"/>
          <w:lang w:val="en-US" w:eastAsia="zh-CN"/>
        </w:rPr>
        <w:t>中标人如需在食堂内拉接网络，开设独立的网络账户，须经招标人相关部门审批同意。网络须有专人维护，确保网络使用的稳定性和安全性。相关网络系统、设备接受招标人相关部门的监管。采购费用、维护费用由中标人承担。</w:t>
      </w:r>
    </w:p>
    <w:p w14:paraId="66410280">
      <w:pPr>
        <w:numPr>
          <w:ilvl w:val="0"/>
          <w:numId w:val="0"/>
        </w:numPr>
        <w:tabs>
          <w:tab w:val="left" w:pos="567"/>
        </w:tabs>
        <w:autoSpaceDE/>
        <w:autoSpaceDN/>
        <w:snapToGrid w:val="0"/>
        <w:spacing w:line="360" w:lineRule="auto"/>
        <w:ind w:left="0" w:firstLine="0" w:firstLineChars="0"/>
        <w:jc w:val="both"/>
        <w:textAlignment w:val="baseline"/>
        <w:rPr>
          <w:rFonts w:hint="eastAsia" w:ascii="宋体" w:hAnsi="宋体" w:eastAsia="宋体" w:cs="Times New Roman"/>
          <w:b w:val="0"/>
          <w:bCs/>
          <w:sz w:val="24"/>
          <w:szCs w:val="24"/>
          <w:lang w:val="en-US" w:eastAsia="zh-CN"/>
        </w:rPr>
      </w:pPr>
      <w:r>
        <w:rPr>
          <w:rFonts w:hint="default" w:ascii="宋体" w:hAnsi="宋体" w:eastAsia="宋体" w:cs="Times New Roman"/>
          <w:b w:val="0"/>
          <w:bCs/>
          <w:sz w:val="24"/>
          <w:szCs w:val="24"/>
          <w:lang w:val="en-US" w:eastAsia="zh-CN" w:bidi="ar-SA"/>
        </w:rPr>
        <w:t>7.</w:t>
      </w:r>
      <w:r>
        <w:rPr>
          <w:rFonts w:hint="eastAsia" w:ascii="宋体" w:hAnsi="宋体" w:eastAsia="宋体" w:cs="Times New Roman"/>
          <w:bCs/>
          <w:sz w:val="24"/>
          <w:szCs w:val="24"/>
          <w:lang w:val="en-US" w:eastAsia="zh-CN"/>
        </w:rPr>
        <w:t>中标人针对采购管理（索证索票、溯源）、结算管理、成本管控、生产安全管控、培训管理、视频监控管理等进行全信息化管理。</w:t>
      </w:r>
    </w:p>
    <w:p w14:paraId="557E6E3E">
      <w:pPr>
        <w:numPr>
          <w:ilvl w:val="0"/>
          <w:numId w:val="5"/>
        </w:numPr>
        <w:tabs>
          <w:tab w:val="left" w:pos="540"/>
        </w:tabs>
        <w:autoSpaceDE/>
        <w:autoSpaceDN/>
        <w:snapToGrid w:val="0"/>
        <w:spacing w:line="360" w:lineRule="auto"/>
        <w:jc w:val="both"/>
        <w:rPr>
          <w:rFonts w:ascii="宋体" w:hAnsi="宋体" w:cs="宋体"/>
          <w:b/>
          <w:color w:val="auto"/>
          <w:sz w:val="24"/>
          <w:szCs w:val="24"/>
        </w:rPr>
      </w:pPr>
      <w:r>
        <w:rPr>
          <w:rFonts w:hint="eastAsia" w:ascii="宋体" w:hAnsi="宋体" w:cs="宋体"/>
          <w:b/>
          <w:color w:val="auto"/>
          <w:sz w:val="24"/>
          <w:szCs w:val="24"/>
        </w:rPr>
        <w:t>商务要求</w:t>
      </w:r>
    </w:p>
    <w:p w14:paraId="3315F44C">
      <w:pPr>
        <w:pStyle w:val="53"/>
        <w:numPr>
          <w:ilvl w:val="0"/>
          <w:numId w:val="11"/>
        </w:numPr>
        <w:spacing w:line="360" w:lineRule="auto"/>
        <w:ind w:leftChars="-100" w:hanging="200" w:hangingChars="83"/>
        <w:rPr>
          <w:rFonts w:ascii="宋体" w:hAnsi="宋体" w:cs="宋体"/>
          <w:b/>
          <w:color w:val="auto"/>
          <w:sz w:val="24"/>
          <w:szCs w:val="24"/>
        </w:rPr>
      </w:pPr>
      <w:r>
        <w:rPr>
          <w:rFonts w:hint="eastAsia" w:ascii="宋体" w:hAnsi="宋体" w:cs="宋体"/>
          <w:b/>
          <w:color w:val="auto"/>
          <w:sz w:val="24"/>
          <w:szCs w:val="24"/>
        </w:rPr>
        <w:t>项目交付或者实施的时间和地点</w:t>
      </w:r>
    </w:p>
    <w:p w14:paraId="36D78C04">
      <w:pPr>
        <w:numPr>
          <w:ilvl w:val="0"/>
          <w:numId w:val="0"/>
        </w:numPr>
        <w:tabs>
          <w:tab w:val="left" w:pos="540"/>
        </w:tabs>
        <w:autoSpaceDE/>
        <w:autoSpaceDN/>
        <w:snapToGrid w:val="0"/>
        <w:spacing w:line="360" w:lineRule="auto"/>
        <w:ind w:left="0" w:firstLine="0"/>
        <w:jc w:val="both"/>
        <w:rPr>
          <w:rFonts w:hint="eastAsia" w:ascii="宋体" w:hAnsi="宋体" w:eastAsia="宋体" w:cs="宋体"/>
          <w:bCs/>
          <w:color w:val="auto"/>
          <w:sz w:val="24"/>
          <w:szCs w:val="24"/>
          <w:u w:val="single"/>
          <w:lang w:eastAsia="zh-CN"/>
        </w:rPr>
      </w:pPr>
      <w:r>
        <w:rPr>
          <w:rFonts w:hint="default" w:ascii="宋体" w:hAnsi="宋体" w:eastAsia="宋体" w:cs="宋体"/>
          <w:bCs/>
          <w:color w:val="auto"/>
          <w:sz w:val="24"/>
          <w:szCs w:val="24"/>
          <w:lang w:val="en-US" w:eastAsia="zh-CN" w:bidi="ar-SA"/>
        </w:rPr>
        <w:t>1.</w:t>
      </w:r>
      <w:r>
        <w:rPr>
          <w:rFonts w:hint="eastAsia" w:ascii="宋体" w:hAnsi="宋体" w:cs="宋体"/>
          <w:bCs/>
          <w:color w:val="auto"/>
          <w:sz w:val="24"/>
          <w:szCs w:val="24"/>
        </w:rPr>
        <w:t>交付或实施的时间：</w:t>
      </w:r>
      <w:r>
        <w:rPr>
          <w:rFonts w:hint="eastAsia" w:ascii="宋体" w:hAnsi="宋体" w:cs="宋体"/>
          <w:bCs/>
          <w:color w:val="auto"/>
          <w:sz w:val="24"/>
          <w:szCs w:val="24"/>
          <w:u w:val="single"/>
        </w:rPr>
        <w:t>合同签订之日起</w:t>
      </w:r>
      <w:r>
        <w:rPr>
          <w:rFonts w:hint="eastAsia" w:ascii="宋体" w:hAnsi="宋体" w:cs="宋体"/>
          <w:bCs/>
          <w:color w:val="auto"/>
          <w:sz w:val="24"/>
          <w:szCs w:val="24"/>
          <w:u w:val="single"/>
          <w:lang w:eastAsia="zh-CN"/>
        </w:rPr>
        <w:t>三</w:t>
      </w:r>
      <w:r>
        <w:rPr>
          <w:rFonts w:hint="eastAsia" w:ascii="宋体" w:hAnsi="宋体" w:cs="宋体"/>
          <w:bCs/>
          <w:color w:val="auto"/>
          <w:sz w:val="24"/>
          <w:szCs w:val="24"/>
          <w:u w:val="single"/>
        </w:rPr>
        <w:t>年</w:t>
      </w:r>
      <w:r>
        <w:rPr>
          <w:rFonts w:hint="eastAsia" w:ascii="宋体" w:hAnsi="宋体" w:cs="宋体"/>
          <w:bCs/>
          <w:color w:val="auto"/>
          <w:sz w:val="24"/>
          <w:szCs w:val="24"/>
          <w:u w:val="single"/>
          <w:lang w:eastAsia="zh-CN"/>
        </w:rPr>
        <w:t>。</w:t>
      </w:r>
    </w:p>
    <w:p w14:paraId="3F8A511D">
      <w:pPr>
        <w:numPr>
          <w:ilvl w:val="0"/>
          <w:numId w:val="0"/>
        </w:numPr>
        <w:tabs>
          <w:tab w:val="left" w:pos="540"/>
        </w:tabs>
        <w:autoSpaceDE/>
        <w:autoSpaceDN/>
        <w:snapToGrid w:val="0"/>
        <w:spacing w:line="360" w:lineRule="auto"/>
        <w:ind w:left="0" w:firstLine="0"/>
        <w:jc w:val="both"/>
        <w:rPr>
          <w:rFonts w:ascii="宋体" w:hAnsi="宋体" w:cs="宋体"/>
          <w:bCs/>
          <w:color w:val="auto"/>
          <w:sz w:val="24"/>
          <w:szCs w:val="24"/>
        </w:rPr>
      </w:pPr>
      <w:r>
        <w:rPr>
          <w:rFonts w:hint="default" w:ascii="宋体" w:hAnsi="宋体" w:eastAsia="宋体" w:cs="宋体"/>
          <w:bCs/>
          <w:color w:val="auto"/>
          <w:sz w:val="24"/>
          <w:szCs w:val="24"/>
          <w:lang w:val="en-US" w:eastAsia="zh-CN" w:bidi="ar-SA"/>
        </w:rPr>
        <w:t>2.</w:t>
      </w:r>
      <w:r>
        <w:rPr>
          <w:rFonts w:hint="eastAsia" w:ascii="宋体" w:hAnsi="宋体" w:cs="宋体"/>
          <w:bCs/>
          <w:color w:val="auto"/>
          <w:sz w:val="24"/>
          <w:szCs w:val="24"/>
        </w:rPr>
        <w:t>交付或实施的地点：</w:t>
      </w:r>
      <w:r>
        <w:rPr>
          <w:rFonts w:hint="eastAsia" w:ascii="宋体" w:hAnsi="宋体" w:cs="宋体"/>
          <w:bCs/>
          <w:color w:val="auto"/>
          <w:sz w:val="24"/>
          <w:szCs w:val="24"/>
          <w:u w:val="single"/>
          <w:lang w:val="en-US" w:eastAsia="zh-CN"/>
        </w:rPr>
        <w:t>广东省南雄市，招标人指定地点。</w:t>
      </w:r>
    </w:p>
    <w:p w14:paraId="5E5AB1F1">
      <w:pPr>
        <w:pStyle w:val="53"/>
        <w:numPr>
          <w:ilvl w:val="0"/>
          <w:numId w:val="11"/>
        </w:numPr>
        <w:ind w:leftChars="-100" w:hanging="200" w:hangingChars="83"/>
        <w:rPr>
          <w:rFonts w:hint="eastAsia" w:ascii="宋体" w:eastAsia="宋体" w:cs="宋体"/>
          <w:b/>
          <w:bCs/>
          <w:color w:val="auto"/>
          <w:sz w:val="24"/>
          <w:szCs w:val="24"/>
          <w:highlight w:val="none"/>
        </w:rPr>
      </w:pPr>
      <w:r>
        <w:rPr>
          <w:rFonts w:hint="eastAsia" w:ascii="宋体" w:cs="宋体"/>
          <w:b/>
          <w:bCs/>
          <w:color w:val="auto"/>
          <w:sz w:val="24"/>
          <w:szCs w:val="24"/>
          <w:highlight w:val="none"/>
          <w:lang w:val="en-US" w:eastAsia="zh-CN"/>
        </w:rPr>
        <w:t>履约</w:t>
      </w:r>
      <w:r>
        <w:rPr>
          <w:rFonts w:hint="eastAsia" w:ascii="宋体" w:eastAsia="宋体" w:cs="宋体"/>
          <w:b/>
          <w:bCs/>
          <w:color w:val="auto"/>
          <w:sz w:val="24"/>
          <w:szCs w:val="24"/>
          <w:highlight w:val="none"/>
        </w:rPr>
        <w:t>保证金</w:t>
      </w:r>
    </w:p>
    <w:p w14:paraId="61E0C0A2">
      <w:pPr>
        <w:pStyle w:val="30"/>
        <w:numPr>
          <w:ilvl w:val="0"/>
          <w:numId w:val="0"/>
        </w:numPr>
        <w:autoSpaceDE/>
        <w:autoSpaceDN/>
        <w:spacing w:line="360" w:lineRule="auto"/>
        <w:ind w:left="0" w:leftChars="0" w:firstLine="0"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sz w:val="24"/>
          <w:szCs w:val="24"/>
          <w:lang w:val="en-US" w:eastAsia="zh-CN" w:bidi="ar-SA"/>
        </w:rPr>
        <w:t>1.</w:t>
      </w:r>
      <w:r>
        <w:rPr>
          <w:rFonts w:hint="eastAsia" w:ascii="宋体" w:hAnsi="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金额：¥</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00,000.00 元（人民币</w:t>
      </w:r>
      <w:r>
        <w:rPr>
          <w:rFonts w:hint="default" w:ascii="宋体" w:hAnsi="宋体" w:eastAsia="宋体" w:cs="宋体"/>
          <w:b w:val="0"/>
          <w:bCs w:val="0"/>
          <w:color w:val="auto"/>
          <w:sz w:val="24"/>
          <w:szCs w:val="24"/>
          <w:highlight w:val="none"/>
          <w:lang w:val="en-US" w:eastAsia="zh-CN"/>
        </w:rPr>
        <w:t>伍</w:t>
      </w:r>
      <w:r>
        <w:rPr>
          <w:rFonts w:hint="eastAsia" w:ascii="宋体" w:hAnsi="宋体" w:eastAsia="宋体" w:cs="宋体"/>
          <w:b w:val="0"/>
          <w:bCs w:val="0"/>
          <w:color w:val="auto"/>
          <w:sz w:val="24"/>
          <w:szCs w:val="24"/>
          <w:highlight w:val="none"/>
        </w:rPr>
        <w:t>拾万元）</w:t>
      </w:r>
      <w:r>
        <w:rPr>
          <w:rFonts w:hint="eastAsia" w:ascii="宋体" w:hAnsi="宋体" w:cs="宋体"/>
          <w:b w:val="0"/>
          <w:bCs w:val="0"/>
          <w:color w:val="auto"/>
          <w:sz w:val="24"/>
          <w:szCs w:val="24"/>
          <w:highlight w:val="none"/>
          <w:lang w:eastAsia="zh-CN"/>
        </w:rPr>
        <w:t>。</w:t>
      </w:r>
    </w:p>
    <w:p w14:paraId="04B9AC2B">
      <w:pPr>
        <w:pStyle w:val="30"/>
        <w:numPr>
          <w:ilvl w:val="0"/>
          <w:numId w:val="0"/>
        </w:numPr>
        <w:autoSpaceDE/>
        <w:autoSpaceDN/>
        <w:spacing w:line="360" w:lineRule="auto"/>
        <w:ind w:left="0" w:leftChars="0" w:firstLine="0" w:firstLineChars="0"/>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lang w:val="en-US" w:eastAsia="zh-CN" w:bidi="ar-SA"/>
        </w:rPr>
        <w:t>2.</w:t>
      </w:r>
      <w:r>
        <w:rPr>
          <w:rFonts w:hint="eastAsia" w:ascii="宋体" w:hAnsi="宋体" w:eastAsia="宋体" w:cs="宋体"/>
          <w:color w:val="auto"/>
          <w:sz w:val="24"/>
          <w:szCs w:val="24"/>
          <w:highlight w:val="none"/>
        </w:rPr>
        <w:t>提交时间：合同签订</w:t>
      </w:r>
      <w:r>
        <w:rPr>
          <w:rFonts w:hint="eastAsia" w:ascii="宋体" w:hAnsi="宋体" w:cs="宋体"/>
          <w:color w:val="auto"/>
          <w:sz w:val="24"/>
          <w:szCs w:val="24"/>
          <w:highlight w:val="none"/>
          <w:lang w:val="en-US" w:eastAsia="zh-CN"/>
        </w:rPr>
        <w:t>后三天内</w:t>
      </w:r>
      <w:r>
        <w:rPr>
          <w:rFonts w:hint="eastAsia" w:ascii="宋体" w:hAnsi="宋体" w:eastAsia="宋体" w:cs="宋体"/>
          <w:color w:val="auto"/>
          <w:sz w:val="24"/>
          <w:szCs w:val="24"/>
          <w:highlight w:val="none"/>
        </w:rPr>
        <w:t>缴纳</w:t>
      </w:r>
      <w:r>
        <w:rPr>
          <w:rFonts w:hint="eastAsia" w:ascii="宋体" w:hAnsi="宋体" w:cs="宋体"/>
          <w:b w:val="0"/>
          <w:bCs w:val="0"/>
          <w:color w:val="auto"/>
          <w:sz w:val="24"/>
          <w:szCs w:val="24"/>
          <w:highlight w:val="none"/>
          <w:lang w:eastAsia="zh-CN"/>
        </w:rPr>
        <w:t>。</w:t>
      </w:r>
    </w:p>
    <w:p w14:paraId="05B8AC59">
      <w:pPr>
        <w:pStyle w:val="30"/>
        <w:numPr>
          <w:ilvl w:val="0"/>
          <w:numId w:val="0"/>
        </w:numPr>
        <w:autoSpaceDE/>
        <w:autoSpaceDN/>
        <w:spacing w:line="360" w:lineRule="auto"/>
        <w:ind w:left="0" w:firstLine="0" w:firstLineChars="0"/>
        <w:rPr>
          <w:rFonts w:hint="eastAsia" w:ascii="宋体" w:hAnsi="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highlight w:val="none"/>
        </w:rPr>
        <w:t>方式：</w:t>
      </w:r>
      <w:r>
        <w:rPr>
          <w:rFonts w:hint="eastAsia" w:ascii="宋体" w:hAnsi="宋体" w:eastAsia="宋体" w:cs="宋体"/>
          <w:b w:val="0"/>
          <w:bCs w:val="0"/>
          <w:color w:val="auto"/>
          <w:sz w:val="24"/>
          <w:szCs w:val="24"/>
          <w:highlight w:val="none"/>
        </w:rPr>
        <w:t>银行转帐至</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指定帐户</w:t>
      </w:r>
      <w:r>
        <w:rPr>
          <w:rFonts w:hint="eastAsia" w:ascii="宋体" w:hAnsi="宋体" w:eastAsia="宋体" w:cs="宋体"/>
          <w:color w:val="auto"/>
          <w:sz w:val="24"/>
          <w:szCs w:val="24"/>
          <w:highlight w:val="none"/>
        </w:rPr>
        <w:t>。</w:t>
      </w:r>
    </w:p>
    <w:p w14:paraId="27F37E8E">
      <w:pPr>
        <w:pStyle w:val="30"/>
        <w:numPr>
          <w:ilvl w:val="0"/>
          <w:numId w:val="0"/>
        </w:numPr>
        <w:autoSpaceDE/>
        <w:autoSpaceDN/>
        <w:spacing w:line="360" w:lineRule="auto"/>
        <w:ind w:left="0" w:leftChars="0" w:firstLine="0" w:firstLineChars="0"/>
      </w:pPr>
      <w:r>
        <w:rPr>
          <w:rFonts w:hint="default" w:ascii="宋体" w:hAnsi="宋体" w:eastAsia="宋体" w:cs="宋体"/>
          <w:color w:val="auto"/>
          <w:sz w:val="24"/>
          <w:szCs w:val="24"/>
          <w:lang w:val="en-US" w:eastAsia="zh-CN" w:bidi="ar-SA"/>
        </w:rPr>
        <w:t>4.</w:t>
      </w:r>
      <w:r>
        <w:rPr>
          <w:rFonts w:hint="eastAsia" w:ascii="宋体" w:hAnsi="宋体" w:eastAsia="宋体" w:cs="宋体"/>
          <w:color w:val="auto"/>
          <w:sz w:val="24"/>
          <w:szCs w:val="24"/>
          <w:highlight w:val="none"/>
        </w:rPr>
        <w:t>退还说明：中标人无违约责任、无任何不良记录的情况下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期满，中标人迁空、点清、交还房屋及设施、用具等并付清所有应付费用后，经</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确认后在10个工作日内一次性无息退还</w:t>
      </w:r>
      <w:r>
        <w:rPr>
          <w:rFonts w:hint="eastAsia" w:ascii="宋体" w:hAnsi="宋体" w:cs="宋体"/>
          <w:color w:val="auto"/>
          <w:sz w:val="24"/>
          <w:szCs w:val="24"/>
          <w:highlight w:val="none"/>
          <w:lang w:val="en-US" w:eastAsia="zh-CN"/>
        </w:rPr>
        <w:t>履约</w:t>
      </w:r>
      <w:r>
        <w:rPr>
          <w:rFonts w:hint="eastAsia" w:ascii="宋体" w:hAnsi="宋体" w:eastAsia="宋体" w:cs="宋体"/>
          <w:color w:val="auto"/>
          <w:sz w:val="24"/>
          <w:szCs w:val="24"/>
          <w:highlight w:val="none"/>
        </w:rPr>
        <w:t>保证金。</w:t>
      </w:r>
    </w:p>
    <w:p w14:paraId="47A01080">
      <w:pPr>
        <w:pStyle w:val="30"/>
        <w:numPr>
          <w:ilvl w:val="0"/>
          <w:numId w:val="0"/>
        </w:numPr>
        <w:autoSpaceDE/>
        <w:autoSpaceDN/>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违约责任：招标人逾期退还履约保证金的，除应当退还履约保证金本金外，还应当每日按“逾期金额×（合同订立时1年期贷款市场报价利率÷365天）”向中标人偿付违约金，但因中标人自身原因导致无法及时退还的除外。</w:t>
      </w:r>
    </w:p>
    <w:p w14:paraId="08D9E40A">
      <w:pPr>
        <w:pStyle w:val="30"/>
        <w:numPr>
          <w:ilvl w:val="0"/>
          <w:numId w:val="0"/>
        </w:numPr>
        <w:autoSpaceDE/>
        <w:autoSpaceDN/>
        <w:spacing w:line="360" w:lineRule="auto"/>
        <w:ind w:left="0" w:leftChars="0" w:firstLine="0" w:firstLineChars="0"/>
        <w:rPr>
          <w:rFonts w:hint="default" w:eastAsia="宋体"/>
          <w:lang w:val="en-US" w:eastAsia="zh-CN"/>
        </w:rPr>
      </w:pPr>
      <w:r>
        <w:rPr>
          <w:rFonts w:hint="eastAsia" w:ascii="宋体" w:hAnsi="宋体" w:eastAsia="宋体" w:cs="宋体"/>
          <w:sz w:val="24"/>
          <w:szCs w:val="24"/>
          <w:lang w:val="en-US" w:eastAsia="zh-CN"/>
        </w:rPr>
        <w:t>6.中标人违反合同及其附件约定的任何义务，招标人有权在履约保证金中直接扣除中标人应向招标人支付的违约金或损失赔偿额，如有不足的，中标人应对超过的部分予以赔偿。</w:t>
      </w:r>
    </w:p>
    <w:p w14:paraId="189F7DAC">
      <w:pPr>
        <w:pStyle w:val="53"/>
        <w:numPr>
          <w:ilvl w:val="0"/>
          <w:numId w:val="11"/>
        </w:numPr>
        <w:ind w:leftChars="-100" w:hanging="200" w:hangingChars="83"/>
        <w:rPr>
          <w:rFonts w:hint="eastAsia" w:ascii="宋体" w:hAnsi="Times New Roman" w:eastAsia="宋体" w:cs="宋体"/>
          <w:b/>
          <w:bCs/>
          <w:color w:val="auto"/>
          <w:sz w:val="24"/>
          <w:szCs w:val="24"/>
          <w:highlight w:val="none"/>
          <w:lang w:val="en-US" w:eastAsia="zh-CN"/>
        </w:rPr>
      </w:pPr>
      <w:r>
        <w:rPr>
          <w:rFonts w:hint="eastAsia" w:ascii="宋体" w:hAnsi="Times New Roman" w:eastAsia="宋体" w:cs="宋体"/>
          <w:b/>
          <w:bCs/>
          <w:color w:val="auto"/>
          <w:sz w:val="24"/>
          <w:szCs w:val="24"/>
          <w:highlight w:val="none"/>
        </w:rPr>
        <w:t>应急响应要求</w:t>
      </w:r>
    </w:p>
    <w:p w14:paraId="1AEC8FB4">
      <w:pPr>
        <w:pStyle w:val="30"/>
        <w:numPr>
          <w:ilvl w:val="0"/>
          <w:numId w:val="0"/>
        </w:numPr>
        <w:autoSpaceDE/>
        <w:autoSpaceDN/>
        <w:spacing w:line="360" w:lineRule="auto"/>
        <w:ind w:left="0" w:leftChars="0" w:firstLine="0" w:firstLineChars="0"/>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lang w:val="en-US" w:eastAsia="zh-CN" w:bidi="ar-SA"/>
        </w:rPr>
        <w:t>1.</w:t>
      </w:r>
      <w:r>
        <w:rPr>
          <w:rFonts w:hint="eastAsia" w:ascii="宋体" w:hAnsi="宋体" w:eastAsia="宋体" w:cs="宋体"/>
          <w:b w:val="0"/>
          <w:bCs w:val="0"/>
          <w:color w:val="auto"/>
          <w:sz w:val="24"/>
          <w:szCs w:val="24"/>
          <w:highlight w:val="none"/>
        </w:rPr>
        <w:t>投标人应建立完善的应急预案机制，将保障出餐作为</w:t>
      </w:r>
      <w:r>
        <w:rPr>
          <w:rFonts w:hint="eastAsia" w:ascii="宋体" w:hAnsi="宋体" w:eastAsia="宋体" w:cs="宋体"/>
          <w:b w:val="0"/>
          <w:bCs w:val="0"/>
          <w:color w:val="auto"/>
          <w:sz w:val="24"/>
          <w:szCs w:val="24"/>
          <w:highlight w:val="none"/>
          <w:lang w:val="en-US" w:eastAsia="zh-CN"/>
        </w:rPr>
        <w:t>首要任务</w:t>
      </w:r>
      <w:r>
        <w:rPr>
          <w:rFonts w:hint="eastAsia" w:ascii="宋体" w:hAnsi="宋体" w:eastAsia="宋体" w:cs="宋体"/>
          <w:b w:val="0"/>
          <w:bCs w:val="0"/>
          <w:color w:val="auto"/>
          <w:sz w:val="24"/>
          <w:szCs w:val="24"/>
          <w:highlight w:val="none"/>
        </w:rPr>
        <w:t>。应急预案应充分考虑各种可能导致就餐人员无法正常用餐的情况，应包括但不限于：食物中毒；停水停电停气；消防安全；传染病；</w:t>
      </w:r>
      <w:r>
        <w:rPr>
          <w:rFonts w:hint="eastAsia" w:ascii="宋体" w:hAnsi="宋体" w:eastAsia="宋体" w:cs="宋体"/>
          <w:b w:val="0"/>
          <w:bCs w:val="0"/>
          <w:color w:val="auto"/>
          <w:sz w:val="24"/>
          <w:szCs w:val="24"/>
          <w:highlight w:val="none"/>
          <w:lang w:val="en-US" w:eastAsia="zh-CN"/>
        </w:rPr>
        <w:t>物资短缺、举行大型活动的就餐情况</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因服务人员罢工、闹事导致的人手不足或混乱情况；应急供应能力等。</w:t>
      </w:r>
    </w:p>
    <w:p w14:paraId="6A17612F">
      <w:pPr>
        <w:pStyle w:val="30"/>
        <w:numPr>
          <w:ilvl w:val="0"/>
          <w:numId w:val="0"/>
        </w:numPr>
        <w:autoSpaceDE/>
        <w:autoSpaceDN/>
        <w:spacing w:line="360" w:lineRule="auto"/>
        <w:ind w:left="0" w:leftChars="0" w:firstLine="0" w:firstLineChars="0"/>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lang w:val="en-US" w:eastAsia="zh-CN" w:bidi="ar-SA"/>
        </w:rPr>
        <w:t>2.</w:t>
      </w:r>
      <w:r>
        <w:rPr>
          <w:rFonts w:hint="eastAsia" w:ascii="宋体" w:hAnsi="宋体" w:eastAsia="宋体" w:cs="宋体"/>
          <w:b w:val="0"/>
          <w:bCs w:val="0"/>
          <w:color w:val="auto"/>
          <w:sz w:val="24"/>
          <w:szCs w:val="24"/>
          <w:highlight w:val="none"/>
        </w:rPr>
        <w:t>举办的消防、食品安全、防疫等培训，提高员工的应对能力、处理能力。</w:t>
      </w:r>
    </w:p>
    <w:p w14:paraId="7FBD0643">
      <w:pPr>
        <w:pStyle w:val="30"/>
        <w:numPr>
          <w:ilvl w:val="0"/>
          <w:numId w:val="0"/>
        </w:numPr>
        <w:autoSpaceDE/>
        <w:autoSpaceDN/>
        <w:spacing w:line="360" w:lineRule="auto"/>
        <w:ind w:left="0" w:leftChars="0" w:firstLine="0" w:firstLineChars="0"/>
        <w:rPr>
          <w:rFonts w:hint="eastAsia"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lang w:val="en-US" w:eastAsia="zh-CN" w:bidi="ar-SA"/>
        </w:rPr>
        <w:t>3.</w:t>
      </w:r>
      <w:r>
        <w:rPr>
          <w:rFonts w:hint="eastAsia" w:ascii="宋体" w:hAnsi="宋体" w:eastAsia="宋体" w:cs="宋体"/>
          <w:b w:val="0"/>
          <w:bCs w:val="0"/>
          <w:color w:val="auto"/>
          <w:sz w:val="24"/>
          <w:szCs w:val="24"/>
          <w:highlight w:val="none"/>
        </w:rPr>
        <w:t>建立报告机制，发现问题要第一时间上报招标人，并提出处理意见和建议，经招标人同意后才能处理。若因迟报、瞒报、虚报而造成重要影响的，由此带来的一切后果和责任中标人要全部承担；引发后果特别严重的，招标人有权解除合同。</w:t>
      </w:r>
    </w:p>
    <w:p w14:paraId="27A4F53B">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cs="宋体"/>
          <w:b/>
          <w:bCs/>
          <w:color w:val="auto"/>
          <w:sz w:val="24"/>
          <w:szCs w:val="24"/>
          <w:highlight w:val="none"/>
          <w:lang w:eastAsia="zh-CN"/>
        </w:rPr>
        <w:t>服务管理费</w:t>
      </w:r>
      <w:r>
        <w:rPr>
          <w:rFonts w:hint="eastAsia" w:ascii="宋体" w:hAnsi="Times New Roman" w:eastAsia="宋体" w:cs="宋体"/>
          <w:b/>
          <w:bCs/>
          <w:color w:val="auto"/>
          <w:sz w:val="24"/>
          <w:szCs w:val="24"/>
          <w:highlight w:val="none"/>
        </w:rPr>
        <w:t>的支付方式</w:t>
      </w:r>
    </w:p>
    <w:p w14:paraId="5CB6ED78">
      <w:pPr>
        <w:numPr>
          <w:ilvl w:val="0"/>
          <w:numId w:val="0"/>
        </w:numPr>
        <w:autoSpaceDE/>
        <w:autoSpaceDN/>
        <w:spacing w:line="360" w:lineRule="auto"/>
        <w:ind w:left="0" w:firstLine="0" w:firstLineChars="0"/>
        <w:rPr>
          <w:rFonts w:hint="eastAsia" w:ascii="宋体" w:hAnsi="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highlight w:val="none"/>
        </w:rPr>
        <w:t>中标人首次交款时间为合同签订之日起7个工作日内向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交纳首月</w:t>
      </w:r>
      <w:r>
        <w:rPr>
          <w:rFonts w:hint="eastAsia" w:ascii="宋体" w:hAnsi="宋体" w:cs="宋体"/>
          <w:color w:val="auto"/>
          <w:sz w:val="24"/>
          <w:szCs w:val="24"/>
          <w:highlight w:val="none"/>
          <w:lang w:eastAsia="zh-CN"/>
        </w:rPr>
        <w:t>服务管理费</w:t>
      </w:r>
      <w:r>
        <w:rPr>
          <w:rFonts w:hint="eastAsia" w:ascii="宋体" w:hAnsi="宋体" w:cs="宋体"/>
          <w:color w:val="auto"/>
          <w:sz w:val="24"/>
          <w:szCs w:val="24"/>
          <w:highlight w:val="none"/>
        </w:rPr>
        <w:t>，之后按月缴纳，每次交纳时间为每个月的15日之前。</w:t>
      </w:r>
    </w:p>
    <w:p w14:paraId="1F0F171A">
      <w:pPr>
        <w:numPr>
          <w:ilvl w:val="0"/>
          <w:numId w:val="0"/>
        </w:numPr>
        <w:autoSpaceDE/>
        <w:autoSpaceDN/>
        <w:spacing w:line="360" w:lineRule="auto"/>
        <w:ind w:left="0" w:firstLine="0" w:firstLineChars="0"/>
        <w:rPr>
          <w:rFonts w:hint="eastAsia" w:ascii="宋体" w:hAnsi="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cs="宋体"/>
          <w:color w:val="auto"/>
          <w:sz w:val="24"/>
          <w:szCs w:val="24"/>
          <w:highlight w:val="none"/>
        </w:rPr>
        <w:t>中标人每月如未向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交纳应交款，每逾期一天</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有权按月</w:t>
      </w:r>
      <w:r>
        <w:rPr>
          <w:rFonts w:hint="eastAsia" w:ascii="宋体" w:hAnsi="宋体" w:cs="宋体"/>
          <w:color w:val="auto"/>
          <w:sz w:val="24"/>
          <w:szCs w:val="24"/>
          <w:highlight w:val="none"/>
          <w:lang w:eastAsia="zh-CN"/>
        </w:rPr>
        <w:t>服务管理费</w:t>
      </w:r>
      <w:r>
        <w:rPr>
          <w:rFonts w:hint="eastAsia" w:ascii="宋体" w:hAnsi="宋体" w:cs="宋体"/>
          <w:color w:val="auto"/>
          <w:sz w:val="24"/>
          <w:szCs w:val="24"/>
          <w:highlight w:val="none"/>
        </w:rPr>
        <w:t>的0.5%收取滞纳金，如超过30天，则视为中标人违约，</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有权收回房屋并追究中标人违约责任。</w:t>
      </w:r>
    </w:p>
    <w:p w14:paraId="039EC9D1">
      <w:pPr>
        <w:numPr>
          <w:ilvl w:val="0"/>
          <w:numId w:val="0"/>
        </w:numPr>
        <w:autoSpaceDE/>
        <w:autoSpaceDN/>
        <w:spacing w:line="360" w:lineRule="auto"/>
        <w:ind w:left="0" w:firstLine="0" w:firstLineChars="0"/>
        <w:rPr>
          <w:rFonts w:hint="eastAsia" w:ascii="宋体" w:hAnsi="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cs="宋体"/>
          <w:color w:val="auto"/>
          <w:sz w:val="24"/>
          <w:szCs w:val="24"/>
          <w:highlight w:val="none"/>
        </w:rPr>
        <w:t>中标人采取银行转帐方式支付</w:t>
      </w:r>
      <w:r>
        <w:rPr>
          <w:rFonts w:hint="eastAsia" w:ascii="宋体" w:hAnsi="宋体" w:cs="宋体"/>
          <w:color w:val="auto"/>
          <w:sz w:val="24"/>
          <w:szCs w:val="24"/>
          <w:highlight w:val="none"/>
          <w:lang w:eastAsia="zh-CN"/>
        </w:rPr>
        <w:t>服务管理费</w:t>
      </w:r>
      <w:r>
        <w:rPr>
          <w:rFonts w:hint="eastAsia" w:ascii="宋体" w:hAnsi="宋体" w:cs="宋体"/>
          <w:color w:val="auto"/>
          <w:sz w:val="24"/>
          <w:szCs w:val="24"/>
          <w:highlight w:val="none"/>
        </w:rPr>
        <w:t>和其他应缴费用，并将每次交费复印件交</w:t>
      </w: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主管部门财务股存档。</w:t>
      </w:r>
    </w:p>
    <w:p w14:paraId="5251D1C2">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cs="宋体"/>
          <w:b/>
          <w:bCs/>
          <w:color w:val="auto"/>
          <w:sz w:val="24"/>
          <w:szCs w:val="24"/>
          <w:highlight w:val="none"/>
          <w:lang w:val="en-US" w:eastAsia="zh-CN"/>
        </w:rPr>
        <w:t>保险</w:t>
      </w:r>
    </w:p>
    <w:p w14:paraId="0FC6FB2C">
      <w:pPr>
        <w:numPr>
          <w:ilvl w:val="-1"/>
          <w:numId w:val="0"/>
        </w:numPr>
        <w:spacing w:line="360" w:lineRule="auto"/>
        <w:ind w:left="0" w:firstLine="0" w:firstLineChars="0"/>
        <w:rPr>
          <w:rFonts w:hint="eastAsia" w:ascii="宋体" w:hAnsi="宋体" w:eastAsia="宋体" w:cs="宋体"/>
          <w:b w:val="0"/>
          <w:bCs w:val="0"/>
          <w:color w:val="auto"/>
          <w:sz w:val="24"/>
          <w:szCs w:val="24"/>
          <w:highlight w:val="none"/>
        </w:rPr>
      </w:pPr>
      <w:r>
        <w:rPr>
          <w:rFonts w:hint="eastAsia" w:ascii="宋体" w:hAnsi="宋体" w:cs="宋体"/>
          <w:bCs w:val="0"/>
          <w:color w:val="auto"/>
          <w:sz w:val="24"/>
          <w:szCs w:val="24"/>
          <w:highlight w:val="none"/>
          <w:lang w:val="zh-CN"/>
        </w:rPr>
        <w:t>中标人须在签订合同后1个月内为食堂购买保险额</w:t>
      </w:r>
      <w:r>
        <w:rPr>
          <w:rFonts w:hint="eastAsia" w:ascii="宋体" w:hAnsi="宋体" w:cs="宋体"/>
          <w:bCs w:val="0"/>
          <w:color w:val="auto"/>
          <w:sz w:val="24"/>
          <w:szCs w:val="24"/>
          <w:highlight w:val="none"/>
          <w:lang w:val="zh-CN" w:eastAsia="zh-CN"/>
        </w:rPr>
        <w:t>不低于</w:t>
      </w:r>
      <w:r>
        <w:rPr>
          <w:rFonts w:hint="eastAsia" w:ascii="宋体" w:hAnsi="宋体" w:cs="宋体"/>
          <w:bCs w:val="0"/>
          <w:color w:val="auto"/>
          <w:sz w:val="24"/>
          <w:szCs w:val="24"/>
          <w:highlight w:val="none"/>
          <w:lang w:val="en-US" w:eastAsia="zh-CN"/>
        </w:rPr>
        <w:t>人民币</w:t>
      </w:r>
      <w:r>
        <w:rPr>
          <w:rFonts w:hint="eastAsia" w:ascii="宋体" w:hAnsi="宋体" w:cs="宋体"/>
          <w:bCs w:val="0"/>
          <w:color w:val="auto"/>
          <w:sz w:val="24"/>
          <w:szCs w:val="24"/>
          <w:highlight w:val="none"/>
          <w:lang w:val="zh-CN" w:eastAsia="zh-CN"/>
        </w:rPr>
        <w:t>1000万元保额的食品安全责任保险，并确保经营期内保额固定及有效，</w:t>
      </w:r>
      <w:r>
        <w:rPr>
          <w:rFonts w:hint="eastAsia" w:ascii="宋体" w:hAnsi="宋体" w:cs="宋体"/>
          <w:bCs w:val="0"/>
          <w:color w:val="auto"/>
          <w:sz w:val="24"/>
          <w:szCs w:val="24"/>
          <w:highlight w:val="none"/>
          <w:lang w:val="zh-CN"/>
        </w:rPr>
        <w:t>并向</w:t>
      </w:r>
      <w:r>
        <w:rPr>
          <w:rFonts w:hint="eastAsia" w:ascii="宋体" w:hAnsi="宋体" w:cs="宋体"/>
          <w:bCs w:val="0"/>
          <w:color w:val="auto"/>
          <w:sz w:val="24"/>
          <w:szCs w:val="24"/>
          <w:highlight w:val="none"/>
        </w:rPr>
        <w:t>招标人</w:t>
      </w:r>
      <w:r>
        <w:rPr>
          <w:rFonts w:hint="eastAsia" w:ascii="宋体" w:hAnsi="宋体" w:cs="宋体"/>
          <w:bCs w:val="0"/>
          <w:color w:val="auto"/>
          <w:sz w:val="24"/>
          <w:szCs w:val="24"/>
          <w:highlight w:val="none"/>
          <w:lang w:val="zh-CN"/>
        </w:rPr>
        <w:t>提供保险合同、保险发票复印件备案</w:t>
      </w:r>
      <w:r>
        <w:rPr>
          <w:rFonts w:hint="eastAsia" w:ascii="宋体" w:hAnsi="宋体" w:cs="宋体"/>
          <w:bCs w:val="0"/>
          <w:color w:val="auto"/>
          <w:sz w:val="24"/>
          <w:szCs w:val="24"/>
          <w:highlight w:val="none"/>
          <w:lang w:val="zh-CN" w:eastAsia="zh-CN"/>
        </w:rPr>
        <w:t>；发生院内食品安全责任事故时，中标人须无条件履行救治费用支付及赔偿义务</w:t>
      </w:r>
      <w:r>
        <w:rPr>
          <w:rFonts w:hint="eastAsia" w:ascii="宋体" w:hAnsi="宋体" w:cs="宋体"/>
          <w:bCs w:val="0"/>
          <w:color w:val="auto"/>
          <w:sz w:val="24"/>
          <w:szCs w:val="24"/>
          <w:highlight w:val="none"/>
          <w:lang w:val="zh-CN"/>
        </w:rPr>
        <w:t>。</w:t>
      </w:r>
    </w:p>
    <w:p w14:paraId="0360A984">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hAnsi="宋体" w:eastAsia="宋体" w:cs="宋体"/>
          <w:b/>
          <w:bCs/>
          <w:color w:val="auto"/>
          <w:sz w:val="24"/>
          <w:szCs w:val="24"/>
          <w:highlight w:val="none"/>
        </w:rPr>
        <w:t>售后承诺及增值服务</w:t>
      </w:r>
    </w:p>
    <w:p w14:paraId="21FBF468">
      <w:pPr>
        <w:numPr>
          <w:ilvl w:val="0"/>
          <w:numId w:val="12"/>
        </w:numPr>
        <w:spacing w:line="360" w:lineRule="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lang w:val="zh-CN" w:eastAsia="zh-CN"/>
        </w:rPr>
        <w:t>提供至少两处</w:t>
      </w:r>
      <w:r>
        <w:rPr>
          <w:rFonts w:hint="eastAsia" w:ascii="宋体" w:hAnsi="宋体" w:cs="宋体"/>
          <w:color w:val="auto"/>
          <w:sz w:val="24"/>
          <w:szCs w:val="24"/>
          <w:highlight w:val="none"/>
          <w:lang w:val="en-US" w:eastAsia="zh-CN"/>
        </w:rPr>
        <w:t>具有</w:t>
      </w:r>
      <w:r>
        <w:rPr>
          <w:rFonts w:hint="eastAsia" w:ascii="宋体" w:hAnsi="宋体" w:cs="宋体"/>
          <w:color w:val="auto"/>
          <w:sz w:val="24"/>
          <w:szCs w:val="24"/>
          <w:highlight w:val="none"/>
          <w:lang w:val="zh-CN" w:eastAsia="zh-CN"/>
        </w:rPr>
        <w:t>保温、保鲜功能的设备设施。</w:t>
      </w:r>
    </w:p>
    <w:p w14:paraId="67FF1D15">
      <w:pPr>
        <w:numPr>
          <w:ilvl w:val="0"/>
          <w:numId w:val="12"/>
        </w:numPr>
        <w:spacing w:line="360" w:lineRule="auto"/>
        <w:ind w:left="0" w:firstLine="0"/>
        <w:rPr>
          <w:rFonts w:hint="eastAsia" w:ascii="宋体" w:hAnsi="宋体" w:cs="宋体"/>
          <w:color w:val="auto"/>
          <w:sz w:val="24"/>
          <w:szCs w:val="24"/>
          <w:highlight w:val="none"/>
          <w:lang w:val="zh-CN"/>
        </w:rPr>
      </w:pPr>
      <w:r>
        <w:rPr>
          <w:rFonts w:hint="eastAsia" w:ascii="宋体" w:hAnsi="宋体" w:eastAsia="宋体" w:cs="宋体"/>
          <w:i w:val="0"/>
          <w:iCs w:val="0"/>
          <w:caps w:val="0"/>
          <w:color w:val="auto"/>
          <w:spacing w:val="0"/>
          <w:sz w:val="24"/>
          <w:szCs w:val="24"/>
          <w:highlight w:val="none"/>
          <w:shd w:val="clear"/>
          <w:lang w:val="zh-CN"/>
        </w:rPr>
        <w:t>提供</w:t>
      </w:r>
      <w:r>
        <w:rPr>
          <w:rFonts w:hint="eastAsia" w:ascii="宋体" w:hAnsi="宋体" w:eastAsia="宋体" w:cs="宋体"/>
          <w:i w:val="0"/>
          <w:iCs w:val="0"/>
          <w:caps w:val="0"/>
          <w:color w:val="auto"/>
          <w:spacing w:val="0"/>
          <w:sz w:val="24"/>
          <w:szCs w:val="24"/>
          <w:highlight w:val="none"/>
          <w:shd w:val="clear"/>
          <w:lang w:val="zh-CN" w:eastAsia="zh-CN"/>
        </w:rPr>
        <w:t>包括但不限于</w:t>
      </w:r>
      <w:r>
        <w:rPr>
          <w:rFonts w:hint="eastAsia" w:ascii="宋体" w:hAnsi="宋体" w:eastAsia="宋体" w:cs="宋体"/>
          <w:i w:val="0"/>
          <w:iCs w:val="0"/>
          <w:caps w:val="0"/>
          <w:color w:val="auto"/>
          <w:spacing w:val="0"/>
          <w:sz w:val="24"/>
          <w:szCs w:val="24"/>
          <w:highlight w:val="none"/>
          <w:shd w:val="clear"/>
          <w:lang w:val="zh-CN"/>
        </w:rPr>
        <w:t>接待用餐、加班用餐、会议餐等特色保障服务</w:t>
      </w:r>
      <w:r>
        <w:rPr>
          <w:rFonts w:hint="eastAsia" w:ascii="宋体" w:hAnsi="宋体" w:eastAsia="宋体" w:cs="宋体"/>
          <w:i w:val="0"/>
          <w:iCs w:val="0"/>
          <w:caps w:val="0"/>
          <w:color w:val="auto"/>
          <w:spacing w:val="0"/>
          <w:sz w:val="24"/>
          <w:szCs w:val="24"/>
          <w:highlight w:val="none"/>
          <w:shd w:val="clear"/>
          <w:lang w:val="zh-CN" w:eastAsia="zh-CN"/>
        </w:rPr>
        <w:t>。</w:t>
      </w:r>
    </w:p>
    <w:p w14:paraId="24C8B0C9">
      <w:pPr>
        <w:numPr>
          <w:ilvl w:val="0"/>
          <w:numId w:val="12"/>
        </w:numPr>
        <w:spacing w:line="360" w:lineRule="auto"/>
        <w:rPr>
          <w:rFonts w:hint="default" w:ascii="宋体" w:hAnsi="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shd w:val="clear"/>
        </w:rPr>
        <w:t>提供菜点、菜谱的定期设计与更新服务。</w:t>
      </w:r>
    </w:p>
    <w:p w14:paraId="3FB9A0B1">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hAnsi="Times New Roman" w:eastAsia="宋体" w:cs="宋体"/>
          <w:b/>
          <w:bCs/>
          <w:color w:val="auto"/>
          <w:sz w:val="24"/>
          <w:szCs w:val="24"/>
          <w:highlight w:val="none"/>
        </w:rPr>
        <w:t>食品安全管理</w:t>
      </w:r>
    </w:p>
    <w:p w14:paraId="602CC378">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1.</w:t>
      </w:r>
      <w:r>
        <w:rPr>
          <w:rFonts w:hint="eastAsia" w:hAnsi="宋体" w:cs="宋体"/>
          <w:bCs/>
          <w:color w:val="auto"/>
          <w:sz w:val="24"/>
          <w:szCs w:val="24"/>
          <w:highlight w:val="none"/>
        </w:rPr>
        <w:t>从业人员管理</w:t>
      </w:r>
    </w:p>
    <w:p w14:paraId="0996DE4C">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1</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从业人员须依规持有效食品从业健康证明方可上岗，从业人员要主动学习并自觉遵守国家食品安全管理法规；中标人要落实从业人员管理机制，及时向师生公布从业人员信息，按时检查员工健康情况、仪容仪表、统一着装等是否符合上岗要求。</w:t>
      </w:r>
    </w:p>
    <w:p w14:paraId="71DC3A9A">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2</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中标人应成立培训小组，积极举办的</w:t>
      </w:r>
      <w:r>
        <w:rPr>
          <w:rFonts w:hint="eastAsia" w:hAnsi="宋体" w:cs="宋体"/>
          <w:bCs/>
          <w:color w:val="auto"/>
          <w:sz w:val="24"/>
          <w:szCs w:val="24"/>
          <w:highlight w:val="none"/>
          <w:lang w:val="en-US" w:eastAsia="zh-CN"/>
        </w:rPr>
        <w:t>卫生、</w:t>
      </w:r>
      <w:r>
        <w:rPr>
          <w:rFonts w:hint="eastAsia" w:hAnsi="宋体" w:cs="宋体"/>
          <w:bCs/>
          <w:color w:val="auto"/>
          <w:sz w:val="24"/>
          <w:szCs w:val="24"/>
          <w:highlight w:val="none"/>
        </w:rPr>
        <w:t>食品安全、防疫、</w:t>
      </w:r>
      <w:r>
        <w:rPr>
          <w:rFonts w:hint="eastAsia" w:hAnsi="宋体" w:cs="宋体"/>
          <w:color w:val="auto"/>
          <w:sz w:val="24"/>
          <w:szCs w:val="24"/>
          <w:highlight w:val="none"/>
        </w:rPr>
        <w:t>考核、奖惩、岗位职责</w:t>
      </w:r>
      <w:r>
        <w:rPr>
          <w:rFonts w:hint="eastAsia" w:hAnsi="宋体" w:cs="宋体"/>
          <w:bCs/>
          <w:color w:val="auto"/>
          <w:sz w:val="24"/>
          <w:szCs w:val="24"/>
          <w:highlight w:val="none"/>
        </w:rPr>
        <w:t>等培训，提高员工的应对能力、处理能力。</w:t>
      </w:r>
    </w:p>
    <w:p w14:paraId="55A519B9">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食材采购管理</w:t>
      </w:r>
    </w:p>
    <w:p w14:paraId="7049C8DC">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1</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食材原则上由中标人自行负责、自行承担食材采购风险责任，要求食材采购途径要相对集中，食材源头可有效追溯，至少具备能够承担食品安全风险的企业或个体注册工商户。</w:t>
      </w:r>
    </w:p>
    <w:p w14:paraId="62B93D57">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2</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在采购过程中禁止采购以下食品、食品添加剂、食品相关产品：</w:t>
      </w:r>
    </w:p>
    <w:p w14:paraId="58B13988">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1）超过保质期的食品、食品添加剂；</w:t>
      </w:r>
    </w:p>
    <w:p w14:paraId="46A0E12E">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2）腐败变质、油脂酸败、霉变生虫、污秽不洁、混有异物、掺假掺杂或者感官性状异常的食品、食品添加剂；</w:t>
      </w:r>
    </w:p>
    <w:p w14:paraId="66290D67">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 xml:space="preserve">3）未按规定进行检疫或者检疫不合格的肉类，或者未经检验或者检验不合格的肉类制品； </w:t>
      </w:r>
    </w:p>
    <w:p w14:paraId="1BFAC84E">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4）不符合食品安全标准的食品原料、食品添加剂以及消毒剂、洗涤剂等食品相关产品；</w:t>
      </w:r>
    </w:p>
    <w:p w14:paraId="4BFD62FE">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5）法律、法规、规章规定的其他禁止生产经营或者不符合食品安全标准的食品、食品添加剂、食品相关产品。</w:t>
      </w:r>
    </w:p>
    <w:p w14:paraId="6E899C13">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3</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中标人要主动接受</w:t>
      </w:r>
      <w:r>
        <w:rPr>
          <w:rFonts w:hint="eastAsia" w:hAnsi="宋体" w:cs="宋体"/>
          <w:bCs/>
          <w:color w:val="auto"/>
          <w:sz w:val="24"/>
          <w:szCs w:val="24"/>
          <w:highlight w:val="none"/>
          <w:lang w:val="en-US" w:eastAsia="zh-CN"/>
        </w:rPr>
        <w:t>消费者</w:t>
      </w:r>
      <w:r>
        <w:rPr>
          <w:rFonts w:hint="eastAsia" w:hAnsi="宋体" w:cs="宋体"/>
          <w:bCs/>
          <w:color w:val="auto"/>
          <w:sz w:val="24"/>
          <w:szCs w:val="24"/>
          <w:highlight w:val="none"/>
        </w:rPr>
        <w:t>对食材采购过程的监督。</w:t>
      </w:r>
    </w:p>
    <w:p w14:paraId="09C92E92">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3.</w:t>
      </w:r>
      <w:r>
        <w:rPr>
          <w:rFonts w:hint="eastAsia" w:hAnsi="宋体" w:cs="宋体"/>
          <w:bCs/>
          <w:color w:val="auto"/>
          <w:sz w:val="24"/>
          <w:szCs w:val="24"/>
          <w:highlight w:val="none"/>
        </w:rPr>
        <w:t>食材验收管理</w:t>
      </w:r>
    </w:p>
    <w:p w14:paraId="06AEE3EA">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1</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招标人组织验收人员对</w:t>
      </w:r>
      <w:r>
        <w:rPr>
          <w:rFonts w:hint="eastAsia" w:hAnsi="宋体" w:cs="宋体"/>
          <w:bCs/>
          <w:color w:val="auto"/>
          <w:sz w:val="24"/>
          <w:szCs w:val="24"/>
          <w:highlight w:val="none"/>
        </w:rPr>
        <w:t>食材集中验收，验收人员人数原则上不做限制，在保障食材安全的前提下，可参照</w:t>
      </w:r>
      <w:r>
        <w:rPr>
          <w:rFonts w:hint="eastAsia" w:hAnsi="宋体" w:cs="宋体"/>
          <w:bCs/>
          <w:color w:val="auto"/>
          <w:sz w:val="24"/>
          <w:szCs w:val="24"/>
          <w:highlight w:val="none"/>
          <w:lang w:val="en-US" w:eastAsia="zh-CN"/>
        </w:rPr>
        <w:t>医院</w:t>
      </w:r>
      <w:r>
        <w:rPr>
          <w:rFonts w:hint="eastAsia" w:hAnsi="宋体" w:cs="宋体"/>
          <w:bCs/>
          <w:color w:val="auto"/>
          <w:sz w:val="24"/>
          <w:szCs w:val="24"/>
          <w:highlight w:val="none"/>
        </w:rPr>
        <w:t>自营食堂相关标准执行。</w:t>
      </w:r>
    </w:p>
    <w:p w14:paraId="6EFF35C3">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rPr>
        <w:t>2</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中标人要严格执行索证索票查验制度。</w:t>
      </w:r>
    </w:p>
    <w:p w14:paraId="4C395031">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1）从食品生产者采购食品的，查验其食品生产许可证和产品合格证明文件等；采购食品添加剂、食品相关产品的，查验其营业执照和产品合格证明文件等。</w:t>
      </w:r>
    </w:p>
    <w:p w14:paraId="0B4178F8">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2）从食品销售者（商场、超市、便利店等）采购食品的，查验其食品经营许可证等；采购食品添加剂、食品相关产品的，查验其营业执照等。</w:t>
      </w:r>
    </w:p>
    <w:p w14:paraId="0490C47A">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3）从食用农产品个体生产者直接采购食用农产品的，查验其有效身份证明。</w:t>
      </w:r>
    </w:p>
    <w:p w14:paraId="729E8AB6">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4）从食用农产品生产企业和农民专业合作经济组织采购食用农产品的，查验其社会信用代码和产品合格证明文件。</w:t>
      </w:r>
    </w:p>
    <w:p w14:paraId="5B31DC4F">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5）从集中交易市场采购食用农产品的，索取并留存市场管理部门或经营者加盖公章（或负责人签字）的购货凭证。</w:t>
      </w:r>
    </w:p>
    <w:p w14:paraId="3DB284A9">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6）采购畜禽肉类的，还应查验动物产品检疫合格证明；采购猪肉的，还应查验肉品品质检验合格证明和非洲猪瘟病毒检测合格报告；大米应具备查验镉、黄曲霉素等指标检测报告。</w:t>
      </w:r>
    </w:p>
    <w:p w14:paraId="6A46D194">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7）实行统一配送经营方式的，可由企业总部统一查验供货者的相关资质证明及产品合格证明文件，留存每笔购物或送货凭证。各门店能及时查询、获取相关证明文件复印件或凭证。</w:t>
      </w:r>
    </w:p>
    <w:p w14:paraId="33FE9B19">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8）采购食品、食品添加剂、食品相关产品的，应留存每笔购物或送货凭证。</w:t>
      </w:r>
    </w:p>
    <w:p w14:paraId="6602AEA5">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食材贮存管理</w:t>
      </w:r>
    </w:p>
    <w:p w14:paraId="4FBB5542">
      <w:pPr>
        <w:pStyle w:val="11"/>
        <w:adjustRightInd w:val="0"/>
        <w:snapToGrid w:val="0"/>
        <w:spacing w:line="360" w:lineRule="auto"/>
        <w:ind w:left="425" w:leftChars="0"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1）</w:t>
      </w:r>
      <w:r>
        <w:rPr>
          <w:rFonts w:hint="eastAsia" w:hAnsi="宋体" w:cs="宋体"/>
          <w:bCs/>
          <w:color w:val="auto"/>
          <w:sz w:val="24"/>
          <w:szCs w:val="24"/>
          <w:highlight w:val="none"/>
        </w:rPr>
        <w:t>食品及原料具有正常的感官性状，无超过保质期、无腐败变质等异常情形。食品库房不存放有毒有害物品，仓库要配备相应的温湿度计、排风系统，食材推陈储新、先进先出。散装食品（食用农产品除外）贮存位置标明食品的名称、生产日期或者生产批号、使用期限。冷冻（藏）设施正常运转，有温度显示装置，温度符合规定，使用防爆灯。设置足够的存放架，分类分架、离地离墙，不同类别的食品和非食品（如食品包装材料等），分设存放区域，不同区域有明显的区分标识。禁止采购使用非法捕捞渔获物、野生动物、四季豆、鲜黄花菜、野生蘑菇、发芽土豆、五指毛桃等禁用或高风险食品原料。</w:t>
      </w:r>
    </w:p>
    <w:p w14:paraId="0EB95403">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5.</w:t>
      </w:r>
      <w:r>
        <w:rPr>
          <w:rFonts w:hint="eastAsia" w:hAnsi="宋体" w:cs="宋体"/>
          <w:bCs/>
          <w:color w:val="auto"/>
          <w:sz w:val="24"/>
          <w:szCs w:val="24"/>
          <w:highlight w:val="none"/>
        </w:rPr>
        <w:t>食材生产加工管理</w:t>
      </w:r>
    </w:p>
    <w:p w14:paraId="4FE490D0">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具有与加工制作的食品品种、数量相适应的加工场所及设施设备，设施设备清洁，运转正常，不超出供餐接待能力。定期检查零散食材、辅料等，避免食材、辅料变质或超保质期。加工食品原料、半成品、成品的工具容器有明显的区分标识，分开使用，防止生熟食品交叉污染。不在食品加工场所贮存非食品用化学物质和其他可能危害人体健康的物质。食品加工过程符合要求，用水符合生活饮用水标准。配备通风、排烟、充足的自然光或人工照明设施，光源不改变食品的感官颜色。</w:t>
      </w:r>
    </w:p>
    <w:p w14:paraId="63162587">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粗加工区：菜类、肉类、水产类三类食品原料分开清洗，清洗后的食品原料与未清洗的分开存放，有明显区分标识。</w:t>
      </w:r>
    </w:p>
    <w:p w14:paraId="0CED6E04">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切配区：半成品与成品分区存放。禽蛋清洗外壳后使用，必要时消毒外壳。</w:t>
      </w:r>
    </w:p>
    <w:p w14:paraId="75EF942D">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烹饪区：调味料容器表面清洁、加盖，调味料按标签要求使用。食品添加剂在宣传栏集中公示，执行五专管理，即：“专人采购、专人保管、专人使用、专人登记、专柜保存”。存放食品添加剂有专柜（位），并标注“食品添加剂”字样。食品添加剂（含拆包盛放）的标签上标注有使用范围、用量、使用方法、生产日期和保质期等内容。不得超范围、超限量使用食品添加剂，准确称量和记录有“最大使用量”规定的食品添加剂。</w:t>
      </w:r>
    </w:p>
    <w:p w14:paraId="5449DA76">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专间：生食类食品、冷食类食品、裱花蛋糕加工及备餐在专间内进行（可不在专间加工的情形除外）。专间有明显标识，标明用途，在显著位置公示人员操作规范。专间的门能自动闭合，窗户为封闭式（用于传递食品的除外），专间的门和食品传递窗口及时关闭。设置独立空调、空气消毒、洗手消毒、食品冷藏等设施。专间内由专人加工制作，更换专用的工作衣帽、佩戴口罩并清洗消毒手部后进入专间。使用专用的工具、容器、设备，使用前消毒，使用后洗净并保持清洁。专间存放食品为可直接入口食品。专间内的废弃物容器的盖子为非手动开启式。</w:t>
      </w:r>
    </w:p>
    <w:p w14:paraId="46174B89">
      <w:pPr>
        <w:pStyle w:val="11"/>
        <w:numPr>
          <w:ilvl w:val="0"/>
          <w:numId w:val="13"/>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专用操作区：制作现榨果蔬汁或果蔬拼盘、制作植物性冷食类食品（不含非发酵豆制品）及预包装食品的拆封、装盘、调味等加工制作在专用操作区或专间内进行。操作区有明显标识，标明用途。备餐区在显著位置公示人员操作规范。使用专用的工具、容器、设备，使用前消毒，使用后洗净并保持清洁。加工制作现榨果蔬汁、食用冰等的用水，应为净化水或处理后的直饮水。加工制作人员穿戴专用的工作衣帽，佩戴口罩，加工制作前清洗消毒手部。</w:t>
      </w:r>
    </w:p>
    <w:p w14:paraId="646EEE1E">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6.</w:t>
      </w:r>
      <w:r>
        <w:rPr>
          <w:rFonts w:hint="eastAsia" w:hAnsi="宋体" w:cs="宋体"/>
          <w:bCs/>
          <w:color w:val="auto"/>
          <w:sz w:val="24"/>
          <w:szCs w:val="24"/>
          <w:highlight w:val="none"/>
        </w:rPr>
        <w:t>供餐管理</w:t>
      </w:r>
    </w:p>
    <w:p w14:paraId="71486502">
      <w:pPr>
        <w:pStyle w:val="11"/>
        <w:numPr>
          <w:ilvl w:val="0"/>
          <w:numId w:val="14"/>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尽量当餐供应。烹饪后至食用前超过2小时的高危易腐食品，在高于60℃或低于8℃条件下存放。在8℃～60℃条件下存放超过2小时、且未发生感官性状变化的，充分再加热后供餐。供餐过程中对食品采取有效防护措施。就餐区或就餐区附近设有供用餐者清洗手部以及餐具、饮具的用水设施。每餐饭菜按照上级规定进行集中留样管理，留样饭菜根据保存时间，定期集中销毁。</w:t>
      </w:r>
      <w:r>
        <w:rPr>
          <w:rFonts w:hint="eastAsia"/>
          <w:color w:val="auto"/>
          <w:sz w:val="24"/>
          <w:szCs w:val="24"/>
          <w:highlight w:val="none"/>
        </w:rPr>
        <w:t>中标人销售的饭菜需在食堂内生产，不得购入成品直接或加工销售。</w:t>
      </w:r>
    </w:p>
    <w:p w14:paraId="765F8DEC">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7.</w:t>
      </w:r>
      <w:r>
        <w:rPr>
          <w:rFonts w:hint="eastAsia" w:hAnsi="宋体" w:cs="宋体"/>
          <w:bCs/>
          <w:color w:val="auto"/>
          <w:sz w:val="24"/>
          <w:szCs w:val="24"/>
          <w:highlight w:val="none"/>
        </w:rPr>
        <w:t>餐具洗消管理</w:t>
      </w:r>
    </w:p>
    <w:p w14:paraId="6126E141">
      <w:pPr>
        <w:pStyle w:val="11"/>
        <w:numPr>
          <w:ilvl w:val="0"/>
          <w:numId w:val="15"/>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配有专用的餐用具清洗消毒水池或设备，不与食品原料、清洁用具及接触非直接入口食品的工具、容器清洗水池混用。洗涤剂、消毒剂符合国家标准，包装上标识有产品名称、生产厂名和厂址等内容。采用物理消毒的，配备相适应的消毒设备，运转正常，消毒温度和时间符合相关要求。采用化学消毒的，消毒液配制行为和消毒液浓度符合相关要求。保证餐具干净卫生，消毒后的餐饮具表面光洁，无油渍、残渣、异味，符合GB14934《食品安全国家标准消毒餐（饮）具》的规定。消毒后的餐饮具存放在清洁、专用、密闭的保洁设施中。大件餐饮具可使用敞开式的货架存放，采取防护措施。</w:t>
      </w:r>
    </w:p>
    <w:p w14:paraId="3E111240">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8.</w:t>
      </w:r>
      <w:r>
        <w:rPr>
          <w:rFonts w:hint="eastAsia" w:hAnsi="宋体" w:cs="宋体"/>
          <w:bCs/>
          <w:color w:val="auto"/>
          <w:sz w:val="24"/>
          <w:szCs w:val="24"/>
          <w:highlight w:val="none"/>
        </w:rPr>
        <w:t>厨余垃圾回收管理</w:t>
      </w:r>
    </w:p>
    <w:p w14:paraId="7A0CF2AE">
      <w:pPr>
        <w:pStyle w:val="11"/>
        <w:numPr>
          <w:ilvl w:val="0"/>
          <w:numId w:val="16"/>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设置专门的加盖餐厨废弃物收集设施并有明显标识。建立管理台账，按照规定交由符合要求的生活垃圾运输单位或者餐厨垃圾处理单位处理。</w:t>
      </w:r>
    </w:p>
    <w:p w14:paraId="191FC312">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9.</w:t>
      </w:r>
      <w:r>
        <w:rPr>
          <w:rFonts w:hint="eastAsia" w:hAnsi="宋体" w:cs="宋体"/>
          <w:bCs/>
          <w:color w:val="auto"/>
          <w:sz w:val="24"/>
          <w:szCs w:val="24"/>
          <w:highlight w:val="none"/>
        </w:rPr>
        <w:t>有害生物防制</w:t>
      </w:r>
    </w:p>
    <w:p w14:paraId="302A4790">
      <w:pPr>
        <w:pStyle w:val="11"/>
        <w:numPr>
          <w:ilvl w:val="0"/>
          <w:numId w:val="17"/>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各食堂及食品（含饮用水）生产、经营服务场所要合理配备符合规定的挡鼠板、灭蝇灯、排水栅栏、地沟盖板等防治设施，定期进行有害生物消杀，及时检修墙砖裂缝及有关防治设施。</w:t>
      </w:r>
    </w:p>
    <w:p w14:paraId="223B5249">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10.</w:t>
      </w:r>
      <w:r>
        <w:rPr>
          <w:rFonts w:hint="eastAsia" w:hAnsi="宋体" w:cs="宋体"/>
          <w:bCs/>
          <w:color w:val="auto"/>
          <w:sz w:val="24"/>
          <w:szCs w:val="24"/>
          <w:highlight w:val="none"/>
        </w:rPr>
        <w:t>食品安全档案管理</w:t>
      </w:r>
    </w:p>
    <w:p w14:paraId="07CD104E">
      <w:pPr>
        <w:pStyle w:val="11"/>
        <w:numPr>
          <w:ilvl w:val="0"/>
          <w:numId w:val="18"/>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具有食品、食品添加剂、食品相关产品的随货证明文件、每笔购物或送货凭证、使用集中消毒餐饮具的，具有集中消毒餐饮具企业的营业执照和产品的消毒合格证明、从业人员每日健康检查（晨检）记录等各类工作台账定期收集保存。保存期限符合规定。</w:t>
      </w:r>
    </w:p>
    <w:p w14:paraId="572AFB24">
      <w:pPr>
        <w:pStyle w:val="11"/>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11.</w:t>
      </w:r>
      <w:r>
        <w:rPr>
          <w:rFonts w:hint="eastAsia" w:hAnsi="宋体" w:cs="宋体"/>
          <w:bCs/>
          <w:color w:val="auto"/>
          <w:sz w:val="24"/>
          <w:szCs w:val="24"/>
          <w:highlight w:val="none"/>
        </w:rPr>
        <w:t>其他管理</w:t>
      </w:r>
    </w:p>
    <w:p w14:paraId="2F0B4532">
      <w:pPr>
        <w:pStyle w:val="11"/>
        <w:numPr>
          <w:ilvl w:val="0"/>
          <w:numId w:val="19"/>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中标人要认真执行食品安全“日管控、周排查、月调度”管理机制。</w:t>
      </w:r>
    </w:p>
    <w:p w14:paraId="1D9785D0">
      <w:pPr>
        <w:pStyle w:val="11"/>
        <w:numPr>
          <w:ilvl w:val="0"/>
          <w:numId w:val="19"/>
        </w:numPr>
        <w:adjustRightInd w:val="0"/>
        <w:snapToGrid w:val="0"/>
        <w:spacing w:line="360" w:lineRule="auto"/>
        <w:ind w:left="425" w:hanging="425" w:firstLineChars="0"/>
        <w:rPr>
          <w:rFonts w:hint="eastAsia" w:hAnsi="宋体" w:cs="宋体"/>
          <w:bCs/>
          <w:color w:val="auto"/>
          <w:sz w:val="24"/>
          <w:szCs w:val="24"/>
          <w:highlight w:val="none"/>
        </w:rPr>
      </w:pPr>
      <w:r>
        <w:rPr>
          <w:rFonts w:hint="eastAsia" w:hAnsi="宋体" w:cs="宋体"/>
          <w:bCs/>
          <w:color w:val="auto"/>
          <w:sz w:val="24"/>
          <w:szCs w:val="24"/>
          <w:highlight w:val="none"/>
        </w:rPr>
        <w:t>中标人在用餐区域公布投诉电话或邮箱，公开接受</w:t>
      </w:r>
      <w:r>
        <w:rPr>
          <w:rFonts w:hint="eastAsia" w:hAnsi="宋体" w:cs="宋体"/>
          <w:bCs/>
          <w:color w:val="auto"/>
          <w:sz w:val="24"/>
          <w:szCs w:val="24"/>
          <w:highlight w:val="none"/>
          <w:lang w:val="en-US" w:eastAsia="zh-CN"/>
        </w:rPr>
        <w:t>顾客</w:t>
      </w:r>
      <w:r>
        <w:rPr>
          <w:rFonts w:hint="eastAsia" w:hAnsi="宋体" w:cs="宋体"/>
          <w:bCs/>
          <w:color w:val="auto"/>
          <w:sz w:val="24"/>
          <w:szCs w:val="24"/>
          <w:highlight w:val="none"/>
        </w:rPr>
        <w:t>监督。及时回复</w:t>
      </w:r>
      <w:r>
        <w:rPr>
          <w:rFonts w:hint="eastAsia" w:hAnsi="宋体" w:cs="宋体"/>
          <w:bCs/>
          <w:color w:val="auto"/>
          <w:sz w:val="24"/>
          <w:szCs w:val="24"/>
          <w:highlight w:val="none"/>
          <w:lang w:val="en-US" w:eastAsia="zh-CN"/>
        </w:rPr>
        <w:t>顾客</w:t>
      </w:r>
      <w:r>
        <w:rPr>
          <w:rFonts w:hint="eastAsia" w:hAnsi="宋体" w:cs="宋体"/>
          <w:bCs/>
          <w:color w:val="auto"/>
          <w:sz w:val="24"/>
          <w:szCs w:val="24"/>
          <w:highlight w:val="none"/>
        </w:rPr>
        <w:t>关切的问题，加强与</w:t>
      </w:r>
      <w:r>
        <w:rPr>
          <w:rFonts w:hint="eastAsia" w:hAnsi="宋体" w:cs="宋体"/>
          <w:bCs/>
          <w:color w:val="auto"/>
          <w:sz w:val="24"/>
          <w:szCs w:val="24"/>
          <w:highlight w:val="none"/>
          <w:lang w:val="en-US" w:eastAsia="zh-CN"/>
        </w:rPr>
        <w:t>顾客</w:t>
      </w:r>
      <w:r>
        <w:rPr>
          <w:rFonts w:hint="eastAsia" w:hAnsi="宋体" w:cs="宋体"/>
          <w:bCs/>
          <w:color w:val="auto"/>
          <w:sz w:val="24"/>
          <w:szCs w:val="24"/>
          <w:highlight w:val="none"/>
        </w:rPr>
        <w:t>的服务信息沟通。</w:t>
      </w:r>
    </w:p>
    <w:p w14:paraId="7406ED51">
      <w:pPr>
        <w:pStyle w:val="11"/>
        <w:numPr>
          <w:ilvl w:val="0"/>
          <w:numId w:val="19"/>
        </w:numPr>
        <w:adjustRightInd w:val="0"/>
        <w:snapToGrid w:val="0"/>
        <w:spacing w:line="360" w:lineRule="auto"/>
        <w:ind w:left="425" w:hanging="425" w:firstLineChars="0"/>
        <w:rPr>
          <w:rFonts w:hint="default" w:hAnsi="宋体" w:cs="宋体"/>
          <w:bCs/>
          <w:color w:val="auto"/>
          <w:sz w:val="24"/>
          <w:szCs w:val="24"/>
          <w:highlight w:val="none"/>
          <w:lang w:val="en-US" w:eastAsia="zh-CN"/>
        </w:rPr>
      </w:pPr>
      <w:r>
        <w:rPr>
          <w:rFonts w:hint="eastAsia" w:hAnsi="宋体" w:cs="宋体"/>
          <w:bCs/>
          <w:color w:val="auto"/>
          <w:sz w:val="24"/>
          <w:szCs w:val="24"/>
          <w:highlight w:val="none"/>
        </w:rPr>
        <w:t>招标人建立膳食管理委员会、食品安全监督员队伍，定期开展餐饮服务满意度调查工作，发挥</w:t>
      </w:r>
      <w:r>
        <w:rPr>
          <w:rFonts w:hint="eastAsia" w:hAnsi="宋体" w:cs="宋体"/>
          <w:bCs/>
          <w:color w:val="auto"/>
          <w:sz w:val="24"/>
          <w:szCs w:val="24"/>
          <w:highlight w:val="none"/>
          <w:lang w:val="en-US" w:eastAsia="zh-CN"/>
        </w:rPr>
        <w:t>医院</w:t>
      </w:r>
      <w:r>
        <w:rPr>
          <w:rFonts w:hint="eastAsia" w:hAnsi="宋体" w:cs="宋体"/>
          <w:bCs/>
          <w:color w:val="auto"/>
          <w:sz w:val="24"/>
          <w:szCs w:val="24"/>
          <w:highlight w:val="none"/>
        </w:rPr>
        <w:t>第三方监督作用。</w:t>
      </w:r>
    </w:p>
    <w:p w14:paraId="0FB4123F">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hAnsi="Times New Roman" w:eastAsia="宋体" w:cs="宋体"/>
          <w:b/>
          <w:bCs/>
          <w:color w:val="auto"/>
          <w:sz w:val="24"/>
          <w:szCs w:val="24"/>
          <w:highlight w:val="none"/>
        </w:rPr>
        <w:t>人员配置与管理</w:t>
      </w:r>
    </w:p>
    <w:p w14:paraId="573D02E2">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1.中标人须配备常驻现场管理人员不少于2人，包括但不限于现场项目</w:t>
      </w:r>
      <w:r>
        <w:rPr>
          <w:rFonts w:hint="eastAsia" w:ascii="宋体" w:cs="宋体"/>
          <w:b w:val="0"/>
          <w:bCs w:val="0"/>
          <w:color w:val="auto"/>
          <w:sz w:val="24"/>
          <w:szCs w:val="24"/>
          <w:highlight w:val="none"/>
          <w:lang w:val="en-US" w:eastAsia="zh-CN"/>
        </w:rPr>
        <w:t>负责人</w:t>
      </w:r>
      <w:r>
        <w:rPr>
          <w:rFonts w:hint="eastAsia" w:ascii="宋体" w:hAnsi="Times New Roman" w:eastAsia="宋体" w:cs="宋体"/>
          <w:b w:val="0"/>
          <w:bCs w:val="0"/>
          <w:color w:val="auto"/>
          <w:sz w:val="24"/>
          <w:szCs w:val="24"/>
          <w:highlight w:val="none"/>
        </w:rPr>
        <w:t>（兼食品安全总监）、总厨（厨师长）、厨师（不含厨师长）、面点师、公共营养师（或营养师）等岗位人员；如其中有人请假，中标人须委派其他人代替其工作。</w:t>
      </w:r>
    </w:p>
    <w:p w14:paraId="3FFD0EEE">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2.中标人委派的现场项目</w:t>
      </w:r>
      <w:r>
        <w:rPr>
          <w:rFonts w:hint="eastAsia" w:ascii="宋体" w:cs="宋体"/>
          <w:b w:val="0"/>
          <w:bCs w:val="0"/>
          <w:color w:val="auto"/>
          <w:sz w:val="24"/>
          <w:szCs w:val="24"/>
          <w:highlight w:val="none"/>
          <w:lang w:val="en-US" w:eastAsia="zh-CN"/>
        </w:rPr>
        <w:t>负责人</w:t>
      </w:r>
      <w:r>
        <w:rPr>
          <w:rFonts w:hint="eastAsia" w:ascii="宋体" w:hAnsi="Times New Roman" w:eastAsia="宋体" w:cs="宋体"/>
          <w:b w:val="0"/>
          <w:bCs w:val="0"/>
          <w:color w:val="auto"/>
          <w:sz w:val="24"/>
          <w:szCs w:val="24"/>
          <w:highlight w:val="none"/>
        </w:rPr>
        <w:t>（兼食品安全总监）须持有食品安全管理</w:t>
      </w:r>
      <w:r>
        <w:rPr>
          <w:rFonts w:hint="eastAsia" w:ascii="宋体" w:cs="宋体"/>
          <w:b w:val="0"/>
          <w:bCs w:val="0"/>
          <w:color w:val="auto"/>
          <w:sz w:val="24"/>
          <w:szCs w:val="24"/>
          <w:highlight w:val="none"/>
          <w:lang w:val="en-US" w:eastAsia="zh-CN"/>
        </w:rPr>
        <w:t>人</w:t>
      </w:r>
      <w:r>
        <w:rPr>
          <w:rFonts w:hint="eastAsia" w:ascii="宋体" w:hAnsi="Times New Roman" w:eastAsia="宋体" w:cs="宋体"/>
          <w:b w:val="0"/>
          <w:bCs w:val="0"/>
          <w:color w:val="auto"/>
          <w:sz w:val="24"/>
          <w:szCs w:val="24"/>
          <w:highlight w:val="none"/>
        </w:rPr>
        <w:t>员</w:t>
      </w:r>
      <w:r>
        <w:rPr>
          <w:rFonts w:hint="eastAsia" w:ascii="宋体" w:cs="宋体"/>
          <w:b w:val="0"/>
          <w:bCs w:val="0"/>
          <w:color w:val="auto"/>
          <w:sz w:val="24"/>
          <w:szCs w:val="24"/>
          <w:highlight w:val="none"/>
          <w:lang w:val="en-US" w:eastAsia="zh-CN"/>
        </w:rPr>
        <w:t>考试合格证明</w:t>
      </w:r>
      <w:r>
        <w:rPr>
          <w:rFonts w:hint="eastAsia" w:ascii="宋体" w:hAnsi="Times New Roman" w:eastAsia="宋体" w:cs="宋体"/>
          <w:b w:val="0"/>
          <w:bCs w:val="0"/>
          <w:color w:val="auto"/>
          <w:sz w:val="24"/>
          <w:szCs w:val="24"/>
          <w:highlight w:val="none"/>
        </w:rPr>
        <w:t>等相关证书，具有食堂1年以上管理经验。企业法人须授权现场项目</w:t>
      </w:r>
      <w:r>
        <w:rPr>
          <w:rFonts w:hint="eastAsia" w:ascii="宋体" w:cs="宋体"/>
          <w:b w:val="0"/>
          <w:bCs w:val="0"/>
          <w:color w:val="auto"/>
          <w:sz w:val="24"/>
          <w:szCs w:val="24"/>
          <w:highlight w:val="none"/>
          <w:lang w:val="en-US" w:eastAsia="zh-CN"/>
        </w:rPr>
        <w:t>负责人</w:t>
      </w:r>
      <w:r>
        <w:rPr>
          <w:rFonts w:hint="eastAsia" w:ascii="宋体" w:hAnsi="Times New Roman" w:eastAsia="宋体" w:cs="宋体"/>
          <w:b w:val="0"/>
          <w:bCs w:val="0"/>
          <w:color w:val="auto"/>
          <w:sz w:val="24"/>
          <w:szCs w:val="24"/>
          <w:highlight w:val="none"/>
        </w:rPr>
        <w:t>（兼食品安全总监）代表企业统筹食堂日常管理工作、签收医院相关文件、出席相关会议等事项。现场项目经理（兼食品安全总监）不符合条件或表现不合格时，招标人有权要求中标人更换。</w:t>
      </w:r>
    </w:p>
    <w:p w14:paraId="07FFCA42">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3</w:t>
      </w:r>
      <w:r>
        <w:rPr>
          <w:rFonts w:hint="eastAsia" w:ascii="宋体" w:cs="宋体"/>
          <w:b w:val="0"/>
          <w:bCs w:val="0"/>
          <w:color w:val="auto"/>
          <w:sz w:val="24"/>
          <w:szCs w:val="24"/>
          <w:highlight w:val="none"/>
          <w:lang w:val="en-US" w:eastAsia="zh-CN"/>
        </w:rPr>
        <w:t>.</w:t>
      </w:r>
      <w:r>
        <w:rPr>
          <w:rFonts w:hint="eastAsia" w:ascii="宋体" w:hAnsi="Times New Roman" w:eastAsia="宋体" w:cs="宋体"/>
          <w:b w:val="0"/>
          <w:bCs w:val="0"/>
          <w:color w:val="auto"/>
          <w:sz w:val="24"/>
          <w:szCs w:val="24"/>
          <w:highlight w:val="none"/>
        </w:rPr>
        <w:t>中标人必须按《中华人民共和国劳动法》规定以及省、市的劳动法规，与所有员工签订合同以及办理社保、保险等事项，所有员工必须具有相关证件 (</w:t>
      </w:r>
      <w:r>
        <w:rPr>
          <w:rFonts w:hint="eastAsia" w:ascii="宋体" w:cs="宋体"/>
          <w:b w:val="0"/>
          <w:bCs w:val="0"/>
          <w:color w:val="auto"/>
          <w:sz w:val="24"/>
          <w:szCs w:val="24"/>
          <w:highlight w:val="none"/>
          <w:lang w:val="en-US" w:eastAsia="zh-CN"/>
        </w:rPr>
        <w:t>包括但不限于</w:t>
      </w:r>
      <w:r>
        <w:rPr>
          <w:rFonts w:hint="eastAsia" w:ascii="宋体" w:hAnsi="Times New Roman" w:eastAsia="宋体" w:cs="宋体"/>
          <w:b w:val="0"/>
          <w:bCs w:val="0"/>
          <w:color w:val="auto"/>
          <w:sz w:val="24"/>
          <w:szCs w:val="24"/>
          <w:highlight w:val="none"/>
        </w:rPr>
        <w:t>身份证、健康证、居住证、上岗证等)。所有员工的合同签订情况随时接受招标人监管和检查。</w:t>
      </w:r>
    </w:p>
    <w:p w14:paraId="4070BDB0">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4</w:t>
      </w:r>
      <w:r>
        <w:rPr>
          <w:rFonts w:hint="eastAsia" w:ascii="宋体" w:cs="宋体"/>
          <w:b w:val="0"/>
          <w:bCs w:val="0"/>
          <w:color w:val="auto"/>
          <w:sz w:val="24"/>
          <w:szCs w:val="24"/>
          <w:highlight w:val="none"/>
          <w:lang w:val="en-US" w:eastAsia="zh-CN"/>
        </w:rPr>
        <w:t>.</w:t>
      </w:r>
      <w:r>
        <w:rPr>
          <w:rFonts w:hint="eastAsia" w:ascii="宋体" w:hAnsi="Times New Roman" w:eastAsia="宋体" w:cs="宋体"/>
          <w:b w:val="0"/>
          <w:bCs w:val="0"/>
          <w:color w:val="auto"/>
          <w:sz w:val="24"/>
          <w:szCs w:val="24"/>
          <w:highlight w:val="none"/>
        </w:rPr>
        <w:t>如员工不配合招标人相关工作、辱骂就餐人员等情形，招标人核实后有权要求更换食堂员工。</w:t>
      </w:r>
    </w:p>
    <w:p w14:paraId="3946DAE7">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5</w:t>
      </w:r>
      <w:r>
        <w:rPr>
          <w:rFonts w:hint="eastAsia" w:ascii="宋体" w:cs="宋体"/>
          <w:b w:val="0"/>
          <w:bCs w:val="0"/>
          <w:color w:val="auto"/>
          <w:sz w:val="24"/>
          <w:szCs w:val="24"/>
          <w:highlight w:val="none"/>
          <w:lang w:val="en-US" w:eastAsia="zh-CN"/>
        </w:rPr>
        <w:t>.</w:t>
      </w:r>
      <w:r>
        <w:rPr>
          <w:rFonts w:hint="eastAsia" w:ascii="宋体" w:hAnsi="Times New Roman" w:eastAsia="宋体" w:cs="宋体"/>
          <w:b w:val="0"/>
          <w:bCs w:val="0"/>
          <w:color w:val="auto"/>
          <w:sz w:val="24"/>
          <w:szCs w:val="24"/>
          <w:highlight w:val="none"/>
        </w:rPr>
        <w:t>中标人所管理的员工务必遵守国家法律法规以及</w:t>
      </w:r>
      <w:r>
        <w:rPr>
          <w:rFonts w:hint="eastAsia" w:ascii="宋体" w:cs="宋体"/>
          <w:b w:val="0"/>
          <w:bCs w:val="0"/>
          <w:color w:val="auto"/>
          <w:sz w:val="24"/>
          <w:szCs w:val="24"/>
          <w:highlight w:val="none"/>
          <w:lang w:val="en-US" w:eastAsia="zh-CN"/>
        </w:rPr>
        <w:t>医院</w:t>
      </w:r>
      <w:r>
        <w:rPr>
          <w:rFonts w:hint="eastAsia" w:ascii="宋体" w:hAnsi="Times New Roman" w:eastAsia="宋体" w:cs="宋体"/>
          <w:b w:val="0"/>
          <w:bCs w:val="0"/>
          <w:color w:val="auto"/>
          <w:sz w:val="24"/>
          <w:szCs w:val="24"/>
          <w:highlight w:val="none"/>
        </w:rPr>
        <w:t>规章制度，中标人定期做好员工培训工作，规范员工的言行举止，做到文明礼貌，杜绝员工与顾客产生法律纠纷、经济纠纷、败坏道德风气等行为，如中标人所管理的员工存在上述行为，中标人自愿承诺负责一切责任，同时，招标人有权追究中标人相应的责任。</w:t>
      </w:r>
    </w:p>
    <w:p w14:paraId="520940B1">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hAnsi="Times New Roman" w:eastAsia="宋体" w:cs="宋体"/>
          <w:b w:val="0"/>
          <w:bCs w:val="0"/>
          <w:color w:val="auto"/>
          <w:sz w:val="24"/>
          <w:szCs w:val="24"/>
          <w:highlight w:val="none"/>
        </w:rPr>
        <w:t>6</w:t>
      </w:r>
      <w:r>
        <w:rPr>
          <w:rFonts w:hint="eastAsia" w:ascii="宋体" w:cs="宋体"/>
          <w:b w:val="0"/>
          <w:bCs w:val="0"/>
          <w:color w:val="auto"/>
          <w:sz w:val="24"/>
          <w:szCs w:val="24"/>
          <w:highlight w:val="none"/>
          <w:lang w:val="en-US" w:eastAsia="zh-CN"/>
        </w:rPr>
        <w:t>.</w:t>
      </w:r>
      <w:r>
        <w:rPr>
          <w:rFonts w:hint="eastAsia" w:ascii="宋体" w:hAnsi="Times New Roman" w:eastAsia="宋体" w:cs="宋体"/>
          <w:b w:val="0"/>
          <w:bCs w:val="0"/>
          <w:color w:val="auto"/>
          <w:sz w:val="24"/>
          <w:szCs w:val="24"/>
          <w:highlight w:val="none"/>
        </w:rPr>
        <w:t>中标人须及时结清员工的报酬、福利待遇等，并及时结清供货商的货款，中标人与员工、供货商等产生的经济纠纷和法律纠纷，中标人自愿承诺负责一切责任，同时，招标人有权追究中标人相应的责任。</w:t>
      </w:r>
    </w:p>
    <w:p w14:paraId="505EB838">
      <w:pPr>
        <w:pStyle w:val="53"/>
        <w:numPr>
          <w:ilvl w:val="-1"/>
          <w:numId w:val="0"/>
        </w:numPr>
        <w:autoSpaceDE/>
        <w:autoSpaceDN/>
        <w:adjustRightInd/>
        <w:spacing w:line="360" w:lineRule="auto"/>
        <w:ind w:left="425" w:leftChars="0" w:hanging="425" w:firstLineChars="0"/>
        <w:rPr>
          <w:rFonts w:hint="eastAsia" w:ascii="宋体" w:hAnsi="Times New Roman" w:eastAsia="宋体" w:cs="宋体"/>
          <w:b w:val="0"/>
          <w:bCs w:val="0"/>
          <w:color w:val="auto"/>
          <w:sz w:val="24"/>
          <w:szCs w:val="24"/>
          <w:highlight w:val="none"/>
        </w:rPr>
      </w:pPr>
      <w:r>
        <w:rPr>
          <w:rFonts w:hint="eastAsia" w:ascii="宋体" w:cs="宋体"/>
          <w:b w:val="0"/>
          <w:bCs w:val="0"/>
          <w:color w:val="auto"/>
          <w:sz w:val="24"/>
          <w:szCs w:val="24"/>
          <w:highlight w:val="none"/>
          <w:lang w:val="en-US" w:eastAsia="zh-CN"/>
        </w:rPr>
        <w:t>7.</w:t>
      </w:r>
      <w:r>
        <w:rPr>
          <w:rFonts w:hint="eastAsia" w:ascii="宋体" w:hAnsi="Times New Roman" w:eastAsia="宋体" w:cs="宋体"/>
          <w:b w:val="0"/>
          <w:bCs w:val="0"/>
          <w:color w:val="auto"/>
          <w:sz w:val="24"/>
          <w:szCs w:val="24"/>
          <w:highlight w:val="none"/>
        </w:rPr>
        <w:t>派驻医院食堂的管理人员不得随意调动，如要调动需提前一个月申请并经招标人同意。如招标人认为投标人派驻的管理人员不合适继续留在食堂工作，招标人有权提出更换，如因此影响食堂服务质量的，招标人有权终止合同。</w:t>
      </w:r>
    </w:p>
    <w:p w14:paraId="4A01D806">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hAnsi="Times New Roman" w:eastAsia="宋体" w:cs="宋体"/>
          <w:b/>
          <w:bCs/>
          <w:color w:val="auto"/>
          <w:sz w:val="24"/>
          <w:szCs w:val="24"/>
          <w:highlight w:val="none"/>
        </w:rPr>
        <w:t>考核</w:t>
      </w:r>
    </w:p>
    <w:p w14:paraId="7DAD0373">
      <w:pPr>
        <w:spacing w:line="56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每</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rPr>
        <w:t>对食堂进行考核，</w:t>
      </w:r>
      <w:r>
        <w:rPr>
          <w:rFonts w:hint="eastAsia" w:ascii="宋体" w:hAnsi="宋体" w:cs="宋体"/>
          <w:color w:val="auto"/>
          <w:sz w:val="24"/>
          <w:szCs w:val="24"/>
          <w:highlight w:val="none"/>
          <w:lang w:val="en-US" w:eastAsia="zh-CN"/>
        </w:rPr>
        <w:t>按以下《食堂日常管理量化考核表》进行考核，</w:t>
      </w:r>
      <w:r>
        <w:rPr>
          <w:rFonts w:hint="eastAsia" w:ascii="宋体" w:hAnsi="宋体" w:cs="宋体"/>
          <w:color w:val="auto"/>
          <w:sz w:val="24"/>
          <w:szCs w:val="24"/>
          <w:highlight w:val="none"/>
        </w:rPr>
        <w:t>并按照考核处罚办法进行监管。</w:t>
      </w:r>
    </w:p>
    <w:p w14:paraId="27B282DA">
      <w:pPr>
        <w:spacing w:line="500" w:lineRule="exact"/>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食堂日常管理量化考核表</w:t>
      </w:r>
    </w:p>
    <w:tbl>
      <w:tblPr>
        <w:tblStyle w:val="23"/>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925"/>
        <w:gridCol w:w="2520"/>
        <w:gridCol w:w="741"/>
        <w:gridCol w:w="680"/>
      </w:tblGrid>
      <w:tr w14:paraId="2C64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0" w:type="dxa"/>
            <w:vAlign w:val="center"/>
          </w:tcPr>
          <w:p w14:paraId="3F3F3B8B">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w:t>
            </w:r>
          </w:p>
        </w:tc>
        <w:tc>
          <w:tcPr>
            <w:tcW w:w="4925" w:type="dxa"/>
            <w:vAlign w:val="center"/>
          </w:tcPr>
          <w:p w14:paraId="59DF2244">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检查具体内容</w:t>
            </w:r>
          </w:p>
        </w:tc>
        <w:tc>
          <w:tcPr>
            <w:tcW w:w="2520" w:type="dxa"/>
            <w:vAlign w:val="center"/>
          </w:tcPr>
          <w:p w14:paraId="0FD38965">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741" w:type="dxa"/>
            <w:vAlign w:val="center"/>
          </w:tcPr>
          <w:p w14:paraId="5010C961">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680" w:type="dxa"/>
            <w:vAlign w:val="center"/>
          </w:tcPr>
          <w:p w14:paraId="754F9229">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得分</w:t>
            </w:r>
          </w:p>
        </w:tc>
      </w:tr>
      <w:tr w14:paraId="4325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restart"/>
            <w:vAlign w:val="center"/>
          </w:tcPr>
          <w:p w14:paraId="5C556BFE">
            <w:pPr>
              <w:pStyle w:val="18"/>
              <w:spacing w:line="340" w:lineRule="exact"/>
              <w:jc w:val="center"/>
              <w:rPr>
                <w:rFonts w:hint="eastAsia" w:cs="宋体"/>
                <w:b/>
                <w:bCs/>
                <w:color w:val="auto"/>
                <w:sz w:val="24"/>
                <w:szCs w:val="24"/>
                <w:highlight w:val="none"/>
              </w:rPr>
            </w:pPr>
            <w:r>
              <w:rPr>
                <w:rFonts w:hint="eastAsia" w:cs="宋体"/>
                <w:b/>
                <w:bCs/>
                <w:color w:val="auto"/>
                <w:sz w:val="24"/>
                <w:szCs w:val="24"/>
                <w:highlight w:val="none"/>
              </w:rPr>
              <w:t>伙食质量</w:t>
            </w:r>
          </w:p>
          <w:p w14:paraId="7BAC06BC">
            <w:pPr>
              <w:pStyle w:val="18"/>
              <w:spacing w:line="340" w:lineRule="exact"/>
              <w:jc w:val="center"/>
              <w:rPr>
                <w:rFonts w:hint="eastAsia" w:cs="宋体"/>
                <w:color w:val="auto"/>
                <w:sz w:val="24"/>
                <w:szCs w:val="24"/>
                <w:highlight w:val="none"/>
              </w:rPr>
            </w:pPr>
            <w:r>
              <w:rPr>
                <w:rFonts w:hint="eastAsia" w:cs="宋体"/>
                <w:b/>
                <w:bCs/>
                <w:color w:val="auto"/>
                <w:sz w:val="24"/>
                <w:szCs w:val="24"/>
                <w:highlight w:val="none"/>
              </w:rPr>
              <w:t>35分</w:t>
            </w:r>
          </w:p>
          <w:p w14:paraId="1A8726AC">
            <w:pPr>
              <w:spacing w:line="340" w:lineRule="exact"/>
              <w:jc w:val="center"/>
              <w:rPr>
                <w:rFonts w:hint="eastAsia" w:ascii="宋体" w:hAnsi="宋体" w:cs="宋体"/>
                <w:color w:val="auto"/>
                <w:sz w:val="24"/>
                <w:szCs w:val="24"/>
                <w:highlight w:val="none"/>
              </w:rPr>
            </w:pPr>
          </w:p>
        </w:tc>
        <w:tc>
          <w:tcPr>
            <w:tcW w:w="4925" w:type="dxa"/>
            <w:vAlign w:val="center"/>
          </w:tcPr>
          <w:p w14:paraId="2CABB7D2">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面粉、大米、食用油、肉等主要食品原料必须从正规渠道进货，所购物品必须有供方的卫生合格证或销售许可证。并建有采购食品台账。蔬菜要求新鲜、洁净无污染。食堂采购的不需加工食品必须达到卫生标准要求，要标有生产日期及保质期限，无霉变、异味现象。</w:t>
            </w:r>
          </w:p>
        </w:tc>
        <w:tc>
          <w:tcPr>
            <w:tcW w:w="2520" w:type="dxa"/>
            <w:vAlign w:val="center"/>
          </w:tcPr>
          <w:p w14:paraId="66814B02">
            <w:pPr>
              <w:spacing w:line="340" w:lineRule="exac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有一项不合格减2分</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lang w:eastAsia="zh-CN"/>
              </w:rPr>
              <w:t>是扣至</w:t>
            </w:r>
            <w:r>
              <w:rPr>
                <w:rFonts w:hint="eastAsia" w:ascii="宋体" w:hAnsi="宋体" w:cs="宋体"/>
                <w:color w:val="auto"/>
                <w:sz w:val="24"/>
                <w:szCs w:val="24"/>
                <w:highlight w:val="none"/>
                <w:lang w:val="en-US" w:eastAsia="zh-CN"/>
              </w:rPr>
              <w:t>0分为止</w:t>
            </w:r>
            <w:r>
              <w:rPr>
                <w:rFonts w:hint="eastAsia" w:ascii="宋体" w:hAnsi="宋体" w:cs="宋体"/>
                <w:color w:val="auto"/>
                <w:kern w:val="0"/>
                <w:sz w:val="24"/>
                <w:szCs w:val="24"/>
                <w:highlight w:val="none"/>
              </w:rPr>
              <w:t>。如出现采购质量问题，医院根据造成经济损失</w:t>
            </w:r>
            <w:r>
              <w:rPr>
                <w:rFonts w:hint="eastAsia" w:ascii="宋体" w:hAnsi="宋体" w:cs="宋体"/>
                <w:color w:val="auto"/>
                <w:kern w:val="0"/>
                <w:sz w:val="24"/>
                <w:szCs w:val="24"/>
                <w:highlight w:val="none"/>
                <w:lang w:val="en-US" w:eastAsia="zh-CN"/>
              </w:rPr>
              <w:t>另</w:t>
            </w:r>
            <w:r>
              <w:rPr>
                <w:rFonts w:hint="eastAsia" w:ascii="宋体" w:hAnsi="宋体" w:cs="宋体"/>
                <w:color w:val="auto"/>
                <w:kern w:val="0"/>
                <w:sz w:val="24"/>
                <w:szCs w:val="24"/>
                <w:highlight w:val="none"/>
              </w:rPr>
              <w:t>给予相应处罚</w:t>
            </w:r>
          </w:p>
        </w:tc>
        <w:tc>
          <w:tcPr>
            <w:tcW w:w="741" w:type="dxa"/>
            <w:vAlign w:val="center"/>
          </w:tcPr>
          <w:p w14:paraId="469056BB">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680" w:type="dxa"/>
            <w:vAlign w:val="center"/>
          </w:tcPr>
          <w:p w14:paraId="788B0038">
            <w:pPr>
              <w:spacing w:line="340" w:lineRule="exact"/>
              <w:jc w:val="center"/>
              <w:rPr>
                <w:rFonts w:hint="eastAsia" w:ascii="宋体" w:hAnsi="宋体" w:cs="宋体"/>
                <w:color w:val="auto"/>
                <w:sz w:val="24"/>
                <w:szCs w:val="24"/>
                <w:highlight w:val="none"/>
              </w:rPr>
            </w:pPr>
          </w:p>
        </w:tc>
      </w:tr>
      <w:tr w14:paraId="74BA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top"/>
          </w:tcPr>
          <w:p w14:paraId="68874DED">
            <w:pPr>
              <w:spacing w:line="340" w:lineRule="exact"/>
              <w:rPr>
                <w:rFonts w:hint="eastAsia" w:ascii="宋体" w:hAnsi="宋体" w:cs="宋体"/>
                <w:color w:val="auto"/>
                <w:sz w:val="24"/>
                <w:szCs w:val="24"/>
                <w:highlight w:val="none"/>
              </w:rPr>
            </w:pPr>
          </w:p>
        </w:tc>
        <w:tc>
          <w:tcPr>
            <w:tcW w:w="4925" w:type="dxa"/>
            <w:vAlign w:val="center"/>
          </w:tcPr>
          <w:p w14:paraId="37533930">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食品、食物中出现污物、杂物，未煮熟现象。</w:t>
            </w:r>
          </w:p>
        </w:tc>
        <w:tc>
          <w:tcPr>
            <w:tcW w:w="2520" w:type="dxa"/>
            <w:vAlign w:val="center"/>
          </w:tcPr>
          <w:p w14:paraId="1DEEE1E8">
            <w:pPr>
              <w:spacing w:line="340" w:lineRule="exac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有一项减1分，有人举报一次减2分</w:t>
            </w:r>
          </w:p>
        </w:tc>
        <w:tc>
          <w:tcPr>
            <w:tcW w:w="741" w:type="dxa"/>
            <w:vAlign w:val="center"/>
          </w:tcPr>
          <w:p w14:paraId="5D04DECB">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35FEF232">
            <w:pPr>
              <w:spacing w:line="340" w:lineRule="exact"/>
              <w:jc w:val="center"/>
              <w:rPr>
                <w:rFonts w:hint="eastAsia" w:ascii="宋体" w:hAnsi="宋体" w:cs="宋体"/>
                <w:color w:val="auto"/>
                <w:sz w:val="24"/>
                <w:szCs w:val="24"/>
                <w:highlight w:val="none"/>
              </w:rPr>
            </w:pPr>
          </w:p>
        </w:tc>
      </w:tr>
      <w:tr w14:paraId="1C88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top"/>
          </w:tcPr>
          <w:p w14:paraId="17A70696">
            <w:pPr>
              <w:spacing w:line="340" w:lineRule="exact"/>
              <w:rPr>
                <w:rFonts w:hint="eastAsia" w:ascii="宋体" w:hAnsi="宋体" w:cs="宋体"/>
                <w:color w:val="auto"/>
                <w:sz w:val="24"/>
                <w:szCs w:val="24"/>
                <w:highlight w:val="none"/>
              </w:rPr>
            </w:pPr>
          </w:p>
        </w:tc>
        <w:tc>
          <w:tcPr>
            <w:tcW w:w="4925" w:type="dxa"/>
            <w:vAlign w:val="center"/>
          </w:tcPr>
          <w:p w14:paraId="197A67ED">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中、晚工作餐的荤、素营养搭配合理，荤素种类各不少于3种。</w:t>
            </w:r>
          </w:p>
        </w:tc>
        <w:tc>
          <w:tcPr>
            <w:tcW w:w="2520" w:type="dxa"/>
            <w:vAlign w:val="center"/>
          </w:tcPr>
          <w:p w14:paraId="4FE39015">
            <w:pPr>
              <w:spacing w:line="340" w:lineRule="exac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每少一种减2分。荤、素营养搭配不合理减2分</w:t>
            </w:r>
          </w:p>
        </w:tc>
        <w:tc>
          <w:tcPr>
            <w:tcW w:w="741" w:type="dxa"/>
            <w:vAlign w:val="center"/>
          </w:tcPr>
          <w:p w14:paraId="7B5E5D18">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2C25D0A3">
            <w:pPr>
              <w:spacing w:line="340" w:lineRule="exact"/>
              <w:jc w:val="center"/>
              <w:rPr>
                <w:rFonts w:hint="eastAsia" w:ascii="宋体" w:hAnsi="宋体" w:cs="宋体"/>
                <w:color w:val="auto"/>
                <w:sz w:val="24"/>
                <w:szCs w:val="24"/>
                <w:highlight w:val="none"/>
              </w:rPr>
            </w:pPr>
          </w:p>
        </w:tc>
      </w:tr>
      <w:tr w14:paraId="1F2C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top"/>
          </w:tcPr>
          <w:p w14:paraId="1A51789B">
            <w:pPr>
              <w:spacing w:line="340" w:lineRule="exact"/>
              <w:rPr>
                <w:rFonts w:hint="eastAsia" w:ascii="宋体" w:hAnsi="宋体" w:cs="宋体"/>
                <w:color w:val="auto"/>
                <w:sz w:val="24"/>
                <w:szCs w:val="24"/>
                <w:highlight w:val="none"/>
              </w:rPr>
            </w:pPr>
          </w:p>
        </w:tc>
        <w:tc>
          <w:tcPr>
            <w:tcW w:w="4925" w:type="dxa"/>
            <w:vAlign w:val="center"/>
          </w:tcPr>
          <w:p w14:paraId="257F38A3">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出售冷冻或冷藏过的饭菜</w:t>
            </w:r>
            <w:r>
              <w:rPr>
                <w:rFonts w:hint="eastAsia" w:ascii="宋体" w:hAnsi="宋体" w:cs="宋体"/>
                <w:color w:val="auto"/>
                <w:sz w:val="24"/>
                <w:szCs w:val="24"/>
                <w:highlight w:val="none"/>
              </w:rPr>
              <w:t>时必须经高温加热后方可出售，超过规定用餐时间出售的饭菜必须加热。</w:t>
            </w:r>
          </w:p>
        </w:tc>
        <w:tc>
          <w:tcPr>
            <w:tcW w:w="2520" w:type="dxa"/>
            <w:vAlign w:val="center"/>
          </w:tcPr>
          <w:p w14:paraId="2ED6DF77">
            <w:pPr>
              <w:spacing w:line="340" w:lineRule="exac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出现质量问题每次减2分，并根据造成的经济损失给予相应处罚</w:t>
            </w:r>
          </w:p>
        </w:tc>
        <w:tc>
          <w:tcPr>
            <w:tcW w:w="741" w:type="dxa"/>
            <w:vAlign w:val="center"/>
          </w:tcPr>
          <w:p w14:paraId="04A75056">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5103A056">
            <w:pPr>
              <w:spacing w:line="340" w:lineRule="exact"/>
              <w:jc w:val="center"/>
              <w:rPr>
                <w:rFonts w:hint="eastAsia" w:ascii="宋体" w:hAnsi="宋体" w:cs="宋体"/>
                <w:color w:val="auto"/>
                <w:sz w:val="24"/>
                <w:szCs w:val="24"/>
                <w:highlight w:val="none"/>
              </w:rPr>
            </w:pPr>
          </w:p>
        </w:tc>
      </w:tr>
      <w:tr w14:paraId="5FB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top"/>
          </w:tcPr>
          <w:p w14:paraId="701887B5">
            <w:pPr>
              <w:spacing w:line="340" w:lineRule="exact"/>
              <w:rPr>
                <w:rFonts w:hint="eastAsia" w:ascii="宋体" w:hAnsi="宋体" w:cs="宋体"/>
                <w:color w:val="auto"/>
                <w:sz w:val="24"/>
                <w:szCs w:val="24"/>
                <w:highlight w:val="none"/>
              </w:rPr>
            </w:pPr>
          </w:p>
        </w:tc>
        <w:tc>
          <w:tcPr>
            <w:tcW w:w="4925" w:type="dxa"/>
            <w:vAlign w:val="center"/>
          </w:tcPr>
          <w:p w14:paraId="1506153A">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高、中、低档菜式搭配合理，明码标价，饭菜的份量和价格要合理。</w:t>
            </w:r>
          </w:p>
        </w:tc>
        <w:tc>
          <w:tcPr>
            <w:tcW w:w="2520" w:type="dxa"/>
            <w:vAlign w:val="center"/>
          </w:tcPr>
          <w:p w14:paraId="63931A09">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无明码标价或与实际价格不符，减3分，超过限价或质价比不合理减2分</w:t>
            </w:r>
          </w:p>
        </w:tc>
        <w:tc>
          <w:tcPr>
            <w:tcW w:w="741" w:type="dxa"/>
            <w:vAlign w:val="center"/>
          </w:tcPr>
          <w:p w14:paraId="1E85C9C5">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592E3110">
            <w:pPr>
              <w:spacing w:line="340" w:lineRule="exact"/>
              <w:jc w:val="center"/>
              <w:rPr>
                <w:rFonts w:hint="eastAsia" w:ascii="宋体" w:hAnsi="宋体" w:cs="宋体"/>
                <w:color w:val="auto"/>
                <w:sz w:val="24"/>
                <w:szCs w:val="24"/>
                <w:highlight w:val="none"/>
              </w:rPr>
            </w:pPr>
          </w:p>
        </w:tc>
      </w:tr>
      <w:tr w14:paraId="221E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top"/>
          </w:tcPr>
          <w:p w14:paraId="12BC5771">
            <w:pPr>
              <w:spacing w:line="340" w:lineRule="exact"/>
              <w:rPr>
                <w:rFonts w:hint="eastAsia" w:ascii="宋体" w:hAnsi="宋体" w:cs="宋体"/>
                <w:color w:val="auto"/>
                <w:sz w:val="24"/>
                <w:szCs w:val="24"/>
                <w:highlight w:val="none"/>
              </w:rPr>
            </w:pPr>
          </w:p>
        </w:tc>
        <w:tc>
          <w:tcPr>
            <w:tcW w:w="4925" w:type="dxa"/>
            <w:vAlign w:val="center"/>
          </w:tcPr>
          <w:p w14:paraId="5243E2C7">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饭菜及主食品价格由</w:t>
            </w: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审定后确定，不准擅自上调价格，如上调须上报</w:t>
            </w:r>
            <w:r>
              <w:rPr>
                <w:rFonts w:hint="eastAsia" w:ascii="宋体" w:hAnsi="宋体" w:cs="宋体"/>
                <w:color w:val="auto"/>
                <w:sz w:val="24"/>
                <w:szCs w:val="24"/>
                <w:highlight w:val="none"/>
                <w:lang w:val="en-US" w:eastAsia="zh-CN"/>
              </w:rPr>
              <w:t>招标人</w:t>
            </w:r>
            <w:r>
              <w:rPr>
                <w:rFonts w:hint="eastAsia" w:ascii="宋体" w:hAnsi="宋体" w:cs="宋体"/>
                <w:color w:val="auto"/>
                <w:sz w:val="24"/>
                <w:szCs w:val="24"/>
                <w:highlight w:val="none"/>
              </w:rPr>
              <w:t>审批后执行。</w:t>
            </w:r>
          </w:p>
        </w:tc>
        <w:tc>
          <w:tcPr>
            <w:tcW w:w="2520" w:type="dxa"/>
            <w:vAlign w:val="center"/>
          </w:tcPr>
          <w:p w14:paraId="2D3B6ECC">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擅自变更价格1个品种减1分</w:t>
            </w:r>
          </w:p>
        </w:tc>
        <w:tc>
          <w:tcPr>
            <w:tcW w:w="741" w:type="dxa"/>
            <w:vAlign w:val="center"/>
          </w:tcPr>
          <w:p w14:paraId="7DE7FFF2">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29957B09">
            <w:pPr>
              <w:spacing w:line="340" w:lineRule="exact"/>
              <w:jc w:val="center"/>
              <w:rPr>
                <w:rFonts w:hint="eastAsia" w:ascii="宋体" w:hAnsi="宋体" w:cs="宋体"/>
                <w:color w:val="auto"/>
                <w:sz w:val="24"/>
                <w:szCs w:val="24"/>
                <w:highlight w:val="none"/>
              </w:rPr>
            </w:pPr>
          </w:p>
        </w:tc>
      </w:tr>
      <w:tr w14:paraId="51AD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restart"/>
            <w:vAlign w:val="center"/>
          </w:tcPr>
          <w:p w14:paraId="7E5633B8">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服务质量35分</w:t>
            </w:r>
          </w:p>
        </w:tc>
        <w:tc>
          <w:tcPr>
            <w:tcW w:w="4925" w:type="dxa"/>
            <w:vAlign w:val="center"/>
          </w:tcPr>
          <w:p w14:paraId="2687CF98">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炊事人员必须持有效的健康证上岗，定时检查。在加工及出售食品时需穿戴整洁的工作服、工作帽并将头发置于帽内，并挂牌上岗。</w:t>
            </w:r>
          </w:p>
        </w:tc>
        <w:tc>
          <w:tcPr>
            <w:tcW w:w="2520" w:type="dxa"/>
            <w:vAlign w:val="center"/>
          </w:tcPr>
          <w:p w14:paraId="4E5A2497">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无健康证并没定期检查1人减2分，没穿工作服、工作帽及挂牌上岗发现1人次减1分</w:t>
            </w:r>
          </w:p>
        </w:tc>
        <w:tc>
          <w:tcPr>
            <w:tcW w:w="741" w:type="dxa"/>
            <w:vAlign w:val="center"/>
          </w:tcPr>
          <w:p w14:paraId="028A0A2D">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680" w:type="dxa"/>
            <w:vAlign w:val="center"/>
          </w:tcPr>
          <w:p w14:paraId="3C82CA2A">
            <w:pPr>
              <w:spacing w:line="340" w:lineRule="exact"/>
              <w:jc w:val="center"/>
              <w:rPr>
                <w:rFonts w:hint="eastAsia" w:ascii="宋体" w:hAnsi="宋体" w:cs="宋体"/>
                <w:color w:val="auto"/>
                <w:sz w:val="24"/>
                <w:szCs w:val="24"/>
                <w:highlight w:val="none"/>
              </w:rPr>
            </w:pPr>
          </w:p>
        </w:tc>
      </w:tr>
      <w:tr w14:paraId="1D9E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center"/>
          </w:tcPr>
          <w:p w14:paraId="0577DCAA">
            <w:pPr>
              <w:spacing w:line="340" w:lineRule="exact"/>
              <w:jc w:val="center"/>
              <w:rPr>
                <w:rFonts w:hint="eastAsia" w:ascii="宋体" w:hAnsi="宋体" w:cs="宋体"/>
                <w:b/>
                <w:bCs/>
                <w:color w:val="auto"/>
                <w:sz w:val="24"/>
                <w:szCs w:val="24"/>
                <w:highlight w:val="none"/>
              </w:rPr>
            </w:pPr>
          </w:p>
        </w:tc>
        <w:tc>
          <w:tcPr>
            <w:tcW w:w="4925" w:type="dxa"/>
            <w:vAlign w:val="center"/>
          </w:tcPr>
          <w:p w14:paraId="42599CB5">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炊事人员必须保持整洁，不准佩戴</w:t>
            </w:r>
            <w:r>
              <w:rPr>
                <w:rFonts w:hint="eastAsia" w:ascii="宋体" w:hAnsi="宋体" w:cs="宋体"/>
                <w:color w:val="auto"/>
                <w:sz w:val="24"/>
                <w:szCs w:val="24"/>
                <w:highlight w:val="none"/>
                <w:lang w:val="en-US" w:eastAsia="zh-CN"/>
              </w:rPr>
              <w:t>饰品（包括但不限于耳饰、手饰）</w:t>
            </w:r>
            <w:r>
              <w:rPr>
                <w:rFonts w:hint="eastAsia" w:ascii="宋体" w:hAnsi="宋体" w:cs="宋体"/>
                <w:color w:val="auto"/>
                <w:sz w:val="24"/>
                <w:szCs w:val="24"/>
                <w:highlight w:val="none"/>
              </w:rPr>
              <w:t>，两手干净，操作食品时禁止吸烟、挖鼻孔、对食品打喷嚏等不卫生行为。</w:t>
            </w:r>
          </w:p>
        </w:tc>
        <w:tc>
          <w:tcPr>
            <w:tcW w:w="2520" w:type="dxa"/>
            <w:vAlign w:val="center"/>
          </w:tcPr>
          <w:p w14:paraId="71753AED">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发现1人次减1分</w:t>
            </w:r>
          </w:p>
        </w:tc>
        <w:tc>
          <w:tcPr>
            <w:tcW w:w="741" w:type="dxa"/>
            <w:vAlign w:val="center"/>
          </w:tcPr>
          <w:p w14:paraId="4273ACED">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796161B0">
            <w:pPr>
              <w:spacing w:line="340" w:lineRule="exact"/>
              <w:jc w:val="center"/>
              <w:rPr>
                <w:rFonts w:hint="eastAsia" w:ascii="宋体" w:hAnsi="宋体" w:cs="宋体"/>
                <w:color w:val="auto"/>
                <w:sz w:val="24"/>
                <w:szCs w:val="24"/>
                <w:highlight w:val="none"/>
              </w:rPr>
            </w:pPr>
          </w:p>
        </w:tc>
      </w:tr>
      <w:tr w14:paraId="1AFE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center"/>
          </w:tcPr>
          <w:p w14:paraId="013675D8">
            <w:pPr>
              <w:spacing w:line="340" w:lineRule="exact"/>
              <w:jc w:val="center"/>
              <w:rPr>
                <w:rFonts w:hint="eastAsia" w:ascii="宋体" w:hAnsi="宋体" w:cs="宋体"/>
                <w:b/>
                <w:bCs/>
                <w:color w:val="auto"/>
                <w:sz w:val="24"/>
                <w:szCs w:val="24"/>
                <w:highlight w:val="none"/>
              </w:rPr>
            </w:pPr>
          </w:p>
        </w:tc>
        <w:tc>
          <w:tcPr>
            <w:tcW w:w="4925" w:type="dxa"/>
            <w:vAlign w:val="center"/>
          </w:tcPr>
          <w:p w14:paraId="0CEAD6E2">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出售食品时不能用手直接接触食品。</w:t>
            </w:r>
          </w:p>
        </w:tc>
        <w:tc>
          <w:tcPr>
            <w:tcW w:w="2520" w:type="dxa"/>
            <w:vAlign w:val="center"/>
          </w:tcPr>
          <w:p w14:paraId="3EF5B1CF">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发现1人次接接触食品减1分</w:t>
            </w:r>
          </w:p>
        </w:tc>
        <w:tc>
          <w:tcPr>
            <w:tcW w:w="741" w:type="dxa"/>
            <w:vAlign w:val="center"/>
          </w:tcPr>
          <w:p w14:paraId="686CD8AB">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1B3D08F2">
            <w:pPr>
              <w:spacing w:line="340" w:lineRule="exact"/>
              <w:jc w:val="center"/>
              <w:rPr>
                <w:rFonts w:hint="eastAsia" w:ascii="宋体" w:hAnsi="宋体" w:cs="宋体"/>
                <w:color w:val="auto"/>
                <w:sz w:val="24"/>
                <w:szCs w:val="24"/>
                <w:highlight w:val="none"/>
              </w:rPr>
            </w:pPr>
          </w:p>
        </w:tc>
      </w:tr>
      <w:tr w14:paraId="3C33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center"/>
          </w:tcPr>
          <w:p w14:paraId="650ADB3E">
            <w:pPr>
              <w:spacing w:line="340" w:lineRule="exact"/>
              <w:jc w:val="center"/>
              <w:rPr>
                <w:rFonts w:hint="eastAsia" w:ascii="宋体" w:hAnsi="宋体" w:cs="宋体"/>
                <w:b/>
                <w:bCs/>
                <w:color w:val="auto"/>
                <w:sz w:val="24"/>
                <w:szCs w:val="24"/>
                <w:highlight w:val="none"/>
              </w:rPr>
            </w:pPr>
          </w:p>
        </w:tc>
        <w:tc>
          <w:tcPr>
            <w:tcW w:w="4925" w:type="dxa"/>
            <w:vAlign w:val="center"/>
          </w:tcPr>
          <w:p w14:paraId="78525F58">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食堂服务人员必须持有效的健康证上岗，定时检查。对用餐者要耐心解答、</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"http://www.canyin168.com/glyy/wxfw/" \o "微笑服务"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微笑服务</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，不得发生争吵、打骂等不文明行为，有问题可反映医院相关管理部门解决。</w:t>
            </w:r>
          </w:p>
        </w:tc>
        <w:tc>
          <w:tcPr>
            <w:tcW w:w="2520" w:type="dxa"/>
            <w:vAlign w:val="center"/>
          </w:tcPr>
          <w:p w14:paraId="5E3F616D">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发现1人次不文明行为减2分。有人举报1人次减5分。如出现恶劣事件医院将根据造成的影响对当期考核结果做出调整</w:t>
            </w:r>
            <w:r>
              <w:rPr>
                <w:rFonts w:hint="eastAsia" w:ascii="宋体" w:hAnsi="宋体" w:cs="宋体"/>
                <w:color w:val="auto"/>
                <w:kern w:val="0"/>
                <w:sz w:val="24"/>
                <w:szCs w:val="24"/>
                <w:highlight w:val="none"/>
                <w:lang w:eastAsia="zh-CN"/>
              </w:rPr>
              <w:t>。</w:t>
            </w:r>
          </w:p>
        </w:tc>
        <w:tc>
          <w:tcPr>
            <w:tcW w:w="741" w:type="dxa"/>
            <w:vAlign w:val="center"/>
          </w:tcPr>
          <w:p w14:paraId="23565757">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42D48F75">
            <w:pPr>
              <w:spacing w:line="340" w:lineRule="exact"/>
              <w:jc w:val="center"/>
              <w:rPr>
                <w:rFonts w:hint="eastAsia" w:ascii="宋体" w:hAnsi="宋体" w:cs="宋体"/>
                <w:color w:val="auto"/>
                <w:sz w:val="24"/>
                <w:szCs w:val="24"/>
                <w:highlight w:val="none"/>
              </w:rPr>
            </w:pPr>
          </w:p>
        </w:tc>
      </w:tr>
      <w:tr w14:paraId="5514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0" w:type="dxa"/>
            <w:vMerge w:val="continue"/>
            <w:vAlign w:val="center"/>
          </w:tcPr>
          <w:p w14:paraId="116FEAC8">
            <w:pPr>
              <w:spacing w:line="340" w:lineRule="exact"/>
              <w:jc w:val="center"/>
              <w:rPr>
                <w:rFonts w:hint="eastAsia" w:ascii="宋体" w:hAnsi="宋体" w:cs="宋体"/>
                <w:b/>
                <w:bCs/>
                <w:color w:val="auto"/>
                <w:sz w:val="24"/>
                <w:szCs w:val="24"/>
                <w:highlight w:val="none"/>
              </w:rPr>
            </w:pPr>
          </w:p>
        </w:tc>
        <w:tc>
          <w:tcPr>
            <w:tcW w:w="4925" w:type="dxa"/>
            <w:vAlign w:val="center"/>
          </w:tcPr>
          <w:p w14:paraId="4ACCE29E">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按医院规定的时间开饭，按时回收餐具。</w:t>
            </w:r>
          </w:p>
        </w:tc>
        <w:tc>
          <w:tcPr>
            <w:tcW w:w="2520" w:type="dxa"/>
            <w:vAlign w:val="center"/>
          </w:tcPr>
          <w:p w14:paraId="5CBA9209">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出现一次减1分</w:t>
            </w:r>
            <w:r>
              <w:rPr>
                <w:rFonts w:hint="eastAsia" w:ascii="宋体" w:hAnsi="宋体" w:cs="宋体"/>
                <w:color w:val="auto"/>
                <w:sz w:val="24"/>
                <w:szCs w:val="24"/>
                <w:highlight w:val="none"/>
                <w:lang w:eastAsia="zh-CN"/>
              </w:rPr>
              <w:t>。</w:t>
            </w:r>
          </w:p>
        </w:tc>
        <w:tc>
          <w:tcPr>
            <w:tcW w:w="741" w:type="dxa"/>
            <w:vAlign w:val="center"/>
          </w:tcPr>
          <w:p w14:paraId="0CB95B7E">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6DAD6366">
            <w:pPr>
              <w:spacing w:line="340" w:lineRule="exact"/>
              <w:jc w:val="center"/>
              <w:rPr>
                <w:rFonts w:hint="eastAsia" w:ascii="宋体" w:hAnsi="宋体" w:cs="宋体"/>
                <w:color w:val="auto"/>
                <w:sz w:val="24"/>
                <w:szCs w:val="24"/>
                <w:highlight w:val="none"/>
              </w:rPr>
            </w:pPr>
          </w:p>
        </w:tc>
      </w:tr>
      <w:tr w14:paraId="285A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0" w:type="dxa"/>
            <w:vMerge w:val="continue"/>
            <w:vAlign w:val="center"/>
          </w:tcPr>
          <w:p w14:paraId="04EBA4E6">
            <w:pPr>
              <w:spacing w:line="340" w:lineRule="exact"/>
              <w:jc w:val="center"/>
              <w:rPr>
                <w:rFonts w:hint="eastAsia" w:ascii="宋体" w:hAnsi="宋体" w:cs="宋体"/>
                <w:b/>
                <w:bCs/>
                <w:color w:val="auto"/>
                <w:sz w:val="24"/>
                <w:szCs w:val="24"/>
                <w:highlight w:val="none"/>
              </w:rPr>
            </w:pPr>
          </w:p>
        </w:tc>
        <w:tc>
          <w:tcPr>
            <w:tcW w:w="4925" w:type="dxa"/>
            <w:vAlign w:val="center"/>
          </w:tcPr>
          <w:p w14:paraId="47FA215D">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工作间无苍蝇、蟑螂、老鼠，防蝇、防鼠、防尘和消毒设备齐全、有效。</w:t>
            </w:r>
          </w:p>
        </w:tc>
        <w:tc>
          <w:tcPr>
            <w:tcW w:w="2520" w:type="dxa"/>
            <w:vAlign w:val="center"/>
          </w:tcPr>
          <w:p w14:paraId="580D5CF1">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发现苍蝇、蟑螂一次减1分、老鼠一次减2分，无防蝇、防鼠、防尘、消毒设备减2分</w:t>
            </w:r>
            <w:r>
              <w:rPr>
                <w:rFonts w:hint="eastAsia" w:ascii="宋体" w:hAnsi="宋体" w:cs="宋体"/>
                <w:color w:val="auto"/>
                <w:kern w:val="0"/>
                <w:sz w:val="24"/>
                <w:szCs w:val="24"/>
                <w:highlight w:val="none"/>
                <w:lang w:eastAsia="zh-CN"/>
              </w:rPr>
              <w:t>。</w:t>
            </w:r>
          </w:p>
        </w:tc>
        <w:tc>
          <w:tcPr>
            <w:tcW w:w="741" w:type="dxa"/>
            <w:vAlign w:val="center"/>
          </w:tcPr>
          <w:p w14:paraId="744D2F3E">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20950BEE">
            <w:pPr>
              <w:spacing w:line="340" w:lineRule="exact"/>
              <w:jc w:val="center"/>
              <w:rPr>
                <w:rFonts w:hint="eastAsia" w:ascii="宋体" w:hAnsi="宋体" w:cs="宋体"/>
                <w:color w:val="auto"/>
                <w:sz w:val="24"/>
                <w:szCs w:val="24"/>
                <w:highlight w:val="none"/>
              </w:rPr>
            </w:pPr>
          </w:p>
        </w:tc>
      </w:tr>
      <w:tr w14:paraId="54C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restart"/>
            <w:vAlign w:val="center"/>
          </w:tcPr>
          <w:p w14:paraId="40272244">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卫生标准质量25分</w:t>
            </w:r>
          </w:p>
        </w:tc>
        <w:tc>
          <w:tcPr>
            <w:tcW w:w="4925" w:type="dxa"/>
            <w:vAlign w:val="center"/>
          </w:tcPr>
          <w:p w14:paraId="518366AE">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原料、半成品、成品的加工、存放及使用容器是否存在交叉污染并有明显的区分标志，生、熟食品分开，食品存放分类分架，无过期、变质食品。</w:t>
            </w:r>
          </w:p>
        </w:tc>
        <w:tc>
          <w:tcPr>
            <w:tcW w:w="2520" w:type="dxa"/>
            <w:vAlign w:val="center"/>
          </w:tcPr>
          <w:p w14:paraId="0203A469">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存在交叉污染并无明显的区分标志减2分，生、熟食品末分开且食品存放没有分类分架减3分</w:t>
            </w:r>
            <w:r>
              <w:rPr>
                <w:rFonts w:hint="eastAsia" w:ascii="宋体" w:hAnsi="宋体" w:cs="宋体"/>
                <w:color w:val="auto"/>
                <w:sz w:val="24"/>
                <w:szCs w:val="24"/>
                <w:highlight w:val="none"/>
                <w:lang w:eastAsia="zh-CN"/>
              </w:rPr>
              <w:t>。</w:t>
            </w:r>
          </w:p>
        </w:tc>
        <w:tc>
          <w:tcPr>
            <w:tcW w:w="741" w:type="dxa"/>
            <w:vAlign w:val="center"/>
          </w:tcPr>
          <w:p w14:paraId="7A9EDA4E">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680" w:type="dxa"/>
            <w:vAlign w:val="center"/>
          </w:tcPr>
          <w:p w14:paraId="2A873C0F">
            <w:pPr>
              <w:spacing w:line="340" w:lineRule="exact"/>
              <w:jc w:val="center"/>
              <w:rPr>
                <w:rFonts w:hint="eastAsia" w:ascii="宋体" w:hAnsi="宋体" w:cs="宋体"/>
                <w:color w:val="auto"/>
                <w:sz w:val="24"/>
                <w:szCs w:val="24"/>
                <w:highlight w:val="none"/>
              </w:rPr>
            </w:pPr>
          </w:p>
        </w:tc>
      </w:tr>
      <w:tr w14:paraId="2F2E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center"/>
          </w:tcPr>
          <w:p w14:paraId="272D758C">
            <w:pPr>
              <w:spacing w:line="340" w:lineRule="exact"/>
              <w:jc w:val="center"/>
              <w:rPr>
                <w:rFonts w:hint="eastAsia" w:ascii="宋体" w:hAnsi="宋体" w:cs="宋体"/>
                <w:b/>
                <w:bCs/>
                <w:color w:val="auto"/>
                <w:sz w:val="24"/>
                <w:szCs w:val="24"/>
                <w:highlight w:val="none"/>
              </w:rPr>
            </w:pPr>
          </w:p>
        </w:tc>
        <w:tc>
          <w:tcPr>
            <w:tcW w:w="4925" w:type="dxa"/>
            <w:vAlign w:val="center"/>
          </w:tcPr>
          <w:p w14:paraId="7DB1C0DD">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工作间卫生清洁，地面干净、无积水、无杂物，操作台、灶台及售饭台卫生整洁。就餐场所地面及桌椅每餐清扫，地面整洁，桌椅洁净无油污。</w:t>
            </w:r>
          </w:p>
        </w:tc>
        <w:tc>
          <w:tcPr>
            <w:tcW w:w="2520" w:type="dxa"/>
            <w:vAlign w:val="center"/>
          </w:tcPr>
          <w:p w14:paraId="1A72FC65">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有一项不清洁减1分。</w:t>
            </w:r>
          </w:p>
        </w:tc>
        <w:tc>
          <w:tcPr>
            <w:tcW w:w="741" w:type="dxa"/>
            <w:vAlign w:val="center"/>
          </w:tcPr>
          <w:p w14:paraId="32B2E510">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80" w:type="dxa"/>
            <w:vAlign w:val="center"/>
          </w:tcPr>
          <w:p w14:paraId="31B476C7">
            <w:pPr>
              <w:spacing w:line="340" w:lineRule="exact"/>
              <w:jc w:val="center"/>
              <w:rPr>
                <w:rFonts w:hint="eastAsia" w:ascii="宋体" w:hAnsi="宋体" w:cs="宋体"/>
                <w:color w:val="auto"/>
                <w:sz w:val="24"/>
                <w:szCs w:val="24"/>
                <w:highlight w:val="none"/>
              </w:rPr>
            </w:pPr>
          </w:p>
        </w:tc>
      </w:tr>
      <w:tr w14:paraId="18F6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continue"/>
            <w:vAlign w:val="center"/>
          </w:tcPr>
          <w:p w14:paraId="66E30CCB">
            <w:pPr>
              <w:spacing w:line="340" w:lineRule="exact"/>
              <w:jc w:val="center"/>
              <w:rPr>
                <w:rFonts w:hint="eastAsia" w:ascii="宋体" w:hAnsi="宋体" w:cs="宋体"/>
                <w:b/>
                <w:bCs/>
                <w:color w:val="auto"/>
                <w:sz w:val="24"/>
                <w:szCs w:val="24"/>
                <w:highlight w:val="none"/>
              </w:rPr>
            </w:pPr>
          </w:p>
        </w:tc>
        <w:tc>
          <w:tcPr>
            <w:tcW w:w="4925" w:type="dxa"/>
            <w:vAlign w:val="center"/>
          </w:tcPr>
          <w:p w14:paraId="207E7403">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炊具餐具、菜具、熟食容器定期消毒并保持清洁，做到“一洗二清三消毒四隔离”。</w:t>
            </w:r>
          </w:p>
        </w:tc>
        <w:tc>
          <w:tcPr>
            <w:tcW w:w="2520" w:type="dxa"/>
            <w:vAlign w:val="center"/>
          </w:tcPr>
          <w:p w14:paraId="3478C64B">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无消毒作业减2分，不定期减2分。</w:t>
            </w:r>
          </w:p>
        </w:tc>
        <w:tc>
          <w:tcPr>
            <w:tcW w:w="741" w:type="dxa"/>
            <w:vAlign w:val="center"/>
          </w:tcPr>
          <w:p w14:paraId="46C6B055">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680" w:type="dxa"/>
            <w:vAlign w:val="center"/>
          </w:tcPr>
          <w:p w14:paraId="6C6EAB1B">
            <w:pPr>
              <w:spacing w:line="340" w:lineRule="exact"/>
              <w:jc w:val="center"/>
              <w:rPr>
                <w:rFonts w:hint="eastAsia" w:ascii="宋体" w:hAnsi="宋体" w:cs="宋体"/>
                <w:color w:val="auto"/>
                <w:sz w:val="24"/>
                <w:szCs w:val="24"/>
                <w:highlight w:val="none"/>
              </w:rPr>
            </w:pPr>
          </w:p>
        </w:tc>
      </w:tr>
      <w:tr w14:paraId="758F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dxa"/>
            <w:vMerge w:val="restart"/>
            <w:vAlign w:val="center"/>
          </w:tcPr>
          <w:p w14:paraId="070B6835">
            <w:pPr>
              <w:spacing w:line="3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食堂管理5分</w:t>
            </w:r>
          </w:p>
        </w:tc>
        <w:tc>
          <w:tcPr>
            <w:tcW w:w="4925" w:type="dxa"/>
            <w:vAlign w:val="center"/>
          </w:tcPr>
          <w:p w14:paraId="5D8D4600">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食堂应建立严格的安全保卫规定，严禁非食堂人员随意进入食堂的食品加工操作间及原料仓库。</w:t>
            </w:r>
          </w:p>
        </w:tc>
        <w:tc>
          <w:tcPr>
            <w:tcW w:w="2520" w:type="dxa"/>
            <w:vAlign w:val="center"/>
          </w:tcPr>
          <w:p w14:paraId="698060D4">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不按食品安全工作规定执行减2分。发现非食堂人员随意进入食堂一次减1分</w:t>
            </w:r>
            <w:r>
              <w:rPr>
                <w:rFonts w:hint="eastAsia" w:ascii="宋体" w:hAnsi="宋体" w:cs="宋体"/>
                <w:color w:val="auto"/>
                <w:sz w:val="24"/>
                <w:szCs w:val="24"/>
                <w:highlight w:val="none"/>
                <w:lang w:eastAsia="zh-CN"/>
              </w:rPr>
              <w:t>。</w:t>
            </w:r>
          </w:p>
        </w:tc>
        <w:tc>
          <w:tcPr>
            <w:tcW w:w="741" w:type="dxa"/>
            <w:vAlign w:val="center"/>
          </w:tcPr>
          <w:p w14:paraId="57B2DAC8">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680" w:type="dxa"/>
            <w:vAlign w:val="center"/>
          </w:tcPr>
          <w:p w14:paraId="5FF0A5D5">
            <w:pPr>
              <w:spacing w:line="340" w:lineRule="exact"/>
              <w:jc w:val="center"/>
              <w:rPr>
                <w:rFonts w:hint="eastAsia" w:ascii="宋体" w:hAnsi="宋体" w:cs="宋体"/>
                <w:color w:val="auto"/>
                <w:sz w:val="24"/>
                <w:szCs w:val="24"/>
                <w:highlight w:val="none"/>
              </w:rPr>
            </w:pPr>
          </w:p>
        </w:tc>
      </w:tr>
      <w:tr w14:paraId="751B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20" w:type="dxa"/>
            <w:vMerge w:val="continue"/>
            <w:vAlign w:val="top"/>
          </w:tcPr>
          <w:p w14:paraId="5ABFF530">
            <w:pPr>
              <w:spacing w:line="340" w:lineRule="exact"/>
              <w:rPr>
                <w:rFonts w:hint="eastAsia" w:ascii="宋体" w:hAnsi="宋体" w:cs="宋体"/>
                <w:color w:val="auto"/>
                <w:sz w:val="24"/>
                <w:szCs w:val="24"/>
                <w:highlight w:val="none"/>
              </w:rPr>
            </w:pPr>
          </w:p>
        </w:tc>
        <w:tc>
          <w:tcPr>
            <w:tcW w:w="4925" w:type="dxa"/>
            <w:vAlign w:val="center"/>
          </w:tcPr>
          <w:p w14:paraId="4DFAC563">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对外聘炊事人员及其社会关系进行严格审核，对所聘炊事人员进行实名登记管理，并对所聘炊事人员在业务及工作态度等方面进行管理。</w:t>
            </w:r>
          </w:p>
        </w:tc>
        <w:tc>
          <w:tcPr>
            <w:tcW w:w="2520" w:type="dxa"/>
            <w:vAlign w:val="center"/>
          </w:tcPr>
          <w:p w14:paraId="089D423D">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对所聘炊事人员无审核及末登记管理减1分，对所聘炊事人员管理不力减1分</w:t>
            </w:r>
            <w:r>
              <w:rPr>
                <w:rFonts w:hint="eastAsia" w:ascii="宋体" w:hAnsi="宋体" w:cs="宋体"/>
                <w:color w:val="auto"/>
                <w:sz w:val="24"/>
                <w:szCs w:val="24"/>
                <w:highlight w:val="none"/>
                <w:lang w:eastAsia="zh-CN"/>
              </w:rPr>
              <w:t>。</w:t>
            </w:r>
          </w:p>
        </w:tc>
        <w:tc>
          <w:tcPr>
            <w:tcW w:w="741" w:type="dxa"/>
            <w:vAlign w:val="center"/>
          </w:tcPr>
          <w:p w14:paraId="0913EEF7">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p>
        </w:tc>
        <w:tc>
          <w:tcPr>
            <w:tcW w:w="680" w:type="dxa"/>
            <w:vAlign w:val="center"/>
          </w:tcPr>
          <w:p w14:paraId="6D17C16C">
            <w:pPr>
              <w:spacing w:line="340" w:lineRule="exact"/>
              <w:jc w:val="center"/>
              <w:rPr>
                <w:rFonts w:hint="eastAsia" w:ascii="宋体" w:hAnsi="宋体" w:cs="宋体"/>
                <w:color w:val="auto"/>
                <w:sz w:val="24"/>
                <w:szCs w:val="24"/>
                <w:highlight w:val="none"/>
              </w:rPr>
            </w:pPr>
          </w:p>
        </w:tc>
      </w:tr>
      <w:tr w14:paraId="45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20" w:type="dxa"/>
            <w:vMerge w:val="continue"/>
            <w:vAlign w:val="top"/>
          </w:tcPr>
          <w:p w14:paraId="7D27926B">
            <w:pPr>
              <w:spacing w:line="340" w:lineRule="exact"/>
              <w:rPr>
                <w:rFonts w:hint="eastAsia" w:ascii="宋体" w:hAnsi="宋体" w:cs="宋体"/>
                <w:color w:val="auto"/>
                <w:sz w:val="24"/>
                <w:szCs w:val="24"/>
                <w:highlight w:val="none"/>
              </w:rPr>
            </w:pPr>
          </w:p>
        </w:tc>
        <w:tc>
          <w:tcPr>
            <w:tcW w:w="4925" w:type="dxa"/>
            <w:vAlign w:val="center"/>
          </w:tcPr>
          <w:p w14:paraId="496D63D8">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设备设施安全：做好厨房环境管理、冰库、冰箱、燃气管道管理等设备。餐饮设备日常运行及定期维修保养记录。</w:t>
            </w:r>
          </w:p>
        </w:tc>
        <w:tc>
          <w:tcPr>
            <w:tcW w:w="2520" w:type="dxa"/>
            <w:vAlign w:val="center"/>
          </w:tcPr>
          <w:p w14:paraId="4A1B6C39">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未按设备维护保养要求，每次扣1分</w:t>
            </w:r>
          </w:p>
        </w:tc>
        <w:tc>
          <w:tcPr>
            <w:tcW w:w="741" w:type="dxa"/>
            <w:vAlign w:val="center"/>
          </w:tcPr>
          <w:p w14:paraId="4DBAF05B">
            <w:pPr>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80" w:type="dxa"/>
            <w:vAlign w:val="center"/>
          </w:tcPr>
          <w:p w14:paraId="7E1D8C44">
            <w:pPr>
              <w:spacing w:line="340" w:lineRule="exact"/>
              <w:jc w:val="center"/>
              <w:rPr>
                <w:rFonts w:hint="eastAsia" w:ascii="宋体" w:hAnsi="宋体" w:cs="宋体"/>
                <w:color w:val="auto"/>
                <w:sz w:val="24"/>
                <w:szCs w:val="24"/>
                <w:highlight w:val="none"/>
              </w:rPr>
            </w:pPr>
          </w:p>
        </w:tc>
      </w:tr>
      <w:tr w14:paraId="2DC6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565" w:type="dxa"/>
            <w:gridSpan w:val="3"/>
            <w:vAlign w:val="top"/>
          </w:tcPr>
          <w:p w14:paraId="501995CC">
            <w:pPr>
              <w:spacing w:line="400" w:lineRule="atLeast"/>
              <w:rPr>
                <w:rFonts w:hint="eastAsia" w:ascii="宋体" w:hAnsi="宋体" w:cs="宋体"/>
                <w:b/>
                <w:color w:val="auto"/>
                <w:sz w:val="24"/>
                <w:szCs w:val="24"/>
                <w:highlight w:val="none"/>
              </w:rPr>
            </w:pPr>
            <w:r>
              <w:rPr>
                <w:rFonts w:hint="eastAsia" w:ascii="宋体" w:hAnsi="宋体" w:cs="宋体"/>
                <w:b/>
                <w:color w:val="auto"/>
                <w:sz w:val="24"/>
                <w:szCs w:val="24"/>
                <w:highlight w:val="none"/>
              </w:rPr>
              <w:t>监管部门工作人员签名：</w:t>
            </w:r>
          </w:p>
        </w:tc>
        <w:tc>
          <w:tcPr>
            <w:tcW w:w="741" w:type="dxa"/>
            <w:vAlign w:val="center"/>
          </w:tcPr>
          <w:p w14:paraId="40441128">
            <w:pPr>
              <w:spacing w:line="40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总分</w:t>
            </w:r>
          </w:p>
        </w:tc>
        <w:tc>
          <w:tcPr>
            <w:tcW w:w="680" w:type="dxa"/>
            <w:vAlign w:val="center"/>
          </w:tcPr>
          <w:p w14:paraId="085F2F22">
            <w:pPr>
              <w:spacing w:line="400" w:lineRule="atLeast"/>
              <w:jc w:val="center"/>
              <w:rPr>
                <w:rFonts w:hint="eastAsia" w:ascii="宋体" w:hAnsi="宋体" w:cs="宋体"/>
                <w:color w:val="auto"/>
                <w:sz w:val="24"/>
                <w:szCs w:val="24"/>
                <w:highlight w:val="none"/>
              </w:rPr>
            </w:pPr>
          </w:p>
        </w:tc>
      </w:tr>
      <w:tr w14:paraId="1FAB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986" w:type="dxa"/>
            <w:gridSpan w:val="5"/>
            <w:vAlign w:val="top"/>
          </w:tcPr>
          <w:p w14:paraId="2B909DEB">
            <w:pPr>
              <w:spacing w:line="5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监管部门负责人签名：</w:t>
            </w:r>
          </w:p>
          <w:p w14:paraId="2B9E442B">
            <w:pPr>
              <w:spacing w:line="500" w:lineRule="exac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年    月    日</w:t>
            </w:r>
          </w:p>
        </w:tc>
      </w:tr>
    </w:tbl>
    <w:p w14:paraId="33D14F05">
      <w:pPr>
        <w:pStyle w:val="53"/>
        <w:numPr>
          <w:ilvl w:val="0"/>
          <w:numId w:val="11"/>
        </w:numPr>
        <w:ind w:leftChars="-100" w:hanging="200" w:hangingChars="83"/>
        <w:rPr>
          <w:rFonts w:hint="eastAsia" w:ascii="宋体" w:hAnsi="Times New Roman" w:eastAsia="宋体" w:cs="宋体"/>
          <w:b w:val="0"/>
          <w:color w:val="auto"/>
          <w:sz w:val="24"/>
          <w:szCs w:val="24"/>
          <w:highlight w:val="none"/>
        </w:rPr>
      </w:pPr>
      <w:r>
        <w:rPr>
          <w:rFonts w:hint="eastAsia" w:ascii="宋体" w:hAnsi="Times New Roman" w:eastAsia="宋体" w:cs="宋体"/>
          <w:b/>
          <w:bCs/>
          <w:color w:val="auto"/>
          <w:sz w:val="24"/>
          <w:szCs w:val="24"/>
          <w:highlight w:val="none"/>
        </w:rPr>
        <w:t>处罚办法</w:t>
      </w:r>
    </w:p>
    <w:p w14:paraId="52E4F2C8">
      <w:pPr>
        <w:pStyle w:val="30"/>
        <w:numPr>
          <w:ilvl w:val="0"/>
          <w:numId w:val="0"/>
        </w:numPr>
        <w:autoSpaceDE/>
        <w:autoSpaceDN/>
        <w:ind w:left="0" w:firstLine="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对食堂每</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检查、统计一次。满分为100分，60分为及格分。在考核中，医院将根据检查结果，90分或以上不罚款，以90分为基准，89－80分每扣1分罚款100元，79－70分每扣1分罚款200元，69－60分每扣1分罚款300元，60分以下直接扣罚1万元。</w:t>
      </w:r>
    </w:p>
    <w:p w14:paraId="57E940DB">
      <w:pPr>
        <w:pStyle w:val="30"/>
        <w:numPr>
          <w:ilvl w:val="0"/>
          <w:numId w:val="0"/>
        </w:numPr>
        <w:autoSpaceDE/>
        <w:autoSpaceDN/>
        <w:ind w:left="0" w:firstLine="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如连续二个</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考核60分以下医院将提出限期整改；如连续三个</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考核60分以下，解除或终止</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"http://www.canyin168.com/kaicanting/chufangchengbao/" \o "承包协议"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承包协议</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72542FA8">
      <w:pPr>
        <w:pStyle w:val="30"/>
        <w:numPr>
          <w:ilvl w:val="0"/>
          <w:numId w:val="0"/>
        </w:numPr>
        <w:autoSpaceDE/>
        <w:autoSpaceDN/>
        <w:ind w:left="0" w:firstLine="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highlight w:val="none"/>
        </w:rPr>
        <w:t>在日常监督检查中，如发现有违反卫生管理规定及考核办法的行为，情节较轻的，限期整改，情节较重的，有以下情形的，实行一票否决制。</w:t>
      </w:r>
    </w:p>
    <w:p w14:paraId="280F1C91">
      <w:pPr>
        <w:pStyle w:val="30"/>
        <w:numPr>
          <w:ilvl w:val="0"/>
          <w:numId w:val="20"/>
        </w:numPr>
        <w:ind w:left="825" w:leftChars="20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发生轻微食物中毒（五人以下），认定为当</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考核不合格。</w:t>
      </w:r>
    </w:p>
    <w:p w14:paraId="7D7BE1F5">
      <w:pPr>
        <w:pStyle w:val="30"/>
        <w:numPr>
          <w:ilvl w:val="0"/>
          <w:numId w:val="20"/>
        </w:numPr>
        <w:ind w:left="825" w:leftChars="20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发生严重食物中毒或食源性疾病的，除按《食品卫生法》规定进行处罚外，解除或终止承包协议。</w:t>
      </w:r>
    </w:p>
    <w:p w14:paraId="530F6EEB">
      <w:pPr>
        <w:pStyle w:val="30"/>
        <w:numPr>
          <w:ilvl w:val="0"/>
          <w:numId w:val="20"/>
        </w:numPr>
        <w:ind w:left="825" w:leftChars="20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满意度调查不满意率大于30%的，认定为当</w:t>
      </w:r>
      <w:r>
        <w:rPr>
          <w:rFonts w:hint="eastAsia" w:ascii="宋体" w:hAnsi="宋体" w:cs="宋体"/>
          <w:color w:val="auto"/>
          <w:sz w:val="24"/>
          <w:szCs w:val="24"/>
          <w:highlight w:val="none"/>
          <w:lang w:val="en-US" w:eastAsia="zh-CN"/>
        </w:rPr>
        <w:t>月</w:t>
      </w:r>
      <w:r>
        <w:rPr>
          <w:rFonts w:hint="eastAsia" w:ascii="宋体" w:hAnsi="宋体" w:eastAsia="宋体" w:cs="宋体"/>
          <w:color w:val="auto"/>
          <w:sz w:val="24"/>
          <w:szCs w:val="24"/>
          <w:highlight w:val="none"/>
        </w:rPr>
        <w:t>考核不合格。</w:t>
      </w:r>
    </w:p>
    <w:p w14:paraId="5CBF2D8E">
      <w:pPr>
        <w:pStyle w:val="53"/>
        <w:numPr>
          <w:ilvl w:val="0"/>
          <w:numId w:val="11"/>
        </w:numPr>
        <w:ind w:leftChars="-100" w:hanging="200" w:hangingChars="83"/>
        <w:rPr>
          <w:rFonts w:hint="eastAsia" w:ascii="宋体" w:hAnsi="Times New Roman" w:eastAsia="宋体" w:cs="宋体"/>
          <w:b/>
          <w:bCs/>
          <w:color w:val="auto"/>
          <w:sz w:val="24"/>
          <w:szCs w:val="24"/>
          <w:highlight w:val="none"/>
        </w:rPr>
      </w:pPr>
      <w:r>
        <w:rPr>
          <w:rFonts w:hint="eastAsia" w:ascii="宋体" w:hAnsi="Times New Roman" w:cs="宋体"/>
          <w:b/>
          <w:bCs/>
          <w:color w:val="auto"/>
          <w:sz w:val="24"/>
          <w:szCs w:val="24"/>
          <w:highlight w:val="none"/>
        </w:rPr>
        <w:t>现场踏勘说明</w:t>
      </w:r>
    </w:p>
    <w:p w14:paraId="7E38FD86">
      <w:pPr>
        <w:pStyle w:val="30"/>
        <w:numPr>
          <w:ilvl w:val="0"/>
          <w:numId w:val="0"/>
        </w:numPr>
        <w:ind w:left="0" w:firstLine="0"/>
        <w:rPr>
          <w:rFonts w:hint="eastAsia" w:ascii="宋体" w:hAnsi="宋体" w:cs="宋体"/>
          <w:bCs w:val="0"/>
          <w:color w:val="auto"/>
          <w:sz w:val="24"/>
          <w:szCs w:val="24"/>
          <w:highlight w:val="none"/>
        </w:rPr>
      </w:pPr>
      <w:r>
        <w:rPr>
          <w:rFonts w:hint="default" w:ascii="宋体" w:hAnsi="宋体" w:eastAsia="宋体" w:cs="宋体"/>
          <w:bCs w:val="0"/>
          <w:color w:val="auto"/>
          <w:sz w:val="24"/>
          <w:szCs w:val="24"/>
          <w:lang w:val="en-US" w:eastAsia="zh-CN" w:bidi="ar-SA"/>
        </w:rPr>
        <w:t>1.</w:t>
      </w:r>
      <w:r>
        <w:rPr>
          <w:rFonts w:hint="eastAsia" w:ascii="宋体" w:hAnsi="宋体" w:cs="宋体"/>
          <w:bCs w:val="0"/>
          <w:color w:val="auto"/>
          <w:sz w:val="24"/>
          <w:szCs w:val="24"/>
          <w:highlight w:val="none"/>
        </w:rPr>
        <w:t>本项目不组织集中现场踏勘，如投标人认为有必要进行现场踏勘，请于招标公告发布之日起7个日历天内进行现场踏勘（上午</w:t>
      </w:r>
      <w:r>
        <w:rPr>
          <w:rFonts w:hint="eastAsia" w:ascii="宋体" w:hAnsi="宋体" w:cs="宋体"/>
          <w:bCs w:val="0"/>
          <w:color w:val="auto"/>
          <w:sz w:val="24"/>
          <w:szCs w:val="24"/>
          <w:highlight w:val="none"/>
          <w:lang w:val="en-US" w:eastAsia="zh-CN"/>
        </w:rPr>
        <w:t>7：30至10：00</w:t>
      </w:r>
      <w:r>
        <w:rPr>
          <w:rFonts w:hint="eastAsia" w:ascii="宋体" w:hAnsi="宋体" w:cs="宋体"/>
          <w:bCs w:val="0"/>
          <w:color w:val="auto"/>
          <w:sz w:val="24"/>
          <w:szCs w:val="24"/>
          <w:highlight w:val="none"/>
        </w:rPr>
        <w:t>、下午</w:t>
      </w:r>
      <w:r>
        <w:rPr>
          <w:rFonts w:hint="eastAsia" w:ascii="宋体" w:hAnsi="宋体" w:cs="宋体"/>
          <w:bCs w:val="0"/>
          <w:color w:val="auto"/>
          <w:sz w:val="24"/>
          <w:szCs w:val="24"/>
          <w:highlight w:val="none"/>
          <w:lang w:val="en-US" w:eastAsia="zh-CN"/>
        </w:rPr>
        <w:t>16：30</w:t>
      </w:r>
      <w:r>
        <w:rPr>
          <w:rFonts w:hint="eastAsia" w:ascii="宋体" w:hAnsi="宋体" w:cs="宋体"/>
          <w:bCs w:val="0"/>
          <w:color w:val="auto"/>
          <w:sz w:val="24"/>
          <w:szCs w:val="24"/>
          <w:highlight w:val="none"/>
        </w:rPr>
        <w:t>至</w:t>
      </w:r>
      <w:r>
        <w:rPr>
          <w:rFonts w:hint="eastAsia" w:ascii="宋体" w:hAnsi="宋体" w:cs="宋体"/>
          <w:bCs w:val="0"/>
          <w:color w:val="auto"/>
          <w:sz w:val="24"/>
          <w:szCs w:val="24"/>
          <w:highlight w:val="none"/>
          <w:lang w:val="en-US" w:eastAsia="zh-CN"/>
        </w:rPr>
        <w:t>18：30</w:t>
      </w:r>
      <w:r>
        <w:rPr>
          <w:rFonts w:hint="eastAsia" w:ascii="宋体" w:hAnsi="宋体" w:cs="宋体"/>
          <w:bCs w:val="0"/>
          <w:color w:val="auto"/>
          <w:sz w:val="24"/>
          <w:szCs w:val="24"/>
          <w:highlight w:val="none"/>
        </w:rPr>
        <w:t>）自行前往</w:t>
      </w:r>
      <w:r>
        <w:rPr>
          <w:rFonts w:hint="eastAsia" w:ascii="宋体" w:hAnsi="宋体" w:cs="宋体"/>
          <w:bCs w:val="0"/>
          <w:color w:val="auto"/>
          <w:sz w:val="24"/>
          <w:szCs w:val="24"/>
          <w:highlight w:val="none"/>
          <w:lang w:val="en-US" w:eastAsia="zh-CN"/>
        </w:rPr>
        <w:t>医院的</w:t>
      </w:r>
      <w:r>
        <w:rPr>
          <w:rFonts w:hint="eastAsia" w:ascii="宋体" w:hAnsi="宋体" w:cs="宋体"/>
          <w:bCs w:val="0"/>
          <w:color w:val="auto"/>
          <w:sz w:val="24"/>
          <w:szCs w:val="24"/>
          <w:highlight w:val="none"/>
        </w:rPr>
        <w:t>食堂进行现场踏勘，由此而产生的风险和费用由投标人自行承担。（超过约定时间的将不能进场）</w:t>
      </w:r>
    </w:p>
    <w:p w14:paraId="305909BF">
      <w:pPr>
        <w:pStyle w:val="30"/>
        <w:numPr>
          <w:ilvl w:val="0"/>
          <w:numId w:val="0"/>
        </w:numPr>
        <w:ind w:left="0" w:firstLine="0"/>
        <w:rPr>
          <w:rFonts w:hint="eastAsia" w:ascii="宋体" w:hAnsi="宋体" w:eastAsia="宋体" w:cs="宋体"/>
          <w:bCs w:val="0"/>
          <w:color w:val="auto"/>
          <w:sz w:val="24"/>
          <w:szCs w:val="24"/>
          <w:highlight w:val="none"/>
          <w:lang w:val="en-US" w:eastAsia="zh-CN"/>
        </w:rPr>
      </w:pPr>
      <w:r>
        <w:rPr>
          <w:rFonts w:hint="default" w:ascii="宋体" w:hAnsi="宋体" w:eastAsia="宋体" w:cs="宋体"/>
          <w:bCs w:val="0"/>
          <w:color w:val="auto"/>
          <w:sz w:val="24"/>
          <w:szCs w:val="24"/>
          <w:lang w:val="en-US" w:eastAsia="zh-CN" w:bidi="ar-SA"/>
        </w:rPr>
        <w:t>2.</w:t>
      </w:r>
      <w:r>
        <w:rPr>
          <w:rFonts w:hint="eastAsia" w:ascii="宋体" w:hAnsi="宋体" w:cs="宋体"/>
          <w:bCs w:val="0"/>
          <w:color w:val="auto"/>
          <w:sz w:val="24"/>
          <w:szCs w:val="24"/>
          <w:highlight w:val="none"/>
        </w:rPr>
        <w:t>联系人：</w:t>
      </w:r>
      <w:r>
        <w:rPr>
          <w:rFonts w:hint="eastAsia" w:ascii="宋体" w:hAnsi="宋体"/>
          <w:color w:val="auto"/>
          <w:sz w:val="24"/>
          <w:szCs w:val="24"/>
          <w:lang w:val="en-US" w:eastAsia="zh-CN"/>
        </w:rPr>
        <w:t>林</w:t>
      </w:r>
      <w:r>
        <w:rPr>
          <w:rFonts w:hint="eastAsia" w:ascii="宋体" w:hAnsi="宋体"/>
          <w:color w:val="auto"/>
          <w:sz w:val="24"/>
          <w:szCs w:val="24"/>
        </w:rPr>
        <w:t>先生</w:t>
      </w:r>
    </w:p>
    <w:p w14:paraId="6332AD49">
      <w:pPr>
        <w:pStyle w:val="30"/>
        <w:numPr>
          <w:ilvl w:val="0"/>
          <w:numId w:val="0"/>
        </w:numPr>
        <w:ind w:left="0" w:firstLine="0"/>
        <w:rPr>
          <w:rFonts w:hint="eastAsia" w:ascii="宋体" w:hAnsi="宋体" w:eastAsia="宋体" w:cs="宋体"/>
          <w:bCs w:val="0"/>
          <w:color w:val="auto"/>
          <w:sz w:val="24"/>
          <w:szCs w:val="24"/>
          <w:highlight w:val="none"/>
          <w:lang w:val="en-US" w:eastAsia="zh-CN"/>
        </w:rPr>
      </w:pPr>
      <w:r>
        <w:rPr>
          <w:rFonts w:hint="default" w:ascii="宋体" w:hAnsi="宋体" w:eastAsia="宋体" w:cs="宋体"/>
          <w:bCs w:val="0"/>
          <w:color w:val="auto"/>
          <w:sz w:val="24"/>
          <w:szCs w:val="24"/>
          <w:lang w:val="en-US" w:eastAsia="zh-CN" w:bidi="ar-SA"/>
        </w:rPr>
        <w:t>3.</w:t>
      </w:r>
      <w:r>
        <w:rPr>
          <w:rFonts w:hint="eastAsia" w:ascii="宋体" w:hAnsi="宋体" w:cs="宋体"/>
          <w:bCs w:val="0"/>
          <w:color w:val="auto"/>
          <w:sz w:val="24"/>
          <w:szCs w:val="24"/>
          <w:highlight w:val="none"/>
        </w:rPr>
        <w:t>联系方式：</w:t>
      </w:r>
      <w:r>
        <w:rPr>
          <w:rFonts w:hint="eastAsia" w:ascii="宋体" w:hAnsi="宋体"/>
          <w:bCs/>
          <w:color w:val="000000"/>
          <w:sz w:val="24"/>
          <w:szCs w:val="24"/>
          <w:lang w:val="en-US" w:eastAsia="zh-CN"/>
        </w:rPr>
        <w:t>0751-3871903</w:t>
      </w:r>
    </w:p>
    <w:p w14:paraId="2C5ED79D">
      <w:pPr>
        <w:pStyle w:val="53"/>
        <w:numPr>
          <w:ilvl w:val="-1"/>
          <w:numId w:val="0"/>
        </w:numPr>
        <w:ind w:leftChars="0" w:firstLine="0" w:firstLineChars="0"/>
        <w:rPr>
          <w:rFonts w:hint="eastAsia" w:ascii="宋体" w:hAnsi="Times New Roman" w:eastAsia="宋体" w:cs="宋体"/>
          <w:b/>
          <w:bCs/>
          <w:color w:val="auto"/>
          <w:sz w:val="24"/>
          <w:szCs w:val="24"/>
          <w:highlight w:val="none"/>
        </w:rPr>
      </w:pPr>
    </w:p>
    <w:p w14:paraId="41250A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7"/>
    <w:bookmarkEnd w:id="8"/>
    <w:bookmarkEnd w:id="9"/>
    <w:bookmarkEnd w:id="10"/>
    <w:bookmarkEnd w:id="11"/>
    <w:bookmarkEnd w:id="12"/>
    <w:p w14:paraId="41E59AA7">
      <w:pPr>
        <w:snapToGrid w:val="0"/>
        <w:spacing w:line="360" w:lineRule="auto"/>
        <w:jc w:val="center"/>
        <w:outlineLvl w:val="0"/>
        <w:rPr>
          <w:b/>
          <w:bCs/>
          <w:sz w:val="30"/>
          <w:szCs w:val="30"/>
        </w:rPr>
      </w:pPr>
      <w:bookmarkStart w:id="13" w:name="_Toc30005"/>
      <w:bookmarkStart w:id="14" w:name="_Toc30390"/>
      <w:bookmarkStart w:id="15" w:name="_Toc27934"/>
      <w:bookmarkStart w:id="16" w:name="_Toc385"/>
      <w:bookmarkStart w:id="17" w:name="_Toc11424"/>
      <w:bookmarkStart w:id="18" w:name="_Toc6150"/>
      <w:r>
        <w:rPr>
          <w:rStyle w:val="31"/>
          <w:rFonts w:hint="eastAsia"/>
          <w:sz w:val="28"/>
          <w:szCs w:val="13"/>
        </w:rPr>
        <w:t>第三章  评分体系与标准</w:t>
      </w:r>
      <w:bookmarkEnd w:id="13"/>
      <w:bookmarkEnd w:id="14"/>
      <w:bookmarkEnd w:id="15"/>
      <w:bookmarkEnd w:id="16"/>
      <w:bookmarkEnd w:id="17"/>
      <w:bookmarkEnd w:id="18"/>
    </w:p>
    <w:p w14:paraId="3EA7450D">
      <w:pPr>
        <w:numPr>
          <w:ilvl w:val="0"/>
          <w:numId w:val="21"/>
        </w:numPr>
        <w:tabs>
          <w:tab w:val="left" w:pos="420"/>
          <w:tab w:val="left" w:pos="630"/>
        </w:tabs>
        <w:spacing w:line="360" w:lineRule="auto"/>
        <w:jc w:val="both"/>
        <w:rPr>
          <w:rFonts w:ascii="宋体" w:cs="宋体"/>
          <w:color w:val="000000"/>
          <w:sz w:val="24"/>
          <w:szCs w:val="24"/>
        </w:rPr>
      </w:pPr>
      <w:r>
        <w:rPr>
          <w:rFonts w:hint="eastAsia" w:ascii="宋体" w:cs="宋体"/>
          <w:color w:val="000000"/>
          <w:sz w:val="24"/>
          <w:szCs w:val="24"/>
        </w:rPr>
        <w:t>本评标办法采用综合评分法。</w:t>
      </w:r>
    </w:p>
    <w:p w14:paraId="4D02241F">
      <w:pPr>
        <w:numPr>
          <w:ilvl w:val="0"/>
          <w:numId w:val="21"/>
        </w:numPr>
        <w:tabs>
          <w:tab w:val="left" w:pos="420"/>
          <w:tab w:val="left" w:pos="630"/>
        </w:tabs>
        <w:spacing w:line="360" w:lineRule="auto"/>
        <w:jc w:val="both"/>
        <w:rPr>
          <w:rFonts w:ascii="宋体" w:cs="宋体"/>
          <w:color w:val="000000"/>
          <w:sz w:val="24"/>
          <w:szCs w:val="24"/>
        </w:rPr>
      </w:pPr>
      <w:r>
        <w:rPr>
          <w:rFonts w:hint="eastAsia" w:ascii="宋体" w:cs="宋体"/>
          <w:color w:val="000000"/>
          <w:sz w:val="24"/>
          <w:szCs w:val="24"/>
        </w:rPr>
        <w:t>评标步骤：评标委员会先进行投标文件初审，</w:t>
      </w:r>
      <w:r>
        <w:rPr>
          <w:rFonts w:hint="eastAsia" w:ascii="宋体" w:hAnsi="宋体" w:cs="宋体"/>
          <w:color w:val="000000"/>
          <w:sz w:val="24"/>
          <w:szCs w:val="24"/>
        </w:rPr>
        <w:t>具体条款见《资格、符合性评审表》。</w:t>
      </w:r>
      <w:r>
        <w:rPr>
          <w:rFonts w:hint="eastAsia" w:ascii="宋体" w:cs="宋体"/>
          <w:color w:val="000000"/>
          <w:sz w:val="24"/>
          <w:szCs w:val="24"/>
        </w:rPr>
        <w:t>对通过初审的投标文件进行技术、商务及价格的详细评审最后评标委员会出具评标报告。</w:t>
      </w:r>
    </w:p>
    <w:p w14:paraId="663091C0">
      <w:pPr>
        <w:numPr>
          <w:ilvl w:val="0"/>
          <w:numId w:val="21"/>
        </w:numPr>
        <w:tabs>
          <w:tab w:val="left" w:pos="420"/>
          <w:tab w:val="left" w:pos="630"/>
        </w:tabs>
        <w:spacing w:line="360" w:lineRule="auto"/>
        <w:jc w:val="both"/>
        <w:rPr>
          <w:rFonts w:ascii="宋体" w:cs="宋体"/>
          <w:color w:val="000000"/>
          <w:sz w:val="24"/>
          <w:szCs w:val="24"/>
        </w:rPr>
      </w:pPr>
      <w:r>
        <w:rPr>
          <w:rFonts w:hint="eastAsia" w:ascii="宋体" w:cs="宋体"/>
          <w:color w:val="000000"/>
          <w:sz w:val="24"/>
          <w:szCs w:val="24"/>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14:paraId="70546071">
      <w:pPr>
        <w:numPr>
          <w:ilvl w:val="0"/>
          <w:numId w:val="21"/>
        </w:numPr>
        <w:tabs>
          <w:tab w:val="left" w:pos="420"/>
          <w:tab w:val="left" w:pos="630"/>
        </w:tabs>
        <w:spacing w:line="360" w:lineRule="auto"/>
        <w:jc w:val="both"/>
        <w:rPr>
          <w:rFonts w:ascii="宋体" w:cs="宋体"/>
          <w:color w:val="000000"/>
          <w:sz w:val="24"/>
          <w:szCs w:val="24"/>
        </w:rPr>
      </w:pPr>
      <w:r>
        <w:rPr>
          <w:rFonts w:hint="eastAsia" w:ascii="宋体" w:cs="宋体"/>
          <w:color w:val="000000"/>
          <w:sz w:val="24"/>
          <w:szCs w:val="24"/>
        </w:rPr>
        <w:t>招标文件要求提交的与评价指标体系相关的各类有效资料，投标人如未按要求提交的，该项评分为零分。</w:t>
      </w:r>
    </w:p>
    <w:p w14:paraId="7004CC41">
      <w:pPr>
        <w:numPr>
          <w:ilvl w:val="0"/>
          <w:numId w:val="21"/>
        </w:numPr>
        <w:tabs>
          <w:tab w:val="left" w:pos="420"/>
          <w:tab w:val="left" w:pos="630"/>
        </w:tabs>
        <w:spacing w:line="360" w:lineRule="auto"/>
        <w:jc w:val="both"/>
        <w:rPr>
          <w:rFonts w:ascii="宋体" w:cs="宋体"/>
          <w:color w:val="000000"/>
          <w:sz w:val="24"/>
          <w:szCs w:val="24"/>
        </w:rPr>
      </w:pPr>
      <w:r>
        <w:rPr>
          <w:rFonts w:hint="eastAsia" w:ascii="宋体" w:cs="宋体"/>
          <w:color w:val="000000"/>
          <w:sz w:val="24"/>
          <w:szCs w:val="24"/>
        </w:rPr>
        <w:t>技术商务评分：所有评委评分分值的算术平均值（四舍五入后，小数点后保留两位有效数）。</w:t>
      </w:r>
    </w:p>
    <w:p w14:paraId="6A879B4C">
      <w:pPr>
        <w:numPr>
          <w:ilvl w:val="0"/>
          <w:numId w:val="22"/>
        </w:numPr>
        <w:tabs>
          <w:tab w:val="left" w:pos="630"/>
        </w:tabs>
        <w:spacing w:line="360" w:lineRule="auto"/>
        <w:ind w:hanging="225"/>
        <w:jc w:val="both"/>
        <w:rPr>
          <w:rFonts w:ascii="宋体" w:hAnsi="宋体" w:cs="宋体"/>
          <w:b/>
          <w:color w:val="000000"/>
          <w:sz w:val="24"/>
          <w:szCs w:val="24"/>
        </w:rPr>
      </w:pPr>
      <w:r>
        <w:rPr>
          <w:rFonts w:hint="eastAsia" w:ascii="宋体" w:cs="宋体"/>
          <w:color w:val="000000"/>
          <w:sz w:val="24"/>
          <w:szCs w:val="24"/>
          <w:highlight w:val="lightGray"/>
        </w:rPr>
        <w:br w:type="page"/>
      </w:r>
    </w:p>
    <w:p w14:paraId="7EDB757B">
      <w:pPr>
        <w:tabs>
          <w:tab w:val="left" w:pos="630"/>
        </w:tabs>
        <w:snapToGrid w:val="0"/>
        <w:spacing w:line="360" w:lineRule="auto"/>
        <w:jc w:val="center"/>
        <w:outlineLvl w:val="1"/>
        <w:rPr>
          <w:rFonts w:ascii="宋体" w:hAnsi="宋体" w:cs="宋体"/>
          <w:b/>
          <w:sz w:val="24"/>
          <w:szCs w:val="24"/>
        </w:rPr>
      </w:pPr>
      <w:bookmarkStart w:id="19" w:name="_Toc20918"/>
      <w:bookmarkStart w:id="20" w:name="_Toc3541"/>
      <w:r>
        <w:rPr>
          <w:rStyle w:val="32"/>
          <w:rFonts w:hint="eastAsia" w:ascii="宋体" w:hAnsi="宋体" w:eastAsia="宋体" w:cs="宋体"/>
          <w:sz w:val="28"/>
          <w:szCs w:val="28"/>
        </w:rPr>
        <w:t>资格、符合性评审表</w:t>
      </w:r>
    </w:p>
    <w:tbl>
      <w:tblPr>
        <w:tblStyle w:val="23"/>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8481"/>
      </w:tblGrid>
      <w:tr w14:paraId="3F42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00" w:type="pct"/>
            <w:gridSpan w:val="2"/>
            <w:vAlign w:val="center"/>
          </w:tcPr>
          <w:p w14:paraId="2D932665">
            <w:pPr>
              <w:spacing w:line="360" w:lineRule="auto"/>
              <w:jc w:val="center"/>
              <w:rPr>
                <w:rFonts w:ascii="宋体" w:cs="宋体"/>
                <w:b/>
                <w:sz w:val="24"/>
                <w:szCs w:val="24"/>
              </w:rPr>
            </w:pPr>
            <w:r>
              <w:rPr>
                <w:rFonts w:hint="eastAsia" w:ascii="宋体" w:hAnsi="宋体" w:cs="宋体"/>
                <w:b/>
                <w:sz w:val="24"/>
                <w:szCs w:val="24"/>
              </w:rPr>
              <w:t>评 审 内 容</w:t>
            </w:r>
          </w:p>
        </w:tc>
      </w:tr>
      <w:tr w14:paraId="60E8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restart"/>
            <w:vAlign w:val="center"/>
          </w:tcPr>
          <w:p w14:paraId="485B248B">
            <w:pPr>
              <w:numPr>
                <w:ilvl w:val="0"/>
                <w:numId w:val="0"/>
              </w:numPr>
              <w:tabs>
                <w:tab w:val="left" w:pos="612"/>
              </w:tabs>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资格性评审</w:t>
            </w:r>
          </w:p>
        </w:tc>
        <w:tc>
          <w:tcPr>
            <w:tcW w:w="3976" w:type="pct"/>
            <w:vAlign w:val="center"/>
          </w:tcPr>
          <w:p w14:paraId="6AA1A749">
            <w:pPr>
              <w:tabs>
                <w:tab w:val="left" w:pos="432"/>
                <w:tab w:val="left" w:pos="612"/>
              </w:tabs>
              <w:spacing w:line="360" w:lineRule="auto"/>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投标人具有独立承担民事责任能力的在中华人民共和国境内注册的法人或其他组织（提供企业法人或者其他组织营业执照或事业法人登记证及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r>
              <w:rPr>
                <w:rFonts w:hint="eastAsia" w:ascii="宋体" w:hAnsi="宋体" w:cs="宋体"/>
                <w:sz w:val="24"/>
                <w:szCs w:val="24"/>
                <w:lang w:eastAsia="zh-CN"/>
              </w:rPr>
              <w:t>；</w:t>
            </w:r>
          </w:p>
        </w:tc>
      </w:tr>
      <w:tr w14:paraId="161A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25C4DDA3">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01829E25">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必须具有良好的商业信誉和健全的财务会计制度（提供20</w:t>
            </w:r>
            <w:r>
              <w:rPr>
                <w:rFonts w:hint="eastAsia" w:ascii="宋体" w:hAnsi="宋体" w:eastAsia="宋体" w:cs="宋体"/>
                <w:bCs/>
                <w:color w:val="auto"/>
                <w:sz w:val="24"/>
                <w:szCs w:val="24"/>
                <w:lang w:val="en-US" w:eastAsia="zh-CN"/>
              </w:rPr>
              <w:t>24</w:t>
            </w:r>
            <w:r>
              <w:rPr>
                <w:rFonts w:hint="eastAsia" w:ascii="宋体" w:hAnsi="宋体" w:eastAsia="宋体" w:cs="宋体"/>
                <w:bCs/>
                <w:color w:val="auto"/>
                <w:sz w:val="24"/>
                <w:szCs w:val="24"/>
              </w:rPr>
              <w:t>年度财务状况报告或财务报表或者基本户开户银行出具的资信证明，若新成立的，提供成立至今的月或季度财务状况报告或财务报表复印件并加盖公章）；</w:t>
            </w:r>
          </w:p>
        </w:tc>
      </w:tr>
      <w:tr w14:paraId="4AE8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68A000DF">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2B4C12B4">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有依法缴纳税收和社会保障资金的良好记录（提供投标截止时间前6个月任意1个月依法缴纳税收和社会保障资金相关证明材料；如依法免税和依法不需要缴纳社会保障资金，则须提供相应文件证明其依法免税和不需要缴纳社会保障资金）；</w:t>
            </w:r>
          </w:p>
        </w:tc>
      </w:tr>
      <w:tr w14:paraId="62DD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723F8418">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419C593D">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具备履行合同所必需的设备和专业技术能力；(提供《投标人资格声明函》。)</w:t>
            </w:r>
          </w:p>
        </w:tc>
      </w:tr>
      <w:tr w14:paraId="2687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75218812">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7A49976E">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参加招标活动前3年内，在经营活动中没有重大违法记录；(提供《投标人资格声明函》。)</w:t>
            </w:r>
          </w:p>
        </w:tc>
      </w:tr>
      <w:tr w14:paraId="1E09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338C163E">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502641ED">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rPr>
              <w:t>投标人须具备有效的《食品经营许可证》（主体业态：餐饮服务经营者）</w:t>
            </w:r>
            <w:r>
              <w:rPr>
                <w:rFonts w:hint="eastAsia" w:ascii="宋体" w:hAnsi="宋体" w:eastAsia="宋体" w:cs="宋体"/>
                <w:bCs/>
                <w:color w:val="auto"/>
                <w:sz w:val="24"/>
                <w:szCs w:val="24"/>
                <w:lang w:val="en-US" w:eastAsia="zh-CN"/>
              </w:rPr>
              <w:t>。（提供有效的《食品经营许可证》复印件）</w:t>
            </w:r>
          </w:p>
        </w:tc>
      </w:tr>
      <w:tr w14:paraId="4ACD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3F4935EF">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69AE01C0">
            <w:pPr>
              <w:tabs>
                <w:tab w:val="left" w:pos="432"/>
                <w:tab w:val="left" w:pos="612"/>
              </w:tabs>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bCs/>
                <w:color w:val="auto"/>
                <w:sz w:val="24"/>
                <w:szCs w:val="24"/>
              </w:rPr>
              <w:t>单位负责人为同一人或者存在控股、管理关系的不同供应商，不得参加同一合同项下的招标活动</w:t>
            </w:r>
            <w:r>
              <w:rPr>
                <w:rFonts w:hint="eastAsia" w:ascii="宋体" w:hAnsi="宋体" w:eastAsia="宋体" w:cs="宋体"/>
                <w:bCs/>
                <w:color w:val="auto"/>
                <w:kern w:val="2"/>
                <w:sz w:val="24"/>
                <w:szCs w:val="24"/>
              </w:rPr>
              <w:t>。</w:t>
            </w:r>
            <w:r>
              <w:rPr>
                <w:rFonts w:hint="eastAsia" w:ascii="宋体" w:hAnsi="宋体" w:eastAsia="宋体" w:cs="宋体"/>
                <w:bCs/>
                <w:color w:val="auto"/>
                <w:sz w:val="24"/>
                <w:szCs w:val="24"/>
              </w:rPr>
              <w:t>（提供《投标人资格声明函》）</w:t>
            </w:r>
          </w:p>
        </w:tc>
      </w:tr>
      <w:tr w14:paraId="1011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56014C81">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5E5FA27F">
            <w:pPr>
              <w:tabs>
                <w:tab w:val="left" w:pos="432"/>
                <w:tab w:val="left" w:pos="612"/>
              </w:tabs>
              <w:spacing w:line="360" w:lineRule="auto"/>
              <w:rPr>
                <w:rFonts w:hint="eastAsia" w:ascii="宋体" w:hAnsi="宋体" w:cs="宋体"/>
                <w:sz w:val="24"/>
                <w:szCs w:val="24"/>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rPr>
              <w:t>投标人未被列入“信用中国”网站(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www.creditchina.gov.cn</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rPr>
              <w:t>人、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商存在不良信用记录。）</w:t>
            </w:r>
          </w:p>
        </w:tc>
      </w:tr>
      <w:tr w14:paraId="2B43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137221E4">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3ED90DEB">
            <w:pPr>
              <w:tabs>
                <w:tab w:val="left" w:pos="432"/>
                <w:tab w:val="left" w:pos="612"/>
              </w:tabs>
              <w:spacing w:line="360" w:lineRule="auto"/>
              <w:rPr>
                <w:rFonts w:hint="eastAsia" w:ascii="宋体" w:hAnsi="宋体" w:cs="宋体"/>
                <w:sz w:val="24"/>
                <w:szCs w:val="24"/>
              </w:rPr>
            </w:pPr>
            <w:r>
              <w:rPr>
                <w:rFonts w:hint="eastAsia" w:ascii="宋体" w:hAnsi="宋体" w:cs="宋体"/>
                <w:b w:val="0"/>
                <w:bCs/>
                <w:color w:val="auto"/>
                <w:sz w:val="24"/>
                <w:szCs w:val="24"/>
                <w:lang w:val="en-US" w:eastAsia="zh-CN"/>
              </w:rPr>
              <w:t>9.</w:t>
            </w:r>
            <w:r>
              <w:rPr>
                <w:rFonts w:hint="eastAsia" w:ascii="宋体" w:hAnsi="宋体" w:eastAsia="宋体" w:cs="宋体"/>
                <w:b w:val="0"/>
                <w:bCs/>
                <w:color w:val="auto"/>
                <w:sz w:val="24"/>
                <w:szCs w:val="24"/>
              </w:rPr>
              <w:t>本项目不允许联合体投标</w:t>
            </w:r>
            <w:r>
              <w:rPr>
                <w:rFonts w:hint="eastAsia" w:ascii="宋体" w:hAnsi="宋体" w:eastAsia="宋体" w:cs="宋体"/>
                <w:color w:val="auto"/>
                <w:sz w:val="24"/>
                <w:szCs w:val="24"/>
              </w:rPr>
              <w:t>，中标后不得转包、不得分包</w:t>
            </w:r>
            <w:r>
              <w:rPr>
                <w:rFonts w:hint="eastAsia" w:ascii="宋体" w:hAnsi="宋体" w:eastAsia="宋体" w:cs="宋体"/>
                <w:b w:val="0"/>
                <w:bCs/>
                <w:color w:val="auto"/>
                <w:sz w:val="24"/>
                <w:szCs w:val="24"/>
              </w:rPr>
              <w:t>。</w:t>
            </w:r>
            <w:r>
              <w:rPr>
                <w:rFonts w:hint="eastAsia" w:ascii="宋体" w:hAnsi="宋体" w:eastAsia="宋体" w:cs="宋体"/>
                <w:bCs/>
                <w:color w:val="auto"/>
                <w:sz w:val="24"/>
                <w:szCs w:val="24"/>
              </w:rPr>
              <w:t>（提供《投标人资格声明函》）</w:t>
            </w:r>
          </w:p>
        </w:tc>
      </w:tr>
      <w:tr w14:paraId="1698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restart"/>
            <w:vAlign w:val="center"/>
          </w:tcPr>
          <w:p w14:paraId="7844E5AE">
            <w:pPr>
              <w:numPr>
                <w:ilvl w:val="0"/>
                <w:numId w:val="0"/>
              </w:numPr>
              <w:tabs>
                <w:tab w:val="left" w:pos="612"/>
              </w:tabs>
              <w:spacing w:line="360" w:lineRule="auto"/>
              <w:ind w:left="420" w:leftChars="0" w:hanging="132"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符合性审查</w:t>
            </w:r>
          </w:p>
        </w:tc>
        <w:tc>
          <w:tcPr>
            <w:tcW w:w="3976" w:type="pct"/>
            <w:vAlign w:val="center"/>
          </w:tcPr>
          <w:p w14:paraId="381B7414">
            <w:pPr>
              <w:tabs>
                <w:tab w:val="left" w:pos="612"/>
              </w:tabs>
              <w:spacing w:line="360" w:lineRule="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投标函已提交并符合招标文件要求的，且投标有效期不少于招标文件中载明的投标有效期；</w:t>
            </w:r>
          </w:p>
        </w:tc>
      </w:tr>
      <w:tr w14:paraId="252A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4DF475D6">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0537D1DB">
            <w:pPr>
              <w:tabs>
                <w:tab w:val="left" w:pos="612"/>
              </w:tabs>
              <w:spacing w:line="360" w:lineRule="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投标人按招标文件要求缴纳投标保证金的；</w:t>
            </w:r>
            <w:r>
              <w:rPr>
                <w:rFonts w:ascii="宋体" w:hAnsi="宋体" w:cs="宋体"/>
                <w:sz w:val="24"/>
                <w:szCs w:val="24"/>
              </w:rPr>
              <w:t xml:space="preserve"> </w:t>
            </w:r>
          </w:p>
        </w:tc>
      </w:tr>
      <w:tr w14:paraId="2EBE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33FAB072">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69928D4F">
            <w:pPr>
              <w:tabs>
                <w:tab w:val="left" w:pos="612"/>
              </w:tabs>
              <w:spacing w:line="360" w:lineRule="auto"/>
              <w:rPr>
                <w:rFonts w:ascii="宋体" w:hAnsi="宋体" w:cs="宋体"/>
                <w:sz w:val="24"/>
                <w:szCs w:val="24"/>
              </w:rPr>
            </w:pPr>
            <w:r>
              <w:rPr>
                <w:rFonts w:hint="eastAsia" w:ascii="宋体" w:hAnsi="宋体" w:cs="宋体"/>
                <w:color w:val="000000"/>
                <w:sz w:val="24"/>
                <w:lang w:val="en-US" w:eastAsia="zh-CN"/>
              </w:rPr>
              <w:t>3.</w:t>
            </w:r>
            <w:r>
              <w:rPr>
                <w:rFonts w:hint="eastAsia" w:ascii="宋体" w:hAnsi="宋体" w:cs="宋体"/>
                <w:color w:val="000000"/>
                <w:sz w:val="24"/>
              </w:rPr>
              <w:t>按照招标文件规定要求签署、盖章且投标文件有法定代表人签字或盖个人名章（或签字人有法定代表人有效授权书）的；</w:t>
            </w:r>
          </w:p>
        </w:tc>
      </w:tr>
      <w:tr w14:paraId="7DB4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6693CC02">
            <w:pPr>
              <w:numPr>
                <w:ilvl w:val="0"/>
                <w:numId w:val="0"/>
              </w:numPr>
              <w:tabs>
                <w:tab w:val="left" w:pos="612"/>
              </w:tabs>
              <w:spacing w:line="360" w:lineRule="auto"/>
              <w:ind w:left="420" w:leftChars="0" w:hanging="132" w:firstLineChars="0"/>
              <w:jc w:val="center"/>
              <w:rPr>
                <w:rFonts w:ascii="宋体" w:hAnsi="宋体" w:cs="宋体"/>
                <w:color w:val="auto"/>
                <w:sz w:val="24"/>
                <w:szCs w:val="24"/>
              </w:rPr>
            </w:pPr>
          </w:p>
        </w:tc>
        <w:tc>
          <w:tcPr>
            <w:tcW w:w="3976" w:type="pct"/>
            <w:vAlign w:val="center"/>
          </w:tcPr>
          <w:p w14:paraId="55A465A8">
            <w:pPr>
              <w:spacing w:line="360" w:lineRule="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投标报价</w:t>
            </w:r>
            <w:r>
              <w:rPr>
                <w:rFonts w:hint="eastAsia" w:ascii="宋体" w:hAnsi="宋体" w:cs="宋体"/>
                <w:color w:val="auto"/>
                <w:sz w:val="24"/>
                <w:szCs w:val="24"/>
                <w:lang w:val="en-US" w:eastAsia="zh-CN"/>
              </w:rPr>
              <w:t>不得</w:t>
            </w:r>
            <w:r>
              <w:rPr>
                <w:rFonts w:ascii="宋体" w:hAnsi="宋体" w:eastAsia="宋体" w:cs="宋体"/>
                <w:color w:val="auto"/>
                <w:sz w:val="24"/>
                <w:szCs w:val="24"/>
              </w:rPr>
              <w:t>低于本项目</w:t>
            </w:r>
            <w:r>
              <w:rPr>
                <w:rFonts w:hint="eastAsia" w:ascii="宋体" w:hAnsi="宋体" w:cs="宋体"/>
                <w:color w:val="auto"/>
                <w:sz w:val="24"/>
                <w:szCs w:val="24"/>
                <w:lang w:eastAsia="zh-CN"/>
              </w:rPr>
              <w:t>服务管理费</w:t>
            </w:r>
            <w:r>
              <w:rPr>
                <w:rFonts w:ascii="宋体" w:hAnsi="宋体" w:eastAsia="宋体" w:cs="宋体"/>
                <w:color w:val="auto"/>
                <w:sz w:val="24"/>
                <w:szCs w:val="24"/>
              </w:rPr>
              <w:t>限价（人民币</w:t>
            </w:r>
            <w:r>
              <w:rPr>
                <w:rFonts w:hint="eastAsia" w:ascii="宋体" w:hAnsi="宋体" w:cs="Times New Roman"/>
                <w:b w:val="0"/>
                <w:bCs w:val="0"/>
                <w:color w:val="auto"/>
                <w:sz w:val="24"/>
                <w:szCs w:val="24"/>
                <w:lang w:val="en-US" w:eastAsia="zh-CN"/>
              </w:rPr>
              <w:t>11000</w:t>
            </w:r>
            <w:r>
              <w:rPr>
                <w:rFonts w:hint="eastAsia" w:ascii="宋体" w:hAnsi="宋体" w:eastAsia="宋体" w:cs="宋体"/>
                <w:b w:val="0"/>
                <w:bCs w:val="0"/>
                <w:color w:val="auto"/>
                <w:sz w:val="24"/>
                <w:szCs w:val="24"/>
                <w:highlight w:val="none"/>
                <w:lang w:val="zh-CN" w:eastAsia="zh-CN"/>
              </w:rPr>
              <w:t>元/月</w:t>
            </w:r>
            <w:r>
              <w:rPr>
                <w:rFonts w:ascii="宋体" w:hAnsi="宋体" w:eastAsia="宋体" w:cs="宋体"/>
                <w:color w:val="auto"/>
                <w:sz w:val="24"/>
                <w:szCs w:val="24"/>
              </w:rPr>
              <w:t>）的</w:t>
            </w:r>
            <w:r>
              <w:rPr>
                <w:rFonts w:hint="eastAsia" w:ascii="宋体" w:hAnsi="宋体" w:cs="宋体"/>
                <w:color w:val="auto"/>
                <w:sz w:val="24"/>
              </w:rPr>
              <w:t>；</w:t>
            </w:r>
          </w:p>
        </w:tc>
      </w:tr>
      <w:tr w14:paraId="22A8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13ADF754">
            <w:pPr>
              <w:numPr>
                <w:ilvl w:val="0"/>
                <w:numId w:val="0"/>
              </w:numPr>
              <w:tabs>
                <w:tab w:val="left" w:pos="612"/>
              </w:tabs>
              <w:spacing w:line="360" w:lineRule="auto"/>
              <w:ind w:left="420" w:leftChars="0" w:hanging="132" w:firstLineChars="0"/>
              <w:jc w:val="center"/>
              <w:rPr>
                <w:rFonts w:ascii="宋体" w:hAnsi="宋体" w:cs="宋体"/>
                <w:color w:val="auto"/>
                <w:sz w:val="24"/>
                <w:szCs w:val="24"/>
              </w:rPr>
            </w:pPr>
          </w:p>
        </w:tc>
        <w:tc>
          <w:tcPr>
            <w:tcW w:w="3976" w:type="pct"/>
            <w:vAlign w:val="center"/>
          </w:tcPr>
          <w:p w14:paraId="7B8FBD42">
            <w:pPr>
              <w:tabs>
                <w:tab w:val="left" w:pos="612"/>
              </w:tabs>
              <w:spacing w:line="360" w:lineRule="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投标文件未出现选择性报价或有附加条件报价的情形；</w:t>
            </w:r>
          </w:p>
        </w:tc>
      </w:tr>
      <w:tr w14:paraId="6EC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3C282EDF">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28D7D21A">
            <w:pPr>
              <w:spacing w:line="360" w:lineRule="auto"/>
              <w:rPr>
                <w:rFonts w:ascii="宋体" w:hAnsi="宋体" w:cs="宋体"/>
                <w:color w:val="FF0000"/>
                <w:sz w:val="24"/>
                <w:szCs w:val="24"/>
              </w:rPr>
            </w:pPr>
            <w:r>
              <w:rPr>
                <w:rFonts w:hint="eastAsia" w:ascii="宋体" w:hAnsi="宋体" w:cs="宋体"/>
                <w:sz w:val="24"/>
                <w:lang w:val="en-US" w:eastAsia="zh-CN"/>
              </w:rPr>
              <w:t>6.</w:t>
            </w:r>
            <w:r>
              <w:rPr>
                <w:rFonts w:hint="eastAsia" w:ascii="宋体" w:hAnsi="宋体" w:cs="宋体"/>
                <w:sz w:val="24"/>
              </w:rPr>
              <w:t>投标文件完全满足招标文件的实质性条款（即标注★号条款）无负偏离的；</w:t>
            </w:r>
            <w:r>
              <w:rPr>
                <w:rFonts w:hint="eastAsia" w:ascii="宋体" w:hAnsi="宋体" w:cs="宋体"/>
                <w:color w:val="FF0000"/>
                <w:sz w:val="24"/>
                <w:szCs w:val="24"/>
              </w:rPr>
              <w:t xml:space="preserve"> </w:t>
            </w:r>
          </w:p>
        </w:tc>
      </w:tr>
      <w:tr w14:paraId="566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76CCF3E2">
            <w:pPr>
              <w:numPr>
                <w:ilvl w:val="0"/>
                <w:numId w:val="0"/>
              </w:numPr>
              <w:tabs>
                <w:tab w:val="left" w:pos="612"/>
              </w:tabs>
              <w:spacing w:line="360" w:lineRule="auto"/>
              <w:ind w:left="420" w:leftChars="0" w:hanging="132" w:firstLineChars="0"/>
              <w:jc w:val="center"/>
              <w:rPr>
                <w:rFonts w:ascii="宋体" w:hAnsi="宋体" w:cs="宋体"/>
                <w:sz w:val="24"/>
                <w:szCs w:val="24"/>
              </w:rPr>
            </w:pPr>
          </w:p>
        </w:tc>
        <w:tc>
          <w:tcPr>
            <w:tcW w:w="3976" w:type="pct"/>
            <w:vAlign w:val="center"/>
          </w:tcPr>
          <w:p w14:paraId="5769EF5F">
            <w:pPr>
              <w:spacing w:line="360" w:lineRule="auto"/>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投标文件没有招标文件中规定的应予否决投标的其它条款的；</w:t>
            </w:r>
          </w:p>
        </w:tc>
      </w:tr>
      <w:tr w14:paraId="3FC1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023" w:type="pct"/>
            <w:vMerge w:val="continue"/>
            <w:vAlign w:val="center"/>
          </w:tcPr>
          <w:p w14:paraId="2047BC9D">
            <w:pPr>
              <w:numPr>
                <w:ilvl w:val="0"/>
                <w:numId w:val="0"/>
              </w:numPr>
              <w:tabs>
                <w:tab w:val="left" w:pos="612"/>
              </w:tabs>
              <w:spacing w:line="360" w:lineRule="auto"/>
              <w:ind w:left="288" w:leftChars="0"/>
              <w:jc w:val="center"/>
              <w:rPr>
                <w:rFonts w:ascii="宋体" w:hAnsi="宋体" w:cs="宋体"/>
                <w:sz w:val="24"/>
                <w:szCs w:val="24"/>
              </w:rPr>
            </w:pPr>
          </w:p>
        </w:tc>
        <w:tc>
          <w:tcPr>
            <w:tcW w:w="3976" w:type="pct"/>
            <w:vAlign w:val="center"/>
          </w:tcPr>
          <w:p w14:paraId="0D77DB97">
            <w:pPr>
              <w:spacing w:line="360" w:lineRule="auto"/>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按有关法律、法规、规章不属于应予否决投标的。</w:t>
            </w:r>
          </w:p>
        </w:tc>
      </w:tr>
      <w:tr w14:paraId="5EB6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000" w:type="pct"/>
            <w:gridSpan w:val="2"/>
            <w:vAlign w:val="center"/>
          </w:tcPr>
          <w:p w14:paraId="67682E73">
            <w:pPr>
              <w:spacing w:line="360" w:lineRule="auto"/>
              <w:rPr>
                <w:rFonts w:hint="eastAsia" w:ascii="宋体" w:hAnsi="宋体"/>
                <w:sz w:val="24"/>
                <w:szCs w:val="24"/>
              </w:rPr>
            </w:pPr>
            <w:r>
              <w:rPr>
                <w:rFonts w:hint="eastAsia" w:ascii="宋体" w:hAnsi="宋体"/>
                <w:sz w:val="24"/>
                <w:szCs w:val="24"/>
              </w:rPr>
              <w:t>备注：投标人必须严格按照资格、符合性评审条款的要求如实提供证明材料，对缺漏或不符合项将</w:t>
            </w:r>
            <w:r>
              <w:rPr>
                <w:rFonts w:hint="eastAsia" w:ascii="宋体" w:hAnsi="宋体" w:cs="宋体"/>
                <w:sz w:val="24"/>
                <w:szCs w:val="24"/>
              </w:rPr>
              <w:t>应予否决投标</w:t>
            </w:r>
            <w:r>
              <w:rPr>
                <w:rFonts w:hint="eastAsia" w:ascii="宋体" w:hAnsi="宋体"/>
                <w:sz w:val="24"/>
                <w:szCs w:val="24"/>
              </w:rPr>
              <w:t>。</w:t>
            </w:r>
            <w:r>
              <w:rPr>
                <w:rFonts w:hint="eastAsia" w:ascii="宋体" w:hAnsi="宋体"/>
                <w:color w:val="000000"/>
                <w:sz w:val="24"/>
                <w:szCs w:val="24"/>
              </w:rPr>
              <w:t>不通过资格、符合性审查的投标人，不进入技术、商务、价格评审。</w:t>
            </w:r>
          </w:p>
        </w:tc>
      </w:tr>
    </w:tbl>
    <w:p w14:paraId="74A1E927"/>
    <w:p w14:paraId="7E52BE22">
      <w:pPr>
        <w:snapToGrid w:val="0"/>
        <w:spacing w:before="156" w:beforeLines="50" w:after="156" w:afterLines="50" w:line="360" w:lineRule="auto"/>
        <w:jc w:val="center"/>
        <w:outlineLvl w:val="1"/>
        <w:rPr>
          <w:rStyle w:val="32"/>
          <w:rFonts w:hint="eastAsia" w:ascii="宋体" w:hAnsi="宋体" w:eastAsia="宋体" w:cs="宋体"/>
          <w:sz w:val="28"/>
          <w:szCs w:val="28"/>
        </w:rPr>
      </w:pPr>
      <w:r>
        <w:rPr>
          <w:sz w:val="24"/>
          <w:szCs w:val="24"/>
          <w:u w:val="single"/>
        </w:rPr>
        <w:br w:type="page"/>
      </w:r>
      <w:bookmarkEnd w:id="19"/>
      <w:bookmarkEnd w:id="20"/>
      <w:bookmarkStart w:id="21" w:name="_Toc13303"/>
      <w:bookmarkStart w:id="22" w:name="_Toc6457"/>
      <w:bookmarkStart w:id="23" w:name="_Toc22154"/>
      <w:r>
        <w:rPr>
          <w:rStyle w:val="32"/>
          <w:rFonts w:hint="eastAsia" w:ascii="宋体" w:hAnsi="宋体" w:eastAsia="宋体" w:cs="宋体"/>
          <w:sz w:val="28"/>
          <w:szCs w:val="28"/>
        </w:rPr>
        <w:t>技术商务评分表</w:t>
      </w:r>
    </w:p>
    <w:tbl>
      <w:tblPr>
        <w:tblStyle w:val="23"/>
        <w:tblW w:w="85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446"/>
        <w:gridCol w:w="5389"/>
        <w:gridCol w:w="795"/>
      </w:tblGrid>
      <w:tr w14:paraId="6BCEA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3C328860">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序号</w:t>
            </w:r>
          </w:p>
        </w:tc>
        <w:tc>
          <w:tcPr>
            <w:tcW w:w="1446" w:type="dxa"/>
            <w:vAlign w:val="center"/>
          </w:tcPr>
          <w:p w14:paraId="31C43D8E">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评审因素</w:t>
            </w:r>
          </w:p>
        </w:tc>
        <w:tc>
          <w:tcPr>
            <w:tcW w:w="5389" w:type="dxa"/>
            <w:vAlign w:val="center"/>
          </w:tcPr>
          <w:p w14:paraId="0428674A">
            <w:pPr>
              <w:adjustRightInd/>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评分细则</w:t>
            </w:r>
          </w:p>
        </w:tc>
        <w:tc>
          <w:tcPr>
            <w:tcW w:w="795" w:type="dxa"/>
            <w:vAlign w:val="center"/>
          </w:tcPr>
          <w:p w14:paraId="7F3D9061">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分值</w:t>
            </w:r>
          </w:p>
          <w:p w14:paraId="456D1009">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（分）</w:t>
            </w:r>
          </w:p>
        </w:tc>
      </w:tr>
      <w:tr w14:paraId="2E416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89" w:type="dxa"/>
            <w:vAlign w:val="center"/>
          </w:tcPr>
          <w:p w14:paraId="2A3EB6C9">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一</w:t>
            </w:r>
          </w:p>
        </w:tc>
        <w:tc>
          <w:tcPr>
            <w:tcW w:w="7630" w:type="dxa"/>
            <w:gridSpan w:val="3"/>
            <w:vAlign w:val="center"/>
          </w:tcPr>
          <w:p w14:paraId="071F0D06">
            <w:pPr>
              <w:snapToGrid w:val="0"/>
              <w:spacing w:line="288" w:lineRule="auto"/>
              <w:ind w:left="-74" w:leftChars="-37" w:right="-70" w:rightChars="-35"/>
              <w:jc w:val="center"/>
              <w:rPr>
                <w:rFonts w:hint="eastAsia" w:ascii="宋体" w:hAnsi="宋体" w:eastAsia="宋体" w:cs="宋体"/>
                <w:b/>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技术部分（</w:t>
            </w:r>
            <w:r>
              <w:rPr>
                <w:rFonts w:hint="eastAsia" w:ascii="宋体" w:hAnsi="宋体" w:cs="宋体"/>
                <w:b/>
                <w:sz w:val="24"/>
              </w:rPr>
              <w:t>合计</w:t>
            </w:r>
            <w:r>
              <w:rPr>
                <w:rFonts w:hint="eastAsia" w:ascii="宋体" w:hAnsi="宋体" w:cs="宋体"/>
                <w:b/>
                <w:sz w:val="24"/>
                <w:lang w:val="en-US" w:eastAsia="zh-CN"/>
              </w:rPr>
              <w:t>46</w:t>
            </w:r>
            <w:r>
              <w:rPr>
                <w:rFonts w:hint="eastAsia" w:ascii="宋体" w:hAnsi="宋体" w:cs="宋体"/>
                <w:b/>
                <w:sz w:val="24"/>
              </w:rPr>
              <w:t>分</w:t>
            </w:r>
            <w:r>
              <w:rPr>
                <w:rFonts w:hint="eastAsia" w:ascii="宋体" w:hAnsi="宋体" w:eastAsia="宋体" w:cs="宋体"/>
                <w:b/>
                <w:color w:val="595959" w:themeColor="text1" w:themeTint="A6"/>
                <w:sz w:val="24"/>
                <w14:textFill>
                  <w14:solidFill>
                    <w14:schemeClr w14:val="tx1">
                      <w14:lumMod w14:val="65000"/>
                      <w14:lumOff w14:val="35000"/>
                    </w14:schemeClr>
                  </w14:solidFill>
                </w14:textFill>
              </w:rPr>
              <w:t>）</w:t>
            </w:r>
          </w:p>
        </w:tc>
      </w:tr>
      <w:tr w14:paraId="45B20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481A88B8">
            <w:pPr>
              <w:pStyle w:val="53"/>
              <w:numPr>
                <w:ilvl w:val="0"/>
                <w:numId w:val="23"/>
              </w:numPr>
              <w:snapToGrid w:val="0"/>
              <w:spacing w:line="288" w:lineRule="auto"/>
              <w:ind w:firstLineChars="0"/>
              <w:jc w:val="center"/>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tc>
        <w:tc>
          <w:tcPr>
            <w:tcW w:w="1446" w:type="dxa"/>
            <w:vAlign w:val="center"/>
          </w:tcPr>
          <w:p w14:paraId="4F03A189">
            <w:pPr>
              <w:snapToGrid w:val="0"/>
              <w:spacing w:line="288"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szCs w:val="24"/>
                <w:highlight w:val="none"/>
              </w:rPr>
              <w:t>经营方案</w:t>
            </w:r>
          </w:p>
        </w:tc>
        <w:tc>
          <w:tcPr>
            <w:tcW w:w="5389" w:type="dxa"/>
            <w:vAlign w:val="center"/>
          </w:tcPr>
          <w:p w14:paraId="51DD03D4">
            <w:pPr>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投标人制定的经营方案（包括工作计划、卫生管理方案、实施方案等，服务方案包括从业人员卫生培训，原材料采购、食品加工、饭菜供应、经营模式）进行综合评审：</w:t>
            </w:r>
          </w:p>
          <w:p w14:paraId="198E4C8E">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经营方案详细具体、科学合理且操作性强，富有特色、创新，得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58B13C12">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经营方案比较详细具体、比较科学合理且操作性较强，比较富有特色、创新，得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E1EC61F">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highlight w:val="none"/>
              </w:rPr>
              <w:t>经营方案</w:t>
            </w:r>
            <w:r>
              <w:rPr>
                <w:rFonts w:hint="eastAsia" w:ascii="宋体" w:hAnsi="宋体" w:cs="宋体"/>
                <w:color w:val="auto"/>
                <w:sz w:val="24"/>
                <w:szCs w:val="24"/>
                <w:highlight w:val="none"/>
                <w:lang w:val="en-US" w:eastAsia="zh-CN"/>
              </w:rPr>
              <w:t>不够全面</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合理，操作性</w:t>
            </w:r>
            <w:r>
              <w:rPr>
                <w:rFonts w:hint="eastAsia" w:ascii="宋体" w:hAnsi="宋体" w:cs="宋体"/>
                <w:color w:val="auto"/>
                <w:sz w:val="24"/>
                <w:szCs w:val="24"/>
                <w:highlight w:val="none"/>
                <w:lang w:val="en-US" w:eastAsia="zh-CN"/>
              </w:rPr>
              <w:t>较低</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7F40D31">
            <w:pPr>
              <w:adjustRightInd/>
              <w:snapToGrid w:val="0"/>
              <w:spacing w:line="288"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未提供方案不得分。</w:t>
            </w:r>
          </w:p>
        </w:tc>
        <w:tc>
          <w:tcPr>
            <w:tcW w:w="795" w:type="dxa"/>
            <w:vAlign w:val="center"/>
          </w:tcPr>
          <w:p w14:paraId="1C5860C1">
            <w:pPr>
              <w:snapToGrid w:val="0"/>
              <w:spacing w:line="288" w:lineRule="auto"/>
              <w:jc w:val="center"/>
              <w:rPr>
                <w:rFonts w:hint="default" w:ascii="宋体" w:hAnsi="宋体" w:eastAsia="宋体" w:cs="宋体"/>
                <w:color w:val="595959" w:themeColor="text1" w:themeTint="A6"/>
                <w:sz w:val="24"/>
                <w:lang w:val="en-US" w:eastAsia="zh-CN"/>
                <w14:textFill>
                  <w14:solidFill>
                    <w14:schemeClr w14:val="tx1">
                      <w14:lumMod w14:val="65000"/>
                      <w14:lumOff w14:val="35000"/>
                    </w14:schemeClr>
                  </w14:solidFill>
                </w14:textFill>
              </w:rPr>
            </w:pPr>
            <w:r>
              <w:rPr>
                <w:rFonts w:hint="eastAsia" w:ascii="宋体" w:hAnsi="宋体" w:cs="宋体"/>
                <w:color w:val="595959" w:themeColor="text1" w:themeTint="A6"/>
                <w:sz w:val="24"/>
                <w:lang w:val="en-US" w:eastAsia="zh-CN"/>
                <w14:textFill>
                  <w14:solidFill>
                    <w14:schemeClr w14:val="tx1">
                      <w14:lumMod w14:val="65000"/>
                      <w14:lumOff w14:val="35000"/>
                    </w14:schemeClr>
                  </w14:solidFill>
                </w14:textFill>
              </w:rPr>
              <w:t>12</w:t>
            </w:r>
          </w:p>
        </w:tc>
      </w:tr>
      <w:tr w14:paraId="72C7D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6E45B307">
            <w:pPr>
              <w:pStyle w:val="53"/>
              <w:numPr>
                <w:ilvl w:val="0"/>
                <w:numId w:val="23"/>
              </w:numPr>
              <w:snapToGrid w:val="0"/>
              <w:spacing w:line="288" w:lineRule="auto"/>
              <w:ind w:firstLineChars="0"/>
              <w:jc w:val="center"/>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tc>
        <w:tc>
          <w:tcPr>
            <w:tcW w:w="1446" w:type="dxa"/>
            <w:vAlign w:val="center"/>
          </w:tcPr>
          <w:p w14:paraId="5C661ED5">
            <w:pPr>
              <w:snapToGrid w:val="0"/>
              <w:spacing w:line="288"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安全生产管理方案</w:t>
            </w:r>
          </w:p>
        </w:tc>
        <w:tc>
          <w:tcPr>
            <w:tcW w:w="5389" w:type="dxa"/>
            <w:vAlign w:val="center"/>
          </w:tcPr>
          <w:p w14:paraId="49704095">
            <w:pPr>
              <w:spacing w:line="3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提供的</w:t>
            </w:r>
            <w:r>
              <w:rPr>
                <w:rFonts w:hint="eastAsia" w:ascii="宋体" w:hAnsi="宋体" w:eastAsia="宋体" w:cs="宋体"/>
                <w:color w:val="auto"/>
                <w:sz w:val="24"/>
                <w:szCs w:val="24"/>
                <w:highlight w:val="none"/>
                <w:lang w:val="en-US" w:eastAsia="zh-CN"/>
              </w:rPr>
              <w:t>安全生产管理方案</w:t>
            </w:r>
            <w:r>
              <w:rPr>
                <w:rFonts w:hint="eastAsia" w:ascii="宋体" w:hAnsi="宋体" w:eastAsia="宋体" w:cs="宋体"/>
                <w:color w:val="auto"/>
                <w:sz w:val="24"/>
                <w:szCs w:val="24"/>
                <w:highlight w:val="none"/>
              </w:rPr>
              <w:t>的完善程度和操作性进行综合评审：</w:t>
            </w:r>
          </w:p>
          <w:p w14:paraId="7F1DB8C2">
            <w:pPr>
              <w:numPr>
                <w:ilvl w:val="-1"/>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安全生产</w:t>
            </w:r>
            <w:r>
              <w:rPr>
                <w:rFonts w:hint="eastAsia" w:ascii="宋体" w:hAnsi="宋体" w:eastAsia="宋体" w:cs="宋体"/>
                <w:color w:val="auto"/>
                <w:sz w:val="24"/>
                <w:szCs w:val="24"/>
                <w:highlight w:val="none"/>
              </w:rPr>
              <w:t>管理完善，措施</w:t>
            </w:r>
            <w:r>
              <w:rPr>
                <w:rFonts w:hint="eastAsia" w:ascii="宋体" w:hAnsi="宋体" w:eastAsia="宋体" w:cs="宋体"/>
                <w:color w:val="auto"/>
                <w:sz w:val="24"/>
                <w:szCs w:val="24"/>
                <w:highlight w:val="none"/>
                <w:lang w:val="en-US" w:eastAsia="zh-CN"/>
              </w:rPr>
              <w:t>详细具体</w:t>
            </w:r>
            <w:r>
              <w:rPr>
                <w:rFonts w:hint="eastAsia" w:ascii="宋体" w:hAnsi="宋体" w:eastAsia="宋体" w:cs="宋体"/>
                <w:color w:val="auto"/>
                <w:sz w:val="24"/>
                <w:szCs w:val="24"/>
                <w:highlight w:val="none"/>
              </w:rPr>
              <w:t>，操作性强，得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46A8F784">
            <w:pPr>
              <w:numPr>
                <w:ilvl w:val="-1"/>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rPr>
              <w:t>安全生产</w:t>
            </w:r>
            <w:r>
              <w:rPr>
                <w:rFonts w:hint="eastAsia" w:ascii="宋体" w:hAnsi="宋体" w:eastAsia="宋体" w:cs="宋体"/>
                <w:color w:val="auto"/>
                <w:sz w:val="24"/>
                <w:szCs w:val="24"/>
                <w:highlight w:val="none"/>
              </w:rPr>
              <w:t>管理比较完善，措施</w:t>
            </w:r>
            <w:r>
              <w:rPr>
                <w:rFonts w:hint="eastAsia" w:ascii="宋体" w:hAnsi="宋体" w:eastAsia="宋体" w:cs="宋体"/>
                <w:color w:val="auto"/>
                <w:sz w:val="24"/>
                <w:szCs w:val="24"/>
                <w:highlight w:val="none"/>
                <w:lang w:val="en-US" w:eastAsia="zh-CN"/>
              </w:rPr>
              <w:t>较详细具体</w:t>
            </w:r>
            <w:r>
              <w:rPr>
                <w:rFonts w:hint="eastAsia" w:ascii="宋体" w:hAnsi="宋体" w:eastAsia="宋体" w:cs="宋体"/>
                <w:color w:val="auto"/>
                <w:sz w:val="24"/>
                <w:szCs w:val="24"/>
                <w:highlight w:val="none"/>
              </w:rPr>
              <w:t>，操作性比较强，得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3A4C0418">
            <w:pPr>
              <w:numPr>
                <w:ilvl w:val="-1"/>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rPr>
              <w:t>安全生产</w:t>
            </w:r>
            <w:r>
              <w:rPr>
                <w:rFonts w:hint="eastAsia" w:ascii="宋体" w:hAnsi="宋体" w:eastAsia="宋体" w:cs="宋体"/>
                <w:color w:val="auto"/>
                <w:sz w:val="24"/>
                <w:szCs w:val="24"/>
                <w:highlight w:val="none"/>
              </w:rPr>
              <w:t>管理制度</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完善，操作性</w:t>
            </w:r>
            <w:r>
              <w:rPr>
                <w:rFonts w:hint="eastAsia" w:ascii="宋体" w:hAnsi="宋体" w:cs="宋体"/>
                <w:color w:val="auto"/>
                <w:sz w:val="24"/>
                <w:szCs w:val="24"/>
                <w:highlight w:val="none"/>
                <w:lang w:val="en-US" w:eastAsia="zh-CN"/>
              </w:rPr>
              <w:t>较低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CE9D50A">
            <w:pPr>
              <w:adjustRightInd/>
              <w:snapToGri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7E642EB0">
            <w:pPr>
              <w:snapToGrid w:val="0"/>
              <w:spacing w:line="288" w:lineRule="auto"/>
              <w:jc w:val="center"/>
              <w:rPr>
                <w:rFonts w:hint="default" w:ascii="宋体" w:hAnsi="宋体" w:cs="宋体"/>
                <w:color w:val="595959" w:themeColor="text1" w:themeTint="A6"/>
                <w:sz w:val="24"/>
                <w:lang w:val="en-US" w:eastAsia="zh-CN"/>
                <w14:textFill>
                  <w14:solidFill>
                    <w14:schemeClr w14:val="tx1">
                      <w14:lumMod w14:val="65000"/>
                      <w14:lumOff w14:val="35000"/>
                    </w14:schemeClr>
                  </w14:solidFill>
                </w14:textFill>
              </w:rPr>
            </w:pPr>
            <w:r>
              <w:rPr>
                <w:rFonts w:hint="eastAsia" w:ascii="宋体" w:hAnsi="宋体" w:cs="宋体"/>
                <w:color w:val="595959" w:themeColor="text1" w:themeTint="A6"/>
                <w:sz w:val="24"/>
                <w:lang w:val="en-US" w:eastAsia="zh-CN"/>
                <w14:textFill>
                  <w14:solidFill>
                    <w14:schemeClr w14:val="tx1">
                      <w14:lumMod w14:val="65000"/>
                      <w14:lumOff w14:val="35000"/>
                    </w14:schemeClr>
                  </w14:solidFill>
                </w14:textFill>
              </w:rPr>
              <w:t>12</w:t>
            </w:r>
          </w:p>
        </w:tc>
      </w:tr>
      <w:tr w14:paraId="75C05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889" w:type="dxa"/>
            <w:vAlign w:val="center"/>
          </w:tcPr>
          <w:p w14:paraId="357F56B8">
            <w:pPr>
              <w:pStyle w:val="53"/>
              <w:numPr>
                <w:ilvl w:val="0"/>
                <w:numId w:val="23"/>
              </w:numPr>
              <w:snapToGrid w:val="0"/>
              <w:spacing w:line="288" w:lineRule="auto"/>
              <w:ind w:firstLineChars="0"/>
              <w:jc w:val="center"/>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tc>
        <w:tc>
          <w:tcPr>
            <w:tcW w:w="1446" w:type="dxa"/>
            <w:vAlign w:val="center"/>
          </w:tcPr>
          <w:p w14:paraId="4FAFAFA3">
            <w:pPr>
              <w:snapToGrid w:val="0"/>
              <w:spacing w:line="288"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auto"/>
                <w:kern w:val="0"/>
                <w:sz w:val="24"/>
                <w:szCs w:val="24"/>
                <w:highlight w:val="none"/>
                <w:lang w:val="en-US" w:eastAsia="zh-CN" w:bidi="ar"/>
              </w:rPr>
              <w:t>伙食质量保证</w:t>
            </w:r>
          </w:p>
        </w:tc>
        <w:tc>
          <w:tcPr>
            <w:tcW w:w="5389" w:type="dxa"/>
            <w:vAlign w:val="center"/>
          </w:tcPr>
          <w:p w14:paraId="0155E133">
            <w:pPr>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投标人提供的菜单和营养配比方案情况进行综合评审：</w:t>
            </w:r>
          </w:p>
          <w:p w14:paraId="70C0EBCA">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提供菜单的营养配比方案具体科学，品种多样、营养合理、荤素搭配合理，得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1E195E70">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供菜单的营养配比方案比较具体科学，品种比较多样、营养合理、荤素搭配合理，得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2C5A21C">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highlight w:val="none"/>
              </w:rPr>
              <w:t>提供菜单的营养配比方案</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科学，品种</w:t>
            </w:r>
            <w:r>
              <w:rPr>
                <w:rFonts w:hint="eastAsia" w:ascii="宋体" w:hAnsi="宋体" w:cs="宋体"/>
                <w:color w:val="auto"/>
                <w:sz w:val="24"/>
                <w:szCs w:val="24"/>
                <w:highlight w:val="none"/>
                <w:lang w:val="en-US" w:eastAsia="zh-CN"/>
              </w:rPr>
              <w:t>较少</w:t>
            </w:r>
            <w:r>
              <w:rPr>
                <w:rFonts w:hint="eastAsia" w:ascii="宋体" w:hAnsi="宋体" w:eastAsia="宋体" w:cs="宋体"/>
                <w:color w:val="auto"/>
                <w:sz w:val="24"/>
                <w:szCs w:val="24"/>
                <w:highlight w:val="none"/>
              </w:rPr>
              <w:t>、营养</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合理，得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93198F5">
            <w:pPr>
              <w:snapToGrid w:val="0"/>
              <w:spacing w:line="288"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298FDA2C">
            <w:pPr>
              <w:snapToGrid w:val="0"/>
              <w:spacing w:line="288" w:lineRule="auto"/>
              <w:jc w:val="center"/>
              <w:rPr>
                <w:rFonts w:hint="default" w:ascii="宋体" w:hAnsi="宋体" w:eastAsia="宋体" w:cs="宋体"/>
                <w:color w:val="595959" w:themeColor="text1" w:themeTint="A6"/>
                <w:sz w:val="24"/>
                <w:lang w:val="en-US" w:eastAsia="zh-CN"/>
                <w14:textFill>
                  <w14:solidFill>
                    <w14:schemeClr w14:val="tx1">
                      <w14:lumMod w14:val="65000"/>
                      <w14:lumOff w14:val="35000"/>
                    </w14:schemeClr>
                  </w14:solidFill>
                </w14:textFill>
              </w:rPr>
            </w:pPr>
            <w:r>
              <w:rPr>
                <w:rFonts w:hint="eastAsia" w:ascii="宋体" w:hAnsi="宋体" w:cs="宋体"/>
                <w:color w:val="595959" w:themeColor="text1" w:themeTint="A6"/>
                <w:sz w:val="24"/>
                <w:lang w:val="en-US" w:eastAsia="zh-CN"/>
                <w14:textFill>
                  <w14:solidFill>
                    <w14:schemeClr w14:val="tx1">
                      <w14:lumMod w14:val="65000"/>
                      <w14:lumOff w14:val="35000"/>
                    </w14:schemeClr>
                  </w14:solidFill>
                </w14:textFill>
              </w:rPr>
              <w:t>12</w:t>
            </w:r>
          </w:p>
        </w:tc>
      </w:tr>
      <w:tr w14:paraId="2C567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889" w:type="dxa"/>
            <w:vAlign w:val="center"/>
          </w:tcPr>
          <w:p w14:paraId="1BA32A47">
            <w:pPr>
              <w:pStyle w:val="53"/>
              <w:numPr>
                <w:ilvl w:val="0"/>
                <w:numId w:val="23"/>
              </w:numPr>
              <w:snapToGrid w:val="0"/>
              <w:spacing w:line="288" w:lineRule="auto"/>
              <w:ind w:firstLineChars="0"/>
              <w:jc w:val="center"/>
              <w:rPr>
                <w:rFonts w:hint="eastAsia" w:ascii="宋体" w:hAnsi="宋体" w:eastAsia="宋体" w:cs="宋体"/>
                <w:color w:val="595959" w:themeColor="text1" w:themeTint="A6"/>
                <w:sz w:val="24"/>
                <w14:textFill>
                  <w14:solidFill>
                    <w14:schemeClr w14:val="tx1">
                      <w14:lumMod w14:val="65000"/>
                      <w14:lumOff w14:val="35000"/>
                    </w14:schemeClr>
                  </w14:solidFill>
                </w14:textFill>
              </w:rPr>
            </w:pPr>
          </w:p>
        </w:tc>
        <w:tc>
          <w:tcPr>
            <w:tcW w:w="1446" w:type="dxa"/>
            <w:vAlign w:val="center"/>
          </w:tcPr>
          <w:p w14:paraId="1E9067B5">
            <w:pPr>
              <w:snapToGrid w:val="0"/>
              <w:spacing w:line="288"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auto"/>
                <w:sz w:val="24"/>
                <w:szCs w:val="24"/>
                <w:highlight w:val="none"/>
              </w:rPr>
              <w:t>规章制度</w:t>
            </w:r>
          </w:p>
        </w:tc>
        <w:tc>
          <w:tcPr>
            <w:tcW w:w="5389" w:type="dxa"/>
            <w:vAlign w:val="center"/>
          </w:tcPr>
          <w:p w14:paraId="311D64D7">
            <w:pPr>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提供的规章</w:t>
            </w:r>
            <w:r>
              <w:rPr>
                <w:rFonts w:hint="eastAsia" w:ascii="宋体" w:hAnsi="宋体" w:eastAsia="宋体" w:cs="宋体"/>
                <w:color w:val="auto"/>
                <w:sz w:val="24"/>
                <w:szCs w:val="24"/>
                <w:highlight w:val="none"/>
              </w:rPr>
              <w:t>制度的完善程度和操作性进行综合评审：</w:t>
            </w:r>
          </w:p>
          <w:p w14:paraId="03E7A6D9">
            <w:pPr>
              <w:numPr>
                <w:ilvl w:val="0"/>
                <w:numId w:val="0"/>
              </w:numPr>
              <w:spacing w:line="360" w:lineRule="exact"/>
              <w:ind w:left="425" w:leftChars="0" w:hanging="425" w:firstLineChars="0"/>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bidi="ar-SA"/>
              </w:rPr>
              <w:t>1</w:t>
            </w:r>
            <w:r>
              <w:rPr>
                <w:rFonts w:hint="default" w:ascii="宋体" w:hAnsi="宋体" w:eastAsia="宋体" w:cs="宋体"/>
                <w:color w:val="auto"/>
                <w:sz w:val="24"/>
                <w:szCs w:val="24"/>
                <w:lang w:val="en-US" w:eastAsia="zh-CN" w:bidi="ar-SA"/>
              </w:rPr>
              <w:t>.</w:t>
            </w:r>
            <w:r>
              <w:rPr>
                <w:rFonts w:hint="eastAsia" w:ascii="宋体" w:hAnsi="宋体" w:eastAsia="宋体" w:cs="宋体"/>
                <w:color w:val="auto"/>
                <w:sz w:val="24"/>
                <w:szCs w:val="24"/>
                <w:highlight w:val="none"/>
              </w:rPr>
              <w:t>管理制度完善，措施得力，操作性强，得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1B4EFB5">
            <w:pPr>
              <w:numPr>
                <w:ilvl w:val="0"/>
                <w:numId w:val="0"/>
              </w:numPr>
              <w:spacing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bidi="ar-SA"/>
              </w:rPr>
              <w:t>2</w:t>
            </w:r>
            <w:r>
              <w:rPr>
                <w:rFonts w:hint="default" w:ascii="宋体" w:hAnsi="宋体" w:eastAsia="宋体" w:cs="宋体"/>
                <w:color w:val="auto"/>
                <w:sz w:val="24"/>
                <w:szCs w:val="24"/>
                <w:lang w:val="en-US" w:eastAsia="zh-CN" w:bidi="ar-SA"/>
              </w:rPr>
              <w:t>.</w:t>
            </w:r>
            <w:r>
              <w:rPr>
                <w:rFonts w:hint="eastAsia" w:ascii="宋体" w:hAnsi="宋体" w:eastAsia="宋体" w:cs="宋体"/>
                <w:color w:val="auto"/>
                <w:sz w:val="24"/>
                <w:szCs w:val="24"/>
                <w:highlight w:val="none"/>
              </w:rPr>
              <w:t>管理制度比较完善，措施得力，操作性比较强，得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C30760F">
            <w:pPr>
              <w:numPr>
                <w:ilvl w:val="0"/>
                <w:numId w:val="0"/>
              </w:numPr>
              <w:spacing w:line="360" w:lineRule="exact"/>
              <w:ind w:left="425" w:leftChars="0" w:hanging="425" w:firstLineChars="0"/>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bidi="ar-SA"/>
              </w:rPr>
              <w:t>3</w:t>
            </w:r>
            <w:r>
              <w:rPr>
                <w:rFonts w:hint="default" w:ascii="宋体" w:hAnsi="宋体" w:eastAsia="宋体" w:cs="宋体"/>
                <w:color w:val="auto"/>
                <w:sz w:val="24"/>
                <w:szCs w:val="24"/>
                <w:lang w:val="en-US" w:eastAsia="zh-CN" w:bidi="ar-SA"/>
              </w:rPr>
              <w:t>.</w:t>
            </w:r>
            <w:r>
              <w:rPr>
                <w:rFonts w:hint="eastAsia" w:ascii="宋体" w:hAnsi="宋体" w:eastAsia="宋体" w:cs="宋体"/>
                <w:color w:val="auto"/>
                <w:sz w:val="24"/>
                <w:szCs w:val="24"/>
                <w:highlight w:val="none"/>
              </w:rPr>
              <w:t>管理制度</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完善，操作性</w:t>
            </w:r>
            <w:r>
              <w:rPr>
                <w:rFonts w:hint="eastAsia" w:ascii="宋体" w:hAnsi="宋体" w:cs="宋体"/>
                <w:color w:val="auto"/>
                <w:sz w:val="24"/>
                <w:szCs w:val="24"/>
                <w:highlight w:val="none"/>
                <w:lang w:val="en-US" w:eastAsia="zh-CN"/>
              </w:rPr>
              <w:t>较低</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67E792D">
            <w:pPr>
              <w:snapToGrid w:val="0"/>
              <w:spacing w:line="288"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0F8E231E">
            <w:pPr>
              <w:snapToGrid w:val="0"/>
              <w:spacing w:line="288" w:lineRule="auto"/>
              <w:jc w:val="center"/>
              <w:rPr>
                <w:rFonts w:hint="default" w:ascii="宋体" w:hAnsi="宋体" w:eastAsia="宋体" w:cs="宋体"/>
                <w:color w:val="595959" w:themeColor="text1" w:themeTint="A6"/>
                <w:sz w:val="24"/>
                <w:lang w:val="en-US" w:eastAsia="zh-CN"/>
                <w14:textFill>
                  <w14:solidFill>
                    <w14:schemeClr w14:val="tx1">
                      <w14:lumMod w14:val="65000"/>
                      <w14:lumOff w14:val="35000"/>
                    </w14:schemeClr>
                  </w14:solidFill>
                </w14:textFill>
              </w:rPr>
            </w:pPr>
            <w:r>
              <w:rPr>
                <w:rFonts w:hint="eastAsia" w:ascii="宋体" w:hAnsi="宋体" w:cs="宋体"/>
                <w:color w:val="595959" w:themeColor="text1" w:themeTint="A6"/>
                <w:sz w:val="24"/>
                <w:lang w:val="en-US" w:eastAsia="zh-CN"/>
                <w14:textFill>
                  <w14:solidFill>
                    <w14:schemeClr w14:val="tx1">
                      <w14:lumMod w14:val="65000"/>
                      <w14:lumOff w14:val="35000"/>
                    </w14:schemeClr>
                  </w14:solidFill>
                </w14:textFill>
              </w:rPr>
              <w:t>10</w:t>
            </w:r>
          </w:p>
        </w:tc>
      </w:tr>
      <w:tr w14:paraId="5F552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889" w:type="dxa"/>
            <w:vAlign w:val="center"/>
          </w:tcPr>
          <w:p w14:paraId="6F00E27E">
            <w:pPr>
              <w:snapToGrid w:val="0"/>
              <w:spacing w:line="288" w:lineRule="auto"/>
              <w:jc w:val="center"/>
              <w:rPr>
                <w:rFonts w:asciiTheme="minorEastAsia" w:hAnsiTheme="minorEastAsia" w:eastAsiaTheme="minorEastAsia"/>
                <w:b/>
                <w:color w:val="595959" w:themeColor="text1" w:themeTint="A6"/>
                <w:sz w:val="24"/>
                <w14:textFill>
                  <w14:solidFill>
                    <w14:schemeClr w14:val="tx1">
                      <w14:lumMod w14:val="65000"/>
                      <w14:lumOff w14:val="35000"/>
                    </w14:schemeClr>
                  </w14:solidFill>
                </w14:textFill>
              </w:rPr>
            </w:pPr>
            <w:r>
              <w:rPr>
                <w:rFonts w:hint="eastAsia" w:asciiTheme="minorEastAsia" w:hAnsiTheme="minorEastAsia" w:eastAsiaTheme="minorEastAsia"/>
                <w:b/>
                <w:color w:val="595959" w:themeColor="text1" w:themeTint="A6"/>
                <w:sz w:val="24"/>
                <w14:textFill>
                  <w14:solidFill>
                    <w14:schemeClr w14:val="tx1">
                      <w14:lumMod w14:val="65000"/>
                      <w14:lumOff w14:val="35000"/>
                    </w14:schemeClr>
                  </w14:solidFill>
                </w14:textFill>
              </w:rPr>
              <w:t>二</w:t>
            </w:r>
          </w:p>
        </w:tc>
        <w:tc>
          <w:tcPr>
            <w:tcW w:w="7630" w:type="dxa"/>
            <w:gridSpan w:val="3"/>
            <w:vAlign w:val="center"/>
          </w:tcPr>
          <w:p w14:paraId="2137DAEC">
            <w:pPr>
              <w:snapToGrid w:val="0"/>
              <w:spacing w:line="288" w:lineRule="auto"/>
              <w:ind w:left="-74" w:leftChars="-37" w:right="-70" w:rightChars="-35"/>
              <w:jc w:val="center"/>
              <w:rPr>
                <w:rFonts w:hint="eastAsia" w:asciiTheme="minorEastAsia" w:hAnsiTheme="minorEastAsia" w:eastAsiaTheme="minorEastAsia"/>
                <w:b/>
                <w:color w:val="595959" w:themeColor="text1" w:themeTint="A6"/>
                <w:sz w:val="24"/>
                <w14:textFill>
                  <w14:solidFill>
                    <w14:schemeClr w14:val="tx1">
                      <w14:lumMod w14:val="65000"/>
                      <w14:lumOff w14:val="35000"/>
                    </w14:schemeClr>
                  </w14:solidFill>
                </w14:textFill>
              </w:rPr>
            </w:pPr>
            <w:r>
              <w:rPr>
                <w:rFonts w:hint="eastAsia" w:asciiTheme="minorEastAsia" w:hAnsiTheme="minorEastAsia" w:eastAsiaTheme="minorEastAsia"/>
                <w:b/>
                <w:color w:val="595959" w:themeColor="text1" w:themeTint="A6"/>
                <w:sz w:val="24"/>
                <w14:textFill>
                  <w14:solidFill>
                    <w14:schemeClr w14:val="tx1">
                      <w14:lumMod w14:val="65000"/>
                      <w14:lumOff w14:val="35000"/>
                    </w14:schemeClr>
                  </w14:solidFill>
                </w14:textFill>
              </w:rPr>
              <w:t>商务部分（</w:t>
            </w:r>
            <w:r>
              <w:rPr>
                <w:rFonts w:hint="eastAsia" w:ascii="宋体" w:hAnsi="宋体"/>
                <w:b/>
                <w:sz w:val="24"/>
              </w:rPr>
              <w:t>合计</w:t>
            </w:r>
            <w:r>
              <w:rPr>
                <w:rFonts w:hint="eastAsia" w:ascii="宋体" w:hAnsi="宋体"/>
                <w:b/>
                <w:sz w:val="24"/>
                <w:lang w:val="en-US" w:eastAsia="zh-CN"/>
              </w:rPr>
              <w:t>44</w:t>
            </w:r>
            <w:r>
              <w:rPr>
                <w:rFonts w:hint="eastAsia" w:ascii="宋体" w:hAnsi="宋体"/>
                <w:b/>
                <w:sz w:val="24"/>
              </w:rPr>
              <w:t>分</w:t>
            </w:r>
            <w:r>
              <w:rPr>
                <w:rFonts w:hint="eastAsia" w:asciiTheme="minorEastAsia" w:hAnsiTheme="minorEastAsia" w:eastAsiaTheme="minorEastAsia"/>
                <w:b/>
                <w:color w:val="595959" w:themeColor="text1" w:themeTint="A6"/>
                <w:sz w:val="24"/>
                <w14:textFill>
                  <w14:solidFill>
                    <w14:schemeClr w14:val="tx1">
                      <w14:lumMod w14:val="65000"/>
                      <w14:lumOff w14:val="35000"/>
                    </w14:schemeClr>
                  </w14:solidFill>
                </w14:textFill>
              </w:rPr>
              <w:t>）</w:t>
            </w:r>
          </w:p>
        </w:tc>
      </w:tr>
      <w:tr w14:paraId="67DAD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atLeast"/>
          <w:jc w:val="center"/>
        </w:trPr>
        <w:tc>
          <w:tcPr>
            <w:tcW w:w="889" w:type="dxa"/>
            <w:vAlign w:val="center"/>
          </w:tcPr>
          <w:p w14:paraId="3F071A21">
            <w:pPr>
              <w:numPr>
                <w:ilvl w:val="0"/>
                <w:numId w:val="24"/>
              </w:numPr>
              <w:ind w:left="825" w:hanging="425"/>
              <w:jc w:val="center"/>
              <w:rPr>
                <w:rFonts w:hint="eastAsia"/>
              </w:rPr>
            </w:pPr>
          </w:p>
          <w:p w14:paraId="2E86A176">
            <w:pPr>
              <w:pStyle w:val="53"/>
              <w:widowControl w:val="0"/>
              <w:numPr>
                <w:ilvl w:val="-1"/>
                <w:numId w:val="0"/>
              </w:numPr>
              <w:autoSpaceDE w:val="0"/>
              <w:autoSpaceDN w:val="0"/>
              <w:adjustRightInd w:val="0"/>
              <w:snapToGrid w:val="0"/>
              <w:spacing w:line="288" w:lineRule="auto"/>
              <w:ind w:left="0" w:firstLine="0" w:firstLineChars="0"/>
              <w:jc w:val="both"/>
              <w:rPr>
                <w:rFonts w:hint="eastAsia" w:eastAsia="宋体"/>
                <w:lang w:val="en-US" w:eastAsia="zh-CN"/>
              </w:rPr>
            </w:pPr>
          </w:p>
        </w:tc>
        <w:tc>
          <w:tcPr>
            <w:tcW w:w="1446" w:type="dxa"/>
            <w:vAlign w:val="center"/>
          </w:tcPr>
          <w:p w14:paraId="750ED3B2">
            <w:pPr>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应急措施</w:t>
            </w:r>
          </w:p>
        </w:tc>
        <w:tc>
          <w:tcPr>
            <w:tcW w:w="5389" w:type="dxa"/>
            <w:vAlign w:val="center"/>
          </w:tcPr>
          <w:p w14:paraId="3CAF5C4A">
            <w:pPr>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投标人预见可能出现的各种情况，以及所采取的应急措施进行综合评审：</w:t>
            </w:r>
          </w:p>
          <w:p w14:paraId="42C749F2">
            <w:pPr>
              <w:numPr>
                <w:ilvl w:val="0"/>
                <w:numId w:val="25"/>
              </w:numPr>
              <w:spacing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应急措施方案详细合理，切合实际，可行性高，得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7A5BB98D">
            <w:pPr>
              <w:numPr>
                <w:ilvl w:val="0"/>
                <w:numId w:val="25"/>
              </w:numPr>
              <w:spacing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应急措施方案比较详细合理，切合实际，可行性比较高，得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4024F48F">
            <w:pPr>
              <w:numPr>
                <w:ilvl w:val="0"/>
                <w:numId w:val="25"/>
              </w:numPr>
              <w:spacing w:line="3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应急措施方案</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合理，</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切合实际，可行性</w:t>
            </w:r>
            <w:r>
              <w:rPr>
                <w:rFonts w:hint="eastAsia" w:ascii="宋体" w:hAnsi="宋体" w:cs="宋体"/>
                <w:color w:val="auto"/>
                <w:sz w:val="24"/>
                <w:szCs w:val="24"/>
                <w:highlight w:val="none"/>
                <w:lang w:val="en-US" w:eastAsia="zh-CN"/>
              </w:rPr>
              <w:t>较低</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611B4BD1">
            <w:pPr>
              <w:rPr>
                <w:rFonts w:hint="eastAsia" w:ascii="宋体" w:hAnsi="宋体" w:eastAsia="宋体" w:cs="宋体"/>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114D4A7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r>
      <w:tr w14:paraId="5AC13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7E7C392C">
            <w:pPr>
              <w:pStyle w:val="53"/>
              <w:numPr>
                <w:ilvl w:val="0"/>
                <w:numId w:val="24"/>
              </w:numPr>
              <w:snapToGrid w:val="0"/>
              <w:spacing w:line="288" w:lineRule="auto"/>
              <w:ind w:left="825" w:hanging="425" w:firstLineChars="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tc>
        <w:tc>
          <w:tcPr>
            <w:tcW w:w="1446" w:type="dxa"/>
            <w:vAlign w:val="center"/>
          </w:tcPr>
          <w:p w14:paraId="0C5E47A9">
            <w:pPr>
              <w:jc w:val="center"/>
              <w:rPr>
                <w:rFonts w:hint="eastAsia" w:ascii="宋体" w:hAnsi="宋体" w:eastAsia="宋体" w:cs="宋体"/>
                <w:sz w:val="24"/>
                <w:szCs w:val="24"/>
              </w:rPr>
            </w:pPr>
            <w:r>
              <w:rPr>
                <w:rFonts w:hint="eastAsia" w:ascii="宋体" w:hAnsi="宋体" w:eastAsia="宋体" w:cs="宋体"/>
                <w:color w:val="auto"/>
                <w:sz w:val="24"/>
                <w:szCs w:val="24"/>
                <w:highlight w:val="none"/>
              </w:rPr>
              <w:t>售后承诺及增值服务</w:t>
            </w:r>
          </w:p>
        </w:tc>
        <w:tc>
          <w:tcPr>
            <w:tcW w:w="5389" w:type="dxa"/>
            <w:vAlign w:val="center"/>
          </w:tcPr>
          <w:p w14:paraId="33461C30">
            <w:pPr>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各</w:t>
            </w:r>
            <w:r>
              <w:rPr>
                <w:rFonts w:hint="eastAsia" w:ascii="宋体" w:hAnsi="宋体" w:eastAsia="宋体" w:cs="宋体"/>
                <w:color w:val="auto"/>
                <w:sz w:val="24"/>
                <w:szCs w:val="24"/>
                <w:highlight w:val="none"/>
              </w:rPr>
              <w:t>投标人的售后承诺和增值服务进行综合评审：</w:t>
            </w:r>
          </w:p>
          <w:p w14:paraId="2CFA8E7B">
            <w:pPr>
              <w:numPr>
                <w:ilvl w:val="0"/>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对本项目有积极支持的态度，售后服务承诺明确且有实际的措施，增值服务丰富，得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分； </w:t>
            </w:r>
          </w:p>
          <w:p w14:paraId="20516762">
            <w:pPr>
              <w:numPr>
                <w:ilvl w:val="0"/>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售后服务承诺比较明确且有较为实际的措施，增值服务比较丰富，得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419A491">
            <w:pPr>
              <w:numPr>
                <w:ilvl w:val="0"/>
                <w:numId w:val="0"/>
              </w:numPr>
              <w:spacing w:line="360" w:lineRule="exact"/>
              <w:ind w:left="0" w:leftChars="0" w:firstLine="0" w:firstLineChars="0"/>
              <w:jc w:val="left"/>
              <w:rPr>
                <w:rFonts w:hint="eastAsia" w:ascii="宋体" w:hAnsi="宋体" w:eastAsia="宋体" w:cs="宋体"/>
                <w:color w:val="auto"/>
                <w:sz w:val="24"/>
                <w:szCs w:val="24"/>
                <w:highlight w:val="none"/>
              </w:rPr>
            </w:pPr>
            <w:r>
              <w:rPr>
                <w:rFonts w:hint="default" w:ascii="宋体" w:hAnsi="宋体" w:eastAsia="宋体" w:cs="宋体"/>
                <w:color w:val="auto"/>
                <w:sz w:val="24"/>
                <w:szCs w:val="24"/>
                <w:lang w:val="en-US" w:eastAsia="zh-CN" w:bidi="ar-SA"/>
              </w:rPr>
              <w:t>3.</w:t>
            </w:r>
            <w:r>
              <w:rPr>
                <w:rFonts w:hint="eastAsia" w:ascii="宋体" w:hAnsi="宋体" w:eastAsia="宋体" w:cs="宋体"/>
                <w:color w:val="auto"/>
                <w:sz w:val="24"/>
                <w:szCs w:val="24"/>
                <w:highlight w:val="none"/>
              </w:rPr>
              <w:t>售后服务承诺</w:t>
            </w:r>
            <w:r>
              <w:rPr>
                <w:rFonts w:hint="eastAsia" w:ascii="宋体" w:hAnsi="宋体" w:cs="宋体"/>
                <w:color w:val="auto"/>
                <w:sz w:val="24"/>
                <w:szCs w:val="24"/>
                <w:highlight w:val="none"/>
                <w:lang w:val="en-US" w:eastAsia="zh-CN"/>
              </w:rPr>
              <w:t>不够</w:t>
            </w:r>
            <w:r>
              <w:rPr>
                <w:rFonts w:hint="eastAsia" w:ascii="宋体" w:hAnsi="宋体" w:eastAsia="宋体" w:cs="宋体"/>
                <w:color w:val="auto"/>
                <w:sz w:val="24"/>
                <w:szCs w:val="24"/>
                <w:highlight w:val="none"/>
              </w:rPr>
              <w:t>明确且有对应措施，有</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增值服务，得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182D416">
            <w:pPr>
              <w:rPr>
                <w:rFonts w:hint="eastAsia" w:ascii="宋体" w:hAnsi="宋体" w:eastAsia="宋体" w:cs="宋体"/>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7C52231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28DF7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022D9795">
            <w:pPr>
              <w:pStyle w:val="53"/>
              <w:numPr>
                <w:ilvl w:val="0"/>
                <w:numId w:val="24"/>
              </w:numPr>
              <w:snapToGrid w:val="0"/>
              <w:spacing w:line="288" w:lineRule="auto"/>
              <w:ind w:left="825" w:hanging="425" w:firstLineChars="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tc>
        <w:tc>
          <w:tcPr>
            <w:tcW w:w="1446" w:type="dxa"/>
            <w:vAlign w:val="center"/>
          </w:tcPr>
          <w:p w14:paraId="4E7CDE61">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食品安全管理方案</w:t>
            </w:r>
          </w:p>
        </w:tc>
        <w:tc>
          <w:tcPr>
            <w:tcW w:w="5389" w:type="dxa"/>
            <w:vAlign w:val="center"/>
          </w:tcPr>
          <w:p w14:paraId="74E05DA3">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lang w:val="en-US" w:eastAsia="zh-CN"/>
              </w:rPr>
              <w:t>根据</w:t>
            </w:r>
            <w:r>
              <w:rPr>
                <w:rFonts w:hint="eastAsia" w:ascii="宋体" w:hAnsi="宋体" w:cs="宋体"/>
                <w:bCs w:val="0"/>
                <w:color w:val="auto"/>
                <w:sz w:val="24"/>
                <w:szCs w:val="24"/>
                <w:highlight w:val="none"/>
              </w:rPr>
              <w:t>投标人</w:t>
            </w:r>
            <w:r>
              <w:rPr>
                <w:rFonts w:hint="eastAsia" w:ascii="宋体" w:hAnsi="宋体" w:cs="宋体"/>
                <w:bCs w:val="0"/>
                <w:color w:val="auto"/>
                <w:sz w:val="24"/>
                <w:szCs w:val="24"/>
                <w:highlight w:val="none"/>
                <w:lang w:val="en-US" w:eastAsia="zh-CN"/>
              </w:rPr>
              <w:t>针对本项目</w:t>
            </w:r>
            <w:r>
              <w:rPr>
                <w:rFonts w:hint="eastAsia" w:ascii="宋体" w:hAnsi="宋体" w:cs="宋体"/>
                <w:bCs w:val="0"/>
                <w:color w:val="auto"/>
                <w:sz w:val="24"/>
                <w:szCs w:val="24"/>
                <w:highlight w:val="none"/>
              </w:rPr>
              <w:t>提供的食堂安全管理</w:t>
            </w:r>
            <w:r>
              <w:rPr>
                <w:rFonts w:hint="eastAsia" w:ascii="宋体" w:hAnsi="宋体" w:cs="宋体"/>
                <w:bCs w:val="0"/>
                <w:color w:val="auto"/>
                <w:sz w:val="24"/>
                <w:szCs w:val="24"/>
                <w:highlight w:val="none"/>
                <w:lang w:val="en-US" w:eastAsia="zh-CN"/>
              </w:rPr>
              <w:t>方案（包括但不限于从业人员管理、食材采购管理、食材验收管理、食材贮藏管理、食材生产加工管理、供餐管理、餐具洗消管理等方面内容）</w:t>
            </w:r>
            <w:r>
              <w:rPr>
                <w:rFonts w:hint="eastAsia" w:ascii="宋体" w:hAnsi="宋体" w:cs="宋体"/>
                <w:bCs w:val="0"/>
                <w:color w:val="auto"/>
                <w:sz w:val="24"/>
                <w:szCs w:val="24"/>
                <w:highlight w:val="none"/>
              </w:rPr>
              <w:t>进行评审：</w:t>
            </w:r>
          </w:p>
          <w:p w14:paraId="6B816615">
            <w:pPr>
              <w:keepNext w:val="0"/>
              <w:keepLines w:val="0"/>
              <w:pageBreakBefore w:val="0"/>
              <w:kinsoku/>
              <w:wordWrap/>
              <w:overflowPunct/>
              <w:topLinePunct w:val="0"/>
              <w:bidi w:val="0"/>
              <w:adjustRightInd/>
              <w:snapToGrid/>
              <w:spacing w:line="360" w:lineRule="exact"/>
              <w:ind w:left="0" w:firstLine="0"/>
              <w:jc w:val="left"/>
              <w:textAlignment w:val="auto"/>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w:t>
            </w:r>
            <w:r>
              <w:rPr>
                <w:rFonts w:hint="eastAsia" w:ascii="宋体" w:hAnsi="宋体" w:cs="宋体"/>
                <w:bCs w:val="0"/>
                <w:color w:val="auto"/>
                <w:sz w:val="24"/>
                <w:szCs w:val="24"/>
                <w:highlight w:val="none"/>
                <w:lang w:val="en-US" w:eastAsia="zh-CN"/>
              </w:rPr>
              <w:t>.</w:t>
            </w:r>
            <w:r>
              <w:rPr>
                <w:rFonts w:hint="eastAsia" w:ascii="宋体" w:hAnsi="宋体" w:cs="宋体"/>
                <w:color w:val="auto"/>
                <w:sz w:val="24"/>
                <w:szCs w:val="24"/>
                <w:highlight w:val="none"/>
              </w:rPr>
              <w:t>方案内容</w:t>
            </w:r>
            <w:r>
              <w:rPr>
                <w:rFonts w:hint="eastAsia" w:ascii="宋体" w:hAnsi="宋体" w:eastAsia="宋体" w:cs="宋体"/>
                <w:color w:val="auto"/>
                <w:sz w:val="24"/>
                <w:szCs w:val="24"/>
                <w:highlight w:val="none"/>
              </w:rPr>
              <w:t>详细合理，切合实际，</w:t>
            </w:r>
            <w:r>
              <w:rPr>
                <w:rFonts w:hint="eastAsia" w:ascii="宋体" w:hAnsi="宋体" w:cs="宋体"/>
                <w:color w:val="auto"/>
                <w:sz w:val="24"/>
                <w:szCs w:val="24"/>
                <w:highlight w:val="none"/>
              </w:rPr>
              <w:t>管理方案可行</w:t>
            </w:r>
            <w:r>
              <w:rPr>
                <w:rFonts w:hint="eastAsia" w:ascii="宋体" w:hAnsi="宋体" w:cs="宋体"/>
                <w:color w:val="auto"/>
                <w:sz w:val="24"/>
                <w:szCs w:val="24"/>
                <w:highlight w:val="none"/>
                <w:lang w:val="en-US" w:eastAsia="zh-CN"/>
              </w:rPr>
              <w:t>性强</w:t>
            </w:r>
            <w:r>
              <w:rPr>
                <w:rFonts w:hint="eastAsia" w:ascii="宋体" w:hAnsi="宋体" w:cs="宋体"/>
                <w:color w:val="auto"/>
                <w:sz w:val="24"/>
                <w:szCs w:val="24"/>
                <w:highlight w:val="none"/>
              </w:rPr>
              <w:t>的，</w:t>
            </w:r>
            <w:r>
              <w:rPr>
                <w:rFonts w:hint="eastAsia" w:ascii="宋体" w:hAnsi="宋体" w:cs="宋体"/>
                <w:bCs w:val="0"/>
                <w:color w:val="auto"/>
                <w:sz w:val="24"/>
                <w:szCs w:val="24"/>
                <w:highlight w:val="none"/>
              </w:rPr>
              <w:t>得</w:t>
            </w:r>
            <w:r>
              <w:rPr>
                <w:rFonts w:hint="eastAsia" w:ascii="宋体" w:hAnsi="宋体" w:cs="宋体"/>
                <w:bCs w:val="0"/>
                <w:color w:val="auto"/>
                <w:sz w:val="24"/>
                <w:szCs w:val="24"/>
                <w:highlight w:val="none"/>
                <w:lang w:val="en-US" w:eastAsia="zh-CN"/>
              </w:rPr>
              <w:t>12</w:t>
            </w:r>
            <w:r>
              <w:rPr>
                <w:rFonts w:hint="eastAsia" w:ascii="宋体" w:hAnsi="宋体" w:cs="宋体"/>
                <w:bCs w:val="0"/>
                <w:color w:val="auto"/>
                <w:sz w:val="24"/>
                <w:szCs w:val="24"/>
                <w:highlight w:val="none"/>
              </w:rPr>
              <w:t>分；</w:t>
            </w:r>
          </w:p>
          <w:p w14:paraId="7872AF4B">
            <w:pPr>
              <w:keepNext w:val="0"/>
              <w:keepLines w:val="0"/>
              <w:pageBreakBefore w:val="0"/>
              <w:kinsoku/>
              <w:wordWrap/>
              <w:overflowPunct/>
              <w:topLinePunct w:val="0"/>
              <w:bidi w:val="0"/>
              <w:adjustRightInd/>
              <w:snapToGrid/>
              <w:spacing w:line="360" w:lineRule="exact"/>
              <w:ind w:left="0" w:firstLine="0"/>
              <w:jc w:val="left"/>
              <w:textAlignment w:val="auto"/>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lang w:val="en-US" w:eastAsia="zh-CN"/>
              </w:rPr>
              <w:t>2.</w:t>
            </w:r>
            <w:r>
              <w:rPr>
                <w:rFonts w:hint="eastAsia" w:ascii="宋体" w:hAnsi="宋体" w:cs="宋体"/>
                <w:color w:val="auto"/>
                <w:sz w:val="24"/>
                <w:szCs w:val="24"/>
                <w:highlight w:val="none"/>
              </w:rPr>
              <w:t>方案内容</w:t>
            </w:r>
            <w:r>
              <w:rPr>
                <w:rFonts w:hint="eastAsia" w:ascii="宋体" w:hAnsi="宋体" w:eastAsia="宋体" w:cs="宋体"/>
                <w:color w:val="auto"/>
                <w:sz w:val="24"/>
                <w:szCs w:val="24"/>
                <w:highlight w:val="none"/>
              </w:rPr>
              <w:t>比较详细合理，切合实际，</w:t>
            </w:r>
            <w:r>
              <w:rPr>
                <w:rFonts w:hint="eastAsia" w:ascii="宋体" w:hAnsi="宋体" w:cs="宋体"/>
                <w:color w:val="auto"/>
                <w:sz w:val="24"/>
                <w:szCs w:val="24"/>
                <w:highlight w:val="none"/>
              </w:rPr>
              <w:t>管理方案可行</w:t>
            </w:r>
            <w:r>
              <w:rPr>
                <w:rFonts w:hint="eastAsia" w:ascii="宋体" w:hAnsi="宋体" w:cs="宋体"/>
                <w:color w:val="auto"/>
                <w:sz w:val="24"/>
                <w:szCs w:val="24"/>
                <w:highlight w:val="none"/>
                <w:lang w:val="en-US" w:eastAsia="zh-CN"/>
              </w:rPr>
              <w:t>性较高</w:t>
            </w:r>
            <w:r>
              <w:rPr>
                <w:rFonts w:hint="eastAsia" w:ascii="宋体" w:hAnsi="宋体" w:cs="宋体"/>
                <w:color w:val="auto"/>
                <w:sz w:val="24"/>
                <w:szCs w:val="24"/>
                <w:highlight w:val="none"/>
              </w:rPr>
              <w:t>的，</w:t>
            </w:r>
            <w:r>
              <w:rPr>
                <w:rFonts w:hint="eastAsia" w:ascii="宋体" w:hAnsi="宋体" w:cs="宋体"/>
                <w:bCs w:val="0"/>
                <w:color w:val="auto"/>
                <w:sz w:val="24"/>
                <w:szCs w:val="24"/>
                <w:highlight w:val="none"/>
              </w:rPr>
              <w:t>得</w:t>
            </w:r>
            <w:r>
              <w:rPr>
                <w:rFonts w:hint="eastAsia" w:ascii="宋体" w:hAnsi="宋体" w:cs="宋体"/>
                <w:bCs w:val="0"/>
                <w:color w:val="auto"/>
                <w:sz w:val="24"/>
                <w:szCs w:val="24"/>
                <w:highlight w:val="none"/>
                <w:lang w:val="en-US" w:eastAsia="zh-CN"/>
              </w:rPr>
              <w:t>8</w:t>
            </w:r>
            <w:r>
              <w:rPr>
                <w:rFonts w:hint="eastAsia" w:ascii="宋体" w:hAnsi="宋体" w:cs="宋体"/>
                <w:bCs w:val="0"/>
                <w:color w:val="auto"/>
                <w:sz w:val="24"/>
                <w:szCs w:val="24"/>
                <w:highlight w:val="none"/>
              </w:rPr>
              <w:t>分；</w:t>
            </w:r>
          </w:p>
          <w:p w14:paraId="387AF87B">
            <w:pPr>
              <w:keepNext w:val="0"/>
              <w:keepLines w:val="0"/>
              <w:pageBreakBefore w:val="0"/>
              <w:kinsoku/>
              <w:wordWrap/>
              <w:overflowPunct/>
              <w:topLinePunct w:val="0"/>
              <w:bidi w:val="0"/>
              <w:adjustRightInd/>
              <w:snapToGrid/>
              <w:spacing w:line="360" w:lineRule="exact"/>
              <w:ind w:left="0" w:firstLine="0"/>
              <w:jc w:val="left"/>
              <w:textAlignment w:val="auto"/>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lang w:val="en-US" w:eastAsia="zh-CN"/>
              </w:rPr>
              <w:t>3.</w:t>
            </w:r>
            <w:r>
              <w:rPr>
                <w:rFonts w:hint="eastAsia" w:ascii="宋体" w:hAnsi="宋体" w:cs="宋体"/>
                <w:color w:val="auto"/>
                <w:sz w:val="24"/>
                <w:szCs w:val="24"/>
                <w:highlight w:val="none"/>
              </w:rPr>
              <w:t>方案内容不够全面，制度不够合理、管理方案可行</w:t>
            </w:r>
            <w:r>
              <w:rPr>
                <w:rFonts w:hint="eastAsia" w:ascii="宋体" w:hAnsi="宋体" w:cs="宋体"/>
                <w:color w:val="auto"/>
                <w:sz w:val="24"/>
                <w:szCs w:val="24"/>
                <w:highlight w:val="none"/>
                <w:lang w:val="en-US" w:eastAsia="zh-CN"/>
              </w:rPr>
              <w:t>低</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不完全满足需求的，</w:t>
            </w:r>
            <w:r>
              <w:rPr>
                <w:rFonts w:hint="eastAsia" w:ascii="宋体" w:hAnsi="宋体" w:cs="宋体"/>
                <w:bCs w:val="0"/>
                <w:color w:val="auto"/>
                <w:sz w:val="24"/>
                <w:szCs w:val="24"/>
                <w:highlight w:val="none"/>
              </w:rPr>
              <w:t>得</w:t>
            </w:r>
            <w:r>
              <w:rPr>
                <w:rFonts w:hint="eastAsia" w:ascii="宋体" w:hAnsi="宋体" w:cs="宋体"/>
                <w:bCs w:val="0"/>
                <w:color w:val="auto"/>
                <w:sz w:val="24"/>
                <w:szCs w:val="24"/>
                <w:highlight w:val="none"/>
                <w:lang w:val="en-US" w:eastAsia="zh-CN"/>
              </w:rPr>
              <w:t>4</w:t>
            </w:r>
            <w:r>
              <w:rPr>
                <w:rFonts w:hint="eastAsia" w:ascii="宋体" w:hAnsi="宋体" w:cs="宋体"/>
                <w:bCs w:val="0"/>
                <w:color w:val="auto"/>
                <w:sz w:val="24"/>
                <w:szCs w:val="24"/>
                <w:highlight w:val="none"/>
              </w:rPr>
              <w:t>分；</w:t>
            </w:r>
          </w:p>
          <w:p w14:paraId="5C60353E">
            <w:pPr>
              <w:spacing w:line="360" w:lineRule="exact"/>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rPr>
              <w:t>未提供方案不得分。</w:t>
            </w:r>
          </w:p>
        </w:tc>
        <w:tc>
          <w:tcPr>
            <w:tcW w:w="795" w:type="dxa"/>
            <w:vAlign w:val="center"/>
          </w:tcPr>
          <w:p w14:paraId="2E2CC43F">
            <w:pPr>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r>
      <w:tr w14:paraId="103FA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889" w:type="dxa"/>
            <w:vAlign w:val="center"/>
          </w:tcPr>
          <w:p w14:paraId="48496BD9">
            <w:pPr>
              <w:numPr>
                <w:ilvl w:val="0"/>
                <w:numId w:val="24"/>
              </w:numPr>
              <w:ind w:left="825" w:hanging="425"/>
              <w:rPr>
                <w:rFonts w:hint="eastAsia" w:ascii="宋体" w:hAnsi="宋体" w:eastAsia="宋体" w:cs="宋体"/>
                <w:sz w:val="24"/>
                <w:szCs w:val="24"/>
              </w:rPr>
            </w:pPr>
          </w:p>
        </w:tc>
        <w:tc>
          <w:tcPr>
            <w:tcW w:w="1446" w:type="dxa"/>
            <w:vAlign w:val="center"/>
          </w:tcPr>
          <w:p w14:paraId="32365DF2">
            <w:pPr>
              <w:snapToGrid/>
              <w:spacing w:line="240" w:lineRule="auto"/>
              <w:jc w:val="center"/>
              <w:rPr>
                <w:rFonts w:hint="eastAsia" w:ascii="宋体" w:hAnsi="宋体" w:cs="宋体"/>
                <w:sz w:val="24"/>
                <w:szCs w:val="24"/>
              </w:rPr>
            </w:pPr>
            <w:r>
              <w:rPr>
                <w:rFonts w:hint="eastAsia" w:ascii="宋体" w:hAnsi="宋体" w:eastAsia="宋体" w:cs="宋体"/>
                <w:color w:val="auto"/>
                <w:sz w:val="24"/>
                <w:szCs w:val="24"/>
                <w:highlight w:val="none"/>
              </w:rPr>
              <w:t>同类项目经验</w:t>
            </w:r>
          </w:p>
        </w:tc>
        <w:tc>
          <w:tcPr>
            <w:tcW w:w="5389" w:type="dxa"/>
            <w:vAlign w:val="center"/>
          </w:tcPr>
          <w:p w14:paraId="66D1FFFB">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2016年1月1日至今（以合同签订日期为准）承接</w:t>
            </w:r>
            <w:r>
              <w:rPr>
                <w:rFonts w:hint="eastAsia" w:ascii="宋体" w:hAnsi="宋体" w:eastAsia="宋体" w:cs="宋体"/>
                <w:color w:val="auto"/>
                <w:sz w:val="24"/>
                <w:szCs w:val="24"/>
                <w:highlight w:val="none"/>
                <w:lang w:eastAsia="zh-CN"/>
              </w:rPr>
              <w:t>过</w:t>
            </w:r>
            <w:r>
              <w:rPr>
                <w:rFonts w:hint="eastAsia" w:ascii="宋体" w:hAnsi="宋体" w:eastAsia="宋体" w:cs="宋体"/>
                <w:color w:val="auto"/>
                <w:sz w:val="24"/>
                <w:szCs w:val="24"/>
                <w:highlight w:val="none"/>
              </w:rPr>
              <w:t>同类或类似项目业绩</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每项得2.5分，最高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5C7AE7B">
            <w:pPr>
              <w:snapToGrid/>
              <w:spacing w:line="240" w:lineRule="auto"/>
              <w:ind w:left="0" w:leftChars="0" w:right="0" w:rightChars="0"/>
              <w:jc w:val="left"/>
              <w:rPr>
                <w:rFonts w:hint="eastAsia" w:ascii="宋体" w:hAnsi="宋体" w:eastAsia="宋体" w:cs="宋体"/>
                <w:sz w:val="24"/>
                <w:szCs w:val="24"/>
                <w:shd w:val="clear"/>
                <w:lang w:val="en-US" w:eastAsia="zh-CN"/>
              </w:rPr>
            </w:pPr>
            <w:r>
              <w:rPr>
                <w:rFonts w:hint="eastAsia" w:ascii="宋体" w:hAnsi="宋体" w:eastAsia="宋体" w:cs="宋体"/>
                <w:color w:val="auto"/>
                <w:sz w:val="24"/>
                <w:szCs w:val="24"/>
                <w:highlight w:val="none"/>
              </w:rPr>
              <w:t>备注：须提供合同</w:t>
            </w:r>
            <w:r>
              <w:rPr>
                <w:rFonts w:hint="eastAsia" w:ascii="宋体" w:hAnsi="宋体" w:eastAsia="宋体" w:cs="宋体"/>
                <w:color w:val="auto"/>
                <w:sz w:val="24"/>
                <w:szCs w:val="24"/>
                <w:highlight w:val="none"/>
                <w:lang w:eastAsia="zh-CN"/>
              </w:rPr>
              <w:t>或协议书</w:t>
            </w:r>
            <w:r>
              <w:rPr>
                <w:rFonts w:hint="eastAsia" w:ascii="宋体" w:hAnsi="宋体" w:eastAsia="宋体" w:cs="宋体"/>
                <w:color w:val="auto"/>
                <w:sz w:val="24"/>
                <w:szCs w:val="24"/>
                <w:highlight w:val="none"/>
              </w:rPr>
              <w:t>复印件作为</w:t>
            </w:r>
            <w:r>
              <w:rPr>
                <w:rFonts w:hint="eastAsia" w:ascii="宋体" w:hAnsi="宋体" w:eastAsia="宋体" w:cs="宋体"/>
                <w:color w:val="auto"/>
                <w:sz w:val="24"/>
                <w:szCs w:val="24"/>
                <w:highlight w:val="none"/>
                <w:lang w:eastAsia="zh-CN"/>
              </w:rPr>
              <w:t>评审依据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不提供不得分。</w:t>
            </w:r>
          </w:p>
        </w:tc>
        <w:tc>
          <w:tcPr>
            <w:tcW w:w="795" w:type="dxa"/>
            <w:vAlign w:val="center"/>
          </w:tcPr>
          <w:p w14:paraId="26DA30D3">
            <w:pPr>
              <w:snapToGrid/>
              <w:spacing w:line="240" w:lineRule="auto"/>
              <w:ind w:left="0" w:leftChars="0" w:right="0" w:right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14:paraId="631F6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889" w:type="dxa"/>
            <w:vAlign w:val="center"/>
          </w:tcPr>
          <w:p w14:paraId="58D46A2B">
            <w:pPr>
              <w:numPr>
                <w:ilvl w:val="0"/>
                <w:numId w:val="24"/>
              </w:numPr>
              <w:ind w:left="825" w:hanging="425"/>
              <w:rPr>
                <w:rFonts w:hint="eastAsia" w:ascii="宋体" w:hAnsi="宋体" w:eastAsia="宋体" w:cs="宋体"/>
                <w:sz w:val="24"/>
                <w:szCs w:val="24"/>
              </w:rPr>
            </w:pPr>
          </w:p>
        </w:tc>
        <w:tc>
          <w:tcPr>
            <w:tcW w:w="1446" w:type="dxa"/>
            <w:vAlign w:val="center"/>
          </w:tcPr>
          <w:p w14:paraId="088E59A6">
            <w:pPr>
              <w:snapToGrid/>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拟派本项目人员情况</w:t>
            </w:r>
          </w:p>
        </w:tc>
        <w:tc>
          <w:tcPr>
            <w:tcW w:w="5389" w:type="dxa"/>
            <w:vAlign w:val="center"/>
          </w:tcPr>
          <w:p w14:paraId="1362C9A1">
            <w:pPr>
              <w:widowControl/>
              <w:autoSpaceDE/>
              <w:autoSpaceDN/>
              <w:snapToGrid/>
              <w:spacing w:line="3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现场项目</w:t>
            </w:r>
            <w:r>
              <w:rPr>
                <w:rFonts w:hint="eastAsia" w:ascii="宋体" w:hAnsi="宋体" w:eastAsia="宋体" w:cs="宋体"/>
                <w:color w:val="auto"/>
                <w:sz w:val="24"/>
                <w:szCs w:val="24"/>
                <w:highlight w:val="none"/>
                <w:lang w:eastAsia="zh-CN"/>
              </w:rPr>
              <w:t>负责人</w:t>
            </w:r>
            <w:r>
              <w:rPr>
                <w:rFonts w:hint="eastAsia" w:ascii="宋体" w:hAnsi="Times New Roman" w:eastAsia="宋体" w:cs="宋体"/>
                <w:b w:val="0"/>
                <w:bCs w:val="0"/>
                <w:color w:val="auto"/>
                <w:sz w:val="24"/>
                <w:szCs w:val="24"/>
                <w:highlight w:val="none"/>
              </w:rPr>
              <w:t>（兼食品安全总监）</w:t>
            </w:r>
            <w:r>
              <w:rPr>
                <w:rFonts w:hint="eastAsia" w:ascii="宋体" w:hAnsi="宋体" w:eastAsia="宋体" w:cs="宋体"/>
                <w:color w:val="auto"/>
                <w:sz w:val="24"/>
                <w:szCs w:val="24"/>
                <w:highlight w:val="none"/>
                <w:lang w:val="en-US" w:eastAsia="zh-CN"/>
              </w:rPr>
              <w:t>具有食品药品监督管理局或市场监督管理局颁发的处于有效期内的食品安全管理人员考试合格证明情况进行评价：具有</w:t>
            </w:r>
            <w:r>
              <w:rPr>
                <w:rFonts w:hint="eastAsia" w:ascii="宋体" w:hAnsi="宋体" w:cs="宋体"/>
                <w:color w:val="auto"/>
                <w:sz w:val="24"/>
                <w:szCs w:val="24"/>
                <w:highlight w:val="none"/>
                <w:lang w:val="en-US" w:eastAsia="zh-CN"/>
              </w:rPr>
              <w:t>中级或以上</w:t>
            </w:r>
            <w:r>
              <w:rPr>
                <w:rFonts w:hint="eastAsia" w:ascii="宋体" w:hAnsi="宋体" w:eastAsia="宋体" w:cs="宋体"/>
                <w:color w:val="auto"/>
                <w:sz w:val="24"/>
                <w:szCs w:val="24"/>
                <w:highlight w:val="none"/>
                <w:lang w:val="en-US" w:eastAsia="zh-CN"/>
              </w:rPr>
              <w:t>食品安全管理人员考试合格证明的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 备注：（1）</w:t>
            </w:r>
            <w:r>
              <w:rPr>
                <w:rFonts w:hint="eastAsia" w:ascii="宋体" w:hAnsi="宋体" w:cs="宋体"/>
                <w:color w:val="auto"/>
                <w:sz w:val="24"/>
                <w:szCs w:val="24"/>
                <w:highlight w:val="none"/>
                <w:lang w:val="en-US" w:eastAsia="zh-CN"/>
              </w:rPr>
              <w:t>投标人须</w:t>
            </w:r>
            <w:r>
              <w:rPr>
                <w:rFonts w:hint="eastAsia" w:ascii="宋体" w:hAnsi="宋体" w:eastAsia="宋体" w:cs="宋体"/>
                <w:color w:val="auto"/>
                <w:sz w:val="24"/>
                <w:szCs w:val="24"/>
                <w:highlight w:val="none"/>
                <w:lang w:val="en-US" w:eastAsia="zh-CN"/>
              </w:rPr>
              <w:t>提供获得证明人员的身份证及相关证书</w:t>
            </w:r>
            <w:r>
              <w:rPr>
                <w:rFonts w:hint="eastAsia" w:ascii="宋体" w:hAnsi="宋体" w:cs="宋体"/>
                <w:color w:val="auto"/>
                <w:sz w:val="24"/>
                <w:szCs w:val="24"/>
                <w:highlight w:val="none"/>
                <w:lang w:val="en-US" w:eastAsia="zh-CN"/>
              </w:rPr>
              <w:t>复印</w:t>
            </w:r>
            <w:r>
              <w:rPr>
                <w:rFonts w:hint="eastAsia" w:ascii="宋体" w:hAnsi="宋体" w:eastAsia="宋体" w:cs="宋体"/>
                <w:color w:val="auto"/>
                <w:sz w:val="24"/>
                <w:szCs w:val="24"/>
                <w:highlight w:val="none"/>
                <w:lang w:val="en-US" w:eastAsia="zh-CN"/>
              </w:rPr>
              <w:t>件，并提供本项目投标截止前6个月内任意1个月在投标单位的社会保险参保人员缴费证明，不提供不得分；（2）如食品安全管理人员考试合格证明有效期不能须覆盖合同期的，投标人还应提供承诺函（格式自拟）并加盖公章，承诺将按照不少于不低于评审得分证书等级的原则组织</w:t>
            </w:r>
            <w:r>
              <w:rPr>
                <w:rFonts w:hint="eastAsia" w:ascii="宋体" w:hAnsi="Times New Roman" w:eastAsia="宋体" w:cs="宋体"/>
                <w:b w:val="0"/>
                <w:bCs w:val="0"/>
                <w:color w:val="auto"/>
                <w:sz w:val="24"/>
                <w:szCs w:val="24"/>
                <w:highlight w:val="none"/>
              </w:rPr>
              <w:t>现场项目</w:t>
            </w:r>
            <w:r>
              <w:rPr>
                <w:rFonts w:hint="eastAsia" w:ascii="宋体" w:cs="宋体"/>
                <w:b w:val="0"/>
                <w:bCs w:val="0"/>
                <w:color w:val="auto"/>
                <w:sz w:val="24"/>
                <w:szCs w:val="24"/>
                <w:highlight w:val="none"/>
                <w:lang w:val="en-US" w:eastAsia="zh-CN"/>
              </w:rPr>
              <w:t>负责人</w:t>
            </w:r>
            <w:r>
              <w:rPr>
                <w:rFonts w:hint="eastAsia" w:ascii="宋体" w:hAnsi="Times New Roman" w:eastAsia="宋体" w:cs="宋体"/>
                <w:b w:val="0"/>
                <w:bCs w:val="0"/>
                <w:color w:val="auto"/>
                <w:sz w:val="24"/>
                <w:szCs w:val="24"/>
                <w:highlight w:val="none"/>
              </w:rPr>
              <w:t>（兼食品安全总监）</w:t>
            </w:r>
            <w:r>
              <w:rPr>
                <w:rFonts w:hint="eastAsia" w:ascii="宋体" w:hAnsi="宋体" w:eastAsia="宋体" w:cs="宋体"/>
                <w:color w:val="auto"/>
                <w:sz w:val="24"/>
                <w:szCs w:val="24"/>
                <w:highlight w:val="none"/>
                <w:lang w:val="en-US" w:eastAsia="zh-CN"/>
              </w:rPr>
              <w:t>考试合格或延长证明有效期，以确保本项目合同期内配备相应食品安全管理人员提供服务。</w:t>
            </w:r>
          </w:p>
        </w:tc>
        <w:tc>
          <w:tcPr>
            <w:tcW w:w="795" w:type="dxa"/>
            <w:vAlign w:val="center"/>
          </w:tcPr>
          <w:p w14:paraId="2EA318F4">
            <w:pPr>
              <w:snapToGrid/>
              <w:spacing w:line="240" w:lineRule="auto"/>
              <w:ind w:left="0" w:leftChars="0" w:right="0" w:rightChars="0"/>
              <w:jc w:val="center"/>
              <w:rPr>
                <w:rFonts w:hint="eastAsia" w:ascii="宋体" w:hAnsi="宋体" w:cs="宋体"/>
                <w:sz w:val="24"/>
                <w:szCs w:val="24"/>
                <w:lang w:val="en-US" w:eastAsia="zh-CN"/>
              </w:rPr>
            </w:pPr>
            <w:r>
              <w:rPr>
                <w:rFonts w:hint="eastAsia" w:ascii="宋体" w:hAnsi="宋体" w:cs="宋体"/>
                <w:sz w:val="24"/>
                <w:szCs w:val="24"/>
                <w:lang w:val="en-US" w:eastAsia="zh-CN"/>
              </w:rPr>
              <w:t>5</w:t>
            </w:r>
          </w:p>
        </w:tc>
      </w:tr>
      <w:tr w14:paraId="314A7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24" w:type="dxa"/>
            <w:gridSpan w:val="3"/>
            <w:vAlign w:val="center"/>
          </w:tcPr>
          <w:p w14:paraId="5CC885ED">
            <w:pPr>
              <w:snapToGrid w:val="0"/>
              <w:spacing w:line="288" w:lineRule="auto"/>
              <w:ind w:left="-74" w:leftChars="-37" w:right="-70" w:rightChars="-35"/>
              <w:jc w:val="center"/>
              <w:rPr>
                <w:rFonts w:cs="宋体" w:asciiTheme="minorEastAsia" w:hAnsiTheme="minorEastAsia" w:eastAsiaTheme="minorEastAsia"/>
                <w:b/>
                <w:sz w:val="24"/>
              </w:rPr>
            </w:pPr>
            <w:r>
              <w:rPr>
                <w:rFonts w:hint="eastAsia" w:asciiTheme="minorEastAsia" w:hAnsiTheme="minorEastAsia" w:eastAsiaTheme="minorEastAsia"/>
                <w:b/>
                <w:sz w:val="24"/>
              </w:rPr>
              <w:t>合计</w:t>
            </w:r>
          </w:p>
        </w:tc>
        <w:tc>
          <w:tcPr>
            <w:tcW w:w="795" w:type="dxa"/>
            <w:vAlign w:val="center"/>
          </w:tcPr>
          <w:p w14:paraId="4AE74729">
            <w:pPr>
              <w:snapToGrid w:val="0"/>
              <w:spacing w:line="288" w:lineRule="auto"/>
              <w:ind w:left="-74" w:leftChars="-37" w:right="-70" w:rightChars="-35"/>
              <w:jc w:val="center"/>
              <w:rPr>
                <w:rFonts w:cs="宋体" w:asciiTheme="minorEastAsia" w:hAnsiTheme="minorEastAsia" w:eastAsiaTheme="minorEastAsia"/>
                <w:b/>
                <w:sz w:val="24"/>
              </w:rPr>
            </w:pPr>
            <w:r>
              <w:rPr>
                <w:rFonts w:hint="eastAsia" w:ascii="宋体" w:hAnsi="宋体" w:eastAsia="宋体" w:cs="宋体"/>
                <w:b/>
                <w:sz w:val="24"/>
                <w:lang w:val="en-US" w:eastAsia="zh-CN"/>
              </w:rPr>
              <w:t>90</w:t>
            </w:r>
            <w:r>
              <w:rPr>
                <w:rFonts w:hint="eastAsia" w:ascii="宋体" w:hAnsi="宋体" w:eastAsia="宋体" w:cs="宋体"/>
                <w:b/>
                <w:sz w:val="24"/>
              </w:rPr>
              <w:t>分</w:t>
            </w:r>
          </w:p>
        </w:tc>
      </w:tr>
    </w:tbl>
    <w:p w14:paraId="610E20FB">
      <w:pPr>
        <w:rPr>
          <w:rFonts w:hint="eastAsia"/>
          <w:lang w:eastAsia="zh-CN"/>
        </w:rPr>
      </w:pPr>
      <w:r>
        <w:rPr>
          <w:rFonts w:hint="eastAsia"/>
          <w:lang w:eastAsia="zh-CN"/>
        </w:rPr>
        <w:br w:type="page"/>
      </w:r>
    </w:p>
    <w:bookmarkEnd w:id="21"/>
    <w:bookmarkEnd w:id="22"/>
    <w:bookmarkEnd w:id="23"/>
    <w:p w14:paraId="40FDBC9E">
      <w:pPr>
        <w:snapToGrid w:val="0"/>
        <w:spacing w:before="156" w:beforeLines="50" w:after="156" w:afterLines="50"/>
        <w:jc w:val="center"/>
        <w:outlineLvl w:val="1"/>
        <w:rPr>
          <w:rFonts w:ascii="宋体" w:hAnsi="宋体" w:cs="宋体"/>
          <w:color w:val="auto"/>
          <w:sz w:val="24"/>
          <w:szCs w:val="24"/>
        </w:rPr>
      </w:pPr>
      <w:r>
        <w:rPr>
          <w:rStyle w:val="32"/>
          <w:rFonts w:hint="eastAsia" w:ascii="宋体" w:hAnsi="宋体" w:eastAsia="宋体" w:cs="宋体"/>
          <w:color w:val="auto"/>
          <w:sz w:val="28"/>
          <w:szCs w:val="28"/>
        </w:rPr>
        <w:t>价 格 评 分 表</w:t>
      </w:r>
    </w:p>
    <w:p w14:paraId="662DB036">
      <w:pPr>
        <w:snapToGrid w:val="0"/>
        <w:spacing w:before="156" w:beforeLines="50" w:after="156" w:afterLines="5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p w14:paraId="7BEA382F">
      <w:pPr>
        <w:numPr>
          <w:ilvl w:val="0"/>
          <w:numId w:val="26"/>
        </w:numPr>
        <w:autoSpaceDE/>
        <w:autoSpaceDN/>
        <w:adjustRightInd/>
        <w:snapToGrid w:val="0"/>
        <w:spacing w:line="360" w:lineRule="auto"/>
        <w:ind w:left="425" w:hanging="425"/>
        <w:jc w:val="both"/>
        <w:rPr>
          <w:rFonts w:ascii="宋体" w:hAnsi="宋体" w:cs="宋体"/>
          <w:bCs/>
          <w:color w:val="auto"/>
          <w:sz w:val="24"/>
          <w:szCs w:val="24"/>
        </w:rPr>
      </w:pPr>
      <w:r>
        <w:rPr>
          <w:rFonts w:hint="eastAsia" w:ascii="宋体" w:hAnsi="宋体" w:cs="宋体"/>
          <w:bCs/>
          <w:color w:val="auto"/>
          <w:sz w:val="24"/>
          <w:szCs w:val="24"/>
        </w:rPr>
        <w:t>价格核准：评标委员会详细分析、核准价格表，检查其是否存在计算上或累加上的算术错误，修正错误的原则详见“</w:t>
      </w:r>
      <w:r>
        <w:rPr>
          <w:rFonts w:hint="eastAsia" w:ascii="宋体" w:hAnsi="宋体" w:cs="宋体"/>
          <w:b/>
          <w:bCs/>
          <w:color w:val="auto"/>
          <w:sz w:val="24"/>
          <w:szCs w:val="24"/>
        </w:rPr>
        <w:t>第四章 投标人须知</w:t>
      </w:r>
      <w:r>
        <w:rPr>
          <w:rFonts w:hint="eastAsia" w:ascii="宋体" w:hAnsi="宋体" w:cs="宋体"/>
          <w:bCs/>
          <w:color w:val="auto"/>
          <w:sz w:val="24"/>
          <w:szCs w:val="24"/>
        </w:rPr>
        <w:t>”相关条款。</w:t>
      </w:r>
    </w:p>
    <w:p w14:paraId="53F35249">
      <w:pPr>
        <w:numPr>
          <w:ilvl w:val="0"/>
          <w:numId w:val="26"/>
        </w:numPr>
        <w:autoSpaceDE/>
        <w:autoSpaceDN/>
        <w:adjustRightInd/>
        <w:snapToGrid w:val="0"/>
        <w:spacing w:line="360" w:lineRule="auto"/>
        <w:ind w:left="425" w:hanging="425"/>
        <w:jc w:val="both"/>
        <w:rPr>
          <w:rFonts w:ascii="宋体" w:hAnsi="宋体" w:cs="宋体"/>
          <w:bCs/>
          <w:color w:val="auto"/>
          <w:sz w:val="24"/>
          <w:szCs w:val="24"/>
        </w:rPr>
      </w:pPr>
      <w:r>
        <w:rPr>
          <w:rFonts w:hint="eastAsia" w:ascii="宋体" w:hAnsi="宋体" w:cs="宋体"/>
          <w:bCs/>
          <w:color w:val="auto"/>
          <w:sz w:val="24"/>
          <w:szCs w:val="24"/>
        </w:rPr>
        <w:t>综合评分法中的价格分统一采用</w:t>
      </w:r>
      <w:r>
        <w:rPr>
          <w:rFonts w:hint="eastAsia" w:ascii="宋体" w:hAnsi="宋体" w:cs="宋体"/>
          <w:bCs/>
          <w:color w:val="auto"/>
          <w:sz w:val="24"/>
          <w:szCs w:val="24"/>
          <w:lang w:val="en-US" w:eastAsia="zh-CN"/>
        </w:rPr>
        <w:t>下列方法</w:t>
      </w:r>
      <w:r>
        <w:rPr>
          <w:rFonts w:hint="eastAsia" w:ascii="宋体" w:hAnsi="宋体" w:cs="宋体"/>
          <w:bCs/>
          <w:color w:val="auto"/>
          <w:sz w:val="24"/>
          <w:szCs w:val="24"/>
        </w:rPr>
        <w:t>计算，即满足招标文件要求（通过资格性、符合性审查）且投标价格最</w:t>
      </w:r>
      <w:r>
        <w:rPr>
          <w:rFonts w:hint="eastAsia" w:ascii="宋体" w:hAnsi="宋体" w:cs="宋体"/>
          <w:bCs/>
          <w:color w:val="auto"/>
          <w:sz w:val="24"/>
          <w:szCs w:val="24"/>
          <w:lang w:val="en-US" w:eastAsia="zh-CN"/>
        </w:rPr>
        <w:t>高</w:t>
      </w:r>
      <w:r>
        <w:rPr>
          <w:rFonts w:hint="eastAsia" w:ascii="宋体" w:hAnsi="宋体" w:cs="宋体"/>
          <w:bCs/>
          <w:color w:val="auto"/>
          <w:sz w:val="24"/>
          <w:szCs w:val="24"/>
        </w:rPr>
        <w:t>的有效投标报价（指修正后报价，下同）为评标基准价，其价格分为满分。其他投标人的价格分统一按照下列公式计算：</w:t>
      </w:r>
    </w:p>
    <w:p w14:paraId="3EB4FD21">
      <w:pPr>
        <w:widowControl/>
        <w:autoSpaceDE/>
        <w:autoSpaceDN/>
        <w:adjustRightInd/>
        <w:spacing w:line="360" w:lineRule="auto"/>
        <w:jc w:val="center"/>
        <w:rPr>
          <w:rFonts w:ascii="宋体" w:hAnsi="宋体" w:cs="宋体"/>
          <w:b/>
          <w:bCs/>
          <w:color w:val="auto"/>
          <w:sz w:val="24"/>
          <w:szCs w:val="24"/>
        </w:rPr>
      </w:pPr>
      <w:r>
        <w:rPr>
          <w:rFonts w:hint="eastAsia" w:ascii="宋体" w:hAnsi="宋体" w:cs="宋体"/>
          <w:b/>
          <w:bCs/>
          <w:color w:val="auto"/>
          <w:sz w:val="24"/>
          <w:szCs w:val="24"/>
        </w:rPr>
        <w:t>投标报价得分=(投标报价/评标基准价)×价格权值×100</w:t>
      </w:r>
    </w:p>
    <w:p w14:paraId="5F986BB7">
      <w:pPr>
        <w:widowControl/>
        <w:autoSpaceDE/>
        <w:autoSpaceDN/>
        <w:adjustRightInd/>
        <w:spacing w:line="360" w:lineRule="auto"/>
        <w:jc w:val="both"/>
        <w:rPr>
          <w:rFonts w:ascii="宋体" w:hAnsi="宋体" w:cs="Arial"/>
          <w:color w:val="auto"/>
          <w:sz w:val="24"/>
        </w:rPr>
      </w:pPr>
      <w:r>
        <w:rPr>
          <w:rFonts w:hint="eastAsia" w:ascii="宋体" w:hAnsi="宋体" w:cs="宋体"/>
          <w:b/>
          <w:bCs/>
          <w:color w:val="auto"/>
          <w:sz w:val="24"/>
          <w:szCs w:val="24"/>
        </w:rPr>
        <w:t>备注：</w:t>
      </w:r>
      <w:r>
        <w:rPr>
          <w:rFonts w:hint="eastAsia" w:ascii="宋体" w:hAnsi="宋体"/>
          <w:bCs/>
          <w:color w:val="auto"/>
          <w:sz w:val="24"/>
        </w:rPr>
        <w:t>投标报价得分四舍五入后，</w:t>
      </w:r>
      <w:r>
        <w:rPr>
          <w:rFonts w:hint="eastAsia" w:ascii="宋体" w:hAnsi="宋体" w:cs="Arial"/>
          <w:color w:val="auto"/>
          <w:sz w:val="24"/>
        </w:rPr>
        <w:t>小数点后保留两位有效数。</w:t>
      </w:r>
    </w:p>
    <w:p w14:paraId="5330E84E">
      <w:pPr>
        <w:widowControl/>
        <w:spacing w:line="360" w:lineRule="auto"/>
        <w:ind w:left="426"/>
        <w:jc w:val="both"/>
        <w:rPr>
          <w:rFonts w:ascii="宋体" w:hAnsi="宋体" w:cs="宋体"/>
          <w:sz w:val="24"/>
          <w:szCs w:val="24"/>
          <w:highlight w:val="lightGray"/>
        </w:rPr>
      </w:pPr>
      <w:bookmarkStart w:id="24" w:name="_Toc33707675"/>
    </w:p>
    <w:p w14:paraId="164CCCB5">
      <w:pPr>
        <w:widowControl/>
        <w:spacing w:line="360" w:lineRule="auto"/>
        <w:ind w:left="426"/>
        <w:jc w:val="center"/>
        <w:rPr>
          <w:rStyle w:val="31"/>
          <w:sz w:val="28"/>
          <w:szCs w:val="13"/>
        </w:rPr>
      </w:pPr>
      <w:r>
        <w:rPr>
          <w:rFonts w:hint="eastAsia"/>
          <w:b/>
          <w:bCs/>
          <w:sz w:val="30"/>
          <w:szCs w:val="30"/>
        </w:rPr>
        <w:br w:type="page"/>
      </w:r>
      <w:bookmarkStart w:id="25" w:name="_Toc30156"/>
      <w:bookmarkStart w:id="26" w:name="_Toc16087"/>
      <w:bookmarkStart w:id="27" w:name="_Toc5419"/>
      <w:bookmarkStart w:id="28" w:name="_Toc2953"/>
      <w:bookmarkStart w:id="29" w:name="_Toc704"/>
      <w:bookmarkStart w:id="30" w:name="_Toc20898"/>
      <w:r>
        <w:rPr>
          <w:rStyle w:val="31"/>
          <w:rFonts w:hint="eastAsia"/>
          <w:sz w:val="28"/>
          <w:szCs w:val="13"/>
        </w:rPr>
        <w:t>第四章  投标人须知</w:t>
      </w:r>
      <w:bookmarkEnd w:id="25"/>
      <w:bookmarkEnd w:id="26"/>
      <w:bookmarkEnd w:id="27"/>
      <w:bookmarkEnd w:id="28"/>
      <w:bookmarkEnd w:id="29"/>
    </w:p>
    <w:bookmarkEnd w:id="30"/>
    <w:p w14:paraId="1B560376">
      <w:pPr>
        <w:snapToGrid w:val="0"/>
        <w:spacing w:line="360" w:lineRule="auto"/>
        <w:jc w:val="center"/>
        <w:outlineLvl w:val="1"/>
        <w:rPr>
          <w:b/>
          <w:bCs/>
          <w:sz w:val="30"/>
          <w:szCs w:val="30"/>
        </w:rPr>
      </w:pPr>
      <w:bookmarkStart w:id="31" w:name="_Toc27160"/>
      <w:bookmarkStart w:id="32" w:name="_Toc1205"/>
      <w:bookmarkStart w:id="33" w:name="_Toc10903"/>
      <w:bookmarkStart w:id="34" w:name="_Toc10013"/>
      <w:r>
        <w:rPr>
          <w:rFonts w:hint="eastAsia"/>
          <w:b/>
          <w:bCs/>
          <w:sz w:val="28"/>
          <w:szCs w:val="28"/>
        </w:rPr>
        <w:t>第一部分 投标人须知前附表</w:t>
      </w:r>
      <w:bookmarkEnd w:id="24"/>
      <w:bookmarkEnd w:id="31"/>
      <w:bookmarkEnd w:id="32"/>
      <w:bookmarkEnd w:id="33"/>
      <w:bookmarkEnd w:id="34"/>
    </w:p>
    <w:p w14:paraId="4DCF9930">
      <w:pPr>
        <w:spacing w:line="360" w:lineRule="auto"/>
        <w:ind w:right="-166" w:rightChars="-83" w:firstLine="480" w:firstLineChars="200"/>
        <w:rPr>
          <w:sz w:val="21"/>
          <w:szCs w:val="21"/>
        </w:rPr>
      </w:pPr>
      <w:r>
        <w:rPr>
          <w:rFonts w:hint="eastAsia" w:ascii="宋体" w:hAnsi="宋体"/>
          <w:sz w:val="24"/>
        </w:rPr>
        <w:t>说明：本投标人须知前附表的条款项号与《投标人须知通用条款》的条款项号一一对应，是对《投标人须知通用条款》补充、修改和完善，如果有矛盾之处，应以本投标人须知前附表为准。</w:t>
      </w:r>
    </w:p>
    <w:tbl>
      <w:tblPr>
        <w:tblStyle w:val="23"/>
        <w:tblW w:w="49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16"/>
        <w:gridCol w:w="8178"/>
      </w:tblGrid>
      <w:tr w14:paraId="0F408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pct"/>
            <w:gridSpan w:val="2"/>
            <w:vAlign w:val="center"/>
          </w:tcPr>
          <w:p w14:paraId="30349FAE">
            <w:pPr>
              <w:snapToGrid w:val="0"/>
              <w:jc w:val="center"/>
              <w:rPr>
                <w:rFonts w:ascii="宋体" w:hAnsi="宋体"/>
                <w:sz w:val="24"/>
                <w:szCs w:val="24"/>
              </w:rPr>
            </w:pPr>
            <w:r>
              <w:rPr>
                <w:rFonts w:ascii="宋体" w:hAnsi="宋体"/>
                <w:sz w:val="24"/>
                <w:szCs w:val="24"/>
              </w:rPr>
              <w:t>条款</w:t>
            </w:r>
            <w:r>
              <w:rPr>
                <w:rFonts w:hint="eastAsia" w:ascii="宋体" w:hAnsi="宋体"/>
                <w:sz w:val="24"/>
                <w:szCs w:val="24"/>
              </w:rPr>
              <w:t>项</w:t>
            </w:r>
            <w:r>
              <w:rPr>
                <w:rFonts w:ascii="宋体" w:hAnsi="宋体"/>
                <w:sz w:val="24"/>
                <w:szCs w:val="24"/>
              </w:rPr>
              <w:t>号</w:t>
            </w:r>
          </w:p>
        </w:tc>
        <w:tc>
          <w:tcPr>
            <w:tcW w:w="4118" w:type="pct"/>
            <w:vAlign w:val="center"/>
          </w:tcPr>
          <w:p w14:paraId="6DDE967F">
            <w:pPr>
              <w:snapToGrid w:val="0"/>
              <w:jc w:val="center"/>
              <w:rPr>
                <w:rFonts w:ascii="宋体" w:hAnsi="宋体"/>
                <w:b/>
                <w:sz w:val="24"/>
                <w:szCs w:val="24"/>
              </w:rPr>
            </w:pPr>
            <w:r>
              <w:rPr>
                <w:rFonts w:ascii="宋体" w:hAnsi="宋体"/>
                <w:b/>
                <w:sz w:val="24"/>
                <w:szCs w:val="24"/>
              </w:rPr>
              <w:t>内     容</w:t>
            </w:r>
          </w:p>
        </w:tc>
      </w:tr>
      <w:tr w14:paraId="4723D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5000" w:type="pct"/>
            <w:gridSpan w:val="3"/>
            <w:vAlign w:val="center"/>
          </w:tcPr>
          <w:p w14:paraId="388E5371">
            <w:pPr>
              <w:snapToGrid w:val="0"/>
              <w:jc w:val="center"/>
              <w:rPr>
                <w:rFonts w:ascii="宋体" w:hAnsi="宋体"/>
                <w:b/>
                <w:sz w:val="24"/>
                <w:szCs w:val="24"/>
              </w:rPr>
            </w:pPr>
            <w:r>
              <w:rPr>
                <w:rFonts w:ascii="宋体" w:hAnsi="宋体"/>
                <w:b/>
                <w:sz w:val="24"/>
                <w:szCs w:val="24"/>
              </w:rPr>
              <w:t>一、</w:t>
            </w:r>
            <w:r>
              <w:rPr>
                <w:rFonts w:hint="eastAsia" w:ascii="宋体" w:hAnsi="宋体"/>
                <w:b/>
                <w:sz w:val="24"/>
                <w:szCs w:val="24"/>
              </w:rPr>
              <w:t>总则</w:t>
            </w:r>
          </w:p>
        </w:tc>
      </w:tr>
      <w:tr w14:paraId="3A7E1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71" w:type="pct"/>
            <w:vAlign w:val="center"/>
          </w:tcPr>
          <w:p w14:paraId="461ECD60">
            <w:pPr>
              <w:snapToGrid w:val="0"/>
              <w:jc w:val="center"/>
              <w:rPr>
                <w:rFonts w:ascii="宋体" w:hAnsi="宋体"/>
                <w:sz w:val="24"/>
                <w:szCs w:val="24"/>
              </w:rPr>
            </w:pPr>
            <w:r>
              <w:rPr>
                <w:rFonts w:hint="eastAsia" w:ascii="宋体" w:hAnsi="宋体"/>
                <w:sz w:val="24"/>
                <w:szCs w:val="24"/>
              </w:rPr>
              <w:t>（二）</w:t>
            </w:r>
          </w:p>
        </w:tc>
        <w:tc>
          <w:tcPr>
            <w:tcW w:w="410" w:type="pct"/>
            <w:vAlign w:val="center"/>
          </w:tcPr>
          <w:p w14:paraId="26B9AE26">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7D8D8D99">
            <w:pPr>
              <w:snapToGrid w:val="0"/>
              <w:rPr>
                <w:rFonts w:ascii="宋体" w:hAnsi="宋体"/>
                <w:sz w:val="24"/>
                <w:szCs w:val="24"/>
              </w:rPr>
            </w:pPr>
            <w:r>
              <w:rPr>
                <w:rFonts w:ascii="宋体" w:hAnsi="宋体"/>
                <w:sz w:val="24"/>
                <w:szCs w:val="24"/>
              </w:rPr>
              <w:t>招标人名称</w:t>
            </w:r>
            <w:r>
              <w:rPr>
                <w:rFonts w:ascii="宋体" w:hAnsi="宋体"/>
                <w:color w:val="auto"/>
                <w:sz w:val="24"/>
                <w:szCs w:val="24"/>
              </w:rPr>
              <w:t>：</w:t>
            </w:r>
            <w:r>
              <w:rPr>
                <w:rFonts w:hint="eastAsia" w:ascii="宋体" w:hAnsi="宋体"/>
                <w:color w:val="auto"/>
                <w:kern w:val="28"/>
                <w:sz w:val="24"/>
                <w:szCs w:val="24"/>
                <w:lang w:eastAsia="zh-CN"/>
              </w:rPr>
              <w:t>南雄市人民医院</w:t>
            </w:r>
          </w:p>
        </w:tc>
      </w:tr>
      <w:tr w14:paraId="45223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3"/>
            <w:vAlign w:val="center"/>
          </w:tcPr>
          <w:p w14:paraId="565CC09B">
            <w:pPr>
              <w:snapToGrid w:val="0"/>
              <w:jc w:val="center"/>
              <w:rPr>
                <w:rFonts w:hint="default" w:ascii="宋体" w:hAnsi="宋体" w:eastAsia="宋体"/>
                <w:b/>
                <w:sz w:val="24"/>
                <w:szCs w:val="24"/>
                <w:lang w:val="en-US" w:eastAsia="zh-CN"/>
              </w:rPr>
            </w:pPr>
            <w:r>
              <w:rPr>
                <w:rFonts w:hint="eastAsia" w:ascii="宋体" w:hAnsi="宋体"/>
                <w:b/>
                <w:sz w:val="24"/>
                <w:szCs w:val="24"/>
                <w:lang w:val="en-US" w:eastAsia="zh-CN"/>
              </w:rPr>
              <w:t>二、招标文件</w:t>
            </w:r>
          </w:p>
        </w:tc>
      </w:tr>
      <w:tr w14:paraId="1CEEC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71" w:type="pct"/>
            <w:vAlign w:val="center"/>
          </w:tcPr>
          <w:p w14:paraId="12D71377">
            <w:pPr>
              <w:snapToGrid w:val="0"/>
              <w:jc w:val="center"/>
              <w:rPr>
                <w:rFonts w:hint="eastAsia" w:ascii="宋体" w:hAnsi="宋体" w:eastAsia="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p>
        </w:tc>
        <w:tc>
          <w:tcPr>
            <w:tcW w:w="410" w:type="pct"/>
            <w:vAlign w:val="center"/>
          </w:tcPr>
          <w:p w14:paraId="3344FAD1">
            <w:pPr>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4.</w:t>
            </w:r>
          </w:p>
        </w:tc>
        <w:tc>
          <w:tcPr>
            <w:tcW w:w="4118" w:type="pct"/>
            <w:vAlign w:val="center"/>
          </w:tcPr>
          <w:p w14:paraId="531D1A43">
            <w:pPr>
              <w:snapToGrid w:val="0"/>
              <w:rPr>
                <w:rFonts w:ascii="宋体" w:hAnsi="宋体"/>
                <w:sz w:val="24"/>
                <w:szCs w:val="24"/>
              </w:rPr>
            </w:pPr>
            <w:r>
              <w:rPr>
                <w:rFonts w:hint="eastAsia" w:ascii="宋体" w:hAnsi="宋体"/>
                <w:sz w:val="24"/>
                <w:szCs w:val="24"/>
              </w:rPr>
              <w:t xml:space="preserve">1.招标人不统一组织答疑会。                                    </w:t>
            </w:r>
          </w:p>
          <w:p w14:paraId="7AAF0692">
            <w:pPr>
              <w:snapToGrid w:val="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潜在投标人在收到上述通知或在全国公共资源交易平台（广东省·韶关市）（https://ygp.gdzwfw.gov.cn/ggzy-portal/#/440200/index）上查阅相关通知或公告后，应当立即以书面形式向招标代理机构确认，如在修改通知或公告发布之日起5天内没有以书面形式向招标代理机构确认的，视作同意修改内容。</w:t>
            </w:r>
          </w:p>
        </w:tc>
      </w:tr>
      <w:tr w14:paraId="01C80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5000" w:type="pct"/>
            <w:gridSpan w:val="3"/>
            <w:vAlign w:val="center"/>
          </w:tcPr>
          <w:p w14:paraId="12F951E9">
            <w:pPr>
              <w:snapToGrid w:val="0"/>
              <w:jc w:val="center"/>
              <w:rPr>
                <w:rFonts w:ascii="宋体" w:hAnsi="宋体"/>
                <w:color w:val="auto"/>
                <w:sz w:val="24"/>
                <w:szCs w:val="24"/>
              </w:rPr>
            </w:pPr>
            <w:r>
              <w:rPr>
                <w:rFonts w:ascii="宋体" w:hAnsi="宋体"/>
                <w:b/>
                <w:color w:val="auto"/>
                <w:sz w:val="24"/>
                <w:szCs w:val="24"/>
              </w:rPr>
              <w:t>三、投标文件的编制</w:t>
            </w:r>
          </w:p>
        </w:tc>
      </w:tr>
      <w:tr w14:paraId="6C7D9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71" w:type="pct"/>
            <w:vMerge w:val="restart"/>
            <w:vAlign w:val="center"/>
          </w:tcPr>
          <w:p w14:paraId="72C41168">
            <w:pPr>
              <w:snapToGrid w:val="0"/>
              <w:jc w:val="center"/>
              <w:rPr>
                <w:rFonts w:ascii="宋体" w:hAnsi="宋体"/>
                <w:color w:val="auto"/>
                <w:sz w:val="24"/>
                <w:szCs w:val="24"/>
              </w:rPr>
            </w:pPr>
            <w:r>
              <w:rPr>
                <w:rFonts w:hint="eastAsia" w:ascii="宋体" w:hAnsi="宋体"/>
                <w:color w:val="auto"/>
                <w:sz w:val="24"/>
                <w:szCs w:val="24"/>
              </w:rPr>
              <w:t>（三）</w:t>
            </w:r>
          </w:p>
        </w:tc>
        <w:tc>
          <w:tcPr>
            <w:tcW w:w="410" w:type="pct"/>
            <w:vAlign w:val="center"/>
          </w:tcPr>
          <w:p w14:paraId="66DCA563">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2979117B">
            <w:pPr>
              <w:pStyle w:val="11"/>
              <w:spacing w:line="348" w:lineRule="auto"/>
              <w:ind w:firstLine="0" w:firstLineChars="0"/>
              <w:rPr>
                <w:rFonts w:ascii="宋体" w:hAnsi="宋体"/>
                <w:b/>
                <w:color w:val="000000"/>
                <w:sz w:val="24"/>
                <w:szCs w:val="24"/>
              </w:rPr>
            </w:pPr>
            <w:r>
              <w:rPr>
                <w:rFonts w:hint="eastAsia" w:ascii="宋体" w:hAnsi="宋体" w:cs="宋体"/>
                <w:color w:val="000000"/>
                <w:sz w:val="24"/>
                <w:szCs w:val="24"/>
              </w:rPr>
              <w:t>投标总价</w:t>
            </w:r>
            <w:r>
              <w:rPr>
                <w:rFonts w:hint="eastAsia" w:ascii="宋体" w:hAnsi="宋体" w:cs="宋体"/>
                <w:color w:val="000000"/>
                <w:sz w:val="24"/>
                <w:szCs w:val="24"/>
                <w:lang w:eastAsia="zh-TW"/>
              </w:rPr>
              <w:t>中不得包含</w:t>
            </w:r>
            <w:r>
              <w:rPr>
                <w:rFonts w:hint="eastAsia" w:ascii="宋体" w:hAnsi="宋体" w:cs="宋体"/>
                <w:color w:val="000000"/>
                <w:sz w:val="24"/>
                <w:szCs w:val="24"/>
              </w:rPr>
              <w:t>招标</w:t>
            </w:r>
            <w:r>
              <w:rPr>
                <w:rFonts w:hint="eastAsia" w:ascii="宋体" w:hAnsi="宋体" w:cs="宋体"/>
                <w:color w:val="000000"/>
                <w:sz w:val="24"/>
                <w:szCs w:val="24"/>
                <w:lang w:eastAsia="zh-TW"/>
              </w:rPr>
              <w:t>文件要求以外的内容，否则，在评审时不予核减。</w:t>
            </w:r>
            <w:r>
              <w:rPr>
                <w:rFonts w:hint="eastAsia" w:ascii="宋体" w:hAnsi="宋体" w:cs="宋体"/>
                <w:color w:val="000000"/>
                <w:sz w:val="24"/>
                <w:szCs w:val="24"/>
              </w:rPr>
              <w:t>投标</w:t>
            </w:r>
            <w:r>
              <w:rPr>
                <w:rFonts w:hint="eastAsia" w:ascii="宋体" w:hAnsi="宋体" w:cs="宋体"/>
                <w:color w:val="000000"/>
                <w:sz w:val="24"/>
                <w:szCs w:val="24"/>
                <w:lang w:eastAsia="zh-TW"/>
              </w:rPr>
              <w:t>总价中不得缺漏</w:t>
            </w:r>
            <w:r>
              <w:rPr>
                <w:rFonts w:hint="eastAsia" w:ascii="宋体" w:hAnsi="宋体" w:cs="宋体"/>
                <w:color w:val="000000"/>
                <w:sz w:val="24"/>
                <w:szCs w:val="24"/>
              </w:rPr>
              <w:t>招标</w:t>
            </w:r>
            <w:r>
              <w:rPr>
                <w:rFonts w:hint="eastAsia" w:ascii="宋体" w:hAnsi="宋体" w:cs="宋体"/>
                <w:color w:val="000000"/>
                <w:sz w:val="24"/>
                <w:szCs w:val="24"/>
                <w:lang w:eastAsia="zh-TW"/>
              </w:rPr>
              <w:t>文件所要求的内容，否则，被视为包含在报价总价中。</w:t>
            </w:r>
          </w:p>
        </w:tc>
      </w:tr>
      <w:tr w14:paraId="6C40F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71" w:type="pct"/>
            <w:vMerge w:val="continue"/>
            <w:vAlign w:val="center"/>
          </w:tcPr>
          <w:p w14:paraId="4C477547">
            <w:pPr>
              <w:snapToGrid w:val="0"/>
              <w:jc w:val="center"/>
              <w:rPr>
                <w:rFonts w:hint="eastAsia" w:ascii="宋体" w:hAnsi="宋体"/>
                <w:color w:val="auto"/>
                <w:sz w:val="24"/>
                <w:szCs w:val="24"/>
              </w:rPr>
            </w:pPr>
          </w:p>
        </w:tc>
        <w:tc>
          <w:tcPr>
            <w:tcW w:w="410" w:type="pct"/>
            <w:vAlign w:val="center"/>
          </w:tcPr>
          <w:p w14:paraId="5A0C4B4B">
            <w:pPr>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4.</w:t>
            </w:r>
          </w:p>
        </w:tc>
        <w:tc>
          <w:tcPr>
            <w:tcW w:w="4118" w:type="pct"/>
            <w:vAlign w:val="center"/>
          </w:tcPr>
          <w:p w14:paraId="6AE7FD5C">
            <w:pPr>
              <w:pStyle w:val="11"/>
              <w:spacing w:line="348" w:lineRule="auto"/>
              <w:ind w:firstLine="0" w:firstLineChars="0"/>
              <w:rPr>
                <w:rFonts w:hint="eastAsia" w:ascii="宋体" w:hAnsi="宋体" w:cs="宋体"/>
                <w:color w:val="000000"/>
                <w:sz w:val="24"/>
                <w:szCs w:val="24"/>
              </w:rPr>
            </w:pPr>
            <w:r>
              <w:rPr>
                <w:rFonts w:hint="eastAsia" w:ascii="宋体" w:hAnsi="宋体"/>
                <w:sz w:val="24"/>
                <w:szCs w:val="24"/>
              </w:rPr>
              <w:t>投标人所报的投标价在合同执行过程中是固定不变的，不得以任何理由予以变更。</w:t>
            </w:r>
          </w:p>
        </w:tc>
      </w:tr>
      <w:tr w14:paraId="115B2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71" w:type="pct"/>
            <w:vMerge w:val="continue"/>
            <w:vAlign w:val="center"/>
          </w:tcPr>
          <w:p w14:paraId="66C4AE9F">
            <w:pPr>
              <w:snapToGrid w:val="0"/>
              <w:jc w:val="center"/>
              <w:rPr>
                <w:rFonts w:hint="eastAsia" w:ascii="宋体" w:hAnsi="宋体"/>
                <w:color w:val="auto"/>
                <w:sz w:val="24"/>
                <w:szCs w:val="24"/>
              </w:rPr>
            </w:pPr>
          </w:p>
        </w:tc>
        <w:tc>
          <w:tcPr>
            <w:tcW w:w="410" w:type="pct"/>
            <w:vAlign w:val="center"/>
          </w:tcPr>
          <w:p w14:paraId="2D191FAD">
            <w:pPr>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5.</w:t>
            </w:r>
          </w:p>
        </w:tc>
        <w:tc>
          <w:tcPr>
            <w:tcW w:w="4118" w:type="pct"/>
            <w:vAlign w:val="center"/>
          </w:tcPr>
          <w:p w14:paraId="201FF7AD">
            <w:pPr>
              <w:pStyle w:val="11"/>
              <w:spacing w:line="348" w:lineRule="auto"/>
              <w:ind w:firstLine="0" w:firstLineChars="0"/>
              <w:rPr>
                <w:rFonts w:hint="eastAsia" w:ascii="宋体" w:hAnsi="宋体" w:cs="宋体"/>
                <w:color w:val="000000"/>
                <w:sz w:val="24"/>
                <w:szCs w:val="24"/>
              </w:rPr>
            </w:pPr>
            <w:r>
              <w:rPr>
                <w:rFonts w:hint="eastAsia" w:ascii="宋体" w:hAnsi="宋体"/>
                <w:sz w:val="24"/>
                <w:szCs w:val="24"/>
              </w:rPr>
              <w:t>不允许有备选方案</w:t>
            </w:r>
          </w:p>
        </w:tc>
      </w:tr>
      <w:tr w14:paraId="2CE66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1" w:type="pct"/>
            <w:vMerge w:val="continue"/>
            <w:vAlign w:val="center"/>
          </w:tcPr>
          <w:p w14:paraId="01E1318A">
            <w:pPr>
              <w:snapToGrid w:val="0"/>
              <w:jc w:val="center"/>
              <w:rPr>
                <w:rFonts w:ascii="宋体" w:hAnsi="宋体"/>
                <w:color w:val="auto"/>
                <w:sz w:val="24"/>
                <w:szCs w:val="24"/>
              </w:rPr>
            </w:pPr>
          </w:p>
        </w:tc>
        <w:tc>
          <w:tcPr>
            <w:tcW w:w="410" w:type="pct"/>
            <w:vAlign w:val="center"/>
          </w:tcPr>
          <w:p w14:paraId="5225C0D2">
            <w:pPr>
              <w:snapToGrid w:val="0"/>
              <w:jc w:val="center"/>
              <w:rPr>
                <w:rFonts w:ascii="宋体" w:hAnsi="宋体"/>
                <w:sz w:val="24"/>
                <w:szCs w:val="24"/>
              </w:rPr>
            </w:pPr>
            <w:r>
              <w:rPr>
                <w:rFonts w:hint="eastAsia" w:ascii="宋体" w:hAnsi="宋体"/>
                <w:sz w:val="24"/>
                <w:szCs w:val="24"/>
              </w:rPr>
              <w:t>6.</w:t>
            </w:r>
          </w:p>
        </w:tc>
        <w:tc>
          <w:tcPr>
            <w:tcW w:w="4118" w:type="pct"/>
            <w:vAlign w:val="center"/>
          </w:tcPr>
          <w:p w14:paraId="0D631341">
            <w:pPr>
              <w:snapToGrid w:val="0"/>
              <w:rPr>
                <w:rFonts w:ascii="宋体" w:hAnsi="宋体"/>
                <w:sz w:val="24"/>
                <w:szCs w:val="24"/>
              </w:rPr>
            </w:pPr>
            <w:r>
              <w:rPr>
                <w:rFonts w:hint="eastAsia" w:ascii="宋体" w:hAnsi="宋体"/>
                <w:sz w:val="24"/>
                <w:szCs w:val="24"/>
              </w:rPr>
              <w:t>不允许附加条件报价</w:t>
            </w:r>
          </w:p>
        </w:tc>
      </w:tr>
      <w:tr w14:paraId="6696D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1" w:type="pct"/>
            <w:vAlign w:val="center"/>
          </w:tcPr>
          <w:p w14:paraId="1EBF5A25">
            <w:pPr>
              <w:snapToGrid w:val="0"/>
              <w:jc w:val="center"/>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八</w:t>
            </w:r>
            <w:r>
              <w:rPr>
                <w:rFonts w:hint="eastAsia" w:ascii="宋体" w:hAnsi="宋体"/>
                <w:color w:val="auto"/>
                <w:sz w:val="24"/>
                <w:szCs w:val="24"/>
              </w:rPr>
              <w:t>）</w:t>
            </w:r>
          </w:p>
        </w:tc>
        <w:tc>
          <w:tcPr>
            <w:tcW w:w="410" w:type="pct"/>
            <w:vAlign w:val="center"/>
          </w:tcPr>
          <w:p w14:paraId="2DF2114A">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63A0144B">
            <w:pPr>
              <w:autoSpaceDE/>
              <w:autoSpaceDN/>
              <w:snapToGrid w:val="0"/>
              <w:spacing w:line="360" w:lineRule="atLeast"/>
              <w:jc w:val="both"/>
              <w:textAlignment w:val="baseline"/>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投标人应在提交</w:t>
            </w:r>
            <w:r>
              <w:rPr>
                <w:rFonts w:hint="eastAsia" w:ascii="宋体" w:hAnsi="宋体"/>
                <w:bCs/>
                <w:color w:val="auto"/>
                <w:sz w:val="24"/>
                <w:szCs w:val="24"/>
              </w:rPr>
              <w:t>投标保证金交纳截止时间</w:t>
            </w:r>
            <w:r>
              <w:rPr>
                <w:rFonts w:hint="eastAsia" w:ascii="宋体" w:hAnsi="宋体" w:cs="宋体"/>
                <w:sz w:val="24"/>
              </w:rPr>
              <w:t>之前交纳投标保证金。</w:t>
            </w:r>
          </w:p>
          <w:p w14:paraId="745BA31C">
            <w:pPr>
              <w:autoSpaceDE/>
              <w:autoSpaceDN/>
              <w:snapToGrid w:val="0"/>
              <w:spacing w:line="360" w:lineRule="atLeast"/>
              <w:jc w:val="both"/>
              <w:textAlignment w:val="baseline"/>
              <w:rPr>
                <w:rFonts w:hint="eastAsia" w:ascii="宋体" w:hAnsi="宋体" w:cs="宋体"/>
                <w:sz w:val="24"/>
              </w:rPr>
            </w:pPr>
            <w:r>
              <w:rPr>
                <w:rFonts w:hint="eastAsia" w:ascii="宋体" w:hAnsi="宋体" w:cs="宋体"/>
                <w:sz w:val="24"/>
                <w:lang w:val="en-US" w:eastAsia="zh-CN"/>
              </w:rPr>
              <w:t>2.采用投标保证金的，详见招标公告 “七、其他”。</w:t>
            </w:r>
          </w:p>
        </w:tc>
      </w:tr>
      <w:tr w14:paraId="0B154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1" w:type="pct"/>
            <w:vAlign w:val="center"/>
          </w:tcPr>
          <w:p w14:paraId="4513FAF6">
            <w:pPr>
              <w:snapToGrid w:val="0"/>
              <w:jc w:val="center"/>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九</w:t>
            </w:r>
            <w:r>
              <w:rPr>
                <w:rFonts w:hint="eastAsia" w:ascii="宋体" w:hAnsi="宋体"/>
                <w:color w:val="auto"/>
                <w:sz w:val="24"/>
                <w:szCs w:val="24"/>
              </w:rPr>
              <w:t>）</w:t>
            </w:r>
          </w:p>
        </w:tc>
        <w:tc>
          <w:tcPr>
            <w:tcW w:w="410" w:type="pct"/>
            <w:vAlign w:val="center"/>
          </w:tcPr>
          <w:p w14:paraId="2A8F7A26">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5D4DC1EB">
            <w:pPr>
              <w:snapToGrid w:val="0"/>
              <w:rPr>
                <w:rFonts w:ascii="宋体" w:hAnsi="宋体"/>
                <w:color w:val="000000"/>
                <w:sz w:val="24"/>
                <w:szCs w:val="24"/>
              </w:rPr>
            </w:pPr>
            <w:r>
              <w:rPr>
                <w:rFonts w:ascii="宋体" w:hAnsi="宋体"/>
                <w:color w:val="000000"/>
                <w:sz w:val="24"/>
                <w:szCs w:val="24"/>
              </w:rPr>
              <w:t>投标有效期：90天</w:t>
            </w:r>
            <w:r>
              <w:rPr>
                <w:rFonts w:hint="eastAsia" w:ascii="宋体" w:hAnsi="宋体"/>
                <w:color w:val="000000"/>
                <w:sz w:val="24"/>
                <w:szCs w:val="24"/>
              </w:rPr>
              <w:t>。</w:t>
            </w:r>
          </w:p>
        </w:tc>
      </w:tr>
      <w:tr w14:paraId="23E6F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71" w:type="pct"/>
            <w:vMerge w:val="restart"/>
            <w:vAlign w:val="center"/>
          </w:tcPr>
          <w:p w14:paraId="49F058E1">
            <w:pPr>
              <w:snapToGrid w:val="0"/>
              <w:jc w:val="center"/>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十</w:t>
            </w:r>
            <w:r>
              <w:rPr>
                <w:rFonts w:hint="eastAsia" w:ascii="宋体" w:hAnsi="宋体"/>
                <w:color w:val="auto"/>
                <w:sz w:val="24"/>
                <w:szCs w:val="24"/>
              </w:rPr>
              <w:t>）</w:t>
            </w:r>
          </w:p>
        </w:tc>
        <w:tc>
          <w:tcPr>
            <w:tcW w:w="410" w:type="pct"/>
            <w:vAlign w:val="center"/>
          </w:tcPr>
          <w:p w14:paraId="248E8CCD">
            <w:pPr>
              <w:snapToGrid w:val="0"/>
              <w:jc w:val="center"/>
              <w:rPr>
                <w:rFonts w:ascii="宋体" w:hAnsi="宋体"/>
                <w:sz w:val="24"/>
                <w:szCs w:val="24"/>
              </w:rPr>
            </w:pPr>
            <w:r>
              <w:rPr>
                <w:rFonts w:hint="eastAsia" w:ascii="宋体" w:hAnsi="宋体"/>
                <w:sz w:val="24"/>
                <w:szCs w:val="24"/>
              </w:rPr>
              <w:t>1.（1）</w:t>
            </w:r>
          </w:p>
        </w:tc>
        <w:tc>
          <w:tcPr>
            <w:tcW w:w="4118" w:type="pct"/>
            <w:vAlign w:val="center"/>
          </w:tcPr>
          <w:p w14:paraId="0BBC5EE1">
            <w:pPr>
              <w:tabs>
                <w:tab w:val="left" w:pos="459"/>
                <w:tab w:val="left" w:pos="601"/>
              </w:tabs>
              <w:snapToGrid w:val="0"/>
              <w:rPr>
                <w:rFonts w:ascii="宋体" w:hAnsi="宋体"/>
                <w:bCs/>
                <w:sz w:val="24"/>
              </w:rPr>
            </w:pPr>
            <w:r>
              <w:rPr>
                <w:rFonts w:hint="eastAsia" w:ascii="宋体" w:hAnsi="宋体"/>
                <w:bCs/>
                <w:sz w:val="24"/>
              </w:rPr>
              <w:t>投标人还应将下述资料一并单独密封提交，并在信封上标明“单独密封资料”字样，为了方便后续相关事宜的办理。</w:t>
            </w:r>
          </w:p>
          <w:p w14:paraId="4B3F0436">
            <w:pPr>
              <w:numPr>
                <w:ilvl w:val="0"/>
                <w:numId w:val="27"/>
              </w:numPr>
              <w:tabs>
                <w:tab w:val="left" w:pos="459"/>
                <w:tab w:val="left" w:pos="601"/>
              </w:tabs>
              <w:snapToGrid w:val="0"/>
              <w:rPr>
                <w:rFonts w:ascii="宋体" w:hAnsi="宋体"/>
                <w:sz w:val="24"/>
              </w:rPr>
            </w:pPr>
            <w:r>
              <w:rPr>
                <w:rFonts w:hint="eastAsia" w:ascii="宋体" w:hAnsi="宋体"/>
                <w:sz w:val="24"/>
              </w:rPr>
              <w:t>电子文件；</w:t>
            </w:r>
          </w:p>
          <w:p w14:paraId="4B915964">
            <w:pPr>
              <w:numPr>
                <w:ilvl w:val="0"/>
                <w:numId w:val="27"/>
              </w:numPr>
              <w:tabs>
                <w:tab w:val="left" w:pos="459"/>
                <w:tab w:val="left" w:pos="601"/>
              </w:tabs>
              <w:snapToGrid w:val="0"/>
              <w:rPr>
                <w:rFonts w:ascii="宋体" w:hAnsi="宋体"/>
                <w:sz w:val="24"/>
              </w:rPr>
            </w:pPr>
            <w:r>
              <w:rPr>
                <w:rFonts w:hint="eastAsia" w:ascii="宋体" w:hAnsi="宋体"/>
                <w:sz w:val="24"/>
              </w:rPr>
              <w:t>开票资料说明函；</w:t>
            </w:r>
          </w:p>
          <w:p w14:paraId="712B7A1D">
            <w:pPr>
              <w:numPr>
                <w:ilvl w:val="0"/>
                <w:numId w:val="27"/>
              </w:numPr>
              <w:tabs>
                <w:tab w:val="left" w:pos="459"/>
                <w:tab w:val="left" w:pos="601"/>
              </w:tabs>
              <w:snapToGrid w:val="0"/>
              <w:rPr>
                <w:rFonts w:ascii="宋体" w:hAnsi="宋体"/>
                <w:sz w:val="24"/>
              </w:rPr>
            </w:pPr>
            <w:r>
              <w:rPr>
                <w:rFonts w:hint="eastAsia" w:ascii="宋体" w:hAnsi="宋体"/>
                <w:sz w:val="24"/>
              </w:rPr>
              <w:t>一般纳税人资格认定税务通知书或其他可证明具有该项资格证明文件的复印件。（如有）</w:t>
            </w:r>
          </w:p>
          <w:p w14:paraId="221F4000">
            <w:pPr>
              <w:numPr>
                <w:ilvl w:val="0"/>
                <w:numId w:val="27"/>
              </w:numPr>
              <w:tabs>
                <w:tab w:val="left" w:pos="459"/>
                <w:tab w:val="left" w:pos="601"/>
              </w:tabs>
              <w:snapToGrid w:val="0"/>
              <w:rPr>
                <w:rFonts w:ascii="宋体" w:hAnsi="宋体"/>
                <w:color w:val="000000"/>
                <w:sz w:val="24"/>
                <w:szCs w:val="24"/>
              </w:rPr>
            </w:pPr>
            <w:r>
              <w:rPr>
                <w:rFonts w:hint="eastAsia" w:ascii="宋体" w:hAnsi="宋体"/>
                <w:sz w:val="24"/>
              </w:rPr>
              <w:t>营业执照</w:t>
            </w:r>
            <w:r>
              <w:rPr>
                <w:rFonts w:hint="eastAsia" w:ascii="宋体" w:hAnsi="宋体"/>
                <w:bCs/>
                <w:sz w:val="24"/>
              </w:rPr>
              <w:t>（或事业单位法人证书或社会团体法人登记证书）</w:t>
            </w:r>
            <w:r>
              <w:rPr>
                <w:rFonts w:hint="eastAsia" w:ascii="宋体" w:hAnsi="宋体"/>
                <w:bCs/>
                <w:sz w:val="24"/>
                <w:lang w:val="en-US" w:eastAsia="zh-CN"/>
              </w:rPr>
              <w:t>复印件</w:t>
            </w:r>
            <w:r>
              <w:rPr>
                <w:rFonts w:hint="eastAsia" w:ascii="宋体" w:hAnsi="宋体"/>
                <w:bCs/>
                <w:sz w:val="24"/>
              </w:rPr>
              <w:t>。</w:t>
            </w:r>
          </w:p>
        </w:tc>
      </w:tr>
      <w:tr w14:paraId="3936E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71" w:type="pct"/>
            <w:vMerge w:val="continue"/>
            <w:vAlign w:val="center"/>
          </w:tcPr>
          <w:p w14:paraId="6FB82E3D">
            <w:pPr>
              <w:snapToGrid w:val="0"/>
              <w:jc w:val="center"/>
              <w:rPr>
                <w:rFonts w:ascii="宋体" w:hAnsi="宋体"/>
                <w:sz w:val="24"/>
                <w:szCs w:val="24"/>
              </w:rPr>
            </w:pPr>
          </w:p>
        </w:tc>
        <w:tc>
          <w:tcPr>
            <w:tcW w:w="410" w:type="pct"/>
            <w:vAlign w:val="center"/>
          </w:tcPr>
          <w:p w14:paraId="07D2C3D0">
            <w:pPr>
              <w:snapToGrid w:val="0"/>
              <w:jc w:val="center"/>
              <w:rPr>
                <w:rFonts w:ascii="宋体" w:hAnsi="宋体"/>
                <w:sz w:val="24"/>
                <w:szCs w:val="24"/>
              </w:rPr>
            </w:pPr>
            <w:r>
              <w:rPr>
                <w:rFonts w:hint="eastAsia" w:ascii="宋体" w:hAnsi="宋体"/>
                <w:sz w:val="24"/>
                <w:szCs w:val="24"/>
              </w:rPr>
              <w:t>1.（2）</w:t>
            </w:r>
          </w:p>
        </w:tc>
        <w:tc>
          <w:tcPr>
            <w:tcW w:w="4118" w:type="pct"/>
            <w:vAlign w:val="center"/>
          </w:tcPr>
          <w:p w14:paraId="7F16C997">
            <w:pPr>
              <w:autoSpaceDE/>
              <w:autoSpaceDN/>
              <w:adjustRightInd/>
              <w:snapToGrid/>
              <w:spacing w:line="264" w:lineRule="auto"/>
            </w:pPr>
            <w:r>
              <w:rPr>
                <w:rFonts w:hint="eastAsia" w:ascii="宋体" w:hAnsi="宋体"/>
                <w:color w:val="000000"/>
                <w:sz w:val="24"/>
                <w:szCs w:val="24"/>
                <w:lang w:val="en-US" w:eastAsia="zh-CN"/>
              </w:rPr>
              <w:t>1、纸质</w:t>
            </w:r>
            <w:r>
              <w:rPr>
                <w:rFonts w:ascii="宋体" w:hAnsi="宋体"/>
                <w:color w:val="000000"/>
                <w:sz w:val="24"/>
                <w:szCs w:val="24"/>
              </w:rPr>
              <w:t>投标文件份数：正本一份，副本</w:t>
            </w:r>
            <w:r>
              <w:rPr>
                <w:rFonts w:hint="eastAsia" w:ascii="宋体" w:hAnsi="宋体"/>
                <w:color w:val="000000"/>
                <w:sz w:val="24"/>
                <w:szCs w:val="24"/>
                <w:lang w:val="en-US" w:eastAsia="zh-CN"/>
              </w:rPr>
              <w:t>五</w:t>
            </w:r>
            <w:r>
              <w:rPr>
                <w:rFonts w:ascii="宋体" w:hAnsi="宋体"/>
                <w:color w:val="000000"/>
                <w:sz w:val="24"/>
                <w:szCs w:val="24"/>
              </w:rPr>
              <w:t>份</w:t>
            </w:r>
            <w:r>
              <w:rPr>
                <w:rFonts w:hint="eastAsia" w:ascii="宋体" w:hAnsi="宋体"/>
                <w:b/>
                <w:bCs/>
                <w:color w:val="auto"/>
                <w:sz w:val="24"/>
                <w:szCs w:val="24"/>
                <w:highlight w:val="none"/>
                <w:lang w:val="zh-CN"/>
              </w:rPr>
              <w:t>（</w:t>
            </w:r>
            <w:r>
              <w:rPr>
                <w:rFonts w:hint="eastAsia" w:ascii="宋体" w:hAnsi="宋体"/>
                <w:b/>
                <w:bCs/>
                <w:color w:val="auto"/>
                <w:sz w:val="24"/>
                <w:szCs w:val="24"/>
                <w:highlight w:val="none"/>
              </w:rPr>
              <w:t>注：为减少纸张浪费，节约环保，投标文件（正本和副本）请双面打印）</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2、</w:t>
            </w:r>
            <w:r>
              <w:rPr>
                <w:rFonts w:ascii="宋体" w:hAnsi="宋体"/>
                <w:color w:val="000000"/>
                <w:sz w:val="24"/>
                <w:szCs w:val="24"/>
              </w:rPr>
              <w:t>电子文件</w:t>
            </w:r>
            <w:r>
              <w:rPr>
                <w:rFonts w:hint="eastAsia" w:ascii="宋体" w:hAnsi="宋体"/>
                <w:color w:val="000000"/>
                <w:sz w:val="24"/>
                <w:szCs w:val="24"/>
              </w:rPr>
              <w:t>一式一份</w:t>
            </w:r>
            <w:r>
              <w:rPr>
                <w:rFonts w:hint="default" w:ascii="宋体" w:hAnsi="宋体" w:eastAsia="宋体" w:cs="Times New Roman"/>
                <w:color w:val="000000"/>
                <w:sz w:val="24"/>
                <w:szCs w:val="24"/>
              </w:rPr>
              <w:t>（要求U盘介质，PDF格式，</w:t>
            </w:r>
            <w:r>
              <w:rPr>
                <w:rFonts w:hint="default" w:ascii="宋体" w:hAnsi="宋体" w:eastAsia="宋体" w:cs="Times New Roman"/>
                <w:b w:val="0"/>
                <w:bCs w:val="0"/>
                <w:color w:val="000000"/>
                <w:sz w:val="24"/>
                <w:szCs w:val="24"/>
                <w:u w:val="none"/>
              </w:rPr>
              <w:t>为投标文件加盖公章的正本扫描件</w:t>
            </w:r>
            <w:r>
              <w:rPr>
                <w:rFonts w:hint="default" w:ascii="宋体" w:hAnsi="宋体" w:eastAsia="宋体" w:cs="Times New Roman"/>
                <w:color w:val="000000"/>
                <w:sz w:val="24"/>
                <w:szCs w:val="24"/>
              </w:rPr>
              <w:t>，不留密码，无病毒，不压缩，内容应与投标人打印产生的纸质投标文件内容一致，如有不同，以纸质投标文件为准）。</w:t>
            </w:r>
          </w:p>
          <w:p w14:paraId="720A0D66">
            <w:pPr>
              <w:autoSpaceDE/>
              <w:autoSpaceDN/>
              <w:adjustRightInd/>
              <w:snapToGrid/>
              <w:spacing w:line="264" w:lineRule="auto"/>
            </w:pPr>
            <w:r>
              <w:rPr>
                <w:rFonts w:hint="eastAsia" w:ascii="宋体" w:hAnsi="宋体"/>
                <w:color w:val="auto"/>
                <w:sz w:val="24"/>
                <w:szCs w:val="24"/>
                <w:highlight w:val="none"/>
                <w:lang w:val="en-US" w:eastAsia="zh-CN"/>
              </w:rPr>
              <w:t>2、</w:t>
            </w:r>
            <w:r>
              <w:rPr>
                <w:rFonts w:hint="eastAsia" w:ascii="宋体" w:hAnsi="宋体"/>
                <w:color w:val="auto"/>
                <w:kern w:val="0"/>
                <w:sz w:val="24"/>
                <w:szCs w:val="24"/>
                <w:highlight w:val="none"/>
              </w:rPr>
              <w:t>在投标文件提交截止时间前，</w:t>
            </w:r>
            <w:r>
              <w:rPr>
                <w:rFonts w:hint="eastAsia" w:hAnsi="宋体" w:cs="宋体"/>
                <w:color w:val="auto"/>
                <w:sz w:val="24"/>
                <w:szCs w:val="24"/>
                <w:highlight w:val="none"/>
              </w:rPr>
              <w:t>投标人应通过</w:t>
            </w:r>
            <w:r>
              <w:rPr>
                <w:rFonts w:hint="eastAsia" w:ascii="宋体" w:hAnsi="宋体" w:eastAsia="宋体"/>
                <w:color w:val="auto"/>
                <w:sz w:val="24"/>
                <w:u w:val="none"/>
              </w:rPr>
              <w:t>全国公共资源交易平台（广东省·韶关市）（网址：https://ygp.gdzwfw.gov.cn/#/440200/index）</w:t>
            </w:r>
            <w:r>
              <w:rPr>
                <w:rFonts w:hint="eastAsia" w:hAnsi="宋体" w:cs="宋体"/>
                <w:color w:val="auto"/>
                <w:sz w:val="24"/>
                <w:szCs w:val="24"/>
                <w:highlight w:val="none"/>
              </w:rPr>
              <w:t>“产权招标交易系统”上传电子投标文件。逾期提交的电子投标文件，</w:t>
            </w:r>
            <w:r>
              <w:rPr>
                <w:rFonts w:hint="eastAsia" w:ascii="宋体" w:hAnsi="宋体" w:eastAsia="宋体"/>
                <w:color w:val="auto"/>
                <w:sz w:val="24"/>
                <w:u w:val="none"/>
              </w:rPr>
              <w:t>全国公共资源交易平台（广东省·韶关市）（网址：https://ygp.gdzwfw.gov.cn/#/440200/index）</w:t>
            </w:r>
            <w:r>
              <w:rPr>
                <w:rFonts w:hint="eastAsia" w:hAnsi="宋体" w:cs="宋体"/>
                <w:color w:val="auto"/>
                <w:sz w:val="24"/>
                <w:szCs w:val="24"/>
                <w:highlight w:val="none"/>
              </w:rPr>
              <w:t>将予以拒收</w:t>
            </w:r>
            <w:r>
              <w:rPr>
                <w:rFonts w:hint="eastAsia" w:ascii="宋体" w:hAnsi="宋体"/>
                <w:color w:val="auto"/>
                <w:sz w:val="24"/>
                <w:szCs w:val="24"/>
                <w:highlight w:val="none"/>
              </w:rPr>
              <w:t>。</w:t>
            </w:r>
          </w:p>
        </w:tc>
      </w:tr>
      <w:tr w14:paraId="46EF6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000" w:type="pct"/>
            <w:gridSpan w:val="3"/>
            <w:vAlign w:val="center"/>
          </w:tcPr>
          <w:p w14:paraId="0A5DAE2B">
            <w:pPr>
              <w:snapToGrid w:val="0"/>
              <w:jc w:val="center"/>
              <w:rPr>
                <w:rFonts w:ascii="宋体" w:hAnsi="宋体"/>
                <w:sz w:val="24"/>
                <w:szCs w:val="24"/>
              </w:rPr>
            </w:pPr>
            <w:r>
              <w:rPr>
                <w:rFonts w:ascii="宋体" w:hAnsi="宋体"/>
                <w:b/>
                <w:sz w:val="24"/>
                <w:szCs w:val="24"/>
              </w:rPr>
              <w:t>五、开标与评标</w:t>
            </w:r>
          </w:p>
        </w:tc>
      </w:tr>
      <w:tr w14:paraId="601EB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71" w:type="pct"/>
            <w:vMerge w:val="restart"/>
            <w:vAlign w:val="center"/>
          </w:tcPr>
          <w:p w14:paraId="69276D00">
            <w:pPr>
              <w:snapToGrid w:val="0"/>
              <w:jc w:val="center"/>
              <w:rPr>
                <w:rFonts w:ascii="宋体" w:hAnsi="宋体"/>
                <w:sz w:val="24"/>
                <w:szCs w:val="24"/>
              </w:rPr>
            </w:pPr>
            <w:r>
              <w:rPr>
                <w:rFonts w:hint="eastAsia" w:ascii="宋体" w:hAnsi="宋体"/>
                <w:sz w:val="24"/>
                <w:szCs w:val="24"/>
              </w:rPr>
              <w:t>（三）</w:t>
            </w:r>
          </w:p>
        </w:tc>
        <w:tc>
          <w:tcPr>
            <w:tcW w:w="410" w:type="pct"/>
            <w:vAlign w:val="center"/>
          </w:tcPr>
          <w:p w14:paraId="288D82A7">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57D9F87D">
            <w:pPr>
              <w:snapToGrid w:val="0"/>
              <w:rPr>
                <w:rFonts w:ascii="宋体" w:hAnsi="宋体"/>
                <w:b/>
                <w:color w:val="0000CC"/>
                <w:sz w:val="24"/>
                <w:szCs w:val="24"/>
              </w:rPr>
            </w:pPr>
            <w:r>
              <w:rPr>
                <w:rFonts w:hint="eastAsia" w:ascii="宋体" w:hAnsi="宋体"/>
                <w:bCs/>
                <w:color w:val="000000"/>
                <w:sz w:val="24"/>
                <w:szCs w:val="24"/>
              </w:rPr>
              <w:t>评标委员人数由5名单数组成</w:t>
            </w:r>
            <w:r>
              <w:rPr>
                <w:rFonts w:hint="eastAsia" w:ascii="宋体" w:hAnsi="宋体"/>
                <w:bCs/>
                <w:color w:val="000000"/>
                <w:sz w:val="24"/>
                <w:szCs w:val="24"/>
                <w:lang w:eastAsia="zh-CN"/>
              </w:rPr>
              <w:t>，</w:t>
            </w:r>
            <w:r>
              <w:rPr>
                <w:rFonts w:hint="eastAsia" w:ascii="宋体" w:hAnsi="宋体"/>
                <w:color w:val="auto"/>
                <w:sz w:val="24"/>
                <w:szCs w:val="24"/>
                <w:highlight w:val="none"/>
              </w:rPr>
              <w:t>其中招标人代表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人，评审专家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人，评审专家从广东省综合评标评审专家库--韶关区域中随机抽取</w:t>
            </w:r>
            <w:r>
              <w:rPr>
                <w:rFonts w:hint="eastAsia" w:ascii="宋体" w:hAnsi="宋体"/>
                <w:bCs/>
                <w:color w:val="000000"/>
                <w:sz w:val="24"/>
                <w:szCs w:val="24"/>
              </w:rPr>
              <w:t>。</w:t>
            </w:r>
          </w:p>
        </w:tc>
      </w:tr>
      <w:tr w14:paraId="75087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71" w:type="pct"/>
            <w:vMerge w:val="continue"/>
            <w:vAlign w:val="center"/>
          </w:tcPr>
          <w:p w14:paraId="15C38C96">
            <w:pPr>
              <w:snapToGrid w:val="0"/>
              <w:jc w:val="center"/>
              <w:rPr>
                <w:rFonts w:ascii="宋体" w:hAnsi="宋体"/>
                <w:sz w:val="24"/>
                <w:szCs w:val="24"/>
              </w:rPr>
            </w:pPr>
          </w:p>
        </w:tc>
        <w:tc>
          <w:tcPr>
            <w:tcW w:w="410" w:type="pct"/>
            <w:vAlign w:val="center"/>
          </w:tcPr>
          <w:p w14:paraId="09F51416">
            <w:pPr>
              <w:snapToGrid w:val="0"/>
              <w:jc w:val="center"/>
              <w:rPr>
                <w:rFonts w:ascii="宋体" w:hAnsi="宋体"/>
                <w:sz w:val="24"/>
                <w:szCs w:val="24"/>
              </w:rPr>
            </w:pPr>
            <w:r>
              <w:rPr>
                <w:rFonts w:hint="eastAsia" w:ascii="宋体" w:hAnsi="宋体"/>
                <w:sz w:val="24"/>
                <w:szCs w:val="24"/>
              </w:rPr>
              <w:t>3.</w:t>
            </w:r>
          </w:p>
        </w:tc>
        <w:tc>
          <w:tcPr>
            <w:tcW w:w="4118" w:type="pct"/>
            <w:vAlign w:val="center"/>
          </w:tcPr>
          <w:p w14:paraId="5235CD0E">
            <w:pPr>
              <w:snapToGrid w:val="0"/>
              <w:rPr>
                <w:rFonts w:ascii="宋体" w:hAnsi="宋体"/>
                <w:bCs/>
                <w:sz w:val="24"/>
                <w:szCs w:val="24"/>
              </w:rPr>
            </w:pPr>
            <w:r>
              <w:rPr>
                <w:rFonts w:hint="eastAsia" w:ascii="宋体" w:hAnsi="宋体"/>
                <w:bCs/>
                <w:sz w:val="24"/>
                <w:szCs w:val="24"/>
              </w:rPr>
              <w:t>评标方</w:t>
            </w:r>
            <w:r>
              <w:rPr>
                <w:rFonts w:hint="eastAsia" w:ascii="宋体" w:hAnsi="宋体"/>
                <w:bCs/>
                <w:color w:val="auto"/>
                <w:sz w:val="24"/>
                <w:szCs w:val="24"/>
              </w:rPr>
              <w:t>法：采用综合评分法。</w:t>
            </w:r>
          </w:p>
        </w:tc>
      </w:tr>
      <w:tr w14:paraId="4C82B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1" w:type="pct"/>
            <w:vAlign w:val="center"/>
          </w:tcPr>
          <w:p w14:paraId="60EA4034">
            <w:pPr>
              <w:snapToGrid w:val="0"/>
              <w:jc w:val="center"/>
              <w:rPr>
                <w:rFonts w:ascii="宋体" w:hAnsi="宋体"/>
                <w:sz w:val="24"/>
                <w:szCs w:val="24"/>
              </w:rPr>
            </w:pPr>
            <w:r>
              <w:rPr>
                <w:rFonts w:hint="eastAsia" w:ascii="宋体" w:hAnsi="宋体"/>
                <w:sz w:val="24"/>
                <w:szCs w:val="24"/>
              </w:rPr>
              <w:t>（七）</w:t>
            </w:r>
          </w:p>
        </w:tc>
        <w:tc>
          <w:tcPr>
            <w:tcW w:w="410" w:type="pct"/>
            <w:vAlign w:val="center"/>
          </w:tcPr>
          <w:p w14:paraId="15AE07A6">
            <w:pPr>
              <w:snapToGrid w:val="0"/>
              <w:jc w:val="center"/>
              <w:rPr>
                <w:rFonts w:ascii="宋体" w:hAnsi="宋体"/>
                <w:sz w:val="24"/>
                <w:szCs w:val="24"/>
              </w:rPr>
            </w:pPr>
            <w:r>
              <w:rPr>
                <w:rFonts w:hint="eastAsia" w:ascii="宋体" w:hAnsi="宋体"/>
                <w:sz w:val="24"/>
                <w:szCs w:val="24"/>
              </w:rPr>
              <w:t>3.</w:t>
            </w:r>
          </w:p>
        </w:tc>
        <w:tc>
          <w:tcPr>
            <w:tcW w:w="4118" w:type="pct"/>
            <w:vAlign w:val="center"/>
          </w:tcPr>
          <w:p w14:paraId="684FC9BD">
            <w:pPr>
              <w:snapToGrid w:val="0"/>
              <w:spacing w:line="288" w:lineRule="auto"/>
              <w:ind w:firstLine="0" w:firstLineChars="0"/>
              <w:rPr>
                <w:rFonts w:ascii="宋体" w:hAnsi="宋体"/>
                <w:color w:val="FF0000"/>
                <w:sz w:val="24"/>
                <w:szCs w:val="24"/>
              </w:rPr>
            </w:pPr>
            <w:r>
              <w:rPr>
                <w:rFonts w:hint="eastAsia" w:ascii="宋体" w:hAnsi="宋体"/>
                <w:sz w:val="24"/>
                <w:szCs w:val="24"/>
              </w:rPr>
              <w:t>推荐中标候选人的数量及原则：</w:t>
            </w:r>
            <w:r>
              <w:rPr>
                <w:rFonts w:ascii="宋体" w:hAnsi="宋体"/>
                <w:color w:val="FF0000"/>
                <w:sz w:val="24"/>
                <w:szCs w:val="24"/>
              </w:rPr>
              <w:t xml:space="preserve"> </w:t>
            </w:r>
          </w:p>
          <w:p w14:paraId="3DD26BEA">
            <w:pPr>
              <w:snapToGrid w:val="0"/>
              <w:spacing w:line="288" w:lineRule="auto"/>
              <w:ind w:firstLine="0" w:firstLineChars="0"/>
              <w:rPr>
                <w:rFonts w:ascii="宋体" w:hAnsi="宋体"/>
                <w:bCs/>
                <w:dstrike/>
                <w:sz w:val="24"/>
                <w:szCs w:val="24"/>
              </w:rPr>
            </w:pPr>
            <w:r>
              <w:rPr>
                <w:rFonts w:hint="eastAsia" w:ascii="宋体" w:hAnsi="宋体"/>
                <w:bCs/>
                <w:color w:val="000000"/>
                <w:sz w:val="24"/>
                <w:szCs w:val="24"/>
              </w:rPr>
              <w:t>通过资格、符合性审查的投标人有</w:t>
            </w:r>
            <w:r>
              <w:rPr>
                <w:rFonts w:hint="eastAsia" w:ascii="宋体" w:hAnsi="宋体"/>
                <w:bCs/>
                <w:color w:val="000000"/>
                <w:sz w:val="24"/>
                <w:szCs w:val="24"/>
                <w:u w:val="single"/>
              </w:rPr>
              <w:t xml:space="preserve"> 3 </w:t>
            </w:r>
            <w:r>
              <w:rPr>
                <w:rFonts w:hint="eastAsia" w:ascii="宋体" w:hAnsi="宋体"/>
                <w:bCs/>
                <w:color w:val="000000"/>
                <w:sz w:val="24"/>
                <w:szCs w:val="24"/>
              </w:rPr>
              <w:t>家或以上时，推荐综合排名第</w:t>
            </w:r>
            <w:r>
              <w:rPr>
                <w:rFonts w:hint="eastAsia" w:ascii="宋体" w:hAnsi="宋体"/>
                <w:bCs/>
                <w:color w:val="000000"/>
                <w:sz w:val="24"/>
                <w:szCs w:val="24"/>
                <w:u w:val="single"/>
              </w:rPr>
              <w:t xml:space="preserve"> 1 </w:t>
            </w:r>
            <w:r>
              <w:rPr>
                <w:rFonts w:hint="eastAsia" w:ascii="宋体" w:hAnsi="宋体"/>
                <w:bCs/>
                <w:color w:val="000000"/>
                <w:sz w:val="24"/>
                <w:szCs w:val="24"/>
              </w:rPr>
              <w:t>名的投标人为第一中标候选人；推荐综合排名第</w:t>
            </w:r>
            <w:r>
              <w:rPr>
                <w:rFonts w:hint="eastAsia" w:ascii="宋体" w:hAnsi="宋体"/>
                <w:bCs/>
                <w:color w:val="000000"/>
                <w:sz w:val="24"/>
                <w:szCs w:val="24"/>
                <w:u w:val="single"/>
              </w:rPr>
              <w:t xml:space="preserve"> 2 </w:t>
            </w:r>
            <w:r>
              <w:rPr>
                <w:rFonts w:hint="eastAsia" w:ascii="宋体" w:hAnsi="宋体"/>
                <w:bCs/>
                <w:color w:val="000000"/>
                <w:sz w:val="24"/>
                <w:szCs w:val="24"/>
              </w:rPr>
              <w:t>名的投标人为第二中标候选人；推荐综合排名第</w:t>
            </w:r>
            <w:r>
              <w:rPr>
                <w:rFonts w:hint="eastAsia" w:ascii="宋体" w:hAnsi="宋体"/>
                <w:bCs/>
                <w:color w:val="000000"/>
                <w:sz w:val="24"/>
                <w:szCs w:val="24"/>
                <w:u w:val="single"/>
              </w:rPr>
              <w:t xml:space="preserve"> 3 </w:t>
            </w:r>
            <w:r>
              <w:rPr>
                <w:rFonts w:hint="eastAsia" w:ascii="宋体" w:hAnsi="宋体"/>
                <w:bCs/>
                <w:color w:val="000000"/>
                <w:sz w:val="24"/>
                <w:szCs w:val="24"/>
              </w:rPr>
              <w:t>名的投标人为第三中标候选人。</w:t>
            </w:r>
          </w:p>
        </w:tc>
      </w:tr>
      <w:tr w14:paraId="05207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3"/>
            <w:vAlign w:val="center"/>
          </w:tcPr>
          <w:p w14:paraId="4D3F0144">
            <w:pPr>
              <w:snapToGrid w:val="0"/>
              <w:jc w:val="center"/>
              <w:rPr>
                <w:rFonts w:ascii="宋体" w:hAnsi="宋体"/>
                <w:sz w:val="24"/>
                <w:szCs w:val="24"/>
              </w:rPr>
            </w:pPr>
            <w:r>
              <w:rPr>
                <w:rFonts w:hint="eastAsia" w:ascii="宋体" w:hAnsi="宋体"/>
                <w:b/>
                <w:sz w:val="24"/>
                <w:szCs w:val="24"/>
              </w:rPr>
              <w:t>七、</w:t>
            </w:r>
            <w:r>
              <w:rPr>
                <w:rFonts w:ascii="宋体" w:hAnsi="宋体"/>
                <w:b/>
                <w:sz w:val="24"/>
                <w:szCs w:val="24"/>
              </w:rPr>
              <w:t>授予合同</w:t>
            </w:r>
          </w:p>
        </w:tc>
      </w:tr>
      <w:tr w14:paraId="4EAAE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pct"/>
            <w:vAlign w:val="center"/>
          </w:tcPr>
          <w:p w14:paraId="493C39A1">
            <w:pPr>
              <w:snapToGrid w:val="0"/>
              <w:jc w:val="center"/>
              <w:rPr>
                <w:rFonts w:ascii="宋体" w:hAnsi="宋体"/>
                <w:sz w:val="24"/>
                <w:szCs w:val="24"/>
              </w:rPr>
            </w:pPr>
            <w:r>
              <w:rPr>
                <w:rFonts w:hint="eastAsia" w:ascii="宋体" w:hAnsi="宋体"/>
                <w:sz w:val="24"/>
                <w:szCs w:val="24"/>
              </w:rPr>
              <w:t>（一）</w:t>
            </w:r>
          </w:p>
        </w:tc>
        <w:tc>
          <w:tcPr>
            <w:tcW w:w="410" w:type="pct"/>
            <w:vAlign w:val="center"/>
          </w:tcPr>
          <w:p w14:paraId="267BC01D">
            <w:pPr>
              <w:snapToGrid w:val="0"/>
              <w:jc w:val="center"/>
              <w:rPr>
                <w:rFonts w:ascii="宋体" w:hAnsi="宋体"/>
                <w:sz w:val="24"/>
                <w:szCs w:val="24"/>
              </w:rPr>
            </w:pPr>
            <w:r>
              <w:rPr>
                <w:rFonts w:hint="eastAsia" w:ascii="宋体" w:hAnsi="宋体"/>
                <w:sz w:val="24"/>
                <w:szCs w:val="24"/>
              </w:rPr>
              <w:t>1.</w:t>
            </w:r>
          </w:p>
        </w:tc>
        <w:tc>
          <w:tcPr>
            <w:tcW w:w="4118" w:type="pct"/>
            <w:vAlign w:val="center"/>
          </w:tcPr>
          <w:p w14:paraId="7485DE37">
            <w:pPr>
              <w:snapToGrid w:val="0"/>
              <w:rPr>
                <w:rFonts w:hint="eastAsia" w:ascii="宋体" w:hAnsi="宋体" w:eastAsia="宋体"/>
                <w:color w:val="FF00FF"/>
                <w:sz w:val="24"/>
                <w:szCs w:val="24"/>
                <w:lang w:eastAsia="zh-CN"/>
              </w:rPr>
            </w:pPr>
            <w:r>
              <w:rPr>
                <w:rFonts w:hint="eastAsia" w:ascii="宋体" w:hAnsi="宋体"/>
                <w:sz w:val="24"/>
                <w:szCs w:val="24"/>
              </w:rPr>
              <w:t>合同签订时间</w:t>
            </w:r>
            <w:r>
              <w:rPr>
                <w:rFonts w:hint="eastAsia" w:ascii="宋体" w:hAnsi="宋体"/>
                <w:color w:val="auto"/>
                <w:sz w:val="24"/>
                <w:szCs w:val="24"/>
              </w:rPr>
              <w:t>：自《中标通知书》发出之日起三十日内</w:t>
            </w:r>
            <w:r>
              <w:rPr>
                <w:rFonts w:hint="eastAsia" w:ascii="宋体" w:hAnsi="宋体"/>
                <w:color w:val="auto"/>
                <w:sz w:val="24"/>
                <w:szCs w:val="24"/>
                <w:lang w:eastAsia="zh-CN"/>
              </w:rPr>
              <w:t>。</w:t>
            </w:r>
          </w:p>
        </w:tc>
      </w:tr>
      <w:tr w14:paraId="5DD9A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71" w:type="pct"/>
            <w:vAlign w:val="center"/>
          </w:tcPr>
          <w:p w14:paraId="0C9375BD">
            <w:pPr>
              <w:snapToGrid w:val="0"/>
              <w:jc w:val="center"/>
              <w:rPr>
                <w:rFonts w:ascii="宋体" w:hAnsi="宋体"/>
                <w:sz w:val="24"/>
                <w:szCs w:val="24"/>
              </w:rPr>
            </w:pPr>
            <w:r>
              <w:rPr>
                <w:rFonts w:hint="eastAsia" w:ascii="宋体" w:hAnsi="宋体"/>
                <w:sz w:val="24"/>
                <w:szCs w:val="24"/>
              </w:rPr>
              <w:t>（三）</w:t>
            </w:r>
          </w:p>
        </w:tc>
        <w:tc>
          <w:tcPr>
            <w:tcW w:w="410" w:type="pct"/>
            <w:vAlign w:val="center"/>
          </w:tcPr>
          <w:p w14:paraId="101890CE">
            <w:pPr>
              <w:snapToGrid w:val="0"/>
              <w:jc w:val="center"/>
              <w:rPr>
                <w:rFonts w:ascii="宋体" w:hAnsi="宋体"/>
                <w:sz w:val="24"/>
                <w:szCs w:val="24"/>
              </w:rPr>
            </w:pPr>
            <w:r>
              <w:rPr>
                <w:rFonts w:hint="eastAsia" w:ascii="宋体" w:hAnsi="宋体"/>
                <w:sz w:val="24"/>
                <w:szCs w:val="24"/>
              </w:rPr>
              <w:t>1.</w:t>
            </w:r>
          </w:p>
        </w:tc>
        <w:tc>
          <w:tcPr>
            <w:tcW w:w="4118" w:type="pct"/>
          </w:tcPr>
          <w:p w14:paraId="1977EAB5">
            <w:pPr>
              <w:numPr>
                <w:ilvl w:val="0"/>
                <w:numId w:val="28"/>
              </w:numPr>
              <w:tabs>
                <w:tab w:val="left" w:pos="360"/>
                <w:tab w:val="clear" w:pos="425"/>
              </w:tabs>
              <w:autoSpaceDE/>
              <w:autoSpaceDN/>
              <w:snapToGrid w:val="0"/>
              <w:ind w:left="360" w:hanging="360" w:firstLineChars="0"/>
              <w:jc w:val="both"/>
              <w:rPr>
                <w:rFonts w:ascii="宋体" w:hAnsi="宋体"/>
                <w:color w:val="FF0000"/>
                <w:sz w:val="24"/>
                <w:szCs w:val="24"/>
              </w:rPr>
            </w:pPr>
            <w:r>
              <w:rPr>
                <w:rFonts w:ascii="宋体" w:hAnsi="宋体"/>
                <w:sz w:val="24"/>
                <w:szCs w:val="24"/>
              </w:rPr>
              <w:t>中标人须向招标代理机构按如下标准和规定缴纳招标代理服务费：</w:t>
            </w:r>
          </w:p>
          <w:p w14:paraId="4AA87E97">
            <w:pPr>
              <w:snapToGrid w:val="0"/>
              <w:ind w:left="600" w:hanging="600" w:hangingChars="250"/>
              <w:rPr>
                <w:rFonts w:ascii="宋体" w:hAnsi="宋体"/>
                <w:sz w:val="24"/>
                <w:szCs w:val="24"/>
              </w:rPr>
            </w:pPr>
            <w:r>
              <w:rPr>
                <w:rFonts w:hint="eastAsia" w:ascii="宋体" w:hAnsi="宋体"/>
                <w:sz w:val="24"/>
                <w:szCs w:val="24"/>
              </w:rPr>
              <w:t>（1）中标人向</w:t>
            </w:r>
            <w:r>
              <w:rPr>
                <w:rFonts w:ascii="宋体" w:hAnsi="宋体"/>
                <w:sz w:val="24"/>
                <w:szCs w:val="24"/>
              </w:rPr>
              <w:t>招标代理机构缴纳</w:t>
            </w:r>
            <w:r>
              <w:rPr>
                <w:rFonts w:hint="eastAsia" w:ascii="宋体" w:hAnsi="宋体"/>
                <w:sz w:val="24"/>
                <w:szCs w:val="24"/>
              </w:rPr>
              <w:t>招标代理服务费：人民币</w:t>
            </w:r>
            <w:r>
              <w:rPr>
                <w:rFonts w:hint="eastAsia" w:ascii="宋体" w:hAnsi="宋体"/>
                <w:sz w:val="24"/>
                <w:szCs w:val="24"/>
                <w:u w:val="single"/>
                <w:lang w:val="en-US" w:eastAsia="zh-CN"/>
              </w:rPr>
              <w:t>22000</w:t>
            </w:r>
            <w:r>
              <w:rPr>
                <w:rFonts w:hint="eastAsia" w:ascii="宋体" w:hAnsi="宋体"/>
                <w:sz w:val="24"/>
                <w:szCs w:val="24"/>
              </w:rPr>
              <w:t>元整。</w:t>
            </w:r>
          </w:p>
          <w:p w14:paraId="3D0D3382">
            <w:pPr>
              <w:snapToGrid w:val="0"/>
              <w:rPr>
                <w:rFonts w:ascii="宋体" w:hAnsi="宋体"/>
                <w:sz w:val="24"/>
                <w:szCs w:val="24"/>
              </w:rPr>
            </w:pPr>
            <w:r>
              <w:rPr>
                <w:rFonts w:hint="eastAsia" w:ascii="宋体" w:hAnsi="宋体"/>
                <w:sz w:val="24"/>
                <w:szCs w:val="24"/>
              </w:rPr>
              <w:t>（2）</w:t>
            </w:r>
            <w:r>
              <w:rPr>
                <w:rFonts w:ascii="宋体" w:hAnsi="宋体"/>
                <w:sz w:val="24"/>
                <w:szCs w:val="24"/>
              </w:rPr>
              <w:t>招标代理服务费的缴纳形式：</w:t>
            </w:r>
          </w:p>
          <w:p w14:paraId="3E7DD519">
            <w:pPr>
              <w:snapToGrid w:val="0"/>
              <w:ind w:left="834" w:leftChars="273" w:hanging="288" w:hangingChars="120"/>
              <w:rPr>
                <w:rFonts w:ascii="宋体" w:hAnsi="宋体"/>
                <w:sz w:val="24"/>
                <w:szCs w:val="24"/>
              </w:rPr>
            </w:pPr>
            <w:r>
              <w:rPr>
                <w:rFonts w:ascii="宋体" w:hAnsi="宋体"/>
                <w:sz w:val="24"/>
                <w:szCs w:val="24"/>
              </w:rPr>
              <w:t xml:space="preserve">a.向招标代理机构直接缴纳招标代理服务费。可用支票、汇票、电汇等付款方式； </w:t>
            </w:r>
          </w:p>
          <w:p w14:paraId="7C64F5DF">
            <w:pPr>
              <w:numPr>
                <w:ilvl w:val="0"/>
                <w:numId w:val="28"/>
              </w:numPr>
              <w:tabs>
                <w:tab w:val="left" w:pos="360"/>
                <w:tab w:val="clear" w:pos="425"/>
              </w:tabs>
              <w:autoSpaceDE/>
              <w:autoSpaceDN/>
              <w:snapToGrid w:val="0"/>
              <w:ind w:left="360" w:hanging="360"/>
              <w:jc w:val="both"/>
              <w:rPr>
                <w:rFonts w:ascii="宋体" w:hAnsi="宋体"/>
                <w:sz w:val="24"/>
                <w:szCs w:val="24"/>
              </w:rPr>
            </w:pPr>
            <w:r>
              <w:rPr>
                <w:rFonts w:ascii="宋体" w:hAnsi="宋体"/>
                <w:sz w:val="24"/>
                <w:szCs w:val="24"/>
              </w:rPr>
              <w:t>投标人应签署</w:t>
            </w:r>
            <w:r>
              <w:rPr>
                <w:rFonts w:hint="eastAsia" w:ascii="宋体" w:hAnsi="宋体"/>
                <w:sz w:val="24"/>
                <w:szCs w:val="24"/>
              </w:rPr>
              <w:t>第六章</w:t>
            </w:r>
            <w:r>
              <w:rPr>
                <w:rFonts w:ascii="宋体" w:hAnsi="宋体"/>
                <w:sz w:val="24"/>
                <w:szCs w:val="24"/>
              </w:rPr>
              <w:t>所附格式的招标代理服务费承诺书，作为投标文件的一部分。</w:t>
            </w:r>
          </w:p>
          <w:p w14:paraId="48396B64">
            <w:pPr>
              <w:numPr>
                <w:ilvl w:val="0"/>
                <w:numId w:val="28"/>
              </w:numPr>
              <w:tabs>
                <w:tab w:val="left" w:pos="360"/>
                <w:tab w:val="clear" w:pos="425"/>
              </w:tabs>
              <w:autoSpaceDE/>
              <w:autoSpaceDN/>
              <w:snapToGrid w:val="0"/>
              <w:ind w:left="360" w:hanging="360"/>
              <w:jc w:val="both"/>
              <w:rPr>
                <w:rFonts w:ascii="宋体" w:hAnsi="宋体"/>
                <w:sz w:val="24"/>
                <w:szCs w:val="24"/>
              </w:rPr>
            </w:pPr>
            <w:r>
              <w:rPr>
                <w:rFonts w:hint="eastAsia" w:ascii="宋体" w:hAnsi="宋体" w:cs="宋体"/>
                <w:sz w:val="24"/>
                <w:szCs w:val="24"/>
              </w:rPr>
              <w:t>中标人须向招标代理机构缴</w:t>
            </w:r>
            <w:r>
              <w:rPr>
                <w:rFonts w:hint="eastAsia" w:ascii="宋体" w:hAnsi="宋体" w:cs="宋体"/>
                <w:sz w:val="24"/>
                <w:szCs w:val="24"/>
                <w:lang w:eastAsia="zh-TW"/>
              </w:rPr>
              <w:t>纳</w:t>
            </w:r>
            <w:r>
              <w:rPr>
                <w:rFonts w:hint="eastAsia" w:ascii="宋体" w:hAnsi="宋体" w:cs="宋体"/>
                <w:sz w:val="24"/>
                <w:szCs w:val="24"/>
              </w:rPr>
              <w:t>招标代理服务费后，</w:t>
            </w:r>
            <w:r>
              <w:rPr>
                <w:rFonts w:hint="eastAsia" w:ascii="宋体" w:hAnsi="宋体" w:cs="宋体"/>
                <w:b/>
                <w:sz w:val="24"/>
                <w:szCs w:val="24"/>
              </w:rPr>
              <w:t>凭领取人身份证复印件并加盖公章</w:t>
            </w:r>
            <w:r>
              <w:rPr>
                <w:rFonts w:hint="eastAsia" w:ascii="宋体" w:hAnsi="宋体" w:cs="宋体"/>
                <w:sz w:val="24"/>
                <w:szCs w:val="24"/>
              </w:rPr>
              <w:t>领取《中标通知书》。如采用电汇或银行转账，须同时递交招标代理服务费缴费凭证复印件并加盖公章。</w:t>
            </w:r>
          </w:p>
        </w:tc>
      </w:tr>
    </w:tbl>
    <w:p w14:paraId="3CE4DE72">
      <w:pPr>
        <w:widowControl/>
        <w:autoSpaceDE/>
        <w:autoSpaceDN/>
        <w:adjustRightInd/>
        <w:spacing w:line="360" w:lineRule="auto"/>
        <w:rPr>
          <w:u w:val="single"/>
        </w:rPr>
      </w:pPr>
    </w:p>
    <w:p w14:paraId="6E4F9532">
      <w:pPr>
        <w:snapToGrid w:val="0"/>
        <w:spacing w:line="360" w:lineRule="auto"/>
        <w:jc w:val="center"/>
        <w:outlineLvl w:val="1"/>
        <w:rPr>
          <w:b/>
          <w:color w:val="FF0000"/>
        </w:rPr>
      </w:pPr>
      <w:r>
        <w:rPr>
          <w:u w:val="single"/>
        </w:rPr>
        <w:br w:type="page"/>
      </w:r>
      <w:bookmarkStart w:id="35" w:name="_Toc33707676"/>
      <w:bookmarkStart w:id="36" w:name="_Toc21331"/>
      <w:bookmarkStart w:id="37" w:name="_Toc17861"/>
      <w:bookmarkStart w:id="38" w:name="_Toc17675"/>
      <w:bookmarkStart w:id="39" w:name="_Toc6796"/>
      <w:r>
        <w:rPr>
          <w:rFonts w:hint="eastAsia"/>
          <w:b/>
          <w:bCs/>
          <w:sz w:val="28"/>
          <w:szCs w:val="28"/>
        </w:rPr>
        <w:t>第二部分 投标人须知通用条款</w:t>
      </w:r>
      <w:bookmarkEnd w:id="35"/>
      <w:bookmarkEnd w:id="36"/>
      <w:bookmarkEnd w:id="37"/>
      <w:bookmarkEnd w:id="38"/>
      <w:bookmarkEnd w:id="39"/>
    </w:p>
    <w:p w14:paraId="7E1B897C">
      <w:pPr>
        <w:snapToGrid w:val="0"/>
        <w:spacing w:line="360" w:lineRule="auto"/>
        <w:ind w:left="420" w:leftChars="210" w:right="560" w:rightChars="280"/>
        <w:jc w:val="center"/>
        <w:outlineLvl w:val="2"/>
        <w:rPr>
          <w:rFonts w:ascii="宋体" w:hAnsi="宋体" w:cs="楷体_GB2312"/>
          <w:sz w:val="28"/>
          <w:szCs w:val="28"/>
        </w:rPr>
      </w:pPr>
      <w:bookmarkStart w:id="40" w:name="_Toc28465"/>
      <w:bookmarkStart w:id="41" w:name="_Toc31692"/>
      <w:bookmarkStart w:id="42" w:name="_Toc14378"/>
      <w:bookmarkStart w:id="43" w:name="_Toc3144"/>
      <w:r>
        <w:rPr>
          <w:rFonts w:hint="eastAsia" w:ascii="宋体" w:hAnsi="宋体"/>
          <w:b/>
          <w:sz w:val="28"/>
          <w:szCs w:val="28"/>
          <w:lang w:eastAsia="zh-TW"/>
        </w:rPr>
        <w:t>一、</w:t>
      </w:r>
      <w:r>
        <w:rPr>
          <w:rFonts w:hint="eastAsia" w:ascii="宋体" w:hAnsi="宋体"/>
          <w:b/>
          <w:sz w:val="28"/>
          <w:szCs w:val="28"/>
        </w:rPr>
        <w:t>总 则</w:t>
      </w:r>
      <w:bookmarkEnd w:id="40"/>
      <w:bookmarkEnd w:id="41"/>
      <w:bookmarkEnd w:id="42"/>
      <w:bookmarkEnd w:id="43"/>
    </w:p>
    <w:p w14:paraId="017650AA">
      <w:pPr>
        <w:numPr>
          <w:ilvl w:val="0"/>
          <w:numId w:val="29"/>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适用范围</w:t>
      </w:r>
    </w:p>
    <w:p w14:paraId="33012B8D">
      <w:pPr>
        <w:numPr>
          <w:ilvl w:val="1"/>
          <w:numId w:val="30"/>
        </w:numPr>
        <w:snapToGrid w:val="0"/>
        <w:spacing w:line="360" w:lineRule="auto"/>
        <w:jc w:val="both"/>
        <w:textAlignment w:val="baseline"/>
        <w:rPr>
          <w:rFonts w:ascii="宋体" w:hAnsi="宋体"/>
          <w:sz w:val="24"/>
          <w:szCs w:val="24"/>
        </w:rPr>
      </w:pPr>
      <w:r>
        <w:rPr>
          <w:rFonts w:hint="eastAsia" w:ascii="宋体" w:hAnsi="宋体"/>
          <w:sz w:val="24"/>
          <w:szCs w:val="24"/>
        </w:rPr>
        <w:t>本招标文件适用于本投标邀请中所述项目的招标采购。</w:t>
      </w:r>
    </w:p>
    <w:p w14:paraId="4EF096FD">
      <w:pPr>
        <w:numPr>
          <w:ilvl w:val="0"/>
          <w:numId w:val="29"/>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定义</w:t>
      </w:r>
    </w:p>
    <w:p w14:paraId="7EDD5A49">
      <w:pPr>
        <w:numPr>
          <w:ilvl w:val="1"/>
          <w:numId w:val="31"/>
        </w:numPr>
        <w:snapToGrid w:val="0"/>
        <w:spacing w:line="360" w:lineRule="auto"/>
        <w:jc w:val="both"/>
        <w:textAlignment w:val="baseline"/>
        <w:rPr>
          <w:rFonts w:ascii="宋体" w:hAnsi="宋体"/>
          <w:sz w:val="24"/>
          <w:szCs w:val="24"/>
        </w:rPr>
      </w:pPr>
      <w:r>
        <w:rPr>
          <w:rFonts w:hint="eastAsia" w:ascii="宋体" w:hAnsi="宋体"/>
          <w:sz w:val="24"/>
          <w:szCs w:val="24"/>
        </w:rPr>
        <w:t>招标人是依照相关规定提出招标项目、进行招标的法人或者其他组织。</w:t>
      </w:r>
      <w:r>
        <w:rPr>
          <w:rFonts w:hint="eastAsia" w:ascii="宋体" w:hAnsi="宋体"/>
          <w:sz w:val="24"/>
          <w:szCs w:val="24"/>
          <w:lang w:eastAsia="zh-TW"/>
        </w:rPr>
        <w:t>本招标文件</w:t>
      </w:r>
      <w:r>
        <w:rPr>
          <w:rFonts w:hint="eastAsia" w:ascii="宋体" w:hAnsi="宋体"/>
          <w:sz w:val="24"/>
          <w:szCs w:val="24"/>
        </w:rPr>
        <w:t>“投标人须知前附表”</w:t>
      </w:r>
      <w:r>
        <w:rPr>
          <w:rFonts w:hint="eastAsia" w:ascii="宋体" w:hAnsi="宋体"/>
          <w:sz w:val="24"/>
          <w:szCs w:val="24"/>
          <w:lang w:eastAsia="zh-TW"/>
        </w:rPr>
        <w:t>中所述的招标人已拥有一笔资金</w:t>
      </w:r>
      <w:r>
        <w:rPr>
          <w:rFonts w:hint="eastAsia" w:ascii="宋体" w:hAnsi="宋体"/>
          <w:sz w:val="24"/>
          <w:szCs w:val="24"/>
        </w:rPr>
        <w:t>或资金来源已落实</w:t>
      </w:r>
      <w:r>
        <w:rPr>
          <w:rFonts w:hint="eastAsia" w:ascii="宋体" w:hAnsi="宋体"/>
          <w:sz w:val="24"/>
          <w:szCs w:val="24"/>
          <w:lang w:eastAsia="zh-TW"/>
        </w:rPr>
        <w:t>。招标人计划将一部分</w:t>
      </w:r>
      <w:r>
        <w:rPr>
          <w:rFonts w:hint="eastAsia" w:ascii="宋体" w:hAnsi="宋体"/>
          <w:sz w:val="24"/>
          <w:szCs w:val="24"/>
        </w:rPr>
        <w:t>或全部</w:t>
      </w:r>
      <w:r>
        <w:rPr>
          <w:rFonts w:hint="eastAsia" w:ascii="宋体" w:hAnsi="宋体"/>
          <w:sz w:val="24"/>
          <w:szCs w:val="24"/>
          <w:lang w:eastAsia="zh-TW"/>
        </w:rPr>
        <w:t>资金用于支付本次</w:t>
      </w:r>
      <w:r>
        <w:rPr>
          <w:rFonts w:hint="eastAsia" w:ascii="宋体" w:hAnsi="宋体"/>
          <w:sz w:val="24"/>
          <w:szCs w:val="24"/>
        </w:rPr>
        <w:t>采购</w:t>
      </w:r>
      <w:r>
        <w:rPr>
          <w:rFonts w:hint="eastAsia" w:ascii="宋体" w:hAnsi="宋体"/>
          <w:sz w:val="24"/>
          <w:szCs w:val="24"/>
          <w:lang w:eastAsia="zh-TW"/>
        </w:rPr>
        <w:t>后所签订合同项下的款项</w:t>
      </w:r>
      <w:r>
        <w:rPr>
          <w:rFonts w:hint="eastAsia" w:ascii="宋体" w:hAnsi="宋体"/>
          <w:sz w:val="24"/>
          <w:szCs w:val="24"/>
        </w:rPr>
        <w:t>。</w:t>
      </w:r>
    </w:p>
    <w:p w14:paraId="0CDD9A1C">
      <w:pPr>
        <w:numPr>
          <w:ilvl w:val="1"/>
          <w:numId w:val="31"/>
        </w:numPr>
        <w:snapToGrid w:val="0"/>
        <w:spacing w:line="360" w:lineRule="auto"/>
        <w:jc w:val="both"/>
        <w:textAlignment w:val="baseline"/>
        <w:rPr>
          <w:rFonts w:ascii="宋体" w:hAnsi="宋体"/>
          <w:sz w:val="24"/>
          <w:szCs w:val="24"/>
        </w:rPr>
      </w:pPr>
      <w:r>
        <w:rPr>
          <w:rFonts w:hint="eastAsia" w:ascii="宋体" w:hAnsi="宋体"/>
          <w:sz w:val="24"/>
          <w:szCs w:val="24"/>
        </w:rPr>
        <w:t>招标代理机构指按照规定办理名录登记并通过审核的代理机构。</w:t>
      </w:r>
    </w:p>
    <w:p w14:paraId="2C6DD3C1">
      <w:pPr>
        <w:numPr>
          <w:ilvl w:val="1"/>
          <w:numId w:val="31"/>
        </w:numPr>
        <w:snapToGrid w:val="0"/>
        <w:spacing w:line="360" w:lineRule="auto"/>
        <w:jc w:val="both"/>
        <w:textAlignment w:val="baseline"/>
        <w:rPr>
          <w:rFonts w:ascii="宋体" w:hAnsi="宋体"/>
          <w:sz w:val="24"/>
          <w:szCs w:val="24"/>
          <w:lang w:eastAsia="zh-TW"/>
        </w:rPr>
      </w:pPr>
      <w:r>
        <w:rPr>
          <w:rFonts w:hint="eastAsia" w:ascii="宋体" w:hAnsi="宋体"/>
          <w:sz w:val="24"/>
          <w:szCs w:val="24"/>
        </w:rPr>
        <w:t>投标人是响应招标并且符合招标文件规定资格条件和参加投标竞争的法人或其他组织。</w:t>
      </w:r>
    </w:p>
    <w:p w14:paraId="0C6153B4">
      <w:pPr>
        <w:numPr>
          <w:ilvl w:val="1"/>
          <w:numId w:val="31"/>
        </w:numPr>
        <w:snapToGrid w:val="0"/>
        <w:spacing w:line="360" w:lineRule="auto"/>
        <w:jc w:val="both"/>
        <w:textAlignment w:val="baseline"/>
        <w:rPr>
          <w:rFonts w:ascii="宋体" w:hAnsi="宋体"/>
          <w:sz w:val="24"/>
          <w:szCs w:val="24"/>
        </w:rPr>
      </w:pPr>
      <w:r>
        <w:rPr>
          <w:rFonts w:hint="eastAsia" w:ascii="宋体" w:hAnsi="宋体"/>
          <w:sz w:val="24"/>
          <w:szCs w:val="24"/>
        </w:rPr>
        <w:t>货物是指投标人制造或组织符合招标文件要求的货物等。投标的货物必须是其合法生产、合法来源的符合国家有关标准要求的货物，并满足招标文件规定的规格、参数、质量、价格、有效期、售后服务等要求。</w:t>
      </w:r>
    </w:p>
    <w:p w14:paraId="0CD4E9E6">
      <w:pPr>
        <w:numPr>
          <w:ilvl w:val="1"/>
          <w:numId w:val="31"/>
        </w:numPr>
        <w:snapToGrid w:val="0"/>
        <w:spacing w:line="360" w:lineRule="auto"/>
        <w:jc w:val="both"/>
        <w:textAlignment w:val="baseline"/>
        <w:rPr>
          <w:rFonts w:ascii="宋体" w:hAnsi="宋体"/>
          <w:color w:val="000000"/>
          <w:sz w:val="24"/>
          <w:szCs w:val="24"/>
        </w:rPr>
      </w:pPr>
      <w:r>
        <w:rPr>
          <w:rFonts w:hint="eastAsia" w:ascii="宋体" w:hAnsi="宋体"/>
          <w:sz w:val="24"/>
          <w:szCs w:val="24"/>
        </w:rPr>
        <w:t>服务是指投标人按招标文件规定完成的全部服务内容，其中包括完成服务所需的货物（产品）及须承担的运输、安装、技术支持、培训以及招标文件规定的其它伴随服务。</w:t>
      </w:r>
    </w:p>
    <w:p w14:paraId="5F1DD74C">
      <w:pPr>
        <w:numPr>
          <w:ilvl w:val="0"/>
          <w:numId w:val="29"/>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知识产权</w:t>
      </w:r>
    </w:p>
    <w:p w14:paraId="16D96809">
      <w:pPr>
        <w:numPr>
          <w:ilvl w:val="1"/>
          <w:numId w:val="32"/>
        </w:numPr>
        <w:snapToGrid w:val="0"/>
        <w:spacing w:line="360" w:lineRule="auto"/>
        <w:jc w:val="both"/>
        <w:textAlignment w:val="baseline"/>
        <w:rPr>
          <w:rFonts w:ascii="宋体" w:hAnsi="宋体"/>
          <w:sz w:val="24"/>
          <w:szCs w:val="24"/>
        </w:rPr>
      </w:pPr>
      <w:r>
        <w:rPr>
          <w:rFonts w:hint="eastAsia" w:ascii="宋体" w:hAnsi="宋体"/>
          <w:sz w:val="24"/>
          <w:szCs w:val="24"/>
        </w:rPr>
        <w:t>投标人应保证，招标人在中华人民共和国使用该货物或货物的任何一部分时，免受第三方提出的侵犯其专利权、商标权、著作权或其它知识产权的起诉。</w:t>
      </w:r>
    </w:p>
    <w:p w14:paraId="2D78EA8D">
      <w:pPr>
        <w:numPr>
          <w:ilvl w:val="0"/>
          <w:numId w:val="29"/>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投标费用</w:t>
      </w:r>
    </w:p>
    <w:p w14:paraId="12CAEF6E">
      <w:pPr>
        <w:numPr>
          <w:ilvl w:val="1"/>
          <w:numId w:val="33"/>
        </w:numPr>
        <w:snapToGrid w:val="0"/>
        <w:spacing w:line="360" w:lineRule="auto"/>
        <w:jc w:val="both"/>
        <w:textAlignment w:val="baseline"/>
        <w:rPr>
          <w:rFonts w:ascii="宋体" w:hAnsi="宋体" w:cs="黑体"/>
          <w:b/>
          <w:bCs/>
          <w:sz w:val="24"/>
          <w:szCs w:val="24"/>
        </w:rPr>
      </w:pPr>
      <w:r>
        <w:rPr>
          <w:rFonts w:hint="eastAsia" w:ascii="宋体" w:hAnsi="宋体"/>
          <w:sz w:val="24"/>
          <w:szCs w:val="24"/>
        </w:rPr>
        <w:t>投标人应承担所有与准备和参加投标有关的费用</w:t>
      </w:r>
      <w:r>
        <w:rPr>
          <w:rFonts w:hint="eastAsia" w:ascii="宋体" w:hAnsi="宋体" w:cs="宋体"/>
          <w:sz w:val="24"/>
          <w:szCs w:val="24"/>
          <w:lang w:eastAsia="zh-TW"/>
        </w:rPr>
        <w:t>。</w:t>
      </w:r>
      <w:r>
        <w:rPr>
          <w:rFonts w:hint="eastAsia" w:ascii="宋体" w:hAnsi="宋体" w:cs="宋体"/>
          <w:sz w:val="24"/>
          <w:szCs w:val="24"/>
        </w:rPr>
        <w:t>不</w:t>
      </w:r>
      <w:r>
        <w:rPr>
          <w:rFonts w:hint="eastAsia" w:ascii="宋体" w:hAnsi="宋体" w:cs="宋体"/>
          <w:sz w:val="24"/>
          <w:szCs w:val="24"/>
          <w:lang w:eastAsia="zh-TW"/>
        </w:rPr>
        <w:t>论投标的结果如何</w:t>
      </w:r>
      <w:r>
        <w:rPr>
          <w:rFonts w:hint="eastAsia" w:ascii="宋体" w:hAnsi="宋体" w:cs="宋体"/>
          <w:sz w:val="24"/>
          <w:szCs w:val="24"/>
        </w:rPr>
        <w:t>，</w:t>
      </w:r>
      <w:r>
        <w:rPr>
          <w:rFonts w:hint="eastAsia" w:ascii="宋体" w:hAnsi="宋体" w:cs="宋体"/>
          <w:sz w:val="24"/>
          <w:szCs w:val="24"/>
          <w:lang w:eastAsia="zh-TW"/>
        </w:rPr>
        <w:t>招标人</w:t>
      </w:r>
      <w:r>
        <w:rPr>
          <w:rFonts w:hint="eastAsia" w:ascii="宋体" w:hAnsi="宋体" w:cs="宋体"/>
          <w:sz w:val="24"/>
          <w:szCs w:val="24"/>
        </w:rPr>
        <w:t>和</w:t>
      </w:r>
      <w:r>
        <w:rPr>
          <w:rFonts w:hint="eastAsia" w:ascii="宋体" w:hAnsi="宋体" w:cs="宋体"/>
          <w:sz w:val="24"/>
          <w:szCs w:val="24"/>
          <w:lang w:eastAsia="zh-TW"/>
        </w:rPr>
        <w:t>招标代理机构均无义务和责任承担这些费用</w:t>
      </w:r>
      <w:r>
        <w:rPr>
          <w:rFonts w:hint="eastAsia" w:ascii="宋体" w:hAnsi="宋体" w:cs="宋体"/>
          <w:sz w:val="24"/>
          <w:szCs w:val="24"/>
        </w:rPr>
        <w:t>。</w:t>
      </w:r>
    </w:p>
    <w:p w14:paraId="0E4FF806">
      <w:pPr>
        <w:numPr>
          <w:ilvl w:val="0"/>
          <w:numId w:val="29"/>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其他</w:t>
      </w:r>
    </w:p>
    <w:p w14:paraId="2CEAC656">
      <w:pPr>
        <w:numPr>
          <w:ilvl w:val="1"/>
          <w:numId w:val="34"/>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供应商（投标人）向</w:t>
      </w:r>
      <w:r>
        <w:rPr>
          <w:rFonts w:hint="eastAsia" w:ascii="宋体" w:hAnsi="宋体" w:cs="宋体"/>
          <w:sz w:val="24"/>
          <w:szCs w:val="24"/>
        </w:rPr>
        <w:t>招标代理机构</w:t>
      </w:r>
      <w:r>
        <w:rPr>
          <w:rFonts w:hint="eastAsia" w:ascii="宋体" w:hAnsi="宋体" w:cs="宋体"/>
          <w:sz w:val="24"/>
          <w:szCs w:val="24"/>
          <w:lang w:eastAsia="zh-TW"/>
        </w:rPr>
        <w:t>咨询的有关项目事项，一切以法律法规的规定和</w:t>
      </w:r>
      <w:r>
        <w:rPr>
          <w:rFonts w:hint="eastAsia" w:ascii="宋体" w:hAnsi="宋体" w:cs="宋体"/>
          <w:sz w:val="24"/>
          <w:szCs w:val="24"/>
        </w:rPr>
        <w:t>招标代理机构</w:t>
      </w:r>
      <w:r>
        <w:rPr>
          <w:rFonts w:hint="eastAsia" w:ascii="宋体" w:hAnsi="宋体" w:cs="宋体"/>
          <w:sz w:val="24"/>
          <w:szCs w:val="24"/>
          <w:lang w:eastAsia="zh-TW"/>
        </w:rPr>
        <w:t>书面答复为准，其他一切形式均为个人意见，不代表</w:t>
      </w:r>
      <w:r>
        <w:rPr>
          <w:rFonts w:hint="eastAsia" w:ascii="宋体" w:hAnsi="宋体" w:cs="宋体"/>
          <w:sz w:val="24"/>
          <w:szCs w:val="24"/>
        </w:rPr>
        <w:t>招标代理机构</w:t>
      </w:r>
      <w:r>
        <w:rPr>
          <w:rFonts w:hint="eastAsia" w:ascii="宋体" w:hAnsi="宋体" w:cs="宋体"/>
          <w:sz w:val="24"/>
          <w:szCs w:val="24"/>
          <w:lang w:eastAsia="zh-TW"/>
        </w:rPr>
        <w:t>的意见。</w:t>
      </w:r>
    </w:p>
    <w:p w14:paraId="45C7A802">
      <w:pPr>
        <w:snapToGrid w:val="0"/>
        <w:spacing w:line="360" w:lineRule="auto"/>
        <w:ind w:left="-200" w:leftChars="-100"/>
        <w:rPr>
          <w:rFonts w:ascii="宋体" w:hAnsi="宋体"/>
          <w:sz w:val="24"/>
          <w:szCs w:val="24"/>
        </w:rPr>
      </w:pPr>
    </w:p>
    <w:p w14:paraId="17853B9B">
      <w:pPr>
        <w:snapToGrid w:val="0"/>
        <w:spacing w:line="360" w:lineRule="auto"/>
        <w:ind w:left="-200" w:leftChars="-100"/>
        <w:jc w:val="center"/>
        <w:outlineLvl w:val="2"/>
        <w:rPr>
          <w:rFonts w:ascii="宋体" w:hAnsi="宋体"/>
          <w:b/>
          <w:sz w:val="24"/>
          <w:szCs w:val="24"/>
          <w:lang w:eastAsia="zh-TW"/>
        </w:rPr>
      </w:pPr>
      <w:bookmarkStart w:id="44" w:name="_Toc12609"/>
      <w:bookmarkStart w:id="45" w:name="_Toc15721"/>
      <w:bookmarkStart w:id="46" w:name="_Toc13035"/>
      <w:bookmarkStart w:id="47" w:name="_Toc17542"/>
      <w:r>
        <w:rPr>
          <w:rFonts w:hint="eastAsia" w:ascii="宋体" w:hAnsi="宋体"/>
          <w:b/>
          <w:sz w:val="24"/>
          <w:szCs w:val="24"/>
          <w:lang w:eastAsia="zh-TW"/>
        </w:rPr>
        <w:t>二、招标文件</w:t>
      </w:r>
      <w:bookmarkEnd w:id="44"/>
      <w:bookmarkEnd w:id="45"/>
      <w:bookmarkEnd w:id="46"/>
      <w:bookmarkEnd w:id="47"/>
    </w:p>
    <w:p w14:paraId="6D4C6BD8">
      <w:pPr>
        <w:numPr>
          <w:ilvl w:val="0"/>
          <w:numId w:val="35"/>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招标文件的编制与构成</w:t>
      </w:r>
    </w:p>
    <w:p w14:paraId="27D222B3">
      <w:pPr>
        <w:numPr>
          <w:ilvl w:val="1"/>
          <w:numId w:val="36"/>
        </w:numPr>
        <w:snapToGrid w:val="0"/>
        <w:spacing w:line="360" w:lineRule="auto"/>
        <w:jc w:val="both"/>
        <w:textAlignment w:val="baseline"/>
        <w:rPr>
          <w:rFonts w:ascii="宋体" w:hAnsi="宋体"/>
          <w:sz w:val="24"/>
          <w:szCs w:val="24"/>
        </w:rPr>
      </w:pPr>
      <w:r>
        <w:rPr>
          <w:rFonts w:hint="eastAsia" w:ascii="宋体" w:hAnsi="宋体"/>
          <w:sz w:val="24"/>
          <w:szCs w:val="24"/>
        </w:rPr>
        <w:t>本招标文件的编制依据《中华人民共和国招标投标法》及其实施条例。</w:t>
      </w:r>
    </w:p>
    <w:p w14:paraId="4389EFCA">
      <w:pPr>
        <w:numPr>
          <w:ilvl w:val="1"/>
          <w:numId w:val="36"/>
        </w:numPr>
        <w:snapToGrid w:val="0"/>
        <w:spacing w:line="360" w:lineRule="auto"/>
        <w:jc w:val="both"/>
        <w:textAlignment w:val="baseline"/>
        <w:rPr>
          <w:rFonts w:ascii="宋体" w:hAnsi="宋体"/>
          <w:sz w:val="24"/>
          <w:szCs w:val="24"/>
        </w:rPr>
      </w:pPr>
      <w:r>
        <w:rPr>
          <w:rFonts w:hint="eastAsia" w:ascii="宋体" w:hAnsi="宋体" w:cs="宋体"/>
          <w:sz w:val="24"/>
          <w:szCs w:val="24"/>
          <w:lang w:eastAsia="zh-TW"/>
        </w:rPr>
        <w:t>招标文件以中文文字编写。</w:t>
      </w:r>
      <w:r>
        <w:rPr>
          <w:rFonts w:hint="eastAsia" w:ascii="宋体" w:hAnsi="宋体" w:cs="宋体"/>
          <w:sz w:val="24"/>
          <w:lang w:eastAsia="zh-TW"/>
        </w:rPr>
        <w:t>招标文件共</w:t>
      </w:r>
      <w:r>
        <w:rPr>
          <w:rFonts w:hint="eastAsia" w:ascii="宋体" w:hAnsi="宋体" w:cs="宋体"/>
          <w:sz w:val="24"/>
        </w:rPr>
        <w:t>六</w:t>
      </w:r>
      <w:r>
        <w:rPr>
          <w:rFonts w:hint="eastAsia" w:ascii="宋体" w:hAnsi="宋体" w:cs="宋体"/>
          <w:sz w:val="24"/>
          <w:lang w:eastAsia="zh-TW"/>
        </w:rPr>
        <w:t>章。</w:t>
      </w:r>
      <w:r>
        <w:rPr>
          <w:rFonts w:hint="eastAsia" w:ascii="宋体" w:hAnsi="宋体" w:cs="宋体"/>
          <w:sz w:val="24"/>
        </w:rPr>
        <w:t>由下列文件以及在招标过程中发出的招标答疑和澄清或修改文件组成，</w:t>
      </w:r>
      <w:r>
        <w:rPr>
          <w:rFonts w:hint="eastAsia" w:ascii="宋体" w:hAnsi="宋体" w:cs="宋体"/>
          <w:sz w:val="24"/>
          <w:lang w:eastAsia="zh-TW"/>
        </w:rPr>
        <w:t>内容如下</w:t>
      </w:r>
      <w:r>
        <w:rPr>
          <w:rFonts w:hint="eastAsia" w:ascii="宋体" w:hAnsi="宋体" w:cs="宋体"/>
          <w:sz w:val="24"/>
        </w:rPr>
        <w:t>：</w:t>
      </w:r>
    </w:p>
    <w:p w14:paraId="1DC0EC28">
      <w:pPr>
        <w:snapToGrid w:val="0"/>
        <w:spacing w:line="360" w:lineRule="auto"/>
        <w:ind w:left="-200" w:leftChars="-100" w:firstLine="720" w:firstLineChars="300"/>
        <w:rPr>
          <w:rFonts w:ascii="宋体" w:hAnsi="宋体"/>
          <w:sz w:val="24"/>
          <w:szCs w:val="24"/>
        </w:rPr>
      </w:pPr>
      <w:r>
        <w:rPr>
          <w:rFonts w:hint="eastAsia" w:ascii="宋体" w:hAnsi="宋体"/>
          <w:sz w:val="24"/>
          <w:szCs w:val="24"/>
          <w:lang w:eastAsia="zh-TW"/>
        </w:rPr>
        <w:t>第一章</w:t>
      </w:r>
      <w:r>
        <w:rPr>
          <w:rFonts w:hint="eastAsia" w:ascii="宋体" w:hAnsi="宋体"/>
          <w:sz w:val="24"/>
          <w:szCs w:val="24"/>
        </w:rPr>
        <w:t>　</w:t>
      </w:r>
      <w:r>
        <w:rPr>
          <w:rFonts w:hint="eastAsia" w:ascii="宋体" w:hAnsi="宋体"/>
          <w:sz w:val="24"/>
          <w:szCs w:val="24"/>
          <w:lang w:eastAsia="zh-TW"/>
        </w:rPr>
        <w:t>投标邀请</w:t>
      </w:r>
    </w:p>
    <w:p w14:paraId="0D3070DC">
      <w:pPr>
        <w:snapToGrid w:val="0"/>
        <w:spacing w:line="360" w:lineRule="auto"/>
        <w:ind w:left="-200" w:leftChars="-100" w:firstLine="720" w:firstLineChars="300"/>
        <w:rPr>
          <w:rFonts w:ascii="宋体" w:hAnsi="宋体"/>
          <w:sz w:val="24"/>
          <w:szCs w:val="24"/>
        </w:rPr>
      </w:pPr>
      <w:r>
        <w:rPr>
          <w:rFonts w:hint="eastAsia" w:ascii="宋体" w:hAnsi="宋体"/>
          <w:sz w:val="24"/>
          <w:szCs w:val="24"/>
          <w:lang w:eastAsia="zh-TW"/>
        </w:rPr>
        <w:t>第二章　</w:t>
      </w:r>
      <w:r>
        <w:rPr>
          <w:rFonts w:hint="eastAsia" w:ascii="宋体" w:hAnsi="宋体"/>
          <w:sz w:val="24"/>
          <w:szCs w:val="24"/>
        </w:rPr>
        <w:t>用户</w:t>
      </w:r>
      <w:r>
        <w:rPr>
          <w:rFonts w:hint="eastAsia" w:ascii="宋体" w:hAnsi="宋体"/>
          <w:sz w:val="24"/>
          <w:szCs w:val="24"/>
          <w:lang w:eastAsia="zh-TW"/>
        </w:rPr>
        <w:t>需求</w:t>
      </w:r>
      <w:r>
        <w:rPr>
          <w:rFonts w:hint="eastAsia" w:ascii="宋体" w:hAnsi="宋体"/>
          <w:sz w:val="24"/>
          <w:szCs w:val="24"/>
        </w:rPr>
        <w:t>书</w:t>
      </w:r>
    </w:p>
    <w:p w14:paraId="16664F7D">
      <w:pPr>
        <w:snapToGrid w:val="0"/>
        <w:spacing w:line="360" w:lineRule="auto"/>
        <w:ind w:left="-200" w:leftChars="-100" w:firstLine="720" w:firstLineChars="300"/>
        <w:rPr>
          <w:rFonts w:ascii="宋体" w:hAnsi="宋体"/>
          <w:sz w:val="24"/>
          <w:szCs w:val="24"/>
          <w:lang w:eastAsia="zh-TW"/>
        </w:rPr>
      </w:pPr>
      <w:r>
        <w:rPr>
          <w:rFonts w:hint="eastAsia" w:ascii="宋体" w:hAnsi="宋体"/>
          <w:sz w:val="24"/>
          <w:szCs w:val="24"/>
          <w:lang w:eastAsia="zh-TW"/>
        </w:rPr>
        <w:t>第三章　评分体系与标准</w:t>
      </w:r>
    </w:p>
    <w:p w14:paraId="6E041E49">
      <w:pPr>
        <w:snapToGrid w:val="0"/>
        <w:spacing w:line="360" w:lineRule="auto"/>
        <w:ind w:left="-200" w:leftChars="-100" w:firstLine="720" w:firstLineChars="300"/>
        <w:rPr>
          <w:rFonts w:ascii="宋体" w:hAnsi="宋体"/>
          <w:sz w:val="24"/>
          <w:szCs w:val="24"/>
          <w:lang w:eastAsia="zh-TW"/>
        </w:rPr>
      </w:pPr>
      <w:r>
        <w:rPr>
          <w:rFonts w:hint="eastAsia" w:ascii="宋体" w:hAnsi="宋体"/>
          <w:sz w:val="24"/>
          <w:szCs w:val="24"/>
          <w:lang w:eastAsia="zh-TW"/>
        </w:rPr>
        <w:t>第四章　投标人须知</w:t>
      </w:r>
    </w:p>
    <w:p w14:paraId="2F0AD958">
      <w:pPr>
        <w:snapToGrid w:val="0"/>
        <w:spacing w:line="360" w:lineRule="auto"/>
        <w:ind w:left="-200" w:leftChars="-100" w:firstLine="720" w:firstLineChars="300"/>
        <w:rPr>
          <w:rFonts w:ascii="宋体" w:hAnsi="宋体"/>
          <w:sz w:val="24"/>
          <w:szCs w:val="24"/>
          <w:lang w:eastAsia="zh-TW"/>
        </w:rPr>
      </w:pPr>
      <w:r>
        <w:rPr>
          <w:rFonts w:hint="eastAsia" w:ascii="宋体" w:hAnsi="宋体"/>
          <w:sz w:val="24"/>
          <w:szCs w:val="24"/>
          <w:lang w:eastAsia="zh-TW"/>
        </w:rPr>
        <w:t>第五章　合同格式条款</w:t>
      </w:r>
    </w:p>
    <w:p w14:paraId="4E40E480">
      <w:pPr>
        <w:snapToGrid w:val="0"/>
        <w:spacing w:line="360" w:lineRule="auto"/>
        <w:ind w:left="-200" w:leftChars="-100" w:firstLine="720" w:firstLineChars="300"/>
        <w:rPr>
          <w:rFonts w:ascii="宋体" w:hAnsi="宋体"/>
          <w:sz w:val="24"/>
          <w:szCs w:val="24"/>
        </w:rPr>
      </w:pPr>
      <w:r>
        <w:rPr>
          <w:rFonts w:hint="eastAsia" w:ascii="宋体" w:hAnsi="宋体"/>
          <w:sz w:val="24"/>
          <w:szCs w:val="24"/>
          <w:lang w:eastAsia="zh-TW"/>
        </w:rPr>
        <w:t>第六章　投标文件格式</w:t>
      </w:r>
    </w:p>
    <w:p w14:paraId="2A8AF30B">
      <w:pPr>
        <w:numPr>
          <w:ilvl w:val="1"/>
          <w:numId w:val="36"/>
        </w:numPr>
        <w:snapToGrid w:val="0"/>
        <w:spacing w:line="360" w:lineRule="auto"/>
        <w:jc w:val="both"/>
        <w:textAlignment w:val="baseline"/>
        <w:rPr>
          <w:rFonts w:ascii="宋体" w:hAnsi="宋体"/>
          <w:sz w:val="24"/>
          <w:szCs w:val="24"/>
        </w:rPr>
      </w:pPr>
      <w:r>
        <w:rPr>
          <w:rFonts w:hint="eastAsia" w:ascii="宋体" w:hAnsi="宋体"/>
          <w:sz w:val="24"/>
          <w:szCs w:val="24"/>
        </w:rPr>
        <w:t>投标人应认真阅读</w:t>
      </w:r>
      <w:r>
        <w:rPr>
          <w:rFonts w:hint="eastAsia" w:ascii="宋体" w:hAnsi="宋体" w:cs="宋体"/>
          <w:sz w:val="24"/>
          <w:szCs w:val="24"/>
          <w:lang w:eastAsia="zh-TW"/>
        </w:rPr>
        <w:t>、并充分理解招标文件的全部内容（包括所有的补充、修改内容重要事项、格式、条款</w:t>
      </w:r>
      <w:r>
        <w:rPr>
          <w:rFonts w:hint="eastAsia" w:ascii="宋体" w:hAnsi="宋体" w:cs="宋体"/>
          <w:sz w:val="24"/>
          <w:szCs w:val="24"/>
        </w:rPr>
        <w:t>、服务要求</w:t>
      </w:r>
      <w:r>
        <w:rPr>
          <w:rFonts w:hint="eastAsia" w:ascii="宋体" w:hAnsi="宋体" w:cs="宋体"/>
          <w:sz w:val="24"/>
          <w:szCs w:val="24"/>
          <w:lang w:eastAsia="zh-TW"/>
        </w:rPr>
        <w:t>和技术规范、参数及要求等）。投标人没有按照招标文件要求提交全部资料，或者投标文件没有对招标文件在各方面都作出实质性响应是投标人的风险，有可能导致其投标被拒绝，</w:t>
      </w:r>
      <w:r>
        <w:rPr>
          <w:rFonts w:hint="eastAsia" w:ascii="宋体" w:hAnsi="宋体"/>
          <w:sz w:val="24"/>
          <w:szCs w:val="24"/>
        </w:rPr>
        <w:t>或被认定为</w:t>
      </w:r>
      <w:r>
        <w:rPr>
          <w:rFonts w:hint="eastAsia" w:ascii="宋体" w:hAnsi="宋体"/>
          <w:bCs/>
          <w:sz w:val="24"/>
          <w:szCs w:val="24"/>
        </w:rPr>
        <w:t>应予否决投标</w:t>
      </w:r>
      <w:r>
        <w:rPr>
          <w:rFonts w:hint="eastAsia" w:ascii="宋体" w:hAnsi="宋体"/>
          <w:sz w:val="24"/>
          <w:szCs w:val="24"/>
        </w:rPr>
        <w:t>。</w:t>
      </w:r>
    </w:p>
    <w:p w14:paraId="2F9AC018">
      <w:pPr>
        <w:numPr>
          <w:ilvl w:val="1"/>
          <w:numId w:val="36"/>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rPr>
        <w:t>本</w:t>
      </w:r>
      <w:r>
        <w:rPr>
          <w:rFonts w:hint="eastAsia" w:ascii="宋体" w:hAnsi="宋体" w:cs="宋体"/>
          <w:sz w:val="24"/>
          <w:lang w:eastAsia="zh-TW"/>
        </w:rPr>
        <w:t>招标文件的解释权归</w:t>
      </w:r>
      <w:r>
        <w:rPr>
          <w:rFonts w:hint="eastAsia" w:ascii="宋体" w:hAnsi="宋体" w:cs="宋体"/>
          <w:sz w:val="24"/>
        </w:rPr>
        <w:t>本招标文件中所述的招标</w:t>
      </w:r>
      <w:r>
        <w:rPr>
          <w:rFonts w:hint="eastAsia" w:ascii="宋体" w:hAnsi="宋体" w:cs="宋体"/>
          <w:sz w:val="24"/>
          <w:lang w:eastAsia="zh-TW"/>
        </w:rPr>
        <w:t>人</w:t>
      </w:r>
      <w:r>
        <w:rPr>
          <w:rFonts w:hint="eastAsia" w:ascii="宋体" w:hAnsi="宋体" w:cs="宋体"/>
          <w:sz w:val="24"/>
        </w:rPr>
        <w:t>、招标</w:t>
      </w:r>
      <w:r>
        <w:rPr>
          <w:rFonts w:hint="eastAsia" w:ascii="宋体" w:hAnsi="宋体" w:cs="宋体"/>
          <w:sz w:val="24"/>
          <w:lang w:eastAsia="zh-TW"/>
        </w:rPr>
        <w:t>代理机构所有</w:t>
      </w:r>
      <w:r>
        <w:rPr>
          <w:rFonts w:hint="eastAsia" w:ascii="宋体" w:hAnsi="宋体" w:cs="宋体"/>
          <w:sz w:val="24"/>
          <w:szCs w:val="24"/>
          <w:lang w:eastAsia="zh-TW"/>
        </w:rPr>
        <w:t>。</w:t>
      </w:r>
    </w:p>
    <w:p w14:paraId="5EC81D0D">
      <w:pPr>
        <w:numPr>
          <w:ilvl w:val="0"/>
          <w:numId w:val="35"/>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招标文件的澄清或修改</w:t>
      </w:r>
    </w:p>
    <w:p w14:paraId="3E0F6EBD">
      <w:pPr>
        <w:numPr>
          <w:ilvl w:val="1"/>
          <w:numId w:val="37"/>
        </w:numPr>
        <w:snapToGrid w:val="0"/>
        <w:spacing w:line="360" w:lineRule="auto"/>
        <w:jc w:val="both"/>
        <w:textAlignment w:val="baseline"/>
        <w:rPr>
          <w:rFonts w:ascii="宋体" w:hAnsi="宋体" w:cs="宋体"/>
          <w:sz w:val="24"/>
          <w:szCs w:val="22"/>
          <w:lang w:eastAsia="zh-TW"/>
        </w:rPr>
      </w:pPr>
      <w:r>
        <w:rPr>
          <w:rFonts w:hint="eastAsia" w:ascii="宋体" w:hAnsi="宋体" w:cs="宋体"/>
          <w:sz w:val="24"/>
          <w:szCs w:val="22"/>
          <w:lang w:eastAsia="zh-TW"/>
        </w:rPr>
        <w:t>招标人或者招标代理机构可以对已发出的招标文件进行必要的澄清或者修改。</w:t>
      </w:r>
      <w:r>
        <w:rPr>
          <w:rFonts w:hint="eastAsia" w:ascii="宋体" w:hAnsi="宋体"/>
          <w:sz w:val="24"/>
        </w:rPr>
        <w:t>招标文件的澄清或修改均以</w:t>
      </w:r>
      <w:r>
        <w:rPr>
          <w:rFonts w:hint="eastAsia" w:ascii="宋体" w:hAnsi="宋体" w:cs="宋体"/>
          <w:sz w:val="24"/>
        </w:rPr>
        <w:t>书面形式明确的内容为准。当招标文件的澄清、修改、补充等在同一内容的表述不一致时，以最后发出的书面形式的文件为准。</w:t>
      </w:r>
    </w:p>
    <w:p w14:paraId="71181B87">
      <w:pPr>
        <w:numPr>
          <w:ilvl w:val="1"/>
          <w:numId w:val="37"/>
        </w:numPr>
        <w:snapToGrid w:val="0"/>
        <w:spacing w:line="360" w:lineRule="auto"/>
        <w:jc w:val="both"/>
        <w:textAlignment w:val="baseline"/>
        <w:rPr>
          <w:rFonts w:ascii="宋体" w:hAnsi="宋体" w:cs="宋体"/>
          <w:sz w:val="24"/>
          <w:szCs w:val="22"/>
          <w:lang w:eastAsia="zh-TW"/>
        </w:rPr>
      </w:pPr>
      <w:r>
        <w:rPr>
          <w:rFonts w:hint="eastAsia" w:ascii="宋体" w:hAnsi="宋体" w:cs="宋体"/>
          <w:sz w:val="24"/>
          <w:szCs w:val="22"/>
          <w:lang w:eastAsia="zh-TW"/>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44E50633">
      <w:pPr>
        <w:numPr>
          <w:ilvl w:val="1"/>
          <w:numId w:val="37"/>
        </w:numPr>
        <w:snapToGrid w:val="0"/>
        <w:spacing w:line="360" w:lineRule="auto"/>
        <w:jc w:val="both"/>
        <w:textAlignment w:val="baseline"/>
        <w:rPr>
          <w:rFonts w:ascii="宋体" w:hAnsi="宋体" w:cs="宋体"/>
          <w:sz w:val="24"/>
          <w:szCs w:val="22"/>
          <w:lang w:eastAsia="zh-TW"/>
        </w:rPr>
      </w:pPr>
      <w:r>
        <w:rPr>
          <w:rFonts w:hint="eastAsia" w:ascii="宋体" w:hAnsi="宋体" w:cs="宋体"/>
          <w:sz w:val="24"/>
          <w:szCs w:val="22"/>
          <w:lang w:eastAsia="zh-TW"/>
        </w:rPr>
        <w:t>招标人或者招标代理机构</w:t>
      </w:r>
      <w:r>
        <w:rPr>
          <w:rFonts w:hint="eastAsia" w:ascii="宋体" w:hAnsi="宋体" w:cs="宋体"/>
          <w:sz w:val="24"/>
          <w:szCs w:val="22"/>
        </w:rPr>
        <w:t>将</w:t>
      </w:r>
      <w:r>
        <w:rPr>
          <w:rFonts w:hint="eastAsia" w:ascii="宋体" w:hAnsi="宋体" w:cs="宋体"/>
          <w:sz w:val="24"/>
          <w:szCs w:val="22"/>
          <w:lang w:eastAsia="zh-TW"/>
        </w:rPr>
        <w:t>澄清</w:t>
      </w:r>
      <w:r>
        <w:rPr>
          <w:rFonts w:hint="eastAsia" w:ascii="宋体" w:hAnsi="宋体" w:cs="宋体"/>
          <w:sz w:val="24"/>
          <w:szCs w:val="22"/>
        </w:rPr>
        <w:t>（更正/变更）</w:t>
      </w:r>
      <w:r>
        <w:rPr>
          <w:rFonts w:hint="eastAsia" w:ascii="宋体" w:hAnsi="宋体" w:cs="宋体"/>
          <w:sz w:val="24"/>
          <w:szCs w:val="22"/>
          <w:lang w:eastAsia="zh-TW"/>
        </w:rPr>
        <w:t>公告</w:t>
      </w:r>
      <w:r>
        <w:rPr>
          <w:rFonts w:hint="eastAsia" w:ascii="宋体" w:hAnsi="宋体" w:cs="宋体"/>
          <w:sz w:val="24"/>
          <w:szCs w:val="22"/>
        </w:rPr>
        <w:t>以书面形式通知所有获取招标文件的潜在投标人，潜在投标人在收到澄清（更正/变更）公告书面通知后应按要求以书面形式（传真或电子邮件）予以确认。</w:t>
      </w:r>
      <w:r>
        <w:rPr>
          <w:rFonts w:hint="eastAsia" w:ascii="宋体" w:hAnsi="宋体" w:cs="宋体"/>
          <w:sz w:val="24"/>
          <w:szCs w:val="22"/>
          <w:lang w:eastAsia="zh-TW"/>
        </w:rPr>
        <w:t>如在24小时之内无书面</w:t>
      </w:r>
      <w:r>
        <w:rPr>
          <w:rFonts w:hint="eastAsia" w:ascii="宋体" w:hAnsi="宋体" w:cs="宋体"/>
          <w:sz w:val="24"/>
          <w:szCs w:val="22"/>
        </w:rPr>
        <w:t>确认</w:t>
      </w:r>
      <w:r>
        <w:rPr>
          <w:rFonts w:hint="eastAsia" w:ascii="宋体" w:hAnsi="宋体" w:cs="宋体"/>
          <w:sz w:val="24"/>
          <w:szCs w:val="22"/>
          <w:lang w:eastAsia="zh-TW"/>
        </w:rPr>
        <w:t>则视为同意修改内容，并有责任履行相应的义务。</w:t>
      </w:r>
    </w:p>
    <w:p w14:paraId="5BB2DC98">
      <w:pPr>
        <w:numPr>
          <w:ilvl w:val="1"/>
          <w:numId w:val="37"/>
        </w:numPr>
        <w:snapToGrid w:val="0"/>
        <w:spacing w:line="360" w:lineRule="auto"/>
        <w:jc w:val="both"/>
        <w:textAlignment w:val="baseline"/>
        <w:rPr>
          <w:rFonts w:ascii="宋体" w:hAnsi="宋体" w:cs="宋体"/>
          <w:sz w:val="24"/>
          <w:szCs w:val="22"/>
          <w:lang w:eastAsia="zh-TW"/>
        </w:rPr>
      </w:pPr>
      <w:r>
        <w:rPr>
          <w:rFonts w:hint="eastAsia" w:ascii="宋体" w:hAnsi="宋体"/>
          <w:sz w:val="24"/>
          <w:szCs w:val="24"/>
        </w:rPr>
        <w:t>潜在投标人在收到上述通知或在全国公共资源交易平台（广东省·韶关市）（https://ygp.gdzwfw.gov.cn/ggzy-portal/#/440200/index）上查阅相关通知或公告后，应当立即以书面形式向招标代理机构确认，如在修改通知或公告发布之日起5天内没有以书面形式向招标代理机构确认的，视作同意修改内容。</w:t>
      </w:r>
    </w:p>
    <w:p w14:paraId="212BAB9F">
      <w:pPr>
        <w:numPr>
          <w:ilvl w:val="1"/>
          <w:numId w:val="3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sz w:val="24"/>
          <w:szCs w:val="22"/>
        </w:rPr>
        <w:t>招标人或招标代理机构发出的澄清或修改（更正/变更）的内容为招标文件的组成部分，</w:t>
      </w:r>
      <w:r>
        <w:rPr>
          <w:rFonts w:hint="eastAsia" w:ascii="宋体" w:hAnsi="宋体" w:cs="宋体"/>
          <w:sz w:val="24"/>
          <w:szCs w:val="22"/>
          <w:lang w:eastAsia="zh-TW"/>
        </w:rPr>
        <w:t>并对潜在投标人具有约束力</w:t>
      </w:r>
      <w:r>
        <w:rPr>
          <w:rFonts w:hint="eastAsia" w:ascii="宋体" w:hAnsi="宋体" w:cs="宋体"/>
          <w:sz w:val="24"/>
          <w:szCs w:val="22"/>
        </w:rPr>
        <w:t>。</w:t>
      </w:r>
    </w:p>
    <w:p w14:paraId="0D97A580">
      <w:pPr>
        <w:rPr>
          <w:rFonts w:hint="eastAsia"/>
          <w:lang w:eastAsia="zh-TW"/>
        </w:rPr>
      </w:pPr>
      <w:bookmarkStart w:id="48" w:name="_Toc178"/>
      <w:bookmarkStart w:id="49" w:name="_Toc18685"/>
      <w:bookmarkStart w:id="50" w:name="_Toc10297"/>
      <w:bookmarkStart w:id="51" w:name="_Toc21807"/>
    </w:p>
    <w:p w14:paraId="2363A51E">
      <w:pPr>
        <w:snapToGrid w:val="0"/>
        <w:spacing w:line="360" w:lineRule="auto"/>
        <w:ind w:left="-200" w:leftChars="-100"/>
        <w:jc w:val="center"/>
        <w:outlineLvl w:val="2"/>
        <w:rPr>
          <w:rFonts w:ascii="宋体" w:hAnsi="宋体"/>
          <w:b/>
          <w:sz w:val="24"/>
          <w:szCs w:val="24"/>
          <w:lang w:eastAsia="zh-TW"/>
        </w:rPr>
      </w:pPr>
      <w:r>
        <w:rPr>
          <w:rFonts w:hint="eastAsia" w:ascii="宋体" w:hAnsi="宋体"/>
          <w:b/>
          <w:sz w:val="24"/>
          <w:szCs w:val="24"/>
          <w:lang w:eastAsia="zh-TW"/>
        </w:rPr>
        <w:t>三、投标文件的编制</w:t>
      </w:r>
      <w:bookmarkEnd w:id="48"/>
      <w:bookmarkEnd w:id="49"/>
      <w:bookmarkEnd w:id="50"/>
      <w:bookmarkEnd w:id="51"/>
    </w:p>
    <w:p w14:paraId="40C225C6">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投标的语言</w:t>
      </w:r>
    </w:p>
    <w:p w14:paraId="732FE768">
      <w:pPr>
        <w:numPr>
          <w:ilvl w:val="1"/>
          <w:numId w:val="39"/>
        </w:numPr>
        <w:snapToGrid w:val="0"/>
        <w:spacing w:line="360" w:lineRule="auto"/>
        <w:jc w:val="both"/>
        <w:textAlignment w:val="baseline"/>
        <w:rPr>
          <w:rFonts w:ascii="宋体" w:hAnsi="宋体" w:cs="黑体"/>
          <w:b/>
          <w:bCs/>
          <w:color w:val="000000"/>
          <w:sz w:val="24"/>
          <w:szCs w:val="24"/>
        </w:rPr>
      </w:pPr>
      <w:r>
        <w:rPr>
          <w:rFonts w:hint="eastAsia" w:ascii="宋体" w:hAnsi="宋体"/>
          <w:sz w:val="24"/>
          <w:szCs w:val="24"/>
        </w:rPr>
        <w:t>投标人提交的投标文件以及投标人与招标人</w:t>
      </w:r>
      <w:r>
        <w:rPr>
          <w:rFonts w:hint="eastAsia" w:ascii="宋体" w:hAnsi="宋体"/>
          <w:color w:val="000000"/>
          <w:sz w:val="24"/>
          <w:szCs w:val="24"/>
        </w:rPr>
        <w:t>及招标代理机构就有关投标的所有来往函电均应使用中文书写</w:t>
      </w:r>
      <w:r>
        <w:rPr>
          <w:rFonts w:hint="eastAsia" w:ascii="宋体" w:hAnsi="宋体" w:cs="宋体"/>
          <w:color w:val="000000"/>
          <w:sz w:val="24"/>
          <w:szCs w:val="24"/>
        </w:rPr>
        <w:t>。投</w:t>
      </w:r>
      <w:r>
        <w:rPr>
          <w:rFonts w:hint="eastAsia" w:ascii="宋体" w:hAnsi="宋体" w:cs="宋体"/>
          <w:color w:val="000000"/>
          <w:sz w:val="24"/>
          <w:szCs w:val="24"/>
          <w:lang w:eastAsia="zh-TW"/>
        </w:rPr>
        <w:t>标人提交的支持资料</w:t>
      </w:r>
      <w:r>
        <w:rPr>
          <w:rFonts w:hint="eastAsia" w:ascii="宋体" w:hAnsi="宋体" w:cs="宋体"/>
          <w:color w:val="000000"/>
          <w:sz w:val="24"/>
          <w:szCs w:val="24"/>
        </w:rPr>
        <w:t>或印刷的资料</w:t>
      </w:r>
      <w:r>
        <w:rPr>
          <w:rFonts w:hint="eastAsia" w:ascii="宋体" w:hAnsi="宋体" w:cs="宋体"/>
          <w:color w:val="000000"/>
          <w:sz w:val="24"/>
          <w:szCs w:val="24"/>
          <w:lang w:eastAsia="zh-TW"/>
        </w:rPr>
        <w:t>可以用另一种语言</w:t>
      </w:r>
      <w:r>
        <w:rPr>
          <w:rFonts w:hint="eastAsia" w:ascii="宋体" w:hAnsi="宋体" w:cs="宋体"/>
          <w:color w:val="000000"/>
          <w:sz w:val="24"/>
          <w:szCs w:val="24"/>
        </w:rPr>
        <w:t>，</w:t>
      </w:r>
      <w:r>
        <w:rPr>
          <w:rFonts w:hint="eastAsia" w:ascii="宋体" w:hAnsi="宋体" w:cs="宋体"/>
          <w:color w:val="000000"/>
          <w:sz w:val="24"/>
          <w:szCs w:val="24"/>
          <w:lang w:eastAsia="zh-TW"/>
        </w:rPr>
        <w:t>但相应内容应附有中文翻译本</w:t>
      </w:r>
      <w:r>
        <w:rPr>
          <w:rFonts w:hint="eastAsia" w:ascii="宋体" w:hAnsi="宋体" w:cs="宋体"/>
          <w:color w:val="000000"/>
          <w:sz w:val="24"/>
          <w:szCs w:val="24"/>
        </w:rPr>
        <w:t>，</w:t>
      </w:r>
      <w:r>
        <w:rPr>
          <w:rFonts w:hint="eastAsia" w:ascii="宋体" w:hAnsi="宋体"/>
          <w:color w:val="000000"/>
          <w:sz w:val="24"/>
          <w:szCs w:val="24"/>
        </w:rPr>
        <w:t>由翻译机构盖章或者翻译人员签名，两种语言不一致时以中文翻译本为准</w:t>
      </w:r>
      <w:r>
        <w:rPr>
          <w:rFonts w:hint="eastAsia" w:ascii="宋体" w:hAnsi="宋体" w:cs="宋体"/>
          <w:color w:val="000000"/>
          <w:sz w:val="24"/>
          <w:szCs w:val="24"/>
          <w:lang w:eastAsia="zh-TW"/>
        </w:rPr>
        <w:t>。</w:t>
      </w:r>
    </w:p>
    <w:p w14:paraId="0FCD6FC1">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投标文件的编写</w:t>
      </w:r>
    </w:p>
    <w:p w14:paraId="5744F30A">
      <w:pPr>
        <w:numPr>
          <w:ilvl w:val="1"/>
          <w:numId w:val="40"/>
        </w:numPr>
        <w:snapToGrid w:val="0"/>
        <w:spacing w:line="360" w:lineRule="auto"/>
        <w:jc w:val="both"/>
        <w:textAlignment w:val="baseline"/>
        <w:rPr>
          <w:rFonts w:ascii="宋体" w:hAnsi="宋体"/>
          <w:sz w:val="24"/>
          <w:szCs w:val="24"/>
          <w:lang w:eastAsia="zh-TW"/>
        </w:rPr>
      </w:pPr>
      <w:r>
        <w:rPr>
          <w:rFonts w:hint="eastAsia" w:ascii="宋体" w:hAnsi="宋体"/>
          <w:sz w:val="24"/>
          <w:szCs w:val="24"/>
        </w:rPr>
        <w:t>投标人应完整</w:t>
      </w:r>
      <w:r>
        <w:rPr>
          <w:rFonts w:hint="eastAsia" w:ascii="宋体" w:hAnsi="宋体"/>
          <w:sz w:val="24"/>
          <w:szCs w:val="24"/>
          <w:lang w:eastAsia="zh-TW"/>
        </w:rPr>
        <w:t>、真实、准确地填写招标文件中提供的投标函、开标一览表(报价表)、投标分项报价表（如适用）以及招标文件中规定的其它所有内容。</w:t>
      </w:r>
    </w:p>
    <w:p w14:paraId="0B2C9BC1">
      <w:pPr>
        <w:numPr>
          <w:ilvl w:val="1"/>
          <w:numId w:val="40"/>
        </w:numPr>
        <w:snapToGrid w:val="0"/>
        <w:spacing w:line="360" w:lineRule="auto"/>
        <w:jc w:val="both"/>
        <w:textAlignment w:val="baseline"/>
        <w:rPr>
          <w:rFonts w:ascii="宋体" w:hAnsi="宋体"/>
          <w:sz w:val="24"/>
          <w:szCs w:val="24"/>
          <w:lang w:eastAsia="zh-TW"/>
        </w:rPr>
      </w:pPr>
      <w:r>
        <w:rPr>
          <w:rFonts w:hint="eastAsia" w:ascii="宋体" w:hAnsi="宋体"/>
          <w:sz w:val="24"/>
          <w:szCs w:val="24"/>
        </w:rPr>
        <w:t>投标人对招标文件中多个标段进行投标的</w:t>
      </w:r>
      <w:r>
        <w:rPr>
          <w:rFonts w:hint="eastAsia" w:ascii="宋体" w:hAnsi="宋体"/>
          <w:sz w:val="24"/>
          <w:szCs w:val="24"/>
          <w:lang w:eastAsia="zh-TW"/>
        </w:rPr>
        <w:t>，其投标文件的编制可按每个标段分别装订和封装。</w:t>
      </w:r>
      <w:r>
        <w:rPr>
          <w:rFonts w:hint="eastAsia" w:ascii="宋体" w:hAnsi="宋体"/>
          <w:sz w:val="24"/>
          <w:szCs w:val="24"/>
        </w:rPr>
        <w:t>投标人对所有投标文件采用左侧书本式方式装订，装订应牢固、不易拆散和换页，原则上不得采用活页方式装订。</w:t>
      </w:r>
      <w:r>
        <w:rPr>
          <w:rFonts w:hint="eastAsia" w:ascii="宋体" w:hAnsi="宋体"/>
          <w:sz w:val="24"/>
          <w:szCs w:val="24"/>
          <w:lang w:eastAsia="zh-TW"/>
        </w:rPr>
        <w:t>对未经装订的投标文件可能发生的文件散落或缺损，由此造成的后果</w:t>
      </w:r>
      <w:r>
        <w:rPr>
          <w:rFonts w:hint="eastAsia" w:ascii="宋体" w:hAnsi="宋体"/>
          <w:sz w:val="24"/>
          <w:szCs w:val="24"/>
        </w:rPr>
        <w:t>和</w:t>
      </w:r>
      <w:r>
        <w:rPr>
          <w:rFonts w:hint="eastAsia" w:ascii="宋体" w:hAnsi="宋体"/>
          <w:sz w:val="24"/>
          <w:szCs w:val="24"/>
          <w:lang w:eastAsia="zh-TW"/>
        </w:rPr>
        <w:t>责任由投标人承担</w:t>
      </w:r>
      <w:r>
        <w:rPr>
          <w:rFonts w:hint="eastAsia" w:ascii="宋体" w:hAnsi="宋体"/>
          <w:sz w:val="24"/>
          <w:szCs w:val="24"/>
        </w:rPr>
        <w:t>。</w:t>
      </w:r>
    </w:p>
    <w:p w14:paraId="495FFBC7">
      <w:pPr>
        <w:numPr>
          <w:ilvl w:val="1"/>
          <w:numId w:val="40"/>
        </w:numPr>
        <w:snapToGrid w:val="0"/>
        <w:spacing w:line="360" w:lineRule="auto"/>
        <w:jc w:val="both"/>
        <w:textAlignment w:val="baseline"/>
        <w:rPr>
          <w:rFonts w:ascii="宋体" w:hAnsi="宋体"/>
          <w:sz w:val="24"/>
          <w:szCs w:val="24"/>
          <w:lang w:eastAsia="zh-TW"/>
        </w:rPr>
      </w:pPr>
      <w:r>
        <w:rPr>
          <w:rFonts w:hint="eastAsia" w:ascii="宋体" w:hAnsi="宋体"/>
          <w:sz w:val="24"/>
          <w:szCs w:val="24"/>
        </w:rPr>
        <w:t>投标人必须对投标文件所提供的全部资料的真实性承担法律责任</w:t>
      </w:r>
      <w:r>
        <w:rPr>
          <w:rFonts w:hint="eastAsia" w:ascii="宋体" w:hAnsi="宋体"/>
          <w:sz w:val="24"/>
          <w:szCs w:val="24"/>
          <w:lang w:eastAsia="zh-TW"/>
        </w:rPr>
        <w:t>，</w:t>
      </w:r>
      <w:r>
        <w:rPr>
          <w:rFonts w:hint="eastAsia" w:ascii="宋体" w:hAnsi="宋体"/>
          <w:sz w:val="24"/>
          <w:szCs w:val="24"/>
        </w:rPr>
        <w:t>并应当配合招标人及招标代理机构等对其中任何资料进行核实的要求</w:t>
      </w:r>
      <w:r>
        <w:rPr>
          <w:rFonts w:hint="eastAsia" w:ascii="宋体" w:hAnsi="宋体"/>
          <w:sz w:val="24"/>
          <w:szCs w:val="24"/>
          <w:lang w:eastAsia="zh-TW"/>
        </w:rPr>
        <w:t>。</w:t>
      </w:r>
    </w:p>
    <w:p w14:paraId="024AD1C5">
      <w:pPr>
        <w:numPr>
          <w:ilvl w:val="1"/>
          <w:numId w:val="40"/>
        </w:numPr>
        <w:snapToGrid w:val="0"/>
        <w:spacing w:line="360" w:lineRule="auto"/>
        <w:jc w:val="both"/>
        <w:textAlignment w:val="baseline"/>
        <w:rPr>
          <w:rFonts w:ascii="宋体" w:hAnsi="宋体" w:cs="宋体"/>
          <w:sz w:val="24"/>
          <w:szCs w:val="24"/>
          <w:lang w:eastAsia="zh-TW"/>
        </w:rPr>
      </w:pPr>
      <w:r>
        <w:rPr>
          <w:rFonts w:hint="eastAsia" w:ascii="宋体" w:hAnsi="宋体"/>
          <w:sz w:val="24"/>
          <w:szCs w:val="24"/>
        </w:rPr>
        <w:t>如果因为投标人的投标文件只填写和提供了本招标文件要求的部分内容和附件</w:t>
      </w:r>
      <w:r>
        <w:rPr>
          <w:rFonts w:hint="eastAsia" w:ascii="宋体" w:hAnsi="宋体"/>
          <w:sz w:val="24"/>
          <w:szCs w:val="24"/>
          <w:lang w:eastAsia="zh-TW"/>
        </w:rPr>
        <w:t>，或没有提供招标</w:t>
      </w:r>
      <w:r>
        <w:rPr>
          <w:rFonts w:hint="eastAsia" w:ascii="宋体" w:hAnsi="宋体" w:cs="宋体"/>
          <w:sz w:val="24"/>
          <w:szCs w:val="24"/>
          <w:lang w:eastAsia="zh-TW"/>
        </w:rPr>
        <w:t>文件中所要求的全部资料及数据，由此造成的后果和责任由投标人承担。</w:t>
      </w:r>
    </w:p>
    <w:p w14:paraId="0B5E2931">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投标报价</w:t>
      </w:r>
    </w:p>
    <w:p w14:paraId="365F003D">
      <w:pPr>
        <w:numPr>
          <w:ilvl w:val="1"/>
          <w:numId w:val="41"/>
        </w:numPr>
        <w:snapToGrid w:val="0"/>
        <w:spacing w:line="360" w:lineRule="auto"/>
        <w:jc w:val="both"/>
        <w:textAlignment w:val="baseline"/>
        <w:rPr>
          <w:rFonts w:ascii="宋体" w:hAnsi="宋体"/>
          <w:sz w:val="24"/>
          <w:szCs w:val="24"/>
        </w:rPr>
      </w:pPr>
      <w:r>
        <w:rPr>
          <w:rFonts w:hint="eastAsia" w:ascii="宋体" w:hAnsi="宋体"/>
          <w:sz w:val="24"/>
          <w:szCs w:val="24"/>
          <w:lang w:eastAsia="zh-TW"/>
        </w:rPr>
        <w:t>投标人应按照“第</w:t>
      </w:r>
      <w:r>
        <w:rPr>
          <w:rFonts w:hint="eastAsia" w:ascii="宋体" w:hAnsi="宋体"/>
          <w:sz w:val="24"/>
          <w:szCs w:val="24"/>
        </w:rPr>
        <w:t>二</w:t>
      </w:r>
      <w:r>
        <w:rPr>
          <w:rFonts w:hint="eastAsia" w:ascii="宋体" w:hAnsi="宋体"/>
          <w:sz w:val="24"/>
          <w:szCs w:val="24"/>
          <w:lang w:eastAsia="zh-TW"/>
        </w:rPr>
        <w:t>章　用户需求书”</w:t>
      </w:r>
      <w:r>
        <w:rPr>
          <w:rFonts w:hint="eastAsia" w:ascii="宋体" w:hAnsi="宋体"/>
          <w:sz w:val="24"/>
          <w:szCs w:val="24"/>
        </w:rPr>
        <w:t>中</w:t>
      </w:r>
      <w:r>
        <w:rPr>
          <w:rFonts w:hint="eastAsia" w:ascii="宋体" w:hAnsi="宋体"/>
          <w:sz w:val="24"/>
          <w:szCs w:val="24"/>
          <w:lang w:eastAsia="zh-TW"/>
        </w:rPr>
        <w:t>采购项目技术规格、参数及要求规定的内容</w:t>
      </w:r>
      <w:r>
        <w:rPr>
          <w:rFonts w:hint="eastAsia" w:ascii="宋体" w:hAnsi="宋体"/>
          <w:sz w:val="24"/>
          <w:szCs w:val="24"/>
        </w:rPr>
        <w:t>或</w:t>
      </w:r>
      <w:r>
        <w:rPr>
          <w:rFonts w:hint="eastAsia" w:ascii="宋体" w:hAnsi="宋体"/>
          <w:sz w:val="24"/>
          <w:szCs w:val="24"/>
          <w:lang w:eastAsia="zh-TW"/>
        </w:rPr>
        <w:t>采购项目</w:t>
      </w:r>
      <w:r>
        <w:rPr>
          <w:rFonts w:hint="eastAsia" w:ascii="宋体" w:hAnsi="宋体"/>
          <w:sz w:val="24"/>
          <w:szCs w:val="24"/>
        </w:rPr>
        <w:t>服务</w:t>
      </w:r>
      <w:r>
        <w:rPr>
          <w:rFonts w:hint="eastAsia" w:ascii="宋体" w:hAnsi="宋体"/>
          <w:sz w:val="24"/>
          <w:szCs w:val="24"/>
          <w:lang w:eastAsia="zh-TW"/>
        </w:rPr>
        <w:t>要求规定的内容、责任范围进行报价。并按《</w:t>
      </w:r>
      <w:r>
        <w:rPr>
          <w:rFonts w:hint="eastAsia" w:ascii="宋体" w:hAnsi="宋体"/>
          <w:sz w:val="24"/>
          <w:szCs w:val="24"/>
        </w:rPr>
        <w:t>开标一览表（报价表）</w:t>
      </w:r>
      <w:r>
        <w:rPr>
          <w:rFonts w:hint="eastAsia" w:ascii="宋体" w:hAnsi="宋体"/>
          <w:sz w:val="24"/>
          <w:szCs w:val="24"/>
          <w:lang w:eastAsia="zh-TW"/>
        </w:rPr>
        <w:t>》</w:t>
      </w:r>
      <w:r>
        <w:rPr>
          <w:rFonts w:hint="eastAsia" w:ascii="宋体" w:hAnsi="宋体"/>
          <w:sz w:val="24"/>
          <w:szCs w:val="24"/>
        </w:rPr>
        <w:t>及</w:t>
      </w:r>
      <w:r>
        <w:rPr>
          <w:rFonts w:hint="eastAsia" w:ascii="宋体" w:hAnsi="宋体"/>
          <w:sz w:val="24"/>
          <w:szCs w:val="24"/>
          <w:lang w:eastAsia="zh-TW"/>
        </w:rPr>
        <w:t>《投标分项报价表》（如适用）的</w:t>
      </w:r>
      <w:r>
        <w:rPr>
          <w:rFonts w:hint="eastAsia" w:ascii="宋体" w:hAnsi="宋体"/>
          <w:sz w:val="24"/>
          <w:szCs w:val="24"/>
        </w:rPr>
        <w:t>要求</w:t>
      </w:r>
      <w:r>
        <w:rPr>
          <w:rFonts w:hint="eastAsia" w:ascii="宋体" w:hAnsi="宋体"/>
          <w:sz w:val="24"/>
          <w:szCs w:val="24"/>
          <w:lang w:eastAsia="zh-TW"/>
        </w:rPr>
        <w:t>报出总价和分项价格。</w:t>
      </w:r>
      <w:r>
        <w:rPr>
          <w:rFonts w:hint="eastAsia" w:ascii="宋体" w:hAnsi="宋体"/>
          <w:sz w:val="24"/>
          <w:szCs w:val="24"/>
        </w:rPr>
        <w:t>投标人</w:t>
      </w:r>
      <w:r>
        <w:rPr>
          <w:rFonts w:hint="eastAsia" w:ascii="宋体" w:hAnsi="宋体"/>
          <w:sz w:val="24"/>
          <w:szCs w:val="24"/>
          <w:lang w:eastAsia="zh-TW"/>
        </w:rPr>
        <w:t>按</w:t>
      </w:r>
      <w:r>
        <w:rPr>
          <w:rFonts w:hint="eastAsia" w:ascii="宋体" w:hAnsi="宋体"/>
          <w:sz w:val="24"/>
          <w:szCs w:val="24"/>
        </w:rPr>
        <w:t>招标</w:t>
      </w:r>
      <w:r>
        <w:rPr>
          <w:rFonts w:hint="eastAsia" w:ascii="宋体" w:hAnsi="宋体"/>
          <w:sz w:val="24"/>
          <w:szCs w:val="24"/>
          <w:lang w:eastAsia="zh-TW"/>
        </w:rPr>
        <w:t>文件的要求报出全部货物及服务内容所需的所有费用，包括但不限于</w:t>
      </w:r>
      <w:r>
        <w:rPr>
          <w:rFonts w:hint="eastAsia" w:ascii="宋体" w:hAnsi="宋体"/>
          <w:sz w:val="24"/>
          <w:szCs w:val="24"/>
        </w:rPr>
        <w:t>投标人须知前附表</w:t>
      </w:r>
      <w:r>
        <w:rPr>
          <w:rFonts w:hint="eastAsia" w:ascii="宋体" w:hAnsi="宋体"/>
          <w:sz w:val="24"/>
          <w:szCs w:val="24"/>
          <w:lang w:eastAsia="zh-TW"/>
        </w:rPr>
        <w:t>中规定的。</w:t>
      </w:r>
    </w:p>
    <w:p w14:paraId="759900E9">
      <w:pPr>
        <w:numPr>
          <w:ilvl w:val="1"/>
          <w:numId w:val="41"/>
        </w:numPr>
        <w:snapToGrid w:val="0"/>
        <w:spacing w:line="360" w:lineRule="auto"/>
        <w:jc w:val="both"/>
        <w:textAlignment w:val="baseline"/>
        <w:rPr>
          <w:rFonts w:ascii="宋体" w:hAnsi="宋体" w:cs="宋体"/>
          <w:color w:val="000000"/>
          <w:sz w:val="24"/>
          <w:szCs w:val="24"/>
          <w:lang w:eastAsia="zh-TW"/>
        </w:rPr>
      </w:pPr>
      <w:r>
        <w:rPr>
          <w:rFonts w:hint="eastAsia" w:ascii="宋体" w:hAnsi="宋体"/>
          <w:sz w:val="24"/>
          <w:szCs w:val="24"/>
        </w:rPr>
        <w:t>投标分项报价表内容应包含</w:t>
      </w:r>
      <w:r>
        <w:rPr>
          <w:rFonts w:hint="eastAsia" w:ascii="宋体" w:hAnsi="宋体" w:cs="宋体"/>
          <w:sz w:val="24"/>
          <w:szCs w:val="24"/>
        </w:rPr>
        <w:t>：</w:t>
      </w:r>
    </w:p>
    <w:p w14:paraId="5F6A3B7F">
      <w:pPr>
        <w:numPr>
          <w:ilvl w:val="2"/>
          <w:numId w:val="41"/>
        </w:numPr>
        <w:snapToGrid w:val="0"/>
        <w:spacing w:line="360" w:lineRule="auto"/>
        <w:jc w:val="both"/>
        <w:textAlignment w:val="baseline"/>
        <w:rPr>
          <w:rFonts w:ascii="宋体" w:hAnsi="宋体" w:cs="宋体"/>
          <w:color w:val="0000CC"/>
          <w:sz w:val="24"/>
          <w:szCs w:val="24"/>
          <w:highlight w:val="none"/>
          <w:lang w:eastAsia="zh-TW"/>
        </w:rPr>
      </w:pPr>
      <w:r>
        <w:rPr>
          <w:rFonts w:hint="eastAsia" w:ascii="宋体" w:hAnsi="宋体" w:cs="宋体"/>
          <w:sz w:val="24"/>
          <w:szCs w:val="24"/>
          <w:highlight w:val="none"/>
        </w:rPr>
        <w:t>招标文件要求全部服务所需的所有费用；</w:t>
      </w:r>
    </w:p>
    <w:p w14:paraId="097957A6">
      <w:pPr>
        <w:numPr>
          <w:ilvl w:val="1"/>
          <w:numId w:val="41"/>
        </w:numPr>
        <w:snapToGrid w:val="0"/>
        <w:spacing w:line="360" w:lineRule="auto"/>
        <w:jc w:val="both"/>
        <w:textAlignment w:val="baseline"/>
        <w:rPr>
          <w:rFonts w:ascii="宋体" w:hAnsi="宋体"/>
          <w:sz w:val="24"/>
          <w:szCs w:val="24"/>
          <w:lang w:eastAsia="zh-TW"/>
        </w:rPr>
      </w:pPr>
      <w:r>
        <w:rPr>
          <w:rFonts w:hint="eastAsia" w:ascii="宋体" w:hAnsi="宋体"/>
          <w:sz w:val="24"/>
          <w:szCs w:val="24"/>
        </w:rPr>
        <w:t>投标人在中标并签署合同后，服务期限或供货期内出现货物（或服务）的任何遗漏，均由中标人负责，招标人将不再支付任何费用。</w:t>
      </w:r>
    </w:p>
    <w:p w14:paraId="0F242CFC">
      <w:pPr>
        <w:numPr>
          <w:ilvl w:val="1"/>
          <w:numId w:val="41"/>
        </w:numPr>
        <w:snapToGrid w:val="0"/>
        <w:spacing w:line="360" w:lineRule="auto"/>
        <w:jc w:val="both"/>
        <w:textAlignment w:val="baseline"/>
        <w:rPr>
          <w:rFonts w:ascii="宋体" w:hAnsi="宋体" w:cs="宋体"/>
          <w:sz w:val="24"/>
          <w:szCs w:val="24"/>
        </w:rPr>
      </w:pPr>
      <w:r>
        <w:rPr>
          <w:rFonts w:hint="eastAsia" w:ascii="宋体" w:hAnsi="宋体"/>
          <w:sz w:val="24"/>
          <w:szCs w:val="24"/>
        </w:rPr>
        <w:t>除“投标人须知前附表”中另有规定，</w:t>
      </w:r>
      <w:r>
        <w:rPr>
          <w:rFonts w:hint="eastAsia" w:ascii="宋体" w:hAnsi="宋体"/>
          <w:sz w:val="24"/>
          <w:szCs w:val="24"/>
          <w:lang w:eastAsia="zh-TW"/>
        </w:rPr>
        <w:t>投标人所报的投标价在合同执行过程中是固定不变的</w:t>
      </w:r>
      <w:r>
        <w:rPr>
          <w:rFonts w:hint="eastAsia" w:ascii="宋体" w:hAnsi="宋体"/>
          <w:sz w:val="24"/>
          <w:szCs w:val="24"/>
        </w:rPr>
        <w:t>，</w:t>
      </w:r>
      <w:r>
        <w:rPr>
          <w:rFonts w:hint="eastAsia" w:ascii="宋体" w:hAnsi="宋体"/>
          <w:sz w:val="24"/>
          <w:szCs w:val="24"/>
          <w:lang w:eastAsia="zh-TW"/>
        </w:rPr>
        <w:t>不得以任何理由予以变更。任何包含价格调整要求的投标被认为是非实质性响应投标而予以拒绝。</w:t>
      </w:r>
    </w:p>
    <w:p w14:paraId="79DE836E">
      <w:pPr>
        <w:numPr>
          <w:ilvl w:val="1"/>
          <w:numId w:val="41"/>
        </w:numPr>
        <w:snapToGrid w:val="0"/>
        <w:spacing w:line="360" w:lineRule="auto"/>
        <w:jc w:val="both"/>
        <w:textAlignment w:val="baseline"/>
        <w:rPr>
          <w:rFonts w:ascii="宋体" w:hAnsi="宋体"/>
          <w:sz w:val="24"/>
          <w:szCs w:val="24"/>
        </w:rPr>
      </w:pPr>
      <w:r>
        <w:rPr>
          <w:rFonts w:hint="eastAsia" w:ascii="宋体" w:hAnsi="宋体"/>
          <w:sz w:val="24"/>
          <w:szCs w:val="24"/>
        </w:rPr>
        <w:t>除“投标人须知前附表”中允许有备选方案外，本次招标不接受选择性报价，否则</w:t>
      </w:r>
      <w:r>
        <w:rPr>
          <w:rFonts w:hint="eastAsia" w:ascii="宋体" w:hAnsi="宋体"/>
          <w:bCs/>
          <w:sz w:val="24"/>
          <w:szCs w:val="24"/>
        </w:rPr>
        <w:t>应予否决投标</w:t>
      </w:r>
      <w:r>
        <w:rPr>
          <w:rFonts w:hint="eastAsia" w:ascii="宋体" w:hAnsi="宋体"/>
          <w:sz w:val="24"/>
          <w:szCs w:val="24"/>
        </w:rPr>
        <w:t>。</w:t>
      </w:r>
    </w:p>
    <w:p w14:paraId="68650287">
      <w:pPr>
        <w:numPr>
          <w:ilvl w:val="1"/>
          <w:numId w:val="41"/>
        </w:numPr>
        <w:snapToGrid w:val="0"/>
        <w:spacing w:line="360" w:lineRule="auto"/>
        <w:jc w:val="both"/>
        <w:textAlignment w:val="baseline"/>
        <w:rPr>
          <w:rFonts w:ascii="宋体" w:hAnsi="宋体"/>
          <w:sz w:val="24"/>
          <w:szCs w:val="24"/>
        </w:rPr>
      </w:pPr>
      <w:r>
        <w:rPr>
          <w:rFonts w:hint="eastAsia" w:ascii="宋体" w:hAnsi="宋体"/>
          <w:sz w:val="24"/>
          <w:szCs w:val="24"/>
        </w:rPr>
        <w:t>除“投标人须知前附表”另有规定外，本次招标不接受具有附加条件的报价，否则</w:t>
      </w:r>
      <w:r>
        <w:rPr>
          <w:rFonts w:hint="eastAsia" w:ascii="宋体" w:hAnsi="宋体"/>
          <w:bCs/>
          <w:sz w:val="24"/>
          <w:szCs w:val="24"/>
        </w:rPr>
        <w:t>应予否决投标</w:t>
      </w:r>
      <w:r>
        <w:rPr>
          <w:rFonts w:hint="eastAsia" w:ascii="宋体" w:hAnsi="宋体" w:cs="宋体"/>
          <w:sz w:val="24"/>
          <w:szCs w:val="24"/>
        </w:rPr>
        <w:t>。</w:t>
      </w:r>
    </w:p>
    <w:p w14:paraId="061EE0B8">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投标货币</w:t>
      </w:r>
    </w:p>
    <w:p w14:paraId="699FA6FE">
      <w:pPr>
        <w:numPr>
          <w:ilvl w:val="1"/>
          <w:numId w:val="42"/>
        </w:numPr>
        <w:snapToGrid w:val="0"/>
        <w:spacing w:line="360" w:lineRule="auto"/>
        <w:jc w:val="both"/>
        <w:textAlignment w:val="baseline"/>
        <w:rPr>
          <w:rFonts w:ascii="宋体" w:hAnsi="宋体"/>
          <w:sz w:val="24"/>
          <w:szCs w:val="24"/>
        </w:rPr>
      </w:pPr>
      <w:r>
        <w:rPr>
          <w:rFonts w:hint="eastAsia" w:ascii="宋体" w:hAnsi="宋体"/>
          <w:sz w:val="24"/>
          <w:szCs w:val="24"/>
        </w:rPr>
        <w:t>如招标文件无特殊规定，投标人所提供的货物和服务均应以人民币报价。</w:t>
      </w:r>
    </w:p>
    <w:p w14:paraId="2CD6484C">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联合体投标</w:t>
      </w:r>
    </w:p>
    <w:p w14:paraId="33A06646">
      <w:pPr>
        <w:numPr>
          <w:ilvl w:val="1"/>
          <w:numId w:val="43"/>
        </w:numPr>
        <w:snapToGrid w:val="0"/>
        <w:spacing w:line="360" w:lineRule="auto"/>
        <w:jc w:val="both"/>
        <w:textAlignment w:val="baseline"/>
        <w:rPr>
          <w:rFonts w:ascii="宋体" w:hAnsi="宋体"/>
          <w:color w:val="000000"/>
          <w:sz w:val="24"/>
          <w:szCs w:val="24"/>
        </w:rPr>
      </w:pPr>
      <w:r>
        <w:rPr>
          <w:rFonts w:hint="eastAsia" w:ascii="宋体" w:hAnsi="宋体"/>
          <w:sz w:val="24"/>
          <w:szCs w:val="24"/>
        </w:rPr>
        <w:t>除非“第一章投标邀请</w:t>
      </w:r>
      <w:r>
        <w:rPr>
          <w:rFonts w:hint="eastAsia" w:ascii="宋体" w:hAnsi="宋体"/>
          <w:color w:val="000000"/>
          <w:sz w:val="24"/>
          <w:szCs w:val="24"/>
        </w:rPr>
        <w:t>”中另有规定，不接受联合体投标。如果投标邀请中规定允许联合体投标的，则必须满足：</w:t>
      </w:r>
    </w:p>
    <w:p w14:paraId="2B805D07">
      <w:pPr>
        <w:numPr>
          <w:ilvl w:val="2"/>
          <w:numId w:val="43"/>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以联合</w:t>
      </w:r>
      <w:r>
        <w:rPr>
          <w:rFonts w:hint="eastAsia" w:ascii="宋体" w:hAnsi="宋体" w:cs="宋体"/>
          <w:color w:val="000000"/>
          <w:sz w:val="24"/>
          <w:szCs w:val="24"/>
          <w:lang w:eastAsia="zh-TW"/>
        </w:rPr>
        <w:t>体形</w:t>
      </w:r>
      <w:r>
        <w:rPr>
          <w:rFonts w:hint="eastAsia" w:ascii="宋体" w:hAnsi="宋体"/>
          <w:color w:val="000000"/>
          <w:sz w:val="24"/>
          <w:szCs w:val="24"/>
        </w:rPr>
        <w:t xml:space="preserve">式参加投标的，联合体各方均应当具备承担招标项目的相应能力；国家有关规定或者招标文件对投标人资格条件有规定的，联合体各方均应当具备规定的相应资格条件； </w:t>
      </w:r>
    </w:p>
    <w:p w14:paraId="767DA7F6">
      <w:pPr>
        <w:numPr>
          <w:ilvl w:val="2"/>
          <w:numId w:val="43"/>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以联合体形式参加投标的，由同一专业的单位组成的联合体，按照资质等级较低的单位确定资质等级。</w:t>
      </w:r>
    </w:p>
    <w:p w14:paraId="4DA18113">
      <w:pPr>
        <w:numPr>
          <w:ilvl w:val="2"/>
          <w:numId w:val="43"/>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联合体</w:t>
      </w:r>
      <w:r>
        <w:rPr>
          <w:rFonts w:hint="eastAsia" w:ascii="宋体" w:hAnsi="宋体" w:cs="宋体"/>
          <w:color w:val="000000"/>
          <w:sz w:val="24"/>
          <w:szCs w:val="24"/>
          <w:lang w:eastAsia="zh-TW"/>
        </w:rPr>
        <w:t>投标</w:t>
      </w:r>
      <w:r>
        <w:rPr>
          <w:rFonts w:hint="eastAsia" w:ascii="宋体" w:hAnsi="宋体"/>
          <w:color w:val="000000"/>
          <w:sz w:val="24"/>
          <w:szCs w:val="24"/>
        </w:rPr>
        <w:t>的，必须提供各方签订的共同投标协议（联合投标协议书），明确约定各方承担的工作和相应的责任。联合体各方签订共同投标协议（联合投标协议书）后，不得再以自己名义单独在同一项目（或标段）中投标，也不得组成新的联合体参加同一项目（或标段）投标；</w:t>
      </w:r>
    </w:p>
    <w:p w14:paraId="47E1A7B8">
      <w:pPr>
        <w:numPr>
          <w:ilvl w:val="2"/>
          <w:numId w:val="43"/>
        </w:numPr>
        <w:snapToGrid w:val="0"/>
        <w:spacing w:line="360" w:lineRule="auto"/>
        <w:jc w:val="both"/>
        <w:textAlignment w:val="baseline"/>
        <w:rPr>
          <w:rFonts w:ascii="宋体" w:hAnsi="宋体"/>
          <w:color w:val="000000"/>
          <w:sz w:val="24"/>
          <w:szCs w:val="24"/>
        </w:rPr>
      </w:pPr>
      <w:r>
        <w:rPr>
          <w:rFonts w:ascii="宋体" w:hAnsi="宋体"/>
          <w:color w:val="000000"/>
          <w:sz w:val="24"/>
          <w:szCs w:val="24"/>
        </w:rPr>
        <w:t>联合体</w:t>
      </w:r>
      <w:r>
        <w:rPr>
          <w:rFonts w:hint="eastAsia" w:ascii="宋体" w:hAnsi="宋体"/>
          <w:color w:val="000000"/>
          <w:sz w:val="24"/>
          <w:szCs w:val="24"/>
        </w:rPr>
        <w:t>中标</w:t>
      </w:r>
      <w:r>
        <w:rPr>
          <w:rFonts w:ascii="宋体" w:hAnsi="宋体"/>
          <w:color w:val="000000"/>
          <w:sz w:val="24"/>
          <w:szCs w:val="24"/>
        </w:rPr>
        <w:t>的，联合体各方应当共同与</w:t>
      </w:r>
      <w:r>
        <w:rPr>
          <w:rFonts w:hint="eastAsia" w:ascii="宋体" w:hAnsi="宋体"/>
          <w:color w:val="000000"/>
          <w:sz w:val="24"/>
          <w:szCs w:val="24"/>
        </w:rPr>
        <w:t>招标人</w:t>
      </w:r>
      <w:r>
        <w:rPr>
          <w:rFonts w:ascii="宋体" w:hAnsi="宋体"/>
          <w:color w:val="000000"/>
          <w:sz w:val="24"/>
          <w:szCs w:val="24"/>
        </w:rPr>
        <w:t>签订合同。</w:t>
      </w:r>
    </w:p>
    <w:p w14:paraId="36EC1450">
      <w:pPr>
        <w:numPr>
          <w:ilvl w:val="0"/>
          <w:numId w:val="38"/>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证明投标人合格和资格的文件</w:t>
      </w:r>
    </w:p>
    <w:p w14:paraId="19D40C12">
      <w:pPr>
        <w:numPr>
          <w:ilvl w:val="1"/>
          <w:numId w:val="44"/>
        </w:numPr>
        <w:snapToGrid w:val="0"/>
        <w:spacing w:line="360" w:lineRule="auto"/>
        <w:jc w:val="both"/>
        <w:textAlignment w:val="baseline"/>
        <w:rPr>
          <w:rFonts w:ascii="宋体" w:hAnsi="宋体"/>
          <w:sz w:val="24"/>
          <w:szCs w:val="24"/>
        </w:rPr>
      </w:pPr>
      <w:r>
        <w:rPr>
          <w:rFonts w:hint="eastAsia" w:ascii="宋体" w:hAnsi="宋体"/>
          <w:sz w:val="24"/>
          <w:szCs w:val="24"/>
        </w:rPr>
        <w:t>投标人应提交证明其有资格参加投标和中标后有能力履行合同的文件，</w:t>
      </w:r>
      <w:r>
        <w:rPr>
          <w:rFonts w:hint="eastAsia" w:ascii="宋体" w:hAnsi="宋体"/>
          <w:sz w:val="24"/>
          <w:szCs w:val="24"/>
          <w:lang w:eastAsia="zh-TW"/>
        </w:rPr>
        <w:t>并作为其投标文件的一部分。如果投标人为联合体</w:t>
      </w:r>
      <w:r>
        <w:rPr>
          <w:rFonts w:hint="eastAsia" w:ascii="宋体" w:hAnsi="宋体"/>
          <w:sz w:val="24"/>
          <w:szCs w:val="24"/>
        </w:rPr>
        <w:t>，</w:t>
      </w:r>
      <w:r>
        <w:rPr>
          <w:rFonts w:hint="eastAsia" w:ascii="宋体" w:hAnsi="宋体"/>
          <w:sz w:val="24"/>
          <w:szCs w:val="24"/>
          <w:lang w:eastAsia="zh-TW"/>
        </w:rPr>
        <w:t>应提交联合体各方的资格证明文件、</w:t>
      </w:r>
      <w:r>
        <w:rPr>
          <w:rFonts w:hint="eastAsia" w:ascii="宋体" w:hAnsi="宋体"/>
          <w:sz w:val="24"/>
          <w:szCs w:val="24"/>
        </w:rPr>
        <w:t>共同投标协议</w:t>
      </w:r>
      <w:r>
        <w:rPr>
          <w:rFonts w:hint="eastAsia" w:ascii="宋体" w:hAnsi="宋体"/>
          <w:sz w:val="24"/>
          <w:szCs w:val="24"/>
          <w:lang w:eastAsia="zh-TW"/>
        </w:rPr>
        <w:t>并注明</w:t>
      </w:r>
      <w:r>
        <w:rPr>
          <w:rFonts w:hint="eastAsia" w:ascii="宋体" w:hAnsi="宋体"/>
          <w:sz w:val="24"/>
          <w:szCs w:val="24"/>
        </w:rPr>
        <w:t>牵头方及各方拟承担的工作和责任。</w:t>
      </w:r>
      <w:r>
        <w:rPr>
          <w:rFonts w:hint="eastAsia" w:ascii="宋体" w:hAnsi="宋体"/>
          <w:sz w:val="24"/>
          <w:szCs w:val="24"/>
          <w:lang w:eastAsia="zh-TW"/>
        </w:rPr>
        <w:t>否则</w:t>
      </w:r>
      <w:r>
        <w:rPr>
          <w:rFonts w:hint="eastAsia" w:ascii="宋体" w:hAnsi="宋体"/>
          <w:sz w:val="24"/>
          <w:szCs w:val="24"/>
        </w:rPr>
        <w:t>，</w:t>
      </w:r>
      <w:r>
        <w:rPr>
          <w:rFonts w:hint="eastAsia" w:ascii="宋体" w:hAnsi="宋体"/>
          <w:sz w:val="24"/>
          <w:szCs w:val="24"/>
          <w:lang w:eastAsia="zh-TW"/>
        </w:rPr>
        <w:t>将</w:t>
      </w:r>
      <w:r>
        <w:rPr>
          <w:rFonts w:hint="eastAsia" w:ascii="宋体" w:hAnsi="宋体" w:cs="宋体"/>
          <w:sz w:val="24"/>
          <w:szCs w:val="24"/>
        </w:rPr>
        <w:t>应予否决投标</w:t>
      </w:r>
      <w:r>
        <w:rPr>
          <w:rFonts w:hint="eastAsia" w:ascii="宋体" w:hAnsi="宋体"/>
          <w:sz w:val="24"/>
          <w:szCs w:val="24"/>
        </w:rPr>
        <w:t>。</w:t>
      </w:r>
    </w:p>
    <w:p w14:paraId="76DFBB31">
      <w:pPr>
        <w:numPr>
          <w:ilvl w:val="1"/>
          <w:numId w:val="44"/>
        </w:numPr>
        <w:snapToGrid w:val="0"/>
        <w:spacing w:line="360" w:lineRule="auto"/>
        <w:jc w:val="both"/>
        <w:textAlignment w:val="baseline"/>
        <w:rPr>
          <w:rFonts w:ascii="宋体" w:hAnsi="宋体" w:cs="宋体"/>
          <w:color w:val="000000"/>
          <w:sz w:val="24"/>
          <w:szCs w:val="24"/>
          <w:lang w:eastAsia="zh-TW"/>
        </w:rPr>
      </w:pPr>
      <w:r>
        <w:rPr>
          <w:rFonts w:hint="eastAsia" w:ascii="宋体" w:hAnsi="宋体"/>
          <w:sz w:val="24"/>
          <w:szCs w:val="24"/>
          <w:lang w:eastAsia="zh-TW"/>
        </w:rPr>
        <w:t>投标人提交的资格证明文件应证明其</w:t>
      </w:r>
      <w:r>
        <w:rPr>
          <w:rFonts w:hint="eastAsia" w:ascii="宋体" w:hAnsi="宋体"/>
          <w:sz w:val="24"/>
          <w:szCs w:val="24"/>
        </w:rPr>
        <w:t>满足本项目招标文件要求。</w:t>
      </w:r>
    </w:p>
    <w:p w14:paraId="001D50E6">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证明货物的合格性和符合招标文件规定的文件</w:t>
      </w:r>
    </w:p>
    <w:p w14:paraId="7FB53209">
      <w:pPr>
        <w:numPr>
          <w:ilvl w:val="1"/>
          <w:numId w:val="45"/>
        </w:numPr>
        <w:snapToGrid w:val="0"/>
        <w:spacing w:line="360" w:lineRule="auto"/>
        <w:jc w:val="both"/>
        <w:textAlignment w:val="baseline"/>
        <w:rPr>
          <w:rFonts w:ascii="宋体" w:hAnsi="宋体"/>
          <w:sz w:val="24"/>
          <w:szCs w:val="24"/>
        </w:rPr>
      </w:pPr>
      <w:r>
        <w:rPr>
          <w:rFonts w:hint="eastAsia" w:ascii="宋体" w:hAnsi="宋体"/>
          <w:sz w:val="24"/>
          <w:szCs w:val="24"/>
        </w:rPr>
        <w:t>投标人应提交证明文件，</w:t>
      </w:r>
      <w:r>
        <w:rPr>
          <w:rFonts w:hint="eastAsia" w:ascii="宋体" w:hAnsi="宋体"/>
          <w:sz w:val="24"/>
          <w:szCs w:val="24"/>
          <w:lang w:eastAsia="zh-TW"/>
        </w:rPr>
        <w:t>证明其拟供的合同项下的货物和服务的合格性符合招标文件规定。该证明文件作为投标文件的一部分。</w:t>
      </w:r>
    </w:p>
    <w:p w14:paraId="654D8319">
      <w:pPr>
        <w:numPr>
          <w:ilvl w:val="1"/>
          <w:numId w:val="45"/>
        </w:numPr>
        <w:snapToGrid w:val="0"/>
        <w:spacing w:line="360" w:lineRule="auto"/>
        <w:jc w:val="both"/>
        <w:textAlignment w:val="baseline"/>
        <w:rPr>
          <w:rFonts w:ascii="宋体" w:hAnsi="宋体"/>
          <w:sz w:val="24"/>
          <w:szCs w:val="24"/>
        </w:rPr>
      </w:pPr>
      <w:r>
        <w:rPr>
          <w:rFonts w:hint="eastAsia" w:ascii="宋体" w:hAnsi="宋体"/>
          <w:sz w:val="24"/>
          <w:szCs w:val="24"/>
          <w:lang w:eastAsia="zh-TW"/>
        </w:rPr>
        <w:t>证明货物和服务与招标文件的要求相一致的文件，可以是文字资料、图纸和数据，它包括：</w:t>
      </w:r>
    </w:p>
    <w:p w14:paraId="69AB39A9">
      <w:pPr>
        <w:numPr>
          <w:ilvl w:val="2"/>
          <w:numId w:val="45"/>
        </w:numPr>
        <w:snapToGrid w:val="0"/>
        <w:spacing w:line="360" w:lineRule="auto"/>
        <w:jc w:val="both"/>
        <w:textAlignment w:val="baseline"/>
        <w:rPr>
          <w:rFonts w:ascii="宋体" w:hAnsi="宋体"/>
          <w:sz w:val="24"/>
          <w:szCs w:val="24"/>
        </w:rPr>
      </w:pPr>
      <w:r>
        <w:rPr>
          <w:rFonts w:hint="eastAsia" w:ascii="宋体" w:hAnsi="宋体" w:cs="宋体"/>
          <w:sz w:val="24"/>
          <w:szCs w:val="24"/>
          <w:lang w:eastAsia="zh-TW"/>
        </w:rPr>
        <w:t>货物主要技术指标和性能的详细说明</w:t>
      </w:r>
      <w:r>
        <w:rPr>
          <w:rFonts w:hint="eastAsia" w:ascii="宋体" w:hAnsi="宋体" w:cs="宋体"/>
          <w:sz w:val="24"/>
          <w:szCs w:val="24"/>
        </w:rPr>
        <w:t>；</w:t>
      </w:r>
    </w:p>
    <w:p w14:paraId="68CFF197">
      <w:pPr>
        <w:numPr>
          <w:ilvl w:val="2"/>
          <w:numId w:val="45"/>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货物正常使用所必须的备件和专用工具清单，包括备件和专用工具的货源及现行价格；</w:t>
      </w:r>
    </w:p>
    <w:p w14:paraId="0C742EF6">
      <w:pPr>
        <w:numPr>
          <w:ilvl w:val="2"/>
          <w:numId w:val="45"/>
        </w:numPr>
        <w:snapToGrid w:val="0"/>
        <w:spacing w:line="360" w:lineRule="auto"/>
        <w:jc w:val="both"/>
        <w:textAlignment w:val="baseline"/>
        <w:rPr>
          <w:rFonts w:ascii="宋体" w:hAnsi="宋体"/>
          <w:sz w:val="24"/>
          <w:szCs w:val="24"/>
        </w:rPr>
      </w:pPr>
      <w:r>
        <w:rPr>
          <w:rFonts w:hint="eastAsia" w:ascii="宋体" w:hAnsi="宋体" w:cs="宋体"/>
          <w:sz w:val="24"/>
          <w:szCs w:val="24"/>
          <w:lang w:eastAsia="zh-TW"/>
        </w:rPr>
        <w:t>对照招标文件技术规格，逐条说明所提供货物和服务已对招标文件的技术规格作出了实质性的响应，并申明与技术规格条文的偏差和例外。特别对有具体参数要求的指标，投标人须提供所投设备的具体参数值。投标人在阐述时应注意招标文件的技术规格中指出的工艺、材料和设备的标准，投标人在投标中要实质上满足或超过招标文件的要求。</w:t>
      </w:r>
    </w:p>
    <w:p w14:paraId="603A4591">
      <w:pPr>
        <w:numPr>
          <w:ilvl w:val="0"/>
          <w:numId w:val="38"/>
        </w:numPr>
        <w:snapToGrid w:val="0"/>
        <w:spacing w:line="360" w:lineRule="auto"/>
        <w:ind w:left="241" w:hanging="241" w:hangingChars="100"/>
        <w:jc w:val="both"/>
        <w:outlineLvl w:val="3"/>
        <w:rPr>
          <w:rFonts w:ascii="宋体" w:hAnsi="宋体"/>
          <w:b/>
          <w:bCs/>
          <w:sz w:val="24"/>
          <w:szCs w:val="24"/>
        </w:rPr>
      </w:pPr>
      <w:bookmarkStart w:id="191" w:name="_GoBack"/>
      <w:bookmarkEnd w:id="191"/>
      <w:r>
        <w:rPr>
          <w:rFonts w:hint="eastAsia" w:ascii="宋体" w:hAnsi="宋体"/>
          <w:b/>
          <w:bCs/>
          <w:sz w:val="24"/>
          <w:szCs w:val="24"/>
        </w:rPr>
        <w:t>投标保证金</w:t>
      </w:r>
    </w:p>
    <w:p w14:paraId="368BC057">
      <w:pPr>
        <w:numPr>
          <w:ilvl w:val="1"/>
          <w:numId w:val="46"/>
        </w:numPr>
        <w:snapToGrid w:val="0"/>
        <w:spacing w:line="360" w:lineRule="auto"/>
        <w:jc w:val="both"/>
        <w:textAlignment w:val="baseline"/>
        <w:rPr>
          <w:rFonts w:ascii="宋体" w:hAnsi="宋体"/>
          <w:sz w:val="24"/>
          <w:szCs w:val="24"/>
          <w:lang w:eastAsia="zh-TW"/>
        </w:rPr>
      </w:pPr>
      <w:r>
        <w:rPr>
          <w:rFonts w:hint="eastAsia" w:ascii="宋体" w:hAnsi="宋体"/>
          <w:sz w:val="24"/>
          <w:szCs w:val="24"/>
          <w:lang w:eastAsia="zh-TW"/>
        </w:rPr>
        <w:t>投标人应按“投标人须知前附表”中规定的金额、期限缴纳投标保证金，并作为其投标文件的组成部分。如联合体投标的，可以由联合体中的一方或者共同提交投标保证金，以一方名义提交投标保证金的，对联合体各方均具有约束力。</w:t>
      </w:r>
    </w:p>
    <w:p w14:paraId="2A5E9C54">
      <w:pPr>
        <w:numPr>
          <w:ilvl w:val="1"/>
          <w:numId w:val="46"/>
        </w:numPr>
        <w:snapToGrid w:val="0"/>
        <w:spacing w:line="360" w:lineRule="auto"/>
        <w:jc w:val="both"/>
        <w:textAlignment w:val="baseline"/>
        <w:rPr>
          <w:rFonts w:ascii="宋体" w:hAnsi="宋体"/>
          <w:sz w:val="24"/>
          <w:szCs w:val="24"/>
          <w:lang w:eastAsia="zh-TW"/>
        </w:rPr>
      </w:pPr>
      <w:r>
        <w:rPr>
          <w:rFonts w:hint="eastAsia" w:ascii="宋体" w:hAnsi="宋体"/>
          <w:sz w:val="24"/>
          <w:szCs w:val="24"/>
          <w:lang w:eastAsia="zh-TW"/>
        </w:rPr>
        <w:t>投标人撤回已提交的投标文件，应当在投标截止时间前书面通知招标人或招标代理机构。招标人或招标代理机构已收取投标保证金的，应当自收到投标人书面撤回通知之日起5日内退还。</w:t>
      </w:r>
    </w:p>
    <w:p w14:paraId="0AA00A60">
      <w:pPr>
        <w:numPr>
          <w:ilvl w:val="1"/>
          <w:numId w:val="46"/>
        </w:numPr>
        <w:snapToGrid w:val="0"/>
        <w:spacing w:line="360" w:lineRule="auto"/>
        <w:jc w:val="both"/>
        <w:textAlignment w:val="baseline"/>
        <w:rPr>
          <w:rFonts w:ascii="宋体" w:hAnsi="宋体"/>
          <w:sz w:val="24"/>
          <w:szCs w:val="24"/>
          <w:lang w:eastAsia="zh-TW"/>
        </w:rPr>
      </w:pPr>
      <w:r>
        <w:rPr>
          <w:rFonts w:hint="eastAsia" w:ascii="宋体" w:hAnsi="宋体"/>
          <w:sz w:val="24"/>
          <w:szCs w:val="24"/>
          <w:lang w:eastAsia="zh-TW"/>
        </w:rPr>
        <w:t>招标代理机构最迟在招标人与中标人签订书面合同后5日内，向未中标的投标人退还投标保证金。招标代理机构在招标人与中标人签订书面合同后5日内，向中标人退还投标保证金。</w:t>
      </w:r>
    </w:p>
    <w:p w14:paraId="38BABFC5">
      <w:pPr>
        <w:numPr>
          <w:ilvl w:val="1"/>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sz w:val="24"/>
          <w:szCs w:val="24"/>
          <w:lang w:eastAsia="zh-TW"/>
        </w:rPr>
        <w:t>下列任</w:t>
      </w:r>
      <w:r>
        <w:rPr>
          <w:rFonts w:hint="eastAsia" w:ascii="宋体" w:hAnsi="宋体" w:cs="宋体"/>
          <w:sz w:val="24"/>
          <w:szCs w:val="24"/>
          <w:lang w:eastAsia="zh-TW"/>
        </w:rPr>
        <w:t>一情况发生时</w:t>
      </w:r>
      <w:r>
        <w:rPr>
          <w:rFonts w:hint="eastAsia" w:ascii="宋体" w:hAnsi="宋体" w:cs="宋体"/>
          <w:sz w:val="24"/>
          <w:szCs w:val="24"/>
        </w:rPr>
        <w:t>，</w:t>
      </w:r>
      <w:r>
        <w:rPr>
          <w:rFonts w:hint="eastAsia" w:ascii="宋体" w:hAnsi="宋体" w:cs="宋体"/>
          <w:sz w:val="24"/>
          <w:szCs w:val="24"/>
          <w:lang w:eastAsia="zh-TW"/>
        </w:rPr>
        <w:t>投标保证金将</w:t>
      </w:r>
      <w:r>
        <w:rPr>
          <w:rFonts w:hint="eastAsia" w:ascii="宋体" w:hAnsi="宋体" w:cs="宋体"/>
          <w:sz w:val="24"/>
          <w:szCs w:val="24"/>
        </w:rPr>
        <w:t>不予退还：</w:t>
      </w:r>
    </w:p>
    <w:p w14:paraId="6F5BB990">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投标人在投标截止后撤销投标文件的；</w:t>
      </w:r>
    </w:p>
    <w:p w14:paraId="2CEAB0B7">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中标后中标人放弃中标资格的；</w:t>
      </w:r>
    </w:p>
    <w:p w14:paraId="428A296F">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中标人未按招标文件要求递交履约保证金的；</w:t>
      </w:r>
    </w:p>
    <w:p w14:paraId="49644FB4">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投标人在招标文件中提供虚假材料的；</w:t>
      </w:r>
    </w:p>
    <w:p w14:paraId="28529810">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除因不可抗力或招标文件认可的情形以外，中标人不与招标人签订合同的或在签订合同时向招标人提出附加条件的；</w:t>
      </w:r>
    </w:p>
    <w:p w14:paraId="03A07854">
      <w:pPr>
        <w:numPr>
          <w:ilvl w:val="2"/>
          <w:numId w:val="46"/>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属于投标人相互串通投标的情形；</w:t>
      </w:r>
    </w:p>
    <w:p w14:paraId="3E34F22D">
      <w:pPr>
        <w:numPr>
          <w:ilvl w:val="2"/>
          <w:numId w:val="46"/>
        </w:numPr>
        <w:snapToGrid w:val="0"/>
        <w:spacing w:line="360" w:lineRule="auto"/>
        <w:jc w:val="both"/>
        <w:textAlignment w:val="baseline"/>
        <w:rPr>
          <w:rFonts w:ascii="宋体" w:hAnsi="宋体"/>
          <w:sz w:val="24"/>
          <w:szCs w:val="24"/>
        </w:rPr>
      </w:pPr>
      <w:r>
        <w:rPr>
          <w:rFonts w:hint="eastAsia" w:ascii="宋体" w:hAnsi="宋体" w:cs="宋体"/>
          <w:color w:val="000000"/>
          <w:sz w:val="24"/>
          <w:szCs w:val="24"/>
          <w:lang w:eastAsia="zh-TW"/>
        </w:rPr>
        <w:t>中标人未按本须知规定缴纳招标代理服务费</w:t>
      </w:r>
      <w:r>
        <w:rPr>
          <w:rFonts w:hint="eastAsia" w:ascii="宋体" w:hAnsi="宋体" w:cs="宋体"/>
          <w:color w:val="000000"/>
          <w:sz w:val="24"/>
          <w:szCs w:val="24"/>
        </w:rPr>
        <w:t>，则投标保证金视为招标代理服务费由招标代理机构按具体金额扣取</w:t>
      </w:r>
      <w:r>
        <w:rPr>
          <w:rFonts w:hint="eastAsia" w:ascii="宋体" w:hAnsi="宋体" w:cs="宋体"/>
          <w:color w:val="000000"/>
          <w:sz w:val="24"/>
          <w:szCs w:val="24"/>
          <w:lang w:eastAsia="zh-TW"/>
        </w:rPr>
        <w:t>。</w:t>
      </w:r>
    </w:p>
    <w:p w14:paraId="103B8304">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投标有效期</w:t>
      </w:r>
    </w:p>
    <w:p w14:paraId="561DDBB0">
      <w:pPr>
        <w:numPr>
          <w:ilvl w:val="1"/>
          <w:numId w:val="47"/>
        </w:numPr>
        <w:snapToGrid w:val="0"/>
        <w:spacing w:line="360" w:lineRule="auto"/>
        <w:jc w:val="both"/>
        <w:textAlignment w:val="baseline"/>
        <w:rPr>
          <w:rFonts w:ascii="宋体" w:hAnsi="宋体" w:cs="黑体"/>
          <w:b/>
          <w:bCs/>
          <w:sz w:val="24"/>
          <w:szCs w:val="24"/>
        </w:rPr>
      </w:pPr>
      <w:r>
        <w:rPr>
          <w:rFonts w:hint="eastAsia" w:ascii="宋体" w:hAnsi="宋体" w:cs="宋体"/>
          <w:sz w:val="24"/>
          <w:szCs w:val="24"/>
          <w:lang w:eastAsia="zh-TW"/>
        </w:rPr>
        <w:t>投标应自</w:t>
      </w:r>
      <w:r>
        <w:rPr>
          <w:rFonts w:hint="eastAsia" w:ascii="宋体" w:hAnsi="宋体" w:cs="宋体"/>
          <w:b/>
          <w:sz w:val="24"/>
          <w:szCs w:val="24"/>
        </w:rPr>
        <w:t>“投标人须知前附表</w:t>
      </w:r>
      <w:r>
        <w:rPr>
          <w:rFonts w:hint="eastAsia" w:ascii="宋体" w:hAnsi="宋体" w:cs="黑体"/>
          <w:b/>
          <w:sz w:val="24"/>
          <w:szCs w:val="24"/>
        </w:rPr>
        <w:t>”</w:t>
      </w:r>
      <w:r>
        <w:rPr>
          <w:rFonts w:hint="eastAsia" w:ascii="宋体" w:hAnsi="宋体" w:cs="宋体"/>
          <w:sz w:val="24"/>
          <w:szCs w:val="24"/>
          <w:lang w:eastAsia="zh-TW"/>
        </w:rPr>
        <w:t>中规定的</w:t>
      </w:r>
      <w:r>
        <w:rPr>
          <w:rFonts w:hint="eastAsia" w:ascii="宋体" w:hAnsi="宋体" w:cs="宋体"/>
          <w:sz w:val="24"/>
          <w:szCs w:val="24"/>
        </w:rPr>
        <w:t>投标文件递交截止时间</w:t>
      </w:r>
      <w:r>
        <w:rPr>
          <w:rFonts w:hint="eastAsia" w:ascii="宋体" w:hAnsi="宋体" w:cs="宋体"/>
          <w:sz w:val="24"/>
          <w:szCs w:val="24"/>
          <w:lang w:eastAsia="zh-TW"/>
        </w:rPr>
        <w:t>起</w:t>
      </w:r>
      <w:r>
        <w:rPr>
          <w:rFonts w:hint="eastAsia" w:ascii="宋体" w:hAnsi="宋体" w:cs="宋体"/>
          <w:sz w:val="24"/>
          <w:szCs w:val="24"/>
        </w:rPr>
        <w:t>，</w:t>
      </w:r>
      <w:r>
        <w:rPr>
          <w:rFonts w:hint="eastAsia" w:ascii="宋体" w:hAnsi="宋体" w:cs="宋体"/>
          <w:sz w:val="24"/>
          <w:szCs w:val="24"/>
          <w:lang w:eastAsia="zh-TW"/>
        </w:rPr>
        <w:t>并在</w:t>
      </w:r>
      <w:r>
        <w:rPr>
          <w:rFonts w:hint="eastAsia" w:ascii="宋体" w:hAnsi="宋体" w:cs="宋体"/>
          <w:b/>
          <w:sz w:val="24"/>
          <w:szCs w:val="24"/>
        </w:rPr>
        <w:t>“投标人须知前附表</w:t>
      </w:r>
      <w:r>
        <w:rPr>
          <w:rFonts w:hint="eastAsia" w:ascii="宋体" w:hAnsi="宋体" w:cs="黑体"/>
          <w:b/>
          <w:sz w:val="24"/>
          <w:szCs w:val="24"/>
        </w:rPr>
        <w:t>”</w:t>
      </w:r>
      <w:r>
        <w:rPr>
          <w:rFonts w:hint="eastAsia" w:ascii="宋体" w:hAnsi="宋体" w:cs="宋体"/>
          <w:sz w:val="24"/>
          <w:szCs w:val="24"/>
          <w:lang w:eastAsia="zh-TW"/>
        </w:rPr>
        <w:t>中所述期限内保持有效。投标有效期不足的投标将被视为非实质性响应</w:t>
      </w:r>
      <w:r>
        <w:rPr>
          <w:rFonts w:hint="eastAsia" w:ascii="宋体" w:hAnsi="宋体"/>
          <w:sz w:val="24"/>
          <w:szCs w:val="24"/>
        </w:rPr>
        <w:t>，</w:t>
      </w:r>
      <w:r>
        <w:rPr>
          <w:rFonts w:hint="eastAsia" w:ascii="宋体" w:hAnsi="宋体" w:cs="宋体"/>
          <w:sz w:val="24"/>
          <w:szCs w:val="24"/>
        </w:rPr>
        <w:t>应予否决投标</w:t>
      </w:r>
      <w:r>
        <w:rPr>
          <w:rFonts w:hint="eastAsia" w:ascii="宋体" w:hAnsi="宋体" w:cs="宋体"/>
          <w:sz w:val="24"/>
          <w:szCs w:val="24"/>
          <w:lang w:eastAsia="zh-TW"/>
        </w:rPr>
        <w:t>。</w:t>
      </w:r>
    </w:p>
    <w:p w14:paraId="5281C15C">
      <w:pPr>
        <w:numPr>
          <w:ilvl w:val="1"/>
          <w:numId w:val="47"/>
        </w:numPr>
        <w:snapToGrid w:val="0"/>
        <w:spacing w:line="360" w:lineRule="auto"/>
        <w:jc w:val="both"/>
        <w:textAlignment w:val="baseline"/>
        <w:rPr>
          <w:rFonts w:ascii="宋体" w:hAnsi="宋体"/>
          <w:sz w:val="24"/>
          <w:szCs w:val="24"/>
        </w:rPr>
      </w:pPr>
      <w:r>
        <w:rPr>
          <w:rFonts w:hint="eastAsia" w:ascii="宋体" w:hAnsi="宋体" w:cs="宋体"/>
          <w:sz w:val="24"/>
          <w:szCs w:val="24"/>
          <w:lang w:eastAsia="zh-TW"/>
        </w:rPr>
        <w:t>特殊情况下</w:t>
      </w:r>
      <w:r>
        <w:rPr>
          <w:rFonts w:hint="eastAsia" w:ascii="宋体" w:hAnsi="宋体" w:cs="宋体"/>
          <w:sz w:val="24"/>
          <w:szCs w:val="24"/>
        </w:rPr>
        <w:t>，</w:t>
      </w:r>
      <w:r>
        <w:rPr>
          <w:rFonts w:hint="eastAsia" w:ascii="宋体" w:hAnsi="宋体" w:cs="宋体"/>
          <w:sz w:val="24"/>
          <w:szCs w:val="24"/>
          <w:lang w:eastAsia="zh-TW"/>
        </w:rPr>
        <w:t>在原投标有效期截止之前</w:t>
      </w:r>
      <w:r>
        <w:rPr>
          <w:rFonts w:hint="eastAsia" w:ascii="宋体" w:hAnsi="宋体" w:cs="宋体"/>
          <w:sz w:val="24"/>
          <w:szCs w:val="24"/>
        </w:rPr>
        <w:t>，</w:t>
      </w:r>
      <w:r>
        <w:rPr>
          <w:rFonts w:hint="eastAsia" w:ascii="宋体" w:hAnsi="宋体" w:cs="宋体"/>
          <w:sz w:val="24"/>
          <w:szCs w:val="24"/>
          <w:lang w:eastAsia="zh-TW"/>
        </w:rPr>
        <w:t>招标代理机构可要求投标人延长投标有效期。这种要求与答复均应以书面形式提交。投标人可拒绝招标代理机构的这种要求</w:t>
      </w:r>
      <w:r>
        <w:rPr>
          <w:rFonts w:hint="eastAsia" w:ascii="宋体" w:hAnsi="宋体" w:cs="宋体"/>
          <w:sz w:val="24"/>
          <w:szCs w:val="24"/>
        </w:rPr>
        <w:t>，</w:t>
      </w:r>
      <w:r>
        <w:rPr>
          <w:rFonts w:hint="eastAsia" w:ascii="宋体" w:hAnsi="宋体" w:cs="宋体"/>
          <w:sz w:val="24"/>
          <w:szCs w:val="24"/>
          <w:lang w:eastAsia="zh-TW"/>
        </w:rPr>
        <w:t>其投标保证金将</w:t>
      </w:r>
      <w:r>
        <w:rPr>
          <w:rFonts w:hint="eastAsia" w:ascii="宋体" w:hAnsi="宋体" w:cs="宋体"/>
          <w:sz w:val="24"/>
          <w:szCs w:val="24"/>
        </w:rPr>
        <w:t>予以退还，</w:t>
      </w:r>
      <w:r>
        <w:rPr>
          <w:rFonts w:hint="eastAsia" w:ascii="宋体" w:hAnsi="宋体" w:cs="宋体"/>
          <w:sz w:val="24"/>
          <w:szCs w:val="24"/>
          <w:lang w:eastAsia="zh-TW"/>
        </w:rPr>
        <w:t>但其投标在原投标有效期期满后将不再有效。同意延长投标有效期的投标人将不会被要求和允许修正其投标</w:t>
      </w:r>
      <w:r>
        <w:rPr>
          <w:rFonts w:hint="eastAsia" w:ascii="宋体" w:hAnsi="宋体" w:cs="宋体"/>
          <w:sz w:val="24"/>
          <w:szCs w:val="24"/>
        </w:rPr>
        <w:t>，</w:t>
      </w:r>
      <w:r>
        <w:rPr>
          <w:rFonts w:hint="eastAsia" w:ascii="宋体" w:hAnsi="宋体" w:cs="宋体"/>
          <w:sz w:val="24"/>
          <w:szCs w:val="24"/>
          <w:lang w:eastAsia="zh-TW"/>
        </w:rPr>
        <w:t>而只会被要求相应地延长其投标保证金的有效期。在这种情况下</w:t>
      </w:r>
      <w:r>
        <w:rPr>
          <w:rFonts w:hint="eastAsia" w:ascii="宋体" w:hAnsi="宋体" w:cs="宋体"/>
          <w:sz w:val="24"/>
          <w:szCs w:val="24"/>
        </w:rPr>
        <w:t>，</w:t>
      </w:r>
      <w:r>
        <w:rPr>
          <w:rFonts w:hint="eastAsia" w:ascii="宋体" w:hAnsi="宋体" w:cs="宋体"/>
          <w:sz w:val="24"/>
          <w:szCs w:val="24"/>
          <w:lang w:eastAsia="zh-TW"/>
        </w:rPr>
        <w:t>本须知有关投标保证金的退还和没收的规定将在延长了的有效期内继续有效。</w:t>
      </w:r>
    </w:p>
    <w:p w14:paraId="56E3B8C4">
      <w:pPr>
        <w:numPr>
          <w:ilvl w:val="0"/>
          <w:numId w:val="38"/>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投标文件的式样和签署</w:t>
      </w:r>
    </w:p>
    <w:p w14:paraId="793428F1">
      <w:pPr>
        <w:numPr>
          <w:ilvl w:val="1"/>
          <w:numId w:val="48"/>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投标文件的式样：</w:t>
      </w:r>
    </w:p>
    <w:p w14:paraId="61139B69">
      <w:pPr>
        <w:numPr>
          <w:ilvl w:val="2"/>
          <w:numId w:val="48"/>
        </w:numPr>
        <w:snapToGrid w:val="0"/>
        <w:spacing w:line="360" w:lineRule="auto"/>
        <w:jc w:val="both"/>
        <w:textAlignment w:val="baseline"/>
        <w:rPr>
          <w:rFonts w:ascii="宋体" w:hAnsi="宋体" w:cs="宋体"/>
          <w:sz w:val="24"/>
          <w:szCs w:val="24"/>
          <w:lang w:eastAsia="zh-TW"/>
        </w:rPr>
      </w:pPr>
      <w:r>
        <w:rPr>
          <w:rFonts w:hint="eastAsia" w:ascii="宋体" w:hAnsi="宋体" w:cs="黑体"/>
          <w:bCs/>
          <w:sz w:val="24"/>
        </w:rPr>
        <w:t>请投标人按</w:t>
      </w:r>
      <w:r>
        <w:rPr>
          <w:rFonts w:hint="eastAsia" w:ascii="宋体" w:hAnsi="宋体" w:cs="宋体"/>
          <w:b/>
          <w:sz w:val="24"/>
          <w:lang w:eastAsia="zh-TW"/>
        </w:rPr>
        <w:t>投标须知前附表</w:t>
      </w:r>
      <w:r>
        <w:rPr>
          <w:rFonts w:hint="eastAsia" w:ascii="宋体" w:hAnsi="宋体" w:cs="宋体"/>
          <w:sz w:val="24"/>
        </w:rPr>
        <w:t>中的规定提交单独密封资料。</w:t>
      </w:r>
    </w:p>
    <w:p w14:paraId="483E00B5">
      <w:pPr>
        <w:numPr>
          <w:ilvl w:val="2"/>
          <w:numId w:val="48"/>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应准备一份投标文件正本、电子文件和“投标人须知前附表”中规定数目的副本，投标文件的副本可采用正本复印，与正本具有同等法律效力。每套投标文件须清楚地标明“正本”或“副本”。若副本与正本不符，以正本为准。</w:t>
      </w:r>
    </w:p>
    <w:p w14:paraId="0DADF95F">
      <w:pPr>
        <w:numPr>
          <w:ilvl w:val="2"/>
          <w:numId w:val="48"/>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电子文件：是指将按招标文件要求签署、盖章后的投标文件扫描成PDF格式后拷贝至无病毒无密码的U盘或光盘。若电子文件与正本不符，以正本为准。</w:t>
      </w:r>
    </w:p>
    <w:p w14:paraId="63118E14">
      <w:pPr>
        <w:numPr>
          <w:ilvl w:val="2"/>
          <w:numId w:val="48"/>
        </w:numPr>
        <w:snapToGrid w:val="0"/>
        <w:spacing w:line="360" w:lineRule="auto"/>
        <w:jc w:val="both"/>
        <w:textAlignment w:val="baseline"/>
        <w:rPr>
          <w:rFonts w:ascii="宋体" w:hAnsi="宋体" w:cs="宋体"/>
          <w:sz w:val="24"/>
          <w:szCs w:val="24"/>
          <w:lang w:eastAsia="zh-TW"/>
        </w:rPr>
      </w:pPr>
      <w:r>
        <w:rPr>
          <w:rFonts w:hint="eastAsia" w:ascii="宋体" w:hAnsi="宋体"/>
          <w:b/>
          <w:bCs/>
          <w:color w:val="auto"/>
          <w:kern w:val="0"/>
          <w:sz w:val="24"/>
          <w:szCs w:val="24"/>
          <w:highlight w:val="none"/>
        </w:rPr>
        <w:t>投标人须于投标截止时间前将电子投标文件上传到产权招标交易系统并完成在线投标。</w:t>
      </w:r>
    </w:p>
    <w:p w14:paraId="66446E47">
      <w:pPr>
        <w:numPr>
          <w:ilvl w:val="1"/>
          <w:numId w:val="48"/>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sz w:val="24"/>
          <w:szCs w:val="24"/>
          <w:lang w:eastAsia="zh-TW"/>
        </w:rPr>
        <w:t>投标文</w:t>
      </w:r>
      <w:r>
        <w:rPr>
          <w:rFonts w:hint="eastAsia" w:ascii="宋体" w:hAnsi="宋体" w:cs="宋体"/>
          <w:color w:val="000000"/>
          <w:sz w:val="24"/>
          <w:szCs w:val="24"/>
          <w:lang w:eastAsia="zh-TW"/>
        </w:rPr>
        <w:t>件的签署：</w:t>
      </w:r>
    </w:p>
    <w:p w14:paraId="6A477F8B">
      <w:pPr>
        <w:numPr>
          <w:ilvl w:val="2"/>
          <w:numId w:val="48"/>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sz w:val="24"/>
          <w:lang w:eastAsia="zh-TW"/>
        </w:rPr>
        <w:t>投标文件的正本需打印或用不褪色墨水书写</w:t>
      </w:r>
      <w:r>
        <w:rPr>
          <w:rFonts w:hint="eastAsia" w:ascii="宋体" w:hAnsi="宋体" w:cs="宋体"/>
          <w:sz w:val="24"/>
        </w:rPr>
        <w:t>，且招标文件要求签名的</w:t>
      </w:r>
      <w:r>
        <w:rPr>
          <w:rFonts w:hint="eastAsia" w:ascii="宋体" w:hAnsi="宋体" w:cs="宋体"/>
          <w:sz w:val="24"/>
          <w:lang w:eastAsia="zh-TW"/>
        </w:rPr>
        <w:t>由</w:t>
      </w:r>
      <w:r>
        <w:rPr>
          <w:rFonts w:hint="eastAsia" w:ascii="宋体" w:hAnsi="宋体" w:cs="宋体"/>
          <w:sz w:val="24"/>
        </w:rPr>
        <w:t>法定</w:t>
      </w:r>
      <w:r>
        <w:rPr>
          <w:rFonts w:hint="eastAsia" w:ascii="宋体" w:hAnsi="宋体" w:cs="宋体"/>
          <w:sz w:val="24"/>
          <w:lang w:eastAsia="zh-TW"/>
        </w:rPr>
        <w:t>代表人或经其正式授权的代表签字或盖个人名章，以及招标文件中明示盖公章</w:t>
      </w:r>
      <w:r>
        <w:rPr>
          <w:rFonts w:hint="eastAsia" w:ascii="宋体" w:hAnsi="宋体" w:cs="宋体"/>
          <w:sz w:val="24"/>
        </w:rPr>
        <w:t>处</w:t>
      </w:r>
      <w:r>
        <w:rPr>
          <w:rFonts w:hint="eastAsia" w:ascii="宋体" w:hAnsi="宋体" w:cs="宋体"/>
          <w:sz w:val="24"/>
          <w:lang w:eastAsia="zh-TW"/>
        </w:rPr>
        <w:t>及</w:t>
      </w:r>
      <w:r>
        <w:rPr>
          <w:rFonts w:hint="eastAsia" w:ascii="宋体" w:hAnsi="宋体" w:cs="宋体"/>
          <w:sz w:val="24"/>
        </w:rPr>
        <w:t>要求盖章</w:t>
      </w:r>
      <w:r>
        <w:rPr>
          <w:rFonts w:hint="eastAsia" w:ascii="宋体" w:hAnsi="宋体" w:cs="宋体"/>
          <w:sz w:val="24"/>
          <w:lang w:eastAsia="zh-TW"/>
        </w:rPr>
        <w:t>的证明材料应盖投标人公章</w:t>
      </w:r>
      <w:r>
        <w:rPr>
          <w:rFonts w:hint="eastAsia" w:ascii="宋体" w:hAnsi="宋体" w:cs="宋体"/>
          <w:sz w:val="24"/>
        </w:rPr>
        <w:t>或经公章授权的投标专用章（格式详见“第六章投标文件格式”中《公章对投标专用章授权说明》）</w:t>
      </w:r>
      <w:r>
        <w:rPr>
          <w:rFonts w:hint="eastAsia" w:ascii="宋体" w:hAnsi="宋体" w:cs="宋体"/>
          <w:sz w:val="24"/>
          <w:lang w:eastAsia="zh-TW"/>
        </w:rPr>
        <w:t>，</w:t>
      </w:r>
      <w:r>
        <w:rPr>
          <w:rFonts w:hint="eastAsia" w:ascii="宋体" w:hAnsi="宋体" w:cs="宋体"/>
          <w:sz w:val="24"/>
        </w:rPr>
        <w:t>不得加盖合同专用章、未经公章授权的投标专用章等各种形式的专用章。副本可以</w:t>
      </w:r>
      <w:r>
        <w:rPr>
          <w:rFonts w:hint="eastAsia" w:ascii="宋体" w:hAnsi="宋体" w:cs="Courier New"/>
          <w:sz w:val="24"/>
        </w:rPr>
        <w:t>用正本</w:t>
      </w:r>
      <w:r>
        <w:rPr>
          <w:rFonts w:hint="eastAsia" w:ascii="宋体" w:hAnsi="宋体" w:cs="宋体"/>
          <w:sz w:val="24"/>
        </w:rPr>
        <w:t>复印，与正本具有同等法律效力</w:t>
      </w:r>
      <w:r>
        <w:rPr>
          <w:rFonts w:hint="eastAsia" w:ascii="宋体" w:hAnsi="宋体" w:cs="宋体"/>
          <w:sz w:val="24"/>
          <w:lang w:eastAsia="zh-TW"/>
        </w:rPr>
        <w:t>。授权代表须将以书面形式出具的《法定代表人授权</w:t>
      </w:r>
      <w:r>
        <w:rPr>
          <w:rFonts w:hint="eastAsia" w:ascii="宋体" w:hAnsi="宋体" w:cs="宋体"/>
          <w:sz w:val="24"/>
        </w:rPr>
        <w:t>委托</w:t>
      </w:r>
      <w:r>
        <w:rPr>
          <w:rFonts w:hint="eastAsia" w:ascii="宋体" w:hAnsi="宋体" w:cs="宋体"/>
          <w:sz w:val="24"/>
          <w:lang w:eastAsia="zh-TW"/>
        </w:rPr>
        <w:t>书》附在</w:t>
      </w:r>
      <w:r>
        <w:rPr>
          <w:rFonts w:hint="eastAsia" w:ascii="宋体" w:hAnsi="宋体" w:cs="宋体"/>
          <w:sz w:val="24"/>
        </w:rPr>
        <w:t>投</w:t>
      </w:r>
      <w:r>
        <w:rPr>
          <w:rFonts w:hint="eastAsia" w:ascii="宋体" w:hAnsi="宋体" w:cs="宋体"/>
          <w:sz w:val="24"/>
          <w:lang w:eastAsia="zh-TW"/>
        </w:rPr>
        <w:t>标文件中。</w:t>
      </w:r>
    </w:p>
    <w:p w14:paraId="53F4EAF6">
      <w:pPr>
        <w:numPr>
          <w:ilvl w:val="2"/>
          <w:numId w:val="48"/>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投标文件中的任何重要的插字、涂改和增删，必须由法定代表人或经其正式授权的代表在旁边签章或签字</w:t>
      </w:r>
      <w:r>
        <w:rPr>
          <w:rFonts w:hint="eastAsia" w:ascii="宋体" w:hAnsi="宋体"/>
          <w:color w:val="000000"/>
          <w:sz w:val="24"/>
          <w:szCs w:val="24"/>
        </w:rPr>
        <w:t>或盖投标人公章</w:t>
      </w:r>
      <w:r>
        <w:rPr>
          <w:rFonts w:hint="eastAsia" w:ascii="宋体" w:hAnsi="宋体"/>
          <w:sz w:val="24"/>
        </w:rPr>
        <w:t>或经公章授权的投标专用章</w:t>
      </w:r>
      <w:r>
        <w:rPr>
          <w:rFonts w:hint="eastAsia" w:ascii="宋体" w:hAnsi="宋体" w:cs="宋体"/>
          <w:color w:val="000000"/>
          <w:sz w:val="24"/>
          <w:szCs w:val="24"/>
          <w:lang w:eastAsia="zh-TW"/>
        </w:rPr>
        <w:t>才有效。</w:t>
      </w:r>
    </w:p>
    <w:p w14:paraId="45DEE897">
      <w:pPr>
        <w:numPr>
          <w:ilvl w:val="2"/>
          <w:numId w:val="48"/>
        </w:numPr>
        <w:snapToGrid w:val="0"/>
        <w:spacing w:line="360" w:lineRule="auto"/>
        <w:jc w:val="both"/>
        <w:textAlignment w:val="baseline"/>
        <w:rPr>
          <w:rFonts w:hint="eastAsia" w:ascii="宋体" w:hAnsi="宋体" w:cs="宋体"/>
          <w:color w:val="000000"/>
          <w:sz w:val="24"/>
          <w:szCs w:val="24"/>
          <w:lang w:eastAsia="zh-TW"/>
        </w:rPr>
      </w:pPr>
      <w:r>
        <w:rPr>
          <w:rFonts w:hint="eastAsia" w:ascii="宋体" w:hAnsi="宋体"/>
          <w:sz w:val="24"/>
        </w:rPr>
        <w:t>如以联合体形式投标的，“联合投标协议书”需由联合体各方按要求共同签字并加盖公章。除招标文件另有规定外，投标文件的其他部分可由联合体牵头单位按照招标文件要求统一签署、盖章。</w:t>
      </w:r>
    </w:p>
    <w:p w14:paraId="28C78D24">
      <w:pPr>
        <w:snapToGrid w:val="0"/>
        <w:spacing w:line="360" w:lineRule="auto"/>
        <w:ind w:left="-200" w:leftChars="-100"/>
        <w:jc w:val="both"/>
        <w:rPr>
          <w:rFonts w:ascii="宋体" w:hAnsi="宋体"/>
          <w:sz w:val="24"/>
          <w:szCs w:val="24"/>
        </w:rPr>
      </w:pPr>
    </w:p>
    <w:p w14:paraId="3755A7B4">
      <w:pPr>
        <w:snapToGrid w:val="0"/>
        <w:spacing w:line="360" w:lineRule="auto"/>
        <w:ind w:left="-200" w:leftChars="-100"/>
        <w:jc w:val="center"/>
        <w:outlineLvl w:val="2"/>
        <w:rPr>
          <w:rFonts w:ascii="宋体" w:hAnsi="宋体"/>
          <w:b/>
          <w:sz w:val="24"/>
          <w:szCs w:val="24"/>
          <w:lang w:eastAsia="zh-TW"/>
        </w:rPr>
      </w:pPr>
      <w:bookmarkStart w:id="52" w:name="_Toc20155"/>
      <w:bookmarkStart w:id="53" w:name="_Toc30367"/>
      <w:bookmarkStart w:id="54" w:name="_Toc28390"/>
      <w:bookmarkStart w:id="55" w:name="_Toc8098"/>
      <w:r>
        <w:rPr>
          <w:rFonts w:hint="eastAsia" w:ascii="宋体" w:hAnsi="宋体"/>
          <w:b/>
          <w:sz w:val="24"/>
          <w:szCs w:val="24"/>
        </w:rPr>
        <w:t>四</w:t>
      </w:r>
      <w:r>
        <w:rPr>
          <w:rFonts w:hint="eastAsia" w:ascii="宋体" w:hAnsi="宋体"/>
          <w:b/>
          <w:sz w:val="24"/>
          <w:szCs w:val="24"/>
          <w:lang w:eastAsia="zh-TW"/>
        </w:rPr>
        <w:t>、投标文件的递交</w:t>
      </w:r>
      <w:bookmarkEnd w:id="52"/>
      <w:bookmarkEnd w:id="53"/>
      <w:bookmarkEnd w:id="54"/>
      <w:bookmarkEnd w:id="55"/>
    </w:p>
    <w:p w14:paraId="6C0F67F9">
      <w:pPr>
        <w:numPr>
          <w:ilvl w:val="0"/>
          <w:numId w:val="49"/>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sz w:val="24"/>
          <w:szCs w:val="24"/>
        </w:rPr>
        <w:t>投标文件的</w:t>
      </w:r>
      <w:r>
        <w:rPr>
          <w:rFonts w:hint="eastAsia" w:ascii="宋体" w:hAnsi="宋体"/>
          <w:b/>
          <w:bCs/>
          <w:color w:val="000000"/>
          <w:sz w:val="24"/>
          <w:szCs w:val="24"/>
        </w:rPr>
        <w:t>密封和标识</w:t>
      </w:r>
    </w:p>
    <w:p w14:paraId="2614B584">
      <w:pPr>
        <w:numPr>
          <w:ilvl w:val="1"/>
          <w:numId w:val="50"/>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投标文件的密封</w:t>
      </w:r>
    </w:p>
    <w:p w14:paraId="03845EC0">
      <w:pPr>
        <w:numPr>
          <w:ilvl w:val="2"/>
          <w:numId w:val="50"/>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投标文件正本与副本可以单独密封包装，也可以所有投标文件密封包装在一个密封袋内。</w:t>
      </w:r>
    </w:p>
    <w:p w14:paraId="08339E68">
      <w:pPr>
        <w:numPr>
          <w:ilvl w:val="2"/>
          <w:numId w:val="50"/>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rPr>
        <w:t>如投标文件的外包装不严实或有细微瑕疵，但不足以造成投标文件可从外包装内散出而导致投标文件泄密情形的，不认定为投标文件未密封。</w:t>
      </w:r>
    </w:p>
    <w:p w14:paraId="3F50A72A">
      <w:pPr>
        <w:numPr>
          <w:ilvl w:val="1"/>
          <w:numId w:val="50"/>
        </w:numPr>
        <w:snapToGrid w:val="0"/>
        <w:spacing w:line="360" w:lineRule="auto"/>
        <w:jc w:val="both"/>
        <w:textAlignment w:val="baseline"/>
        <w:rPr>
          <w:rFonts w:ascii="宋体" w:hAnsi="宋体" w:cs="宋体"/>
          <w:color w:val="000000"/>
          <w:sz w:val="24"/>
          <w:szCs w:val="24"/>
        </w:rPr>
      </w:pPr>
      <w:r>
        <w:rPr>
          <w:rFonts w:hint="eastAsia" w:ascii="宋体" w:hAnsi="宋体"/>
          <w:color w:val="000000"/>
          <w:sz w:val="24"/>
          <w:szCs w:val="24"/>
        </w:rPr>
        <w:t>投标文件的标识</w:t>
      </w:r>
    </w:p>
    <w:p w14:paraId="1429D69E">
      <w:pPr>
        <w:numPr>
          <w:ilvl w:val="2"/>
          <w:numId w:val="50"/>
        </w:numPr>
        <w:snapToGrid w:val="0"/>
        <w:spacing w:line="360" w:lineRule="auto"/>
        <w:jc w:val="both"/>
        <w:textAlignment w:val="baseline"/>
        <w:rPr>
          <w:rFonts w:ascii="宋体" w:hAnsi="宋体" w:cs="宋体"/>
          <w:color w:val="000000"/>
          <w:sz w:val="24"/>
          <w:szCs w:val="24"/>
        </w:rPr>
      </w:pPr>
      <w:r>
        <w:rPr>
          <w:rFonts w:hint="eastAsia" w:ascii="宋体" w:hAnsi="宋体"/>
          <w:color w:val="000000"/>
          <w:sz w:val="24"/>
          <w:szCs w:val="24"/>
        </w:rPr>
        <w:t>外包装上</w:t>
      </w:r>
      <w:r>
        <w:rPr>
          <w:rFonts w:hint="eastAsia" w:ascii="宋体" w:hAnsi="宋体" w:cs="宋体"/>
          <w:color w:val="000000"/>
          <w:sz w:val="24"/>
          <w:szCs w:val="24"/>
        </w:rPr>
        <w:t>清楚写明</w:t>
      </w:r>
      <w:r>
        <w:rPr>
          <w:rFonts w:hint="eastAsia" w:ascii="宋体" w:hAnsi="宋体"/>
          <w:color w:val="000000"/>
          <w:sz w:val="24"/>
          <w:szCs w:val="24"/>
        </w:rPr>
        <w:t>投标人名称、项目名称、项目编号、</w:t>
      </w:r>
      <w:r>
        <w:rPr>
          <w:rFonts w:hint="eastAsia" w:ascii="宋体" w:hAnsi="宋体" w:cs="宋体"/>
          <w:color w:val="000000"/>
          <w:sz w:val="24"/>
          <w:szCs w:val="24"/>
        </w:rPr>
        <w:t>标段号（如有）的</w:t>
      </w:r>
      <w:r>
        <w:rPr>
          <w:rFonts w:hint="eastAsia" w:ascii="宋体" w:hAnsi="宋体" w:cs="宋体"/>
          <w:color w:val="000000"/>
          <w:sz w:val="24"/>
          <w:szCs w:val="24"/>
          <w:lang w:eastAsia="zh-TW"/>
        </w:rPr>
        <w:t>字样</w:t>
      </w:r>
      <w:r>
        <w:rPr>
          <w:rFonts w:hint="eastAsia" w:ascii="宋体" w:hAnsi="宋体" w:cs="宋体"/>
          <w:color w:val="000000"/>
          <w:sz w:val="24"/>
          <w:szCs w:val="24"/>
        </w:rPr>
        <w:t>。</w:t>
      </w:r>
    </w:p>
    <w:p w14:paraId="241B3581">
      <w:pPr>
        <w:numPr>
          <w:ilvl w:val="2"/>
          <w:numId w:val="50"/>
        </w:numPr>
        <w:snapToGrid w:val="0"/>
        <w:spacing w:line="360" w:lineRule="auto"/>
        <w:jc w:val="both"/>
        <w:textAlignment w:val="baseline"/>
        <w:rPr>
          <w:rFonts w:ascii="宋体" w:hAnsi="宋体" w:cs="宋体"/>
          <w:color w:val="000000"/>
          <w:sz w:val="24"/>
          <w:szCs w:val="24"/>
        </w:rPr>
      </w:pPr>
      <w:r>
        <w:rPr>
          <w:rFonts w:hint="eastAsia" w:ascii="宋体" w:hAnsi="宋体" w:cs="宋体"/>
          <w:color w:val="000000"/>
          <w:sz w:val="24"/>
          <w:szCs w:val="24"/>
          <w:lang w:eastAsia="zh-TW"/>
        </w:rPr>
        <w:t>如果未按本须知</w:t>
      </w:r>
      <w:r>
        <w:rPr>
          <w:rFonts w:hint="eastAsia" w:ascii="宋体" w:hAnsi="宋体" w:cs="宋体"/>
          <w:color w:val="000000"/>
          <w:sz w:val="24"/>
          <w:szCs w:val="24"/>
        </w:rPr>
        <w:t>上款</w:t>
      </w:r>
      <w:r>
        <w:rPr>
          <w:rFonts w:hint="eastAsia" w:ascii="宋体" w:hAnsi="宋体" w:cs="宋体"/>
          <w:color w:val="000000"/>
          <w:sz w:val="24"/>
          <w:szCs w:val="24"/>
          <w:lang w:eastAsia="zh-TW"/>
        </w:rPr>
        <w:t>要求加写</w:t>
      </w:r>
      <w:r>
        <w:rPr>
          <w:rFonts w:hint="eastAsia" w:ascii="宋体" w:hAnsi="宋体" w:cs="宋体"/>
          <w:color w:val="000000"/>
          <w:sz w:val="24"/>
          <w:szCs w:val="24"/>
        </w:rPr>
        <w:t>标识，</w:t>
      </w:r>
      <w:r>
        <w:rPr>
          <w:rFonts w:hint="eastAsia" w:ascii="宋体" w:hAnsi="宋体" w:cs="宋体"/>
          <w:color w:val="000000"/>
          <w:sz w:val="24"/>
          <w:szCs w:val="24"/>
          <w:lang w:eastAsia="zh-TW"/>
        </w:rPr>
        <w:t>招标代理机构对误投或提前启封概不负责</w:t>
      </w:r>
      <w:r>
        <w:rPr>
          <w:rFonts w:hint="eastAsia" w:ascii="宋体" w:hAnsi="宋体" w:cs="宋体"/>
          <w:color w:val="000000"/>
          <w:sz w:val="24"/>
          <w:szCs w:val="24"/>
        </w:rPr>
        <w:t>。</w:t>
      </w:r>
    </w:p>
    <w:p w14:paraId="42E061FE">
      <w:pPr>
        <w:numPr>
          <w:ilvl w:val="0"/>
          <w:numId w:val="49"/>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投标文件的递交</w:t>
      </w:r>
    </w:p>
    <w:p w14:paraId="351C15BB">
      <w:pPr>
        <w:numPr>
          <w:ilvl w:val="1"/>
          <w:numId w:val="51"/>
        </w:numPr>
        <w:snapToGrid w:val="0"/>
        <w:spacing w:line="360" w:lineRule="auto"/>
        <w:jc w:val="both"/>
        <w:textAlignment w:val="baseline"/>
        <w:rPr>
          <w:rFonts w:ascii="宋体" w:hAnsi="宋体"/>
          <w:color w:val="000000"/>
          <w:sz w:val="24"/>
          <w:szCs w:val="24"/>
        </w:rPr>
      </w:pPr>
      <w:r>
        <w:rPr>
          <w:rFonts w:hint="eastAsia" w:ascii="宋体" w:hAnsi="宋体"/>
          <w:color w:val="000000"/>
          <w:sz w:val="24"/>
          <w:szCs w:val="24"/>
          <w:lang w:eastAsia="zh-TW"/>
        </w:rPr>
        <w:t>投标人</w:t>
      </w:r>
      <w:r>
        <w:rPr>
          <w:rFonts w:hint="eastAsia" w:ascii="宋体" w:hAnsi="宋体"/>
          <w:color w:val="000000"/>
          <w:sz w:val="24"/>
          <w:szCs w:val="24"/>
        </w:rPr>
        <w:t>的投标文件</w:t>
      </w:r>
      <w:r>
        <w:rPr>
          <w:rFonts w:hint="eastAsia" w:ascii="宋体" w:hAnsi="宋体"/>
          <w:color w:val="000000"/>
          <w:sz w:val="24"/>
          <w:szCs w:val="24"/>
          <w:lang w:eastAsia="zh-TW"/>
        </w:rPr>
        <w:t>应</w:t>
      </w:r>
      <w:r>
        <w:rPr>
          <w:rFonts w:hint="eastAsia" w:ascii="宋体" w:hAnsi="宋体"/>
          <w:color w:val="000000"/>
          <w:sz w:val="24"/>
          <w:szCs w:val="24"/>
        </w:rPr>
        <w:t>在本项目投标截止时间前送达开标地点。</w:t>
      </w:r>
    </w:p>
    <w:p w14:paraId="117A7337">
      <w:pPr>
        <w:numPr>
          <w:ilvl w:val="1"/>
          <w:numId w:val="51"/>
        </w:numPr>
        <w:snapToGrid w:val="0"/>
        <w:spacing w:line="360" w:lineRule="auto"/>
        <w:jc w:val="both"/>
        <w:textAlignment w:val="baseline"/>
        <w:rPr>
          <w:rFonts w:ascii="宋体" w:hAnsi="宋体"/>
          <w:color w:val="000000"/>
          <w:sz w:val="24"/>
          <w:szCs w:val="24"/>
        </w:rPr>
      </w:pPr>
      <w:r>
        <w:rPr>
          <w:rFonts w:ascii="宋体" w:hAnsi="宋体" w:cs="宋体"/>
          <w:sz w:val="24"/>
          <w:szCs w:val="24"/>
        </w:rPr>
        <w:t>“</w:t>
      </w:r>
      <w:r>
        <w:rPr>
          <w:rFonts w:hint="eastAsia" w:ascii="宋体" w:hAnsi="宋体" w:cs="宋体"/>
          <w:sz w:val="24"/>
          <w:szCs w:val="24"/>
        </w:rPr>
        <w:t>投标文件递</w:t>
      </w:r>
      <w:r>
        <w:rPr>
          <w:rFonts w:ascii="宋体" w:hAnsi="宋体" w:cs="宋体"/>
          <w:sz w:val="24"/>
          <w:szCs w:val="24"/>
        </w:rPr>
        <w:t>交截止时间”和“开标时间”包含最后一分钟。例如，</w:t>
      </w:r>
      <w:r>
        <w:rPr>
          <w:rFonts w:hint="eastAsia" w:ascii="宋体" w:hAnsi="宋体" w:cs="宋体"/>
          <w:sz w:val="24"/>
          <w:szCs w:val="24"/>
        </w:rPr>
        <w:t>递</w:t>
      </w:r>
      <w:r>
        <w:rPr>
          <w:rFonts w:ascii="宋体" w:hAnsi="宋体" w:cs="宋体"/>
          <w:sz w:val="24"/>
          <w:szCs w:val="24"/>
        </w:rPr>
        <w:t>交投标文件截止时间为9:30表示截止时间为9点30分59秒。</w:t>
      </w:r>
    </w:p>
    <w:p w14:paraId="21A2B503">
      <w:pPr>
        <w:numPr>
          <w:ilvl w:val="1"/>
          <w:numId w:val="51"/>
        </w:numPr>
        <w:snapToGrid w:val="0"/>
        <w:spacing w:line="360" w:lineRule="auto"/>
        <w:jc w:val="both"/>
        <w:textAlignment w:val="baseline"/>
        <w:rPr>
          <w:rFonts w:ascii="宋体" w:hAnsi="宋体" w:cs="黑体"/>
          <w:b/>
          <w:bCs/>
          <w:color w:val="000000"/>
          <w:sz w:val="24"/>
          <w:szCs w:val="24"/>
        </w:rPr>
      </w:pPr>
      <w:r>
        <w:rPr>
          <w:rFonts w:hint="eastAsia" w:ascii="宋体" w:hAnsi="宋体"/>
          <w:color w:val="auto"/>
          <w:kern w:val="0"/>
          <w:sz w:val="24"/>
          <w:szCs w:val="24"/>
          <w:highlight w:val="none"/>
        </w:rPr>
        <w:t>在投标文件提交截止时间前，</w:t>
      </w:r>
      <w:r>
        <w:rPr>
          <w:rFonts w:hint="eastAsia" w:hAnsi="宋体" w:cs="宋体"/>
          <w:color w:val="auto"/>
          <w:sz w:val="24"/>
          <w:szCs w:val="24"/>
          <w:highlight w:val="none"/>
        </w:rPr>
        <w:t>投标人应通过</w:t>
      </w:r>
      <w:r>
        <w:rPr>
          <w:rFonts w:hint="eastAsia" w:ascii="宋体" w:hAnsi="宋体" w:eastAsia="宋体"/>
          <w:color w:val="auto"/>
          <w:sz w:val="24"/>
          <w:u w:val="none"/>
        </w:rPr>
        <w:t>全国公共资源交易平台（广东省·韶关市）（网址：https://ygp.gdzwfw.gov.cn/#/440200/index）</w:t>
      </w:r>
      <w:r>
        <w:rPr>
          <w:rFonts w:hint="eastAsia" w:hAnsi="宋体" w:cs="宋体"/>
          <w:color w:val="auto"/>
          <w:sz w:val="24"/>
          <w:szCs w:val="24"/>
          <w:highlight w:val="none"/>
        </w:rPr>
        <w:t>“产权招标交易系统”上传电子投标文件。逾期提交的电子投标文件，</w:t>
      </w:r>
      <w:r>
        <w:rPr>
          <w:rFonts w:hint="eastAsia" w:ascii="宋体" w:hAnsi="宋体" w:eastAsia="宋体"/>
          <w:color w:val="auto"/>
          <w:sz w:val="24"/>
          <w:u w:val="none"/>
        </w:rPr>
        <w:t>全国公共资源交易平台（广东省·韶关市）（网址：https://ygp.gdzwfw.gov.cn/#/440200/index）</w:t>
      </w:r>
      <w:r>
        <w:rPr>
          <w:rFonts w:hint="eastAsia" w:hAnsi="宋体" w:cs="宋体"/>
          <w:color w:val="auto"/>
          <w:sz w:val="24"/>
          <w:szCs w:val="24"/>
          <w:highlight w:val="none"/>
        </w:rPr>
        <w:t>将予以拒收</w:t>
      </w:r>
      <w:r>
        <w:rPr>
          <w:rFonts w:hint="eastAsia" w:ascii="宋体" w:hAnsi="宋体"/>
          <w:color w:val="000000"/>
          <w:sz w:val="24"/>
          <w:szCs w:val="24"/>
        </w:rPr>
        <w:t>。</w:t>
      </w:r>
    </w:p>
    <w:p w14:paraId="485B760B">
      <w:pPr>
        <w:numPr>
          <w:ilvl w:val="1"/>
          <w:numId w:val="51"/>
        </w:numPr>
        <w:snapToGrid w:val="0"/>
        <w:spacing w:line="360" w:lineRule="auto"/>
        <w:jc w:val="both"/>
        <w:textAlignment w:val="baseline"/>
        <w:rPr>
          <w:rFonts w:ascii="宋体" w:hAnsi="宋体" w:cs="黑体"/>
          <w:b/>
          <w:bCs/>
          <w:color w:val="000000"/>
          <w:sz w:val="24"/>
          <w:szCs w:val="24"/>
        </w:rPr>
      </w:pPr>
      <w:r>
        <w:rPr>
          <w:rFonts w:hint="eastAsia" w:ascii="宋体" w:hAnsi="宋体"/>
          <w:color w:val="000000"/>
          <w:sz w:val="24"/>
          <w:szCs w:val="24"/>
          <w:lang w:eastAsia="zh-TW"/>
        </w:rPr>
        <w:t>逾期送达或者</w:t>
      </w:r>
      <w:r>
        <w:rPr>
          <w:rFonts w:hint="eastAsia" w:ascii="宋体" w:hAnsi="宋体"/>
          <w:color w:val="000000"/>
          <w:sz w:val="24"/>
          <w:szCs w:val="24"/>
        </w:rPr>
        <w:t>发现</w:t>
      </w:r>
      <w:r>
        <w:rPr>
          <w:rFonts w:hint="eastAsia" w:ascii="宋体" w:hAnsi="宋体"/>
          <w:color w:val="000000"/>
          <w:sz w:val="24"/>
          <w:szCs w:val="24"/>
          <w:lang w:eastAsia="zh-TW"/>
        </w:rPr>
        <w:t>未按照招标文件要求密封的</w:t>
      </w:r>
      <w:r>
        <w:rPr>
          <w:rFonts w:hint="eastAsia" w:ascii="宋体" w:hAnsi="宋体"/>
          <w:color w:val="000000"/>
          <w:sz w:val="24"/>
          <w:szCs w:val="24"/>
          <w:lang w:val="en-US" w:eastAsia="zh-CN"/>
        </w:rPr>
        <w:t>纸质</w:t>
      </w:r>
      <w:r>
        <w:rPr>
          <w:rFonts w:hint="eastAsia" w:ascii="宋体" w:hAnsi="宋体"/>
          <w:color w:val="000000"/>
          <w:sz w:val="24"/>
          <w:szCs w:val="24"/>
          <w:lang w:eastAsia="zh-TW"/>
        </w:rPr>
        <w:t>投标文件，招标人、招标代理机构应当拒收</w:t>
      </w:r>
      <w:r>
        <w:rPr>
          <w:rFonts w:hint="eastAsia" w:ascii="宋体" w:hAnsi="宋体"/>
          <w:color w:val="000000"/>
          <w:sz w:val="24"/>
          <w:szCs w:val="24"/>
          <w:lang w:eastAsia="zh-CN"/>
        </w:rPr>
        <w:t>。</w:t>
      </w:r>
    </w:p>
    <w:p w14:paraId="7A06F81F">
      <w:pPr>
        <w:numPr>
          <w:ilvl w:val="0"/>
          <w:numId w:val="49"/>
        </w:numPr>
        <w:snapToGrid w:val="0"/>
        <w:spacing w:line="360" w:lineRule="auto"/>
        <w:ind w:left="241" w:hanging="241" w:hangingChars="100"/>
        <w:jc w:val="both"/>
        <w:outlineLvl w:val="3"/>
        <w:rPr>
          <w:rFonts w:ascii="宋体" w:hAnsi="宋体" w:cs="宋体"/>
          <w:b/>
          <w:bCs/>
          <w:sz w:val="24"/>
          <w:szCs w:val="24"/>
          <w:lang w:eastAsia="zh-TW"/>
        </w:rPr>
      </w:pPr>
      <w:r>
        <w:rPr>
          <w:rFonts w:hint="eastAsia" w:ascii="宋体" w:hAnsi="宋体"/>
          <w:b/>
          <w:bCs/>
          <w:color w:val="000000"/>
          <w:sz w:val="24"/>
          <w:szCs w:val="24"/>
        </w:rPr>
        <w:t>投标文件的修改与撤</w:t>
      </w:r>
      <w:r>
        <w:rPr>
          <w:rFonts w:hint="eastAsia" w:ascii="宋体" w:hAnsi="宋体"/>
          <w:b/>
          <w:bCs/>
          <w:sz w:val="24"/>
          <w:szCs w:val="24"/>
        </w:rPr>
        <w:t>回、撤销</w:t>
      </w:r>
    </w:p>
    <w:p w14:paraId="7869BAC3">
      <w:pPr>
        <w:numPr>
          <w:ilvl w:val="1"/>
          <w:numId w:val="52"/>
        </w:numPr>
        <w:snapToGrid w:val="0"/>
        <w:spacing w:line="360" w:lineRule="auto"/>
        <w:jc w:val="both"/>
        <w:textAlignment w:val="baseline"/>
        <w:rPr>
          <w:rFonts w:ascii="宋体" w:hAnsi="宋体"/>
          <w:color w:val="000000"/>
          <w:sz w:val="24"/>
          <w:szCs w:val="24"/>
          <w:lang w:eastAsia="zh-TW"/>
        </w:rPr>
      </w:pPr>
      <w:r>
        <w:rPr>
          <w:rFonts w:hint="eastAsia" w:ascii="宋体" w:hAnsi="宋体"/>
          <w:color w:val="000000"/>
          <w:sz w:val="24"/>
          <w:szCs w:val="24"/>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p>
    <w:p w14:paraId="4DF8B073">
      <w:pPr>
        <w:numPr>
          <w:ilvl w:val="1"/>
          <w:numId w:val="52"/>
        </w:numPr>
        <w:snapToGrid w:val="0"/>
        <w:spacing w:line="360" w:lineRule="auto"/>
        <w:jc w:val="both"/>
        <w:textAlignment w:val="baseline"/>
        <w:rPr>
          <w:rFonts w:ascii="宋体" w:hAnsi="宋体" w:cs="楷体_GB2312"/>
          <w:color w:val="000000"/>
          <w:sz w:val="24"/>
          <w:szCs w:val="24"/>
        </w:rPr>
      </w:pPr>
      <w:r>
        <w:rPr>
          <w:rFonts w:hint="eastAsia" w:ascii="宋体" w:hAnsi="宋体"/>
          <w:color w:val="auto"/>
          <w:kern w:val="0"/>
          <w:sz w:val="24"/>
          <w:szCs w:val="24"/>
          <w:highlight w:val="none"/>
        </w:rPr>
        <w:t>投标人在</w:t>
      </w:r>
      <w:r>
        <w:rPr>
          <w:rFonts w:hint="eastAsia" w:ascii="宋体" w:hAnsi="宋体" w:eastAsia="宋体"/>
          <w:color w:val="auto"/>
          <w:sz w:val="24"/>
          <w:u w:val="none"/>
        </w:rPr>
        <w:t>全国公共资源交易平台（广东省·韶关市）（网址：https://ygp.gdzwfw.gov.cn/#/440200/index）</w:t>
      </w:r>
      <w:r>
        <w:rPr>
          <w:rFonts w:hint="eastAsia" w:ascii="宋体" w:hAnsi="宋体"/>
          <w:color w:val="auto"/>
          <w:kern w:val="0"/>
          <w:sz w:val="24"/>
          <w:szCs w:val="24"/>
          <w:highlight w:val="none"/>
        </w:rPr>
        <w:t>“产权招标交易系统”成功上传</w:t>
      </w:r>
      <w:r>
        <w:rPr>
          <w:rFonts w:hint="eastAsia" w:ascii="宋体" w:hAnsi="宋体"/>
          <w:color w:val="auto"/>
          <w:kern w:val="0"/>
          <w:sz w:val="24"/>
          <w:szCs w:val="24"/>
          <w:highlight w:val="none"/>
          <w:lang w:val="en-US" w:eastAsia="zh-CN"/>
        </w:rPr>
        <w:t>电子</w:t>
      </w:r>
      <w:r>
        <w:rPr>
          <w:rFonts w:hint="eastAsia" w:ascii="宋体" w:hAnsi="宋体"/>
          <w:color w:val="auto"/>
          <w:kern w:val="0"/>
          <w:sz w:val="24"/>
          <w:szCs w:val="24"/>
          <w:highlight w:val="none"/>
        </w:rPr>
        <w:t>投标文件后，在电子投标截止时间前可以撤回其投标</w:t>
      </w:r>
      <w:r>
        <w:rPr>
          <w:rFonts w:hint="eastAsia" w:ascii="宋体" w:hAnsi="宋体"/>
          <w:color w:val="auto"/>
          <w:kern w:val="0"/>
          <w:sz w:val="24"/>
          <w:szCs w:val="24"/>
          <w:highlight w:val="none"/>
          <w:lang w:eastAsia="zh-CN"/>
        </w:rPr>
        <w:t>。</w:t>
      </w:r>
    </w:p>
    <w:p w14:paraId="0B2ED4A3">
      <w:pPr>
        <w:numPr>
          <w:ilvl w:val="1"/>
          <w:numId w:val="52"/>
        </w:numPr>
        <w:snapToGrid w:val="0"/>
        <w:spacing w:line="360" w:lineRule="auto"/>
        <w:jc w:val="both"/>
        <w:textAlignment w:val="baseline"/>
        <w:rPr>
          <w:rFonts w:ascii="宋体" w:hAnsi="宋体" w:cs="楷体_GB2312"/>
          <w:color w:val="000000"/>
          <w:sz w:val="24"/>
          <w:szCs w:val="24"/>
        </w:rPr>
      </w:pPr>
      <w:r>
        <w:rPr>
          <w:rFonts w:hint="eastAsia" w:ascii="宋体" w:hAnsi="宋体"/>
          <w:color w:val="000000"/>
          <w:sz w:val="24"/>
          <w:szCs w:val="24"/>
          <w:lang w:eastAsia="zh-TW"/>
        </w:rPr>
        <w:t>投标人在投</w:t>
      </w:r>
      <w:r>
        <w:rPr>
          <w:rFonts w:hint="eastAsia" w:ascii="宋体" w:hAnsi="宋体" w:cs="宋体"/>
          <w:color w:val="000000"/>
          <w:sz w:val="24"/>
          <w:szCs w:val="24"/>
        </w:rPr>
        <w:t>标</w:t>
      </w:r>
      <w:r>
        <w:rPr>
          <w:rFonts w:hint="eastAsia" w:ascii="宋体" w:hAnsi="宋体" w:cs="宋体"/>
          <w:color w:val="000000"/>
          <w:sz w:val="24"/>
          <w:szCs w:val="24"/>
          <w:lang w:eastAsia="zh-TW"/>
        </w:rPr>
        <w:t>截止</w:t>
      </w:r>
      <w:r>
        <w:rPr>
          <w:rFonts w:hint="eastAsia" w:ascii="宋体" w:hAnsi="宋体" w:cs="宋体"/>
          <w:color w:val="000000"/>
          <w:sz w:val="24"/>
          <w:szCs w:val="24"/>
        </w:rPr>
        <w:t>时间</w:t>
      </w:r>
      <w:r>
        <w:rPr>
          <w:rFonts w:hint="eastAsia" w:ascii="宋体" w:hAnsi="宋体" w:cs="宋体"/>
          <w:color w:val="000000"/>
          <w:sz w:val="24"/>
          <w:szCs w:val="24"/>
          <w:lang w:eastAsia="zh-TW"/>
        </w:rPr>
        <w:t>后不可撤销其</w:t>
      </w:r>
      <w:r>
        <w:rPr>
          <w:rFonts w:hint="eastAsia" w:ascii="宋体" w:hAnsi="宋体" w:cs="宋体"/>
          <w:color w:val="000000"/>
          <w:sz w:val="24"/>
          <w:szCs w:val="24"/>
        </w:rPr>
        <w:t>投标及其投标文件。</w:t>
      </w:r>
    </w:p>
    <w:p w14:paraId="1EA02631">
      <w:pPr>
        <w:snapToGrid w:val="0"/>
        <w:spacing w:line="360" w:lineRule="auto"/>
        <w:ind w:left="-200" w:leftChars="-100"/>
        <w:jc w:val="center"/>
        <w:outlineLvl w:val="2"/>
        <w:rPr>
          <w:rFonts w:ascii="宋体" w:hAnsi="宋体"/>
          <w:b/>
          <w:sz w:val="24"/>
          <w:szCs w:val="24"/>
          <w:lang w:eastAsia="zh-TW"/>
        </w:rPr>
      </w:pPr>
      <w:bookmarkStart w:id="56" w:name="_Toc17660"/>
      <w:bookmarkStart w:id="57" w:name="_Toc4976"/>
      <w:bookmarkStart w:id="58" w:name="_Toc1790"/>
      <w:bookmarkStart w:id="59" w:name="_Toc668"/>
      <w:r>
        <w:rPr>
          <w:rFonts w:hint="eastAsia" w:ascii="宋体" w:hAnsi="宋体"/>
          <w:b/>
          <w:sz w:val="24"/>
          <w:szCs w:val="24"/>
          <w:lang w:eastAsia="zh-TW"/>
        </w:rPr>
        <w:t>五、开标与评标</w:t>
      </w:r>
      <w:bookmarkEnd w:id="56"/>
      <w:bookmarkEnd w:id="57"/>
      <w:bookmarkEnd w:id="58"/>
      <w:bookmarkEnd w:id="59"/>
    </w:p>
    <w:p w14:paraId="00E5E964">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开标前</w:t>
      </w:r>
    </w:p>
    <w:p w14:paraId="0F374EAA">
      <w:pPr>
        <w:numPr>
          <w:ilvl w:val="1"/>
          <w:numId w:val="54"/>
        </w:numPr>
        <w:snapToGrid w:val="0"/>
        <w:spacing w:line="360" w:lineRule="auto"/>
        <w:jc w:val="both"/>
        <w:textAlignment w:val="baseline"/>
        <w:rPr>
          <w:rFonts w:ascii="宋体" w:hAnsi="宋体"/>
          <w:sz w:val="24"/>
          <w:szCs w:val="24"/>
        </w:rPr>
      </w:pPr>
      <w:r>
        <w:rPr>
          <w:rFonts w:hint="eastAsia" w:ascii="宋体" w:hAnsi="宋体"/>
          <w:sz w:val="24"/>
          <w:szCs w:val="24"/>
        </w:rPr>
        <w:t>招标文件发售期截止后，购买招标文件的潜在投标人少于3个的，经招标人确认后，可以重新招标。</w:t>
      </w:r>
    </w:p>
    <w:p w14:paraId="4DEB0D3A">
      <w:pPr>
        <w:numPr>
          <w:ilvl w:val="1"/>
          <w:numId w:val="54"/>
        </w:numPr>
        <w:snapToGrid w:val="0"/>
        <w:spacing w:line="360" w:lineRule="auto"/>
        <w:jc w:val="both"/>
        <w:textAlignment w:val="baseline"/>
        <w:rPr>
          <w:rFonts w:hint="default" w:eastAsia="楷体_GB2312"/>
          <w:lang w:val="en-US" w:eastAsia="zh-CN"/>
        </w:rPr>
      </w:pPr>
      <w:r>
        <w:rPr>
          <w:rFonts w:hint="eastAsia" w:ascii="宋体" w:hAnsi="宋体" w:eastAsia="宋体" w:cs="Times New Roman"/>
          <w:sz w:val="24"/>
          <w:szCs w:val="24"/>
        </w:rPr>
        <w:t>投标人少于3个的，不得开标；招标人应当重新招标。</w:t>
      </w:r>
    </w:p>
    <w:p w14:paraId="57D17F1D">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开标</w:t>
      </w:r>
      <w:r>
        <w:rPr>
          <w:rFonts w:hint="eastAsia" w:ascii="宋体" w:hAnsi="宋体"/>
          <w:b/>
          <w:bCs/>
          <w:sz w:val="24"/>
          <w:szCs w:val="24"/>
          <w:lang w:eastAsia="zh-CN"/>
        </w:rPr>
        <w:t>（</w:t>
      </w:r>
      <w:r>
        <w:rPr>
          <w:rFonts w:hint="eastAsia" w:ascii="宋体" w:hAnsi="宋体"/>
          <w:b/>
          <w:bCs/>
          <w:sz w:val="24"/>
          <w:szCs w:val="24"/>
          <w:lang w:val="en-US" w:eastAsia="zh-CN"/>
        </w:rPr>
        <w:t>电子开标</w:t>
      </w:r>
      <w:r>
        <w:rPr>
          <w:rFonts w:hint="eastAsia" w:ascii="宋体" w:hAnsi="宋体"/>
          <w:b/>
          <w:bCs/>
          <w:sz w:val="24"/>
          <w:szCs w:val="24"/>
          <w:lang w:eastAsia="zh-CN"/>
        </w:rPr>
        <w:t>）</w:t>
      </w:r>
    </w:p>
    <w:p w14:paraId="294652D5">
      <w:pPr>
        <w:numPr>
          <w:ilvl w:val="1"/>
          <w:numId w:val="55"/>
        </w:numPr>
        <w:autoSpaceDE/>
        <w:autoSpaceDN/>
        <w:snapToGrid w:val="0"/>
        <w:spacing w:line="360" w:lineRule="auto"/>
        <w:ind w:left="567" w:right="0" w:hanging="567"/>
        <w:jc w:val="both"/>
        <w:textAlignment w:val="baseline"/>
        <w:rPr>
          <w:rFonts w:hint="eastAsia" w:ascii="宋体" w:hAnsi="宋体" w:eastAsia="宋体" w:cs="宋体"/>
          <w:color w:val="auto"/>
          <w:sz w:val="24"/>
          <w:szCs w:val="20"/>
          <w:lang w:val="zh-CN"/>
        </w:rPr>
      </w:pPr>
      <w:r>
        <w:rPr>
          <w:rFonts w:hint="eastAsia" w:ascii="宋体" w:hAnsi="宋体" w:eastAsia="宋体" w:cs="宋体"/>
          <w:color w:val="auto"/>
          <w:sz w:val="24"/>
        </w:rPr>
        <w:t>招标人</w:t>
      </w:r>
      <w:r>
        <w:rPr>
          <w:rFonts w:hint="eastAsia" w:ascii="宋体" w:hAnsi="宋体" w:eastAsia="宋体" w:cs="宋体"/>
          <w:color w:val="auto"/>
          <w:sz w:val="24"/>
          <w:szCs w:val="20"/>
        </w:rPr>
        <w:t>在</w:t>
      </w:r>
      <w:r>
        <w:rPr>
          <w:rFonts w:hint="eastAsia" w:ascii="宋体" w:hAnsi="宋体" w:cs="宋体"/>
          <w:color w:val="auto"/>
          <w:sz w:val="24"/>
          <w:szCs w:val="20"/>
          <w:lang w:eastAsia="zh-CN"/>
        </w:rPr>
        <w:t>“</w:t>
      </w:r>
      <w:r>
        <w:rPr>
          <w:rFonts w:hint="eastAsia" w:ascii="宋体" w:hAnsi="宋体" w:cs="宋体"/>
          <w:color w:val="auto"/>
          <w:sz w:val="24"/>
          <w:szCs w:val="20"/>
          <w:lang w:val="en-US" w:eastAsia="zh-CN"/>
        </w:rPr>
        <w:t>第一章 投标邀请</w:t>
      </w:r>
      <w:r>
        <w:rPr>
          <w:rFonts w:hint="eastAsia" w:ascii="宋体" w:hAnsi="宋体" w:cs="宋体"/>
          <w:color w:val="auto"/>
          <w:sz w:val="24"/>
          <w:szCs w:val="20"/>
          <w:lang w:eastAsia="zh-CN"/>
        </w:rPr>
        <w:t>”</w:t>
      </w:r>
      <w:r>
        <w:rPr>
          <w:rFonts w:hint="eastAsia" w:ascii="宋体" w:hAnsi="宋体" w:eastAsia="宋体" w:cs="宋体"/>
          <w:color w:val="auto"/>
          <w:sz w:val="24"/>
          <w:szCs w:val="20"/>
        </w:rPr>
        <w:t>中规定的日期、时间和地点组织公开开标。开标时原则上应当有招标人代表参加。参加开标的代表应签到以证明其出席。</w:t>
      </w:r>
    </w:p>
    <w:p w14:paraId="61F73AF1">
      <w:pPr>
        <w:numPr>
          <w:ilvl w:val="1"/>
          <w:numId w:val="55"/>
        </w:numPr>
        <w:autoSpaceDE/>
        <w:autoSpaceDN/>
        <w:snapToGrid w:val="0"/>
        <w:spacing w:line="360" w:lineRule="auto"/>
        <w:ind w:left="567" w:right="0" w:hanging="567"/>
        <w:jc w:val="both"/>
        <w:textAlignment w:val="baseline"/>
        <w:rPr>
          <w:rFonts w:hint="eastAsia" w:ascii="宋体" w:hAnsi="宋体" w:eastAsia="宋体" w:cs="宋体"/>
          <w:color w:val="auto"/>
          <w:sz w:val="24"/>
          <w:szCs w:val="20"/>
          <w:lang w:val="zh-CN"/>
        </w:rPr>
      </w:pPr>
      <w:r>
        <w:rPr>
          <w:rFonts w:hint="eastAsia" w:ascii="宋体" w:hAnsi="宋体"/>
          <w:b w:val="0"/>
          <w:bCs w:val="0"/>
          <w:color w:val="000000"/>
          <w:sz w:val="24"/>
          <w:szCs w:val="24"/>
          <w:lang w:val="en-US" w:eastAsia="zh-CN"/>
        </w:rPr>
        <w:t>按照四、投标文件的递交“（三）</w:t>
      </w:r>
      <w:r>
        <w:rPr>
          <w:rFonts w:hint="eastAsia" w:ascii="宋体" w:hAnsi="宋体"/>
          <w:b w:val="0"/>
          <w:bCs w:val="0"/>
          <w:color w:val="000000"/>
          <w:sz w:val="24"/>
          <w:szCs w:val="24"/>
        </w:rPr>
        <w:t>投标文件的修改与撤</w:t>
      </w:r>
      <w:r>
        <w:rPr>
          <w:rFonts w:hint="eastAsia" w:ascii="宋体" w:hAnsi="宋体"/>
          <w:b w:val="0"/>
          <w:bCs w:val="0"/>
          <w:sz w:val="24"/>
          <w:szCs w:val="24"/>
        </w:rPr>
        <w:t>回、撤销</w:t>
      </w:r>
      <w:r>
        <w:rPr>
          <w:rFonts w:hint="eastAsia" w:ascii="宋体" w:hAnsi="宋体"/>
          <w:b w:val="0"/>
          <w:bCs w:val="0"/>
          <w:sz w:val="24"/>
          <w:szCs w:val="24"/>
          <w:lang w:eastAsia="zh-CN"/>
        </w:rPr>
        <w:t>”</w:t>
      </w:r>
      <w:r>
        <w:rPr>
          <w:rFonts w:hint="eastAsia" w:ascii="宋体" w:hAnsi="宋体"/>
          <w:b w:val="0"/>
          <w:bCs w:val="0"/>
          <w:sz w:val="24"/>
          <w:szCs w:val="24"/>
          <w:lang w:val="en-US" w:eastAsia="zh-CN"/>
        </w:rPr>
        <w:t>规定</w:t>
      </w:r>
      <w:r>
        <w:rPr>
          <w:rFonts w:hint="eastAsia" w:ascii="宋体" w:hAnsi="宋体"/>
          <w:b/>
          <w:bCs/>
          <w:sz w:val="24"/>
          <w:szCs w:val="24"/>
          <w:lang w:val="en-US" w:eastAsia="zh-CN"/>
        </w:rPr>
        <w:t>，</w:t>
      </w:r>
      <w:r>
        <w:rPr>
          <w:rFonts w:hint="eastAsia" w:ascii="宋体" w:hAnsi="宋体" w:eastAsia="宋体" w:cs="宋体"/>
          <w:color w:val="auto"/>
          <w:sz w:val="24"/>
          <w:szCs w:val="20"/>
          <w:lang w:val="zh-CN"/>
        </w:rPr>
        <w:t>提交了可接受的“撤回”通知的投标文件将不予开封。</w:t>
      </w:r>
    </w:p>
    <w:p w14:paraId="1D496C66">
      <w:pPr>
        <w:numPr>
          <w:ilvl w:val="1"/>
          <w:numId w:val="55"/>
        </w:numPr>
        <w:autoSpaceDE/>
        <w:autoSpaceDN/>
        <w:snapToGrid w:val="0"/>
        <w:spacing w:line="360" w:lineRule="auto"/>
        <w:ind w:left="567" w:leftChars="0" w:hanging="567" w:firstLineChars="0"/>
        <w:jc w:val="both"/>
        <w:textAlignment w:val="baseline"/>
        <w:outlineLvl w:val="9"/>
        <w:rPr>
          <w:rFonts w:ascii="宋体" w:hAnsi="宋体"/>
          <w:b/>
          <w:bCs/>
          <w:sz w:val="24"/>
          <w:szCs w:val="24"/>
        </w:rPr>
      </w:pPr>
      <w:r>
        <w:rPr>
          <w:rFonts w:hint="eastAsia" w:ascii="宋体" w:hAnsi="宋体" w:eastAsia="宋体" w:cs="宋体"/>
          <w:color w:val="auto"/>
          <w:sz w:val="24"/>
        </w:rPr>
        <w:t>开标时，主持人进入开标会议后，页面上将进行开标倒计时。到达开标时间后，主持人宣读“开标会议议程”，议程宣读完成后进行开标，点击“开始开标，下一步”，显示投标企业公司名，授权代表名称等信息，下一步进入“文件解密”环节。主持人点击“主持人解密”环节，并插入CA进行认</w:t>
      </w:r>
      <w:r>
        <w:rPr>
          <w:rFonts w:hint="eastAsia" w:ascii="宋体" w:hAnsi="宋体" w:eastAsia="宋体" w:cs="宋体"/>
          <w:color w:val="auto"/>
          <w:sz w:val="24"/>
          <w:szCs w:val="20"/>
          <w:lang w:val="zh-CN"/>
        </w:rPr>
        <w:t>证后，对投标电子标书进行解密操作。文件解密完成后，参会人员确认内容和电子投标书的有效性。点击“文件解密完成，进入评标环节”，进入评标环节。纸质标书经确认无误后由招标代理机构保管，在电子评标过程无异常时，不需要拆封使用。</w:t>
      </w:r>
    </w:p>
    <w:p w14:paraId="22996EF1">
      <w:pPr>
        <w:numPr>
          <w:ilvl w:val="1"/>
          <w:numId w:val="55"/>
        </w:numPr>
        <w:snapToGrid w:val="0"/>
        <w:spacing w:line="360" w:lineRule="auto"/>
        <w:jc w:val="both"/>
        <w:textAlignment w:val="baseline"/>
        <w:rPr>
          <w:rFonts w:ascii="宋体" w:hAnsi="宋体"/>
          <w:sz w:val="24"/>
          <w:szCs w:val="24"/>
        </w:rPr>
      </w:pPr>
      <w:r>
        <w:rPr>
          <w:rFonts w:hint="eastAsia" w:ascii="宋体" w:hAnsi="宋体"/>
          <w:sz w:val="24"/>
          <w:szCs w:val="24"/>
          <w:lang w:val="en-US" w:eastAsia="zh-TW"/>
        </w:rPr>
        <w:t>招标人或招标代理机构将对开标过程进行记录，由参加开标的各投标人代表和相关工作人员签字确认，并存档备查。投标人未参加开标或未签字确认的，视同认可开标结果</w:t>
      </w:r>
      <w:r>
        <w:rPr>
          <w:rFonts w:hint="eastAsia" w:ascii="宋体" w:hAnsi="宋体"/>
          <w:sz w:val="24"/>
          <w:szCs w:val="24"/>
          <w:lang w:eastAsia="zh-TW"/>
        </w:rPr>
        <w:t>。</w:t>
      </w:r>
    </w:p>
    <w:p w14:paraId="3224C61C">
      <w:pPr>
        <w:numPr>
          <w:ilvl w:val="1"/>
          <w:numId w:val="55"/>
        </w:numPr>
        <w:snapToGrid w:val="0"/>
        <w:spacing w:line="360" w:lineRule="auto"/>
        <w:jc w:val="both"/>
        <w:textAlignment w:val="baseline"/>
        <w:rPr>
          <w:rFonts w:ascii="宋体" w:hAnsi="宋体"/>
          <w:sz w:val="24"/>
          <w:szCs w:val="24"/>
        </w:rPr>
      </w:pPr>
      <w:r>
        <w:rPr>
          <w:rFonts w:hint="eastAsia" w:ascii="宋体" w:hAnsi="宋体"/>
          <w:sz w:val="24"/>
          <w:szCs w:val="24"/>
          <w:lang w:val="en-US" w:eastAsia="zh-CN"/>
        </w:rPr>
        <w:t>投标人代表对开标过程和开标记录有疑义，以及认为招标人、招标代理机构相关工作人员有需要回避的情形的，应当场提出询问或者回避申请。</w:t>
      </w:r>
    </w:p>
    <w:p w14:paraId="4065A7B8">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评标委员会和评标方法</w:t>
      </w:r>
    </w:p>
    <w:p w14:paraId="16E01E21">
      <w:pPr>
        <w:numPr>
          <w:ilvl w:val="1"/>
          <w:numId w:val="56"/>
        </w:numPr>
        <w:snapToGrid w:val="0"/>
        <w:spacing w:line="360" w:lineRule="auto"/>
        <w:jc w:val="both"/>
        <w:textAlignment w:val="baseline"/>
        <w:rPr>
          <w:rFonts w:ascii="宋体" w:hAnsi="宋体"/>
          <w:sz w:val="24"/>
          <w:szCs w:val="24"/>
          <w:lang w:eastAsia="zh-TW"/>
        </w:rPr>
      </w:pPr>
      <w:r>
        <w:rPr>
          <w:rFonts w:hint="eastAsia" w:ascii="宋体" w:hAnsi="宋体" w:cs="宋体"/>
          <w:color w:val="auto"/>
          <w:sz w:val="24"/>
        </w:rPr>
        <w:t>本次招标</w:t>
      </w:r>
      <w:r>
        <w:rPr>
          <w:rFonts w:hint="eastAsia" w:ascii="宋体" w:hAnsi="宋体" w:cs="宋体"/>
          <w:color w:val="auto"/>
          <w:sz w:val="24"/>
          <w:lang w:eastAsia="zh-TW"/>
        </w:rPr>
        <w:t>依法组建评标委员会，除</w:t>
      </w:r>
      <w:r>
        <w:rPr>
          <w:rFonts w:hint="eastAsia" w:ascii="宋体" w:hAnsi="宋体" w:cs="宋体"/>
          <w:color w:val="auto"/>
          <w:sz w:val="24"/>
          <w:lang w:val="en-US" w:eastAsia="zh-CN"/>
        </w:rPr>
        <w:t>招标</w:t>
      </w:r>
      <w:r>
        <w:rPr>
          <w:rFonts w:hint="eastAsia" w:ascii="宋体" w:hAnsi="宋体" w:cs="宋体"/>
          <w:color w:val="auto"/>
          <w:sz w:val="24"/>
          <w:lang w:eastAsia="zh-TW"/>
        </w:rPr>
        <w:t>人代表外，</w:t>
      </w:r>
      <w:r>
        <w:rPr>
          <w:rFonts w:hint="eastAsia" w:ascii="宋体" w:hAnsi="宋体" w:cs="宋体"/>
          <w:color w:val="auto"/>
          <w:sz w:val="24"/>
          <w:lang w:val="en-US" w:eastAsia="zh-CN"/>
        </w:rPr>
        <w:t>评审</w:t>
      </w:r>
      <w:r>
        <w:rPr>
          <w:rFonts w:hint="eastAsia" w:ascii="宋体" w:hAnsi="宋体"/>
          <w:color w:val="auto"/>
          <w:sz w:val="24"/>
          <w:szCs w:val="24"/>
          <w:highlight w:val="none"/>
        </w:rPr>
        <w:t>专家</w:t>
      </w:r>
      <w:r>
        <w:rPr>
          <w:rFonts w:hint="eastAsia" w:ascii="宋体" w:hAnsi="宋体"/>
          <w:color w:val="auto"/>
          <w:sz w:val="24"/>
          <w:szCs w:val="24"/>
          <w:highlight w:val="none"/>
          <w:lang w:val="en-US" w:eastAsia="zh-CN"/>
        </w:rPr>
        <w:t>均</w:t>
      </w:r>
      <w:r>
        <w:rPr>
          <w:rFonts w:hint="eastAsia" w:ascii="宋体" w:hAnsi="宋体"/>
          <w:color w:val="auto"/>
          <w:sz w:val="24"/>
          <w:szCs w:val="24"/>
          <w:highlight w:val="none"/>
        </w:rPr>
        <w:t>从广东省综合评标评审专家库--韶关区域中随机抽取。</w:t>
      </w:r>
      <w:r>
        <w:rPr>
          <w:rFonts w:hint="eastAsia" w:ascii="宋体" w:hAnsi="宋体"/>
          <w:color w:val="auto"/>
          <w:sz w:val="24"/>
          <w:szCs w:val="24"/>
          <w:highlight w:val="none"/>
          <w:lang w:val="zh-CN"/>
        </w:rPr>
        <w:t>评标委员会的成员在评标过程中必须严格遵守相关招标投标规定</w:t>
      </w:r>
      <w:r>
        <w:rPr>
          <w:rFonts w:hint="eastAsia" w:ascii="宋体" w:hAnsi="宋体"/>
          <w:sz w:val="24"/>
          <w:szCs w:val="24"/>
        </w:rPr>
        <w:t>。</w:t>
      </w:r>
    </w:p>
    <w:p w14:paraId="2EF09B20">
      <w:pPr>
        <w:numPr>
          <w:ilvl w:val="1"/>
          <w:numId w:val="56"/>
        </w:numPr>
        <w:snapToGrid w:val="0"/>
        <w:spacing w:line="360" w:lineRule="auto"/>
        <w:jc w:val="both"/>
        <w:textAlignment w:val="baseline"/>
        <w:rPr>
          <w:rFonts w:ascii="宋体" w:hAnsi="宋体"/>
          <w:sz w:val="24"/>
          <w:szCs w:val="24"/>
          <w:lang w:eastAsia="zh-TW"/>
        </w:rPr>
      </w:pPr>
      <w:r>
        <w:rPr>
          <w:rFonts w:hint="eastAsia" w:ascii="宋体" w:hAnsi="宋体"/>
          <w:sz w:val="24"/>
          <w:szCs w:val="24"/>
          <w:lang w:eastAsia="zh-TW"/>
        </w:rPr>
        <w:t>评标由评标委员会负责</w:t>
      </w:r>
      <w:r>
        <w:rPr>
          <w:rFonts w:hint="eastAsia" w:ascii="宋体" w:hAnsi="宋体"/>
          <w:sz w:val="24"/>
          <w:szCs w:val="24"/>
        </w:rPr>
        <w:t>，</w:t>
      </w:r>
      <w:r>
        <w:rPr>
          <w:rFonts w:hint="eastAsia" w:ascii="宋体" w:hAnsi="宋体"/>
          <w:sz w:val="24"/>
          <w:szCs w:val="24"/>
          <w:lang w:eastAsia="zh-TW"/>
        </w:rPr>
        <w:t>评标委员会将首先按照本须知</w:t>
      </w:r>
      <w:r>
        <w:rPr>
          <w:rFonts w:hint="eastAsia" w:ascii="宋体" w:hAnsi="宋体"/>
          <w:sz w:val="24"/>
          <w:szCs w:val="24"/>
        </w:rPr>
        <w:t>“（四）投标文件的初审”</w:t>
      </w:r>
      <w:r>
        <w:rPr>
          <w:rFonts w:hint="eastAsia" w:ascii="宋体" w:hAnsi="宋体"/>
          <w:sz w:val="24"/>
          <w:szCs w:val="24"/>
          <w:lang w:eastAsia="zh-TW"/>
        </w:rPr>
        <w:t>对投标文件进行初审。对初审合格的投标文件将按照招标文件投标人须知前附表中确定的综合评分法或最低评标价法进行评</w:t>
      </w:r>
      <w:r>
        <w:rPr>
          <w:rFonts w:hint="eastAsia" w:ascii="宋体" w:hAnsi="宋体"/>
          <w:sz w:val="24"/>
          <w:szCs w:val="24"/>
        </w:rPr>
        <w:t>审</w:t>
      </w:r>
      <w:r>
        <w:rPr>
          <w:rFonts w:hint="eastAsia" w:ascii="宋体" w:hAnsi="宋体"/>
          <w:sz w:val="24"/>
          <w:szCs w:val="24"/>
          <w:lang w:eastAsia="zh-TW"/>
        </w:rPr>
        <w:t>。</w:t>
      </w:r>
    </w:p>
    <w:p w14:paraId="5F7BEADF">
      <w:pPr>
        <w:numPr>
          <w:ilvl w:val="1"/>
          <w:numId w:val="56"/>
        </w:numPr>
        <w:snapToGrid w:val="0"/>
        <w:spacing w:line="360" w:lineRule="auto"/>
        <w:jc w:val="both"/>
        <w:textAlignment w:val="baseline"/>
        <w:rPr>
          <w:rFonts w:ascii="宋体" w:hAnsi="宋体"/>
          <w:sz w:val="24"/>
          <w:szCs w:val="24"/>
          <w:lang w:eastAsia="zh-TW"/>
        </w:rPr>
      </w:pPr>
      <w:r>
        <w:rPr>
          <w:rFonts w:hint="eastAsia" w:ascii="宋体" w:hAnsi="宋体"/>
          <w:sz w:val="24"/>
          <w:szCs w:val="24"/>
          <w:lang w:eastAsia="zh-TW"/>
        </w:rPr>
        <w:t>评标委员会将按照</w:t>
      </w:r>
      <w:r>
        <w:rPr>
          <w:rFonts w:hint="eastAsia" w:ascii="宋体" w:hAnsi="宋体"/>
          <w:sz w:val="24"/>
          <w:szCs w:val="24"/>
        </w:rPr>
        <w:t>“投标人须知前附表”</w:t>
      </w:r>
      <w:r>
        <w:rPr>
          <w:rFonts w:hint="eastAsia" w:ascii="宋体" w:hAnsi="宋体"/>
          <w:sz w:val="24"/>
          <w:szCs w:val="24"/>
          <w:lang w:eastAsia="zh-TW"/>
        </w:rPr>
        <w:t>中确定的评标方法</w:t>
      </w:r>
      <w:r>
        <w:rPr>
          <w:rFonts w:hint="eastAsia" w:ascii="宋体" w:hAnsi="宋体"/>
          <w:sz w:val="24"/>
          <w:szCs w:val="24"/>
        </w:rPr>
        <w:t>和</w:t>
      </w:r>
      <w:r>
        <w:rPr>
          <w:rFonts w:hint="eastAsia" w:ascii="宋体" w:hAnsi="宋体"/>
          <w:sz w:val="24"/>
          <w:szCs w:val="24"/>
          <w:lang w:eastAsia="zh-TW"/>
        </w:rPr>
        <w:t>本招标文件</w:t>
      </w:r>
      <w:r>
        <w:rPr>
          <w:rFonts w:hint="eastAsia" w:ascii="宋体" w:hAnsi="宋体"/>
          <w:sz w:val="24"/>
          <w:szCs w:val="24"/>
        </w:rPr>
        <w:t>“</w:t>
      </w:r>
      <w:r>
        <w:rPr>
          <w:rFonts w:hint="eastAsia" w:ascii="宋体" w:hAnsi="宋体"/>
          <w:sz w:val="24"/>
          <w:szCs w:val="24"/>
          <w:lang w:eastAsia="zh-TW"/>
        </w:rPr>
        <w:t>第</w:t>
      </w:r>
      <w:r>
        <w:rPr>
          <w:rFonts w:hint="eastAsia" w:ascii="宋体" w:hAnsi="宋体"/>
          <w:sz w:val="24"/>
          <w:szCs w:val="24"/>
        </w:rPr>
        <w:t>三</w:t>
      </w:r>
      <w:r>
        <w:rPr>
          <w:rFonts w:hint="eastAsia" w:ascii="宋体" w:hAnsi="宋体"/>
          <w:sz w:val="24"/>
          <w:szCs w:val="24"/>
          <w:lang w:eastAsia="zh-TW"/>
        </w:rPr>
        <w:t>章</w:t>
      </w:r>
      <w:r>
        <w:rPr>
          <w:rFonts w:hint="eastAsia" w:ascii="宋体" w:hAnsi="宋体"/>
          <w:sz w:val="24"/>
          <w:szCs w:val="24"/>
        </w:rPr>
        <w:t xml:space="preserve"> </w:t>
      </w:r>
      <w:r>
        <w:rPr>
          <w:rFonts w:hint="eastAsia" w:ascii="宋体" w:hAnsi="宋体"/>
          <w:sz w:val="24"/>
          <w:szCs w:val="24"/>
          <w:lang w:eastAsia="zh-TW"/>
        </w:rPr>
        <w:t>评分体系与标准</w:t>
      </w:r>
      <w:r>
        <w:rPr>
          <w:rFonts w:hint="eastAsia" w:ascii="宋体" w:hAnsi="宋体"/>
          <w:sz w:val="24"/>
          <w:szCs w:val="24"/>
        </w:rPr>
        <w:t>”</w:t>
      </w:r>
      <w:r>
        <w:rPr>
          <w:rFonts w:hint="eastAsia" w:ascii="宋体" w:hAnsi="宋体"/>
          <w:sz w:val="24"/>
          <w:szCs w:val="24"/>
          <w:lang w:eastAsia="zh-TW"/>
        </w:rPr>
        <w:t>中规定</w:t>
      </w:r>
      <w:r>
        <w:rPr>
          <w:rFonts w:hint="eastAsia" w:ascii="宋体" w:hAnsi="宋体"/>
          <w:sz w:val="24"/>
          <w:szCs w:val="24"/>
        </w:rPr>
        <w:t>的评标</w:t>
      </w:r>
      <w:r>
        <w:rPr>
          <w:rFonts w:hint="eastAsia" w:ascii="宋体" w:hAnsi="宋体"/>
          <w:sz w:val="24"/>
          <w:szCs w:val="24"/>
          <w:lang w:eastAsia="zh-TW"/>
        </w:rPr>
        <w:t>标准进行评标。</w:t>
      </w:r>
    </w:p>
    <w:p w14:paraId="2FEE5B75">
      <w:pPr>
        <w:numPr>
          <w:ilvl w:val="1"/>
          <w:numId w:val="56"/>
        </w:numPr>
        <w:snapToGrid w:val="0"/>
        <w:spacing w:line="360" w:lineRule="auto"/>
        <w:jc w:val="both"/>
        <w:textAlignment w:val="baseline"/>
        <w:rPr>
          <w:rFonts w:ascii="宋体" w:hAnsi="宋体" w:cs="宋体"/>
          <w:sz w:val="24"/>
          <w:szCs w:val="24"/>
          <w:lang w:eastAsia="zh-TW"/>
        </w:rPr>
      </w:pPr>
      <w:r>
        <w:rPr>
          <w:rFonts w:hint="eastAsia" w:ascii="宋体" w:hAnsi="宋体"/>
          <w:sz w:val="24"/>
          <w:szCs w:val="24"/>
          <w:lang w:eastAsia="zh-TW"/>
        </w:rPr>
        <w:t>对招标文件中描述有歧</w:t>
      </w:r>
      <w:r>
        <w:rPr>
          <w:rFonts w:hint="eastAsia" w:ascii="宋体" w:hAnsi="宋体"/>
          <w:sz w:val="24"/>
          <w:szCs w:val="24"/>
        </w:rPr>
        <w:t>义</w:t>
      </w:r>
      <w:r>
        <w:rPr>
          <w:rFonts w:hint="eastAsia" w:ascii="宋体" w:hAnsi="宋体"/>
          <w:sz w:val="24"/>
          <w:szCs w:val="24"/>
          <w:lang w:eastAsia="zh-TW"/>
        </w:rPr>
        <w:t>或前后不一致的地方，评标委员会有权进行评判</w:t>
      </w:r>
      <w:r>
        <w:rPr>
          <w:rFonts w:hint="eastAsia" w:ascii="宋体" w:hAnsi="宋体"/>
          <w:sz w:val="24"/>
          <w:szCs w:val="24"/>
        </w:rPr>
        <w:t>，</w:t>
      </w:r>
      <w:r>
        <w:rPr>
          <w:rFonts w:hint="eastAsia" w:ascii="宋体" w:hAnsi="宋体"/>
          <w:sz w:val="24"/>
          <w:szCs w:val="24"/>
          <w:lang w:eastAsia="zh-TW"/>
        </w:rPr>
        <w:t>但对同一条款的评判应适用于每个投标人。</w:t>
      </w:r>
    </w:p>
    <w:p w14:paraId="6637674D">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投标文件的初审</w:t>
      </w:r>
    </w:p>
    <w:p w14:paraId="7682DFF8">
      <w:pPr>
        <w:numPr>
          <w:ilvl w:val="1"/>
          <w:numId w:val="57"/>
        </w:numPr>
        <w:snapToGrid w:val="0"/>
        <w:spacing w:line="360" w:lineRule="auto"/>
        <w:jc w:val="both"/>
        <w:textAlignment w:val="baseline"/>
        <w:rPr>
          <w:rFonts w:ascii="宋体" w:hAnsi="宋体" w:cs="黑体"/>
          <w:b/>
          <w:bCs/>
          <w:color w:val="000000"/>
          <w:sz w:val="24"/>
          <w:szCs w:val="24"/>
        </w:rPr>
      </w:pPr>
      <w:r>
        <w:rPr>
          <w:rFonts w:hint="eastAsia" w:ascii="宋体" w:hAnsi="宋体" w:cs="宋体"/>
          <w:sz w:val="24"/>
          <w:szCs w:val="24"/>
          <w:lang w:eastAsia="zh-TW"/>
        </w:rPr>
        <w:t>评标委员会将审查投标文件是否完整、文件签署是否合格、投标人是否</w:t>
      </w:r>
      <w:r>
        <w:rPr>
          <w:rFonts w:hint="eastAsia" w:ascii="宋体" w:hAnsi="宋体" w:cs="宋体"/>
          <w:sz w:val="24"/>
          <w:szCs w:val="24"/>
        </w:rPr>
        <w:t>缴纳</w:t>
      </w:r>
      <w:r>
        <w:rPr>
          <w:rFonts w:hint="eastAsia" w:ascii="宋体" w:hAnsi="宋体" w:cs="宋体"/>
          <w:sz w:val="24"/>
          <w:szCs w:val="24"/>
          <w:lang w:eastAsia="zh-TW"/>
        </w:rPr>
        <w:t>了投标保证金、有无计算</w:t>
      </w:r>
      <w:r>
        <w:rPr>
          <w:rFonts w:hint="eastAsia" w:ascii="宋体" w:hAnsi="宋体" w:cs="宋体"/>
          <w:sz w:val="24"/>
          <w:szCs w:val="24"/>
        </w:rPr>
        <w:t>上</w:t>
      </w:r>
      <w:r>
        <w:rPr>
          <w:rFonts w:hint="eastAsia" w:ascii="宋体" w:hAnsi="宋体" w:cs="宋体"/>
          <w:sz w:val="24"/>
          <w:szCs w:val="24"/>
          <w:lang w:eastAsia="zh-TW"/>
        </w:rPr>
        <w:t>的错误等</w:t>
      </w:r>
      <w:r>
        <w:rPr>
          <w:rFonts w:hint="eastAsia" w:ascii="宋体" w:hAnsi="宋体" w:cs="宋体"/>
          <w:color w:val="000000"/>
          <w:sz w:val="24"/>
          <w:szCs w:val="24"/>
          <w:lang w:eastAsia="zh-TW"/>
        </w:rPr>
        <w:t>。</w:t>
      </w:r>
    </w:p>
    <w:p w14:paraId="15D7159F">
      <w:pPr>
        <w:numPr>
          <w:ilvl w:val="1"/>
          <w:numId w:val="5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投标文件报价出现前后不一致的，</w:t>
      </w:r>
      <w:r>
        <w:rPr>
          <w:rFonts w:hint="eastAsia" w:ascii="宋体" w:hAnsi="宋体" w:cs="宋体"/>
          <w:color w:val="000000"/>
          <w:sz w:val="24"/>
          <w:szCs w:val="24"/>
        </w:rPr>
        <w:t>评标委员会</w:t>
      </w:r>
      <w:r>
        <w:rPr>
          <w:rFonts w:hint="eastAsia" w:ascii="宋体" w:hAnsi="宋体" w:cs="宋体"/>
          <w:color w:val="000000"/>
          <w:sz w:val="24"/>
          <w:szCs w:val="24"/>
          <w:lang w:eastAsia="zh-TW"/>
        </w:rPr>
        <w:t>按照下列规定修正：</w:t>
      </w:r>
    </w:p>
    <w:p w14:paraId="77653738">
      <w:pPr>
        <w:numPr>
          <w:ilvl w:val="2"/>
          <w:numId w:val="5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投标文件中开标一览表（报价表）内容与投标文件中相应内容不一致的，以开标一览表（报价表）为准；</w:t>
      </w:r>
    </w:p>
    <w:p w14:paraId="010463F9">
      <w:pPr>
        <w:numPr>
          <w:ilvl w:val="2"/>
          <w:numId w:val="57"/>
        </w:numPr>
        <w:snapToGrid w:val="0"/>
        <w:spacing w:line="360" w:lineRule="auto"/>
        <w:jc w:val="both"/>
        <w:textAlignment w:val="baseline"/>
        <w:rPr>
          <w:rFonts w:ascii="宋体" w:hAnsi="宋体" w:cs="宋体"/>
          <w:sz w:val="24"/>
          <w:szCs w:val="24"/>
          <w:lang w:eastAsia="zh-TW"/>
        </w:rPr>
      </w:pPr>
      <w:r>
        <w:rPr>
          <w:rFonts w:ascii="宋体" w:hAnsi="宋体" w:cs="宋体"/>
          <w:sz w:val="24"/>
          <w:szCs w:val="24"/>
        </w:rPr>
        <w:t>开标一览表（报价表）中总价大写金额和小写金额不一致的，以大写金额为准，但大写金额有明显错误的，以小写金额为准；</w:t>
      </w:r>
    </w:p>
    <w:p w14:paraId="207BE80E">
      <w:pPr>
        <w:numPr>
          <w:ilvl w:val="2"/>
          <w:numId w:val="57"/>
        </w:numPr>
        <w:snapToGrid w:val="0"/>
        <w:spacing w:line="360" w:lineRule="auto"/>
        <w:jc w:val="both"/>
        <w:textAlignment w:val="baseline"/>
        <w:rPr>
          <w:rFonts w:ascii="宋体" w:hAnsi="宋体" w:cs="宋体"/>
          <w:sz w:val="24"/>
          <w:szCs w:val="24"/>
          <w:lang w:eastAsia="zh-TW"/>
        </w:rPr>
      </w:pPr>
      <w:r>
        <w:rPr>
          <w:rFonts w:ascii="宋体" w:hAnsi="宋体" w:cs="宋体"/>
          <w:sz w:val="24"/>
          <w:szCs w:val="24"/>
        </w:rPr>
        <w:t>开标一览表（报价表）中总价金额与按单价汇总金额不一致的，以单价金额计算结果为准，但单价金额小数点或者百分比有明显错位的，以总价为准，并修改单价。</w:t>
      </w:r>
    </w:p>
    <w:p w14:paraId="4C821516">
      <w:pPr>
        <w:numPr>
          <w:ilvl w:val="2"/>
          <w:numId w:val="5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同时出现前款第（</w:t>
      </w:r>
      <w:r>
        <w:rPr>
          <w:rFonts w:hint="eastAsia" w:ascii="宋体" w:hAnsi="宋体" w:cs="宋体"/>
          <w:color w:val="000000"/>
          <w:sz w:val="24"/>
          <w:szCs w:val="24"/>
        </w:rPr>
        <w:t>2</w:t>
      </w:r>
      <w:r>
        <w:rPr>
          <w:rFonts w:hint="eastAsia" w:ascii="宋体" w:hAnsi="宋体" w:cs="宋体"/>
          <w:color w:val="000000"/>
          <w:sz w:val="24"/>
          <w:szCs w:val="24"/>
          <w:lang w:eastAsia="zh-TW"/>
        </w:rPr>
        <w:t>）（</w:t>
      </w:r>
      <w:r>
        <w:rPr>
          <w:rFonts w:hint="eastAsia" w:ascii="宋体" w:hAnsi="宋体" w:cs="宋体"/>
          <w:color w:val="000000"/>
          <w:sz w:val="24"/>
          <w:szCs w:val="24"/>
        </w:rPr>
        <w:t>3</w:t>
      </w:r>
      <w:r>
        <w:rPr>
          <w:rFonts w:hint="eastAsia" w:ascii="宋体" w:hAnsi="宋体" w:cs="宋体"/>
          <w:color w:val="000000"/>
          <w:sz w:val="24"/>
          <w:szCs w:val="24"/>
          <w:lang w:eastAsia="zh-TW"/>
        </w:rPr>
        <w:t>）项情形的，按照前款第（</w:t>
      </w:r>
      <w:r>
        <w:rPr>
          <w:rFonts w:hint="eastAsia" w:ascii="宋体" w:hAnsi="宋体" w:cs="宋体"/>
          <w:color w:val="000000"/>
          <w:sz w:val="24"/>
          <w:szCs w:val="24"/>
        </w:rPr>
        <w:t>2</w:t>
      </w:r>
      <w:r>
        <w:rPr>
          <w:rFonts w:hint="eastAsia" w:ascii="宋体" w:hAnsi="宋体" w:cs="宋体"/>
          <w:color w:val="000000"/>
          <w:sz w:val="24"/>
          <w:szCs w:val="24"/>
          <w:lang w:eastAsia="zh-TW"/>
        </w:rPr>
        <w:t>）</w:t>
      </w:r>
      <w:r>
        <w:rPr>
          <w:rFonts w:hint="eastAsia" w:ascii="宋体" w:hAnsi="宋体" w:cs="宋体"/>
          <w:color w:val="000000"/>
          <w:sz w:val="24"/>
          <w:szCs w:val="24"/>
        </w:rPr>
        <w:t>项</w:t>
      </w:r>
      <w:r>
        <w:rPr>
          <w:rFonts w:hint="eastAsia" w:ascii="宋体" w:hAnsi="宋体" w:cs="宋体"/>
          <w:color w:val="000000"/>
          <w:sz w:val="24"/>
          <w:szCs w:val="24"/>
          <w:lang w:eastAsia="zh-TW"/>
        </w:rPr>
        <w:t>规定修正。评标委员会按上述修正误差的原则调整的价格对投标</w:t>
      </w:r>
      <w:r>
        <w:rPr>
          <w:rFonts w:hint="eastAsia" w:ascii="宋体" w:hAnsi="宋体" w:cs="宋体"/>
          <w:color w:val="000000"/>
          <w:sz w:val="24"/>
          <w:szCs w:val="24"/>
        </w:rPr>
        <w:t>人</w:t>
      </w:r>
      <w:r>
        <w:rPr>
          <w:rFonts w:hint="eastAsia" w:ascii="宋体" w:hAnsi="宋体" w:cs="宋体"/>
          <w:color w:val="000000"/>
          <w:sz w:val="24"/>
          <w:szCs w:val="24"/>
          <w:lang w:eastAsia="zh-TW"/>
        </w:rPr>
        <w:t>具有约束力</w:t>
      </w:r>
      <w:r>
        <w:rPr>
          <w:rFonts w:hint="eastAsia" w:ascii="宋体" w:hAnsi="宋体" w:cs="宋体"/>
          <w:color w:val="000000"/>
          <w:sz w:val="24"/>
          <w:szCs w:val="24"/>
        </w:rPr>
        <w:t>，</w:t>
      </w:r>
      <w:r>
        <w:rPr>
          <w:rFonts w:hint="eastAsia" w:ascii="宋体" w:hAnsi="宋体" w:cs="宋体"/>
          <w:color w:val="000000"/>
          <w:sz w:val="24"/>
          <w:szCs w:val="24"/>
          <w:lang w:eastAsia="zh-TW"/>
        </w:rPr>
        <w:t>投标人不确认的，</w:t>
      </w:r>
      <w:r>
        <w:rPr>
          <w:rFonts w:hint="eastAsia" w:ascii="宋体" w:hAnsi="宋体" w:cs="宋体"/>
          <w:sz w:val="24"/>
          <w:szCs w:val="24"/>
        </w:rPr>
        <w:t>应予否决投标</w:t>
      </w:r>
      <w:r>
        <w:rPr>
          <w:rFonts w:hint="eastAsia" w:ascii="宋体" w:hAnsi="宋体" w:cs="宋体"/>
          <w:color w:val="000000"/>
          <w:sz w:val="24"/>
          <w:szCs w:val="24"/>
          <w:lang w:eastAsia="zh-TW"/>
        </w:rPr>
        <w:t>。</w:t>
      </w:r>
    </w:p>
    <w:p w14:paraId="356FD495">
      <w:pPr>
        <w:numPr>
          <w:ilvl w:val="1"/>
          <w:numId w:val="5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评标委员会认为投标人的报价明显低于其他通过资格、符合性审查投标人的报价，有可能影响产品质量或者不能诚信履约的，应当要求其在评标现场合理的时间内提供书面说明，必要时提交相关证明材料；投标人不能证明其报价合理性的，评标委员会</w:t>
      </w:r>
      <w:r>
        <w:rPr>
          <w:rFonts w:hint="eastAsia" w:ascii="宋体" w:hAnsi="宋体"/>
          <w:bCs/>
          <w:sz w:val="24"/>
          <w:szCs w:val="24"/>
        </w:rPr>
        <w:t>应予否决投标</w:t>
      </w:r>
      <w:r>
        <w:rPr>
          <w:rFonts w:hint="eastAsia" w:ascii="宋体" w:hAnsi="宋体" w:cs="宋体"/>
          <w:color w:val="000000"/>
          <w:sz w:val="24"/>
          <w:szCs w:val="24"/>
          <w:lang w:eastAsia="zh-TW"/>
        </w:rPr>
        <w:t>处理。</w:t>
      </w:r>
    </w:p>
    <w:p w14:paraId="1E3B235C">
      <w:pPr>
        <w:numPr>
          <w:ilvl w:val="1"/>
          <w:numId w:val="57"/>
        </w:numPr>
        <w:snapToGrid w:val="0"/>
        <w:spacing w:line="360" w:lineRule="auto"/>
        <w:jc w:val="both"/>
        <w:textAlignment w:val="baseline"/>
        <w:rPr>
          <w:rFonts w:ascii="宋体" w:hAnsi="宋体" w:cs="宋体"/>
          <w:color w:val="000000"/>
          <w:sz w:val="24"/>
          <w:szCs w:val="24"/>
          <w:lang w:eastAsia="zh-TW"/>
        </w:rPr>
      </w:pPr>
      <w:r>
        <w:rPr>
          <w:rFonts w:hint="eastAsia" w:ascii="宋体" w:hAnsi="宋体" w:cs="宋体"/>
          <w:color w:val="000000"/>
          <w:sz w:val="24"/>
          <w:szCs w:val="24"/>
          <w:lang w:eastAsia="zh-TW"/>
        </w:rPr>
        <w:t>在详细评标之前，评标委员会要审查每份投标文件是否实质上响应了招标文件的要求。实质上响应的投标文件应该是与招标文件要求的关键条款、条件和规格相符或优于，没有实质偏离的投标文件。评标委员会决定投标的响应性只根据投标文件本身的真实无误的内容，而不依据外部的证据，但投标有不真实的内容时除外。</w:t>
      </w:r>
    </w:p>
    <w:p w14:paraId="5DC841FC">
      <w:pPr>
        <w:numPr>
          <w:ilvl w:val="1"/>
          <w:numId w:val="57"/>
        </w:numPr>
        <w:snapToGrid w:val="0"/>
        <w:spacing w:line="360" w:lineRule="auto"/>
        <w:jc w:val="both"/>
        <w:textAlignment w:val="baseline"/>
        <w:rPr>
          <w:rFonts w:ascii="宋体" w:hAnsi="宋体" w:cs="宋体"/>
          <w:color w:val="000000"/>
          <w:sz w:val="24"/>
          <w:szCs w:val="24"/>
        </w:rPr>
      </w:pPr>
      <w:r>
        <w:rPr>
          <w:rFonts w:hint="eastAsia" w:ascii="宋体" w:hAnsi="宋体" w:cs="宋体"/>
          <w:color w:val="000000"/>
          <w:sz w:val="24"/>
          <w:szCs w:val="24"/>
          <w:lang w:eastAsia="zh-TW"/>
        </w:rPr>
        <w:t>实质上没有响应招标文件要求的投标将被否决。投标人不得通过修正、补充或撤销不合要</w:t>
      </w:r>
      <w:r>
        <w:rPr>
          <w:rFonts w:hint="eastAsia" w:ascii="宋体" w:hAnsi="宋体" w:cs="宋体"/>
          <w:sz w:val="24"/>
          <w:szCs w:val="24"/>
          <w:lang w:eastAsia="zh-TW"/>
        </w:rPr>
        <w:t>求的偏离或保留从而使其投标成为实质上响应的投标。</w:t>
      </w:r>
    </w:p>
    <w:p w14:paraId="669837E9">
      <w:pPr>
        <w:snapToGrid w:val="0"/>
        <w:spacing w:line="360" w:lineRule="auto"/>
        <w:ind w:left="600" w:leftChars="300"/>
        <w:jc w:val="both"/>
        <w:textAlignment w:val="baseline"/>
        <w:rPr>
          <w:rFonts w:ascii="宋体" w:hAnsi="宋体" w:cs="宋体"/>
          <w:color w:val="000000"/>
          <w:sz w:val="24"/>
          <w:szCs w:val="24"/>
        </w:rPr>
      </w:pPr>
      <w:r>
        <w:rPr>
          <w:rFonts w:hint="eastAsia" w:ascii="宋体" w:hAnsi="宋体" w:cs="宋体"/>
          <w:sz w:val="24"/>
          <w:szCs w:val="24"/>
          <w:lang w:eastAsia="zh-TW"/>
        </w:rPr>
        <w:t>在资格、符合性检查时，未能通过资格、符</w:t>
      </w:r>
      <w:r>
        <w:rPr>
          <w:rFonts w:hint="eastAsia" w:ascii="宋体" w:hAnsi="宋体" w:cs="宋体"/>
          <w:color w:val="000000"/>
          <w:sz w:val="24"/>
          <w:szCs w:val="24"/>
          <w:lang w:eastAsia="zh-TW"/>
        </w:rPr>
        <w:t>合性审查</w:t>
      </w:r>
      <w:r>
        <w:rPr>
          <w:rFonts w:hint="eastAsia" w:ascii="宋体" w:hAnsi="宋体" w:cs="宋体"/>
          <w:color w:val="000000"/>
          <w:sz w:val="24"/>
          <w:szCs w:val="24"/>
        </w:rPr>
        <w:t>的投标人其投标</w:t>
      </w:r>
      <w:r>
        <w:rPr>
          <w:rFonts w:hint="eastAsia" w:ascii="宋体" w:hAnsi="宋体" w:cs="宋体"/>
          <w:color w:val="000000"/>
          <w:sz w:val="24"/>
          <w:szCs w:val="24"/>
          <w:lang w:eastAsia="zh-TW"/>
        </w:rPr>
        <w:t>被</w:t>
      </w:r>
      <w:r>
        <w:rPr>
          <w:rFonts w:hint="eastAsia" w:ascii="宋体" w:hAnsi="宋体" w:cs="宋体"/>
          <w:color w:val="000000"/>
          <w:sz w:val="24"/>
          <w:szCs w:val="24"/>
        </w:rPr>
        <w:t>否决。</w:t>
      </w:r>
      <w:r>
        <w:rPr>
          <w:rFonts w:hint="eastAsia" w:ascii="宋体" w:hAnsi="宋体" w:cs="宋体"/>
          <w:color w:val="000000"/>
          <w:sz w:val="24"/>
          <w:szCs w:val="24"/>
          <w:lang w:eastAsia="zh-TW"/>
        </w:rPr>
        <w:t>对初步被认定为资格</w:t>
      </w:r>
      <w:r>
        <w:rPr>
          <w:rFonts w:hint="eastAsia" w:ascii="宋体" w:hAnsi="宋体" w:cs="宋体"/>
          <w:color w:val="000000"/>
          <w:sz w:val="24"/>
          <w:szCs w:val="24"/>
        </w:rPr>
        <w:t>、符合</w:t>
      </w:r>
      <w:r>
        <w:rPr>
          <w:rFonts w:hint="eastAsia" w:ascii="宋体" w:hAnsi="宋体" w:cs="宋体"/>
          <w:color w:val="000000"/>
          <w:sz w:val="24"/>
          <w:szCs w:val="24"/>
          <w:lang w:eastAsia="zh-TW"/>
        </w:rPr>
        <w:t>性审查不</w:t>
      </w:r>
      <w:r>
        <w:rPr>
          <w:rFonts w:hint="eastAsia" w:ascii="宋体" w:hAnsi="宋体" w:cs="宋体"/>
          <w:color w:val="000000"/>
          <w:sz w:val="24"/>
          <w:szCs w:val="24"/>
        </w:rPr>
        <w:t>通过</w:t>
      </w:r>
      <w:r>
        <w:rPr>
          <w:rFonts w:hint="eastAsia" w:ascii="宋体" w:hAnsi="宋体" w:cs="宋体"/>
          <w:color w:val="000000"/>
          <w:sz w:val="24"/>
          <w:szCs w:val="24"/>
          <w:lang w:eastAsia="zh-TW"/>
        </w:rPr>
        <w:t>的，可实行告知投标人，以让其核证、澄清事实。未通过资格</w:t>
      </w:r>
      <w:r>
        <w:rPr>
          <w:rFonts w:hint="eastAsia" w:ascii="宋体" w:hAnsi="宋体" w:cs="宋体"/>
          <w:color w:val="000000"/>
          <w:sz w:val="24"/>
          <w:szCs w:val="24"/>
        </w:rPr>
        <w:t>、符合</w:t>
      </w:r>
      <w:r>
        <w:rPr>
          <w:rFonts w:hint="eastAsia" w:ascii="宋体" w:hAnsi="宋体" w:cs="宋体"/>
          <w:color w:val="000000"/>
          <w:sz w:val="24"/>
          <w:szCs w:val="24"/>
          <w:lang w:eastAsia="zh-TW"/>
        </w:rPr>
        <w:t>性审查的投标人，不进入</w:t>
      </w:r>
      <w:r>
        <w:rPr>
          <w:rFonts w:hint="eastAsia" w:ascii="宋体" w:hAnsi="宋体" w:cs="宋体"/>
          <w:color w:val="000000"/>
          <w:sz w:val="24"/>
          <w:szCs w:val="24"/>
        </w:rPr>
        <w:t>技术、商务、价格评审</w:t>
      </w:r>
      <w:r>
        <w:rPr>
          <w:rFonts w:hint="eastAsia" w:ascii="宋体" w:hAnsi="宋体" w:cs="宋体"/>
          <w:color w:val="000000"/>
          <w:sz w:val="24"/>
          <w:szCs w:val="24"/>
          <w:lang w:eastAsia="zh-TW"/>
        </w:rPr>
        <w:t>。对投标有效性认定意见不一致的，评标委员会按</w:t>
      </w:r>
      <w:r>
        <w:rPr>
          <w:rFonts w:hint="eastAsia" w:ascii="宋体" w:hAnsi="宋体" w:cs="宋体"/>
          <w:color w:val="000000"/>
          <w:sz w:val="24"/>
          <w:szCs w:val="24"/>
        </w:rPr>
        <w:t>少数服从多数的</w:t>
      </w:r>
      <w:r>
        <w:rPr>
          <w:rFonts w:hint="eastAsia" w:ascii="宋体" w:hAnsi="宋体" w:cs="宋体"/>
          <w:color w:val="000000"/>
          <w:sz w:val="24"/>
          <w:szCs w:val="24"/>
          <w:lang w:eastAsia="zh-TW"/>
        </w:rPr>
        <w:t>原则</w:t>
      </w:r>
      <w:r>
        <w:rPr>
          <w:rFonts w:hint="eastAsia" w:ascii="宋体" w:hAnsi="宋体" w:cs="宋体"/>
          <w:color w:val="000000"/>
          <w:sz w:val="24"/>
          <w:szCs w:val="24"/>
        </w:rPr>
        <w:t>做出结论</w:t>
      </w:r>
      <w:r>
        <w:rPr>
          <w:rFonts w:hint="eastAsia" w:ascii="宋体" w:hAnsi="宋体" w:cs="宋体"/>
          <w:color w:val="000000"/>
          <w:sz w:val="24"/>
          <w:szCs w:val="24"/>
          <w:lang w:eastAsia="zh-TW"/>
        </w:rPr>
        <w:t>。具体条款</w:t>
      </w:r>
      <w:r>
        <w:rPr>
          <w:rFonts w:hint="eastAsia" w:ascii="宋体" w:hAnsi="宋体" w:cs="宋体"/>
          <w:color w:val="000000"/>
          <w:sz w:val="24"/>
          <w:szCs w:val="24"/>
        </w:rPr>
        <w:t>详</w:t>
      </w:r>
      <w:r>
        <w:rPr>
          <w:rFonts w:hint="eastAsia" w:ascii="宋体" w:hAnsi="宋体" w:cs="宋体"/>
          <w:color w:val="000000"/>
          <w:sz w:val="24"/>
          <w:szCs w:val="24"/>
          <w:lang w:eastAsia="zh-TW"/>
        </w:rPr>
        <w:t>见招标文件</w:t>
      </w:r>
      <w:r>
        <w:rPr>
          <w:rFonts w:hint="eastAsia" w:ascii="宋体" w:hAnsi="宋体" w:cs="宋体"/>
          <w:color w:val="000000"/>
          <w:sz w:val="24"/>
          <w:szCs w:val="24"/>
        </w:rPr>
        <w:t>“第三章 评分体系与标准”</w:t>
      </w:r>
      <w:r>
        <w:rPr>
          <w:rFonts w:hint="eastAsia" w:ascii="宋体" w:hAnsi="宋体" w:cs="宋体"/>
          <w:color w:val="000000"/>
          <w:sz w:val="24"/>
          <w:szCs w:val="24"/>
          <w:lang w:eastAsia="zh-TW"/>
        </w:rPr>
        <w:t>《资格、符合性评审条款》。</w:t>
      </w:r>
      <w:r>
        <w:rPr>
          <w:rFonts w:hint="eastAsia" w:ascii="宋体" w:hAnsi="宋体" w:cs="宋体"/>
          <w:color w:val="000000"/>
          <w:sz w:val="24"/>
          <w:szCs w:val="24"/>
        </w:rPr>
        <w:t xml:space="preserve">  </w:t>
      </w:r>
    </w:p>
    <w:p w14:paraId="78A5DDE7">
      <w:pPr>
        <w:numPr>
          <w:ilvl w:val="1"/>
          <w:numId w:val="57"/>
        </w:numPr>
        <w:snapToGrid w:val="0"/>
        <w:spacing w:line="360" w:lineRule="auto"/>
        <w:jc w:val="both"/>
        <w:textAlignment w:val="baseline"/>
        <w:rPr>
          <w:rFonts w:ascii="宋体" w:hAnsi="宋体" w:cs="宋体"/>
          <w:color w:val="000000"/>
          <w:sz w:val="24"/>
          <w:szCs w:val="24"/>
        </w:rPr>
      </w:pPr>
      <w:r>
        <w:rPr>
          <w:rFonts w:hint="eastAsia" w:ascii="宋体" w:hAnsi="宋体" w:cs="宋体"/>
          <w:color w:val="000000"/>
          <w:sz w:val="24"/>
          <w:szCs w:val="24"/>
        </w:rPr>
        <w:t>通过资格、符合性审查的投标人少于3个时，不再继续技术商务评审，本项目招标失败。</w:t>
      </w:r>
    </w:p>
    <w:p w14:paraId="0E3ED537">
      <w:pPr>
        <w:numPr>
          <w:ilvl w:val="0"/>
          <w:numId w:val="53"/>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投标文件的澄清</w:t>
      </w:r>
    </w:p>
    <w:p w14:paraId="1B8660D8">
      <w:pPr>
        <w:numPr>
          <w:ilvl w:val="1"/>
          <w:numId w:val="58"/>
        </w:numPr>
        <w:snapToGrid w:val="0"/>
        <w:spacing w:line="360" w:lineRule="auto"/>
        <w:jc w:val="both"/>
        <w:textAlignment w:val="baseline"/>
        <w:rPr>
          <w:rFonts w:ascii="宋体" w:hAnsi="宋体" w:cs="宋体"/>
          <w:color w:val="000000"/>
          <w:sz w:val="24"/>
          <w:szCs w:val="24"/>
        </w:rPr>
      </w:pPr>
      <w:r>
        <w:rPr>
          <w:rFonts w:hint="eastAsia" w:ascii="宋体" w:hAnsi="宋体" w:cs="宋体"/>
          <w:color w:val="000000"/>
          <w:sz w:val="24"/>
          <w:szCs w:val="24"/>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cs="宋体"/>
          <w:color w:val="000000"/>
          <w:sz w:val="24"/>
          <w:szCs w:val="24"/>
          <w:lang w:eastAsia="zh-TW"/>
        </w:rPr>
        <w:t>投标人的澄清</w:t>
      </w:r>
      <w:r>
        <w:rPr>
          <w:rFonts w:hint="eastAsia" w:ascii="宋体" w:hAnsi="宋体" w:cs="宋体"/>
          <w:color w:val="000000"/>
          <w:sz w:val="24"/>
          <w:szCs w:val="24"/>
        </w:rPr>
        <w:t>或</w:t>
      </w:r>
      <w:r>
        <w:rPr>
          <w:rFonts w:hint="eastAsia" w:ascii="宋体" w:hAnsi="宋体" w:cs="宋体"/>
          <w:color w:val="000000"/>
          <w:sz w:val="24"/>
          <w:szCs w:val="24"/>
          <w:lang w:eastAsia="zh-TW"/>
        </w:rPr>
        <w:t>说明</w:t>
      </w:r>
      <w:r>
        <w:rPr>
          <w:rFonts w:hint="eastAsia" w:ascii="宋体" w:hAnsi="宋体" w:cs="宋体"/>
          <w:color w:val="000000"/>
          <w:sz w:val="24"/>
          <w:szCs w:val="24"/>
        </w:rPr>
        <w:t>答复应加盖公章或经公章授权的投标专用章或</w:t>
      </w:r>
      <w:r>
        <w:rPr>
          <w:rFonts w:hint="eastAsia" w:ascii="宋体" w:hAnsi="宋体" w:cs="宋体"/>
          <w:color w:val="000000"/>
          <w:sz w:val="24"/>
          <w:szCs w:val="24"/>
          <w:lang w:eastAsia="zh-TW"/>
        </w:rPr>
        <w:t>由投标人的法定代表人或其授权的代表签字</w:t>
      </w:r>
      <w:r>
        <w:rPr>
          <w:rFonts w:hint="eastAsia" w:ascii="宋体" w:hAnsi="宋体" w:cs="宋体"/>
          <w:color w:val="000000"/>
          <w:sz w:val="24"/>
          <w:szCs w:val="24"/>
        </w:rPr>
        <w:t>或盖个人名章。</w:t>
      </w:r>
    </w:p>
    <w:p w14:paraId="0D3E0B59">
      <w:pPr>
        <w:numPr>
          <w:ilvl w:val="1"/>
          <w:numId w:val="58"/>
        </w:numPr>
        <w:snapToGrid w:val="0"/>
        <w:spacing w:line="360" w:lineRule="auto"/>
        <w:jc w:val="both"/>
        <w:textAlignment w:val="baseline"/>
        <w:rPr>
          <w:rFonts w:ascii="宋体" w:hAnsi="宋体" w:cs="宋体"/>
          <w:sz w:val="24"/>
          <w:szCs w:val="24"/>
          <w:lang w:eastAsia="zh-TW"/>
        </w:rPr>
      </w:pPr>
      <w:r>
        <w:rPr>
          <w:rFonts w:hint="eastAsia" w:ascii="宋体" w:hAnsi="宋体" w:cs="宋体"/>
          <w:color w:val="000000"/>
          <w:sz w:val="24"/>
          <w:szCs w:val="24"/>
          <w:lang w:eastAsia="zh-TW"/>
        </w:rPr>
        <w:t>投标</w:t>
      </w:r>
      <w:r>
        <w:rPr>
          <w:rFonts w:hint="eastAsia" w:ascii="宋体" w:hAnsi="宋体" w:cs="宋体"/>
          <w:sz w:val="24"/>
          <w:szCs w:val="24"/>
          <w:lang w:eastAsia="zh-TW"/>
        </w:rPr>
        <w:t>人的澄清</w:t>
      </w:r>
      <w:r>
        <w:rPr>
          <w:rFonts w:hint="eastAsia" w:ascii="宋体" w:hAnsi="宋体" w:cs="宋体"/>
          <w:sz w:val="24"/>
          <w:szCs w:val="24"/>
        </w:rPr>
        <w:t>或说明答复</w:t>
      </w:r>
      <w:r>
        <w:rPr>
          <w:rFonts w:hint="eastAsia" w:ascii="宋体" w:hAnsi="宋体" w:cs="宋体"/>
          <w:sz w:val="24"/>
          <w:szCs w:val="24"/>
          <w:lang w:eastAsia="zh-TW"/>
        </w:rPr>
        <w:t>文件是其投标文件的组成部分。</w:t>
      </w:r>
    </w:p>
    <w:p w14:paraId="204616BF">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投标文件详细评价</w:t>
      </w:r>
    </w:p>
    <w:p w14:paraId="3BE366D1">
      <w:pPr>
        <w:numPr>
          <w:ilvl w:val="1"/>
          <w:numId w:val="59"/>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评标委员会按照招标文件确定的评标方法、步骤、标准对通过资格、符合性审查的投标文件进行详细评价和比较</w:t>
      </w:r>
      <w:r>
        <w:rPr>
          <w:rFonts w:hint="eastAsia" w:ascii="宋体" w:hAnsi="宋体" w:cs="宋体"/>
          <w:sz w:val="24"/>
          <w:szCs w:val="24"/>
        </w:rPr>
        <w:t>，并</w:t>
      </w:r>
      <w:r>
        <w:rPr>
          <w:rFonts w:hint="eastAsia" w:ascii="宋体" w:hAnsi="宋体"/>
          <w:sz w:val="24"/>
          <w:szCs w:val="24"/>
        </w:rPr>
        <w:t>出具书面评标报告。</w:t>
      </w:r>
    </w:p>
    <w:p w14:paraId="1DEC3A11">
      <w:pPr>
        <w:numPr>
          <w:ilvl w:val="0"/>
          <w:numId w:val="53"/>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中标候选人的推荐方法</w:t>
      </w:r>
    </w:p>
    <w:p w14:paraId="0A7C655C">
      <w:pPr>
        <w:numPr>
          <w:ilvl w:val="1"/>
          <w:numId w:val="6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采用综合评分法的，按评审后综合得分由高到低顺序排列，综合得分相同的，按下列顺序比较确定：（1）投标报价由低到高；（2）技术部分（或技术商务部分）得分由高到低；（3）以少数服从多数为原则，由评标委员会投票确定。</w:t>
      </w:r>
    </w:p>
    <w:p w14:paraId="61494353">
      <w:pPr>
        <w:numPr>
          <w:ilvl w:val="1"/>
          <w:numId w:val="6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采用最低评标价法的，按投标报价（经价格</w:t>
      </w:r>
      <w:r>
        <w:rPr>
          <w:rFonts w:hint="eastAsia" w:ascii="宋体" w:hAnsi="宋体" w:cs="宋体"/>
          <w:sz w:val="24"/>
          <w:szCs w:val="24"/>
        </w:rPr>
        <w:t>修正</w:t>
      </w:r>
      <w:r>
        <w:rPr>
          <w:rFonts w:hint="eastAsia" w:ascii="宋体" w:hAnsi="宋体" w:cs="宋体"/>
          <w:sz w:val="24"/>
          <w:szCs w:val="24"/>
          <w:lang w:eastAsia="zh-TW"/>
        </w:rPr>
        <w:t>后的价格）由低到高顺序排列。投标报价相同的，以少数服从多数为原则，由评标委员会投票确定。</w:t>
      </w:r>
    </w:p>
    <w:p w14:paraId="52A8BD3D">
      <w:pPr>
        <w:numPr>
          <w:ilvl w:val="1"/>
          <w:numId w:val="6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除“投标人须知前附表”另有规定的，采用综合评分法的推荐综合得分排名第一的投标人为第一中标候选人，排名第二的投标人为第二中标候选人</w:t>
      </w:r>
      <w:r>
        <w:rPr>
          <w:rFonts w:hint="eastAsia" w:ascii="宋体" w:hAnsi="宋体" w:cs="宋体"/>
          <w:sz w:val="24"/>
          <w:szCs w:val="24"/>
          <w:lang w:eastAsia="zh-CN"/>
        </w:rPr>
        <w:t>，</w:t>
      </w:r>
      <w:r>
        <w:rPr>
          <w:rFonts w:hint="eastAsia" w:ascii="宋体" w:hAnsi="宋体" w:cs="宋体"/>
          <w:sz w:val="24"/>
          <w:szCs w:val="24"/>
          <w:lang w:eastAsia="zh-TW"/>
        </w:rPr>
        <w:t>排名第</w:t>
      </w:r>
      <w:r>
        <w:rPr>
          <w:rFonts w:hint="eastAsia" w:ascii="宋体" w:hAnsi="宋体" w:cs="宋体"/>
          <w:sz w:val="24"/>
          <w:szCs w:val="24"/>
          <w:lang w:val="en-US" w:eastAsia="zh-CN"/>
        </w:rPr>
        <w:t>三</w:t>
      </w:r>
      <w:r>
        <w:rPr>
          <w:rFonts w:hint="eastAsia" w:ascii="宋体" w:hAnsi="宋体" w:cs="宋体"/>
          <w:sz w:val="24"/>
          <w:szCs w:val="24"/>
          <w:lang w:eastAsia="zh-TW"/>
        </w:rPr>
        <w:t>的投标人为第</w:t>
      </w:r>
      <w:r>
        <w:rPr>
          <w:rFonts w:hint="eastAsia" w:ascii="宋体" w:hAnsi="宋体" w:cs="宋体"/>
          <w:sz w:val="24"/>
          <w:szCs w:val="24"/>
          <w:lang w:val="en-US" w:eastAsia="zh-CN"/>
        </w:rPr>
        <w:t>三</w:t>
      </w:r>
      <w:r>
        <w:rPr>
          <w:rFonts w:hint="eastAsia" w:ascii="宋体" w:hAnsi="宋体" w:cs="宋体"/>
          <w:sz w:val="24"/>
          <w:szCs w:val="24"/>
          <w:lang w:eastAsia="zh-TW"/>
        </w:rPr>
        <w:t>中标候选人。采用最低评标价法的，投标文件满足招标文件全部实质性要求且投标报价最低的投标人为第一的中标候选人，投标报价次低的投标人为第二的中标候选人。</w:t>
      </w:r>
    </w:p>
    <w:p w14:paraId="2E70B131">
      <w:pPr>
        <w:numPr>
          <w:ilvl w:val="1"/>
          <w:numId w:val="6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rPr>
        <w:t>第一中标候选人</w:t>
      </w:r>
      <w:r>
        <w:rPr>
          <w:rFonts w:hint="eastAsia" w:ascii="宋体" w:hAnsi="宋体" w:cs="宋体"/>
          <w:sz w:val="24"/>
          <w:szCs w:val="24"/>
          <w:lang w:eastAsia="zh-TW"/>
        </w:rPr>
        <w:t>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14:paraId="344A6B16">
      <w:pPr>
        <w:numPr>
          <w:ilvl w:val="0"/>
          <w:numId w:val="53"/>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cs="宋体"/>
          <w:b/>
          <w:bCs/>
          <w:sz w:val="24"/>
          <w:szCs w:val="24"/>
          <w:lang w:val="en-US" w:eastAsia="zh-CN"/>
        </w:rPr>
        <w:t>中标候选人</w:t>
      </w:r>
      <w:r>
        <w:rPr>
          <w:rFonts w:hint="eastAsia" w:ascii="宋体" w:hAnsi="宋体"/>
          <w:b/>
          <w:bCs/>
          <w:color w:val="000000"/>
          <w:sz w:val="24"/>
          <w:szCs w:val="24"/>
        </w:rPr>
        <w:t>公示与中标通知书</w:t>
      </w:r>
    </w:p>
    <w:p w14:paraId="25FAED02">
      <w:pPr>
        <w:numPr>
          <w:ilvl w:val="1"/>
          <w:numId w:val="6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评标结果经招标人确定后，招标代理机构将在发布本项目招标公告媒体上进行</w:t>
      </w:r>
      <w:r>
        <w:rPr>
          <w:rFonts w:hint="eastAsia" w:ascii="宋体" w:hAnsi="宋体" w:cs="宋体"/>
          <w:sz w:val="24"/>
          <w:szCs w:val="24"/>
          <w:lang w:val="en-US" w:eastAsia="zh-CN"/>
        </w:rPr>
        <w:t>中标候选人</w:t>
      </w:r>
      <w:r>
        <w:rPr>
          <w:rFonts w:hint="eastAsia" w:ascii="宋体" w:hAnsi="宋体" w:cs="宋体"/>
          <w:sz w:val="24"/>
          <w:szCs w:val="24"/>
          <w:lang w:eastAsia="zh-TW"/>
        </w:rPr>
        <w:t>公示，公示期为3日。</w:t>
      </w:r>
    </w:p>
    <w:p w14:paraId="26631A2E">
      <w:pPr>
        <w:numPr>
          <w:ilvl w:val="1"/>
          <w:numId w:val="61"/>
        </w:numPr>
        <w:snapToGrid w:val="0"/>
        <w:spacing w:line="360" w:lineRule="auto"/>
        <w:jc w:val="both"/>
        <w:textAlignment w:val="baseline"/>
        <w:rPr>
          <w:rFonts w:ascii="宋体" w:hAnsi="宋体"/>
          <w:color w:val="000000"/>
          <w:sz w:val="24"/>
          <w:szCs w:val="24"/>
        </w:rPr>
      </w:pPr>
      <w:r>
        <w:rPr>
          <w:rFonts w:hint="eastAsia" w:ascii="宋体" w:hAnsi="宋体" w:cs="宋体"/>
          <w:sz w:val="24"/>
          <w:szCs w:val="24"/>
          <w:lang w:val="en-US" w:eastAsia="zh-CN"/>
        </w:rPr>
        <w:t>中标候选人</w:t>
      </w:r>
      <w:r>
        <w:rPr>
          <w:rFonts w:hint="eastAsia" w:ascii="宋体" w:hAnsi="宋体" w:cs="宋体"/>
          <w:sz w:val="24"/>
          <w:szCs w:val="24"/>
          <w:lang w:eastAsia="zh-TW"/>
        </w:rPr>
        <w:t>公示无异议的，招标代理机构在发布本项目招标公告媒体上进行</w:t>
      </w:r>
      <w:r>
        <w:rPr>
          <w:rFonts w:hint="eastAsia" w:ascii="宋体" w:hAnsi="宋体" w:cs="宋体"/>
          <w:sz w:val="24"/>
          <w:szCs w:val="24"/>
          <w:lang w:val="en-US" w:eastAsia="zh-CN"/>
        </w:rPr>
        <w:t>中标结果公示，并</w:t>
      </w:r>
      <w:r>
        <w:rPr>
          <w:rFonts w:hint="eastAsia" w:ascii="宋体" w:hAnsi="宋体" w:cs="宋体"/>
          <w:sz w:val="24"/>
          <w:szCs w:val="24"/>
          <w:lang w:eastAsia="zh-TW"/>
        </w:rPr>
        <w:t>向其发出中标通知书，同时将中标结果通知所有未</w:t>
      </w:r>
      <w:r>
        <w:rPr>
          <w:rFonts w:hint="eastAsia" w:ascii="宋体" w:hAnsi="宋体"/>
          <w:color w:val="000000"/>
          <w:sz w:val="24"/>
          <w:szCs w:val="24"/>
        </w:rPr>
        <w:t>中标的投标人。</w:t>
      </w:r>
    </w:p>
    <w:p w14:paraId="42F00FE2">
      <w:pPr>
        <w:snapToGrid w:val="0"/>
        <w:spacing w:line="360" w:lineRule="auto"/>
        <w:ind w:left="-200" w:leftChars="-100"/>
        <w:jc w:val="center"/>
        <w:outlineLvl w:val="2"/>
        <w:rPr>
          <w:rFonts w:ascii="宋体" w:hAnsi="宋体"/>
          <w:b/>
          <w:color w:val="000000"/>
          <w:sz w:val="24"/>
          <w:szCs w:val="24"/>
        </w:rPr>
      </w:pPr>
      <w:bookmarkStart w:id="60" w:name="_Toc19973"/>
      <w:bookmarkStart w:id="61" w:name="_Toc23987"/>
      <w:bookmarkStart w:id="62" w:name="_Toc4252"/>
      <w:bookmarkStart w:id="63" w:name="_Toc4724"/>
      <w:r>
        <w:rPr>
          <w:rFonts w:hint="eastAsia" w:ascii="宋体" w:hAnsi="宋体"/>
          <w:b/>
          <w:color w:val="000000"/>
          <w:sz w:val="24"/>
          <w:szCs w:val="24"/>
        </w:rPr>
        <w:t>六、异议的提出与答复</w:t>
      </w:r>
      <w:bookmarkEnd w:id="60"/>
      <w:bookmarkEnd w:id="61"/>
      <w:bookmarkEnd w:id="62"/>
      <w:bookmarkEnd w:id="63"/>
    </w:p>
    <w:p w14:paraId="0E9E1B49">
      <w:pPr>
        <w:numPr>
          <w:ilvl w:val="0"/>
          <w:numId w:val="62"/>
        </w:numPr>
        <w:snapToGrid w:val="0"/>
        <w:spacing w:line="360" w:lineRule="auto"/>
        <w:ind w:left="241" w:hanging="241" w:hangingChars="100"/>
        <w:jc w:val="both"/>
        <w:outlineLvl w:val="3"/>
        <w:rPr>
          <w:rFonts w:ascii="宋体" w:hAnsi="宋体"/>
          <w:b/>
          <w:color w:val="000000"/>
          <w:sz w:val="24"/>
          <w:szCs w:val="24"/>
        </w:rPr>
      </w:pPr>
      <w:r>
        <w:rPr>
          <w:rFonts w:hint="eastAsia" w:ascii="宋体" w:hAnsi="宋体"/>
          <w:b/>
          <w:sz w:val="24"/>
          <w:szCs w:val="24"/>
        </w:rPr>
        <w:t>异议的提出与</w:t>
      </w:r>
      <w:r>
        <w:rPr>
          <w:rFonts w:hint="eastAsia" w:ascii="宋体" w:hAnsi="宋体"/>
          <w:b/>
          <w:color w:val="000000"/>
          <w:sz w:val="24"/>
          <w:szCs w:val="24"/>
        </w:rPr>
        <w:t>答复</w:t>
      </w:r>
    </w:p>
    <w:p w14:paraId="62896C40">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潜在投标人或其他利害关系人对招标文件有异议的，应当在投标截止时间10日前以书面形式（加盖投标人公章）向招标代理机构提交异议函原件，逾期异议无效。</w:t>
      </w:r>
    </w:p>
    <w:p w14:paraId="4D0ABDF3">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投标人对开标异议的，应当在开标现场提出，招标人或招标代理机构应当当场作出答复，并制作记录。</w:t>
      </w:r>
    </w:p>
    <w:p w14:paraId="3025DFEE">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投标人对评标结果有异议的，应当在公示期间以书面形式（加盖投标人公章）向招标代理机构提交异议函原件，逾期异议无效。</w:t>
      </w:r>
    </w:p>
    <w:p w14:paraId="380C8055">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以联合体形式参加采购活动的，其异议应当由组成联合体的所有供应商共同提出。</w:t>
      </w:r>
    </w:p>
    <w:p w14:paraId="52A412AC">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7B6D297F">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投标人异议应当有明确的请求和必要的证明材料，捏造事实、提供虚假材料或者以非法手段取得证明材料不能作为异议的证明材料。</w:t>
      </w:r>
    </w:p>
    <w:p w14:paraId="25DDE540">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投标人异议须提供相关证明材料，包括但不限于权益受损害的情况说明及受损害的原因、证据内容等，并对异议内容的真实性承担责任。</w:t>
      </w:r>
    </w:p>
    <w:p w14:paraId="4CB08252">
      <w:pPr>
        <w:numPr>
          <w:ilvl w:val="1"/>
          <w:numId w:val="63"/>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招标人及招标代理机构应当在收到书面异议之日起3日内作出答复，但答复的内容不得涉及其他投标人的商业秘密。</w:t>
      </w:r>
    </w:p>
    <w:p w14:paraId="2A8454DD">
      <w:pPr>
        <w:numPr>
          <w:ilvl w:val="1"/>
          <w:numId w:val="63"/>
        </w:numPr>
        <w:snapToGrid w:val="0"/>
        <w:spacing w:line="360" w:lineRule="auto"/>
        <w:jc w:val="both"/>
        <w:textAlignment w:val="baseline"/>
        <w:rPr>
          <w:rFonts w:ascii="宋体" w:cs="宋体"/>
          <w:color w:val="000000"/>
          <w:sz w:val="24"/>
          <w:szCs w:val="24"/>
        </w:rPr>
      </w:pPr>
      <w:r>
        <w:rPr>
          <w:rFonts w:hint="eastAsia" w:ascii="宋体" w:hAnsi="宋体" w:cs="宋体"/>
          <w:sz w:val="24"/>
          <w:szCs w:val="24"/>
          <w:lang w:eastAsia="zh-TW"/>
        </w:rPr>
        <w:t>投标人提出的异议涉及评审过程或者结果的，招标人及招标代理机构可以组织原评审委员会</w:t>
      </w:r>
      <w:r>
        <w:rPr>
          <w:rFonts w:hint="eastAsia" w:ascii="宋体" w:cs="宋体"/>
          <w:color w:val="000000"/>
          <w:sz w:val="24"/>
          <w:szCs w:val="24"/>
        </w:rPr>
        <w:t>协助处理异议事项，并可依据评审委员会出具的意见进行答复。</w:t>
      </w:r>
    </w:p>
    <w:p w14:paraId="31B86A4B">
      <w:pPr>
        <w:numPr>
          <w:ilvl w:val="1"/>
          <w:numId w:val="63"/>
        </w:numPr>
        <w:snapToGrid w:val="0"/>
        <w:spacing w:line="360" w:lineRule="auto"/>
        <w:jc w:val="both"/>
        <w:textAlignment w:val="baseline"/>
      </w:pPr>
      <w:r>
        <w:rPr>
          <w:rFonts w:hint="eastAsia" w:ascii="宋体" w:hAnsi="宋体" w:cs="宋体"/>
          <w:sz w:val="24"/>
          <w:szCs w:val="24"/>
        </w:rPr>
        <w:t>招</w:t>
      </w:r>
      <w:r>
        <w:rPr>
          <w:rFonts w:hint="eastAsia" w:ascii="宋体" w:hAnsi="宋体" w:cs="宋体"/>
          <w:sz w:val="24"/>
          <w:szCs w:val="24"/>
          <w:lang w:eastAsia="zh-TW"/>
        </w:rPr>
        <w:t>标人提出的</w:t>
      </w:r>
      <w:r>
        <w:rPr>
          <w:rFonts w:hint="eastAsia" w:ascii="宋体" w:hAnsi="宋体" w:cs="宋体"/>
          <w:sz w:val="24"/>
          <w:szCs w:val="24"/>
        </w:rPr>
        <w:t>疑问</w:t>
      </w:r>
      <w:r>
        <w:rPr>
          <w:rFonts w:hint="eastAsia" w:ascii="宋体" w:hAnsi="宋体" w:cs="宋体"/>
          <w:sz w:val="24"/>
          <w:szCs w:val="24"/>
          <w:lang w:eastAsia="zh-TW"/>
        </w:rPr>
        <w:t>涉及评审过程或者结果的，招标代理机构可以组织原评审委员会</w:t>
      </w:r>
      <w:r>
        <w:rPr>
          <w:rFonts w:hint="eastAsia" w:ascii="宋体" w:cs="宋体"/>
          <w:color w:val="000000"/>
          <w:sz w:val="24"/>
          <w:szCs w:val="24"/>
        </w:rPr>
        <w:t>协助处理，并可依据评审委员会出具的意见进行答复。</w:t>
      </w:r>
    </w:p>
    <w:p w14:paraId="0AD28814">
      <w:pPr>
        <w:snapToGrid w:val="0"/>
        <w:spacing w:line="360" w:lineRule="auto"/>
        <w:ind w:left="-200" w:leftChars="-100"/>
        <w:jc w:val="both"/>
        <w:rPr>
          <w:rFonts w:ascii="宋体" w:hAnsi="宋体" w:cs="黑体"/>
          <w:b/>
          <w:bCs/>
          <w:sz w:val="24"/>
          <w:szCs w:val="24"/>
        </w:rPr>
      </w:pPr>
    </w:p>
    <w:p w14:paraId="49BB3005">
      <w:pPr>
        <w:snapToGrid w:val="0"/>
        <w:spacing w:line="360" w:lineRule="auto"/>
        <w:ind w:left="-200" w:leftChars="-100"/>
        <w:jc w:val="center"/>
        <w:outlineLvl w:val="2"/>
        <w:rPr>
          <w:rFonts w:ascii="宋体" w:hAnsi="宋体"/>
          <w:b/>
          <w:sz w:val="24"/>
          <w:szCs w:val="24"/>
          <w:lang w:eastAsia="zh-TW"/>
        </w:rPr>
      </w:pPr>
      <w:bookmarkStart w:id="64" w:name="_Toc24285"/>
      <w:bookmarkStart w:id="65" w:name="_Toc20616"/>
      <w:bookmarkStart w:id="66" w:name="_Toc309"/>
      <w:bookmarkStart w:id="67" w:name="_Toc29726"/>
      <w:r>
        <w:rPr>
          <w:rFonts w:hint="eastAsia" w:ascii="宋体" w:hAnsi="宋体"/>
          <w:b/>
          <w:sz w:val="24"/>
          <w:szCs w:val="24"/>
        </w:rPr>
        <w:t>七、</w:t>
      </w:r>
      <w:r>
        <w:rPr>
          <w:rFonts w:hint="eastAsia" w:ascii="宋体" w:hAnsi="宋体"/>
          <w:b/>
          <w:sz w:val="24"/>
          <w:szCs w:val="24"/>
          <w:lang w:eastAsia="zh-TW"/>
        </w:rPr>
        <w:t>授予合同</w:t>
      </w:r>
      <w:bookmarkEnd w:id="64"/>
      <w:bookmarkEnd w:id="65"/>
      <w:bookmarkEnd w:id="66"/>
      <w:bookmarkEnd w:id="67"/>
    </w:p>
    <w:p w14:paraId="2D2E17F8">
      <w:pPr>
        <w:numPr>
          <w:ilvl w:val="0"/>
          <w:numId w:val="64"/>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合同的订立</w:t>
      </w:r>
    </w:p>
    <w:p w14:paraId="5C5A4B00">
      <w:pPr>
        <w:numPr>
          <w:ilvl w:val="1"/>
          <w:numId w:val="65"/>
        </w:numPr>
        <w:snapToGrid w:val="0"/>
        <w:spacing w:line="360" w:lineRule="auto"/>
        <w:jc w:val="both"/>
        <w:textAlignment w:val="baseline"/>
        <w:rPr>
          <w:rFonts w:ascii="宋体" w:hAnsi="宋体" w:cs="宋体"/>
          <w:color w:val="000000"/>
          <w:sz w:val="24"/>
          <w:szCs w:val="24"/>
        </w:rPr>
      </w:pPr>
      <w:r>
        <w:rPr>
          <w:rFonts w:hint="eastAsia" w:ascii="宋体" w:hAnsi="宋体" w:cs="宋体"/>
          <w:sz w:val="24"/>
          <w:szCs w:val="24"/>
        </w:rPr>
        <w:t>除</w:t>
      </w:r>
      <w:r>
        <w:rPr>
          <w:rFonts w:hint="eastAsia" w:ascii="宋体" w:hAnsi="宋体" w:cs="宋体"/>
          <w:color w:val="000000"/>
          <w:sz w:val="24"/>
          <w:szCs w:val="24"/>
        </w:rPr>
        <w:t>非</w:t>
      </w:r>
      <w:r>
        <w:rPr>
          <w:rFonts w:hint="eastAsia" w:ascii="宋体" w:hAnsi="宋体" w:cs="宋体"/>
          <w:b/>
          <w:color w:val="000000"/>
          <w:sz w:val="24"/>
          <w:szCs w:val="24"/>
        </w:rPr>
        <w:t>“投标人须知前附表</w:t>
      </w:r>
      <w:r>
        <w:rPr>
          <w:rFonts w:hint="eastAsia" w:ascii="宋体" w:hAnsi="宋体" w:cs="黑体"/>
          <w:b/>
          <w:color w:val="000000"/>
          <w:sz w:val="24"/>
          <w:szCs w:val="24"/>
        </w:rPr>
        <w:t>”</w:t>
      </w:r>
      <w:r>
        <w:rPr>
          <w:rFonts w:hint="eastAsia" w:ascii="宋体" w:hAnsi="宋体" w:cs="宋体"/>
          <w:color w:val="000000"/>
          <w:sz w:val="24"/>
          <w:szCs w:val="24"/>
        </w:rPr>
        <w:t>另有规定，招标人和中标人应当自中标通知书发出之日起三十日内，</w:t>
      </w:r>
      <w:r>
        <w:rPr>
          <w:rFonts w:hint="eastAsia"/>
          <w:color w:val="000000"/>
          <w:sz w:val="24"/>
          <w:szCs w:val="24"/>
        </w:rPr>
        <w:t>参照《中华人民共和国招标投标法》及其实施条例的规定签订书面合同，合同的标的、价款、质量、履行期限等主要条款应当与招标文件和中标人的投标文件的内容一致。招标人和中标人不得再行订立背离合同实质性内容的其他协议</w:t>
      </w:r>
      <w:r>
        <w:rPr>
          <w:rFonts w:hint="eastAsia" w:ascii="宋体" w:hAnsi="宋体" w:cs="宋体"/>
          <w:color w:val="000000"/>
          <w:sz w:val="24"/>
          <w:szCs w:val="24"/>
        </w:rPr>
        <w:t>。</w:t>
      </w:r>
    </w:p>
    <w:p w14:paraId="0EFC2AE6">
      <w:pPr>
        <w:numPr>
          <w:ilvl w:val="0"/>
          <w:numId w:val="64"/>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履约保证金</w:t>
      </w:r>
    </w:p>
    <w:p w14:paraId="7B06829B">
      <w:pPr>
        <w:numPr>
          <w:ilvl w:val="1"/>
          <w:numId w:val="66"/>
        </w:numPr>
        <w:snapToGrid w:val="0"/>
        <w:spacing w:line="360" w:lineRule="auto"/>
        <w:jc w:val="both"/>
        <w:textAlignment w:val="baseline"/>
        <w:rPr>
          <w:rFonts w:ascii="宋体" w:hAnsi="宋体" w:cs="黑体"/>
          <w:b/>
          <w:bCs/>
          <w:sz w:val="24"/>
          <w:szCs w:val="24"/>
        </w:rPr>
      </w:pPr>
      <w:r>
        <w:rPr>
          <w:rFonts w:hint="eastAsia" w:ascii="宋体" w:hAnsi="宋体" w:cs="宋体"/>
          <w:sz w:val="24"/>
          <w:szCs w:val="24"/>
          <w:lang w:eastAsia="zh-TW"/>
        </w:rPr>
        <w:t>中标人</w:t>
      </w:r>
      <w:r>
        <w:rPr>
          <w:rFonts w:hint="eastAsia" w:ascii="宋体" w:hAnsi="宋体" w:cs="宋体"/>
          <w:sz w:val="24"/>
          <w:szCs w:val="24"/>
        </w:rPr>
        <w:t>应按照</w:t>
      </w:r>
      <w:r>
        <w:rPr>
          <w:rFonts w:hint="eastAsia" w:ascii="宋体" w:hAnsi="宋体" w:cs="黑体"/>
          <w:b/>
          <w:sz w:val="24"/>
          <w:szCs w:val="24"/>
        </w:rPr>
        <w:t>招标文件</w:t>
      </w:r>
      <w:r>
        <w:rPr>
          <w:rFonts w:hint="eastAsia" w:ascii="宋体" w:hAnsi="宋体" w:cs="宋体"/>
          <w:sz w:val="24"/>
          <w:szCs w:val="24"/>
        </w:rPr>
        <w:t>规定的金额，采用招标人可以接受的形式向招标人提交履约保证金。</w:t>
      </w:r>
    </w:p>
    <w:p w14:paraId="43CD7855">
      <w:pPr>
        <w:numPr>
          <w:ilvl w:val="0"/>
          <w:numId w:val="64"/>
        </w:numPr>
        <w:snapToGrid w:val="0"/>
        <w:spacing w:line="360" w:lineRule="auto"/>
        <w:ind w:left="241" w:hanging="241" w:hangingChars="100"/>
        <w:jc w:val="both"/>
        <w:outlineLvl w:val="3"/>
        <w:rPr>
          <w:rFonts w:ascii="宋体" w:hAnsi="宋体"/>
          <w:b/>
          <w:bCs/>
          <w:sz w:val="24"/>
          <w:szCs w:val="24"/>
        </w:rPr>
      </w:pPr>
      <w:r>
        <w:rPr>
          <w:rFonts w:hint="eastAsia" w:ascii="宋体" w:hAnsi="宋体"/>
          <w:b/>
          <w:bCs/>
          <w:sz w:val="24"/>
          <w:szCs w:val="24"/>
        </w:rPr>
        <w:t>招标代理服务费</w:t>
      </w:r>
    </w:p>
    <w:p w14:paraId="3C8E30D1">
      <w:pPr>
        <w:numPr>
          <w:ilvl w:val="1"/>
          <w:numId w:val="67"/>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中标人应按照招标文件“投标人须知前附表”中的规定缴纳招标代理服务费。否则，不予退还其投标保证金。</w:t>
      </w:r>
    </w:p>
    <w:p w14:paraId="35F396E5">
      <w:pPr>
        <w:numPr>
          <w:ilvl w:val="1"/>
          <w:numId w:val="67"/>
        </w:numPr>
        <w:snapToGrid w:val="0"/>
        <w:spacing w:line="360" w:lineRule="auto"/>
        <w:jc w:val="both"/>
        <w:textAlignment w:val="baseline"/>
        <w:rPr>
          <w:rFonts w:ascii="宋体" w:hAnsi="宋体" w:cs="宋体"/>
          <w:sz w:val="24"/>
          <w:szCs w:val="24"/>
        </w:rPr>
      </w:pPr>
      <w:r>
        <w:rPr>
          <w:rFonts w:hint="eastAsia" w:ascii="宋体" w:hAnsi="宋体" w:cs="宋体"/>
          <w:sz w:val="24"/>
          <w:szCs w:val="24"/>
          <w:lang w:eastAsia="zh-TW"/>
        </w:rPr>
        <w:t>服</w:t>
      </w:r>
      <w:r>
        <w:rPr>
          <w:rFonts w:hint="eastAsia" w:ascii="宋体" w:hAnsi="宋体" w:cs="宋体"/>
          <w:sz w:val="24"/>
          <w:szCs w:val="24"/>
        </w:rPr>
        <w:t>务费按差额定率累进法计算。</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14"/>
        <w:gridCol w:w="2415"/>
        <w:gridCol w:w="2833"/>
      </w:tblGrid>
      <w:tr w14:paraId="77881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blHeader/>
          <w:jc w:val="center"/>
        </w:trPr>
        <w:tc>
          <w:tcPr>
            <w:tcW w:w="2366" w:type="pct"/>
            <w:tcBorders>
              <w:top w:val="single" w:color="auto" w:sz="12" w:space="0"/>
              <w:left w:val="single" w:color="auto" w:sz="12" w:space="0"/>
              <w:bottom w:val="single" w:color="auto" w:sz="4" w:space="0"/>
              <w:right w:val="single" w:color="auto" w:sz="4" w:space="0"/>
              <w:tl2br w:val="single" w:color="auto" w:sz="4" w:space="0"/>
            </w:tcBorders>
            <w:vAlign w:val="center"/>
          </w:tcPr>
          <w:p w14:paraId="5CF0A848">
            <w:pPr>
              <w:snapToGrid w:val="0"/>
              <w:ind w:left="-200" w:leftChars="-100"/>
              <w:jc w:val="center"/>
              <w:rPr>
                <w:rFonts w:ascii="宋体" w:hAnsi="宋体"/>
                <w:sz w:val="24"/>
                <w:szCs w:val="24"/>
              </w:rPr>
            </w:pPr>
            <w:r>
              <w:rPr>
                <w:rFonts w:hint="eastAsia" w:ascii="宋体" w:hAnsi="宋体"/>
                <w:sz w:val="24"/>
                <w:szCs w:val="24"/>
              </w:rPr>
              <w:t>费率</w:t>
            </w:r>
          </w:p>
          <w:p w14:paraId="1774AAE0">
            <w:pPr>
              <w:snapToGrid w:val="0"/>
              <w:ind w:left="-200" w:leftChars="-100"/>
              <w:rPr>
                <w:rFonts w:ascii="宋体" w:hAnsi="宋体"/>
                <w:sz w:val="24"/>
                <w:szCs w:val="24"/>
              </w:rPr>
            </w:pPr>
            <w:r>
              <w:rPr>
                <w:rFonts w:hint="eastAsia" w:ascii="宋体" w:hAnsi="宋体"/>
                <w:sz w:val="24"/>
                <w:szCs w:val="24"/>
              </w:rPr>
              <w:t>中标金额</w:t>
            </w:r>
          </w:p>
        </w:tc>
        <w:tc>
          <w:tcPr>
            <w:tcW w:w="1212" w:type="pct"/>
            <w:tcBorders>
              <w:top w:val="single" w:color="auto" w:sz="12" w:space="0"/>
              <w:left w:val="single" w:color="auto" w:sz="4" w:space="0"/>
              <w:bottom w:val="single" w:color="auto" w:sz="4" w:space="0"/>
              <w:right w:val="single" w:color="auto" w:sz="4" w:space="0"/>
            </w:tcBorders>
            <w:vAlign w:val="center"/>
          </w:tcPr>
          <w:p w14:paraId="71CC093F">
            <w:pPr>
              <w:snapToGrid w:val="0"/>
              <w:ind w:left="-200" w:leftChars="-100"/>
              <w:jc w:val="center"/>
              <w:rPr>
                <w:rFonts w:ascii="宋体" w:hAnsi="宋体"/>
                <w:sz w:val="24"/>
                <w:szCs w:val="24"/>
              </w:rPr>
            </w:pPr>
            <w:r>
              <w:rPr>
                <w:rFonts w:hint="eastAsia" w:ascii="宋体" w:hAnsi="宋体"/>
                <w:sz w:val="24"/>
                <w:szCs w:val="24"/>
              </w:rPr>
              <w:t>货物招标</w:t>
            </w:r>
          </w:p>
        </w:tc>
        <w:tc>
          <w:tcPr>
            <w:tcW w:w="1422" w:type="pct"/>
            <w:tcBorders>
              <w:top w:val="single" w:color="auto" w:sz="12" w:space="0"/>
              <w:left w:val="single" w:color="auto" w:sz="4" w:space="0"/>
              <w:bottom w:val="single" w:color="auto" w:sz="4" w:space="0"/>
              <w:right w:val="single" w:color="auto" w:sz="12" w:space="0"/>
            </w:tcBorders>
            <w:vAlign w:val="center"/>
          </w:tcPr>
          <w:p w14:paraId="3B8BA6BB">
            <w:pPr>
              <w:snapToGrid w:val="0"/>
              <w:ind w:left="-200" w:leftChars="-100"/>
              <w:jc w:val="center"/>
              <w:rPr>
                <w:rFonts w:ascii="宋体" w:hAnsi="宋体"/>
                <w:sz w:val="24"/>
                <w:szCs w:val="24"/>
              </w:rPr>
            </w:pPr>
            <w:r>
              <w:rPr>
                <w:rFonts w:hint="eastAsia" w:ascii="宋体" w:hAnsi="宋体"/>
                <w:sz w:val="24"/>
                <w:szCs w:val="24"/>
              </w:rPr>
              <w:t>服务招标</w:t>
            </w:r>
          </w:p>
        </w:tc>
      </w:tr>
      <w:tr w14:paraId="21F95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3BC17417">
            <w:pPr>
              <w:snapToGrid w:val="0"/>
              <w:ind w:left="-200" w:leftChars="-100"/>
              <w:jc w:val="center"/>
              <w:rPr>
                <w:rFonts w:ascii="宋体" w:hAnsi="宋体"/>
                <w:sz w:val="24"/>
                <w:szCs w:val="24"/>
              </w:rPr>
            </w:pPr>
            <w:r>
              <w:rPr>
                <w:rFonts w:hint="eastAsia" w:ascii="宋体" w:hAnsi="宋体"/>
                <w:sz w:val="24"/>
                <w:szCs w:val="24"/>
              </w:rPr>
              <w:t>100万元以下</w:t>
            </w:r>
          </w:p>
        </w:tc>
        <w:tc>
          <w:tcPr>
            <w:tcW w:w="1212" w:type="pct"/>
            <w:tcBorders>
              <w:top w:val="single" w:color="auto" w:sz="4" w:space="0"/>
              <w:left w:val="single" w:color="auto" w:sz="4" w:space="0"/>
              <w:bottom w:val="single" w:color="auto" w:sz="4" w:space="0"/>
              <w:right w:val="single" w:color="auto" w:sz="4" w:space="0"/>
            </w:tcBorders>
            <w:vAlign w:val="center"/>
          </w:tcPr>
          <w:p w14:paraId="078F5C6B">
            <w:pPr>
              <w:snapToGrid w:val="0"/>
              <w:ind w:left="-200" w:leftChars="-100"/>
              <w:jc w:val="center"/>
              <w:rPr>
                <w:rFonts w:ascii="宋体" w:hAnsi="宋体"/>
                <w:sz w:val="24"/>
                <w:szCs w:val="24"/>
              </w:rPr>
            </w:pPr>
            <w:r>
              <w:rPr>
                <w:rFonts w:ascii="宋体" w:hAnsi="宋体"/>
                <w:sz w:val="24"/>
                <w:szCs w:val="24"/>
              </w:rPr>
              <w:t>1.5%</w:t>
            </w:r>
          </w:p>
        </w:tc>
        <w:tc>
          <w:tcPr>
            <w:tcW w:w="1422" w:type="pct"/>
            <w:tcBorders>
              <w:top w:val="single" w:color="auto" w:sz="4" w:space="0"/>
              <w:left w:val="single" w:color="auto" w:sz="4" w:space="0"/>
              <w:bottom w:val="single" w:color="auto" w:sz="4" w:space="0"/>
              <w:right w:val="single" w:color="auto" w:sz="12" w:space="0"/>
            </w:tcBorders>
            <w:vAlign w:val="center"/>
          </w:tcPr>
          <w:p w14:paraId="21D921FB">
            <w:pPr>
              <w:snapToGrid w:val="0"/>
              <w:ind w:left="-200" w:leftChars="-100"/>
              <w:jc w:val="center"/>
              <w:rPr>
                <w:rFonts w:ascii="宋体" w:hAnsi="宋体"/>
                <w:sz w:val="24"/>
                <w:szCs w:val="24"/>
              </w:rPr>
            </w:pPr>
            <w:r>
              <w:rPr>
                <w:rFonts w:hint="eastAsia" w:ascii="宋体" w:hAnsi="宋体" w:cs="宋体"/>
                <w:sz w:val="24"/>
                <w:szCs w:val="24"/>
              </w:rPr>
              <w:t>1.5%</w:t>
            </w:r>
          </w:p>
        </w:tc>
      </w:tr>
      <w:tr w14:paraId="28945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7624C70B">
            <w:pPr>
              <w:snapToGrid w:val="0"/>
              <w:ind w:left="-200" w:leftChars="-100"/>
              <w:jc w:val="center"/>
              <w:rPr>
                <w:rFonts w:ascii="宋体" w:hAnsi="宋体"/>
                <w:sz w:val="24"/>
                <w:szCs w:val="24"/>
              </w:rPr>
            </w:pPr>
            <w:r>
              <w:rPr>
                <w:rFonts w:hint="eastAsia" w:ascii="宋体" w:hAnsi="宋体"/>
                <w:sz w:val="24"/>
                <w:szCs w:val="24"/>
              </w:rPr>
              <w:t>100～500万元</w:t>
            </w:r>
          </w:p>
        </w:tc>
        <w:tc>
          <w:tcPr>
            <w:tcW w:w="1212" w:type="pct"/>
            <w:tcBorders>
              <w:top w:val="single" w:color="auto" w:sz="4" w:space="0"/>
              <w:left w:val="single" w:color="auto" w:sz="4" w:space="0"/>
              <w:bottom w:val="single" w:color="auto" w:sz="4" w:space="0"/>
              <w:right w:val="single" w:color="auto" w:sz="4" w:space="0"/>
            </w:tcBorders>
            <w:vAlign w:val="center"/>
          </w:tcPr>
          <w:p w14:paraId="7BF4EC1A">
            <w:pPr>
              <w:snapToGrid w:val="0"/>
              <w:ind w:left="-200" w:leftChars="-100"/>
              <w:jc w:val="center"/>
              <w:rPr>
                <w:rFonts w:ascii="宋体" w:hAnsi="宋体"/>
                <w:sz w:val="24"/>
                <w:szCs w:val="24"/>
              </w:rPr>
            </w:pPr>
            <w:r>
              <w:rPr>
                <w:rFonts w:ascii="宋体" w:hAnsi="宋体"/>
                <w:sz w:val="24"/>
                <w:szCs w:val="24"/>
              </w:rPr>
              <w:t>1.1%</w:t>
            </w:r>
          </w:p>
        </w:tc>
        <w:tc>
          <w:tcPr>
            <w:tcW w:w="1422" w:type="pct"/>
            <w:tcBorders>
              <w:top w:val="single" w:color="auto" w:sz="4" w:space="0"/>
              <w:left w:val="single" w:color="auto" w:sz="4" w:space="0"/>
              <w:bottom w:val="single" w:color="auto" w:sz="4" w:space="0"/>
              <w:right w:val="single" w:color="auto" w:sz="12" w:space="0"/>
            </w:tcBorders>
            <w:vAlign w:val="center"/>
          </w:tcPr>
          <w:p w14:paraId="7E128C11">
            <w:pPr>
              <w:snapToGrid w:val="0"/>
              <w:ind w:left="-200" w:leftChars="-100"/>
              <w:jc w:val="center"/>
              <w:rPr>
                <w:rFonts w:ascii="宋体" w:hAnsi="宋体"/>
                <w:sz w:val="24"/>
                <w:szCs w:val="24"/>
              </w:rPr>
            </w:pPr>
            <w:r>
              <w:rPr>
                <w:rFonts w:hint="eastAsia" w:ascii="宋体" w:hAnsi="宋体" w:cs="宋体"/>
                <w:sz w:val="24"/>
                <w:szCs w:val="24"/>
              </w:rPr>
              <w:t>0.8%</w:t>
            </w:r>
          </w:p>
        </w:tc>
      </w:tr>
      <w:tr w14:paraId="5F076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5D72C5A5">
            <w:pPr>
              <w:snapToGrid w:val="0"/>
              <w:ind w:left="-200" w:leftChars="-100"/>
              <w:jc w:val="center"/>
              <w:rPr>
                <w:rFonts w:ascii="宋体" w:hAnsi="宋体"/>
                <w:sz w:val="24"/>
                <w:szCs w:val="24"/>
              </w:rPr>
            </w:pPr>
            <w:r>
              <w:rPr>
                <w:rFonts w:hint="eastAsia" w:ascii="宋体" w:hAnsi="宋体"/>
                <w:sz w:val="24"/>
                <w:szCs w:val="24"/>
              </w:rPr>
              <w:t>500～1000万元</w:t>
            </w:r>
          </w:p>
        </w:tc>
        <w:tc>
          <w:tcPr>
            <w:tcW w:w="1212" w:type="pct"/>
            <w:tcBorders>
              <w:top w:val="single" w:color="auto" w:sz="4" w:space="0"/>
              <w:left w:val="single" w:color="auto" w:sz="4" w:space="0"/>
              <w:bottom w:val="single" w:color="auto" w:sz="4" w:space="0"/>
              <w:right w:val="single" w:color="auto" w:sz="4" w:space="0"/>
            </w:tcBorders>
            <w:vAlign w:val="center"/>
          </w:tcPr>
          <w:p w14:paraId="17152336">
            <w:pPr>
              <w:snapToGrid w:val="0"/>
              <w:ind w:left="-200" w:leftChars="-100"/>
              <w:jc w:val="center"/>
              <w:rPr>
                <w:rFonts w:ascii="宋体" w:hAnsi="宋体"/>
                <w:sz w:val="24"/>
                <w:szCs w:val="24"/>
              </w:rPr>
            </w:pPr>
            <w:r>
              <w:rPr>
                <w:rFonts w:ascii="宋体" w:hAnsi="宋体"/>
                <w:sz w:val="24"/>
                <w:szCs w:val="24"/>
              </w:rPr>
              <w:t>0.8%</w:t>
            </w:r>
          </w:p>
        </w:tc>
        <w:tc>
          <w:tcPr>
            <w:tcW w:w="1422" w:type="pct"/>
            <w:tcBorders>
              <w:top w:val="single" w:color="auto" w:sz="4" w:space="0"/>
              <w:left w:val="single" w:color="auto" w:sz="4" w:space="0"/>
              <w:bottom w:val="single" w:color="auto" w:sz="4" w:space="0"/>
              <w:right w:val="single" w:color="auto" w:sz="12" w:space="0"/>
            </w:tcBorders>
            <w:vAlign w:val="center"/>
          </w:tcPr>
          <w:p w14:paraId="20F4810C">
            <w:pPr>
              <w:snapToGrid w:val="0"/>
              <w:ind w:left="-200" w:leftChars="-100"/>
              <w:jc w:val="center"/>
              <w:rPr>
                <w:rFonts w:ascii="宋体" w:hAnsi="宋体"/>
                <w:sz w:val="24"/>
                <w:szCs w:val="24"/>
              </w:rPr>
            </w:pPr>
            <w:r>
              <w:rPr>
                <w:rFonts w:hint="eastAsia" w:ascii="宋体" w:hAnsi="宋体" w:cs="宋体"/>
                <w:sz w:val="24"/>
                <w:szCs w:val="24"/>
              </w:rPr>
              <w:t>0.45%</w:t>
            </w:r>
          </w:p>
        </w:tc>
      </w:tr>
      <w:tr w14:paraId="7DFA5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39E89F40">
            <w:pPr>
              <w:snapToGrid w:val="0"/>
              <w:ind w:left="-200" w:leftChars="-100"/>
              <w:jc w:val="center"/>
              <w:rPr>
                <w:rFonts w:ascii="宋体" w:hAnsi="宋体"/>
                <w:sz w:val="24"/>
                <w:szCs w:val="24"/>
              </w:rPr>
            </w:pPr>
            <w:r>
              <w:rPr>
                <w:rFonts w:hint="eastAsia" w:ascii="宋体" w:hAnsi="宋体"/>
                <w:sz w:val="24"/>
                <w:szCs w:val="24"/>
              </w:rPr>
              <w:t>1000～5000万元</w:t>
            </w:r>
          </w:p>
        </w:tc>
        <w:tc>
          <w:tcPr>
            <w:tcW w:w="1212" w:type="pct"/>
            <w:tcBorders>
              <w:top w:val="single" w:color="auto" w:sz="4" w:space="0"/>
              <w:left w:val="single" w:color="auto" w:sz="4" w:space="0"/>
              <w:bottom w:val="single" w:color="auto" w:sz="4" w:space="0"/>
              <w:right w:val="single" w:color="auto" w:sz="4" w:space="0"/>
            </w:tcBorders>
            <w:vAlign w:val="center"/>
          </w:tcPr>
          <w:p w14:paraId="2C32233B">
            <w:pPr>
              <w:snapToGrid w:val="0"/>
              <w:ind w:left="-200" w:leftChars="-100"/>
              <w:jc w:val="center"/>
              <w:rPr>
                <w:rFonts w:ascii="宋体" w:hAnsi="宋体"/>
                <w:sz w:val="24"/>
                <w:szCs w:val="24"/>
              </w:rPr>
            </w:pPr>
            <w:r>
              <w:rPr>
                <w:rFonts w:ascii="宋体" w:hAnsi="宋体"/>
                <w:sz w:val="24"/>
                <w:szCs w:val="24"/>
              </w:rPr>
              <w:t>0.5%</w:t>
            </w:r>
          </w:p>
        </w:tc>
        <w:tc>
          <w:tcPr>
            <w:tcW w:w="1422" w:type="pct"/>
            <w:tcBorders>
              <w:top w:val="single" w:color="auto" w:sz="4" w:space="0"/>
              <w:left w:val="single" w:color="auto" w:sz="4" w:space="0"/>
              <w:bottom w:val="single" w:color="auto" w:sz="4" w:space="0"/>
              <w:right w:val="single" w:color="auto" w:sz="12" w:space="0"/>
            </w:tcBorders>
            <w:vAlign w:val="center"/>
          </w:tcPr>
          <w:p w14:paraId="1A7E6521">
            <w:pPr>
              <w:snapToGrid w:val="0"/>
              <w:ind w:left="-200" w:leftChars="-100"/>
              <w:jc w:val="center"/>
              <w:rPr>
                <w:rFonts w:ascii="宋体" w:hAnsi="宋体"/>
                <w:sz w:val="24"/>
                <w:szCs w:val="24"/>
              </w:rPr>
            </w:pPr>
            <w:r>
              <w:rPr>
                <w:rFonts w:hint="eastAsia" w:ascii="宋体" w:hAnsi="宋体" w:cs="宋体"/>
                <w:sz w:val="24"/>
                <w:szCs w:val="24"/>
              </w:rPr>
              <w:t>0.25%</w:t>
            </w:r>
          </w:p>
        </w:tc>
      </w:tr>
      <w:tr w14:paraId="6C09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08BCBA6E">
            <w:pPr>
              <w:snapToGrid w:val="0"/>
              <w:ind w:left="-200" w:leftChars="-100"/>
              <w:jc w:val="center"/>
              <w:rPr>
                <w:rFonts w:ascii="宋体" w:hAnsi="宋体"/>
                <w:sz w:val="24"/>
                <w:szCs w:val="24"/>
              </w:rPr>
            </w:pPr>
            <w:r>
              <w:rPr>
                <w:rFonts w:hint="eastAsia" w:ascii="宋体" w:hAnsi="宋体"/>
                <w:sz w:val="24"/>
                <w:szCs w:val="24"/>
              </w:rPr>
              <w:t>5000万元～1亿元</w:t>
            </w:r>
          </w:p>
        </w:tc>
        <w:tc>
          <w:tcPr>
            <w:tcW w:w="1212" w:type="pct"/>
            <w:tcBorders>
              <w:top w:val="single" w:color="auto" w:sz="4" w:space="0"/>
              <w:left w:val="single" w:color="auto" w:sz="4" w:space="0"/>
              <w:bottom w:val="single" w:color="auto" w:sz="4" w:space="0"/>
              <w:right w:val="single" w:color="auto" w:sz="4" w:space="0"/>
            </w:tcBorders>
            <w:vAlign w:val="center"/>
          </w:tcPr>
          <w:p w14:paraId="4B48CC87">
            <w:pPr>
              <w:snapToGrid w:val="0"/>
              <w:ind w:left="-200" w:leftChars="-100"/>
              <w:jc w:val="center"/>
              <w:rPr>
                <w:rFonts w:ascii="宋体" w:hAnsi="宋体"/>
                <w:sz w:val="24"/>
                <w:szCs w:val="24"/>
              </w:rPr>
            </w:pPr>
            <w:r>
              <w:rPr>
                <w:rFonts w:ascii="宋体" w:hAnsi="宋体"/>
                <w:sz w:val="24"/>
                <w:szCs w:val="24"/>
              </w:rPr>
              <w:t>0.25%</w:t>
            </w:r>
          </w:p>
        </w:tc>
        <w:tc>
          <w:tcPr>
            <w:tcW w:w="1422" w:type="pct"/>
            <w:tcBorders>
              <w:top w:val="single" w:color="auto" w:sz="4" w:space="0"/>
              <w:left w:val="single" w:color="auto" w:sz="4" w:space="0"/>
              <w:bottom w:val="single" w:color="auto" w:sz="4" w:space="0"/>
              <w:right w:val="single" w:color="auto" w:sz="12" w:space="0"/>
            </w:tcBorders>
            <w:vAlign w:val="center"/>
          </w:tcPr>
          <w:p w14:paraId="42DB2438">
            <w:pPr>
              <w:snapToGrid w:val="0"/>
              <w:ind w:left="-200" w:leftChars="-100"/>
              <w:jc w:val="center"/>
              <w:rPr>
                <w:rFonts w:ascii="宋体" w:hAnsi="宋体"/>
                <w:sz w:val="24"/>
                <w:szCs w:val="24"/>
              </w:rPr>
            </w:pPr>
            <w:r>
              <w:rPr>
                <w:rFonts w:hint="eastAsia" w:ascii="宋体" w:hAnsi="宋体" w:cs="宋体"/>
                <w:sz w:val="24"/>
                <w:szCs w:val="24"/>
              </w:rPr>
              <w:t>0.1%</w:t>
            </w:r>
          </w:p>
        </w:tc>
      </w:tr>
      <w:tr w14:paraId="0A480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3D26E0CC">
            <w:pPr>
              <w:snapToGrid w:val="0"/>
              <w:ind w:left="-200" w:leftChars="-100"/>
              <w:jc w:val="center"/>
              <w:rPr>
                <w:rFonts w:ascii="宋体" w:hAnsi="宋体"/>
                <w:sz w:val="24"/>
                <w:szCs w:val="24"/>
              </w:rPr>
            </w:pPr>
            <w:r>
              <w:rPr>
                <w:rFonts w:hint="eastAsia" w:ascii="宋体" w:hAnsi="宋体"/>
                <w:sz w:val="24"/>
                <w:szCs w:val="24"/>
              </w:rPr>
              <w:t>1～5亿元</w:t>
            </w:r>
          </w:p>
        </w:tc>
        <w:tc>
          <w:tcPr>
            <w:tcW w:w="1212" w:type="pct"/>
            <w:tcBorders>
              <w:top w:val="single" w:color="auto" w:sz="4" w:space="0"/>
              <w:left w:val="single" w:color="auto" w:sz="4" w:space="0"/>
              <w:bottom w:val="single" w:color="auto" w:sz="4" w:space="0"/>
              <w:right w:val="single" w:color="auto" w:sz="4" w:space="0"/>
            </w:tcBorders>
            <w:vAlign w:val="center"/>
          </w:tcPr>
          <w:p w14:paraId="178ACDC0">
            <w:pPr>
              <w:snapToGrid w:val="0"/>
              <w:ind w:left="-200" w:leftChars="-100"/>
              <w:jc w:val="center"/>
              <w:rPr>
                <w:rFonts w:ascii="宋体" w:hAnsi="宋体"/>
                <w:sz w:val="24"/>
                <w:szCs w:val="24"/>
              </w:rPr>
            </w:pPr>
            <w:r>
              <w:rPr>
                <w:rFonts w:hint="eastAsia" w:ascii="宋体" w:hAnsi="宋体"/>
                <w:sz w:val="24"/>
                <w:szCs w:val="24"/>
              </w:rPr>
              <w:t>0.05%</w:t>
            </w:r>
          </w:p>
        </w:tc>
        <w:tc>
          <w:tcPr>
            <w:tcW w:w="1422" w:type="pct"/>
            <w:tcBorders>
              <w:top w:val="single" w:color="auto" w:sz="4" w:space="0"/>
              <w:left w:val="single" w:color="auto" w:sz="4" w:space="0"/>
              <w:bottom w:val="single" w:color="auto" w:sz="4" w:space="0"/>
              <w:right w:val="single" w:color="auto" w:sz="12" w:space="0"/>
            </w:tcBorders>
            <w:vAlign w:val="center"/>
          </w:tcPr>
          <w:p w14:paraId="4303F7D8">
            <w:pPr>
              <w:snapToGrid w:val="0"/>
              <w:ind w:left="-200" w:leftChars="-100"/>
              <w:jc w:val="center"/>
              <w:rPr>
                <w:rFonts w:ascii="宋体" w:hAnsi="宋体"/>
                <w:sz w:val="24"/>
                <w:szCs w:val="24"/>
              </w:rPr>
            </w:pPr>
            <w:r>
              <w:rPr>
                <w:rFonts w:hint="eastAsia" w:ascii="宋体" w:hAnsi="宋体"/>
                <w:sz w:val="24"/>
                <w:szCs w:val="24"/>
              </w:rPr>
              <w:t>0.05%</w:t>
            </w:r>
          </w:p>
        </w:tc>
      </w:tr>
      <w:tr w14:paraId="61476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07A99437">
            <w:pPr>
              <w:snapToGrid w:val="0"/>
              <w:ind w:left="-200" w:leftChars="-100"/>
              <w:jc w:val="center"/>
              <w:rPr>
                <w:rFonts w:ascii="宋体" w:hAnsi="宋体"/>
                <w:sz w:val="24"/>
                <w:szCs w:val="24"/>
              </w:rPr>
            </w:pPr>
            <w:r>
              <w:rPr>
                <w:rFonts w:hint="eastAsia" w:ascii="宋体" w:hAnsi="宋体"/>
                <w:sz w:val="24"/>
                <w:szCs w:val="24"/>
              </w:rPr>
              <w:t>5～10亿元</w:t>
            </w:r>
          </w:p>
        </w:tc>
        <w:tc>
          <w:tcPr>
            <w:tcW w:w="1212" w:type="pct"/>
            <w:tcBorders>
              <w:top w:val="single" w:color="auto" w:sz="4" w:space="0"/>
              <w:left w:val="single" w:color="auto" w:sz="4" w:space="0"/>
              <w:bottom w:val="single" w:color="auto" w:sz="4" w:space="0"/>
              <w:right w:val="single" w:color="auto" w:sz="4" w:space="0"/>
            </w:tcBorders>
            <w:vAlign w:val="center"/>
          </w:tcPr>
          <w:p w14:paraId="0FA7C5F2">
            <w:pPr>
              <w:snapToGrid w:val="0"/>
              <w:ind w:left="-200" w:leftChars="-100"/>
              <w:jc w:val="center"/>
              <w:rPr>
                <w:rFonts w:ascii="宋体" w:hAnsi="宋体"/>
                <w:sz w:val="24"/>
                <w:szCs w:val="24"/>
              </w:rPr>
            </w:pPr>
            <w:r>
              <w:rPr>
                <w:rFonts w:hint="eastAsia" w:ascii="宋体" w:hAnsi="宋体"/>
                <w:sz w:val="24"/>
                <w:szCs w:val="24"/>
              </w:rPr>
              <w:t>0.035%</w:t>
            </w:r>
          </w:p>
        </w:tc>
        <w:tc>
          <w:tcPr>
            <w:tcW w:w="1422" w:type="pct"/>
            <w:tcBorders>
              <w:top w:val="single" w:color="auto" w:sz="4" w:space="0"/>
              <w:left w:val="single" w:color="auto" w:sz="4" w:space="0"/>
              <w:bottom w:val="single" w:color="auto" w:sz="4" w:space="0"/>
              <w:right w:val="single" w:color="auto" w:sz="12" w:space="0"/>
            </w:tcBorders>
            <w:vAlign w:val="center"/>
          </w:tcPr>
          <w:p w14:paraId="32617EBA">
            <w:pPr>
              <w:snapToGrid w:val="0"/>
              <w:ind w:left="-200" w:leftChars="-100"/>
              <w:jc w:val="center"/>
              <w:rPr>
                <w:rFonts w:ascii="宋体" w:hAnsi="宋体"/>
                <w:sz w:val="24"/>
                <w:szCs w:val="24"/>
              </w:rPr>
            </w:pPr>
            <w:r>
              <w:rPr>
                <w:rFonts w:hint="eastAsia" w:ascii="宋体" w:hAnsi="宋体"/>
                <w:sz w:val="24"/>
                <w:szCs w:val="24"/>
              </w:rPr>
              <w:t>0.035%</w:t>
            </w:r>
          </w:p>
        </w:tc>
      </w:tr>
      <w:tr w14:paraId="3E40F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0B3B1B7F">
            <w:pPr>
              <w:snapToGrid w:val="0"/>
              <w:ind w:left="-200" w:leftChars="-100"/>
              <w:jc w:val="center"/>
              <w:rPr>
                <w:rFonts w:ascii="宋体" w:hAnsi="宋体"/>
                <w:sz w:val="24"/>
                <w:szCs w:val="24"/>
              </w:rPr>
            </w:pPr>
            <w:r>
              <w:rPr>
                <w:rFonts w:hint="eastAsia" w:ascii="宋体" w:hAnsi="宋体"/>
                <w:sz w:val="24"/>
                <w:szCs w:val="24"/>
              </w:rPr>
              <w:t>10～50亿元</w:t>
            </w:r>
          </w:p>
        </w:tc>
        <w:tc>
          <w:tcPr>
            <w:tcW w:w="1212" w:type="pct"/>
            <w:tcBorders>
              <w:top w:val="single" w:color="auto" w:sz="4" w:space="0"/>
              <w:left w:val="single" w:color="auto" w:sz="4" w:space="0"/>
              <w:bottom w:val="single" w:color="auto" w:sz="4" w:space="0"/>
              <w:right w:val="single" w:color="auto" w:sz="4" w:space="0"/>
            </w:tcBorders>
            <w:vAlign w:val="center"/>
          </w:tcPr>
          <w:p w14:paraId="759A9B65">
            <w:pPr>
              <w:snapToGrid w:val="0"/>
              <w:ind w:left="-200" w:leftChars="-100"/>
              <w:jc w:val="center"/>
              <w:rPr>
                <w:rFonts w:ascii="宋体" w:hAnsi="宋体"/>
                <w:sz w:val="24"/>
                <w:szCs w:val="24"/>
              </w:rPr>
            </w:pPr>
            <w:r>
              <w:rPr>
                <w:rFonts w:hint="eastAsia" w:ascii="宋体" w:hAnsi="宋体"/>
                <w:sz w:val="24"/>
                <w:szCs w:val="24"/>
              </w:rPr>
              <w:t>0.008%</w:t>
            </w:r>
          </w:p>
        </w:tc>
        <w:tc>
          <w:tcPr>
            <w:tcW w:w="1422" w:type="pct"/>
            <w:tcBorders>
              <w:top w:val="single" w:color="auto" w:sz="4" w:space="0"/>
              <w:left w:val="single" w:color="auto" w:sz="4" w:space="0"/>
              <w:bottom w:val="single" w:color="auto" w:sz="4" w:space="0"/>
              <w:right w:val="single" w:color="auto" w:sz="12" w:space="0"/>
            </w:tcBorders>
            <w:vAlign w:val="center"/>
          </w:tcPr>
          <w:p w14:paraId="47485DBD">
            <w:pPr>
              <w:snapToGrid w:val="0"/>
              <w:ind w:left="-200" w:leftChars="-100"/>
              <w:jc w:val="center"/>
              <w:rPr>
                <w:rFonts w:ascii="宋体" w:hAnsi="宋体"/>
                <w:sz w:val="24"/>
                <w:szCs w:val="24"/>
              </w:rPr>
            </w:pPr>
            <w:r>
              <w:rPr>
                <w:rFonts w:hint="eastAsia" w:ascii="宋体" w:hAnsi="宋体"/>
                <w:sz w:val="24"/>
                <w:szCs w:val="24"/>
              </w:rPr>
              <w:t>0.008%</w:t>
            </w:r>
          </w:p>
        </w:tc>
      </w:tr>
      <w:tr w14:paraId="1784F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2366" w:type="pct"/>
            <w:tcBorders>
              <w:top w:val="single" w:color="auto" w:sz="4" w:space="0"/>
              <w:left w:val="single" w:color="auto" w:sz="12" w:space="0"/>
              <w:bottom w:val="single" w:color="auto" w:sz="4" w:space="0"/>
              <w:right w:val="single" w:color="auto" w:sz="4" w:space="0"/>
            </w:tcBorders>
            <w:vAlign w:val="center"/>
          </w:tcPr>
          <w:p w14:paraId="5CAF85D3">
            <w:pPr>
              <w:snapToGrid w:val="0"/>
              <w:ind w:left="-200" w:leftChars="-100"/>
              <w:jc w:val="center"/>
              <w:rPr>
                <w:rFonts w:ascii="宋体" w:hAnsi="宋体"/>
                <w:sz w:val="24"/>
                <w:szCs w:val="24"/>
              </w:rPr>
            </w:pPr>
            <w:r>
              <w:rPr>
                <w:rFonts w:hint="eastAsia" w:ascii="宋体" w:hAnsi="宋体"/>
                <w:sz w:val="24"/>
                <w:szCs w:val="24"/>
              </w:rPr>
              <w:t>50～100亿元</w:t>
            </w:r>
          </w:p>
        </w:tc>
        <w:tc>
          <w:tcPr>
            <w:tcW w:w="1212" w:type="pct"/>
            <w:tcBorders>
              <w:top w:val="single" w:color="auto" w:sz="4" w:space="0"/>
              <w:left w:val="single" w:color="auto" w:sz="4" w:space="0"/>
              <w:bottom w:val="single" w:color="auto" w:sz="4" w:space="0"/>
              <w:right w:val="single" w:color="auto" w:sz="4" w:space="0"/>
            </w:tcBorders>
            <w:vAlign w:val="center"/>
          </w:tcPr>
          <w:p w14:paraId="54ADEA4F">
            <w:pPr>
              <w:snapToGrid w:val="0"/>
              <w:ind w:left="-200" w:leftChars="-100"/>
              <w:jc w:val="center"/>
              <w:rPr>
                <w:rFonts w:ascii="宋体" w:hAnsi="宋体"/>
                <w:sz w:val="24"/>
                <w:szCs w:val="24"/>
              </w:rPr>
            </w:pPr>
            <w:r>
              <w:rPr>
                <w:rFonts w:hint="eastAsia" w:ascii="宋体" w:hAnsi="宋体"/>
                <w:sz w:val="24"/>
                <w:szCs w:val="24"/>
              </w:rPr>
              <w:t>0.006%</w:t>
            </w:r>
          </w:p>
        </w:tc>
        <w:tc>
          <w:tcPr>
            <w:tcW w:w="1422" w:type="pct"/>
            <w:tcBorders>
              <w:top w:val="single" w:color="auto" w:sz="4" w:space="0"/>
              <w:left w:val="single" w:color="auto" w:sz="4" w:space="0"/>
              <w:bottom w:val="single" w:color="auto" w:sz="4" w:space="0"/>
              <w:right w:val="single" w:color="auto" w:sz="12" w:space="0"/>
            </w:tcBorders>
            <w:vAlign w:val="center"/>
          </w:tcPr>
          <w:p w14:paraId="2F02BFCD">
            <w:pPr>
              <w:snapToGrid w:val="0"/>
              <w:ind w:left="-200" w:leftChars="-100"/>
              <w:jc w:val="center"/>
              <w:rPr>
                <w:rFonts w:ascii="宋体" w:hAnsi="宋体"/>
                <w:sz w:val="24"/>
                <w:szCs w:val="24"/>
              </w:rPr>
            </w:pPr>
            <w:r>
              <w:rPr>
                <w:rFonts w:hint="eastAsia" w:ascii="宋体" w:hAnsi="宋体"/>
                <w:sz w:val="24"/>
                <w:szCs w:val="24"/>
              </w:rPr>
              <w:t>0.006%</w:t>
            </w:r>
          </w:p>
        </w:tc>
      </w:tr>
      <w:tr w14:paraId="5078D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366" w:type="pct"/>
            <w:tcBorders>
              <w:top w:val="single" w:color="auto" w:sz="4" w:space="0"/>
              <w:left w:val="single" w:color="auto" w:sz="12" w:space="0"/>
              <w:bottom w:val="single" w:color="auto" w:sz="12" w:space="0"/>
              <w:right w:val="single" w:color="auto" w:sz="4" w:space="0"/>
            </w:tcBorders>
            <w:vAlign w:val="center"/>
          </w:tcPr>
          <w:p w14:paraId="6267D3DF">
            <w:pPr>
              <w:snapToGrid w:val="0"/>
              <w:ind w:left="-200" w:leftChars="-100"/>
              <w:jc w:val="center"/>
              <w:rPr>
                <w:rFonts w:ascii="宋体" w:hAnsi="宋体"/>
                <w:sz w:val="24"/>
                <w:szCs w:val="24"/>
              </w:rPr>
            </w:pPr>
            <w:r>
              <w:rPr>
                <w:rFonts w:hint="eastAsia" w:ascii="宋体" w:hAnsi="宋体"/>
                <w:sz w:val="24"/>
                <w:szCs w:val="24"/>
              </w:rPr>
              <w:t>100亿以上</w:t>
            </w:r>
          </w:p>
        </w:tc>
        <w:tc>
          <w:tcPr>
            <w:tcW w:w="1212" w:type="pct"/>
            <w:tcBorders>
              <w:top w:val="single" w:color="auto" w:sz="4" w:space="0"/>
              <w:left w:val="single" w:color="auto" w:sz="4" w:space="0"/>
              <w:bottom w:val="single" w:color="auto" w:sz="12" w:space="0"/>
              <w:right w:val="single" w:color="auto" w:sz="4" w:space="0"/>
            </w:tcBorders>
            <w:vAlign w:val="center"/>
          </w:tcPr>
          <w:p w14:paraId="4437FC2F">
            <w:pPr>
              <w:snapToGrid w:val="0"/>
              <w:ind w:left="-200" w:leftChars="-100"/>
              <w:jc w:val="center"/>
              <w:rPr>
                <w:rFonts w:ascii="宋体" w:hAnsi="宋体"/>
                <w:sz w:val="24"/>
                <w:szCs w:val="24"/>
              </w:rPr>
            </w:pPr>
            <w:r>
              <w:rPr>
                <w:rFonts w:hint="eastAsia" w:ascii="宋体" w:hAnsi="宋体"/>
                <w:sz w:val="24"/>
                <w:szCs w:val="24"/>
              </w:rPr>
              <w:t>0.004%</w:t>
            </w:r>
          </w:p>
        </w:tc>
        <w:tc>
          <w:tcPr>
            <w:tcW w:w="1422" w:type="pct"/>
            <w:tcBorders>
              <w:top w:val="single" w:color="auto" w:sz="4" w:space="0"/>
              <w:left w:val="single" w:color="auto" w:sz="4" w:space="0"/>
              <w:bottom w:val="single" w:color="auto" w:sz="12" w:space="0"/>
              <w:right w:val="single" w:color="auto" w:sz="12" w:space="0"/>
            </w:tcBorders>
            <w:vAlign w:val="center"/>
          </w:tcPr>
          <w:p w14:paraId="32D27FAD">
            <w:pPr>
              <w:snapToGrid w:val="0"/>
              <w:ind w:left="-200" w:leftChars="-100"/>
              <w:jc w:val="center"/>
              <w:rPr>
                <w:rFonts w:ascii="宋体" w:hAnsi="宋体"/>
                <w:sz w:val="24"/>
                <w:szCs w:val="24"/>
              </w:rPr>
            </w:pPr>
            <w:r>
              <w:rPr>
                <w:rFonts w:hint="eastAsia" w:ascii="宋体" w:hAnsi="宋体"/>
                <w:sz w:val="24"/>
                <w:szCs w:val="24"/>
              </w:rPr>
              <w:t>0.004%</w:t>
            </w:r>
          </w:p>
        </w:tc>
      </w:tr>
    </w:tbl>
    <w:p w14:paraId="281BB874">
      <w:pPr>
        <w:autoSpaceDE/>
        <w:adjustRightInd/>
        <w:snapToGrid w:val="0"/>
        <w:spacing w:line="360" w:lineRule="auto"/>
        <w:ind w:left="-200" w:leftChars="-100"/>
        <w:rPr>
          <w:rFonts w:ascii="宋体" w:hAnsi="宋体" w:cs="宋体"/>
          <w:sz w:val="24"/>
          <w:szCs w:val="24"/>
        </w:rPr>
      </w:pPr>
      <w:r>
        <w:rPr>
          <w:rFonts w:hint="eastAsia" w:ascii="宋体" w:hAnsi="宋体" w:cs="宋体"/>
          <w:sz w:val="24"/>
          <w:szCs w:val="24"/>
        </w:rPr>
        <w:t>例如：某服务招标中标金额为850万元，计算招标代理服务收费额如下：</w:t>
      </w:r>
    </w:p>
    <w:p w14:paraId="4A800DD6">
      <w:pPr>
        <w:autoSpaceDE/>
        <w:adjustRightInd/>
        <w:snapToGrid w:val="0"/>
        <w:spacing w:line="360" w:lineRule="auto"/>
        <w:ind w:left="-200" w:leftChars="-100"/>
        <w:rPr>
          <w:rFonts w:ascii="宋体" w:hAnsi="宋体" w:cs="宋体"/>
          <w:sz w:val="24"/>
          <w:szCs w:val="24"/>
        </w:rPr>
      </w:pPr>
      <w:r>
        <w:rPr>
          <w:rFonts w:hint="eastAsia" w:ascii="宋体" w:hAnsi="宋体" w:cs="宋体"/>
          <w:sz w:val="24"/>
          <w:szCs w:val="24"/>
        </w:rPr>
        <w:t>100万元×1.5%=1.5万元</w:t>
      </w:r>
    </w:p>
    <w:p w14:paraId="2D9FA076">
      <w:pPr>
        <w:autoSpaceDE/>
        <w:adjustRightInd/>
        <w:snapToGrid w:val="0"/>
        <w:spacing w:line="360" w:lineRule="auto"/>
        <w:ind w:left="-200" w:leftChars="-100"/>
        <w:rPr>
          <w:rFonts w:ascii="宋体" w:hAnsi="宋体" w:cs="宋体"/>
          <w:sz w:val="24"/>
          <w:szCs w:val="24"/>
        </w:rPr>
      </w:pPr>
      <w:r>
        <w:rPr>
          <w:rFonts w:hint="eastAsia" w:ascii="宋体" w:hAnsi="宋体" w:cs="宋体"/>
          <w:sz w:val="24"/>
          <w:szCs w:val="24"/>
        </w:rPr>
        <w:t>（500-100）万元×0.8%=3.2万元</w:t>
      </w:r>
    </w:p>
    <w:p w14:paraId="5FDBA0E9">
      <w:pPr>
        <w:autoSpaceDE/>
        <w:adjustRightInd/>
        <w:snapToGrid w:val="0"/>
        <w:spacing w:line="360" w:lineRule="auto"/>
        <w:ind w:left="-200" w:leftChars="-100"/>
        <w:rPr>
          <w:rFonts w:ascii="宋体" w:hAnsi="宋体" w:cs="宋体"/>
          <w:sz w:val="24"/>
          <w:szCs w:val="24"/>
        </w:rPr>
      </w:pPr>
      <w:r>
        <w:rPr>
          <w:rFonts w:hint="eastAsia" w:ascii="宋体" w:hAnsi="宋体" w:cs="宋体"/>
          <w:sz w:val="24"/>
          <w:szCs w:val="24"/>
        </w:rPr>
        <w:t>（850-500）万元×0.45%=1.575万元</w:t>
      </w:r>
    </w:p>
    <w:p w14:paraId="07B906E1">
      <w:pPr>
        <w:autoSpaceDE/>
        <w:adjustRightInd/>
        <w:snapToGrid w:val="0"/>
        <w:spacing w:line="360" w:lineRule="auto"/>
        <w:ind w:left="-200" w:leftChars="-100"/>
        <w:rPr>
          <w:rFonts w:ascii="宋体" w:hAnsi="宋体" w:cs="宋体"/>
          <w:sz w:val="24"/>
          <w:szCs w:val="24"/>
        </w:rPr>
      </w:pPr>
      <w:r>
        <w:rPr>
          <w:rFonts w:hint="eastAsia" w:ascii="宋体" w:hAnsi="宋体" w:cs="宋体"/>
          <w:sz w:val="24"/>
          <w:szCs w:val="24"/>
        </w:rPr>
        <w:t>合计收费=1.5+3.2+1.575=6.275（万元）</w:t>
      </w:r>
    </w:p>
    <w:p w14:paraId="60499F5B">
      <w:pPr>
        <w:snapToGrid w:val="0"/>
        <w:spacing w:line="360" w:lineRule="auto"/>
        <w:ind w:left="-200" w:leftChars="-100"/>
        <w:jc w:val="center"/>
        <w:outlineLvl w:val="2"/>
        <w:rPr>
          <w:rFonts w:ascii="宋体" w:hAnsi="宋体"/>
          <w:b/>
          <w:sz w:val="24"/>
          <w:szCs w:val="24"/>
        </w:rPr>
      </w:pPr>
      <w:bookmarkStart w:id="68" w:name="_Toc29404"/>
      <w:bookmarkStart w:id="69" w:name="_Toc7287"/>
      <w:bookmarkStart w:id="70" w:name="_Toc18982"/>
      <w:bookmarkStart w:id="71" w:name="_Toc20361"/>
      <w:r>
        <w:rPr>
          <w:rFonts w:hint="eastAsia" w:ascii="宋体" w:hAnsi="宋体"/>
          <w:b/>
          <w:sz w:val="24"/>
          <w:szCs w:val="24"/>
        </w:rPr>
        <w:t>八、其他</w:t>
      </w:r>
      <w:bookmarkEnd w:id="68"/>
      <w:bookmarkEnd w:id="69"/>
      <w:bookmarkEnd w:id="70"/>
      <w:bookmarkEnd w:id="71"/>
    </w:p>
    <w:p w14:paraId="03735A0D">
      <w:pPr>
        <w:numPr>
          <w:ilvl w:val="0"/>
          <w:numId w:val="68"/>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有下列情形之一的，属于投标人相互串通投标：</w:t>
      </w:r>
    </w:p>
    <w:p w14:paraId="7B525F17">
      <w:pPr>
        <w:numPr>
          <w:ilvl w:val="1"/>
          <w:numId w:val="69"/>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投标人之间协商投标报价等投标文件的实质性内容；</w:t>
      </w:r>
    </w:p>
    <w:p w14:paraId="2216E24E">
      <w:pPr>
        <w:numPr>
          <w:ilvl w:val="1"/>
          <w:numId w:val="69"/>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投标人之间约定中标人；</w:t>
      </w:r>
    </w:p>
    <w:p w14:paraId="62F48201">
      <w:pPr>
        <w:numPr>
          <w:ilvl w:val="1"/>
          <w:numId w:val="69"/>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投标人之间约定部分投标人放弃投标或者中标；</w:t>
      </w:r>
    </w:p>
    <w:p w14:paraId="592C5EFE">
      <w:pPr>
        <w:numPr>
          <w:ilvl w:val="1"/>
          <w:numId w:val="69"/>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属于同一集团、协会、商会等组织成员的投标人按照该组织要求协同投标；</w:t>
      </w:r>
    </w:p>
    <w:p w14:paraId="16450F11">
      <w:pPr>
        <w:numPr>
          <w:ilvl w:val="1"/>
          <w:numId w:val="69"/>
        </w:numPr>
        <w:snapToGrid w:val="0"/>
        <w:spacing w:line="360" w:lineRule="auto"/>
        <w:jc w:val="both"/>
        <w:textAlignment w:val="baseline"/>
        <w:rPr>
          <w:rFonts w:ascii="宋体" w:hAnsi="宋体"/>
          <w:color w:val="000000"/>
          <w:sz w:val="24"/>
          <w:szCs w:val="24"/>
        </w:rPr>
      </w:pPr>
      <w:r>
        <w:rPr>
          <w:rFonts w:hint="eastAsia" w:ascii="宋体" w:hAnsi="宋体" w:cs="宋体"/>
          <w:sz w:val="24"/>
          <w:szCs w:val="24"/>
          <w:lang w:eastAsia="zh-TW"/>
        </w:rPr>
        <w:t>投标</w:t>
      </w:r>
      <w:r>
        <w:rPr>
          <w:rFonts w:hint="eastAsia" w:ascii="宋体" w:hAnsi="宋体"/>
          <w:color w:val="000000"/>
          <w:sz w:val="24"/>
          <w:szCs w:val="24"/>
        </w:rPr>
        <w:t>人之间为谋取中标或者排斥特定投标人而采取的其他联合行动</w:t>
      </w:r>
    </w:p>
    <w:p w14:paraId="725FBC04">
      <w:pPr>
        <w:numPr>
          <w:ilvl w:val="0"/>
          <w:numId w:val="68"/>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有下列情形之一的，视为投标人串通投标，应予否决投标：</w:t>
      </w:r>
    </w:p>
    <w:p w14:paraId="5DBCD22C">
      <w:pPr>
        <w:numPr>
          <w:ilvl w:val="1"/>
          <w:numId w:val="7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不同投标人的投标文件由同一单位或者个人编制；</w:t>
      </w:r>
    </w:p>
    <w:p w14:paraId="2FD7D167">
      <w:pPr>
        <w:numPr>
          <w:ilvl w:val="1"/>
          <w:numId w:val="7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不同投标人委托同一单位或者个人办理投标事宜；</w:t>
      </w:r>
    </w:p>
    <w:p w14:paraId="05893A15">
      <w:pPr>
        <w:numPr>
          <w:ilvl w:val="1"/>
          <w:numId w:val="7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不同投标人的投标文件载明的项目管理成员或者联系人员为同一人；</w:t>
      </w:r>
    </w:p>
    <w:p w14:paraId="7C85ED0D">
      <w:pPr>
        <w:numPr>
          <w:ilvl w:val="1"/>
          <w:numId w:val="7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不同投标人的投标文件异常一致或者投标报价呈规律性差异；</w:t>
      </w:r>
    </w:p>
    <w:p w14:paraId="38E3F91E">
      <w:pPr>
        <w:numPr>
          <w:ilvl w:val="1"/>
          <w:numId w:val="70"/>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不同投标人的投标文件相互混装；</w:t>
      </w:r>
    </w:p>
    <w:p w14:paraId="1CD8D53C">
      <w:pPr>
        <w:numPr>
          <w:ilvl w:val="1"/>
          <w:numId w:val="70"/>
        </w:numPr>
        <w:snapToGrid w:val="0"/>
        <w:spacing w:line="360" w:lineRule="auto"/>
        <w:jc w:val="both"/>
        <w:textAlignment w:val="baseline"/>
        <w:rPr>
          <w:rFonts w:ascii="宋体" w:hAnsi="宋体"/>
          <w:color w:val="000000"/>
          <w:sz w:val="24"/>
          <w:szCs w:val="24"/>
        </w:rPr>
      </w:pPr>
      <w:r>
        <w:rPr>
          <w:rFonts w:hint="eastAsia" w:ascii="宋体" w:hAnsi="宋体" w:cs="宋体"/>
          <w:sz w:val="24"/>
          <w:szCs w:val="24"/>
          <w:lang w:eastAsia="zh-TW"/>
        </w:rPr>
        <w:t>不</w:t>
      </w:r>
      <w:r>
        <w:rPr>
          <w:rFonts w:hint="eastAsia" w:ascii="宋体" w:hAnsi="宋体"/>
          <w:color w:val="000000"/>
          <w:sz w:val="24"/>
          <w:szCs w:val="24"/>
        </w:rPr>
        <w:t>同投标人的投标保证金从同一单位或者个人的账户转出。</w:t>
      </w:r>
    </w:p>
    <w:p w14:paraId="45791066">
      <w:pPr>
        <w:numPr>
          <w:ilvl w:val="0"/>
          <w:numId w:val="68"/>
        </w:numPr>
        <w:snapToGrid w:val="0"/>
        <w:spacing w:line="360" w:lineRule="auto"/>
        <w:ind w:left="241" w:hanging="241" w:hangingChars="100"/>
        <w:jc w:val="both"/>
        <w:outlineLvl w:val="3"/>
        <w:rPr>
          <w:b/>
          <w:bCs/>
          <w:color w:val="000000"/>
          <w:sz w:val="24"/>
          <w:szCs w:val="24"/>
        </w:rPr>
      </w:pPr>
      <w:r>
        <w:rPr>
          <w:rFonts w:hint="eastAsia"/>
          <w:b/>
          <w:bCs/>
          <w:color w:val="000000"/>
          <w:sz w:val="24"/>
          <w:szCs w:val="24"/>
        </w:rPr>
        <w:t>有下列情形之一的，评标委员会应当否决投标：</w:t>
      </w:r>
    </w:p>
    <w:p w14:paraId="5076FC56">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投标文件未经投标单位盖章和单位负责人签字；</w:t>
      </w:r>
    </w:p>
    <w:p w14:paraId="7FBB3C91">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投标联合体没有提交共同投标协议；</w:t>
      </w:r>
    </w:p>
    <w:p w14:paraId="4D0F71E6">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投标人不符合国家或者招标文件规定的资格条件；</w:t>
      </w:r>
    </w:p>
    <w:p w14:paraId="64915BB2">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同一投标人提交两个以上不同的投标文件或者投标报价，但招标文件要求提交备选投标的除外；</w:t>
      </w:r>
    </w:p>
    <w:p w14:paraId="37779F05">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投标报价低于成本或者高于招标文件设定的最高投标限价；</w:t>
      </w:r>
    </w:p>
    <w:p w14:paraId="031C571D">
      <w:pPr>
        <w:numPr>
          <w:ilvl w:val="1"/>
          <w:numId w:val="71"/>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投标文件没有对招标文件的实质性要求和条件作出响应；</w:t>
      </w:r>
    </w:p>
    <w:p w14:paraId="7146B445">
      <w:pPr>
        <w:numPr>
          <w:ilvl w:val="1"/>
          <w:numId w:val="71"/>
        </w:numPr>
        <w:snapToGrid w:val="0"/>
        <w:spacing w:line="360" w:lineRule="auto"/>
        <w:jc w:val="both"/>
        <w:textAlignment w:val="baseline"/>
        <w:rPr>
          <w:rFonts w:ascii="宋体" w:hAnsi="宋体"/>
          <w:color w:val="000000"/>
          <w:sz w:val="24"/>
          <w:szCs w:val="24"/>
        </w:rPr>
      </w:pPr>
      <w:r>
        <w:rPr>
          <w:rFonts w:hint="eastAsia" w:ascii="宋体" w:hAnsi="宋体" w:cs="宋体"/>
          <w:sz w:val="24"/>
          <w:szCs w:val="24"/>
          <w:lang w:eastAsia="zh-TW"/>
        </w:rPr>
        <w:t>投标人</w:t>
      </w:r>
      <w:r>
        <w:rPr>
          <w:rFonts w:hint="eastAsia"/>
          <w:color w:val="000000"/>
          <w:sz w:val="24"/>
          <w:szCs w:val="24"/>
        </w:rPr>
        <w:t>有串通投标、弄虚作假、行贿等违法行为；</w:t>
      </w:r>
    </w:p>
    <w:p w14:paraId="407EB8E0">
      <w:pPr>
        <w:numPr>
          <w:ilvl w:val="0"/>
          <w:numId w:val="68"/>
        </w:numPr>
        <w:snapToGrid w:val="0"/>
        <w:spacing w:line="360" w:lineRule="auto"/>
        <w:ind w:left="241" w:hanging="241" w:hangingChars="100"/>
        <w:jc w:val="both"/>
        <w:outlineLvl w:val="3"/>
        <w:rPr>
          <w:rFonts w:ascii="宋体" w:hAnsi="宋体"/>
          <w:b/>
          <w:bCs/>
          <w:color w:val="000000"/>
          <w:sz w:val="24"/>
          <w:szCs w:val="24"/>
        </w:rPr>
      </w:pPr>
      <w:r>
        <w:rPr>
          <w:rFonts w:hint="eastAsia" w:ascii="宋体" w:hAnsi="宋体"/>
          <w:b/>
          <w:bCs/>
          <w:color w:val="000000"/>
          <w:sz w:val="24"/>
          <w:szCs w:val="24"/>
        </w:rPr>
        <w:t>投标人存在下列情况之一的，应予否决投标:</w:t>
      </w:r>
    </w:p>
    <w:p w14:paraId="588732E1">
      <w:pPr>
        <w:numPr>
          <w:ilvl w:val="1"/>
          <w:numId w:val="72"/>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未按照招标文件的规定提交投标保证金的；</w:t>
      </w:r>
    </w:p>
    <w:p w14:paraId="55B7C2D8">
      <w:pPr>
        <w:numPr>
          <w:ilvl w:val="1"/>
          <w:numId w:val="72"/>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投标文件未按招标文件要求签署、盖章的；</w:t>
      </w:r>
    </w:p>
    <w:p w14:paraId="05BAC1E6">
      <w:pPr>
        <w:numPr>
          <w:ilvl w:val="1"/>
          <w:numId w:val="72"/>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不具备招标文件中规定的资格要求的；</w:t>
      </w:r>
    </w:p>
    <w:p w14:paraId="68AD3778">
      <w:pPr>
        <w:numPr>
          <w:ilvl w:val="1"/>
          <w:numId w:val="72"/>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报价超过招标文件中规定的预算金额或者最高限价的；</w:t>
      </w:r>
    </w:p>
    <w:p w14:paraId="5835E928">
      <w:pPr>
        <w:numPr>
          <w:ilvl w:val="1"/>
          <w:numId w:val="72"/>
        </w:numPr>
        <w:snapToGrid w:val="0"/>
        <w:spacing w:line="360" w:lineRule="auto"/>
        <w:jc w:val="both"/>
        <w:textAlignment w:val="baseline"/>
        <w:rPr>
          <w:rFonts w:ascii="宋体" w:hAnsi="宋体" w:cs="宋体"/>
          <w:sz w:val="24"/>
          <w:szCs w:val="24"/>
          <w:lang w:eastAsia="zh-TW"/>
        </w:rPr>
      </w:pPr>
      <w:r>
        <w:rPr>
          <w:rFonts w:hint="eastAsia" w:ascii="宋体" w:hAnsi="宋体" w:cs="宋体"/>
          <w:sz w:val="24"/>
          <w:szCs w:val="24"/>
          <w:lang w:eastAsia="zh-TW"/>
        </w:rPr>
        <w:t>投标文件含有招标人不能接受的附加条件的;</w:t>
      </w:r>
    </w:p>
    <w:p w14:paraId="273E9952">
      <w:pPr>
        <w:numPr>
          <w:ilvl w:val="1"/>
          <w:numId w:val="72"/>
        </w:numPr>
        <w:snapToGrid w:val="0"/>
        <w:spacing w:line="360" w:lineRule="auto"/>
        <w:jc w:val="both"/>
        <w:textAlignment w:val="baseline"/>
        <w:rPr>
          <w:rFonts w:ascii="宋体" w:hAnsi="宋体"/>
          <w:color w:val="000000"/>
          <w:sz w:val="21"/>
          <w:szCs w:val="21"/>
        </w:rPr>
      </w:pPr>
      <w:r>
        <w:rPr>
          <w:rFonts w:hint="eastAsia" w:ascii="宋体" w:hAnsi="宋体" w:cs="宋体"/>
          <w:sz w:val="24"/>
          <w:szCs w:val="24"/>
          <w:lang w:eastAsia="zh-TW"/>
        </w:rPr>
        <w:t>法律</w:t>
      </w:r>
      <w:r>
        <w:rPr>
          <w:rFonts w:hint="eastAsia" w:ascii="宋体" w:hAnsi="宋体"/>
          <w:color w:val="000000"/>
          <w:sz w:val="24"/>
          <w:szCs w:val="24"/>
        </w:rPr>
        <w:t>、法规和招标文件规定的其他无效情形。</w:t>
      </w:r>
    </w:p>
    <w:p w14:paraId="278CA6F2">
      <w:pPr>
        <w:snapToGrid w:val="0"/>
        <w:spacing w:line="360" w:lineRule="auto"/>
        <w:jc w:val="center"/>
        <w:rPr>
          <w:rFonts w:ascii="宋体" w:hAnsi="宋体" w:cs="宋体"/>
          <w:sz w:val="21"/>
          <w:szCs w:val="21"/>
        </w:rPr>
      </w:pPr>
    </w:p>
    <w:p w14:paraId="59ED68AE">
      <w:pPr>
        <w:snapToGrid w:val="0"/>
        <w:spacing w:line="360" w:lineRule="auto"/>
        <w:rPr>
          <w:rFonts w:ascii="宋体" w:hAnsi="宋体"/>
          <w:b/>
          <w:color w:val="000000"/>
          <w:sz w:val="24"/>
        </w:rPr>
      </w:pPr>
      <w:r>
        <w:rPr>
          <w:rFonts w:cs="宋体"/>
          <w:sz w:val="21"/>
          <w:szCs w:val="21"/>
        </w:rPr>
        <w:br w:type="page"/>
      </w:r>
      <w:r>
        <w:rPr>
          <w:rFonts w:hint="eastAsia" w:ascii="宋体" w:hAnsi="宋体"/>
          <w:b/>
          <w:bCs/>
          <w:sz w:val="24"/>
        </w:rPr>
        <w:t>附件：询问函、异议函格式</w:t>
      </w:r>
    </w:p>
    <w:p w14:paraId="03D5C217">
      <w:pPr>
        <w:snapToGrid w:val="0"/>
        <w:spacing w:line="360" w:lineRule="auto"/>
        <w:rPr>
          <w:rFonts w:ascii="宋体" w:hAnsi="宋体"/>
          <w:b/>
          <w:color w:val="000000"/>
          <w:sz w:val="24"/>
        </w:rPr>
      </w:pPr>
      <w:r>
        <w:rPr>
          <w:rFonts w:hint="eastAsia" w:ascii="宋体" w:hAnsi="宋体"/>
          <w:b/>
          <w:color w:val="000000"/>
          <w:sz w:val="24"/>
        </w:rPr>
        <w:t>说明：本部分格式为投标人提交询问函、异议函时使用，不属于投标文件格式的组成部分。</w:t>
      </w:r>
    </w:p>
    <w:p w14:paraId="3A83AEE4">
      <w:pPr>
        <w:pStyle w:val="18"/>
        <w:snapToGrid w:val="0"/>
        <w:spacing w:before="0" w:beforeAutospacing="0" w:after="0" w:afterAutospacing="0" w:line="360" w:lineRule="auto"/>
        <w:jc w:val="both"/>
        <w:rPr>
          <w:rFonts w:cs="宋体"/>
          <w:sz w:val="21"/>
          <w:szCs w:val="21"/>
        </w:rPr>
      </w:pPr>
    </w:p>
    <w:p w14:paraId="68D9460E">
      <w:pPr>
        <w:pStyle w:val="18"/>
        <w:snapToGrid w:val="0"/>
        <w:spacing w:before="0" w:beforeAutospacing="0" w:after="0" w:afterAutospacing="0" w:line="360" w:lineRule="auto"/>
        <w:jc w:val="both"/>
        <w:rPr>
          <w:b/>
        </w:rPr>
      </w:pPr>
      <w:r>
        <w:rPr>
          <w:rFonts w:hint="eastAsia"/>
          <w:b/>
        </w:rPr>
        <w:t>1.询问函格式</w:t>
      </w:r>
    </w:p>
    <w:p w14:paraId="72617022">
      <w:pPr>
        <w:pStyle w:val="18"/>
        <w:spacing w:before="0" w:beforeAutospacing="0" w:after="0" w:afterAutospacing="0" w:line="360" w:lineRule="auto"/>
        <w:jc w:val="center"/>
        <w:rPr>
          <w:rStyle w:val="26"/>
        </w:rPr>
      </w:pPr>
      <w:r>
        <w:rPr>
          <w:rStyle w:val="26"/>
          <w:rFonts w:hint="eastAsia"/>
        </w:rPr>
        <w:t>询问函</w:t>
      </w:r>
    </w:p>
    <w:p w14:paraId="1F17BB85">
      <w:pPr>
        <w:widowControl/>
        <w:snapToGrid w:val="0"/>
        <w:spacing w:line="360" w:lineRule="auto"/>
        <w:rPr>
          <w:rFonts w:ascii="宋体" w:hAnsi="宋体"/>
          <w:sz w:val="24"/>
        </w:rPr>
      </w:pPr>
      <w:r>
        <w:rPr>
          <w:rFonts w:hint="eastAsia" w:ascii="宋体" w:hAnsi="宋体"/>
          <w:sz w:val="24"/>
          <w:u w:val="single"/>
        </w:rPr>
        <w:t>韶关市采联采购招标有限公司</w:t>
      </w:r>
      <w:r>
        <w:rPr>
          <w:rFonts w:hint="eastAsia" w:ascii="宋体" w:hAnsi="宋体"/>
          <w:sz w:val="24"/>
        </w:rPr>
        <w:t>：</w:t>
      </w:r>
    </w:p>
    <w:p w14:paraId="6C8197D5">
      <w:pPr>
        <w:widowControl/>
        <w:tabs>
          <w:tab w:val="left" w:pos="6300"/>
        </w:tabs>
        <w:snapToGrid w:val="0"/>
        <w:spacing w:line="360" w:lineRule="auto"/>
        <w:ind w:firstLine="480" w:firstLineChars="200"/>
        <w:rPr>
          <w:rFonts w:ascii="宋体" w:hAnsi="宋体"/>
          <w:sz w:val="24"/>
        </w:rPr>
      </w:pPr>
      <w:r>
        <w:rPr>
          <w:rFonts w:hint="eastAsia" w:ascii="宋体" w:hAnsi="宋体"/>
          <w:sz w:val="24"/>
        </w:rPr>
        <w:t>我单位已报名并准备参与</w:t>
      </w:r>
      <w:r>
        <w:rPr>
          <w:rFonts w:hint="eastAsia" w:ascii="宋体" w:hAnsi="宋体"/>
          <w:sz w:val="24"/>
          <w:u w:val="single"/>
          <w:lang w:eastAsia="zh-CN"/>
        </w:rPr>
        <w:t>南雄市人民医院食堂对外承包项目</w:t>
      </w:r>
      <w:r>
        <w:rPr>
          <w:rFonts w:hint="eastAsia" w:ascii="宋体" w:hAnsi="宋体"/>
          <w:sz w:val="24"/>
        </w:rPr>
        <w:t>（项目采购编号：CLZ0125SG01GC05）的投标（或报价）活动，现有以下几个内容（或条款）存在疑问（或无法理解），特提出询问。</w:t>
      </w:r>
    </w:p>
    <w:p w14:paraId="42AAC143">
      <w:pPr>
        <w:widowControl/>
        <w:tabs>
          <w:tab w:val="center" w:pos="5019"/>
        </w:tabs>
        <w:snapToGrid w:val="0"/>
        <w:spacing w:line="360" w:lineRule="auto"/>
        <w:ind w:firstLine="480" w:firstLineChars="200"/>
        <w:rPr>
          <w:rFonts w:ascii="宋体" w:hAnsi="宋体"/>
          <w:sz w:val="24"/>
        </w:rPr>
      </w:pPr>
      <w:r>
        <w:rPr>
          <w:rFonts w:hint="eastAsia" w:ascii="宋体" w:hAnsi="宋体"/>
          <w:sz w:val="24"/>
        </w:rPr>
        <w:t>一、_____________________（事项一）</w:t>
      </w:r>
      <w:r>
        <w:rPr>
          <w:rFonts w:ascii="宋体" w:hAnsi="宋体"/>
          <w:sz w:val="24"/>
        </w:rPr>
        <w:tab/>
      </w:r>
    </w:p>
    <w:p w14:paraId="2BC4FCFC">
      <w:pPr>
        <w:widowControl/>
        <w:tabs>
          <w:tab w:val="left" w:pos="6300"/>
        </w:tabs>
        <w:snapToGrid w:val="0"/>
        <w:spacing w:line="360" w:lineRule="auto"/>
        <w:ind w:firstLine="480" w:firstLineChars="200"/>
        <w:rPr>
          <w:rFonts w:ascii="宋体" w:hAnsi="宋体"/>
          <w:sz w:val="24"/>
        </w:rPr>
      </w:pPr>
      <w:r>
        <w:rPr>
          <w:rFonts w:hint="eastAsia" w:ascii="宋体" w:hAnsi="宋体"/>
          <w:sz w:val="24"/>
        </w:rPr>
        <w:t>（1）____________________（问题或条款内容）</w:t>
      </w:r>
    </w:p>
    <w:p w14:paraId="3F2A1AA0">
      <w:pPr>
        <w:widowControl/>
        <w:tabs>
          <w:tab w:val="left" w:pos="6300"/>
        </w:tabs>
        <w:snapToGrid w:val="0"/>
        <w:spacing w:line="360" w:lineRule="auto"/>
        <w:ind w:firstLine="480" w:firstLineChars="200"/>
        <w:rPr>
          <w:rFonts w:ascii="宋体" w:hAnsi="宋体"/>
          <w:sz w:val="24"/>
        </w:rPr>
      </w:pPr>
      <w:r>
        <w:rPr>
          <w:rFonts w:hint="eastAsia" w:ascii="宋体" w:hAnsi="宋体"/>
          <w:sz w:val="24"/>
        </w:rPr>
        <w:t>（2）____________________（说明疑问或无法理解原因）</w:t>
      </w:r>
    </w:p>
    <w:p w14:paraId="4D4C461D">
      <w:pPr>
        <w:widowControl/>
        <w:tabs>
          <w:tab w:val="left" w:pos="6300"/>
        </w:tabs>
        <w:snapToGrid w:val="0"/>
        <w:spacing w:line="360" w:lineRule="auto"/>
        <w:ind w:firstLine="480" w:firstLineChars="200"/>
        <w:rPr>
          <w:rFonts w:ascii="宋体" w:hAnsi="宋体"/>
          <w:sz w:val="24"/>
        </w:rPr>
      </w:pPr>
      <w:r>
        <w:rPr>
          <w:rFonts w:hint="eastAsia" w:ascii="宋体" w:hAnsi="宋体"/>
          <w:sz w:val="24"/>
        </w:rPr>
        <w:t>（3）____________________（建议）</w:t>
      </w:r>
    </w:p>
    <w:p w14:paraId="022AA626">
      <w:pPr>
        <w:widowControl/>
        <w:tabs>
          <w:tab w:val="left" w:pos="6300"/>
        </w:tabs>
        <w:snapToGrid w:val="0"/>
        <w:spacing w:line="360" w:lineRule="auto"/>
        <w:ind w:firstLine="480" w:firstLineChars="200"/>
        <w:rPr>
          <w:rFonts w:ascii="宋体" w:hAnsi="宋体"/>
          <w:sz w:val="24"/>
        </w:rPr>
      </w:pPr>
      <w:r>
        <w:rPr>
          <w:rFonts w:hint="eastAsia" w:ascii="宋体" w:hAnsi="宋体"/>
          <w:sz w:val="24"/>
        </w:rPr>
        <w:t>二、_____________________（事项二）</w:t>
      </w:r>
    </w:p>
    <w:p w14:paraId="3934AA97">
      <w:pPr>
        <w:widowControl/>
        <w:tabs>
          <w:tab w:val="left" w:pos="6300"/>
        </w:tabs>
        <w:snapToGrid w:val="0"/>
        <w:spacing w:line="360" w:lineRule="auto"/>
        <w:ind w:firstLine="480" w:firstLineChars="200"/>
        <w:rPr>
          <w:rFonts w:ascii="宋体" w:hAnsi="宋体"/>
          <w:sz w:val="24"/>
        </w:rPr>
      </w:pPr>
      <w:r>
        <w:rPr>
          <w:rFonts w:hint="eastAsia" w:ascii="宋体" w:hAnsi="宋体"/>
          <w:sz w:val="24"/>
        </w:rPr>
        <w:t>……</w:t>
      </w:r>
    </w:p>
    <w:p w14:paraId="348131D5">
      <w:pPr>
        <w:widowControl/>
        <w:tabs>
          <w:tab w:val="left" w:pos="6300"/>
        </w:tabs>
        <w:snapToGrid w:val="0"/>
        <w:spacing w:line="360" w:lineRule="auto"/>
        <w:rPr>
          <w:rFonts w:ascii="宋体" w:hAnsi="宋体"/>
          <w:b/>
          <w:sz w:val="24"/>
        </w:rPr>
      </w:pPr>
      <w:r>
        <w:rPr>
          <w:rFonts w:hint="eastAsia" w:ascii="宋体" w:hAnsi="宋体"/>
          <w:b/>
          <w:sz w:val="24"/>
        </w:rPr>
        <w:t>随附相关证明材料如下：（目录）。</w:t>
      </w:r>
    </w:p>
    <w:p w14:paraId="5B619417">
      <w:pPr>
        <w:widowControl/>
        <w:tabs>
          <w:tab w:val="left" w:pos="6300"/>
        </w:tabs>
        <w:snapToGrid w:val="0"/>
        <w:spacing w:line="360" w:lineRule="auto"/>
        <w:ind w:firstLine="1440" w:firstLineChars="600"/>
        <w:rPr>
          <w:rFonts w:ascii="宋体" w:hAnsi="宋体"/>
          <w:sz w:val="24"/>
        </w:rPr>
      </w:pPr>
    </w:p>
    <w:p w14:paraId="497B1CC8">
      <w:pPr>
        <w:widowControl/>
        <w:tabs>
          <w:tab w:val="left" w:pos="6300"/>
        </w:tabs>
        <w:snapToGrid w:val="0"/>
        <w:spacing w:line="360" w:lineRule="auto"/>
        <w:rPr>
          <w:rFonts w:ascii="宋体" w:hAnsi="宋体"/>
          <w:sz w:val="24"/>
        </w:rPr>
      </w:pPr>
      <w:r>
        <w:rPr>
          <w:rFonts w:hint="eastAsia" w:ascii="宋体" w:hAnsi="宋体"/>
          <w:sz w:val="24"/>
        </w:rPr>
        <w:t>询问人（公章）：</w:t>
      </w:r>
    </w:p>
    <w:p w14:paraId="130C0A1D">
      <w:pPr>
        <w:widowControl/>
        <w:tabs>
          <w:tab w:val="left" w:pos="6300"/>
        </w:tabs>
        <w:snapToGrid w:val="0"/>
        <w:spacing w:line="360" w:lineRule="auto"/>
        <w:rPr>
          <w:rFonts w:ascii="宋体" w:hAnsi="宋体"/>
          <w:sz w:val="24"/>
        </w:rPr>
      </w:pPr>
      <w:r>
        <w:rPr>
          <w:rFonts w:hint="eastAsia" w:ascii="宋体" w:hAnsi="宋体"/>
          <w:sz w:val="24"/>
        </w:rPr>
        <w:t>法定代表人（授权代表）：</w:t>
      </w:r>
    </w:p>
    <w:p w14:paraId="4FECABC3">
      <w:pPr>
        <w:tabs>
          <w:tab w:val="left" w:pos="6300"/>
        </w:tabs>
        <w:snapToGrid w:val="0"/>
        <w:spacing w:line="360" w:lineRule="auto"/>
        <w:rPr>
          <w:rFonts w:ascii="宋体" w:hAnsi="宋体"/>
          <w:sz w:val="24"/>
        </w:rPr>
      </w:pPr>
      <w:r>
        <w:rPr>
          <w:rFonts w:hint="eastAsia" w:ascii="宋体" w:hAnsi="宋体"/>
          <w:sz w:val="24"/>
        </w:rPr>
        <w:t>地址/邮编：</w:t>
      </w:r>
    </w:p>
    <w:p w14:paraId="45863EA4">
      <w:pPr>
        <w:tabs>
          <w:tab w:val="left" w:pos="6300"/>
        </w:tabs>
        <w:snapToGrid w:val="0"/>
        <w:spacing w:line="360" w:lineRule="auto"/>
        <w:rPr>
          <w:rFonts w:ascii="宋体" w:hAnsi="宋体"/>
          <w:sz w:val="24"/>
        </w:rPr>
      </w:pPr>
      <w:r>
        <w:rPr>
          <w:rFonts w:hint="eastAsia" w:ascii="宋体" w:hAnsi="宋体"/>
          <w:sz w:val="24"/>
        </w:rPr>
        <w:t>电话/传真：</w:t>
      </w:r>
    </w:p>
    <w:p w14:paraId="4A1DFB82">
      <w:pPr>
        <w:tabs>
          <w:tab w:val="left" w:pos="6300"/>
        </w:tabs>
        <w:snapToGrid w:val="0"/>
        <w:spacing w:line="360" w:lineRule="auto"/>
        <w:rPr>
          <w:rFonts w:ascii="宋体" w:hAnsi="宋体"/>
          <w:sz w:val="24"/>
        </w:rPr>
      </w:pPr>
      <w:r>
        <w:rPr>
          <w:rFonts w:hint="eastAsia" w:ascii="宋体" w:hAnsi="宋体"/>
          <w:bCs/>
          <w:sz w:val="24"/>
        </w:rPr>
        <w:t>电子邮箱：</w:t>
      </w:r>
      <w:r>
        <w:rPr>
          <w:rFonts w:ascii="宋体" w:hAnsi="宋体"/>
          <w:sz w:val="24"/>
        </w:rPr>
        <w:t xml:space="preserve"> </w:t>
      </w:r>
    </w:p>
    <w:p w14:paraId="7B469393">
      <w:pPr>
        <w:pStyle w:val="18"/>
        <w:adjustRightInd w:val="0"/>
        <w:snapToGrid w:val="0"/>
        <w:spacing w:before="0" w:beforeAutospacing="0" w:after="0" w:afterAutospacing="0" w:line="360" w:lineRule="auto"/>
        <w:jc w:val="both"/>
        <w:rPr>
          <w:rFonts w:cs="宋体"/>
          <w:sz w:val="21"/>
          <w:szCs w:val="21"/>
        </w:rPr>
      </w:pPr>
      <w:r>
        <w:rPr>
          <w:rFonts w:hint="eastAsia"/>
        </w:rPr>
        <w:t>日期：  年   月  日</w:t>
      </w:r>
    </w:p>
    <w:p w14:paraId="5D985713">
      <w:pPr>
        <w:pStyle w:val="18"/>
        <w:adjustRightInd w:val="0"/>
        <w:snapToGrid w:val="0"/>
        <w:spacing w:before="0" w:beforeAutospacing="0" w:after="0" w:afterAutospacing="0" w:line="360" w:lineRule="auto"/>
        <w:jc w:val="both"/>
      </w:pPr>
      <w:r>
        <w:rPr>
          <w:rFonts w:hint="eastAsia"/>
        </w:rPr>
        <w:br w:type="page"/>
      </w:r>
      <w:r>
        <w:rPr>
          <w:rFonts w:hint="eastAsia"/>
        </w:rPr>
        <w:t>2：异议函格式</w:t>
      </w:r>
    </w:p>
    <w:p w14:paraId="38516AAA">
      <w:pPr>
        <w:jc w:val="center"/>
        <w:rPr>
          <w:rFonts w:ascii="宋体" w:hAnsi="宋体" w:cs="仿宋"/>
          <w:b/>
          <w:bCs/>
          <w:sz w:val="24"/>
          <w:szCs w:val="24"/>
        </w:rPr>
      </w:pPr>
      <w:r>
        <w:rPr>
          <w:rFonts w:hint="eastAsia" w:ascii="宋体" w:hAnsi="宋体" w:cs="仿宋"/>
          <w:b/>
          <w:bCs/>
          <w:sz w:val="24"/>
          <w:szCs w:val="24"/>
        </w:rPr>
        <w:t>异议函范本</w:t>
      </w:r>
    </w:p>
    <w:p w14:paraId="2675D1C7">
      <w:pPr>
        <w:snapToGrid w:val="0"/>
        <w:spacing w:before="312" w:beforeLines="100" w:line="360" w:lineRule="auto"/>
        <w:rPr>
          <w:rFonts w:ascii="宋体" w:hAnsi="宋体" w:cs="仿宋"/>
          <w:bCs/>
          <w:sz w:val="24"/>
          <w:szCs w:val="24"/>
        </w:rPr>
      </w:pPr>
      <w:r>
        <w:rPr>
          <w:rFonts w:hint="eastAsia" w:ascii="宋体" w:hAnsi="宋体" w:cs="仿宋"/>
          <w:bCs/>
          <w:sz w:val="24"/>
          <w:szCs w:val="24"/>
        </w:rPr>
        <w:t>一、异议供应商基本信息</w:t>
      </w:r>
    </w:p>
    <w:p w14:paraId="10FD86DA">
      <w:pPr>
        <w:snapToGrid w:val="0"/>
        <w:spacing w:line="360" w:lineRule="auto"/>
        <w:rPr>
          <w:rFonts w:ascii="宋体" w:hAnsi="宋体" w:cs="仿宋"/>
          <w:sz w:val="24"/>
          <w:szCs w:val="24"/>
          <w:u w:val="dotted"/>
        </w:rPr>
      </w:pPr>
      <w:r>
        <w:rPr>
          <w:rFonts w:hint="eastAsia" w:ascii="宋体" w:hAnsi="宋体" w:cs="仿宋"/>
          <w:sz w:val="24"/>
          <w:szCs w:val="24"/>
        </w:rPr>
        <w:t>异议供应商：</w:t>
      </w:r>
      <w:r>
        <w:rPr>
          <w:rFonts w:hint="eastAsia" w:ascii="宋体" w:hAnsi="宋体" w:cs="仿宋"/>
          <w:sz w:val="24"/>
          <w:szCs w:val="24"/>
          <w:u w:val="single"/>
        </w:rPr>
        <w:t xml:space="preserve">                                        </w:t>
      </w:r>
    </w:p>
    <w:p w14:paraId="692B1E94">
      <w:pPr>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single"/>
        </w:rPr>
        <w:t xml:space="preserve">                          </w:t>
      </w:r>
      <w:r>
        <w:rPr>
          <w:rFonts w:hint="eastAsia" w:ascii="宋体" w:hAnsi="宋体" w:cs="仿宋"/>
          <w:sz w:val="24"/>
          <w:szCs w:val="24"/>
        </w:rPr>
        <w:t>邮编：</w:t>
      </w:r>
      <w:r>
        <w:rPr>
          <w:rFonts w:hint="eastAsia" w:ascii="宋体" w:hAnsi="宋体" w:cs="仿宋"/>
          <w:sz w:val="24"/>
          <w:szCs w:val="24"/>
          <w:u w:val="single"/>
        </w:rPr>
        <w:t xml:space="preserve">                                                   </w:t>
      </w:r>
    </w:p>
    <w:p w14:paraId="3640F540">
      <w:pPr>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single"/>
        </w:rPr>
        <w:t xml:space="preserve">                      </w:t>
      </w:r>
      <w:r>
        <w:rPr>
          <w:rFonts w:hint="eastAsia" w:ascii="宋体" w:hAnsi="宋体" w:cs="仿宋"/>
          <w:sz w:val="24"/>
          <w:szCs w:val="24"/>
        </w:rPr>
        <w:t>联系电话：</w:t>
      </w:r>
      <w:r>
        <w:rPr>
          <w:rFonts w:hint="eastAsia" w:ascii="宋体" w:hAnsi="宋体" w:cs="仿宋"/>
          <w:sz w:val="24"/>
          <w:szCs w:val="24"/>
          <w:u w:val="single"/>
        </w:rPr>
        <w:t xml:space="preserve">                              </w:t>
      </w:r>
    </w:p>
    <w:p w14:paraId="750D57C9">
      <w:pPr>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single"/>
        </w:rPr>
        <w:t xml:space="preserve">                                          </w:t>
      </w:r>
    </w:p>
    <w:p w14:paraId="1BEDBB6C">
      <w:pPr>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single"/>
        </w:rPr>
        <w:t xml:space="preserve">                                           </w:t>
      </w:r>
      <w:r>
        <w:rPr>
          <w:rFonts w:ascii="宋体" w:hAnsi="宋体" w:cs="仿宋"/>
          <w:sz w:val="24"/>
          <w:szCs w:val="24"/>
        </w:rPr>
        <w:t xml:space="preserve"> </w:t>
      </w:r>
    </w:p>
    <w:p w14:paraId="0A3BEC63">
      <w:pPr>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邮编：</w:t>
      </w:r>
      <w:r>
        <w:rPr>
          <w:rFonts w:hint="eastAsia" w:ascii="宋体" w:hAnsi="宋体" w:cs="仿宋"/>
          <w:sz w:val="24"/>
          <w:szCs w:val="24"/>
          <w:u w:val="single"/>
        </w:rPr>
        <w:t xml:space="preserve">                                                </w:t>
      </w:r>
    </w:p>
    <w:p w14:paraId="37E856C0">
      <w:pPr>
        <w:snapToGrid w:val="0"/>
        <w:spacing w:line="360" w:lineRule="auto"/>
        <w:rPr>
          <w:rFonts w:ascii="宋体" w:hAnsi="宋体" w:cs="仿宋"/>
          <w:bCs/>
          <w:sz w:val="24"/>
          <w:szCs w:val="24"/>
        </w:rPr>
      </w:pPr>
      <w:r>
        <w:rPr>
          <w:rFonts w:hint="eastAsia" w:ascii="宋体" w:hAnsi="宋体" w:cs="仿宋"/>
          <w:bCs/>
          <w:sz w:val="24"/>
          <w:szCs w:val="24"/>
        </w:rPr>
        <w:t>二、异议项目基本情况</w:t>
      </w:r>
    </w:p>
    <w:p w14:paraId="6754D3D9">
      <w:pPr>
        <w:snapToGrid w:val="0"/>
        <w:spacing w:line="360" w:lineRule="auto"/>
        <w:rPr>
          <w:rFonts w:ascii="宋体" w:hAnsi="宋体" w:cs="仿宋"/>
          <w:sz w:val="24"/>
          <w:szCs w:val="24"/>
        </w:rPr>
      </w:pPr>
      <w:r>
        <w:rPr>
          <w:rFonts w:hint="eastAsia" w:ascii="宋体" w:hAnsi="宋体" w:cs="仿宋"/>
          <w:sz w:val="24"/>
          <w:szCs w:val="24"/>
        </w:rPr>
        <w:t>异议项目的名称：</w:t>
      </w:r>
      <w:r>
        <w:rPr>
          <w:rFonts w:hint="eastAsia" w:ascii="宋体" w:hAnsi="宋体" w:cs="仿宋"/>
          <w:sz w:val="24"/>
          <w:szCs w:val="24"/>
          <w:u w:val="single"/>
        </w:rPr>
        <w:t xml:space="preserve">                                      </w:t>
      </w:r>
    </w:p>
    <w:p w14:paraId="3C500C57">
      <w:pPr>
        <w:snapToGrid w:val="0"/>
        <w:spacing w:line="360" w:lineRule="auto"/>
        <w:rPr>
          <w:rFonts w:ascii="宋体" w:hAnsi="宋体" w:cs="仿宋"/>
          <w:sz w:val="24"/>
          <w:szCs w:val="24"/>
        </w:rPr>
      </w:pPr>
      <w:r>
        <w:rPr>
          <w:rFonts w:hint="eastAsia" w:ascii="宋体" w:hAnsi="宋体" w:cs="仿宋"/>
          <w:sz w:val="24"/>
          <w:szCs w:val="24"/>
        </w:rPr>
        <w:t>异议项目的编号：</w:t>
      </w:r>
      <w:r>
        <w:rPr>
          <w:rFonts w:hint="eastAsia" w:ascii="宋体" w:hAnsi="宋体" w:cs="仿宋"/>
          <w:sz w:val="24"/>
          <w:szCs w:val="24"/>
          <w:u w:val="single"/>
        </w:rPr>
        <w:t xml:space="preserve">               </w:t>
      </w:r>
      <w:r>
        <w:rPr>
          <w:rFonts w:hint="eastAsia" w:ascii="宋体" w:hAnsi="宋体" w:cs="仿宋"/>
          <w:sz w:val="24"/>
          <w:szCs w:val="24"/>
        </w:rPr>
        <w:t>包号：</w:t>
      </w:r>
      <w:r>
        <w:rPr>
          <w:rFonts w:hint="eastAsia" w:ascii="宋体" w:hAnsi="宋体" w:cs="仿宋"/>
          <w:sz w:val="24"/>
          <w:szCs w:val="24"/>
          <w:u w:val="single"/>
        </w:rPr>
        <w:t xml:space="preserve">                 </w:t>
      </w:r>
    </w:p>
    <w:p w14:paraId="65F63DA5">
      <w:pPr>
        <w:snapToGrid w:val="0"/>
        <w:spacing w:line="360" w:lineRule="auto"/>
        <w:rPr>
          <w:rFonts w:ascii="宋体" w:hAnsi="宋体" w:cs="仿宋"/>
          <w:sz w:val="24"/>
          <w:szCs w:val="24"/>
          <w:u w:val="single"/>
        </w:rPr>
      </w:pPr>
      <w:r>
        <w:rPr>
          <w:rFonts w:hint="eastAsia" w:ascii="宋体" w:hAnsi="宋体" w:cs="仿宋"/>
          <w:sz w:val="24"/>
          <w:szCs w:val="24"/>
        </w:rPr>
        <w:t>招标人名称：</w:t>
      </w:r>
      <w:r>
        <w:rPr>
          <w:rFonts w:hint="eastAsia" w:ascii="宋体" w:hAnsi="宋体" w:cs="仿宋"/>
          <w:sz w:val="24"/>
          <w:szCs w:val="24"/>
          <w:u w:val="single"/>
        </w:rPr>
        <w:t xml:space="preserve">                                         </w:t>
      </w:r>
    </w:p>
    <w:p w14:paraId="32A7CD31">
      <w:pPr>
        <w:snapToGrid w:val="0"/>
        <w:spacing w:line="360" w:lineRule="auto"/>
        <w:rPr>
          <w:rFonts w:ascii="宋体" w:hAnsi="宋体" w:cs="仿宋"/>
          <w:sz w:val="24"/>
          <w:szCs w:val="24"/>
          <w:u w:val="single"/>
        </w:rPr>
      </w:pPr>
      <w:r>
        <w:rPr>
          <w:rFonts w:hint="eastAsia" w:ascii="宋体" w:hAnsi="宋体" w:cs="仿宋"/>
          <w:sz w:val="24"/>
          <w:szCs w:val="24"/>
        </w:rPr>
        <w:t>招标文件获取日期：</w:t>
      </w:r>
      <w:r>
        <w:rPr>
          <w:rFonts w:hint="eastAsia" w:ascii="宋体" w:hAnsi="宋体" w:cs="仿宋"/>
          <w:sz w:val="24"/>
          <w:szCs w:val="24"/>
          <w:u w:val="single"/>
        </w:rPr>
        <w:t xml:space="preserve">                                           </w:t>
      </w:r>
    </w:p>
    <w:p w14:paraId="6A779A01">
      <w:pPr>
        <w:snapToGrid w:val="0"/>
        <w:spacing w:line="360" w:lineRule="auto"/>
        <w:rPr>
          <w:rFonts w:ascii="宋体" w:hAnsi="宋体" w:cs="仿宋"/>
          <w:bCs/>
          <w:sz w:val="24"/>
          <w:szCs w:val="24"/>
        </w:rPr>
      </w:pPr>
      <w:r>
        <w:rPr>
          <w:rFonts w:hint="eastAsia" w:ascii="宋体" w:hAnsi="宋体" w:cs="仿宋"/>
          <w:bCs/>
          <w:sz w:val="24"/>
          <w:szCs w:val="24"/>
        </w:rPr>
        <w:t>三、异议事项具体内容</w:t>
      </w:r>
    </w:p>
    <w:p w14:paraId="095C03F7">
      <w:pPr>
        <w:snapToGrid w:val="0"/>
        <w:spacing w:line="360" w:lineRule="auto"/>
        <w:rPr>
          <w:rFonts w:ascii="宋体" w:hAnsi="宋体" w:cs="仿宋"/>
          <w:sz w:val="24"/>
          <w:szCs w:val="24"/>
          <w:u w:val="single"/>
        </w:rPr>
      </w:pPr>
      <w:r>
        <w:rPr>
          <w:rFonts w:hint="eastAsia" w:ascii="宋体" w:hAnsi="宋体" w:cs="仿宋"/>
          <w:sz w:val="24"/>
          <w:szCs w:val="24"/>
        </w:rPr>
        <w:t>异议事项1：</w:t>
      </w:r>
      <w:r>
        <w:rPr>
          <w:rFonts w:hint="eastAsia" w:ascii="宋体" w:hAnsi="宋体" w:cs="仿宋"/>
          <w:sz w:val="24"/>
          <w:szCs w:val="24"/>
          <w:u w:val="single"/>
        </w:rPr>
        <w:t xml:space="preserve">                                         </w:t>
      </w:r>
    </w:p>
    <w:p w14:paraId="2A10C7EA">
      <w:pPr>
        <w:snapToGrid w:val="0"/>
        <w:spacing w:line="360" w:lineRule="auto"/>
        <w:rPr>
          <w:rFonts w:ascii="宋体" w:hAnsi="宋体" w:cs="仿宋"/>
          <w:sz w:val="24"/>
          <w:szCs w:val="24"/>
          <w:u w:val="single"/>
        </w:rPr>
      </w:pPr>
      <w:r>
        <w:rPr>
          <w:rFonts w:hint="eastAsia" w:ascii="宋体" w:hAnsi="宋体" w:cs="仿宋"/>
          <w:sz w:val="24"/>
          <w:szCs w:val="24"/>
        </w:rPr>
        <w:t>事实依据：</w:t>
      </w:r>
      <w:r>
        <w:rPr>
          <w:rFonts w:hint="eastAsia" w:ascii="宋体" w:hAnsi="宋体" w:cs="仿宋"/>
          <w:sz w:val="24"/>
          <w:szCs w:val="24"/>
          <w:u w:val="single"/>
        </w:rPr>
        <w:t xml:space="preserve">                                          </w:t>
      </w:r>
    </w:p>
    <w:p w14:paraId="60D223CA">
      <w:pPr>
        <w:snapToGrid w:val="0"/>
        <w:spacing w:line="360" w:lineRule="auto"/>
        <w:rPr>
          <w:rFonts w:ascii="宋体" w:hAnsi="宋体" w:cs="仿宋"/>
          <w:sz w:val="24"/>
          <w:szCs w:val="24"/>
          <w:u w:val="single"/>
        </w:rPr>
      </w:pPr>
      <w:r>
        <w:rPr>
          <w:rFonts w:hint="eastAsia" w:ascii="宋体" w:hAnsi="宋体" w:cs="仿宋"/>
          <w:sz w:val="24"/>
          <w:szCs w:val="24"/>
          <w:u w:val="single"/>
        </w:rPr>
        <w:t xml:space="preserve">                                                       </w:t>
      </w:r>
    </w:p>
    <w:p w14:paraId="78B3D6AB">
      <w:pPr>
        <w:snapToGrid w:val="0"/>
        <w:spacing w:line="360" w:lineRule="auto"/>
        <w:rPr>
          <w:rFonts w:ascii="宋体" w:hAnsi="宋体" w:cs="仿宋"/>
          <w:sz w:val="24"/>
          <w:szCs w:val="24"/>
          <w:u w:val="single"/>
        </w:rPr>
      </w:pPr>
      <w:r>
        <w:rPr>
          <w:rFonts w:hint="eastAsia" w:ascii="宋体" w:hAnsi="宋体" w:cs="仿宋"/>
          <w:sz w:val="24"/>
          <w:szCs w:val="24"/>
        </w:rPr>
        <w:t>法律依据：</w:t>
      </w:r>
      <w:r>
        <w:rPr>
          <w:rFonts w:hint="eastAsia" w:ascii="宋体" w:hAnsi="宋体" w:cs="仿宋"/>
          <w:sz w:val="24"/>
          <w:szCs w:val="24"/>
          <w:u w:val="single"/>
        </w:rPr>
        <w:t xml:space="preserve">                                          </w:t>
      </w:r>
    </w:p>
    <w:p w14:paraId="263F599B">
      <w:pPr>
        <w:snapToGrid w:val="0"/>
        <w:spacing w:line="360" w:lineRule="auto"/>
        <w:rPr>
          <w:rFonts w:ascii="宋体" w:hAnsi="宋体" w:cs="仿宋"/>
          <w:sz w:val="24"/>
          <w:szCs w:val="24"/>
          <w:u w:val="single"/>
        </w:rPr>
      </w:pPr>
      <w:r>
        <w:rPr>
          <w:rFonts w:hint="eastAsia" w:ascii="宋体" w:hAnsi="宋体" w:cs="仿宋"/>
          <w:sz w:val="24"/>
          <w:szCs w:val="24"/>
          <w:u w:val="single"/>
        </w:rPr>
        <w:t xml:space="preserve">                                                     </w:t>
      </w:r>
    </w:p>
    <w:p w14:paraId="675D4FF8">
      <w:pPr>
        <w:snapToGrid w:val="0"/>
        <w:spacing w:line="360" w:lineRule="auto"/>
        <w:rPr>
          <w:rFonts w:ascii="宋体" w:hAnsi="宋体" w:cs="仿宋"/>
          <w:sz w:val="24"/>
          <w:szCs w:val="24"/>
          <w:u w:val="dotted"/>
        </w:rPr>
      </w:pPr>
      <w:r>
        <w:rPr>
          <w:rFonts w:hint="eastAsia" w:ascii="宋体" w:hAnsi="宋体" w:cs="仿宋"/>
          <w:sz w:val="24"/>
          <w:szCs w:val="24"/>
        </w:rPr>
        <w:t>异议事项2</w:t>
      </w:r>
    </w:p>
    <w:p w14:paraId="01D1D3EF">
      <w:pPr>
        <w:snapToGrid w:val="0"/>
        <w:spacing w:line="360" w:lineRule="auto"/>
        <w:rPr>
          <w:rFonts w:ascii="宋体" w:hAnsi="宋体" w:cs="仿宋"/>
          <w:sz w:val="24"/>
          <w:szCs w:val="24"/>
        </w:rPr>
      </w:pPr>
      <w:r>
        <w:rPr>
          <w:rFonts w:hint="eastAsia" w:ascii="宋体" w:hAnsi="宋体" w:cs="仿宋"/>
          <w:sz w:val="24"/>
          <w:szCs w:val="24"/>
        </w:rPr>
        <w:t>……</w:t>
      </w:r>
    </w:p>
    <w:p w14:paraId="69BC2E72">
      <w:pPr>
        <w:snapToGrid w:val="0"/>
        <w:spacing w:line="360" w:lineRule="auto"/>
        <w:rPr>
          <w:rFonts w:ascii="宋体" w:hAnsi="宋体" w:cs="仿宋"/>
          <w:bCs/>
          <w:sz w:val="24"/>
          <w:szCs w:val="24"/>
        </w:rPr>
      </w:pPr>
      <w:r>
        <w:rPr>
          <w:rFonts w:hint="eastAsia" w:ascii="宋体" w:hAnsi="宋体" w:cs="仿宋"/>
          <w:bCs/>
          <w:sz w:val="24"/>
          <w:szCs w:val="24"/>
        </w:rPr>
        <w:t>四、与异议事项相关的异议请求</w:t>
      </w:r>
    </w:p>
    <w:p w14:paraId="734EB536">
      <w:pPr>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single"/>
        </w:rPr>
        <w:t xml:space="preserve">                                               </w:t>
      </w:r>
    </w:p>
    <w:p w14:paraId="2D8ADBBE">
      <w:pPr>
        <w:spacing w:line="360" w:lineRule="auto"/>
        <w:rPr>
          <w:rFonts w:ascii="宋体" w:hAnsi="宋体"/>
          <w:sz w:val="24"/>
          <w:szCs w:val="24"/>
        </w:rPr>
      </w:pPr>
      <w:r>
        <w:rPr>
          <w:rFonts w:hint="eastAsia" w:ascii="宋体" w:hAnsi="宋体"/>
          <w:sz w:val="24"/>
          <w:szCs w:val="24"/>
        </w:rPr>
        <w:t xml:space="preserve">签字(签章)：                   公章：                      </w:t>
      </w:r>
    </w:p>
    <w:p w14:paraId="431CDD11">
      <w:pPr>
        <w:spacing w:line="360" w:lineRule="auto"/>
        <w:rPr>
          <w:rFonts w:ascii="宋体" w:hAnsi="宋体"/>
          <w:sz w:val="24"/>
          <w:szCs w:val="24"/>
        </w:rPr>
      </w:pPr>
      <w:r>
        <w:rPr>
          <w:rFonts w:hint="eastAsia" w:ascii="宋体" w:hAnsi="宋体"/>
          <w:sz w:val="24"/>
          <w:szCs w:val="24"/>
        </w:rPr>
        <w:t xml:space="preserve">日期：   </w:t>
      </w:r>
    </w:p>
    <w:p w14:paraId="4559B53C">
      <w:pPr>
        <w:snapToGrid w:val="0"/>
        <w:spacing w:line="360" w:lineRule="auto"/>
        <w:rPr>
          <w:rFonts w:ascii="宋体" w:hAnsi="宋体" w:cs="仿宋"/>
          <w:sz w:val="24"/>
          <w:szCs w:val="24"/>
        </w:rPr>
      </w:pPr>
      <w:r>
        <w:rPr>
          <w:rFonts w:hint="eastAsia" w:ascii="宋体" w:hAnsi="宋体" w:cs="仿宋"/>
          <w:sz w:val="24"/>
          <w:szCs w:val="24"/>
        </w:rPr>
        <w:t>附件：</w:t>
      </w:r>
    </w:p>
    <w:tbl>
      <w:tblPr>
        <w:tblStyle w:val="23"/>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7"/>
        <w:gridCol w:w="2761"/>
        <w:gridCol w:w="2247"/>
        <w:gridCol w:w="2247"/>
      </w:tblGrid>
      <w:tr w14:paraId="5FC9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1D8A9365">
            <w:pPr>
              <w:snapToGrid w:val="0"/>
              <w:spacing w:line="360" w:lineRule="auto"/>
              <w:rPr>
                <w:rFonts w:ascii="宋体" w:hAnsi="宋体" w:cs="仿宋"/>
                <w:sz w:val="24"/>
                <w:szCs w:val="24"/>
              </w:rPr>
            </w:pPr>
            <w:r>
              <w:rPr>
                <w:rFonts w:hint="eastAsia" w:ascii="宋体" w:hAnsi="宋体" w:cs="仿宋"/>
                <w:sz w:val="24"/>
                <w:szCs w:val="24"/>
              </w:rPr>
              <w:t>序号</w:t>
            </w:r>
          </w:p>
        </w:tc>
        <w:tc>
          <w:tcPr>
            <w:tcW w:w="2761" w:type="dxa"/>
            <w:tcMar>
              <w:top w:w="72" w:type="dxa"/>
              <w:left w:w="144" w:type="dxa"/>
              <w:bottom w:w="72" w:type="dxa"/>
              <w:right w:w="144" w:type="dxa"/>
            </w:tcMar>
          </w:tcPr>
          <w:p w14:paraId="68453FF0">
            <w:pPr>
              <w:snapToGrid w:val="0"/>
              <w:spacing w:line="360" w:lineRule="auto"/>
              <w:rPr>
                <w:rFonts w:ascii="宋体" w:hAnsi="宋体" w:cs="仿宋"/>
                <w:sz w:val="24"/>
                <w:szCs w:val="24"/>
              </w:rPr>
            </w:pPr>
            <w:r>
              <w:rPr>
                <w:rFonts w:hint="eastAsia" w:ascii="宋体" w:hAnsi="宋体"/>
                <w:sz w:val="24"/>
                <w:szCs w:val="24"/>
              </w:rPr>
              <w:t>证明材料</w:t>
            </w:r>
            <w:r>
              <w:rPr>
                <w:rFonts w:hint="eastAsia" w:ascii="宋体" w:hAnsi="宋体" w:cs="仿宋"/>
                <w:sz w:val="24"/>
                <w:szCs w:val="24"/>
              </w:rPr>
              <w:t>名称</w:t>
            </w:r>
          </w:p>
        </w:tc>
        <w:tc>
          <w:tcPr>
            <w:tcW w:w="2247" w:type="dxa"/>
            <w:tcMar>
              <w:top w:w="72" w:type="dxa"/>
              <w:left w:w="144" w:type="dxa"/>
              <w:bottom w:w="72" w:type="dxa"/>
              <w:right w:w="144" w:type="dxa"/>
            </w:tcMar>
          </w:tcPr>
          <w:p w14:paraId="43B2C782">
            <w:pPr>
              <w:snapToGrid w:val="0"/>
              <w:spacing w:line="360" w:lineRule="auto"/>
              <w:rPr>
                <w:rFonts w:ascii="宋体" w:hAnsi="宋体" w:cs="仿宋"/>
                <w:sz w:val="24"/>
                <w:szCs w:val="24"/>
              </w:rPr>
            </w:pPr>
            <w:r>
              <w:rPr>
                <w:rFonts w:hint="eastAsia" w:ascii="宋体" w:hAnsi="宋体"/>
                <w:sz w:val="24"/>
                <w:szCs w:val="24"/>
              </w:rPr>
              <w:t>证明材料</w:t>
            </w:r>
            <w:r>
              <w:rPr>
                <w:rFonts w:hint="eastAsia" w:ascii="宋体" w:hAnsi="宋体" w:cs="仿宋"/>
                <w:sz w:val="24"/>
                <w:szCs w:val="24"/>
              </w:rPr>
              <w:t>来源</w:t>
            </w:r>
          </w:p>
        </w:tc>
        <w:tc>
          <w:tcPr>
            <w:tcW w:w="2247" w:type="dxa"/>
            <w:tcMar>
              <w:top w:w="72" w:type="dxa"/>
              <w:left w:w="144" w:type="dxa"/>
              <w:bottom w:w="72" w:type="dxa"/>
              <w:right w:w="144" w:type="dxa"/>
            </w:tcMar>
          </w:tcPr>
          <w:p w14:paraId="3C9CA097">
            <w:pPr>
              <w:snapToGrid w:val="0"/>
              <w:spacing w:line="360" w:lineRule="auto"/>
              <w:rPr>
                <w:rFonts w:ascii="宋体" w:hAnsi="宋体" w:cs="仿宋"/>
                <w:sz w:val="24"/>
                <w:szCs w:val="24"/>
              </w:rPr>
            </w:pPr>
            <w:r>
              <w:rPr>
                <w:rFonts w:hint="eastAsia" w:ascii="宋体" w:hAnsi="宋体" w:cs="仿宋"/>
                <w:sz w:val="24"/>
                <w:szCs w:val="24"/>
              </w:rPr>
              <w:t>证明对象</w:t>
            </w:r>
            <w:r>
              <w:rPr>
                <w:rFonts w:ascii="宋体" w:hAnsi="宋体" w:cs="仿宋"/>
                <w:sz w:val="24"/>
                <w:szCs w:val="24"/>
              </w:rPr>
              <w:t xml:space="preserve"> </w:t>
            </w:r>
          </w:p>
        </w:tc>
      </w:tr>
      <w:tr w14:paraId="6B9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5496AC75">
            <w:pPr>
              <w:snapToGrid w:val="0"/>
              <w:spacing w:line="360" w:lineRule="auto"/>
              <w:rPr>
                <w:rFonts w:ascii="宋体" w:hAnsi="宋体" w:cs="仿宋"/>
                <w:sz w:val="24"/>
                <w:szCs w:val="24"/>
              </w:rPr>
            </w:pPr>
            <w:r>
              <w:rPr>
                <w:rFonts w:ascii="宋体" w:hAnsi="宋体" w:cs="仿宋"/>
                <w:sz w:val="24"/>
                <w:szCs w:val="24"/>
              </w:rPr>
              <w:t xml:space="preserve">1 </w:t>
            </w:r>
          </w:p>
        </w:tc>
        <w:tc>
          <w:tcPr>
            <w:tcW w:w="2761" w:type="dxa"/>
            <w:tcMar>
              <w:top w:w="72" w:type="dxa"/>
              <w:left w:w="144" w:type="dxa"/>
              <w:bottom w:w="72" w:type="dxa"/>
              <w:right w:w="144" w:type="dxa"/>
            </w:tcMar>
          </w:tcPr>
          <w:p w14:paraId="3362D55A">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719FB728">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17427517">
            <w:pPr>
              <w:snapToGrid w:val="0"/>
              <w:spacing w:line="360" w:lineRule="auto"/>
              <w:rPr>
                <w:rFonts w:ascii="宋体" w:hAnsi="宋体" w:cs="仿宋"/>
                <w:sz w:val="24"/>
                <w:szCs w:val="24"/>
              </w:rPr>
            </w:pPr>
          </w:p>
        </w:tc>
      </w:tr>
      <w:tr w14:paraId="6A8B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771F2821">
            <w:pPr>
              <w:snapToGrid w:val="0"/>
              <w:spacing w:line="360" w:lineRule="auto"/>
              <w:rPr>
                <w:rFonts w:ascii="宋体" w:hAnsi="宋体" w:cs="仿宋"/>
                <w:sz w:val="24"/>
                <w:szCs w:val="24"/>
              </w:rPr>
            </w:pPr>
            <w:r>
              <w:rPr>
                <w:rFonts w:ascii="宋体" w:hAnsi="宋体" w:cs="仿宋"/>
                <w:sz w:val="24"/>
                <w:szCs w:val="24"/>
              </w:rPr>
              <w:t xml:space="preserve">2 </w:t>
            </w:r>
          </w:p>
        </w:tc>
        <w:tc>
          <w:tcPr>
            <w:tcW w:w="2761" w:type="dxa"/>
            <w:tcMar>
              <w:top w:w="72" w:type="dxa"/>
              <w:left w:w="144" w:type="dxa"/>
              <w:bottom w:w="72" w:type="dxa"/>
              <w:right w:w="144" w:type="dxa"/>
            </w:tcMar>
          </w:tcPr>
          <w:p w14:paraId="01537998">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7A6C7C94">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2EF43B18">
            <w:pPr>
              <w:snapToGrid w:val="0"/>
              <w:spacing w:line="360" w:lineRule="auto"/>
              <w:rPr>
                <w:rFonts w:ascii="宋体" w:hAnsi="宋体" w:cs="仿宋"/>
                <w:sz w:val="24"/>
                <w:szCs w:val="24"/>
              </w:rPr>
            </w:pPr>
          </w:p>
        </w:tc>
      </w:tr>
      <w:tr w14:paraId="3259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14:paraId="1245090A">
            <w:pPr>
              <w:snapToGrid w:val="0"/>
              <w:spacing w:line="360" w:lineRule="auto"/>
              <w:rPr>
                <w:rFonts w:ascii="宋体" w:hAnsi="宋体" w:cs="仿宋"/>
                <w:sz w:val="24"/>
                <w:szCs w:val="24"/>
              </w:rPr>
            </w:pPr>
            <w:r>
              <w:rPr>
                <w:rFonts w:hint="eastAsia" w:ascii="宋体" w:hAnsi="宋体" w:cs="仿宋"/>
                <w:sz w:val="24"/>
                <w:szCs w:val="24"/>
              </w:rPr>
              <w:t>……</w:t>
            </w:r>
          </w:p>
        </w:tc>
        <w:tc>
          <w:tcPr>
            <w:tcW w:w="2761" w:type="dxa"/>
            <w:tcMar>
              <w:top w:w="72" w:type="dxa"/>
              <w:left w:w="144" w:type="dxa"/>
              <w:bottom w:w="72" w:type="dxa"/>
              <w:right w:w="144" w:type="dxa"/>
            </w:tcMar>
          </w:tcPr>
          <w:p w14:paraId="7D7883A5">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135F47EE">
            <w:pPr>
              <w:snapToGrid w:val="0"/>
              <w:spacing w:line="360" w:lineRule="auto"/>
              <w:rPr>
                <w:rFonts w:ascii="宋体" w:hAnsi="宋体" w:cs="仿宋"/>
                <w:sz w:val="24"/>
                <w:szCs w:val="24"/>
              </w:rPr>
            </w:pPr>
          </w:p>
        </w:tc>
        <w:tc>
          <w:tcPr>
            <w:tcW w:w="2247" w:type="dxa"/>
            <w:tcMar>
              <w:top w:w="72" w:type="dxa"/>
              <w:left w:w="144" w:type="dxa"/>
              <w:bottom w:w="72" w:type="dxa"/>
              <w:right w:w="144" w:type="dxa"/>
            </w:tcMar>
          </w:tcPr>
          <w:p w14:paraId="49573A05">
            <w:pPr>
              <w:snapToGrid w:val="0"/>
              <w:spacing w:line="360" w:lineRule="auto"/>
              <w:rPr>
                <w:rFonts w:ascii="宋体" w:hAnsi="宋体" w:cs="仿宋"/>
                <w:sz w:val="24"/>
                <w:szCs w:val="24"/>
              </w:rPr>
            </w:pPr>
          </w:p>
        </w:tc>
      </w:tr>
    </w:tbl>
    <w:p w14:paraId="36433062">
      <w:pPr>
        <w:pStyle w:val="53"/>
        <w:widowControl/>
        <w:numPr>
          <w:ilvl w:val="0"/>
          <w:numId w:val="73"/>
        </w:numPr>
        <w:autoSpaceDE/>
        <w:autoSpaceDN/>
        <w:spacing w:line="360" w:lineRule="auto"/>
        <w:ind w:firstLineChars="0"/>
        <w:textAlignment w:val="baseline"/>
        <w:rPr>
          <w:rFonts w:ascii="宋体" w:hAnsi="宋体"/>
          <w:b/>
          <w:sz w:val="24"/>
          <w:szCs w:val="24"/>
        </w:rPr>
      </w:pPr>
      <w:r>
        <w:rPr>
          <w:rFonts w:hint="eastAsia" w:ascii="宋体" w:hAnsi="宋体"/>
          <w:b/>
          <w:sz w:val="24"/>
          <w:szCs w:val="24"/>
        </w:rPr>
        <w:t>相关说明：</w:t>
      </w:r>
    </w:p>
    <w:p w14:paraId="4AA3F685">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供应商提出异议时，应提交异议函和必要的证明材料。</w:t>
      </w:r>
    </w:p>
    <w:p w14:paraId="0F351AC5">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异议供应商若委托代理人进行异议的，异议函应按要求列明“授权代表”的有关内容，并在附件中提交由异议供应商签署的授权委托书。授权委托书应载明代理人的姓名或者名称、代理事项、具体权限、期限和相关事项。</w:t>
      </w:r>
    </w:p>
    <w:p w14:paraId="0350B1DD">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异议供应商若对项目的某一分包进行异议，异议函中</w:t>
      </w:r>
      <w:r>
        <w:rPr>
          <w:rFonts w:hint="eastAsia" w:ascii="宋体" w:hAnsi="宋体"/>
          <w:b/>
          <w:bCs/>
          <w:sz w:val="24"/>
          <w:szCs w:val="24"/>
        </w:rPr>
        <w:t>应列明具体标段号</w:t>
      </w:r>
      <w:r>
        <w:rPr>
          <w:rFonts w:hint="eastAsia" w:ascii="宋体" w:hAnsi="宋体"/>
          <w:sz w:val="24"/>
          <w:szCs w:val="24"/>
        </w:rPr>
        <w:t>。</w:t>
      </w:r>
    </w:p>
    <w:p w14:paraId="49C42AE6">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异议函的异议事项应具体、明确，并有必要的事实依据和法律依据。</w:t>
      </w:r>
    </w:p>
    <w:p w14:paraId="05AE9B91">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异议函的异议请求应与异议事项相关。</w:t>
      </w:r>
    </w:p>
    <w:p w14:paraId="1692C446">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异议供应商为自然人的，异议函应由本人签字；异议供应商为法人或者其他组织的，异议函应由法定代表人、主要负责人，或者其授权代表签字或者盖章，并加盖公章。</w:t>
      </w:r>
    </w:p>
    <w:p w14:paraId="1780668F">
      <w:pPr>
        <w:pStyle w:val="53"/>
        <w:widowControl/>
        <w:numPr>
          <w:ilvl w:val="0"/>
          <w:numId w:val="74"/>
        </w:numPr>
        <w:autoSpaceDE/>
        <w:autoSpaceDN/>
        <w:spacing w:line="360" w:lineRule="auto"/>
        <w:ind w:firstLineChars="0"/>
        <w:textAlignment w:val="baseline"/>
        <w:rPr>
          <w:rFonts w:ascii="宋体" w:hAnsi="宋体"/>
          <w:sz w:val="24"/>
          <w:szCs w:val="24"/>
        </w:rPr>
      </w:pPr>
      <w:r>
        <w:rPr>
          <w:rFonts w:hint="eastAsia" w:ascii="宋体" w:hAnsi="宋体"/>
          <w:sz w:val="24"/>
          <w:szCs w:val="24"/>
        </w:rPr>
        <w:t>供应商应在提交的证明材料中对异议点的内容</w:t>
      </w:r>
      <w:r>
        <w:rPr>
          <w:rFonts w:hint="eastAsia" w:ascii="宋体" w:hAnsi="宋体"/>
          <w:b/>
          <w:bCs/>
          <w:sz w:val="24"/>
          <w:szCs w:val="24"/>
        </w:rPr>
        <w:t>作出相应的标识或以醒目的方式标明。</w:t>
      </w:r>
    </w:p>
    <w:p w14:paraId="40A8B7DD">
      <w:pPr>
        <w:widowControl/>
        <w:autoSpaceDE/>
        <w:autoSpaceDN/>
        <w:adjustRightInd/>
        <w:spacing w:line="360" w:lineRule="auto"/>
        <w:jc w:val="center"/>
        <w:outlineLvl w:val="0"/>
        <w:rPr>
          <w:rFonts w:ascii="宋体" w:hAnsi="宋体" w:cs="宋体"/>
          <w:sz w:val="24"/>
          <w:szCs w:val="24"/>
        </w:rPr>
      </w:pPr>
      <w:r>
        <w:rPr>
          <w:rFonts w:ascii="宋体" w:hAnsi="宋体"/>
          <w:b/>
          <w:bCs/>
          <w:color w:val="FF0000"/>
        </w:rPr>
        <w:br w:type="page"/>
      </w:r>
      <w:bookmarkStart w:id="72" w:name="_Toc15464"/>
      <w:bookmarkStart w:id="73" w:name="_Toc424118581"/>
      <w:bookmarkStart w:id="74" w:name="_Toc422414208"/>
      <w:bookmarkStart w:id="75" w:name="_Toc416771358"/>
      <w:bookmarkStart w:id="76" w:name="_Toc410738972"/>
      <w:bookmarkStart w:id="77" w:name="_Toc416771633"/>
      <w:bookmarkStart w:id="78" w:name="_Toc416770248"/>
      <w:bookmarkStart w:id="79" w:name="_Toc410736172"/>
      <w:r>
        <w:rPr>
          <w:rFonts w:hint="eastAsia"/>
          <w:b/>
          <w:bCs/>
          <w:sz w:val="30"/>
          <w:szCs w:val="30"/>
        </w:rPr>
        <w:t>第五章  合同格式条款</w:t>
      </w:r>
      <w:bookmarkEnd w:id="72"/>
    </w:p>
    <w:p w14:paraId="23A260D8">
      <w:pPr>
        <w:widowControl/>
        <w:autoSpaceDE/>
        <w:autoSpaceDN/>
        <w:adjustRightInd/>
        <w:spacing w:line="360" w:lineRule="auto"/>
        <w:jc w:val="center"/>
        <w:outlineLvl w:val="1"/>
        <w:rPr>
          <w:b/>
          <w:bCs/>
          <w:sz w:val="24"/>
          <w:szCs w:val="24"/>
        </w:rPr>
      </w:pPr>
      <w:bookmarkStart w:id="80" w:name="_Toc13130"/>
      <w:bookmarkStart w:id="81" w:name="_Toc24558"/>
      <w:r>
        <w:rPr>
          <w:rFonts w:hint="eastAsia"/>
          <w:b/>
          <w:bCs/>
          <w:sz w:val="24"/>
          <w:szCs w:val="24"/>
        </w:rPr>
        <w:t>合同通用条款</w:t>
      </w:r>
      <w:bookmarkEnd w:id="73"/>
      <w:bookmarkEnd w:id="74"/>
      <w:bookmarkEnd w:id="75"/>
      <w:bookmarkEnd w:id="76"/>
      <w:bookmarkEnd w:id="77"/>
      <w:bookmarkEnd w:id="78"/>
      <w:bookmarkEnd w:id="79"/>
      <w:bookmarkEnd w:id="80"/>
      <w:bookmarkEnd w:id="81"/>
    </w:p>
    <w:p w14:paraId="276A03DB">
      <w:pPr>
        <w:tabs>
          <w:tab w:val="left" w:pos="720"/>
        </w:tabs>
        <w:rPr>
          <w:rFonts w:ascii="宋体" w:hAnsi="宋体" w:cs="宋体"/>
          <w:sz w:val="24"/>
          <w:szCs w:val="24"/>
        </w:rPr>
      </w:pPr>
      <w:r>
        <w:rPr>
          <w:rFonts w:hint="eastAsia" w:ascii="宋体" w:hAnsi="宋体" w:cs="宋体"/>
          <w:b/>
          <w:bCs/>
          <w:sz w:val="24"/>
          <w:szCs w:val="24"/>
        </w:rPr>
        <w:t>甲    方</w:t>
      </w:r>
      <w:r>
        <w:rPr>
          <w:rFonts w:hint="eastAsia" w:ascii="宋体" w:hAnsi="宋体" w:cs="宋体"/>
          <w:sz w:val="24"/>
          <w:szCs w:val="24"/>
        </w:rPr>
        <w:t xml:space="preserve">（招标人）：                   </w:t>
      </w:r>
    </w:p>
    <w:p w14:paraId="2922A3AE">
      <w:pPr>
        <w:rPr>
          <w:rFonts w:ascii="宋体" w:hAnsi="宋体" w:cs="宋体"/>
          <w:sz w:val="24"/>
          <w:szCs w:val="24"/>
        </w:rPr>
      </w:pPr>
      <w:r>
        <w:rPr>
          <w:rFonts w:hint="eastAsia" w:ascii="宋体" w:hAnsi="宋体" w:cs="宋体"/>
          <w:sz w:val="24"/>
          <w:szCs w:val="24"/>
        </w:rPr>
        <w:t xml:space="preserve">电    话：           　   </w:t>
      </w:r>
    </w:p>
    <w:p w14:paraId="30EE09C0">
      <w:pPr>
        <w:rPr>
          <w:rFonts w:ascii="宋体" w:hAnsi="宋体" w:cs="宋体"/>
          <w:sz w:val="24"/>
          <w:szCs w:val="24"/>
        </w:rPr>
      </w:pPr>
      <w:r>
        <w:rPr>
          <w:rFonts w:hint="eastAsia" w:ascii="宋体" w:hAnsi="宋体" w:cs="宋体"/>
          <w:sz w:val="24"/>
          <w:szCs w:val="24"/>
        </w:rPr>
        <w:t xml:space="preserve">传  真：           </w:t>
      </w:r>
    </w:p>
    <w:p w14:paraId="36F8E5CA">
      <w:pPr>
        <w:rPr>
          <w:rFonts w:ascii="宋体" w:hAnsi="宋体" w:cs="宋体"/>
          <w:sz w:val="24"/>
          <w:szCs w:val="24"/>
        </w:rPr>
      </w:pPr>
      <w:r>
        <w:rPr>
          <w:rFonts w:hint="eastAsia" w:ascii="宋体" w:hAnsi="宋体" w:cs="宋体"/>
          <w:sz w:val="24"/>
          <w:szCs w:val="24"/>
        </w:rPr>
        <w:t>地  址：</w:t>
      </w:r>
    </w:p>
    <w:p w14:paraId="05944476">
      <w:pPr>
        <w:tabs>
          <w:tab w:val="left" w:pos="720"/>
        </w:tabs>
        <w:rPr>
          <w:rFonts w:ascii="宋体" w:hAnsi="宋体" w:cs="宋体"/>
          <w:sz w:val="24"/>
          <w:szCs w:val="24"/>
        </w:rPr>
      </w:pPr>
      <w:r>
        <w:rPr>
          <w:rFonts w:hint="eastAsia" w:ascii="宋体" w:hAnsi="宋体" w:cs="宋体"/>
          <w:b/>
          <w:bCs/>
          <w:sz w:val="24"/>
          <w:szCs w:val="24"/>
        </w:rPr>
        <w:t>乙    方</w:t>
      </w:r>
      <w:r>
        <w:rPr>
          <w:rFonts w:hint="eastAsia" w:ascii="宋体" w:hAnsi="宋体" w:cs="宋体"/>
          <w:sz w:val="24"/>
          <w:szCs w:val="24"/>
        </w:rPr>
        <w:t>（中标人）：</w:t>
      </w:r>
    </w:p>
    <w:p w14:paraId="241320AF">
      <w:pPr>
        <w:rPr>
          <w:rFonts w:ascii="宋体" w:hAnsi="宋体" w:cs="宋体"/>
          <w:sz w:val="24"/>
          <w:szCs w:val="24"/>
        </w:rPr>
      </w:pPr>
      <w:r>
        <w:rPr>
          <w:rFonts w:hint="eastAsia" w:ascii="宋体" w:hAnsi="宋体" w:cs="宋体"/>
          <w:sz w:val="24"/>
          <w:szCs w:val="24"/>
        </w:rPr>
        <w:t xml:space="preserve">电    话：                </w:t>
      </w:r>
    </w:p>
    <w:p w14:paraId="0CD9ADCC">
      <w:pPr>
        <w:rPr>
          <w:rFonts w:ascii="宋体" w:hAnsi="宋体" w:cs="宋体"/>
          <w:sz w:val="24"/>
          <w:szCs w:val="24"/>
        </w:rPr>
      </w:pPr>
      <w:r>
        <w:rPr>
          <w:rFonts w:hint="eastAsia" w:ascii="宋体" w:hAnsi="宋体" w:cs="宋体"/>
          <w:sz w:val="24"/>
          <w:szCs w:val="24"/>
        </w:rPr>
        <w:t xml:space="preserve">传  真：           </w:t>
      </w:r>
    </w:p>
    <w:p w14:paraId="15ED24E2">
      <w:pPr>
        <w:rPr>
          <w:rFonts w:ascii="宋体" w:hAnsi="宋体" w:cs="宋体"/>
          <w:sz w:val="24"/>
          <w:szCs w:val="24"/>
        </w:rPr>
      </w:pPr>
      <w:r>
        <w:rPr>
          <w:rFonts w:hint="eastAsia" w:ascii="宋体" w:hAnsi="宋体" w:cs="宋体"/>
          <w:sz w:val="24"/>
          <w:szCs w:val="24"/>
        </w:rPr>
        <w:t xml:space="preserve">地  址：             </w:t>
      </w:r>
    </w:p>
    <w:p w14:paraId="45ACA74D">
      <w:pPr>
        <w:spacing w:line="360" w:lineRule="auto"/>
        <w:ind w:firstLine="480" w:firstLineChars="200"/>
        <w:rPr>
          <w:rFonts w:ascii="宋体" w:hAnsi="宋体"/>
          <w:sz w:val="24"/>
          <w:szCs w:val="24"/>
        </w:rPr>
      </w:pPr>
      <w:r>
        <w:rPr>
          <w:rFonts w:hint="eastAsia" w:ascii="宋体" w:hAnsi="宋体" w:cs="宋体"/>
          <w:sz w:val="24"/>
          <w:szCs w:val="24"/>
        </w:rPr>
        <w:t>根据</w:t>
      </w:r>
      <w:r>
        <w:rPr>
          <w:rFonts w:hint="eastAsia" w:ascii="宋体" w:hAnsi="宋体" w:cs="宋体"/>
          <w:sz w:val="24"/>
          <w:u w:val="single"/>
          <w:lang w:eastAsia="zh-CN"/>
        </w:rPr>
        <w:t>南雄市人民医院食堂对外承包项目</w:t>
      </w:r>
      <w:r>
        <w:rPr>
          <w:rFonts w:hint="eastAsia" w:ascii="宋体" w:hAnsi="宋体" w:cs="宋体"/>
          <w:sz w:val="24"/>
          <w:szCs w:val="24"/>
        </w:rPr>
        <w:t>（项目编号：</w:t>
      </w:r>
      <w:r>
        <w:rPr>
          <w:rFonts w:hint="eastAsia" w:ascii="宋体" w:hAnsi="宋体"/>
          <w:sz w:val="24"/>
          <w:lang w:eastAsia="zh-CN"/>
        </w:rPr>
        <w:t>CLZ0125SG01GC05</w:t>
      </w:r>
      <w:r>
        <w:rPr>
          <w:rFonts w:hint="eastAsia" w:ascii="宋体" w:hAnsi="宋体" w:cs="宋体"/>
          <w:sz w:val="24"/>
          <w:szCs w:val="24"/>
        </w:rPr>
        <w:t>）的采购结果</w:t>
      </w:r>
      <w:r>
        <w:rPr>
          <w:rFonts w:hint="eastAsia" w:ascii="宋体" w:hAnsi="宋体"/>
          <w:sz w:val="24"/>
          <w:szCs w:val="24"/>
        </w:rPr>
        <w:t>，按照《中华人民共和国民法典》</w:t>
      </w:r>
      <w:r>
        <w:rPr>
          <w:rFonts w:hint="eastAsia" w:ascii="宋体" w:hAnsi="宋体" w:cs="宋体"/>
          <w:sz w:val="24"/>
          <w:szCs w:val="24"/>
        </w:rPr>
        <w:t>的规定，经双方协商，本着平等互利和诚实信用的原则，一致同意签订本合同如下。</w:t>
      </w:r>
    </w:p>
    <w:p w14:paraId="0B9B0D77">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82" w:name="_Toc17710"/>
      <w:bookmarkStart w:id="83" w:name="_Toc442"/>
      <w:r>
        <w:rPr>
          <w:rFonts w:hint="eastAsia" w:ascii="宋体" w:hAnsi="宋体"/>
          <w:b/>
          <w:sz w:val="24"/>
          <w:szCs w:val="24"/>
        </w:rPr>
        <w:t>合同金额</w:t>
      </w:r>
      <w:bookmarkEnd w:id="82"/>
      <w:bookmarkEnd w:id="83"/>
    </w:p>
    <w:p w14:paraId="56605590">
      <w:pPr>
        <w:pStyle w:val="11"/>
        <w:spacing w:line="360" w:lineRule="auto"/>
        <w:ind w:firstLine="480" w:firstLineChars="200"/>
        <w:rPr>
          <w:rFonts w:hAnsi="宋体"/>
          <w:sz w:val="24"/>
          <w:szCs w:val="24"/>
        </w:rPr>
      </w:pPr>
      <w:r>
        <w:rPr>
          <w:rFonts w:hint="eastAsia" w:hAnsi="宋体" w:cs="宋体"/>
          <w:sz w:val="24"/>
          <w:szCs w:val="24"/>
        </w:rPr>
        <w:t>合同金额为</w:t>
      </w:r>
      <w:r>
        <w:rPr>
          <w:rFonts w:hint="eastAsia" w:hAnsi="宋体" w:cs="宋体"/>
          <w:sz w:val="24"/>
        </w:rPr>
        <w:t>￥</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p>
    <w:p w14:paraId="48BF4C27">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84" w:name="_Toc9705"/>
      <w:bookmarkStart w:id="85" w:name="_Toc31047"/>
      <w:r>
        <w:rPr>
          <w:rFonts w:hint="eastAsia" w:ascii="宋体" w:hAnsi="宋体"/>
          <w:b/>
          <w:sz w:val="24"/>
          <w:szCs w:val="24"/>
        </w:rPr>
        <w:t>服务内容</w:t>
      </w:r>
      <w:bookmarkEnd w:id="84"/>
      <w:bookmarkEnd w:id="85"/>
    </w:p>
    <w:p w14:paraId="6DD96203">
      <w:pPr>
        <w:numPr>
          <w:ilvl w:val="0"/>
          <w:numId w:val="76"/>
        </w:numPr>
        <w:spacing w:line="360" w:lineRule="auto"/>
        <w:ind w:firstLine="426"/>
        <w:rPr>
          <w:rFonts w:ascii="宋体" w:hAnsi="宋体"/>
          <w:sz w:val="24"/>
          <w:szCs w:val="24"/>
          <w:u w:val="single"/>
        </w:rPr>
      </w:pPr>
      <w:r>
        <w:rPr>
          <w:rStyle w:val="43"/>
          <w:rFonts w:hint="eastAsia" w:ascii="宋体" w:hAnsi="宋体"/>
          <w:sz w:val="24"/>
        </w:rPr>
        <w:t>本项目主要技术内容是：</w:t>
      </w:r>
      <w:r>
        <w:rPr>
          <w:rFonts w:hint="eastAsia" w:ascii="宋体" w:hAnsi="宋体"/>
          <w:sz w:val="24"/>
          <w:u w:val="single"/>
        </w:rPr>
        <w:t xml:space="preserve">                           </w:t>
      </w:r>
    </w:p>
    <w:p w14:paraId="4791F1DE">
      <w:pPr>
        <w:numPr>
          <w:ilvl w:val="0"/>
          <w:numId w:val="76"/>
        </w:numPr>
        <w:spacing w:line="360" w:lineRule="auto"/>
        <w:ind w:firstLine="426"/>
        <w:rPr>
          <w:rFonts w:ascii="宋体" w:hAnsi="宋体"/>
          <w:sz w:val="24"/>
          <w:szCs w:val="24"/>
        </w:rPr>
      </w:pPr>
      <w:r>
        <w:rPr>
          <w:rFonts w:hint="eastAsia" w:ascii="宋体" w:hAnsi="宋体"/>
          <w:sz w:val="24"/>
          <w:szCs w:val="24"/>
        </w:rPr>
        <w:t>……</w:t>
      </w:r>
    </w:p>
    <w:p w14:paraId="44F8B753">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86" w:name="_Toc7284"/>
      <w:bookmarkStart w:id="87" w:name="_Toc22015"/>
      <w:r>
        <w:rPr>
          <w:rFonts w:hint="eastAsia" w:ascii="宋体" w:hAnsi="宋体"/>
          <w:b/>
          <w:sz w:val="24"/>
          <w:szCs w:val="24"/>
        </w:rPr>
        <w:t>甲方乙方的权利和义务</w:t>
      </w:r>
      <w:bookmarkEnd w:id="86"/>
      <w:bookmarkEnd w:id="87"/>
    </w:p>
    <w:p w14:paraId="149DD7A7">
      <w:pPr>
        <w:numPr>
          <w:ilvl w:val="0"/>
          <w:numId w:val="77"/>
        </w:numPr>
        <w:spacing w:line="360" w:lineRule="auto"/>
        <w:ind w:firstLine="426"/>
        <w:rPr>
          <w:rFonts w:ascii="宋体" w:hAnsi="宋体"/>
          <w:sz w:val="24"/>
          <w:szCs w:val="24"/>
        </w:rPr>
      </w:pPr>
      <w:r>
        <w:rPr>
          <w:rFonts w:hint="eastAsia" w:ascii="宋体" w:hAnsi="宋体"/>
          <w:sz w:val="24"/>
          <w:szCs w:val="24"/>
        </w:rPr>
        <w:t>甲方的权利和义务</w:t>
      </w:r>
    </w:p>
    <w:p w14:paraId="0666D5BF">
      <w:pPr>
        <w:numPr>
          <w:ilvl w:val="0"/>
          <w:numId w:val="78"/>
        </w:numPr>
        <w:spacing w:line="360" w:lineRule="auto"/>
        <w:ind w:left="1000"/>
        <w:rPr>
          <w:rFonts w:ascii="宋体" w:hAnsi="宋体"/>
          <w:sz w:val="24"/>
          <w:szCs w:val="24"/>
        </w:rPr>
      </w:pPr>
      <w:r>
        <w:rPr>
          <w:rFonts w:hint="eastAsia" w:ascii="宋体" w:hAnsi="宋体"/>
          <w:sz w:val="24"/>
          <w:szCs w:val="24"/>
        </w:rPr>
        <w:t>……</w:t>
      </w:r>
    </w:p>
    <w:p w14:paraId="3222BD14">
      <w:pPr>
        <w:numPr>
          <w:ilvl w:val="0"/>
          <w:numId w:val="78"/>
        </w:numPr>
        <w:spacing w:line="360" w:lineRule="auto"/>
        <w:ind w:left="1000"/>
        <w:rPr>
          <w:rFonts w:ascii="宋体" w:hAnsi="宋体"/>
          <w:sz w:val="24"/>
          <w:szCs w:val="24"/>
        </w:rPr>
      </w:pPr>
      <w:r>
        <w:rPr>
          <w:rFonts w:hint="eastAsia" w:ascii="宋体" w:hAnsi="宋体"/>
          <w:sz w:val="24"/>
          <w:szCs w:val="24"/>
        </w:rPr>
        <w:t>……</w:t>
      </w:r>
    </w:p>
    <w:p w14:paraId="79BC870C">
      <w:pPr>
        <w:numPr>
          <w:ilvl w:val="0"/>
          <w:numId w:val="77"/>
        </w:numPr>
        <w:spacing w:line="360" w:lineRule="auto"/>
        <w:ind w:firstLine="426"/>
        <w:rPr>
          <w:rFonts w:ascii="宋体" w:hAnsi="宋体"/>
          <w:sz w:val="24"/>
          <w:szCs w:val="24"/>
        </w:rPr>
      </w:pPr>
      <w:r>
        <w:rPr>
          <w:rFonts w:hint="eastAsia" w:ascii="宋体" w:hAnsi="宋体"/>
          <w:sz w:val="24"/>
          <w:szCs w:val="24"/>
        </w:rPr>
        <w:t>乙方的权利和义务</w:t>
      </w:r>
    </w:p>
    <w:p w14:paraId="5095CEF2">
      <w:pPr>
        <w:numPr>
          <w:ilvl w:val="0"/>
          <w:numId w:val="79"/>
        </w:numPr>
        <w:spacing w:line="360" w:lineRule="auto"/>
        <w:ind w:left="1000"/>
        <w:rPr>
          <w:rFonts w:ascii="宋体" w:hAnsi="宋体"/>
          <w:sz w:val="24"/>
          <w:szCs w:val="24"/>
        </w:rPr>
      </w:pPr>
      <w:r>
        <w:rPr>
          <w:rFonts w:hint="eastAsia" w:ascii="宋体" w:hAnsi="宋体"/>
          <w:sz w:val="24"/>
          <w:szCs w:val="24"/>
        </w:rPr>
        <w:t>……</w:t>
      </w:r>
    </w:p>
    <w:p w14:paraId="1E30EFDC">
      <w:pPr>
        <w:numPr>
          <w:ilvl w:val="0"/>
          <w:numId w:val="79"/>
        </w:numPr>
        <w:spacing w:line="360" w:lineRule="auto"/>
        <w:ind w:left="1000"/>
        <w:rPr>
          <w:rFonts w:ascii="宋体" w:hAnsi="宋体"/>
          <w:sz w:val="24"/>
          <w:szCs w:val="24"/>
        </w:rPr>
      </w:pPr>
      <w:r>
        <w:rPr>
          <w:rFonts w:hint="eastAsia" w:ascii="宋体" w:hAnsi="宋体"/>
          <w:sz w:val="24"/>
          <w:szCs w:val="24"/>
        </w:rPr>
        <w:t>……</w:t>
      </w:r>
    </w:p>
    <w:p w14:paraId="566E8B82">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88" w:name="_Toc6860"/>
      <w:bookmarkStart w:id="89" w:name="_Toc10031"/>
      <w:r>
        <w:rPr>
          <w:rFonts w:hint="eastAsia" w:ascii="宋体" w:hAnsi="宋体"/>
          <w:b/>
          <w:sz w:val="24"/>
          <w:szCs w:val="24"/>
        </w:rPr>
        <w:t>项目交付或者实施的时间和地点</w:t>
      </w:r>
      <w:bookmarkEnd w:id="88"/>
      <w:bookmarkEnd w:id="89"/>
    </w:p>
    <w:p w14:paraId="69EAEA18">
      <w:pPr>
        <w:numPr>
          <w:ilvl w:val="0"/>
          <w:numId w:val="80"/>
        </w:numPr>
        <w:spacing w:line="360" w:lineRule="auto"/>
        <w:ind w:firstLine="400"/>
        <w:rPr>
          <w:rFonts w:ascii="宋体" w:hAnsi="宋体"/>
          <w:sz w:val="24"/>
          <w:szCs w:val="24"/>
        </w:rPr>
      </w:pPr>
      <w:r>
        <w:rPr>
          <w:rFonts w:hint="eastAsia" w:ascii="宋体" w:hAnsi="宋体"/>
          <w:sz w:val="24"/>
          <w:szCs w:val="24"/>
        </w:rPr>
        <w:t xml:space="preserve">交付或实施的时间：                               </w:t>
      </w:r>
    </w:p>
    <w:p w14:paraId="74237BD3">
      <w:pPr>
        <w:numPr>
          <w:ilvl w:val="0"/>
          <w:numId w:val="80"/>
        </w:numPr>
        <w:spacing w:line="360" w:lineRule="auto"/>
        <w:ind w:firstLine="400"/>
        <w:rPr>
          <w:rFonts w:ascii="宋体" w:hAnsi="宋体"/>
          <w:sz w:val="24"/>
          <w:szCs w:val="24"/>
        </w:rPr>
      </w:pPr>
      <w:r>
        <w:rPr>
          <w:rFonts w:hint="eastAsia" w:ascii="宋体" w:hAnsi="宋体"/>
          <w:sz w:val="24"/>
          <w:szCs w:val="24"/>
        </w:rPr>
        <w:t>交付或实施的地点：（详细地址，不能准确确定的至少写到省级城市）</w:t>
      </w:r>
    </w:p>
    <w:p w14:paraId="10523714">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cs="宋体"/>
          <w:b/>
          <w:sz w:val="24"/>
          <w:szCs w:val="24"/>
          <w:lang w:val="en-US" w:eastAsia="zh-CN"/>
        </w:rPr>
        <w:t>技术要求</w:t>
      </w:r>
    </w:p>
    <w:p w14:paraId="3D17C39F">
      <w:pPr>
        <w:tabs>
          <w:tab w:val="left" w:pos="426"/>
        </w:tabs>
        <w:spacing w:line="360" w:lineRule="auto"/>
        <w:ind w:firstLine="480" w:firstLineChars="200"/>
        <w:textAlignment w:val="baseline"/>
        <w:rPr>
          <w:rFonts w:hint="default" w:ascii="宋体" w:hAnsi="宋体" w:eastAsia="宋体"/>
          <w:sz w:val="24"/>
          <w:szCs w:val="24"/>
          <w:lang w:val="en-US" w:eastAsia="zh-CN"/>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5FD130D4">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90" w:name="_Toc27058"/>
      <w:bookmarkStart w:id="91" w:name="_Toc29540"/>
      <w:r>
        <w:rPr>
          <w:rFonts w:hint="eastAsia" w:ascii="宋体" w:hAnsi="宋体"/>
          <w:b/>
          <w:sz w:val="24"/>
          <w:szCs w:val="24"/>
          <w:lang w:val="en-US" w:eastAsia="zh-CN"/>
        </w:rPr>
        <w:t>履约保证金</w:t>
      </w:r>
    </w:p>
    <w:p w14:paraId="18560389">
      <w:pPr>
        <w:tabs>
          <w:tab w:val="left" w:pos="426"/>
        </w:tabs>
        <w:spacing w:line="360" w:lineRule="auto"/>
        <w:ind w:firstLine="480" w:firstLineChars="200"/>
        <w:textAlignment w:val="baseline"/>
        <w:rPr>
          <w:rFonts w:hint="default" w:ascii="宋体" w:hAnsi="宋体" w:eastAsia="宋体"/>
          <w:sz w:val="24"/>
          <w:szCs w:val="24"/>
          <w:lang w:val="en-US" w:eastAsia="zh-CN"/>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6FD0818C">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val="en-US" w:eastAsia="zh-CN"/>
        </w:rPr>
        <w:t>应急响应要求</w:t>
      </w:r>
    </w:p>
    <w:p w14:paraId="143C8485">
      <w:pPr>
        <w:tabs>
          <w:tab w:val="left" w:pos="426"/>
        </w:tabs>
        <w:spacing w:line="360" w:lineRule="auto"/>
        <w:ind w:firstLine="480" w:firstLineChars="200"/>
        <w:textAlignment w:val="baseline"/>
        <w:rPr>
          <w:rFonts w:hint="default" w:ascii="宋体" w:hAnsi="宋体" w:eastAsia="宋体"/>
          <w:sz w:val="24"/>
          <w:szCs w:val="24"/>
          <w:lang w:val="en-US" w:eastAsia="zh-CN"/>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bookmarkEnd w:id="90"/>
    <w:bookmarkEnd w:id="91"/>
    <w:p w14:paraId="20E81422">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eastAsia="zh-CN"/>
        </w:rPr>
        <w:t>服务管理费</w:t>
      </w:r>
      <w:r>
        <w:rPr>
          <w:rFonts w:hint="eastAsia" w:ascii="宋体" w:hAnsi="宋体"/>
          <w:b/>
          <w:sz w:val="24"/>
          <w:szCs w:val="24"/>
        </w:rPr>
        <w:t>的支付方式</w:t>
      </w:r>
    </w:p>
    <w:p w14:paraId="03A57928">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6941CAA3">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92" w:name="_Toc12696"/>
      <w:bookmarkStart w:id="93" w:name="_Toc23117"/>
      <w:r>
        <w:rPr>
          <w:rFonts w:hint="eastAsia" w:ascii="宋体" w:hAnsi="宋体"/>
          <w:b/>
          <w:sz w:val="24"/>
          <w:szCs w:val="24"/>
          <w:lang w:val="en-US" w:eastAsia="zh-CN"/>
        </w:rPr>
        <w:t>保险</w:t>
      </w:r>
    </w:p>
    <w:p w14:paraId="47E862AD">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28844CE3">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eastAsia="宋体" w:cs="宋体"/>
          <w:b/>
          <w:bCs/>
          <w:color w:val="auto"/>
          <w:sz w:val="24"/>
          <w:szCs w:val="24"/>
          <w:highlight w:val="none"/>
        </w:rPr>
        <w:t>售后承诺及增值服务</w:t>
      </w:r>
    </w:p>
    <w:p w14:paraId="6D848B11">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39F5218F">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val="en-US" w:eastAsia="zh-CN"/>
        </w:rPr>
        <w:t>食品安全管理</w:t>
      </w:r>
    </w:p>
    <w:p w14:paraId="005F7630">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1736B14F">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val="en-US" w:eastAsia="zh-CN"/>
        </w:rPr>
        <w:t>人员配置与管理</w:t>
      </w:r>
    </w:p>
    <w:p w14:paraId="63CDAFE0">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4925C53D">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val="en-US" w:eastAsia="zh-CN"/>
        </w:rPr>
        <w:t>考核</w:t>
      </w:r>
    </w:p>
    <w:p w14:paraId="67842A14">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331BCD8C">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lang w:val="en-US" w:eastAsia="zh-CN"/>
        </w:rPr>
        <w:t>处罚办法</w:t>
      </w:r>
    </w:p>
    <w:p w14:paraId="5F3F7E5F">
      <w:pPr>
        <w:numPr>
          <w:ilvl w:val="-1"/>
          <w:numId w:val="0"/>
        </w:numPr>
        <w:tabs>
          <w:tab w:val="left" w:pos="426"/>
        </w:tabs>
        <w:spacing w:line="360" w:lineRule="auto"/>
        <w:ind w:left="0" w:firstLine="480" w:firstLineChars="200"/>
        <w:textAlignment w:val="baseline"/>
        <w:outlineLvl w:val="9"/>
        <w:rPr>
          <w:rFonts w:hint="eastAsia" w:ascii="宋体" w:hAnsi="宋体" w:eastAsia="宋体" w:cs="宋体"/>
          <w:b w:val="0"/>
          <w:bCs/>
          <w:sz w:val="24"/>
          <w:szCs w:val="24"/>
        </w:rPr>
      </w:pPr>
      <w:r>
        <w:rPr>
          <w:rFonts w:hint="eastAsia" w:ascii="宋体" w:hAnsi="宋体" w:eastAsia="宋体" w:cs="宋体"/>
          <w:bCs/>
          <w:sz w:val="24"/>
          <w:szCs w:val="24"/>
          <w:lang w:val="en-US" w:eastAsia="zh-CN"/>
        </w:rPr>
        <w:t>详见</w:t>
      </w:r>
      <w:r>
        <w:rPr>
          <w:rFonts w:hint="eastAsia" w:ascii="宋体" w:hAnsi="宋体" w:eastAsia="宋体" w:cs="宋体"/>
          <w:bCs/>
          <w:sz w:val="24"/>
          <w:szCs w:val="24"/>
        </w:rPr>
        <w:t>本招标文件</w:t>
      </w:r>
      <w:r>
        <w:rPr>
          <w:rFonts w:hint="eastAsia" w:ascii="宋体" w:hAnsi="宋体" w:cs="宋体"/>
          <w:bCs/>
          <w:sz w:val="24"/>
          <w:szCs w:val="24"/>
          <w:lang w:val="en-US" w:eastAsia="zh-CN"/>
        </w:rPr>
        <w:t>用户</w:t>
      </w:r>
      <w:r>
        <w:rPr>
          <w:rFonts w:hint="eastAsia" w:ascii="宋体" w:hAnsi="宋体" w:eastAsia="宋体" w:cs="宋体"/>
          <w:bCs/>
          <w:sz w:val="24"/>
          <w:szCs w:val="24"/>
          <w:lang w:val="en-US" w:eastAsia="zh-CN"/>
        </w:rPr>
        <w:t>需求</w:t>
      </w:r>
      <w:r>
        <w:rPr>
          <w:rFonts w:hint="eastAsia" w:ascii="宋体" w:hAnsi="宋体" w:cs="宋体"/>
          <w:bCs/>
          <w:sz w:val="24"/>
          <w:szCs w:val="24"/>
          <w:lang w:val="en-US" w:eastAsia="zh-CN"/>
        </w:rPr>
        <w:t>书</w:t>
      </w:r>
    </w:p>
    <w:p w14:paraId="7A447487">
      <w:pPr>
        <w:numPr>
          <w:ilvl w:val="0"/>
          <w:numId w:val="75"/>
        </w:numPr>
        <w:tabs>
          <w:tab w:val="left" w:pos="426"/>
        </w:tabs>
        <w:spacing w:line="360" w:lineRule="auto"/>
        <w:ind w:left="506" w:hanging="506" w:hangingChars="210"/>
        <w:textAlignment w:val="baseline"/>
        <w:outlineLvl w:val="2"/>
        <w:rPr>
          <w:rFonts w:ascii="宋体" w:hAnsi="宋体"/>
          <w:b/>
          <w:sz w:val="24"/>
          <w:szCs w:val="24"/>
        </w:rPr>
      </w:pPr>
      <w:r>
        <w:rPr>
          <w:rFonts w:hint="eastAsia" w:ascii="宋体" w:hAnsi="宋体"/>
          <w:b/>
          <w:sz w:val="24"/>
          <w:szCs w:val="24"/>
        </w:rPr>
        <w:t>知识产权产权归属</w:t>
      </w:r>
      <w:bookmarkEnd w:id="92"/>
      <w:bookmarkEnd w:id="93"/>
    </w:p>
    <w:p w14:paraId="2F3761C2">
      <w:pPr>
        <w:spacing w:line="360" w:lineRule="auto"/>
        <w:ind w:firstLine="480" w:firstLineChars="200"/>
        <w:rPr>
          <w:rFonts w:ascii="宋体" w:hAnsi="宋体" w:cs="宋体"/>
          <w:sz w:val="24"/>
          <w:szCs w:val="24"/>
        </w:rPr>
      </w:pPr>
      <w:r>
        <w:rPr>
          <w:rFonts w:hint="eastAsia" w:ascii="宋体" w:hAnsi="宋体" w:cs="宋体"/>
          <w:sz w:val="24"/>
          <w:szCs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7AAE1156">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94" w:name="_Toc25492"/>
      <w:bookmarkStart w:id="95" w:name="_Toc11076"/>
      <w:r>
        <w:rPr>
          <w:rFonts w:hint="eastAsia" w:ascii="宋体" w:hAnsi="宋体"/>
          <w:b/>
          <w:sz w:val="24"/>
          <w:szCs w:val="24"/>
        </w:rPr>
        <w:t>保密</w:t>
      </w:r>
      <w:bookmarkEnd w:id="94"/>
      <w:bookmarkEnd w:id="95"/>
    </w:p>
    <w:p w14:paraId="02DC037C">
      <w:pPr>
        <w:numPr>
          <w:ilvl w:val="0"/>
          <w:numId w:val="81"/>
        </w:numPr>
        <w:spacing w:line="360" w:lineRule="auto"/>
        <w:rPr>
          <w:rFonts w:ascii="宋体" w:hAnsi="宋体" w:cs="宋体"/>
          <w:sz w:val="24"/>
          <w:szCs w:val="24"/>
        </w:rPr>
      </w:pPr>
      <w:r>
        <w:rPr>
          <w:rFonts w:hint="eastAsia" w:ascii="宋体" w:hAnsi="宋体" w:cs="宋体"/>
          <w:sz w:val="24"/>
          <w:szCs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4D7E6D9C">
      <w:pPr>
        <w:numPr>
          <w:ilvl w:val="0"/>
          <w:numId w:val="81"/>
        </w:numPr>
        <w:spacing w:line="360" w:lineRule="auto"/>
        <w:rPr>
          <w:rFonts w:ascii="宋体" w:hAnsi="宋体"/>
          <w:sz w:val="24"/>
          <w:szCs w:val="24"/>
        </w:rPr>
      </w:pPr>
      <w:r>
        <w:rPr>
          <w:rFonts w:hint="eastAsia" w:ascii="宋体" w:hAnsi="宋体"/>
          <w:sz w:val="24"/>
          <w:szCs w:val="24"/>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063FD10B">
      <w:pPr>
        <w:numPr>
          <w:ilvl w:val="0"/>
          <w:numId w:val="81"/>
        </w:numPr>
        <w:spacing w:line="360" w:lineRule="auto"/>
        <w:rPr>
          <w:rFonts w:ascii="宋体" w:hAnsi="宋体"/>
          <w:sz w:val="24"/>
          <w:szCs w:val="24"/>
        </w:rPr>
      </w:pPr>
      <w:r>
        <w:rPr>
          <w:rFonts w:hint="eastAsia" w:ascii="宋体" w:hAnsi="宋体"/>
          <w:sz w:val="24"/>
        </w:rPr>
        <w:t>除了合同本身之外，上款所列举的任何物件均是甲方的财产。如果甲方有要求，乙方在完成合同后应将这些物件及全部复制件还给甲方。</w:t>
      </w:r>
    </w:p>
    <w:p w14:paraId="59435588">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96" w:name="_Toc1352"/>
      <w:bookmarkStart w:id="97" w:name="_Toc28476"/>
      <w:r>
        <w:rPr>
          <w:rFonts w:hint="eastAsia" w:ascii="宋体" w:hAnsi="宋体"/>
          <w:b/>
          <w:sz w:val="24"/>
          <w:szCs w:val="24"/>
        </w:rPr>
        <w:t>违约责任与赔偿损失</w:t>
      </w:r>
      <w:bookmarkEnd w:id="96"/>
      <w:bookmarkEnd w:id="97"/>
    </w:p>
    <w:p w14:paraId="073527A3">
      <w:pPr>
        <w:numPr>
          <w:ilvl w:val="0"/>
          <w:numId w:val="82"/>
        </w:numPr>
        <w:spacing w:line="360" w:lineRule="auto"/>
        <w:rPr>
          <w:rFonts w:ascii="宋体" w:hAnsi="宋体"/>
          <w:sz w:val="24"/>
          <w:szCs w:val="24"/>
        </w:rPr>
      </w:pPr>
      <w:r>
        <w:rPr>
          <w:rFonts w:hint="eastAsia" w:ascii="宋体" w:hAnsi="宋体"/>
          <w:sz w:val="24"/>
          <w:szCs w:val="24"/>
        </w:rPr>
        <w:t>乙方提供的服务不符合招标文件、投标文件或本合同规定的，甲方有权拒收，并且乙方须向甲方方支付本合同总价5%的违约金。</w:t>
      </w:r>
    </w:p>
    <w:p w14:paraId="1D3E5AE7">
      <w:pPr>
        <w:numPr>
          <w:ilvl w:val="0"/>
          <w:numId w:val="82"/>
        </w:numPr>
        <w:spacing w:line="360" w:lineRule="auto"/>
        <w:rPr>
          <w:rFonts w:ascii="宋体" w:hAnsi="宋体"/>
          <w:sz w:val="24"/>
          <w:szCs w:val="24"/>
        </w:rPr>
      </w:pPr>
      <w:r>
        <w:rPr>
          <w:rFonts w:hint="eastAsia" w:ascii="宋体" w:hAnsi="宋体"/>
          <w:sz w:val="24"/>
          <w:szCs w:val="24"/>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7C321CB7">
      <w:pPr>
        <w:numPr>
          <w:ilvl w:val="0"/>
          <w:numId w:val="82"/>
        </w:numPr>
        <w:spacing w:line="360" w:lineRule="auto"/>
        <w:rPr>
          <w:rFonts w:ascii="宋体" w:hAnsi="宋体"/>
          <w:sz w:val="24"/>
          <w:szCs w:val="24"/>
        </w:rPr>
      </w:pPr>
      <w:r>
        <w:rPr>
          <w:rFonts w:hint="eastAsia" w:ascii="宋体" w:hAnsi="宋体"/>
          <w:sz w:val="24"/>
          <w:szCs w:val="24"/>
        </w:rPr>
        <w:t>甲方无正当理由拒收接受服务，到期拒付服务款项的，甲方向乙方偿付本合同总价5%的违约金。甲方逾期付款，则每日</w:t>
      </w:r>
      <w:r>
        <w:rPr>
          <w:rFonts w:hint="eastAsia" w:ascii="宋体" w:hAnsi="宋体" w:cs="宋体"/>
          <w:sz w:val="24"/>
          <w:lang w:eastAsia="zh-TW"/>
        </w:rPr>
        <w:t>按“逾期金额×（合同订立时1年期贷款市场报价利率÷365天）”</w:t>
      </w:r>
      <w:r>
        <w:rPr>
          <w:rFonts w:hint="eastAsia" w:ascii="宋体" w:hAnsi="宋体"/>
          <w:sz w:val="24"/>
          <w:szCs w:val="24"/>
        </w:rPr>
        <w:t>向乙方偿付违约金。</w:t>
      </w:r>
    </w:p>
    <w:p w14:paraId="29849FA7">
      <w:pPr>
        <w:numPr>
          <w:ilvl w:val="0"/>
          <w:numId w:val="82"/>
        </w:numPr>
        <w:spacing w:line="360" w:lineRule="auto"/>
        <w:rPr>
          <w:rFonts w:ascii="宋体" w:hAnsi="宋体"/>
          <w:bCs/>
          <w:sz w:val="24"/>
          <w:szCs w:val="24"/>
        </w:rPr>
      </w:pPr>
      <w:r>
        <w:rPr>
          <w:rFonts w:hint="eastAsia" w:ascii="宋体" w:hAnsi="宋体"/>
          <w:bCs/>
          <w:sz w:val="24"/>
          <w:szCs w:val="24"/>
        </w:rPr>
        <w:t>其它违约责任按《中华人民共和国民法典》处理。</w:t>
      </w:r>
    </w:p>
    <w:p w14:paraId="5FED9738">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98" w:name="_Toc15141"/>
      <w:bookmarkStart w:id="99" w:name="_Toc26350"/>
      <w:r>
        <w:rPr>
          <w:rFonts w:hint="eastAsia" w:ascii="宋体" w:hAnsi="宋体"/>
          <w:b/>
          <w:sz w:val="24"/>
          <w:szCs w:val="24"/>
        </w:rPr>
        <w:t>争端的解决</w:t>
      </w:r>
      <w:bookmarkEnd w:id="98"/>
      <w:bookmarkEnd w:id="99"/>
    </w:p>
    <w:p w14:paraId="38CF191C">
      <w:pPr>
        <w:spacing w:line="360" w:lineRule="auto"/>
        <w:ind w:firstLine="480" w:firstLineChars="200"/>
        <w:rPr>
          <w:rFonts w:ascii="宋体" w:hAnsi="宋体"/>
          <w:sz w:val="24"/>
          <w:szCs w:val="24"/>
        </w:rPr>
      </w:pPr>
      <w:r>
        <w:rPr>
          <w:rFonts w:hint="eastAsia" w:ascii="宋体" w:hAnsi="宋体"/>
          <w:sz w:val="24"/>
          <w:szCs w:val="24"/>
        </w:rPr>
        <w:t>合同执行过程中发生的任何争议，如双方不能通过友好协商解决，甲、乙双方一致同意向甲方所在地人民法院提起诉讼。</w:t>
      </w:r>
    </w:p>
    <w:p w14:paraId="7C0311DF">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100" w:name="_Toc15480"/>
      <w:bookmarkStart w:id="101" w:name="_Toc17107"/>
      <w:r>
        <w:rPr>
          <w:rFonts w:hint="eastAsia" w:ascii="宋体" w:hAnsi="宋体"/>
          <w:b/>
          <w:sz w:val="24"/>
          <w:szCs w:val="24"/>
        </w:rPr>
        <w:t>不可抗力</w:t>
      </w:r>
      <w:bookmarkEnd w:id="100"/>
      <w:bookmarkEnd w:id="101"/>
    </w:p>
    <w:p w14:paraId="1CD19BE3">
      <w:pPr>
        <w:spacing w:line="360" w:lineRule="auto"/>
        <w:ind w:firstLine="480" w:firstLineChars="200"/>
        <w:rPr>
          <w:rFonts w:ascii="宋体" w:hAnsi="宋体"/>
          <w:sz w:val="24"/>
          <w:szCs w:val="24"/>
        </w:rPr>
      </w:pPr>
      <w:r>
        <w:rPr>
          <w:rFonts w:hint="eastAsia" w:ascii="宋体" w:hAnsi="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0562151">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102" w:name="_Toc359"/>
      <w:bookmarkStart w:id="103" w:name="_Toc12204"/>
      <w:r>
        <w:rPr>
          <w:rFonts w:hint="eastAsia" w:ascii="宋体" w:hAnsi="宋体"/>
          <w:b/>
          <w:sz w:val="24"/>
          <w:szCs w:val="24"/>
        </w:rPr>
        <w:t>税费</w:t>
      </w:r>
      <w:bookmarkEnd w:id="102"/>
      <w:bookmarkEnd w:id="103"/>
    </w:p>
    <w:p w14:paraId="7348EFB2">
      <w:pPr>
        <w:spacing w:line="360" w:lineRule="auto"/>
        <w:ind w:firstLine="480" w:firstLineChars="200"/>
        <w:rPr>
          <w:rFonts w:ascii="宋体" w:hAnsi="宋体"/>
          <w:sz w:val="24"/>
          <w:szCs w:val="24"/>
        </w:rPr>
      </w:pPr>
      <w:r>
        <w:rPr>
          <w:rFonts w:hint="eastAsia" w:ascii="宋体" w:hAnsi="宋体"/>
          <w:sz w:val="24"/>
          <w:szCs w:val="24"/>
        </w:rPr>
        <w:t>在中国境内、外发生的与本合同执行有关的一切税费均由乙方负担。</w:t>
      </w:r>
    </w:p>
    <w:p w14:paraId="5020869C">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104" w:name="_Toc15747"/>
      <w:bookmarkStart w:id="105" w:name="_Toc4224"/>
      <w:r>
        <w:rPr>
          <w:rFonts w:hint="eastAsia" w:ascii="宋体" w:hAnsi="宋体"/>
          <w:b/>
          <w:sz w:val="24"/>
          <w:szCs w:val="24"/>
        </w:rPr>
        <w:t>其它</w:t>
      </w:r>
      <w:bookmarkEnd w:id="104"/>
      <w:bookmarkEnd w:id="105"/>
    </w:p>
    <w:p w14:paraId="0AD8EDC2">
      <w:pPr>
        <w:numPr>
          <w:ilvl w:val="0"/>
          <w:numId w:val="83"/>
        </w:numPr>
        <w:spacing w:line="360" w:lineRule="auto"/>
        <w:rPr>
          <w:rFonts w:ascii="宋体" w:hAnsi="宋体"/>
          <w:b/>
          <w:sz w:val="24"/>
          <w:szCs w:val="24"/>
        </w:rPr>
      </w:pPr>
      <w:r>
        <w:rPr>
          <w:rFonts w:hint="eastAsia" w:ascii="宋体" w:hAnsi="宋体"/>
          <w:sz w:val="24"/>
          <w:szCs w:val="24"/>
        </w:rPr>
        <w:t>本合同所有附件、招标文件、投标文件、中标通知书均为合同的有效组成部分，与本合同具有同等法律效力。</w:t>
      </w:r>
    </w:p>
    <w:p w14:paraId="3F25F236">
      <w:pPr>
        <w:numPr>
          <w:ilvl w:val="0"/>
          <w:numId w:val="83"/>
        </w:numPr>
        <w:spacing w:line="360" w:lineRule="auto"/>
        <w:rPr>
          <w:rFonts w:ascii="宋体" w:hAnsi="宋体"/>
          <w:sz w:val="24"/>
          <w:szCs w:val="24"/>
        </w:rPr>
      </w:pPr>
      <w:r>
        <w:rPr>
          <w:rFonts w:hint="eastAsia" w:ascii="宋体" w:hAnsi="宋体"/>
          <w:sz w:val="24"/>
          <w:szCs w:val="24"/>
        </w:rPr>
        <w:t>在执行本合同的过程中，所有经双方签署确认的文件（包括会议纪要、补充协议、往来信函）即成为本合同的有效组成部分。</w:t>
      </w:r>
    </w:p>
    <w:p w14:paraId="2DC9C714">
      <w:pPr>
        <w:numPr>
          <w:ilvl w:val="0"/>
          <w:numId w:val="83"/>
        </w:numPr>
        <w:spacing w:line="360" w:lineRule="auto"/>
        <w:rPr>
          <w:rFonts w:ascii="宋体" w:hAnsi="宋体"/>
          <w:sz w:val="24"/>
          <w:szCs w:val="24"/>
        </w:rPr>
      </w:pPr>
      <w:r>
        <w:rPr>
          <w:rFonts w:hint="eastAsia" w:ascii="宋体" w:hAnsi="宋体"/>
          <w:sz w:val="24"/>
          <w:szCs w:val="24"/>
        </w:rPr>
        <w:t xml:space="preserve">如一方地址、电话、传真号码有变更，应在变更当日内书面通知对方，否则，应承担相应责任。 </w:t>
      </w:r>
    </w:p>
    <w:p w14:paraId="30E70C5B">
      <w:pPr>
        <w:numPr>
          <w:ilvl w:val="0"/>
          <w:numId w:val="83"/>
        </w:numPr>
        <w:spacing w:line="360" w:lineRule="auto"/>
        <w:rPr>
          <w:rFonts w:ascii="宋体" w:hAnsi="宋体"/>
          <w:sz w:val="24"/>
          <w:szCs w:val="24"/>
        </w:rPr>
      </w:pPr>
      <w:r>
        <w:rPr>
          <w:rFonts w:hint="eastAsia" w:ascii="宋体" w:hAnsi="宋体"/>
          <w:sz w:val="24"/>
          <w:szCs w:val="24"/>
        </w:rPr>
        <w:t>除甲方事先书面同意外，乙方不得部分或全部转让其应履行的合同项下的义务。</w:t>
      </w:r>
    </w:p>
    <w:p w14:paraId="2AD1BA7A">
      <w:pPr>
        <w:numPr>
          <w:ilvl w:val="0"/>
          <w:numId w:val="75"/>
        </w:numPr>
        <w:tabs>
          <w:tab w:val="left" w:pos="426"/>
        </w:tabs>
        <w:spacing w:line="360" w:lineRule="auto"/>
        <w:ind w:left="506" w:hanging="506" w:hangingChars="210"/>
        <w:textAlignment w:val="baseline"/>
        <w:outlineLvl w:val="2"/>
        <w:rPr>
          <w:rFonts w:ascii="宋体" w:hAnsi="宋体"/>
          <w:b/>
          <w:sz w:val="24"/>
          <w:szCs w:val="24"/>
        </w:rPr>
      </w:pPr>
      <w:bookmarkStart w:id="106" w:name="_Toc24494"/>
      <w:bookmarkStart w:id="107" w:name="_Toc21714"/>
      <w:r>
        <w:rPr>
          <w:rFonts w:hint="eastAsia" w:ascii="宋体" w:hAnsi="宋体"/>
          <w:b/>
          <w:sz w:val="24"/>
          <w:szCs w:val="24"/>
        </w:rPr>
        <w:t>合同生效：</w:t>
      </w:r>
      <w:bookmarkEnd w:id="106"/>
      <w:bookmarkEnd w:id="107"/>
    </w:p>
    <w:p w14:paraId="4AEBB5BC">
      <w:pPr>
        <w:numPr>
          <w:ilvl w:val="0"/>
          <w:numId w:val="84"/>
        </w:numPr>
        <w:spacing w:line="360" w:lineRule="auto"/>
        <w:rPr>
          <w:rFonts w:ascii="宋体" w:hAnsi="宋体" w:cs="宋体"/>
          <w:sz w:val="24"/>
          <w:szCs w:val="24"/>
        </w:rPr>
      </w:pPr>
      <w:r>
        <w:rPr>
          <w:rFonts w:hint="eastAsia" w:ascii="宋体" w:hAnsi="宋体" w:cs="宋体"/>
          <w:sz w:val="24"/>
          <w:szCs w:val="24"/>
        </w:rPr>
        <w:t>合同自甲乙双方法人代表或其授权代表签字盖章之日起生效。</w:t>
      </w:r>
    </w:p>
    <w:p w14:paraId="4FA7B7DA">
      <w:pPr>
        <w:numPr>
          <w:ilvl w:val="0"/>
          <w:numId w:val="84"/>
        </w:numPr>
        <w:spacing w:line="360" w:lineRule="auto"/>
        <w:rPr>
          <w:rFonts w:ascii="宋体" w:hAnsi="宋体"/>
          <w:sz w:val="24"/>
          <w:szCs w:val="24"/>
        </w:rPr>
      </w:pPr>
      <w:r>
        <w:rPr>
          <w:rFonts w:hint="eastAsia" w:ascii="宋体" w:hAnsi="宋体" w:cs="宋体"/>
          <w:sz w:val="24"/>
          <w:szCs w:val="24"/>
        </w:rPr>
        <w:t>合同壹式</w:t>
      </w:r>
      <w:r>
        <w:rPr>
          <w:rFonts w:hint="eastAsia" w:ascii="宋体" w:hAnsi="宋体" w:cs="宋体"/>
          <w:sz w:val="24"/>
          <w:szCs w:val="24"/>
          <w:u w:val="single"/>
        </w:rPr>
        <w:t xml:space="preserve">     </w:t>
      </w:r>
      <w:r>
        <w:rPr>
          <w:rFonts w:hint="eastAsia" w:ascii="宋体" w:hAnsi="宋体" w:cs="宋体"/>
          <w:sz w:val="24"/>
          <w:szCs w:val="24"/>
        </w:rPr>
        <w:t>份，其中甲乙双方各执</w:t>
      </w:r>
      <w:r>
        <w:rPr>
          <w:rFonts w:hint="eastAsia" w:ascii="宋体" w:hAnsi="宋体" w:cs="宋体"/>
          <w:sz w:val="24"/>
          <w:szCs w:val="24"/>
          <w:u w:val="single"/>
        </w:rPr>
        <w:t xml:space="preserve">   </w:t>
      </w:r>
      <w:r>
        <w:rPr>
          <w:rFonts w:hint="eastAsia" w:ascii="宋体" w:hAnsi="宋体" w:cs="宋体"/>
          <w:sz w:val="24"/>
          <w:szCs w:val="24"/>
        </w:rPr>
        <w:t>份，招标代理机构执壹份。</w:t>
      </w:r>
    </w:p>
    <w:p w14:paraId="7044F5C4">
      <w:pPr>
        <w:spacing w:line="360" w:lineRule="auto"/>
        <w:rPr>
          <w:rFonts w:ascii="宋体" w:hAnsi="宋体"/>
          <w:b/>
          <w:sz w:val="24"/>
          <w:szCs w:val="24"/>
        </w:rPr>
      </w:pPr>
    </w:p>
    <w:p w14:paraId="20955CA9">
      <w:pPr>
        <w:spacing w:line="360" w:lineRule="auto"/>
        <w:rPr>
          <w:rFonts w:ascii="宋体" w:hAnsi="宋体"/>
          <w:b/>
          <w:sz w:val="24"/>
          <w:szCs w:val="24"/>
        </w:rPr>
      </w:pPr>
      <w:r>
        <w:rPr>
          <w:rFonts w:hint="eastAsia" w:ascii="宋体" w:hAnsi="宋体"/>
          <w:b/>
          <w:sz w:val="24"/>
          <w:szCs w:val="24"/>
        </w:rPr>
        <w:t>甲方（盖章）：                                乙方（盖章）：</w:t>
      </w:r>
    </w:p>
    <w:p w14:paraId="1D108DFF">
      <w:pPr>
        <w:spacing w:line="360" w:lineRule="auto"/>
        <w:rPr>
          <w:rFonts w:ascii="宋体" w:hAnsi="宋体"/>
          <w:sz w:val="24"/>
          <w:szCs w:val="24"/>
        </w:rPr>
      </w:pPr>
      <w:r>
        <w:rPr>
          <w:rFonts w:hint="eastAsia" w:ascii="宋体" w:hAnsi="宋体"/>
          <w:b/>
          <w:sz w:val="24"/>
          <w:szCs w:val="24"/>
        </w:rPr>
        <w:t xml:space="preserve">代表：                                        代表： </w:t>
      </w:r>
    </w:p>
    <w:p w14:paraId="1F2437DF">
      <w:pPr>
        <w:rPr>
          <w:rFonts w:ascii="宋体" w:hAnsi="宋体"/>
          <w:sz w:val="24"/>
          <w:szCs w:val="24"/>
        </w:rPr>
      </w:pPr>
      <w:r>
        <w:rPr>
          <w:rFonts w:hint="eastAsia" w:ascii="宋体" w:hAnsi="宋体"/>
          <w:sz w:val="24"/>
          <w:szCs w:val="24"/>
        </w:rPr>
        <w:t>签定地点：</w:t>
      </w:r>
    </w:p>
    <w:p w14:paraId="4B801D62">
      <w:pPr>
        <w:rPr>
          <w:rFonts w:ascii="宋体" w:hAnsi="宋体"/>
          <w:sz w:val="24"/>
          <w:szCs w:val="24"/>
        </w:rPr>
      </w:pPr>
      <w:r>
        <w:rPr>
          <w:rFonts w:hint="eastAsia" w:ascii="宋体" w:hAnsi="宋体"/>
          <w:sz w:val="24"/>
          <w:szCs w:val="24"/>
        </w:rPr>
        <w:t xml:space="preserve">签定日期：        年     月    日             签定日期：    年    月    日    </w:t>
      </w:r>
    </w:p>
    <w:p w14:paraId="0CF41B5C">
      <w:pPr>
        <w:ind w:firstLine="5520" w:firstLineChars="2300"/>
        <w:rPr>
          <w:rFonts w:ascii="宋体" w:hAnsi="宋体"/>
          <w:sz w:val="24"/>
          <w:szCs w:val="24"/>
        </w:rPr>
      </w:pPr>
      <w:r>
        <w:rPr>
          <w:rFonts w:hint="eastAsia" w:ascii="宋体" w:hAnsi="宋体"/>
          <w:sz w:val="24"/>
          <w:szCs w:val="24"/>
        </w:rPr>
        <w:t>开户名称：</w:t>
      </w:r>
    </w:p>
    <w:p w14:paraId="0BCA5B56">
      <w:pPr>
        <w:ind w:firstLine="5520" w:firstLineChars="2300"/>
        <w:rPr>
          <w:rFonts w:ascii="宋体" w:hAnsi="宋体"/>
          <w:sz w:val="24"/>
          <w:szCs w:val="24"/>
        </w:rPr>
      </w:pPr>
      <w:r>
        <w:rPr>
          <w:rFonts w:hint="eastAsia" w:ascii="宋体" w:hAnsi="宋体"/>
          <w:sz w:val="24"/>
          <w:szCs w:val="24"/>
        </w:rPr>
        <w:t>银行账号：</w:t>
      </w:r>
    </w:p>
    <w:p w14:paraId="6D1EAD95">
      <w:pPr>
        <w:ind w:firstLine="5520" w:firstLineChars="2300"/>
        <w:jc w:val="both"/>
        <w:rPr>
          <w:rFonts w:ascii="宋体" w:hAnsi="宋体" w:cs="宋体"/>
          <w:sz w:val="22"/>
          <w:szCs w:val="22"/>
        </w:rPr>
      </w:pPr>
      <w:r>
        <w:rPr>
          <w:rFonts w:hint="eastAsia" w:ascii="宋体" w:hAnsi="宋体"/>
          <w:sz w:val="24"/>
          <w:szCs w:val="24"/>
        </w:rPr>
        <w:t>开 户 行</w:t>
      </w:r>
      <w:r>
        <w:rPr>
          <w:rFonts w:hint="eastAsia" w:ascii="宋体" w:hAnsi="宋体"/>
          <w:sz w:val="21"/>
          <w:szCs w:val="21"/>
        </w:rPr>
        <w:t>：</w:t>
      </w:r>
    </w:p>
    <w:p w14:paraId="4CF627F0">
      <w:pPr>
        <w:snapToGrid w:val="0"/>
        <w:spacing w:line="360" w:lineRule="auto"/>
        <w:jc w:val="center"/>
        <w:outlineLvl w:val="0"/>
        <w:rPr>
          <w:b/>
          <w:bCs/>
          <w:sz w:val="30"/>
          <w:szCs w:val="30"/>
        </w:rPr>
      </w:pPr>
      <w:r>
        <w:rPr>
          <w:rFonts w:hint="eastAsia" w:ascii="宋体" w:hAnsi="宋体" w:cs="宋体"/>
          <w:sz w:val="22"/>
          <w:szCs w:val="21"/>
        </w:rPr>
        <w:br w:type="page"/>
      </w:r>
      <w:bookmarkStart w:id="108" w:name="_Toc20668"/>
      <w:bookmarkStart w:id="109" w:name="_Toc9706"/>
      <w:bookmarkStart w:id="110" w:name="_Toc11190"/>
      <w:bookmarkStart w:id="111" w:name="_Toc9946"/>
      <w:bookmarkStart w:id="112" w:name="_Toc28176"/>
      <w:bookmarkStart w:id="113" w:name="_Toc9658"/>
      <w:r>
        <w:rPr>
          <w:rFonts w:hint="eastAsia"/>
          <w:b/>
          <w:bCs/>
          <w:sz w:val="30"/>
          <w:szCs w:val="30"/>
        </w:rPr>
        <w:t>第六章  投标文件格式</w:t>
      </w:r>
      <w:bookmarkEnd w:id="108"/>
      <w:bookmarkEnd w:id="109"/>
      <w:bookmarkEnd w:id="110"/>
      <w:bookmarkEnd w:id="111"/>
      <w:bookmarkEnd w:id="112"/>
      <w:bookmarkEnd w:id="113"/>
    </w:p>
    <w:p w14:paraId="1A66F0F1">
      <w:pPr>
        <w:keepNext/>
        <w:keepLines/>
        <w:autoSpaceDE/>
        <w:autoSpaceDN/>
        <w:adjustRightInd/>
        <w:spacing w:before="260" w:after="260" w:line="440" w:lineRule="exact"/>
        <w:jc w:val="center"/>
        <w:outlineLvl w:val="1"/>
        <w:rPr>
          <w:rFonts w:ascii="宋体" w:hAnsi="宋体" w:cs="宋体"/>
          <w:b/>
          <w:bCs/>
          <w:kern w:val="2"/>
          <w:sz w:val="32"/>
          <w:szCs w:val="32"/>
        </w:rPr>
      </w:pPr>
      <w:bookmarkStart w:id="114" w:name="_Toc6548"/>
      <w:bookmarkStart w:id="115" w:name="_Toc19494"/>
      <w:bookmarkStart w:id="116" w:name="_Toc31827"/>
      <w:r>
        <w:rPr>
          <w:rFonts w:hint="eastAsia" w:ascii="宋体" w:hAnsi="宋体" w:cs="宋体"/>
          <w:b/>
          <w:bCs/>
          <w:kern w:val="2"/>
          <w:sz w:val="32"/>
          <w:szCs w:val="32"/>
        </w:rPr>
        <w:t>投标文件包装封面参考</w:t>
      </w:r>
      <w:bookmarkEnd w:id="114"/>
      <w:bookmarkEnd w:id="115"/>
      <w:bookmarkEnd w:id="11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16F9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57" w:type="dxa"/>
          </w:tcPr>
          <w:p w14:paraId="7A35FD5A">
            <w:pPr>
              <w:pStyle w:val="8"/>
              <w:spacing w:line="360" w:lineRule="auto"/>
              <w:ind w:firstLine="482" w:firstLineChars="150"/>
              <w:rPr>
                <w:rFonts w:ascii="仿宋_GB2312" w:eastAsia="仿宋_GB2312"/>
                <w:b/>
                <w:sz w:val="32"/>
              </w:rPr>
            </w:pPr>
          </w:p>
          <w:p w14:paraId="0445618E">
            <w:pPr>
              <w:pStyle w:val="8"/>
              <w:spacing w:line="360" w:lineRule="auto"/>
              <w:ind w:firstLine="482" w:firstLineChars="150"/>
              <w:rPr>
                <w:rFonts w:ascii="仿宋_GB2312" w:eastAsia="仿宋_GB2312"/>
                <w:b/>
                <w:sz w:val="32"/>
              </w:rPr>
            </w:pPr>
          </w:p>
          <w:p w14:paraId="74BC41CD">
            <w:pPr>
              <w:pStyle w:val="8"/>
              <w:spacing w:line="360" w:lineRule="auto"/>
              <w:ind w:firstLine="482" w:firstLineChars="150"/>
              <w:rPr>
                <w:rFonts w:ascii="仿宋_GB2312" w:eastAsia="仿宋_GB2312"/>
                <w:b/>
                <w:sz w:val="32"/>
              </w:rPr>
            </w:pPr>
          </w:p>
          <w:p w14:paraId="75353EAB">
            <w:pPr>
              <w:pStyle w:val="8"/>
              <w:spacing w:line="360" w:lineRule="auto"/>
              <w:jc w:val="center"/>
              <w:rPr>
                <w:rFonts w:ascii="黑体" w:eastAsia="黑体"/>
                <w:b/>
                <w:sz w:val="72"/>
                <w:szCs w:val="72"/>
              </w:rPr>
            </w:pPr>
            <w:r>
              <w:rPr>
                <w:rFonts w:hint="eastAsia" w:ascii="黑体" w:eastAsia="黑体"/>
                <w:b/>
                <w:sz w:val="72"/>
                <w:szCs w:val="72"/>
              </w:rPr>
              <w:t>投 标 文 件</w:t>
            </w:r>
          </w:p>
          <w:p w14:paraId="16B2273A">
            <w:pPr>
              <w:pStyle w:val="8"/>
              <w:spacing w:line="360" w:lineRule="auto"/>
              <w:jc w:val="center"/>
              <w:rPr>
                <w:rFonts w:ascii="黑体" w:eastAsia="黑体"/>
                <w:b/>
                <w:strike/>
                <w:sz w:val="32"/>
              </w:rPr>
            </w:pPr>
          </w:p>
          <w:p w14:paraId="4B978E59">
            <w:pPr>
              <w:spacing w:after="120" w:line="360" w:lineRule="auto"/>
              <w:ind w:firstLine="3385" w:firstLineChars="651"/>
              <w:jc w:val="both"/>
              <w:textAlignment w:val="baseline"/>
              <w:rPr>
                <w:rFonts w:ascii="黑体" w:eastAsia="黑体"/>
                <w:sz w:val="32"/>
                <w:szCs w:val="24"/>
              </w:rPr>
            </w:pPr>
            <w:r>
              <w:rPr>
                <w:rFonts w:hint="eastAsia" w:ascii="黑体" w:eastAsia="黑体"/>
                <w:sz w:val="52"/>
                <w:szCs w:val="52"/>
              </w:rPr>
              <w:t xml:space="preserve">口 </w:t>
            </w:r>
            <w:r>
              <w:rPr>
                <w:rFonts w:hint="eastAsia" w:ascii="黑体" w:eastAsia="黑体"/>
                <w:sz w:val="32"/>
                <w:szCs w:val="24"/>
              </w:rPr>
              <w:t>正本</w:t>
            </w:r>
          </w:p>
          <w:p w14:paraId="103CC19B">
            <w:pPr>
              <w:spacing w:after="120" w:line="360" w:lineRule="auto"/>
              <w:ind w:firstLine="3385" w:firstLineChars="651"/>
              <w:jc w:val="both"/>
              <w:textAlignment w:val="baseline"/>
              <w:rPr>
                <w:rFonts w:ascii="黑体" w:eastAsia="黑体"/>
                <w:sz w:val="32"/>
                <w:szCs w:val="24"/>
              </w:rPr>
            </w:pPr>
            <w:r>
              <w:rPr>
                <w:rFonts w:hint="eastAsia" w:ascii="黑体" w:eastAsia="黑体"/>
                <w:sz w:val="52"/>
                <w:szCs w:val="52"/>
              </w:rPr>
              <w:t xml:space="preserve">口 </w:t>
            </w:r>
            <w:r>
              <w:rPr>
                <w:rFonts w:hint="eastAsia" w:ascii="黑体" w:eastAsia="黑体"/>
                <w:sz w:val="32"/>
                <w:szCs w:val="24"/>
              </w:rPr>
              <w:t>副本</w:t>
            </w:r>
          </w:p>
          <w:p w14:paraId="05DBFF8D">
            <w:pPr>
              <w:spacing w:after="120" w:line="360" w:lineRule="auto"/>
              <w:ind w:firstLine="3385" w:firstLineChars="651"/>
              <w:jc w:val="both"/>
              <w:textAlignment w:val="baseline"/>
              <w:rPr>
                <w:rFonts w:ascii="仿宋_GB2312" w:eastAsia="仿宋_GB2312"/>
                <w:b/>
                <w:sz w:val="32"/>
              </w:rPr>
            </w:pPr>
            <w:r>
              <w:rPr>
                <w:rFonts w:hint="eastAsia" w:ascii="黑体" w:eastAsia="黑体"/>
                <w:sz w:val="52"/>
                <w:szCs w:val="52"/>
              </w:rPr>
              <w:t xml:space="preserve">口 </w:t>
            </w:r>
            <w:r>
              <w:rPr>
                <w:rFonts w:hint="eastAsia" w:ascii="黑体" w:eastAsia="黑体"/>
                <w:sz w:val="32"/>
                <w:szCs w:val="24"/>
              </w:rPr>
              <w:t>单独密封资料</w:t>
            </w:r>
          </w:p>
          <w:p w14:paraId="63E76617">
            <w:pPr>
              <w:pStyle w:val="8"/>
              <w:spacing w:line="360" w:lineRule="auto"/>
              <w:rPr>
                <w:rFonts w:ascii="仿宋_GB2312" w:eastAsia="仿宋_GB2312"/>
                <w:b/>
                <w:sz w:val="32"/>
              </w:rPr>
            </w:pPr>
          </w:p>
          <w:p w14:paraId="3F445E17">
            <w:pPr>
              <w:pStyle w:val="8"/>
              <w:spacing w:line="360" w:lineRule="auto"/>
              <w:rPr>
                <w:rFonts w:ascii="仿宋_GB2312" w:eastAsia="仿宋_GB2312"/>
                <w:b/>
                <w:sz w:val="32"/>
              </w:rPr>
            </w:pPr>
          </w:p>
          <w:p w14:paraId="3CDA7B1D">
            <w:pPr>
              <w:pStyle w:val="8"/>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r>
              <w:rPr>
                <w:rFonts w:hint="eastAsia" w:ascii="仿宋_GB2312" w:eastAsia="仿宋_GB2312"/>
                <w:b/>
                <w:sz w:val="28"/>
                <w:szCs w:val="28"/>
                <w:lang w:eastAsia="zh-CN"/>
              </w:rPr>
              <w:t>CLZ0125SG01GC05</w:t>
            </w:r>
          </w:p>
          <w:p w14:paraId="24B1CA73">
            <w:pPr>
              <w:pStyle w:val="8"/>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南雄市人民医院食堂对外承包项目</w:t>
            </w:r>
          </w:p>
          <w:p w14:paraId="53B0591F">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p>
          <w:p w14:paraId="2F57CEB5">
            <w:pPr>
              <w:pStyle w:val="8"/>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14:paraId="56A1C46D">
            <w:pPr>
              <w:pStyle w:val="8"/>
              <w:spacing w:line="400" w:lineRule="exact"/>
              <w:ind w:firstLine="1028" w:firstLineChars="320"/>
              <w:rPr>
                <w:rFonts w:ascii="仿宋_GB2312" w:eastAsia="仿宋_GB2312"/>
                <w:b/>
                <w:sz w:val="32"/>
              </w:rPr>
            </w:pPr>
          </w:p>
        </w:tc>
      </w:tr>
    </w:tbl>
    <w:p w14:paraId="7C902181">
      <w:pPr>
        <w:keepNext/>
        <w:keepLines/>
        <w:autoSpaceDE/>
        <w:autoSpaceDN/>
        <w:adjustRightInd/>
        <w:spacing w:before="260" w:after="260" w:line="440" w:lineRule="exact"/>
        <w:jc w:val="center"/>
        <w:outlineLvl w:val="1"/>
        <w:rPr>
          <w:rFonts w:ascii="黑体" w:hAnsi="宋体" w:eastAsia="黑体"/>
          <w:bCs/>
          <w:kern w:val="2"/>
          <w:sz w:val="18"/>
          <w:szCs w:val="18"/>
        </w:rPr>
      </w:pPr>
      <w:bookmarkStart w:id="117" w:name="_Toc13534"/>
      <w:bookmarkStart w:id="118" w:name="_Toc3603"/>
      <w:bookmarkStart w:id="119" w:name="_Toc28784"/>
      <w:r>
        <w:rPr>
          <w:rFonts w:hint="eastAsia" w:ascii="宋体" w:hAnsi="宋体" w:cs="宋体"/>
          <w:b/>
          <w:kern w:val="2"/>
          <w:sz w:val="32"/>
          <w:szCs w:val="32"/>
        </w:rPr>
        <w:t>投标文件目录表</w:t>
      </w:r>
      <w:bookmarkEnd w:id="117"/>
      <w:bookmarkEnd w:id="118"/>
      <w:bookmarkEnd w:id="119"/>
    </w:p>
    <w:p w14:paraId="40625B5B">
      <w:pPr>
        <w:numPr>
          <w:ilvl w:val="0"/>
          <w:numId w:val="85"/>
        </w:numPr>
        <w:snapToGrid w:val="0"/>
        <w:spacing w:line="360" w:lineRule="auto"/>
        <w:jc w:val="both"/>
        <w:textAlignment w:val="baseline"/>
        <w:outlineLvl w:val="1"/>
        <w:rPr>
          <w:rFonts w:ascii="宋体" w:hAnsi="宋体"/>
          <w:b/>
          <w:sz w:val="24"/>
          <w:szCs w:val="24"/>
        </w:rPr>
      </w:pPr>
      <w:r>
        <w:rPr>
          <w:rFonts w:hint="eastAsia" w:ascii="宋体" w:hAnsi="宋体"/>
          <w:b/>
          <w:sz w:val="24"/>
          <w:szCs w:val="24"/>
        </w:rPr>
        <w:t>相关说明：</w:t>
      </w:r>
    </w:p>
    <w:p w14:paraId="185797E4">
      <w:pPr>
        <w:numPr>
          <w:ilvl w:val="0"/>
          <w:numId w:val="86"/>
        </w:numPr>
        <w:snapToGrid w:val="0"/>
        <w:spacing w:line="360" w:lineRule="auto"/>
        <w:jc w:val="both"/>
        <w:textAlignment w:val="baseline"/>
        <w:rPr>
          <w:rFonts w:ascii="宋体" w:hAnsi="宋体"/>
          <w:sz w:val="24"/>
          <w:szCs w:val="24"/>
        </w:rPr>
      </w:pPr>
      <w:r>
        <w:rPr>
          <w:rFonts w:hint="eastAsia" w:ascii="宋体" w:hAnsi="宋体"/>
          <w:sz w:val="24"/>
          <w:szCs w:val="24"/>
        </w:rPr>
        <w:t>投标文件包括但不限于以下组成内容，请按顺序制作。</w:t>
      </w:r>
    </w:p>
    <w:p w14:paraId="736AB388">
      <w:pPr>
        <w:numPr>
          <w:ilvl w:val="0"/>
          <w:numId w:val="86"/>
        </w:numPr>
        <w:snapToGrid w:val="0"/>
        <w:spacing w:line="360" w:lineRule="auto"/>
        <w:jc w:val="both"/>
        <w:textAlignment w:val="baseline"/>
        <w:rPr>
          <w:rFonts w:ascii="宋体" w:hAnsi="宋体"/>
          <w:sz w:val="24"/>
          <w:szCs w:val="24"/>
        </w:rPr>
      </w:pPr>
      <w:r>
        <w:rPr>
          <w:rFonts w:hint="eastAsia" w:ascii="宋体" w:hAnsi="宋体"/>
          <w:sz w:val="24"/>
          <w:szCs w:val="24"/>
        </w:rPr>
        <w:t>投标人编制投标文件中的项目编号</w:t>
      </w:r>
      <w:r>
        <w:rPr>
          <w:rFonts w:hint="eastAsia" w:ascii="宋体" w:hAnsi="宋体"/>
          <w:color w:val="auto"/>
          <w:sz w:val="24"/>
          <w:szCs w:val="24"/>
        </w:rPr>
        <w:t>为</w:t>
      </w:r>
      <w:r>
        <w:rPr>
          <w:rFonts w:hint="eastAsia" w:ascii="宋体" w:hAnsi="宋体"/>
          <w:color w:val="auto"/>
          <w:sz w:val="24"/>
          <w:szCs w:val="24"/>
          <w:lang w:eastAsia="zh-CN"/>
        </w:rPr>
        <w:t>CLZ0125SG01GC05</w:t>
      </w:r>
      <w:r>
        <w:rPr>
          <w:rFonts w:hint="eastAsia" w:ascii="宋体" w:hAnsi="宋体"/>
          <w:sz w:val="24"/>
          <w:szCs w:val="24"/>
        </w:rPr>
        <w:t>。</w:t>
      </w:r>
    </w:p>
    <w:p w14:paraId="5F7660F7">
      <w:pPr>
        <w:widowControl/>
        <w:numPr>
          <w:ilvl w:val="0"/>
          <w:numId w:val="86"/>
        </w:numPr>
        <w:spacing w:line="360" w:lineRule="auto"/>
        <w:textAlignment w:val="baseline"/>
        <w:rPr>
          <w:rFonts w:ascii="宋体" w:cs="宋体"/>
          <w:strike/>
          <w:sz w:val="24"/>
          <w:szCs w:val="24"/>
        </w:rPr>
      </w:pPr>
      <w:r>
        <w:rPr>
          <w:rFonts w:hint="eastAsia" w:ascii="宋体" w:cs="宋体"/>
          <w:sz w:val="24"/>
          <w:szCs w:val="24"/>
        </w:rPr>
        <w:t>投标人按照《</w:t>
      </w:r>
      <w:r>
        <w:rPr>
          <w:rFonts w:hint="eastAsia" w:ascii="宋体" w:hAnsi="宋体"/>
          <w:sz w:val="24"/>
          <w:szCs w:val="24"/>
        </w:rPr>
        <w:t>资格性、</w:t>
      </w:r>
      <w:r>
        <w:rPr>
          <w:rFonts w:hint="eastAsia" w:ascii="宋体" w:cs="宋体"/>
          <w:sz w:val="24"/>
          <w:szCs w:val="24"/>
        </w:rPr>
        <w:t>符合性评审表》的评审内容的要求如实提供证明材料</w:t>
      </w:r>
      <w:r>
        <w:rPr>
          <w:rFonts w:hint="eastAsia" w:ascii="宋体" w:hAnsi="宋体"/>
          <w:bCs/>
          <w:sz w:val="24"/>
          <w:szCs w:val="24"/>
        </w:rPr>
        <w:t>并应加盖投标人公章或经公章授权的投标专用章</w:t>
      </w:r>
      <w:r>
        <w:rPr>
          <w:rFonts w:hint="eastAsia" w:ascii="宋体" w:cs="宋体"/>
          <w:sz w:val="24"/>
          <w:szCs w:val="24"/>
        </w:rPr>
        <w:t>。未通过</w:t>
      </w:r>
      <w:r>
        <w:rPr>
          <w:rFonts w:hint="eastAsia" w:ascii="宋体" w:hAnsi="宋体"/>
          <w:sz w:val="24"/>
          <w:szCs w:val="24"/>
        </w:rPr>
        <w:t>资格性、</w:t>
      </w:r>
      <w:r>
        <w:rPr>
          <w:rFonts w:hint="eastAsia" w:ascii="宋体" w:cs="宋体"/>
          <w:sz w:val="24"/>
          <w:szCs w:val="24"/>
        </w:rPr>
        <w:t>符合性审查的投标人，</w:t>
      </w:r>
      <w:r>
        <w:rPr>
          <w:rFonts w:hint="eastAsia" w:ascii="宋体" w:hAnsi="宋体"/>
          <w:bCs/>
          <w:sz w:val="24"/>
          <w:szCs w:val="24"/>
        </w:rPr>
        <w:t>应予否决投标</w:t>
      </w:r>
      <w:r>
        <w:rPr>
          <w:rFonts w:hint="eastAsia" w:ascii="宋体" w:cs="宋体"/>
          <w:sz w:val="24"/>
          <w:szCs w:val="24"/>
        </w:rPr>
        <w:t>，不进入详细评审。</w:t>
      </w:r>
    </w:p>
    <w:p w14:paraId="5B72C79C">
      <w:pPr>
        <w:widowControl/>
        <w:numPr>
          <w:ilvl w:val="0"/>
          <w:numId w:val="86"/>
        </w:numPr>
        <w:spacing w:line="360" w:lineRule="auto"/>
        <w:textAlignment w:val="baseline"/>
        <w:rPr>
          <w:rFonts w:ascii="宋体" w:hAnsi="宋体"/>
          <w:sz w:val="21"/>
          <w:szCs w:val="21"/>
        </w:rPr>
      </w:pPr>
      <w:r>
        <w:rPr>
          <w:rFonts w:hint="eastAsia" w:ascii="宋体" w:hAnsi="宋体"/>
          <w:sz w:val="24"/>
          <w:szCs w:val="24"/>
        </w:rPr>
        <w:t>投标人根据第三章评分体系与标准的《技术商务评分表》要求提交相关各类证明材料，并</w:t>
      </w:r>
      <w:r>
        <w:rPr>
          <w:rFonts w:hint="eastAsia" w:ascii="宋体" w:hAnsi="宋体"/>
          <w:bCs/>
          <w:sz w:val="24"/>
          <w:szCs w:val="24"/>
        </w:rPr>
        <w:t>加盖投标人公章或经公章授权的投标专用章。</w:t>
      </w:r>
    </w:p>
    <w:p w14:paraId="5D608A61">
      <w:pPr>
        <w:rPr>
          <w:rFonts w:ascii="宋体" w:hAnsi="宋体"/>
          <w:sz w:val="24"/>
          <w:szCs w:val="24"/>
        </w:rPr>
      </w:pPr>
    </w:p>
    <w:p w14:paraId="5BA99BDB">
      <w:pPr>
        <w:numPr>
          <w:ilvl w:val="0"/>
          <w:numId w:val="87"/>
        </w:numPr>
        <w:snapToGrid w:val="0"/>
        <w:spacing w:line="360" w:lineRule="auto"/>
        <w:jc w:val="center"/>
        <w:textAlignment w:val="baseline"/>
        <w:outlineLvl w:val="1"/>
        <w:rPr>
          <w:rFonts w:ascii="宋体" w:hAnsi="宋体"/>
          <w:b/>
          <w:sz w:val="24"/>
          <w:szCs w:val="24"/>
        </w:rPr>
      </w:pPr>
      <w:bookmarkStart w:id="120" w:name="_Toc16074"/>
      <w:bookmarkStart w:id="121" w:name="_Toc5628"/>
      <w:r>
        <w:rPr>
          <w:rFonts w:hint="eastAsia" w:ascii="宋体" w:hAnsi="宋体"/>
          <w:b/>
          <w:sz w:val="30"/>
          <w:szCs w:val="30"/>
        </w:rPr>
        <w:t>资格性、符合性自查表</w:t>
      </w:r>
      <w:bookmarkEnd w:id="120"/>
      <w:bookmarkEnd w:id="121"/>
    </w:p>
    <w:p w14:paraId="14CCFAA0">
      <w:pPr>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南雄市人民医院食堂对外承包项目</w:t>
      </w:r>
    </w:p>
    <w:p w14:paraId="16B78C57">
      <w:pPr>
        <w:rPr>
          <w:rFonts w:ascii="宋体" w:hAnsi="宋体"/>
          <w:sz w:val="24"/>
          <w:szCs w:val="24"/>
        </w:rPr>
      </w:pPr>
      <w:r>
        <w:rPr>
          <w:rFonts w:hint="eastAsia" w:ascii="宋体" w:hAnsi="宋体"/>
          <w:sz w:val="24"/>
          <w:szCs w:val="24"/>
        </w:rPr>
        <w:t>项目编号：</w:t>
      </w:r>
      <w:r>
        <w:rPr>
          <w:rFonts w:hint="eastAsia" w:ascii="宋体" w:hAnsi="宋体"/>
          <w:sz w:val="24"/>
          <w:szCs w:val="24"/>
          <w:lang w:eastAsia="zh-CN"/>
        </w:rPr>
        <w:t>CLZ0125SG01GC05</w:t>
      </w:r>
      <w:r>
        <w:rPr>
          <w:rFonts w:hint="eastAsia" w:ascii="宋体" w:hAnsi="宋体"/>
          <w:sz w:val="24"/>
          <w:szCs w:val="24"/>
        </w:rPr>
        <w:t xml:space="preserve"> </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32"/>
        <w:gridCol w:w="6642"/>
        <w:gridCol w:w="1290"/>
        <w:gridCol w:w="1282"/>
      </w:tblGrid>
      <w:tr w14:paraId="0F869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414" w:type="pct"/>
          </w:tcPr>
          <w:p w14:paraId="1A8FB2A2">
            <w:pPr>
              <w:snapToGrid w:val="0"/>
              <w:jc w:val="center"/>
              <w:rPr>
                <w:rFonts w:ascii="宋体" w:hAnsi="宋体"/>
                <w:sz w:val="24"/>
              </w:rPr>
            </w:pPr>
            <w:r>
              <w:rPr>
                <w:rFonts w:hint="eastAsia" w:ascii="宋体" w:hAnsi="宋体"/>
                <w:b/>
                <w:sz w:val="24"/>
              </w:rPr>
              <w:t>序号</w:t>
            </w:r>
          </w:p>
        </w:tc>
        <w:tc>
          <w:tcPr>
            <w:tcW w:w="3305" w:type="pct"/>
            <w:vAlign w:val="center"/>
          </w:tcPr>
          <w:p w14:paraId="15C4C034">
            <w:pPr>
              <w:snapToGrid w:val="0"/>
              <w:jc w:val="center"/>
              <w:rPr>
                <w:rFonts w:ascii="宋体" w:hAnsi="宋体" w:cs="宋体"/>
                <w:sz w:val="24"/>
              </w:rPr>
            </w:pPr>
            <w:r>
              <w:rPr>
                <w:rFonts w:hint="eastAsia" w:ascii="宋体" w:hAnsi="宋体"/>
                <w:b/>
                <w:bCs/>
                <w:sz w:val="24"/>
              </w:rPr>
              <w:t>招标文件要求</w:t>
            </w:r>
          </w:p>
        </w:tc>
        <w:tc>
          <w:tcPr>
            <w:tcW w:w="642" w:type="pct"/>
            <w:vAlign w:val="center"/>
          </w:tcPr>
          <w:p w14:paraId="380E4C14">
            <w:pPr>
              <w:snapToGrid w:val="0"/>
              <w:jc w:val="center"/>
              <w:rPr>
                <w:rFonts w:ascii="宋体" w:hAnsi="宋体" w:cs="宋体"/>
                <w:sz w:val="24"/>
              </w:rPr>
            </w:pPr>
            <w:r>
              <w:rPr>
                <w:rFonts w:hint="eastAsia" w:ascii="宋体" w:hAnsi="宋体"/>
                <w:b/>
                <w:bCs/>
                <w:sz w:val="24"/>
              </w:rPr>
              <w:t>自查结论</w:t>
            </w:r>
          </w:p>
        </w:tc>
        <w:tc>
          <w:tcPr>
            <w:tcW w:w="638" w:type="pct"/>
            <w:vAlign w:val="center"/>
          </w:tcPr>
          <w:p w14:paraId="17897628">
            <w:pPr>
              <w:snapToGrid w:val="0"/>
              <w:jc w:val="center"/>
              <w:rPr>
                <w:rFonts w:ascii="宋体" w:hAnsi="宋体" w:cs="宋体"/>
                <w:sz w:val="24"/>
              </w:rPr>
            </w:pPr>
            <w:r>
              <w:rPr>
                <w:rFonts w:hint="eastAsia" w:ascii="宋体" w:hAnsi="宋体"/>
                <w:b/>
                <w:sz w:val="24"/>
              </w:rPr>
              <w:t>证明文件</w:t>
            </w:r>
          </w:p>
        </w:tc>
      </w:tr>
      <w:tr w14:paraId="2EB59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3A35388B">
            <w:pPr>
              <w:pStyle w:val="53"/>
              <w:numPr>
                <w:ilvl w:val="0"/>
                <w:numId w:val="88"/>
              </w:numPr>
              <w:snapToGrid w:val="0"/>
              <w:ind w:firstLineChars="0"/>
              <w:jc w:val="center"/>
              <w:rPr>
                <w:rFonts w:ascii="宋体" w:hAnsi="宋体"/>
                <w:bCs/>
                <w:sz w:val="24"/>
              </w:rPr>
            </w:pPr>
          </w:p>
        </w:tc>
        <w:tc>
          <w:tcPr>
            <w:tcW w:w="3305" w:type="pct"/>
            <w:vAlign w:val="center"/>
          </w:tcPr>
          <w:p w14:paraId="26C6FFF8">
            <w:r>
              <w:rPr>
                <w:rFonts w:hint="eastAsia" w:ascii="宋体" w:hAnsi="宋体" w:cs="宋体"/>
                <w:sz w:val="24"/>
                <w:szCs w:val="24"/>
              </w:rPr>
              <w:t>投标人具有独立承担民事责任能力的在中华人民共和国境内注册的法人或其他组织（提供企业法人或者其他组织营业执照或事业法人登记证及身份证等相关证明）副本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w:t>
            </w:r>
            <w:r>
              <w:rPr>
                <w:rFonts w:hint="eastAsia" w:ascii="宋体" w:hAnsi="宋体" w:cs="宋体"/>
                <w:sz w:val="24"/>
                <w:szCs w:val="24"/>
                <w:lang w:eastAsia="zh-CN"/>
              </w:rPr>
              <w:t>；</w:t>
            </w:r>
          </w:p>
        </w:tc>
        <w:tc>
          <w:tcPr>
            <w:tcW w:w="642" w:type="pct"/>
            <w:vAlign w:val="center"/>
          </w:tcPr>
          <w:p w14:paraId="3B568DE8">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028EDBB2">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3D8EEA0C">
            <w:pPr>
              <w:snapToGrid w:val="0"/>
              <w:jc w:val="center"/>
              <w:rPr>
                <w:rFonts w:ascii="宋体" w:hAnsi="宋体"/>
                <w:sz w:val="24"/>
              </w:rPr>
            </w:pPr>
            <w:r>
              <w:rPr>
                <w:rFonts w:hint="eastAsia" w:ascii="宋体" w:hAnsi="宋体"/>
                <w:sz w:val="24"/>
              </w:rPr>
              <w:t>第（ ）页</w:t>
            </w:r>
          </w:p>
        </w:tc>
      </w:tr>
      <w:tr w14:paraId="51859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64FBA7AE">
            <w:pPr>
              <w:pStyle w:val="53"/>
              <w:numPr>
                <w:ilvl w:val="0"/>
                <w:numId w:val="88"/>
              </w:numPr>
              <w:snapToGrid w:val="0"/>
              <w:ind w:firstLineChars="0"/>
              <w:jc w:val="center"/>
              <w:rPr>
                <w:rFonts w:ascii="宋体" w:hAnsi="宋体"/>
                <w:bCs/>
                <w:sz w:val="24"/>
              </w:rPr>
            </w:pPr>
          </w:p>
        </w:tc>
        <w:tc>
          <w:tcPr>
            <w:tcW w:w="3305" w:type="pct"/>
            <w:vAlign w:val="center"/>
          </w:tcPr>
          <w:p w14:paraId="6E36A042">
            <w:pPr>
              <w:tabs>
                <w:tab w:val="left" w:pos="432"/>
                <w:tab w:val="left" w:pos="612"/>
              </w:tabs>
              <w:spacing w:line="360" w:lineRule="auto"/>
              <w:rPr>
                <w:rFonts w:hint="eastAsia"/>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必须具有良好的商业信誉和健全的财务会计制度（提供20</w:t>
            </w:r>
            <w:r>
              <w:rPr>
                <w:rFonts w:hint="eastAsia" w:ascii="宋体" w:hAnsi="宋体" w:eastAsia="宋体" w:cs="宋体"/>
                <w:bCs/>
                <w:color w:val="auto"/>
                <w:sz w:val="24"/>
                <w:szCs w:val="24"/>
                <w:lang w:val="en-US" w:eastAsia="zh-CN"/>
              </w:rPr>
              <w:t>24</w:t>
            </w:r>
            <w:r>
              <w:rPr>
                <w:rFonts w:hint="eastAsia" w:ascii="宋体" w:hAnsi="宋体" w:eastAsia="宋体" w:cs="宋体"/>
                <w:bCs/>
                <w:color w:val="auto"/>
                <w:sz w:val="24"/>
                <w:szCs w:val="24"/>
              </w:rPr>
              <w:t>年度财务状况报告或财务报表或者基本户开户银行出具的资信证明，若新成立的，提供成立至今的月或季度财务状况报告或财务报表复印件并加盖公章）；</w:t>
            </w:r>
          </w:p>
        </w:tc>
        <w:tc>
          <w:tcPr>
            <w:tcW w:w="1290" w:type="dxa"/>
            <w:vAlign w:val="center"/>
          </w:tcPr>
          <w:p w14:paraId="6E098446">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2A1D4D37">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1F1AD523">
            <w:pPr>
              <w:snapToGrid w:val="0"/>
              <w:jc w:val="center"/>
              <w:rPr>
                <w:rFonts w:hint="eastAsia" w:ascii="宋体" w:hAnsi="宋体"/>
                <w:sz w:val="24"/>
              </w:rPr>
            </w:pPr>
            <w:r>
              <w:rPr>
                <w:rFonts w:hint="eastAsia" w:ascii="宋体" w:hAnsi="宋体"/>
                <w:sz w:val="24"/>
              </w:rPr>
              <w:t>第（ ）页</w:t>
            </w:r>
          </w:p>
        </w:tc>
      </w:tr>
      <w:tr w14:paraId="64687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67659049">
            <w:pPr>
              <w:pStyle w:val="53"/>
              <w:numPr>
                <w:ilvl w:val="0"/>
                <w:numId w:val="88"/>
              </w:numPr>
              <w:snapToGrid w:val="0"/>
              <w:ind w:firstLineChars="0"/>
              <w:jc w:val="center"/>
              <w:rPr>
                <w:rFonts w:ascii="宋体" w:hAnsi="宋体"/>
                <w:bCs/>
                <w:sz w:val="24"/>
              </w:rPr>
            </w:pPr>
          </w:p>
        </w:tc>
        <w:tc>
          <w:tcPr>
            <w:tcW w:w="3305" w:type="pct"/>
            <w:vAlign w:val="center"/>
          </w:tcPr>
          <w:p w14:paraId="4D7EF3A0">
            <w:pPr>
              <w:tabs>
                <w:tab w:val="left" w:pos="432"/>
                <w:tab w:val="left" w:pos="612"/>
              </w:tabs>
              <w:spacing w:line="360" w:lineRule="auto"/>
              <w:rPr>
                <w:rFonts w:hint="eastAsia"/>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有依法缴纳税收和社会保障资金的良好记录（提供投标截止时间前6个月任意1个月依法缴纳税收和社会保障资金相关证明材料；如依法免税和依法不需要缴纳社会保障资金，则须提供相应文件证明其依法免税和不需要缴纳社会保障资金）；</w:t>
            </w:r>
          </w:p>
        </w:tc>
        <w:tc>
          <w:tcPr>
            <w:tcW w:w="1290" w:type="dxa"/>
            <w:vAlign w:val="center"/>
          </w:tcPr>
          <w:p w14:paraId="7C4EDDE6">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746138A0">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168AC5B1">
            <w:pPr>
              <w:snapToGrid w:val="0"/>
              <w:jc w:val="center"/>
              <w:rPr>
                <w:rFonts w:hint="eastAsia" w:ascii="宋体" w:hAnsi="宋体"/>
                <w:sz w:val="24"/>
              </w:rPr>
            </w:pPr>
            <w:r>
              <w:rPr>
                <w:rFonts w:hint="eastAsia" w:ascii="宋体" w:hAnsi="宋体"/>
                <w:sz w:val="24"/>
              </w:rPr>
              <w:t>第（ ）页</w:t>
            </w:r>
          </w:p>
        </w:tc>
      </w:tr>
      <w:tr w14:paraId="0F9CF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27018B11">
            <w:pPr>
              <w:pStyle w:val="53"/>
              <w:numPr>
                <w:ilvl w:val="0"/>
                <w:numId w:val="88"/>
              </w:numPr>
              <w:snapToGrid w:val="0"/>
              <w:ind w:firstLineChars="0"/>
              <w:jc w:val="center"/>
              <w:rPr>
                <w:rFonts w:ascii="宋体" w:hAnsi="宋体"/>
                <w:bCs/>
                <w:sz w:val="24"/>
              </w:rPr>
            </w:pPr>
          </w:p>
        </w:tc>
        <w:tc>
          <w:tcPr>
            <w:tcW w:w="3305" w:type="pct"/>
            <w:vAlign w:val="center"/>
          </w:tcPr>
          <w:p w14:paraId="645E4F35">
            <w:pPr>
              <w:tabs>
                <w:tab w:val="left" w:pos="432"/>
                <w:tab w:val="left" w:pos="612"/>
              </w:tabs>
              <w:spacing w:line="360" w:lineRule="auto"/>
              <w:rPr>
                <w:rFonts w:hint="eastAsia"/>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具备履行合同所必需的设备和专业技术能力；(提供《投标人资格声明函》。)</w:t>
            </w:r>
          </w:p>
        </w:tc>
        <w:tc>
          <w:tcPr>
            <w:tcW w:w="1290" w:type="dxa"/>
            <w:vAlign w:val="center"/>
          </w:tcPr>
          <w:p w14:paraId="66F10890">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3B77F66B">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7AFAD3C4">
            <w:pPr>
              <w:snapToGrid w:val="0"/>
              <w:jc w:val="center"/>
              <w:rPr>
                <w:rFonts w:hint="eastAsia" w:ascii="宋体" w:hAnsi="宋体"/>
                <w:sz w:val="24"/>
              </w:rPr>
            </w:pPr>
            <w:r>
              <w:rPr>
                <w:rFonts w:hint="eastAsia" w:ascii="宋体" w:hAnsi="宋体"/>
                <w:sz w:val="24"/>
              </w:rPr>
              <w:t>第（ ）页</w:t>
            </w:r>
          </w:p>
        </w:tc>
      </w:tr>
      <w:tr w14:paraId="1CFB3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5C71D36F">
            <w:pPr>
              <w:pStyle w:val="53"/>
              <w:numPr>
                <w:ilvl w:val="0"/>
                <w:numId w:val="88"/>
              </w:numPr>
              <w:snapToGrid w:val="0"/>
              <w:ind w:firstLineChars="0"/>
              <w:jc w:val="center"/>
              <w:rPr>
                <w:rFonts w:ascii="宋体" w:hAnsi="宋体"/>
                <w:bCs/>
                <w:sz w:val="24"/>
              </w:rPr>
            </w:pPr>
          </w:p>
        </w:tc>
        <w:tc>
          <w:tcPr>
            <w:tcW w:w="3305" w:type="pct"/>
            <w:vAlign w:val="center"/>
          </w:tcPr>
          <w:p w14:paraId="07CEFAE6">
            <w:pPr>
              <w:tabs>
                <w:tab w:val="left" w:pos="432"/>
                <w:tab w:val="left" w:pos="612"/>
              </w:tabs>
              <w:spacing w:line="360" w:lineRule="auto"/>
              <w:rPr>
                <w:rFonts w:hint="eastAsia"/>
              </w:rPr>
            </w:pP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参加招标活动前3年内，在经营活动中没有重大违法记录；(提供《投标人资格声明函》。)</w:t>
            </w:r>
          </w:p>
        </w:tc>
        <w:tc>
          <w:tcPr>
            <w:tcW w:w="1290" w:type="dxa"/>
            <w:vAlign w:val="center"/>
          </w:tcPr>
          <w:p w14:paraId="5C42F92B">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5C1F3EFE">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7F1DF48C">
            <w:pPr>
              <w:snapToGrid w:val="0"/>
              <w:jc w:val="center"/>
              <w:rPr>
                <w:rFonts w:hint="eastAsia" w:ascii="宋体" w:hAnsi="宋体"/>
                <w:sz w:val="24"/>
              </w:rPr>
            </w:pPr>
            <w:r>
              <w:rPr>
                <w:rFonts w:hint="eastAsia" w:ascii="宋体" w:hAnsi="宋体"/>
                <w:sz w:val="24"/>
              </w:rPr>
              <w:t>第（ ）页</w:t>
            </w:r>
          </w:p>
        </w:tc>
      </w:tr>
      <w:tr w14:paraId="4F909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6C0B853C">
            <w:pPr>
              <w:pStyle w:val="53"/>
              <w:numPr>
                <w:ilvl w:val="0"/>
                <w:numId w:val="88"/>
              </w:numPr>
              <w:snapToGrid w:val="0"/>
              <w:ind w:firstLineChars="0"/>
              <w:jc w:val="center"/>
              <w:rPr>
                <w:rFonts w:ascii="宋体" w:hAnsi="宋体"/>
                <w:bCs/>
                <w:sz w:val="24"/>
              </w:rPr>
            </w:pPr>
          </w:p>
        </w:tc>
        <w:tc>
          <w:tcPr>
            <w:tcW w:w="3305" w:type="pct"/>
            <w:vAlign w:val="center"/>
          </w:tcPr>
          <w:p w14:paraId="6C92ADDB">
            <w:pPr>
              <w:tabs>
                <w:tab w:val="left" w:pos="432"/>
                <w:tab w:val="left" w:pos="612"/>
              </w:tabs>
              <w:spacing w:line="360" w:lineRule="auto"/>
              <w:rPr>
                <w:rFonts w:hint="eastAsia"/>
              </w:rPr>
            </w:pPr>
            <w:r>
              <w:rPr>
                <w:rFonts w:hint="eastAsia" w:ascii="宋体" w:hAnsi="宋体" w:eastAsia="宋体" w:cs="宋体"/>
                <w:bCs/>
                <w:color w:val="auto"/>
                <w:sz w:val="24"/>
                <w:szCs w:val="24"/>
              </w:rPr>
              <w:t>投标人须具备有效的《食品经营许可证》（主体业态：餐饮服务经营者）</w:t>
            </w:r>
            <w:r>
              <w:rPr>
                <w:rFonts w:hint="eastAsia" w:ascii="宋体" w:hAnsi="宋体" w:eastAsia="宋体" w:cs="宋体"/>
                <w:bCs/>
                <w:color w:val="auto"/>
                <w:sz w:val="24"/>
                <w:szCs w:val="24"/>
                <w:lang w:val="en-US" w:eastAsia="zh-CN"/>
              </w:rPr>
              <w:t>。（提供有效的《食品经营许可证》复印件）</w:t>
            </w:r>
          </w:p>
        </w:tc>
        <w:tc>
          <w:tcPr>
            <w:tcW w:w="1290" w:type="dxa"/>
            <w:vAlign w:val="center"/>
          </w:tcPr>
          <w:p w14:paraId="7B7BF97B">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285A62C1">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66874194">
            <w:pPr>
              <w:snapToGrid w:val="0"/>
              <w:jc w:val="center"/>
              <w:rPr>
                <w:rFonts w:hint="eastAsia" w:ascii="宋体" w:hAnsi="宋体"/>
                <w:sz w:val="24"/>
              </w:rPr>
            </w:pPr>
            <w:r>
              <w:rPr>
                <w:rFonts w:hint="eastAsia" w:ascii="宋体" w:hAnsi="宋体"/>
                <w:sz w:val="24"/>
              </w:rPr>
              <w:t>第（ ）页</w:t>
            </w:r>
          </w:p>
        </w:tc>
      </w:tr>
      <w:tr w14:paraId="5C74F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30DE5025">
            <w:pPr>
              <w:pStyle w:val="53"/>
              <w:numPr>
                <w:ilvl w:val="0"/>
                <w:numId w:val="88"/>
              </w:numPr>
              <w:snapToGrid w:val="0"/>
              <w:ind w:firstLineChars="0"/>
              <w:jc w:val="center"/>
              <w:rPr>
                <w:rFonts w:ascii="宋体" w:hAnsi="宋体"/>
                <w:bCs/>
                <w:sz w:val="24"/>
              </w:rPr>
            </w:pPr>
          </w:p>
        </w:tc>
        <w:tc>
          <w:tcPr>
            <w:tcW w:w="3305" w:type="pct"/>
            <w:vAlign w:val="center"/>
          </w:tcPr>
          <w:p w14:paraId="0D780E34">
            <w:pPr>
              <w:tabs>
                <w:tab w:val="left" w:pos="432"/>
                <w:tab w:val="left" w:pos="612"/>
              </w:tabs>
              <w:spacing w:line="360" w:lineRule="auto"/>
              <w:rPr>
                <w:rFonts w:hint="eastAsia"/>
              </w:rPr>
            </w:pPr>
            <w:r>
              <w:rPr>
                <w:rFonts w:hint="eastAsia" w:ascii="宋体" w:hAnsi="宋体" w:eastAsia="宋体" w:cs="宋体"/>
                <w:bCs/>
                <w:color w:val="auto"/>
                <w:sz w:val="24"/>
                <w:szCs w:val="24"/>
              </w:rPr>
              <w:t>单位负责人为同一人或者存在控股、管理关系的不同供应商，不得参加同一合同项下的招标活动</w:t>
            </w:r>
            <w:r>
              <w:rPr>
                <w:rFonts w:hint="eastAsia" w:ascii="宋体" w:hAnsi="宋体" w:eastAsia="宋体" w:cs="宋体"/>
                <w:bCs/>
                <w:color w:val="auto"/>
                <w:kern w:val="2"/>
                <w:sz w:val="24"/>
                <w:szCs w:val="24"/>
              </w:rPr>
              <w:t>。</w:t>
            </w:r>
            <w:r>
              <w:rPr>
                <w:rFonts w:hint="eastAsia" w:ascii="宋体" w:hAnsi="宋体" w:eastAsia="宋体" w:cs="宋体"/>
                <w:bCs/>
                <w:color w:val="auto"/>
                <w:sz w:val="24"/>
                <w:szCs w:val="24"/>
              </w:rPr>
              <w:t>（提供《投标人资格声明函》）</w:t>
            </w:r>
          </w:p>
        </w:tc>
        <w:tc>
          <w:tcPr>
            <w:tcW w:w="1290" w:type="dxa"/>
            <w:vAlign w:val="center"/>
          </w:tcPr>
          <w:p w14:paraId="6F82F7FC">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1B1A0D12">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7CDC5920">
            <w:pPr>
              <w:snapToGrid w:val="0"/>
              <w:jc w:val="center"/>
              <w:rPr>
                <w:rFonts w:hint="eastAsia" w:ascii="宋体" w:hAnsi="宋体"/>
                <w:sz w:val="24"/>
              </w:rPr>
            </w:pPr>
            <w:r>
              <w:rPr>
                <w:rFonts w:hint="eastAsia" w:ascii="宋体" w:hAnsi="宋体"/>
                <w:sz w:val="24"/>
              </w:rPr>
              <w:t>第（ ）页</w:t>
            </w:r>
          </w:p>
        </w:tc>
      </w:tr>
      <w:tr w14:paraId="535C3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421F6840">
            <w:pPr>
              <w:pStyle w:val="53"/>
              <w:numPr>
                <w:ilvl w:val="0"/>
                <w:numId w:val="88"/>
              </w:numPr>
              <w:snapToGrid w:val="0"/>
              <w:ind w:firstLineChars="0"/>
              <w:jc w:val="center"/>
              <w:rPr>
                <w:rFonts w:ascii="宋体" w:hAnsi="宋体"/>
                <w:bCs/>
                <w:sz w:val="24"/>
              </w:rPr>
            </w:pPr>
          </w:p>
        </w:tc>
        <w:tc>
          <w:tcPr>
            <w:tcW w:w="3305" w:type="pct"/>
            <w:vAlign w:val="center"/>
          </w:tcPr>
          <w:p w14:paraId="4A5729F1">
            <w:pPr>
              <w:tabs>
                <w:tab w:val="left" w:pos="432"/>
                <w:tab w:val="left" w:pos="612"/>
              </w:tabs>
              <w:spacing w:line="360" w:lineRule="auto"/>
              <w:rPr>
                <w:rFonts w:hint="eastAsia"/>
              </w:rPr>
            </w:pPr>
            <w:r>
              <w:rPr>
                <w:rFonts w:hint="eastAsia" w:ascii="宋体" w:hAnsi="宋体" w:eastAsia="宋体" w:cs="宋体"/>
                <w:bCs/>
                <w:color w:val="auto"/>
                <w:sz w:val="24"/>
                <w:szCs w:val="24"/>
              </w:rPr>
              <w:t>投标人未被列入“信用中国”网站(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www.creditchina.gov.cn</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rPr>
              <w:t>人、招标代理机构于投标截止日在“信用中国”网站（www.creditchina.gov.cn）及中国政府采购网(www.ccgp.gov.cn)查询结果为准，如在上述网站查询结果均显示没有相关记录，视为不存在上述不良信用记录。②招标代理机构同时对信用信息查询记录和证据截图或下载存档；③投标人为分公司的，同时对该分公司所属总公司（总所）进行信用记录查询，该分公司所属总公司（总所）存在不良信用记录的，视同供应商存在不良信用记录。）</w:t>
            </w:r>
          </w:p>
        </w:tc>
        <w:tc>
          <w:tcPr>
            <w:tcW w:w="1290" w:type="dxa"/>
            <w:vAlign w:val="center"/>
          </w:tcPr>
          <w:p w14:paraId="13262468">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718577D2">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615CC5DF">
            <w:pPr>
              <w:snapToGrid w:val="0"/>
              <w:jc w:val="center"/>
              <w:rPr>
                <w:rFonts w:hint="eastAsia" w:ascii="宋体" w:hAnsi="宋体"/>
                <w:sz w:val="24"/>
              </w:rPr>
            </w:pPr>
            <w:r>
              <w:rPr>
                <w:rFonts w:hint="eastAsia" w:ascii="宋体" w:hAnsi="宋体"/>
                <w:sz w:val="24"/>
              </w:rPr>
              <w:t>第（ ）页</w:t>
            </w:r>
          </w:p>
        </w:tc>
      </w:tr>
      <w:tr w14:paraId="1D04F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2B777151">
            <w:pPr>
              <w:pStyle w:val="53"/>
              <w:numPr>
                <w:ilvl w:val="0"/>
                <w:numId w:val="88"/>
              </w:numPr>
              <w:snapToGrid w:val="0"/>
              <w:ind w:firstLineChars="0"/>
              <w:jc w:val="center"/>
              <w:rPr>
                <w:rFonts w:ascii="宋体" w:hAnsi="宋体"/>
                <w:bCs/>
                <w:sz w:val="24"/>
              </w:rPr>
            </w:pPr>
          </w:p>
        </w:tc>
        <w:tc>
          <w:tcPr>
            <w:tcW w:w="3305" w:type="pct"/>
            <w:vAlign w:val="center"/>
          </w:tcPr>
          <w:p w14:paraId="0B78522A">
            <w:pPr>
              <w:tabs>
                <w:tab w:val="left" w:pos="432"/>
                <w:tab w:val="left" w:pos="612"/>
              </w:tabs>
              <w:spacing w:line="360" w:lineRule="auto"/>
              <w:rPr>
                <w:rFonts w:hint="eastAsia"/>
              </w:rPr>
            </w:pPr>
            <w:r>
              <w:rPr>
                <w:rFonts w:hint="eastAsia" w:ascii="宋体" w:hAnsi="宋体" w:eastAsia="宋体" w:cs="宋体"/>
                <w:b w:val="0"/>
                <w:bCs/>
                <w:color w:val="auto"/>
                <w:sz w:val="24"/>
                <w:szCs w:val="24"/>
              </w:rPr>
              <w:t>本项目不允许联合体投标</w:t>
            </w:r>
            <w:r>
              <w:rPr>
                <w:rFonts w:hint="eastAsia" w:ascii="宋体" w:hAnsi="宋体" w:eastAsia="宋体" w:cs="宋体"/>
                <w:color w:val="auto"/>
                <w:sz w:val="24"/>
                <w:szCs w:val="24"/>
              </w:rPr>
              <w:t>，中标后不得转包、不得分包</w:t>
            </w:r>
            <w:r>
              <w:rPr>
                <w:rFonts w:hint="eastAsia" w:ascii="宋体" w:hAnsi="宋体" w:eastAsia="宋体" w:cs="宋体"/>
                <w:b w:val="0"/>
                <w:bCs/>
                <w:color w:val="auto"/>
                <w:sz w:val="24"/>
                <w:szCs w:val="24"/>
              </w:rPr>
              <w:t>。</w:t>
            </w:r>
            <w:r>
              <w:rPr>
                <w:rFonts w:hint="eastAsia" w:ascii="宋体" w:hAnsi="宋体" w:eastAsia="宋体" w:cs="宋体"/>
                <w:bCs/>
                <w:color w:val="auto"/>
                <w:sz w:val="24"/>
                <w:szCs w:val="24"/>
              </w:rPr>
              <w:t>（提供《投标人资格声明函》）</w:t>
            </w:r>
          </w:p>
        </w:tc>
        <w:tc>
          <w:tcPr>
            <w:tcW w:w="1290" w:type="dxa"/>
            <w:vAlign w:val="center"/>
          </w:tcPr>
          <w:p w14:paraId="55BE145F">
            <w:pPr>
              <w:snapToGrid w:val="0"/>
              <w:rPr>
                <w:rFonts w:ascii="宋体" w:hAnsi="宋体"/>
                <w:sz w:val="24"/>
              </w:rPr>
            </w:pPr>
            <w:r>
              <w:rPr>
                <w:rFonts w:hint="eastAsia" w:ascii="宋体" w:hAnsi="宋体" w:cs="Arial"/>
                <w:sz w:val="24"/>
                <w:lang w:eastAsia="zh-CN"/>
              </w:rPr>
              <w:t>□</w:t>
            </w:r>
            <w:r>
              <w:rPr>
                <w:rFonts w:hint="eastAsia" w:ascii="宋体" w:hAnsi="宋体"/>
                <w:sz w:val="24"/>
              </w:rPr>
              <w:t xml:space="preserve">通过 </w:t>
            </w:r>
          </w:p>
          <w:p w14:paraId="137C5326">
            <w:pPr>
              <w:snapToGrid w:val="0"/>
              <w:rPr>
                <w:rFonts w:hint="eastAsia" w:ascii="宋体" w:hAnsi="宋体" w:cs="Arial"/>
                <w:sz w:val="24"/>
              </w:rPr>
            </w:pPr>
            <w:r>
              <w:rPr>
                <w:rFonts w:hint="eastAsia" w:ascii="宋体" w:hAnsi="宋体" w:cs="Arial"/>
                <w:sz w:val="24"/>
              </w:rPr>
              <w:t>□</w:t>
            </w:r>
            <w:r>
              <w:rPr>
                <w:rFonts w:hint="eastAsia" w:ascii="宋体" w:hAnsi="宋体"/>
                <w:sz w:val="24"/>
              </w:rPr>
              <w:t>不通过</w:t>
            </w:r>
          </w:p>
        </w:tc>
        <w:tc>
          <w:tcPr>
            <w:tcW w:w="1282" w:type="dxa"/>
            <w:vAlign w:val="center"/>
          </w:tcPr>
          <w:p w14:paraId="52F7FB55">
            <w:pPr>
              <w:snapToGrid w:val="0"/>
              <w:jc w:val="center"/>
              <w:rPr>
                <w:rFonts w:hint="eastAsia" w:ascii="宋体" w:hAnsi="宋体"/>
                <w:sz w:val="24"/>
              </w:rPr>
            </w:pPr>
            <w:r>
              <w:rPr>
                <w:rFonts w:hint="eastAsia" w:ascii="宋体" w:hAnsi="宋体"/>
                <w:sz w:val="24"/>
              </w:rPr>
              <w:t>第（ ）页</w:t>
            </w:r>
          </w:p>
        </w:tc>
      </w:tr>
      <w:tr w14:paraId="3AEE3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7" w:hRule="atLeast"/>
        </w:trPr>
        <w:tc>
          <w:tcPr>
            <w:tcW w:w="414" w:type="pct"/>
            <w:vAlign w:val="center"/>
          </w:tcPr>
          <w:p w14:paraId="2F1A56A8">
            <w:pPr>
              <w:pStyle w:val="53"/>
              <w:numPr>
                <w:ilvl w:val="0"/>
                <w:numId w:val="88"/>
              </w:numPr>
              <w:snapToGrid w:val="0"/>
              <w:ind w:firstLineChars="0"/>
              <w:jc w:val="center"/>
              <w:rPr>
                <w:rFonts w:ascii="宋体" w:hAnsi="宋体"/>
                <w:bCs/>
                <w:sz w:val="24"/>
                <w:szCs w:val="22"/>
              </w:rPr>
            </w:pPr>
          </w:p>
        </w:tc>
        <w:tc>
          <w:tcPr>
            <w:tcW w:w="3305" w:type="pct"/>
            <w:vAlign w:val="center"/>
          </w:tcPr>
          <w:p w14:paraId="22A531D0">
            <w:pPr>
              <w:autoSpaceDE/>
              <w:autoSpaceDN/>
              <w:adjustRightInd/>
              <w:jc w:val="both"/>
              <w:rPr>
                <w:rFonts w:ascii="宋体" w:hAnsi="宋体"/>
                <w:sz w:val="24"/>
                <w:szCs w:val="24"/>
              </w:rPr>
            </w:pPr>
            <w:r>
              <w:rPr>
                <w:rFonts w:hint="eastAsia" w:ascii="宋体" w:hAnsi="宋体" w:cs="宋体"/>
                <w:sz w:val="24"/>
                <w:szCs w:val="21"/>
              </w:rPr>
              <w:t>投标人资格声明函已提交并符合招标文件要求的</w:t>
            </w:r>
            <w:r>
              <w:rPr>
                <w:rFonts w:hint="eastAsia" w:ascii="宋体" w:hAnsi="宋体" w:cs="宋体"/>
                <w:sz w:val="24"/>
                <w:szCs w:val="24"/>
              </w:rPr>
              <w:t>，且投标有效期不少于招标文件中载明的投标有效期；</w:t>
            </w:r>
          </w:p>
        </w:tc>
        <w:tc>
          <w:tcPr>
            <w:tcW w:w="642" w:type="pct"/>
            <w:vAlign w:val="center"/>
          </w:tcPr>
          <w:p w14:paraId="3674CE6E">
            <w:pPr>
              <w:snapToGrid w:val="0"/>
              <w:rPr>
                <w:rFonts w:ascii="宋体" w:hAnsi="宋体"/>
                <w:sz w:val="24"/>
              </w:rPr>
            </w:pPr>
            <w:r>
              <w:rPr>
                <w:rFonts w:hint="eastAsia" w:ascii="宋体" w:hAnsi="宋体" w:cs="Arial"/>
                <w:sz w:val="24"/>
              </w:rPr>
              <w:t>□</w:t>
            </w:r>
            <w:r>
              <w:rPr>
                <w:rFonts w:hint="eastAsia" w:ascii="宋体" w:hAnsi="宋体"/>
                <w:sz w:val="24"/>
              </w:rPr>
              <w:t>通过</w:t>
            </w:r>
          </w:p>
          <w:p w14:paraId="3A2031F2">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0028DE8B">
            <w:pPr>
              <w:snapToGrid w:val="0"/>
              <w:jc w:val="center"/>
              <w:rPr>
                <w:rFonts w:ascii="宋体" w:hAnsi="宋体"/>
                <w:sz w:val="24"/>
              </w:rPr>
            </w:pPr>
            <w:r>
              <w:rPr>
                <w:rFonts w:hint="eastAsia" w:ascii="宋体" w:hAnsi="宋体"/>
                <w:sz w:val="24"/>
              </w:rPr>
              <w:t>第（ ）页</w:t>
            </w:r>
          </w:p>
        </w:tc>
      </w:tr>
      <w:tr w14:paraId="0DC2D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53" w:hRule="atLeast"/>
        </w:trPr>
        <w:tc>
          <w:tcPr>
            <w:tcW w:w="414" w:type="pct"/>
            <w:vAlign w:val="center"/>
          </w:tcPr>
          <w:p w14:paraId="537E1CCB">
            <w:pPr>
              <w:pStyle w:val="53"/>
              <w:numPr>
                <w:ilvl w:val="0"/>
                <w:numId w:val="88"/>
              </w:numPr>
              <w:snapToGrid w:val="0"/>
              <w:ind w:firstLineChars="0"/>
              <w:jc w:val="center"/>
              <w:rPr>
                <w:rFonts w:ascii="宋体" w:hAnsi="宋体"/>
                <w:bCs/>
                <w:sz w:val="24"/>
                <w:szCs w:val="22"/>
              </w:rPr>
            </w:pPr>
          </w:p>
        </w:tc>
        <w:tc>
          <w:tcPr>
            <w:tcW w:w="3305" w:type="pct"/>
            <w:vAlign w:val="center"/>
          </w:tcPr>
          <w:p w14:paraId="28237914">
            <w:pPr>
              <w:autoSpaceDE/>
              <w:autoSpaceDN/>
              <w:adjustRightInd/>
              <w:jc w:val="both"/>
              <w:rPr>
                <w:rFonts w:ascii="宋体" w:hAnsi="宋体"/>
                <w:bCs/>
                <w:sz w:val="24"/>
                <w:szCs w:val="24"/>
              </w:rPr>
            </w:pPr>
            <w:r>
              <w:rPr>
                <w:rFonts w:hint="eastAsia" w:ascii="宋体" w:hAnsi="Courier New"/>
                <w:bCs/>
                <w:sz w:val="24"/>
                <w:szCs w:val="24"/>
              </w:rPr>
              <w:t>投标供应商如果有名称变更的，提供由行政主管部门出具的变更证明文件。</w:t>
            </w:r>
          </w:p>
        </w:tc>
        <w:tc>
          <w:tcPr>
            <w:tcW w:w="642" w:type="pct"/>
            <w:vAlign w:val="center"/>
          </w:tcPr>
          <w:p w14:paraId="73E8CC3B">
            <w:pPr>
              <w:snapToGrid w:val="0"/>
              <w:rPr>
                <w:rFonts w:ascii="宋体" w:hAnsi="宋体"/>
                <w:sz w:val="24"/>
              </w:rPr>
            </w:pPr>
            <w:r>
              <w:rPr>
                <w:rFonts w:hint="eastAsia" w:ascii="宋体" w:hAnsi="宋体" w:cs="Arial"/>
                <w:sz w:val="24"/>
              </w:rPr>
              <w:t>□</w:t>
            </w:r>
            <w:r>
              <w:rPr>
                <w:rFonts w:hint="eastAsia" w:ascii="宋体" w:hAnsi="宋体"/>
                <w:sz w:val="24"/>
              </w:rPr>
              <w:t>通过</w:t>
            </w:r>
          </w:p>
          <w:p w14:paraId="44EFD6B7">
            <w:pPr>
              <w:snapToGrid w:val="0"/>
              <w:rPr>
                <w:rFonts w:ascii="宋体" w:hAnsi="宋体"/>
                <w:sz w:val="24"/>
              </w:rPr>
            </w:pPr>
            <w:r>
              <w:rPr>
                <w:rFonts w:hint="eastAsia" w:ascii="宋体" w:hAnsi="宋体" w:cs="Arial"/>
                <w:sz w:val="24"/>
              </w:rPr>
              <w:t>□</w:t>
            </w:r>
            <w:r>
              <w:rPr>
                <w:rFonts w:hint="eastAsia" w:ascii="宋体" w:hAnsi="宋体"/>
                <w:sz w:val="24"/>
              </w:rPr>
              <w:t>不通过</w:t>
            </w:r>
          </w:p>
          <w:p w14:paraId="400CF7E2">
            <w:pPr>
              <w:snapToGrid w:val="0"/>
              <w:rPr>
                <w:rFonts w:ascii="宋体" w:hAnsi="宋体" w:cs="Arial"/>
                <w:sz w:val="24"/>
              </w:rPr>
            </w:pPr>
            <w:r>
              <w:rPr>
                <w:rFonts w:hint="eastAsia" w:ascii="宋体" w:hAnsi="宋体" w:cs="Arial"/>
                <w:sz w:val="24"/>
              </w:rPr>
              <w:t>□</w:t>
            </w:r>
            <w:r>
              <w:rPr>
                <w:rFonts w:hint="eastAsia" w:ascii="宋体" w:hAnsi="宋体"/>
                <w:sz w:val="24"/>
              </w:rPr>
              <w:t>不适用</w:t>
            </w:r>
          </w:p>
        </w:tc>
        <w:tc>
          <w:tcPr>
            <w:tcW w:w="638" w:type="pct"/>
            <w:vAlign w:val="center"/>
          </w:tcPr>
          <w:p w14:paraId="4C8E64EE">
            <w:pPr>
              <w:snapToGrid w:val="0"/>
              <w:jc w:val="center"/>
              <w:rPr>
                <w:rFonts w:ascii="宋体" w:hAnsi="宋体"/>
                <w:sz w:val="24"/>
              </w:rPr>
            </w:pPr>
            <w:r>
              <w:rPr>
                <w:rFonts w:hint="eastAsia" w:ascii="宋体" w:hAnsi="宋体"/>
                <w:sz w:val="24"/>
              </w:rPr>
              <w:t>第（ ）页</w:t>
            </w:r>
          </w:p>
        </w:tc>
      </w:tr>
      <w:tr w14:paraId="1D898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5" w:hRule="atLeast"/>
        </w:trPr>
        <w:tc>
          <w:tcPr>
            <w:tcW w:w="414" w:type="pct"/>
            <w:vAlign w:val="center"/>
          </w:tcPr>
          <w:p w14:paraId="05E85F8C">
            <w:pPr>
              <w:pStyle w:val="53"/>
              <w:numPr>
                <w:ilvl w:val="0"/>
                <w:numId w:val="88"/>
              </w:numPr>
              <w:snapToGrid w:val="0"/>
              <w:ind w:firstLineChars="0"/>
              <w:jc w:val="center"/>
              <w:rPr>
                <w:rFonts w:ascii="宋体" w:hAnsi="宋体"/>
                <w:bCs/>
                <w:sz w:val="24"/>
              </w:rPr>
            </w:pPr>
          </w:p>
        </w:tc>
        <w:tc>
          <w:tcPr>
            <w:tcW w:w="3305" w:type="pct"/>
            <w:vAlign w:val="center"/>
          </w:tcPr>
          <w:p w14:paraId="3EA62C64">
            <w:pPr>
              <w:autoSpaceDE/>
              <w:autoSpaceDN/>
              <w:adjustRightInd/>
              <w:jc w:val="both"/>
              <w:rPr>
                <w:rFonts w:ascii="宋体" w:hAnsi="宋体"/>
                <w:bCs/>
                <w:sz w:val="24"/>
                <w:szCs w:val="24"/>
              </w:rPr>
            </w:pPr>
            <w:r>
              <w:rPr>
                <w:rFonts w:hint="eastAsia" w:ascii="宋体" w:hAnsi="Courier New"/>
                <w:bCs/>
                <w:sz w:val="24"/>
                <w:szCs w:val="24"/>
              </w:rPr>
              <w:t>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642" w:type="pct"/>
            <w:vAlign w:val="center"/>
          </w:tcPr>
          <w:p w14:paraId="0801CA74">
            <w:pPr>
              <w:snapToGrid w:val="0"/>
              <w:rPr>
                <w:rFonts w:ascii="宋体" w:hAnsi="宋体"/>
                <w:sz w:val="24"/>
              </w:rPr>
            </w:pPr>
            <w:r>
              <w:rPr>
                <w:rFonts w:hint="eastAsia" w:ascii="宋体" w:hAnsi="宋体" w:cs="Arial"/>
                <w:sz w:val="24"/>
              </w:rPr>
              <w:t>□</w:t>
            </w:r>
            <w:r>
              <w:rPr>
                <w:rFonts w:hint="eastAsia" w:ascii="宋体" w:hAnsi="宋体"/>
                <w:sz w:val="24"/>
              </w:rPr>
              <w:t>通过</w:t>
            </w:r>
          </w:p>
          <w:p w14:paraId="47C07A9D">
            <w:pPr>
              <w:snapToGrid w:val="0"/>
              <w:rPr>
                <w:rFonts w:ascii="宋体" w:hAnsi="宋体"/>
                <w:sz w:val="24"/>
              </w:rPr>
            </w:pPr>
            <w:r>
              <w:rPr>
                <w:rFonts w:hint="eastAsia" w:ascii="宋体" w:hAnsi="宋体" w:cs="Arial"/>
                <w:sz w:val="24"/>
              </w:rPr>
              <w:t>□</w:t>
            </w:r>
            <w:r>
              <w:rPr>
                <w:rFonts w:hint="eastAsia" w:ascii="宋体" w:hAnsi="宋体"/>
                <w:sz w:val="24"/>
              </w:rPr>
              <w:t>不通过</w:t>
            </w:r>
          </w:p>
          <w:p w14:paraId="3E2CB4E6">
            <w:pPr>
              <w:snapToGrid w:val="0"/>
              <w:rPr>
                <w:rFonts w:ascii="宋体" w:hAnsi="宋体" w:cs="Arial"/>
                <w:sz w:val="24"/>
              </w:rPr>
            </w:pPr>
            <w:r>
              <w:rPr>
                <w:rFonts w:hint="eastAsia" w:ascii="宋体" w:hAnsi="宋体" w:cs="Arial"/>
                <w:sz w:val="24"/>
              </w:rPr>
              <w:t>□</w:t>
            </w:r>
            <w:r>
              <w:rPr>
                <w:rFonts w:hint="eastAsia" w:ascii="宋体" w:hAnsi="宋体"/>
                <w:sz w:val="24"/>
              </w:rPr>
              <w:t>不适用</w:t>
            </w:r>
          </w:p>
        </w:tc>
        <w:tc>
          <w:tcPr>
            <w:tcW w:w="638" w:type="pct"/>
            <w:vAlign w:val="center"/>
          </w:tcPr>
          <w:p w14:paraId="5424A98E">
            <w:pPr>
              <w:snapToGrid w:val="0"/>
              <w:jc w:val="center"/>
              <w:rPr>
                <w:rFonts w:ascii="宋体" w:hAnsi="宋体"/>
                <w:sz w:val="24"/>
              </w:rPr>
            </w:pPr>
            <w:r>
              <w:rPr>
                <w:rFonts w:hint="eastAsia" w:ascii="宋体" w:hAnsi="宋体"/>
                <w:sz w:val="24"/>
              </w:rPr>
              <w:t>第（ ）页</w:t>
            </w:r>
          </w:p>
        </w:tc>
      </w:tr>
      <w:tr w14:paraId="0A37C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1" w:hRule="atLeast"/>
        </w:trPr>
        <w:tc>
          <w:tcPr>
            <w:tcW w:w="414" w:type="pct"/>
            <w:vAlign w:val="center"/>
          </w:tcPr>
          <w:p w14:paraId="73B51533">
            <w:pPr>
              <w:pStyle w:val="53"/>
              <w:numPr>
                <w:ilvl w:val="0"/>
                <w:numId w:val="88"/>
              </w:numPr>
              <w:snapToGrid w:val="0"/>
              <w:ind w:firstLineChars="0"/>
              <w:jc w:val="center"/>
              <w:rPr>
                <w:rFonts w:ascii="宋体" w:hAnsi="宋体"/>
                <w:bCs/>
                <w:sz w:val="24"/>
              </w:rPr>
            </w:pPr>
          </w:p>
        </w:tc>
        <w:tc>
          <w:tcPr>
            <w:tcW w:w="3305" w:type="pct"/>
            <w:vAlign w:val="center"/>
          </w:tcPr>
          <w:p w14:paraId="04FB4BE1">
            <w:pPr>
              <w:snapToGrid w:val="0"/>
              <w:spacing w:line="264" w:lineRule="auto"/>
              <w:rPr>
                <w:bCs/>
                <w:sz w:val="24"/>
                <w:szCs w:val="24"/>
              </w:rPr>
            </w:pPr>
            <w:r>
              <w:rPr>
                <w:rFonts w:hint="eastAsia" w:ascii="宋体" w:hAnsi="宋体" w:cs="宋体"/>
                <w:sz w:val="24"/>
              </w:rPr>
              <w:t>按照招标文件规定要求签署、盖章且投标文件有法定代表人签字或盖个人名章（或签字人有法定代表人有效授权书）的；</w:t>
            </w:r>
          </w:p>
        </w:tc>
        <w:tc>
          <w:tcPr>
            <w:tcW w:w="642" w:type="pct"/>
            <w:vAlign w:val="center"/>
          </w:tcPr>
          <w:p w14:paraId="379A9E14">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14:paraId="41AF269A">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7768CAC4">
            <w:pPr>
              <w:snapToGrid w:val="0"/>
              <w:spacing w:line="264" w:lineRule="auto"/>
              <w:jc w:val="center"/>
              <w:rPr>
                <w:rFonts w:ascii="宋体" w:hAnsi="宋体"/>
                <w:sz w:val="24"/>
              </w:rPr>
            </w:pPr>
            <w:r>
              <w:rPr>
                <w:rFonts w:ascii="宋体" w:hAnsi="宋体"/>
                <w:sz w:val="24"/>
              </w:rPr>
              <w:t>/</w:t>
            </w:r>
          </w:p>
        </w:tc>
      </w:tr>
      <w:tr w14:paraId="061FA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18AD1CFA">
            <w:pPr>
              <w:pStyle w:val="53"/>
              <w:numPr>
                <w:ilvl w:val="0"/>
                <w:numId w:val="88"/>
              </w:numPr>
              <w:snapToGrid w:val="0"/>
              <w:ind w:firstLineChars="0"/>
              <w:jc w:val="center"/>
              <w:rPr>
                <w:rFonts w:ascii="宋体" w:hAnsi="宋体"/>
                <w:bCs/>
                <w:sz w:val="24"/>
              </w:rPr>
            </w:pPr>
          </w:p>
        </w:tc>
        <w:tc>
          <w:tcPr>
            <w:tcW w:w="3305" w:type="pct"/>
            <w:vAlign w:val="center"/>
          </w:tcPr>
          <w:p w14:paraId="443D56D2">
            <w:pPr>
              <w:autoSpaceDE/>
              <w:autoSpaceDN/>
              <w:adjustRightInd/>
              <w:jc w:val="both"/>
              <w:rPr>
                <w:rFonts w:ascii="宋体" w:hAnsi="宋体"/>
                <w:bCs/>
                <w:sz w:val="24"/>
                <w:szCs w:val="24"/>
              </w:rPr>
            </w:pPr>
            <w:r>
              <w:rPr>
                <w:rFonts w:hint="eastAsia" w:ascii="宋体" w:hAnsi="宋体"/>
                <w:sz w:val="24"/>
                <w:szCs w:val="24"/>
              </w:rPr>
              <w:t>法定代表人授权委托书</w:t>
            </w:r>
          </w:p>
        </w:tc>
        <w:tc>
          <w:tcPr>
            <w:tcW w:w="642" w:type="pct"/>
            <w:vAlign w:val="center"/>
          </w:tcPr>
          <w:p w14:paraId="00389261">
            <w:pPr>
              <w:snapToGrid w:val="0"/>
              <w:rPr>
                <w:rFonts w:ascii="宋体" w:hAnsi="宋体"/>
                <w:sz w:val="24"/>
              </w:rPr>
            </w:pPr>
            <w:r>
              <w:rPr>
                <w:rFonts w:hint="eastAsia" w:ascii="宋体" w:hAnsi="宋体" w:cs="Arial"/>
                <w:sz w:val="24"/>
              </w:rPr>
              <w:t>□</w:t>
            </w:r>
            <w:r>
              <w:rPr>
                <w:rFonts w:hint="eastAsia" w:ascii="宋体" w:hAnsi="宋体"/>
                <w:sz w:val="24"/>
              </w:rPr>
              <w:t>通过</w:t>
            </w:r>
          </w:p>
          <w:p w14:paraId="15544FC9">
            <w:pPr>
              <w:snapToGrid w:val="0"/>
              <w:rPr>
                <w:rFonts w:ascii="宋体" w:hAnsi="宋体"/>
                <w:sz w:val="24"/>
              </w:rPr>
            </w:pPr>
            <w:r>
              <w:rPr>
                <w:rFonts w:hint="eastAsia" w:ascii="宋体" w:hAnsi="宋体" w:cs="Arial"/>
                <w:sz w:val="24"/>
              </w:rPr>
              <w:t>□</w:t>
            </w:r>
            <w:r>
              <w:rPr>
                <w:rFonts w:hint="eastAsia" w:ascii="宋体" w:hAnsi="宋体"/>
                <w:sz w:val="24"/>
              </w:rPr>
              <w:t>不通过</w:t>
            </w:r>
          </w:p>
          <w:p w14:paraId="5E857C81">
            <w:pPr>
              <w:snapToGrid w:val="0"/>
              <w:rPr>
                <w:rFonts w:ascii="宋体" w:hAnsi="宋体" w:cs="Arial"/>
                <w:sz w:val="24"/>
              </w:rPr>
            </w:pPr>
            <w:r>
              <w:rPr>
                <w:rFonts w:hint="eastAsia" w:ascii="宋体" w:hAnsi="宋体" w:cs="Arial"/>
                <w:sz w:val="24"/>
              </w:rPr>
              <w:t>□</w:t>
            </w:r>
            <w:r>
              <w:rPr>
                <w:rFonts w:hint="eastAsia" w:ascii="宋体" w:hAnsi="宋体"/>
                <w:sz w:val="24"/>
              </w:rPr>
              <w:t>不适用</w:t>
            </w:r>
          </w:p>
        </w:tc>
        <w:tc>
          <w:tcPr>
            <w:tcW w:w="638" w:type="pct"/>
            <w:vAlign w:val="center"/>
          </w:tcPr>
          <w:p w14:paraId="420648B2">
            <w:pPr>
              <w:snapToGrid w:val="0"/>
              <w:jc w:val="center"/>
              <w:rPr>
                <w:rFonts w:ascii="宋体" w:hAnsi="宋体"/>
                <w:sz w:val="24"/>
              </w:rPr>
            </w:pPr>
            <w:r>
              <w:rPr>
                <w:rFonts w:hint="eastAsia" w:ascii="宋体" w:hAnsi="宋体"/>
                <w:sz w:val="24"/>
              </w:rPr>
              <w:t>第（ ）页</w:t>
            </w:r>
          </w:p>
        </w:tc>
      </w:tr>
      <w:tr w14:paraId="5F051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0839FF41">
            <w:pPr>
              <w:pStyle w:val="53"/>
              <w:numPr>
                <w:ilvl w:val="0"/>
                <w:numId w:val="88"/>
              </w:numPr>
              <w:snapToGrid w:val="0"/>
              <w:ind w:firstLineChars="0"/>
              <w:jc w:val="center"/>
              <w:rPr>
                <w:rFonts w:ascii="宋体" w:hAnsi="宋体"/>
                <w:bCs/>
                <w:sz w:val="24"/>
              </w:rPr>
            </w:pPr>
          </w:p>
        </w:tc>
        <w:tc>
          <w:tcPr>
            <w:tcW w:w="3305" w:type="pct"/>
            <w:vAlign w:val="center"/>
          </w:tcPr>
          <w:p w14:paraId="34021D75">
            <w:pPr>
              <w:autoSpaceDE/>
              <w:autoSpaceDN/>
              <w:adjustRightInd/>
              <w:jc w:val="both"/>
              <w:rPr>
                <w:rFonts w:ascii="宋体" w:hAnsi="宋体"/>
                <w:bCs/>
                <w:sz w:val="24"/>
                <w:szCs w:val="24"/>
              </w:rPr>
            </w:pPr>
            <w:r>
              <w:rPr>
                <w:rFonts w:hint="eastAsia" w:ascii="宋体" w:hAnsi="宋体"/>
                <w:sz w:val="24"/>
                <w:szCs w:val="24"/>
              </w:rPr>
              <w:t>法定代表人证明书</w:t>
            </w:r>
          </w:p>
        </w:tc>
        <w:tc>
          <w:tcPr>
            <w:tcW w:w="642" w:type="pct"/>
            <w:vAlign w:val="center"/>
          </w:tcPr>
          <w:p w14:paraId="5030D7DC">
            <w:pPr>
              <w:snapToGrid w:val="0"/>
              <w:rPr>
                <w:rFonts w:ascii="宋体" w:hAnsi="宋体"/>
                <w:sz w:val="24"/>
              </w:rPr>
            </w:pPr>
            <w:r>
              <w:rPr>
                <w:rFonts w:hint="eastAsia" w:ascii="宋体" w:hAnsi="宋体" w:cs="Arial"/>
                <w:sz w:val="24"/>
              </w:rPr>
              <w:t>□</w:t>
            </w:r>
            <w:r>
              <w:rPr>
                <w:rFonts w:hint="eastAsia" w:ascii="宋体" w:hAnsi="宋体"/>
                <w:sz w:val="24"/>
              </w:rPr>
              <w:t xml:space="preserve">通过 </w:t>
            </w:r>
          </w:p>
          <w:p w14:paraId="7CD60243">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3921C165">
            <w:pPr>
              <w:snapToGrid w:val="0"/>
              <w:jc w:val="center"/>
              <w:rPr>
                <w:rFonts w:ascii="宋体" w:hAnsi="宋体"/>
                <w:sz w:val="24"/>
              </w:rPr>
            </w:pPr>
            <w:r>
              <w:rPr>
                <w:rFonts w:hint="eastAsia" w:ascii="宋体" w:hAnsi="宋体"/>
                <w:sz w:val="24"/>
              </w:rPr>
              <w:t>第（ ）页</w:t>
            </w:r>
          </w:p>
        </w:tc>
      </w:tr>
      <w:tr w14:paraId="23D42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21" w:hRule="atLeast"/>
        </w:trPr>
        <w:tc>
          <w:tcPr>
            <w:tcW w:w="414" w:type="pct"/>
            <w:vAlign w:val="center"/>
          </w:tcPr>
          <w:p w14:paraId="629CFD79">
            <w:pPr>
              <w:pStyle w:val="53"/>
              <w:numPr>
                <w:ilvl w:val="0"/>
                <w:numId w:val="88"/>
              </w:numPr>
              <w:snapToGrid w:val="0"/>
              <w:ind w:firstLineChars="0"/>
              <w:jc w:val="center"/>
              <w:rPr>
                <w:rFonts w:ascii="宋体" w:hAnsi="宋体"/>
                <w:bCs/>
                <w:sz w:val="24"/>
                <w:szCs w:val="22"/>
              </w:rPr>
            </w:pPr>
          </w:p>
        </w:tc>
        <w:tc>
          <w:tcPr>
            <w:tcW w:w="3305" w:type="pct"/>
            <w:vAlign w:val="center"/>
          </w:tcPr>
          <w:p w14:paraId="26C2ABE3">
            <w:pPr>
              <w:snapToGrid w:val="0"/>
              <w:spacing w:line="264" w:lineRule="auto"/>
              <w:rPr>
                <w:rFonts w:ascii="宋体" w:hAnsi="宋体" w:cs="宋体"/>
                <w:sz w:val="24"/>
              </w:rPr>
            </w:pPr>
            <w:r>
              <w:rPr>
                <w:rFonts w:hint="eastAsia" w:ascii="宋体" w:hAnsi="宋体" w:cs="宋体"/>
                <w:sz w:val="24"/>
              </w:rPr>
              <w:t>投标人按招标文件要求缴纳投标保证金的；</w:t>
            </w:r>
          </w:p>
          <w:p w14:paraId="1548DAFD">
            <w:pPr>
              <w:snapToGrid w:val="0"/>
              <w:spacing w:line="264" w:lineRule="auto"/>
              <w:rPr>
                <w:rFonts w:ascii="宋体" w:hAnsi="宋体" w:cs="宋体"/>
                <w:sz w:val="24"/>
              </w:rPr>
            </w:pPr>
            <w:r>
              <w:rPr>
                <w:rFonts w:hint="eastAsia" w:ascii="宋体" w:hAnsi="宋体" w:cs="宋体"/>
                <w:sz w:val="24"/>
              </w:rPr>
              <w:t>（提供</w:t>
            </w:r>
            <w:r>
              <w:rPr>
                <w:rFonts w:hint="eastAsia" w:ascii="宋体" w:hAnsi="宋体"/>
                <w:sz w:val="24"/>
              </w:rPr>
              <w:t>投标保证金递交证明文件</w:t>
            </w:r>
            <w:r>
              <w:rPr>
                <w:rFonts w:hint="eastAsia" w:ascii="宋体" w:hAnsi="宋体" w:cs="宋体"/>
                <w:sz w:val="24"/>
              </w:rPr>
              <w:t>）</w:t>
            </w:r>
          </w:p>
        </w:tc>
        <w:tc>
          <w:tcPr>
            <w:tcW w:w="642" w:type="pct"/>
            <w:vAlign w:val="center"/>
          </w:tcPr>
          <w:p w14:paraId="2705E63E">
            <w:pPr>
              <w:snapToGrid w:val="0"/>
              <w:rPr>
                <w:rFonts w:ascii="宋体" w:hAnsi="宋体"/>
                <w:sz w:val="24"/>
              </w:rPr>
            </w:pPr>
            <w:r>
              <w:rPr>
                <w:rFonts w:hint="eastAsia" w:ascii="宋体" w:hAnsi="宋体" w:cs="Arial"/>
                <w:sz w:val="24"/>
              </w:rPr>
              <w:t>□</w:t>
            </w:r>
            <w:r>
              <w:rPr>
                <w:rFonts w:hint="eastAsia" w:ascii="宋体" w:hAnsi="宋体"/>
                <w:sz w:val="24"/>
              </w:rPr>
              <w:t xml:space="preserve">通过 </w:t>
            </w:r>
          </w:p>
          <w:p w14:paraId="285E9332">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4F41A142">
            <w:pPr>
              <w:snapToGrid w:val="0"/>
              <w:jc w:val="center"/>
              <w:rPr>
                <w:rFonts w:ascii="宋体" w:hAnsi="宋体"/>
                <w:sz w:val="24"/>
              </w:rPr>
            </w:pPr>
            <w:r>
              <w:rPr>
                <w:rFonts w:hint="eastAsia" w:ascii="宋体" w:hAnsi="宋体"/>
                <w:sz w:val="24"/>
              </w:rPr>
              <w:t>第（ ）页</w:t>
            </w:r>
          </w:p>
        </w:tc>
      </w:tr>
      <w:tr w14:paraId="751F2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64" w:hRule="atLeast"/>
        </w:trPr>
        <w:tc>
          <w:tcPr>
            <w:tcW w:w="414" w:type="pct"/>
            <w:vAlign w:val="center"/>
          </w:tcPr>
          <w:p w14:paraId="1E040B11">
            <w:pPr>
              <w:pStyle w:val="53"/>
              <w:numPr>
                <w:ilvl w:val="0"/>
                <w:numId w:val="88"/>
              </w:numPr>
              <w:snapToGrid w:val="0"/>
              <w:ind w:firstLineChars="0"/>
              <w:jc w:val="center"/>
              <w:rPr>
                <w:rFonts w:ascii="宋体" w:hAnsi="宋体"/>
                <w:bCs/>
                <w:sz w:val="24"/>
                <w:szCs w:val="22"/>
              </w:rPr>
            </w:pPr>
          </w:p>
        </w:tc>
        <w:tc>
          <w:tcPr>
            <w:tcW w:w="3305" w:type="pct"/>
            <w:vAlign w:val="center"/>
          </w:tcPr>
          <w:p w14:paraId="6C1BC834">
            <w:pPr>
              <w:snapToGrid w:val="0"/>
              <w:spacing w:line="264" w:lineRule="auto"/>
              <w:rPr>
                <w:rFonts w:ascii="宋体" w:hAnsi="宋体"/>
                <w:b/>
                <w:bCs/>
                <w:i/>
                <w:sz w:val="24"/>
                <w:shd w:val="pct10" w:color="auto" w:fill="FFFFFF"/>
              </w:rPr>
            </w:pPr>
            <w:r>
              <w:rPr>
                <w:rFonts w:hint="eastAsia" w:ascii="宋体" w:hAnsi="宋体" w:cs="宋体"/>
                <w:color w:val="auto"/>
                <w:sz w:val="24"/>
              </w:rPr>
              <w:t>投标报价</w:t>
            </w:r>
            <w:r>
              <w:rPr>
                <w:rFonts w:hint="eastAsia" w:ascii="宋体" w:hAnsi="宋体" w:cs="宋体"/>
                <w:color w:val="auto"/>
                <w:sz w:val="24"/>
                <w:lang w:val="en-US" w:eastAsia="zh-CN"/>
              </w:rPr>
              <w:t>不得</w:t>
            </w:r>
            <w:r>
              <w:rPr>
                <w:rFonts w:ascii="宋体" w:hAnsi="宋体" w:eastAsia="宋体" w:cs="宋体"/>
                <w:color w:val="auto"/>
                <w:sz w:val="24"/>
                <w:szCs w:val="24"/>
              </w:rPr>
              <w:t>低于本项目</w:t>
            </w:r>
            <w:r>
              <w:rPr>
                <w:rFonts w:hint="eastAsia" w:ascii="宋体" w:hAnsi="宋体" w:cs="宋体"/>
                <w:color w:val="auto"/>
                <w:sz w:val="24"/>
                <w:szCs w:val="24"/>
                <w:lang w:eastAsia="zh-CN"/>
              </w:rPr>
              <w:t>服务管理费</w:t>
            </w:r>
            <w:r>
              <w:rPr>
                <w:rFonts w:ascii="宋体" w:hAnsi="宋体" w:eastAsia="宋体" w:cs="宋体"/>
                <w:color w:val="auto"/>
                <w:sz w:val="24"/>
                <w:szCs w:val="24"/>
              </w:rPr>
              <w:t>限价（人民币</w:t>
            </w:r>
            <w:r>
              <w:rPr>
                <w:rFonts w:hint="eastAsia" w:ascii="宋体" w:hAnsi="宋体" w:cs="Times New Roman"/>
                <w:b w:val="0"/>
                <w:bCs w:val="0"/>
                <w:color w:val="auto"/>
                <w:sz w:val="24"/>
                <w:szCs w:val="24"/>
                <w:lang w:val="en-US" w:eastAsia="zh-CN"/>
              </w:rPr>
              <w:t>11000</w:t>
            </w:r>
            <w:r>
              <w:rPr>
                <w:rFonts w:hint="eastAsia" w:ascii="宋体" w:hAnsi="宋体" w:eastAsia="宋体" w:cs="宋体"/>
                <w:b w:val="0"/>
                <w:bCs w:val="0"/>
                <w:color w:val="auto"/>
                <w:sz w:val="24"/>
                <w:szCs w:val="24"/>
                <w:highlight w:val="none"/>
                <w:lang w:val="zh-CN" w:eastAsia="zh-CN"/>
              </w:rPr>
              <w:t>元/月</w:t>
            </w:r>
            <w:r>
              <w:rPr>
                <w:rFonts w:ascii="宋体" w:hAnsi="宋体" w:eastAsia="宋体" w:cs="宋体"/>
                <w:color w:val="auto"/>
                <w:sz w:val="24"/>
                <w:szCs w:val="24"/>
              </w:rPr>
              <w:t>）的</w:t>
            </w:r>
            <w:r>
              <w:rPr>
                <w:rFonts w:hint="eastAsia" w:ascii="宋体" w:hAnsi="宋体" w:cs="宋体"/>
                <w:color w:val="auto"/>
                <w:sz w:val="24"/>
              </w:rPr>
              <w:t>；</w:t>
            </w:r>
          </w:p>
        </w:tc>
        <w:tc>
          <w:tcPr>
            <w:tcW w:w="642" w:type="pct"/>
            <w:vAlign w:val="center"/>
          </w:tcPr>
          <w:p w14:paraId="00DC67A2">
            <w:pPr>
              <w:snapToGrid w:val="0"/>
              <w:rPr>
                <w:rFonts w:ascii="宋体" w:hAnsi="宋体"/>
                <w:sz w:val="24"/>
              </w:rPr>
            </w:pPr>
            <w:r>
              <w:rPr>
                <w:rFonts w:hint="eastAsia" w:ascii="宋体" w:hAnsi="宋体" w:cs="Arial"/>
                <w:sz w:val="24"/>
              </w:rPr>
              <w:t>□</w:t>
            </w:r>
            <w:r>
              <w:rPr>
                <w:rFonts w:hint="eastAsia" w:ascii="宋体" w:hAnsi="宋体"/>
                <w:sz w:val="24"/>
              </w:rPr>
              <w:t xml:space="preserve">通过 </w:t>
            </w:r>
          </w:p>
          <w:p w14:paraId="22806554">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32BC1931">
            <w:pPr>
              <w:snapToGrid w:val="0"/>
              <w:jc w:val="center"/>
              <w:rPr>
                <w:rFonts w:ascii="宋体" w:hAnsi="宋体"/>
                <w:sz w:val="24"/>
              </w:rPr>
            </w:pPr>
            <w:r>
              <w:rPr>
                <w:rFonts w:hint="eastAsia" w:ascii="宋体" w:hAnsi="宋体"/>
                <w:sz w:val="24"/>
              </w:rPr>
              <w:t>第（ ）页</w:t>
            </w:r>
          </w:p>
        </w:tc>
      </w:tr>
      <w:tr w14:paraId="2CBF0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412" w:hRule="atLeast"/>
        </w:trPr>
        <w:tc>
          <w:tcPr>
            <w:tcW w:w="414" w:type="pct"/>
            <w:vAlign w:val="center"/>
          </w:tcPr>
          <w:p w14:paraId="47CE1264">
            <w:pPr>
              <w:pStyle w:val="53"/>
              <w:numPr>
                <w:ilvl w:val="0"/>
                <w:numId w:val="88"/>
              </w:numPr>
              <w:snapToGrid w:val="0"/>
              <w:ind w:firstLineChars="0"/>
              <w:jc w:val="center"/>
              <w:rPr>
                <w:rFonts w:ascii="宋体" w:hAnsi="宋体"/>
                <w:bCs/>
                <w:sz w:val="24"/>
                <w:szCs w:val="22"/>
              </w:rPr>
            </w:pPr>
          </w:p>
        </w:tc>
        <w:tc>
          <w:tcPr>
            <w:tcW w:w="3305" w:type="pct"/>
            <w:vAlign w:val="center"/>
          </w:tcPr>
          <w:p w14:paraId="47A45288">
            <w:pPr>
              <w:snapToGrid w:val="0"/>
              <w:spacing w:line="264" w:lineRule="auto"/>
              <w:ind w:left="7" w:hanging="7" w:hangingChars="3"/>
              <w:rPr>
                <w:rFonts w:ascii="宋体" w:hAnsi="宋体" w:cs="宋体"/>
                <w:sz w:val="24"/>
              </w:rPr>
            </w:pPr>
            <w:r>
              <w:rPr>
                <w:rFonts w:hint="eastAsia" w:ascii="宋体" w:hAnsi="宋体" w:cs="宋体"/>
                <w:sz w:val="24"/>
              </w:rPr>
              <w:t>投标文件未出现选择性报价或有附加条件报价的情形；</w:t>
            </w:r>
          </w:p>
        </w:tc>
        <w:tc>
          <w:tcPr>
            <w:tcW w:w="642" w:type="pct"/>
            <w:vAlign w:val="center"/>
          </w:tcPr>
          <w:p w14:paraId="05FEFAD6">
            <w:pPr>
              <w:snapToGrid w:val="0"/>
              <w:rPr>
                <w:rFonts w:ascii="宋体" w:hAnsi="宋体"/>
                <w:sz w:val="24"/>
              </w:rPr>
            </w:pPr>
            <w:r>
              <w:rPr>
                <w:rFonts w:hint="eastAsia" w:ascii="宋体" w:hAnsi="宋体" w:cs="Arial"/>
                <w:sz w:val="24"/>
              </w:rPr>
              <w:t>□</w:t>
            </w:r>
            <w:r>
              <w:rPr>
                <w:rFonts w:hint="eastAsia" w:ascii="宋体" w:hAnsi="宋体"/>
                <w:sz w:val="24"/>
              </w:rPr>
              <w:t xml:space="preserve">通过 </w:t>
            </w:r>
          </w:p>
          <w:p w14:paraId="21E98589">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16B4AF8A">
            <w:pPr>
              <w:snapToGrid w:val="0"/>
              <w:jc w:val="center"/>
              <w:rPr>
                <w:rFonts w:ascii="宋体" w:hAnsi="宋体"/>
                <w:sz w:val="24"/>
              </w:rPr>
            </w:pPr>
            <w:r>
              <w:rPr>
                <w:rFonts w:hint="eastAsia" w:ascii="宋体" w:hAnsi="宋体"/>
                <w:sz w:val="24"/>
              </w:rPr>
              <w:t>第（ ）页</w:t>
            </w:r>
          </w:p>
        </w:tc>
      </w:tr>
      <w:tr w14:paraId="485C4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06" w:hRule="atLeast"/>
        </w:trPr>
        <w:tc>
          <w:tcPr>
            <w:tcW w:w="414" w:type="pct"/>
            <w:vAlign w:val="center"/>
          </w:tcPr>
          <w:p w14:paraId="36AEFFD8">
            <w:pPr>
              <w:pStyle w:val="53"/>
              <w:numPr>
                <w:ilvl w:val="0"/>
                <w:numId w:val="88"/>
              </w:numPr>
              <w:snapToGrid w:val="0"/>
              <w:ind w:firstLineChars="0"/>
              <w:jc w:val="center"/>
              <w:rPr>
                <w:rFonts w:ascii="宋体" w:hAnsi="宋体"/>
                <w:bCs/>
                <w:sz w:val="24"/>
                <w:szCs w:val="22"/>
              </w:rPr>
            </w:pPr>
          </w:p>
        </w:tc>
        <w:tc>
          <w:tcPr>
            <w:tcW w:w="3305" w:type="pct"/>
            <w:vAlign w:val="center"/>
          </w:tcPr>
          <w:p w14:paraId="0F7465EF">
            <w:pPr>
              <w:snapToGrid w:val="0"/>
              <w:spacing w:line="264" w:lineRule="auto"/>
              <w:rPr>
                <w:rFonts w:ascii="宋体" w:hAnsi="宋体"/>
                <w:b/>
                <w:bCs/>
                <w:i/>
                <w:sz w:val="24"/>
                <w:shd w:val="pct10" w:color="auto" w:fill="FFFFFF"/>
              </w:rPr>
            </w:pPr>
            <w:r>
              <w:rPr>
                <w:rFonts w:hint="eastAsia" w:ascii="宋体" w:hAnsi="宋体" w:cs="宋体"/>
                <w:sz w:val="24"/>
              </w:rPr>
              <w:t>投标文件完全满足招标文件的实质性条款（即标注★号条款）无负偏离的；</w:t>
            </w:r>
          </w:p>
        </w:tc>
        <w:tc>
          <w:tcPr>
            <w:tcW w:w="642" w:type="pct"/>
            <w:vAlign w:val="center"/>
          </w:tcPr>
          <w:p w14:paraId="7F772869">
            <w:pPr>
              <w:snapToGrid w:val="0"/>
              <w:rPr>
                <w:rFonts w:ascii="宋体" w:hAnsi="宋体"/>
                <w:sz w:val="24"/>
              </w:rPr>
            </w:pPr>
            <w:r>
              <w:rPr>
                <w:rFonts w:hint="eastAsia" w:ascii="宋体" w:hAnsi="宋体" w:cs="Arial"/>
                <w:sz w:val="24"/>
              </w:rPr>
              <w:t>□</w:t>
            </w:r>
            <w:r>
              <w:rPr>
                <w:rFonts w:hint="eastAsia" w:ascii="宋体" w:hAnsi="宋体"/>
                <w:sz w:val="24"/>
              </w:rPr>
              <w:t xml:space="preserve">通过 </w:t>
            </w:r>
          </w:p>
          <w:p w14:paraId="195632E4">
            <w:pPr>
              <w:snapToGrid w:val="0"/>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1AEB1A4A">
            <w:pPr>
              <w:snapToGrid w:val="0"/>
              <w:jc w:val="center"/>
              <w:rPr>
                <w:rFonts w:ascii="宋体" w:hAnsi="宋体"/>
                <w:sz w:val="24"/>
              </w:rPr>
            </w:pPr>
            <w:r>
              <w:rPr>
                <w:rFonts w:hint="eastAsia" w:ascii="宋体" w:hAnsi="宋体"/>
                <w:sz w:val="24"/>
              </w:rPr>
              <w:t>第（ ）页</w:t>
            </w:r>
          </w:p>
        </w:tc>
      </w:tr>
      <w:tr w14:paraId="3A2E1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94" w:hRule="atLeast"/>
        </w:trPr>
        <w:tc>
          <w:tcPr>
            <w:tcW w:w="414" w:type="pct"/>
            <w:vAlign w:val="center"/>
          </w:tcPr>
          <w:p w14:paraId="705F2E4D">
            <w:pPr>
              <w:pStyle w:val="53"/>
              <w:numPr>
                <w:ilvl w:val="0"/>
                <w:numId w:val="88"/>
              </w:numPr>
              <w:snapToGrid w:val="0"/>
              <w:ind w:firstLineChars="0"/>
              <w:jc w:val="center"/>
              <w:rPr>
                <w:rFonts w:ascii="宋体" w:hAnsi="宋体"/>
                <w:bCs/>
                <w:sz w:val="24"/>
                <w:szCs w:val="22"/>
              </w:rPr>
            </w:pPr>
          </w:p>
        </w:tc>
        <w:tc>
          <w:tcPr>
            <w:tcW w:w="3305" w:type="pct"/>
            <w:vAlign w:val="center"/>
          </w:tcPr>
          <w:p w14:paraId="0E802CD9">
            <w:pPr>
              <w:snapToGrid w:val="0"/>
              <w:spacing w:line="264" w:lineRule="auto"/>
              <w:rPr>
                <w:rFonts w:ascii="宋体"/>
                <w:b/>
                <w:bCs/>
                <w:i/>
                <w:color w:val="585858"/>
                <w:sz w:val="24"/>
                <w:shd w:val="pct10" w:color="auto" w:fill="FFFFFF"/>
              </w:rPr>
            </w:pPr>
            <w:r>
              <w:rPr>
                <w:rFonts w:hint="eastAsia" w:ascii="宋体" w:hAnsi="宋体" w:cs="宋体"/>
                <w:sz w:val="24"/>
              </w:rPr>
              <w:t>投标文件没有招标文件中规定的其它</w:t>
            </w:r>
            <w:r>
              <w:rPr>
                <w:rFonts w:hint="eastAsia" w:ascii="宋体" w:hAnsi="宋体"/>
                <w:bCs/>
                <w:sz w:val="24"/>
                <w:szCs w:val="24"/>
              </w:rPr>
              <w:t>应予否决投标</w:t>
            </w:r>
            <w:r>
              <w:rPr>
                <w:rFonts w:hint="eastAsia" w:ascii="宋体" w:hAnsi="宋体" w:cs="宋体"/>
                <w:sz w:val="24"/>
              </w:rPr>
              <w:t>条款的；</w:t>
            </w:r>
          </w:p>
        </w:tc>
        <w:tc>
          <w:tcPr>
            <w:tcW w:w="642" w:type="pct"/>
            <w:vAlign w:val="center"/>
          </w:tcPr>
          <w:p w14:paraId="66453175">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14:paraId="0787514A">
            <w:pPr>
              <w:snapToGrid w:val="0"/>
              <w:spacing w:line="264" w:lineRule="auto"/>
              <w:rPr>
                <w:rFonts w:ascii="宋体" w:hAnsi="宋体" w:cs="Arial"/>
                <w:sz w:val="24"/>
              </w:rPr>
            </w:pPr>
            <w:r>
              <w:rPr>
                <w:rFonts w:hint="eastAsia" w:ascii="宋体" w:hAnsi="宋体" w:cs="Arial"/>
                <w:sz w:val="24"/>
              </w:rPr>
              <w:t>□</w:t>
            </w:r>
            <w:r>
              <w:rPr>
                <w:rFonts w:hint="eastAsia" w:ascii="宋体" w:hAnsi="宋体"/>
                <w:sz w:val="24"/>
              </w:rPr>
              <w:t>不通过</w:t>
            </w:r>
          </w:p>
        </w:tc>
        <w:tc>
          <w:tcPr>
            <w:tcW w:w="638" w:type="pct"/>
            <w:vAlign w:val="center"/>
          </w:tcPr>
          <w:p w14:paraId="6D463A0E">
            <w:pPr>
              <w:snapToGrid w:val="0"/>
              <w:spacing w:line="264" w:lineRule="auto"/>
              <w:jc w:val="center"/>
              <w:rPr>
                <w:rFonts w:ascii="宋体" w:hAnsi="宋体"/>
                <w:sz w:val="24"/>
              </w:rPr>
            </w:pPr>
            <w:r>
              <w:rPr>
                <w:rFonts w:hint="eastAsia" w:ascii="宋体" w:hAnsi="宋体"/>
                <w:sz w:val="24"/>
              </w:rPr>
              <w:t>/</w:t>
            </w:r>
          </w:p>
        </w:tc>
      </w:tr>
      <w:tr w14:paraId="04C8F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90" w:hRule="atLeast"/>
        </w:trPr>
        <w:tc>
          <w:tcPr>
            <w:tcW w:w="414" w:type="pct"/>
            <w:vAlign w:val="center"/>
          </w:tcPr>
          <w:p w14:paraId="145FD453">
            <w:pPr>
              <w:pStyle w:val="53"/>
              <w:numPr>
                <w:ilvl w:val="0"/>
                <w:numId w:val="88"/>
              </w:numPr>
              <w:snapToGrid w:val="0"/>
              <w:ind w:firstLineChars="0"/>
              <w:jc w:val="center"/>
              <w:rPr>
                <w:rFonts w:ascii="宋体" w:hAnsi="宋体"/>
                <w:bCs/>
                <w:sz w:val="24"/>
                <w:szCs w:val="22"/>
              </w:rPr>
            </w:pPr>
          </w:p>
        </w:tc>
        <w:tc>
          <w:tcPr>
            <w:tcW w:w="3305" w:type="pct"/>
            <w:vAlign w:val="center"/>
          </w:tcPr>
          <w:p w14:paraId="3B613770">
            <w:pPr>
              <w:snapToGrid w:val="0"/>
              <w:spacing w:line="264" w:lineRule="auto"/>
              <w:rPr>
                <w:rFonts w:ascii="宋体" w:hAnsi="宋体" w:cs="宋体"/>
                <w:sz w:val="24"/>
              </w:rPr>
            </w:pPr>
            <w:r>
              <w:rPr>
                <w:rFonts w:hint="eastAsia" w:ascii="宋体" w:hAnsi="宋体" w:cs="宋体"/>
                <w:sz w:val="24"/>
              </w:rPr>
              <w:t>按有关法律、法规、规章不属于</w:t>
            </w:r>
            <w:r>
              <w:rPr>
                <w:rFonts w:hint="eastAsia" w:ascii="宋体" w:hAnsi="宋体" w:cs="宋体"/>
                <w:sz w:val="24"/>
                <w:szCs w:val="24"/>
              </w:rPr>
              <w:t>应予否决投标</w:t>
            </w:r>
            <w:r>
              <w:rPr>
                <w:rFonts w:hint="eastAsia" w:ascii="宋体" w:hAnsi="宋体" w:cs="宋体"/>
                <w:sz w:val="24"/>
              </w:rPr>
              <w:t>的。</w:t>
            </w:r>
          </w:p>
        </w:tc>
        <w:tc>
          <w:tcPr>
            <w:tcW w:w="642" w:type="pct"/>
            <w:vAlign w:val="center"/>
          </w:tcPr>
          <w:p w14:paraId="1B98A1E0">
            <w:pPr>
              <w:snapToGrid w:val="0"/>
              <w:spacing w:line="264" w:lineRule="auto"/>
              <w:rPr>
                <w:rFonts w:ascii="宋体" w:hAnsi="宋体"/>
                <w:sz w:val="24"/>
              </w:rPr>
            </w:pPr>
            <w:r>
              <w:rPr>
                <w:rFonts w:hint="eastAsia" w:ascii="宋体" w:hAnsi="宋体" w:cs="Arial"/>
                <w:sz w:val="24"/>
              </w:rPr>
              <w:t>□</w:t>
            </w:r>
            <w:r>
              <w:rPr>
                <w:rFonts w:hint="eastAsia" w:ascii="宋体" w:hAnsi="宋体"/>
                <w:sz w:val="24"/>
              </w:rPr>
              <w:t xml:space="preserve">通过 </w:t>
            </w:r>
          </w:p>
          <w:p w14:paraId="4986CE37">
            <w:pPr>
              <w:snapToGrid w:val="0"/>
              <w:spacing w:line="264" w:lineRule="auto"/>
              <w:rPr>
                <w:rFonts w:ascii="宋体" w:hAnsi="宋体" w:cs="宋体"/>
                <w:sz w:val="24"/>
              </w:rPr>
            </w:pPr>
            <w:r>
              <w:rPr>
                <w:rFonts w:hint="eastAsia" w:ascii="宋体" w:hAnsi="宋体" w:cs="Arial"/>
                <w:sz w:val="24"/>
              </w:rPr>
              <w:t>□</w:t>
            </w:r>
            <w:r>
              <w:rPr>
                <w:rFonts w:hint="eastAsia" w:ascii="宋体" w:hAnsi="宋体"/>
                <w:sz w:val="24"/>
              </w:rPr>
              <w:t>不通过</w:t>
            </w:r>
          </w:p>
        </w:tc>
        <w:tc>
          <w:tcPr>
            <w:tcW w:w="638" w:type="pct"/>
            <w:vAlign w:val="center"/>
          </w:tcPr>
          <w:p w14:paraId="53A1E487">
            <w:pPr>
              <w:snapToGrid w:val="0"/>
              <w:spacing w:line="264" w:lineRule="auto"/>
              <w:jc w:val="center"/>
              <w:rPr>
                <w:rFonts w:ascii="宋体" w:hAnsi="宋体" w:cs="宋体"/>
                <w:sz w:val="24"/>
              </w:rPr>
            </w:pPr>
            <w:r>
              <w:rPr>
                <w:rFonts w:hint="eastAsia" w:ascii="宋体" w:hAnsi="宋体"/>
                <w:sz w:val="24"/>
              </w:rPr>
              <w:t>/</w:t>
            </w:r>
          </w:p>
        </w:tc>
      </w:tr>
    </w:tbl>
    <w:p w14:paraId="01F59AE7">
      <w:pPr>
        <w:rPr>
          <w:rFonts w:ascii="宋体" w:hAnsi="宋体"/>
          <w:sz w:val="24"/>
          <w:szCs w:val="24"/>
        </w:rPr>
      </w:pPr>
    </w:p>
    <w:p w14:paraId="3D42178F">
      <w:pPr>
        <w:numPr>
          <w:ilvl w:val="0"/>
          <w:numId w:val="87"/>
        </w:numPr>
        <w:snapToGrid w:val="0"/>
        <w:spacing w:line="360" w:lineRule="auto"/>
        <w:jc w:val="center"/>
        <w:textAlignment w:val="baseline"/>
        <w:outlineLvl w:val="1"/>
        <w:rPr>
          <w:rFonts w:ascii="宋体" w:hAnsi="宋体"/>
          <w:b/>
          <w:sz w:val="24"/>
          <w:szCs w:val="24"/>
        </w:rPr>
      </w:pPr>
      <w:bookmarkStart w:id="122" w:name="_Toc11038"/>
      <w:bookmarkStart w:id="123" w:name="_Toc10205"/>
      <w:r>
        <w:rPr>
          <w:rFonts w:hint="eastAsia" w:ascii="宋体" w:hAnsi="宋体"/>
          <w:b/>
          <w:sz w:val="30"/>
          <w:szCs w:val="30"/>
        </w:rPr>
        <w:t>技术、商务评审自查表</w:t>
      </w:r>
      <w:bookmarkEnd w:id="122"/>
      <w:bookmarkEnd w:id="123"/>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1"/>
        <w:gridCol w:w="2134"/>
        <w:gridCol w:w="3682"/>
        <w:gridCol w:w="3345"/>
      </w:tblGrid>
      <w:tr w14:paraId="768D3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2B8EA364">
            <w:pPr>
              <w:snapToGrid w:val="0"/>
              <w:spacing w:line="264" w:lineRule="auto"/>
              <w:jc w:val="center"/>
              <w:rPr>
                <w:rFonts w:ascii="宋体" w:hAnsi="宋体"/>
                <w:b/>
                <w:sz w:val="24"/>
              </w:rPr>
            </w:pPr>
            <w:r>
              <w:rPr>
                <w:rFonts w:hint="eastAsia" w:ascii="宋体" w:hAnsi="宋体"/>
                <w:b/>
                <w:sz w:val="24"/>
              </w:rPr>
              <w:t>序号</w:t>
            </w:r>
          </w:p>
        </w:tc>
        <w:tc>
          <w:tcPr>
            <w:tcW w:w="1071" w:type="pct"/>
            <w:vAlign w:val="center"/>
          </w:tcPr>
          <w:p w14:paraId="1A1EF006">
            <w:pPr>
              <w:snapToGrid w:val="0"/>
              <w:spacing w:line="264" w:lineRule="auto"/>
              <w:jc w:val="center"/>
              <w:rPr>
                <w:rFonts w:ascii="宋体" w:hAnsi="宋体"/>
                <w:b/>
                <w:sz w:val="24"/>
              </w:rPr>
            </w:pPr>
            <w:r>
              <w:rPr>
                <w:rFonts w:hint="eastAsia" w:ascii="宋体" w:hAnsi="宋体" w:cs="宋体"/>
                <w:b/>
                <w:sz w:val="24"/>
              </w:rPr>
              <w:t>评审因素</w:t>
            </w:r>
          </w:p>
        </w:tc>
        <w:tc>
          <w:tcPr>
            <w:tcW w:w="1848" w:type="pct"/>
            <w:vAlign w:val="center"/>
          </w:tcPr>
          <w:p w14:paraId="2FEACE9A">
            <w:pPr>
              <w:snapToGrid w:val="0"/>
              <w:spacing w:line="264" w:lineRule="auto"/>
              <w:jc w:val="center"/>
              <w:rPr>
                <w:rFonts w:ascii="宋体" w:hAnsi="宋体"/>
                <w:b/>
                <w:sz w:val="24"/>
              </w:rPr>
            </w:pPr>
            <w:r>
              <w:rPr>
                <w:rFonts w:hint="eastAsia" w:ascii="宋体" w:hAnsi="宋体"/>
                <w:b/>
                <w:sz w:val="24"/>
              </w:rPr>
              <w:t>提交内容</w:t>
            </w:r>
          </w:p>
        </w:tc>
        <w:tc>
          <w:tcPr>
            <w:tcW w:w="1678" w:type="pct"/>
            <w:vAlign w:val="center"/>
          </w:tcPr>
          <w:p w14:paraId="5E04BB2B">
            <w:pPr>
              <w:snapToGrid w:val="0"/>
              <w:spacing w:line="264" w:lineRule="auto"/>
              <w:jc w:val="center"/>
              <w:rPr>
                <w:rFonts w:ascii="宋体" w:hAnsi="宋体"/>
                <w:b/>
                <w:sz w:val="24"/>
              </w:rPr>
            </w:pPr>
            <w:r>
              <w:rPr>
                <w:rFonts w:hint="eastAsia" w:ascii="宋体" w:hAnsi="宋体"/>
                <w:b/>
                <w:sz w:val="24"/>
              </w:rPr>
              <w:t>证明文件</w:t>
            </w:r>
          </w:p>
        </w:tc>
      </w:tr>
      <w:tr w14:paraId="5910C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02" w:type="pct"/>
            <w:vAlign w:val="center"/>
          </w:tcPr>
          <w:p w14:paraId="22731944">
            <w:pPr>
              <w:numPr>
                <w:ilvl w:val="0"/>
                <w:numId w:val="89"/>
              </w:numPr>
              <w:snapToGrid w:val="0"/>
              <w:spacing w:line="264" w:lineRule="auto"/>
              <w:rPr>
                <w:rFonts w:ascii="宋体" w:hAnsi="宋体"/>
                <w:sz w:val="24"/>
              </w:rPr>
            </w:pPr>
          </w:p>
        </w:tc>
        <w:tc>
          <w:tcPr>
            <w:tcW w:w="1071" w:type="pct"/>
            <w:vAlign w:val="center"/>
          </w:tcPr>
          <w:p w14:paraId="349D0F5C">
            <w:pPr>
              <w:snapToGrid w:val="0"/>
              <w:spacing w:line="264" w:lineRule="auto"/>
              <w:rPr>
                <w:rFonts w:ascii="宋体" w:hAnsi="宋体" w:cs="宋体"/>
                <w:color w:val="FF0000"/>
                <w:sz w:val="24"/>
              </w:rPr>
            </w:pPr>
          </w:p>
        </w:tc>
        <w:tc>
          <w:tcPr>
            <w:tcW w:w="1848" w:type="pct"/>
            <w:vAlign w:val="center"/>
          </w:tcPr>
          <w:p w14:paraId="0863051B">
            <w:pPr>
              <w:snapToGrid w:val="0"/>
              <w:spacing w:line="264" w:lineRule="auto"/>
              <w:rPr>
                <w:rFonts w:ascii="宋体" w:hAnsi="宋体"/>
                <w:sz w:val="24"/>
              </w:rPr>
            </w:pPr>
          </w:p>
        </w:tc>
        <w:tc>
          <w:tcPr>
            <w:tcW w:w="1678" w:type="pct"/>
            <w:vAlign w:val="center"/>
          </w:tcPr>
          <w:p w14:paraId="59C797A0">
            <w:pPr>
              <w:snapToGrid w:val="0"/>
              <w:spacing w:line="264" w:lineRule="auto"/>
              <w:jc w:val="center"/>
              <w:rPr>
                <w:rFonts w:ascii="宋体" w:hAnsi="宋体"/>
                <w:sz w:val="24"/>
              </w:rPr>
            </w:pPr>
            <w:r>
              <w:rPr>
                <w:rFonts w:hint="eastAsia" w:ascii="宋体" w:hAnsi="宋体"/>
                <w:sz w:val="24"/>
              </w:rPr>
              <w:t>第（ ）页-（ ）页</w:t>
            </w:r>
          </w:p>
        </w:tc>
      </w:tr>
      <w:tr w14:paraId="31F6D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73764479">
            <w:pPr>
              <w:numPr>
                <w:ilvl w:val="0"/>
                <w:numId w:val="89"/>
              </w:numPr>
              <w:snapToGrid w:val="0"/>
              <w:spacing w:line="264" w:lineRule="auto"/>
              <w:rPr>
                <w:rFonts w:ascii="宋体" w:hAnsi="宋体"/>
                <w:sz w:val="24"/>
              </w:rPr>
            </w:pPr>
          </w:p>
        </w:tc>
        <w:tc>
          <w:tcPr>
            <w:tcW w:w="1071" w:type="pct"/>
            <w:vAlign w:val="center"/>
          </w:tcPr>
          <w:p w14:paraId="1B2DC8E6">
            <w:pPr>
              <w:snapToGrid w:val="0"/>
              <w:spacing w:line="264" w:lineRule="auto"/>
              <w:rPr>
                <w:rFonts w:hAnsi="宋体"/>
                <w:bCs/>
                <w:sz w:val="24"/>
              </w:rPr>
            </w:pPr>
          </w:p>
        </w:tc>
        <w:tc>
          <w:tcPr>
            <w:tcW w:w="1848" w:type="pct"/>
            <w:vAlign w:val="center"/>
          </w:tcPr>
          <w:p w14:paraId="4680EB9B">
            <w:pPr>
              <w:snapToGrid w:val="0"/>
              <w:spacing w:line="264" w:lineRule="auto"/>
              <w:rPr>
                <w:rFonts w:ascii="宋体" w:hAnsi="宋体"/>
                <w:sz w:val="24"/>
              </w:rPr>
            </w:pPr>
          </w:p>
        </w:tc>
        <w:tc>
          <w:tcPr>
            <w:tcW w:w="1678" w:type="pct"/>
            <w:vAlign w:val="center"/>
          </w:tcPr>
          <w:p w14:paraId="5ADB8128">
            <w:pPr>
              <w:snapToGrid w:val="0"/>
              <w:spacing w:line="264" w:lineRule="auto"/>
              <w:jc w:val="center"/>
              <w:rPr>
                <w:rFonts w:ascii="宋体" w:hAnsi="宋体"/>
                <w:sz w:val="24"/>
              </w:rPr>
            </w:pPr>
            <w:r>
              <w:rPr>
                <w:rFonts w:hint="eastAsia" w:ascii="宋体" w:hAnsi="宋体"/>
                <w:sz w:val="24"/>
              </w:rPr>
              <w:t>第（ ）页-（ ）页</w:t>
            </w:r>
          </w:p>
        </w:tc>
      </w:tr>
      <w:tr w14:paraId="5BB68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64EE5D43">
            <w:pPr>
              <w:numPr>
                <w:ilvl w:val="0"/>
                <w:numId w:val="89"/>
              </w:numPr>
              <w:snapToGrid w:val="0"/>
              <w:spacing w:line="264" w:lineRule="auto"/>
              <w:rPr>
                <w:rFonts w:ascii="宋体" w:hAnsi="宋体"/>
                <w:sz w:val="24"/>
              </w:rPr>
            </w:pPr>
          </w:p>
        </w:tc>
        <w:tc>
          <w:tcPr>
            <w:tcW w:w="1071" w:type="pct"/>
            <w:vAlign w:val="center"/>
          </w:tcPr>
          <w:p w14:paraId="277CC143">
            <w:pPr>
              <w:snapToGrid w:val="0"/>
              <w:spacing w:line="264" w:lineRule="auto"/>
              <w:rPr>
                <w:rFonts w:hAnsi="宋体"/>
                <w:bCs/>
                <w:sz w:val="24"/>
              </w:rPr>
            </w:pPr>
          </w:p>
        </w:tc>
        <w:tc>
          <w:tcPr>
            <w:tcW w:w="1848" w:type="pct"/>
            <w:vAlign w:val="center"/>
          </w:tcPr>
          <w:p w14:paraId="780EECB8">
            <w:pPr>
              <w:snapToGrid w:val="0"/>
              <w:spacing w:line="264" w:lineRule="auto"/>
              <w:rPr>
                <w:rFonts w:ascii="宋体" w:hAnsi="宋体"/>
                <w:sz w:val="24"/>
              </w:rPr>
            </w:pPr>
          </w:p>
        </w:tc>
        <w:tc>
          <w:tcPr>
            <w:tcW w:w="1678" w:type="pct"/>
            <w:vAlign w:val="center"/>
          </w:tcPr>
          <w:p w14:paraId="6F9C56B0">
            <w:pPr>
              <w:snapToGrid w:val="0"/>
              <w:spacing w:line="264" w:lineRule="auto"/>
              <w:jc w:val="center"/>
              <w:rPr>
                <w:rFonts w:ascii="宋体" w:hAnsi="宋体"/>
                <w:sz w:val="24"/>
              </w:rPr>
            </w:pPr>
            <w:r>
              <w:rPr>
                <w:rFonts w:hint="eastAsia" w:ascii="宋体" w:hAnsi="宋体"/>
                <w:sz w:val="24"/>
              </w:rPr>
              <w:t>第（ ）页-（ ）页</w:t>
            </w:r>
          </w:p>
        </w:tc>
      </w:tr>
      <w:tr w14:paraId="0CD82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03EF8A18">
            <w:pPr>
              <w:numPr>
                <w:ilvl w:val="0"/>
                <w:numId w:val="89"/>
              </w:numPr>
              <w:snapToGrid w:val="0"/>
              <w:spacing w:line="264" w:lineRule="auto"/>
              <w:rPr>
                <w:rFonts w:ascii="宋体" w:hAnsi="宋体"/>
                <w:sz w:val="24"/>
              </w:rPr>
            </w:pPr>
          </w:p>
        </w:tc>
        <w:tc>
          <w:tcPr>
            <w:tcW w:w="1071" w:type="pct"/>
            <w:vAlign w:val="center"/>
          </w:tcPr>
          <w:p w14:paraId="17916548">
            <w:pPr>
              <w:snapToGrid w:val="0"/>
              <w:spacing w:line="264" w:lineRule="auto"/>
              <w:rPr>
                <w:rFonts w:hAnsi="宋体"/>
                <w:bCs/>
                <w:color w:val="FF0000"/>
                <w:sz w:val="24"/>
              </w:rPr>
            </w:pPr>
          </w:p>
        </w:tc>
        <w:tc>
          <w:tcPr>
            <w:tcW w:w="1848" w:type="pct"/>
            <w:vAlign w:val="center"/>
          </w:tcPr>
          <w:p w14:paraId="3FE7353A">
            <w:pPr>
              <w:snapToGrid w:val="0"/>
              <w:spacing w:line="264" w:lineRule="auto"/>
              <w:rPr>
                <w:rFonts w:ascii="宋体" w:hAnsi="宋体"/>
                <w:sz w:val="24"/>
              </w:rPr>
            </w:pPr>
          </w:p>
        </w:tc>
        <w:tc>
          <w:tcPr>
            <w:tcW w:w="1678" w:type="pct"/>
            <w:vAlign w:val="center"/>
          </w:tcPr>
          <w:p w14:paraId="23F1C325">
            <w:pPr>
              <w:snapToGrid w:val="0"/>
              <w:spacing w:line="264" w:lineRule="auto"/>
              <w:jc w:val="center"/>
              <w:rPr>
                <w:rFonts w:ascii="宋体" w:hAnsi="宋体"/>
                <w:sz w:val="24"/>
              </w:rPr>
            </w:pPr>
            <w:r>
              <w:rPr>
                <w:rFonts w:hint="eastAsia" w:ascii="宋体" w:hAnsi="宋体"/>
                <w:sz w:val="24"/>
              </w:rPr>
              <w:t>第（ ）页-（ ）页</w:t>
            </w:r>
          </w:p>
        </w:tc>
      </w:tr>
      <w:tr w14:paraId="7FB42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5BE1469B">
            <w:pPr>
              <w:numPr>
                <w:ilvl w:val="0"/>
                <w:numId w:val="89"/>
              </w:numPr>
              <w:snapToGrid w:val="0"/>
              <w:spacing w:line="264" w:lineRule="auto"/>
              <w:rPr>
                <w:rFonts w:ascii="宋体" w:hAnsi="宋体"/>
                <w:sz w:val="24"/>
              </w:rPr>
            </w:pPr>
          </w:p>
        </w:tc>
        <w:tc>
          <w:tcPr>
            <w:tcW w:w="1071" w:type="pct"/>
            <w:vAlign w:val="center"/>
          </w:tcPr>
          <w:p w14:paraId="6C5E976D">
            <w:pPr>
              <w:snapToGrid w:val="0"/>
              <w:spacing w:line="264" w:lineRule="auto"/>
              <w:rPr>
                <w:rFonts w:hAnsi="宋体"/>
                <w:bCs/>
                <w:color w:val="FF0000"/>
                <w:sz w:val="24"/>
              </w:rPr>
            </w:pPr>
          </w:p>
        </w:tc>
        <w:tc>
          <w:tcPr>
            <w:tcW w:w="1848" w:type="pct"/>
            <w:vAlign w:val="center"/>
          </w:tcPr>
          <w:p w14:paraId="03E418C1">
            <w:pPr>
              <w:snapToGrid w:val="0"/>
              <w:spacing w:line="264" w:lineRule="auto"/>
              <w:rPr>
                <w:rFonts w:ascii="宋体" w:hAnsi="宋体"/>
                <w:sz w:val="24"/>
              </w:rPr>
            </w:pPr>
          </w:p>
        </w:tc>
        <w:tc>
          <w:tcPr>
            <w:tcW w:w="1678" w:type="pct"/>
            <w:vAlign w:val="center"/>
          </w:tcPr>
          <w:p w14:paraId="609643CE">
            <w:pPr>
              <w:snapToGrid w:val="0"/>
              <w:spacing w:line="264" w:lineRule="auto"/>
              <w:jc w:val="center"/>
              <w:rPr>
                <w:rFonts w:ascii="宋体" w:hAnsi="宋体"/>
                <w:sz w:val="24"/>
              </w:rPr>
            </w:pPr>
            <w:r>
              <w:rPr>
                <w:rFonts w:hint="eastAsia" w:ascii="宋体" w:hAnsi="宋体"/>
                <w:sz w:val="24"/>
              </w:rPr>
              <w:t>第（ ）页-（ ）页</w:t>
            </w:r>
          </w:p>
        </w:tc>
      </w:tr>
      <w:tr w14:paraId="2D056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402" w:type="pct"/>
            <w:vAlign w:val="center"/>
          </w:tcPr>
          <w:p w14:paraId="3E959A4C">
            <w:pPr>
              <w:numPr>
                <w:ilvl w:val="0"/>
                <w:numId w:val="89"/>
              </w:numPr>
              <w:snapToGrid w:val="0"/>
              <w:spacing w:line="264" w:lineRule="auto"/>
              <w:rPr>
                <w:rFonts w:ascii="宋体" w:hAnsi="宋体"/>
                <w:sz w:val="24"/>
              </w:rPr>
            </w:pPr>
          </w:p>
        </w:tc>
        <w:tc>
          <w:tcPr>
            <w:tcW w:w="1071" w:type="pct"/>
            <w:vAlign w:val="center"/>
          </w:tcPr>
          <w:p w14:paraId="0C4D3419">
            <w:pPr>
              <w:snapToGrid w:val="0"/>
              <w:spacing w:line="264" w:lineRule="auto"/>
              <w:rPr>
                <w:rFonts w:ascii="宋体" w:hAnsi="宋体"/>
                <w:color w:val="FF0000"/>
                <w:sz w:val="24"/>
              </w:rPr>
            </w:pPr>
          </w:p>
        </w:tc>
        <w:tc>
          <w:tcPr>
            <w:tcW w:w="1848" w:type="pct"/>
            <w:vAlign w:val="center"/>
          </w:tcPr>
          <w:p w14:paraId="08D4586F">
            <w:pPr>
              <w:snapToGrid w:val="0"/>
              <w:spacing w:line="264" w:lineRule="auto"/>
              <w:rPr>
                <w:rFonts w:ascii="宋体" w:hAnsi="宋体"/>
                <w:sz w:val="24"/>
              </w:rPr>
            </w:pPr>
          </w:p>
        </w:tc>
        <w:tc>
          <w:tcPr>
            <w:tcW w:w="1678" w:type="pct"/>
            <w:vAlign w:val="center"/>
          </w:tcPr>
          <w:p w14:paraId="55515A63">
            <w:pPr>
              <w:snapToGrid w:val="0"/>
              <w:spacing w:line="264" w:lineRule="auto"/>
              <w:jc w:val="center"/>
              <w:rPr>
                <w:rFonts w:ascii="宋体" w:hAnsi="宋体"/>
                <w:sz w:val="24"/>
              </w:rPr>
            </w:pPr>
            <w:r>
              <w:rPr>
                <w:rFonts w:hint="eastAsia" w:ascii="宋体" w:hAnsi="宋体"/>
                <w:sz w:val="24"/>
              </w:rPr>
              <w:t>第（ ）页-（ ）页</w:t>
            </w:r>
          </w:p>
        </w:tc>
      </w:tr>
      <w:tr w14:paraId="1D1C2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4437976">
            <w:pPr>
              <w:numPr>
                <w:ilvl w:val="0"/>
                <w:numId w:val="89"/>
              </w:numPr>
              <w:snapToGrid w:val="0"/>
              <w:spacing w:line="264" w:lineRule="auto"/>
              <w:rPr>
                <w:rFonts w:ascii="宋体" w:hAnsi="宋体"/>
                <w:sz w:val="24"/>
              </w:rPr>
            </w:pPr>
          </w:p>
        </w:tc>
        <w:tc>
          <w:tcPr>
            <w:tcW w:w="1071" w:type="pct"/>
            <w:vAlign w:val="center"/>
          </w:tcPr>
          <w:p w14:paraId="6B978AAB">
            <w:pPr>
              <w:snapToGrid w:val="0"/>
              <w:spacing w:line="264" w:lineRule="auto"/>
              <w:rPr>
                <w:rFonts w:ascii="宋体" w:hAnsi="宋体"/>
                <w:color w:val="FF0000"/>
                <w:sz w:val="24"/>
              </w:rPr>
            </w:pPr>
          </w:p>
        </w:tc>
        <w:tc>
          <w:tcPr>
            <w:tcW w:w="1848" w:type="pct"/>
            <w:vAlign w:val="center"/>
          </w:tcPr>
          <w:p w14:paraId="2FAFA40E">
            <w:pPr>
              <w:snapToGrid w:val="0"/>
              <w:spacing w:line="264" w:lineRule="auto"/>
              <w:rPr>
                <w:rFonts w:ascii="宋体" w:hAnsi="宋体"/>
                <w:color w:val="FF0000"/>
                <w:sz w:val="24"/>
              </w:rPr>
            </w:pPr>
          </w:p>
        </w:tc>
        <w:tc>
          <w:tcPr>
            <w:tcW w:w="1678" w:type="pct"/>
            <w:vAlign w:val="center"/>
          </w:tcPr>
          <w:p w14:paraId="00357027">
            <w:pPr>
              <w:snapToGrid w:val="0"/>
              <w:spacing w:line="264" w:lineRule="auto"/>
              <w:jc w:val="center"/>
              <w:rPr>
                <w:rFonts w:ascii="宋体" w:hAnsi="宋体"/>
                <w:sz w:val="24"/>
              </w:rPr>
            </w:pPr>
            <w:r>
              <w:rPr>
                <w:rFonts w:hint="eastAsia" w:ascii="宋体" w:hAnsi="宋体"/>
                <w:sz w:val="24"/>
              </w:rPr>
              <w:t>第（ ）页-（ ）页</w:t>
            </w:r>
          </w:p>
        </w:tc>
      </w:tr>
      <w:tr w14:paraId="7466B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5CADB732">
            <w:pPr>
              <w:numPr>
                <w:ilvl w:val="0"/>
                <w:numId w:val="89"/>
              </w:numPr>
              <w:snapToGrid w:val="0"/>
              <w:spacing w:line="264" w:lineRule="auto"/>
              <w:rPr>
                <w:rFonts w:ascii="宋体" w:hAnsi="宋体"/>
                <w:sz w:val="24"/>
              </w:rPr>
            </w:pPr>
          </w:p>
        </w:tc>
        <w:tc>
          <w:tcPr>
            <w:tcW w:w="1071" w:type="pct"/>
            <w:vAlign w:val="center"/>
          </w:tcPr>
          <w:p w14:paraId="0F59D6FA">
            <w:pPr>
              <w:snapToGrid w:val="0"/>
              <w:spacing w:line="264" w:lineRule="auto"/>
              <w:rPr>
                <w:rFonts w:ascii="宋体" w:hAnsi="宋体"/>
                <w:color w:val="FF0000"/>
                <w:sz w:val="24"/>
              </w:rPr>
            </w:pPr>
          </w:p>
        </w:tc>
        <w:tc>
          <w:tcPr>
            <w:tcW w:w="1848" w:type="pct"/>
            <w:vAlign w:val="center"/>
          </w:tcPr>
          <w:p w14:paraId="0498F82F">
            <w:pPr>
              <w:snapToGrid w:val="0"/>
              <w:spacing w:line="264" w:lineRule="auto"/>
              <w:rPr>
                <w:rFonts w:ascii="宋体" w:hAnsi="宋体"/>
                <w:color w:val="FF0000"/>
                <w:sz w:val="24"/>
              </w:rPr>
            </w:pPr>
          </w:p>
        </w:tc>
        <w:tc>
          <w:tcPr>
            <w:tcW w:w="1678" w:type="pct"/>
            <w:vAlign w:val="center"/>
          </w:tcPr>
          <w:p w14:paraId="7B75E1DC">
            <w:pPr>
              <w:snapToGrid w:val="0"/>
              <w:spacing w:line="264" w:lineRule="auto"/>
              <w:jc w:val="center"/>
              <w:rPr>
                <w:rFonts w:ascii="宋体" w:hAnsi="宋体"/>
                <w:sz w:val="24"/>
              </w:rPr>
            </w:pPr>
            <w:r>
              <w:rPr>
                <w:rFonts w:hint="eastAsia" w:ascii="宋体" w:hAnsi="宋体"/>
                <w:sz w:val="24"/>
              </w:rPr>
              <w:t>第（ ）页-（ ）页</w:t>
            </w:r>
          </w:p>
        </w:tc>
      </w:tr>
      <w:tr w14:paraId="6F130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247B9026">
            <w:pPr>
              <w:numPr>
                <w:ilvl w:val="0"/>
                <w:numId w:val="89"/>
              </w:numPr>
              <w:snapToGrid w:val="0"/>
              <w:spacing w:line="264" w:lineRule="auto"/>
              <w:rPr>
                <w:rFonts w:ascii="宋体" w:hAnsi="宋体"/>
                <w:sz w:val="24"/>
              </w:rPr>
            </w:pPr>
          </w:p>
        </w:tc>
        <w:tc>
          <w:tcPr>
            <w:tcW w:w="1071" w:type="pct"/>
            <w:vAlign w:val="center"/>
          </w:tcPr>
          <w:p w14:paraId="3355C2EB">
            <w:pPr>
              <w:snapToGrid w:val="0"/>
              <w:spacing w:line="264" w:lineRule="auto"/>
              <w:rPr>
                <w:rFonts w:ascii="宋体" w:hAnsi="宋体"/>
                <w:color w:val="FF0000"/>
                <w:sz w:val="24"/>
              </w:rPr>
            </w:pPr>
          </w:p>
        </w:tc>
        <w:tc>
          <w:tcPr>
            <w:tcW w:w="1848" w:type="pct"/>
            <w:vAlign w:val="center"/>
          </w:tcPr>
          <w:p w14:paraId="7C23854A">
            <w:pPr>
              <w:snapToGrid w:val="0"/>
              <w:spacing w:line="264" w:lineRule="auto"/>
              <w:rPr>
                <w:rFonts w:ascii="宋体" w:hAnsi="宋体"/>
                <w:color w:val="FF0000"/>
                <w:sz w:val="24"/>
              </w:rPr>
            </w:pPr>
          </w:p>
        </w:tc>
        <w:tc>
          <w:tcPr>
            <w:tcW w:w="1678" w:type="pct"/>
            <w:vAlign w:val="center"/>
          </w:tcPr>
          <w:p w14:paraId="79BD5281">
            <w:pPr>
              <w:snapToGrid w:val="0"/>
              <w:spacing w:line="264" w:lineRule="auto"/>
              <w:jc w:val="center"/>
              <w:rPr>
                <w:rFonts w:ascii="宋体" w:hAnsi="宋体"/>
                <w:sz w:val="24"/>
              </w:rPr>
            </w:pPr>
            <w:r>
              <w:rPr>
                <w:rFonts w:hint="eastAsia" w:ascii="宋体" w:hAnsi="宋体"/>
                <w:sz w:val="24"/>
              </w:rPr>
              <w:t>第（ ）页-（ ）页</w:t>
            </w:r>
          </w:p>
        </w:tc>
      </w:tr>
      <w:tr w14:paraId="6A4D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8994395">
            <w:pPr>
              <w:numPr>
                <w:ilvl w:val="0"/>
                <w:numId w:val="89"/>
              </w:numPr>
              <w:snapToGrid w:val="0"/>
              <w:spacing w:line="264" w:lineRule="auto"/>
              <w:rPr>
                <w:rFonts w:ascii="宋体" w:hAnsi="宋体"/>
                <w:sz w:val="24"/>
              </w:rPr>
            </w:pPr>
          </w:p>
        </w:tc>
        <w:tc>
          <w:tcPr>
            <w:tcW w:w="1071" w:type="pct"/>
            <w:vAlign w:val="center"/>
          </w:tcPr>
          <w:p w14:paraId="3AC28378">
            <w:pPr>
              <w:snapToGrid w:val="0"/>
              <w:spacing w:line="264" w:lineRule="auto"/>
              <w:rPr>
                <w:rFonts w:ascii="宋体" w:hAnsi="宋体"/>
                <w:color w:val="FF0000"/>
                <w:sz w:val="24"/>
              </w:rPr>
            </w:pPr>
          </w:p>
        </w:tc>
        <w:tc>
          <w:tcPr>
            <w:tcW w:w="1848" w:type="pct"/>
            <w:vAlign w:val="center"/>
          </w:tcPr>
          <w:p w14:paraId="533A725A">
            <w:pPr>
              <w:snapToGrid w:val="0"/>
              <w:spacing w:line="264" w:lineRule="auto"/>
              <w:rPr>
                <w:rFonts w:ascii="宋体" w:hAnsi="宋体"/>
                <w:color w:val="FF0000"/>
                <w:sz w:val="24"/>
              </w:rPr>
            </w:pPr>
          </w:p>
        </w:tc>
        <w:tc>
          <w:tcPr>
            <w:tcW w:w="1678" w:type="pct"/>
            <w:vAlign w:val="center"/>
          </w:tcPr>
          <w:p w14:paraId="0441C5C9">
            <w:pPr>
              <w:snapToGrid w:val="0"/>
              <w:spacing w:line="264" w:lineRule="auto"/>
              <w:jc w:val="center"/>
              <w:rPr>
                <w:rFonts w:ascii="宋体" w:hAnsi="宋体"/>
                <w:sz w:val="24"/>
              </w:rPr>
            </w:pPr>
            <w:r>
              <w:rPr>
                <w:rFonts w:hint="eastAsia" w:ascii="宋体" w:hAnsi="宋体"/>
                <w:sz w:val="24"/>
              </w:rPr>
              <w:t>第（ ）页-（ ）页</w:t>
            </w:r>
          </w:p>
        </w:tc>
      </w:tr>
      <w:tr w14:paraId="4DA9F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14:paraId="3311D1CA">
            <w:pPr>
              <w:snapToGrid w:val="0"/>
              <w:spacing w:line="264" w:lineRule="auto"/>
              <w:jc w:val="center"/>
              <w:rPr>
                <w:rFonts w:ascii="宋体" w:hAnsi="宋体"/>
                <w:b/>
                <w:szCs w:val="21"/>
              </w:rPr>
            </w:pPr>
            <w:r>
              <w:rPr>
                <w:rFonts w:hint="eastAsia" w:ascii="宋体" w:hAnsi="宋体"/>
                <w:b/>
                <w:sz w:val="30"/>
                <w:szCs w:val="30"/>
              </w:rPr>
              <w:t>其他内容资料</w:t>
            </w:r>
          </w:p>
        </w:tc>
      </w:tr>
      <w:tr w14:paraId="39888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0C148161">
            <w:pPr>
              <w:numPr>
                <w:ilvl w:val="0"/>
                <w:numId w:val="90"/>
              </w:numPr>
              <w:snapToGrid w:val="0"/>
              <w:spacing w:line="264" w:lineRule="auto"/>
              <w:rPr>
                <w:rFonts w:ascii="宋体" w:hAnsi="宋体"/>
                <w:sz w:val="24"/>
              </w:rPr>
            </w:pPr>
          </w:p>
        </w:tc>
        <w:tc>
          <w:tcPr>
            <w:tcW w:w="2919" w:type="pct"/>
            <w:gridSpan w:val="2"/>
            <w:vAlign w:val="center"/>
          </w:tcPr>
          <w:p w14:paraId="09B41B4B">
            <w:pPr>
              <w:snapToGrid w:val="0"/>
              <w:spacing w:line="264" w:lineRule="auto"/>
              <w:rPr>
                <w:rFonts w:hint="eastAsia" w:hAnsi="宋体" w:eastAsia="宋体" w:cs="Courier New"/>
                <w:sz w:val="24"/>
                <w:lang w:eastAsia="zh-CN"/>
              </w:rPr>
            </w:pPr>
            <w:r>
              <w:rPr>
                <w:rFonts w:hint="eastAsia" w:hAnsi="宋体" w:cs="Courier New"/>
                <w:sz w:val="24"/>
              </w:rPr>
              <w:t>公章对投标专用章授权说明</w:t>
            </w:r>
            <w:r>
              <w:rPr>
                <w:rFonts w:hint="eastAsia" w:hAnsi="宋体" w:cs="Courier New"/>
                <w:sz w:val="24"/>
                <w:lang w:eastAsia="zh-CN"/>
              </w:rPr>
              <w:t>（</w:t>
            </w:r>
            <w:r>
              <w:rPr>
                <w:rFonts w:hint="eastAsia" w:hAnsi="宋体" w:cs="Courier New"/>
                <w:sz w:val="24"/>
                <w:lang w:val="en-US" w:eastAsia="zh-CN"/>
              </w:rPr>
              <w:t>如有</w:t>
            </w:r>
            <w:r>
              <w:rPr>
                <w:rFonts w:hint="eastAsia" w:hAnsi="宋体" w:cs="Courier New"/>
                <w:sz w:val="24"/>
                <w:lang w:eastAsia="zh-CN"/>
              </w:rPr>
              <w:t>）</w:t>
            </w:r>
          </w:p>
        </w:tc>
        <w:tc>
          <w:tcPr>
            <w:tcW w:w="1678" w:type="pct"/>
            <w:vAlign w:val="center"/>
          </w:tcPr>
          <w:p w14:paraId="5D87B06F">
            <w:pPr>
              <w:snapToGrid w:val="0"/>
              <w:spacing w:line="264" w:lineRule="auto"/>
              <w:jc w:val="center"/>
              <w:rPr>
                <w:rFonts w:ascii="宋体" w:hAnsi="宋体"/>
                <w:sz w:val="24"/>
              </w:rPr>
            </w:pPr>
            <w:r>
              <w:rPr>
                <w:rFonts w:hint="eastAsia" w:ascii="宋体" w:hAnsi="宋体"/>
                <w:sz w:val="24"/>
              </w:rPr>
              <w:t>第（ ）页</w:t>
            </w:r>
          </w:p>
        </w:tc>
      </w:tr>
      <w:tr w14:paraId="3C14F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5E0486F">
            <w:pPr>
              <w:numPr>
                <w:ilvl w:val="0"/>
                <w:numId w:val="90"/>
              </w:numPr>
              <w:snapToGrid w:val="0"/>
              <w:spacing w:line="264" w:lineRule="auto"/>
              <w:rPr>
                <w:rFonts w:ascii="宋体" w:hAnsi="宋体"/>
                <w:sz w:val="24"/>
              </w:rPr>
            </w:pPr>
          </w:p>
        </w:tc>
        <w:tc>
          <w:tcPr>
            <w:tcW w:w="2919" w:type="pct"/>
            <w:gridSpan w:val="2"/>
            <w:vAlign w:val="center"/>
          </w:tcPr>
          <w:p w14:paraId="484798D9">
            <w:pPr>
              <w:snapToGrid w:val="0"/>
              <w:spacing w:line="264" w:lineRule="auto"/>
              <w:rPr>
                <w:rFonts w:ascii="宋体" w:hAnsi="宋体" w:cs="宋体"/>
                <w:color w:val="000000"/>
                <w:sz w:val="24"/>
                <w:szCs w:val="24"/>
              </w:rPr>
            </w:pPr>
            <w:r>
              <w:rPr>
                <w:rFonts w:hint="eastAsia" w:ascii="宋体" w:hAnsi="宋体" w:cs="宋体"/>
                <w:color w:val="000000"/>
                <w:sz w:val="24"/>
                <w:szCs w:val="24"/>
              </w:rPr>
              <w:t>采购需求条款响应一览表</w:t>
            </w:r>
          </w:p>
        </w:tc>
        <w:tc>
          <w:tcPr>
            <w:tcW w:w="1678" w:type="pct"/>
            <w:vAlign w:val="center"/>
          </w:tcPr>
          <w:p w14:paraId="7DBFA474">
            <w:pPr>
              <w:snapToGrid w:val="0"/>
              <w:spacing w:line="264" w:lineRule="auto"/>
              <w:jc w:val="center"/>
              <w:rPr>
                <w:rFonts w:ascii="宋体" w:hAnsi="宋体"/>
                <w:sz w:val="24"/>
              </w:rPr>
            </w:pPr>
            <w:r>
              <w:rPr>
                <w:rFonts w:hint="eastAsia" w:ascii="宋体" w:hAnsi="宋体"/>
                <w:sz w:val="24"/>
              </w:rPr>
              <w:t>第（ ）页</w:t>
            </w:r>
          </w:p>
        </w:tc>
      </w:tr>
      <w:tr w14:paraId="797C4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0C6EF1F5">
            <w:pPr>
              <w:numPr>
                <w:ilvl w:val="0"/>
                <w:numId w:val="90"/>
              </w:numPr>
              <w:snapToGrid w:val="0"/>
              <w:spacing w:line="264" w:lineRule="auto"/>
              <w:rPr>
                <w:rFonts w:ascii="宋体" w:hAnsi="宋体"/>
                <w:sz w:val="24"/>
              </w:rPr>
            </w:pPr>
          </w:p>
        </w:tc>
        <w:tc>
          <w:tcPr>
            <w:tcW w:w="2919" w:type="pct"/>
            <w:gridSpan w:val="2"/>
            <w:vAlign w:val="center"/>
          </w:tcPr>
          <w:p w14:paraId="4B0524CC">
            <w:pPr>
              <w:snapToGrid w:val="0"/>
              <w:spacing w:line="264" w:lineRule="auto"/>
              <w:rPr>
                <w:rFonts w:ascii="宋体" w:hAnsi="宋体" w:cs="宋体"/>
                <w:color w:val="000000"/>
                <w:sz w:val="24"/>
                <w:szCs w:val="24"/>
              </w:rPr>
            </w:pPr>
            <w:r>
              <w:rPr>
                <w:rFonts w:hint="eastAsia" w:ascii="宋体" w:hAnsi="宋体" w:cs="宋体"/>
                <w:color w:val="000000"/>
                <w:sz w:val="24"/>
                <w:szCs w:val="24"/>
              </w:rPr>
              <w:t>承诺函</w:t>
            </w:r>
          </w:p>
        </w:tc>
        <w:tc>
          <w:tcPr>
            <w:tcW w:w="1678" w:type="pct"/>
            <w:vAlign w:val="center"/>
          </w:tcPr>
          <w:p w14:paraId="1F61796F">
            <w:pPr>
              <w:snapToGrid w:val="0"/>
              <w:spacing w:line="264" w:lineRule="auto"/>
              <w:jc w:val="center"/>
              <w:rPr>
                <w:rFonts w:ascii="宋体" w:hAnsi="宋体"/>
                <w:sz w:val="24"/>
              </w:rPr>
            </w:pPr>
            <w:r>
              <w:rPr>
                <w:rFonts w:hint="eastAsia" w:ascii="宋体" w:hAnsi="宋体"/>
                <w:sz w:val="24"/>
              </w:rPr>
              <w:t>第（ ）页</w:t>
            </w:r>
          </w:p>
        </w:tc>
      </w:tr>
      <w:tr w14:paraId="708BF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30376D2E">
            <w:pPr>
              <w:numPr>
                <w:ilvl w:val="0"/>
                <w:numId w:val="90"/>
              </w:numPr>
              <w:snapToGrid w:val="0"/>
              <w:spacing w:line="264" w:lineRule="auto"/>
              <w:rPr>
                <w:rFonts w:ascii="宋体" w:hAnsi="宋体"/>
                <w:sz w:val="24"/>
              </w:rPr>
            </w:pPr>
          </w:p>
        </w:tc>
        <w:tc>
          <w:tcPr>
            <w:tcW w:w="2919" w:type="pct"/>
            <w:gridSpan w:val="2"/>
            <w:vAlign w:val="center"/>
          </w:tcPr>
          <w:p w14:paraId="596451DB">
            <w:pPr>
              <w:snapToGrid w:val="0"/>
              <w:spacing w:line="264" w:lineRule="auto"/>
              <w:rPr>
                <w:rFonts w:ascii="宋体" w:hAnsi="宋体" w:cs="宋体"/>
                <w:color w:val="000000"/>
                <w:sz w:val="24"/>
                <w:szCs w:val="24"/>
              </w:rPr>
            </w:pPr>
            <w:r>
              <w:rPr>
                <w:rFonts w:hint="eastAsia" w:ascii="宋体" w:hAnsi="宋体" w:cs="宋体"/>
                <w:color w:val="000000"/>
                <w:sz w:val="24"/>
                <w:szCs w:val="24"/>
              </w:rPr>
              <w:t>开标一览表(报价表)</w:t>
            </w:r>
          </w:p>
        </w:tc>
        <w:tc>
          <w:tcPr>
            <w:tcW w:w="1678" w:type="pct"/>
            <w:vAlign w:val="center"/>
          </w:tcPr>
          <w:p w14:paraId="78A517B8">
            <w:pPr>
              <w:snapToGrid w:val="0"/>
              <w:spacing w:line="264" w:lineRule="auto"/>
              <w:jc w:val="center"/>
              <w:rPr>
                <w:rFonts w:ascii="宋体" w:hAnsi="宋体"/>
                <w:sz w:val="24"/>
              </w:rPr>
            </w:pPr>
            <w:r>
              <w:rPr>
                <w:rFonts w:hint="eastAsia" w:ascii="宋体" w:hAnsi="宋体"/>
                <w:sz w:val="24"/>
              </w:rPr>
              <w:t>第（ ）页</w:t>
            </w:r>
          </w:p>
        </w:tc>
      </w:tr>
      <w:tr w14:paraId="2F840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2F5B063">
            <w:pPr>
              <w:numPr>
                <w:ilvl w:val="0"/>
                <w:numId w:val="90"/>
              </w:numPr>
              <w:snapToGrid w:val="0"/>
              <w:spacing w:line="264" w:lineRule="auto"/>
              <w:rPr>
                <w:rFonts w:ascii="宋体" w:hAnsi="宋体"/>
                <w:sz w:val="24"/>
              </w:rPr>
            </w:pPr>
          </w:p>
        </w:tc>
        <w:tc>
          <w:tcPr>
            <w:tcW w:w="2919" w:type="pct"/>
            <w:gridSpan w:val="2"/>
            <w:vAlign w:val="center"/>
          </w:tcPr>
          <w:p w14:paraId="667CADBD">
            <w:pPr>
              <w:snapToGrid w:val="0"/>
              <w:spacing w:line="264" w:lineRule="auto"/>
              <w:rPr>
                <w:rFonts w:ascii="宋体" w:hAnsi="宋体" w:cs="宋体"/>
                <w:color w:val="000000"/>
                <w:sz w:val="24"/>
                <w:szCs w:val="24"/>
              </w:rPr>
            </w:pPr>
            <w:r>
              <w:rPr>
                <w:rFonts w:hint="eastAsia" w:ascii="宋体" w:hAnsi="宋体" w:cs="宋体"/>
                <w:color w:val="000000"/>
                <w:sz w:val="24"/>
                <w:szCs w:val="24"/>
              </w:rPr>
              <w:t>技术服务方案</w:t>
            </w:r>
          </w:p>
        </w:tc>
        <w:tc>
          <w:tcPr>
            <w:tcW w:w="1678" w:type="pct"/>
            <w:vAlign w:val="center"/>
          </w:tcPr>
          <w:p w14:paraId="58221B74">
            <w:pPr>
              <w:snapToGrid w:val="0"/>
              <w:spacing w:line="264" w:lineRule="auto"/>
              <w:jc w:val="center"/>
              <w:rPr>
                <w:rFonts w:ascii="宋体" w:hAnsi="宋体"/>
                <w:sz w:val="24"/>
              </w:rPr>
            </w:pPr>
            <w:r>
              <w:rPr>
                <w:rFonts w:hint="eastAsia" w:ascii="宋体" w:hAnsi="宋体"/>
                <w:sz w:val="24"/>
              </w:rPr>
              <w:t>第（ ）页</w:t>
            </w:r>
          </w:p>
        </w:tc>
      </w:tr>
      <w:tr w14:paraId="0AF28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77B19056">
            <w:pPr>
              <w:numPr>
                <w:ilvl w:val="0"/>
                <w:numId w:val="90"/>
              </w:numPr>
              <w:snapToGrid w:val="0"/>
              <w:spacing w:line="264" w:lineRule="auto"/>
              <w:rPr>
                <w:rFonts w:ascii="宋体" w:hAnsi="宋体"/>
                <w:sz w:val="24"/>
              </w:rPr>
            </w:pPr>
          </w:p>
        </w:tc>
        <w:tc>
          <w:tcPr>
            <w:tcW w:w="2919" w:type="pct"/>
            <w:gridSpan w:val="2"/>
            <w:vAlign w:val="center"/>
          </w:tcPr>
          <w:p w14:paraId="71FB2282">
            <w:pPr>
              <w:snapToGrid w:val="0"/>
              <w:spacing w:line="264" w:lineRule="auto"/>
              <w:rPr>
                <w:rFonts w:ascii="宋体" w:hAnsi="宋体" w:cs="宋体"/>
                <w:color w:val="000000"/>
                <w:sz w:val="24"/>
                <w:szCs w:val="24"/>
              </w:rPr>
            </w:pPr>
            <w:r>
              <w:rPr>
                <w:rFonts w:hint="eastAsia" w:ascii="宋体" w:hAnsi="宋体" w:cs="宋体"/>
                <w:color w:val="000000"/>
                <w:sz w:val="24"/>
                <w:szCs w:val="24"/>
              </w:rPr>
              <w:t>投标人基本情况表</w:t>
            </w:r>
          </w:p>
        </w:tc>
        <w:tc>
          <w:tcPr>
            <w:tcW w:w="1678" w:type="pct"/>
            <w:vAlign w:val="center"/>
          </w:tcPr>
          <w:p w14:paraId="4A67CB63">
            <w:pPr>
              <w:snapToGrid w:val="0"/>
              <w:spacing w:line="264" w:lineRule="auto"/>
              <w:jc w:val="center"/>
              <w:rPr>
                <w:rFonts w:ascii="宋体" w:hAnsi="宋体"/>
                <w:sz w:val="24"/>
              </w:rPr>
            </w:pPr>
            <w:r>
              <w:rPr>
                <w:rFonts w:hint="eastAsia" w:ascii="宋体" w:hAnsi="宋体"/>
                <w:sz w:val="24"/>
              </w:rPr>
              <w:t>第（ ）页</w:t>
            </w:r>
          </w:p>
        </w:tc>
      </w:tr>
      <w:tr w14:paraId="20172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1426C8C4">
            <w:pPr>
              <w:numPr>
                <w:ilvl w:val="0"/>
                <w:numId w:val="90"/>
              </w:numPr>
              <w:snapToGrid w:val="0"/>
              <w:spacing w:line="264" w:lineRule="auto"/>
              <w:rPr>
                <w:rFonts w:ascii="宋体" w:hAnsi="宋体"/>
                <w:sz w:val="24"/>
              </w:rPr>
            </w:pPr>
          </w:p>
        </w:tc>
        <w:tc>
          <w:tcPr>
            <w:tcW w:w="2919" w:type="pct"/>
            <w:gridSpan w:val="2"/>
            <w:vAlign w:val="center"/>
          </w:tcPr>
          <w:p w14:paraId="2EF0C578">
            <w:pPr>
              <w:snapToGrid w:val="0"/>
              <w:spacing w:line="264" w:lineRule="auto"/>
              <w:rPr>
                <w:rFonts w:ascii="宋体" w:hAnsi="宋体" w:cs="宋体"/>
                <w:color w:val="000000"/>
                <w:sz w:val="24"/>
                <w:szCs w:val="24"/>
              </w:rPr>
            </w:pPr>
            <w:r>
              <w:rPr>
                <w:rFonts w:hint="eastAsia" w:ascii="宋体" w:hAnsi="宋体" w:cs="宋体"/>
                <w:color w:val="000000"/>
                <w:sz w:val="24"/>
                <w:szCs w:val="24"/>
              </w:rPr>
              <w:t>同类项目情况一览表</w:t>
            </w:r>
          </w:p>
        </w:tc>
        <w:tc>
          <w:tcPr>
            <w:tcW w:w="1678" w:type="pct"/>
            <w:vAlign w:val="center"/>
          </w:tcPr>
          <w:p w14:paraId="65D46442">
            <w:pPr>
              <w:snapToGrid w:val="0"/>
              <w:spacing w:line="264" w:lineRule="auto"/>
              <w:jc w:val="center"/>
              <w:rPr>
                <w:rFonts w:ascii="宋体" w:hAnsi="宋体"/>
                <w:sz w:val="24"/>
              </w:rPr>
            </w:pPr>
            <w:r>
              <w:rPr>
                <w:rFonts w:hint="eastAsia" w:ascii="宋体" w:hAnsi="宋体"/>
                <w:sz w:val="24"/>
              </w:rPr>
              <w:t>第（ ）页</w:t>
            </w:r>
          </w:p>
        </w:tc>
      </w:tr>
      <w:tr w14:paraId="3914B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330FEE33">
            <w:pPr>
              <w:numPr>
                <w:ilvl w:val="0"/>
                <w:numId w:val="90"/>
              </w:numPr>
              <w:snapToGrid w:val="0"/>
              <w:spacing w:line="264" w:lineRule="auto"/>
              <w:rPr>
                <w:rFonts w:ascii="宋体" w:hAnsi="宋体"/>
                <w:sz w:val="24"/>
              </w:rPr>
            </w:pPr>
          </w:p>
        </w:tc>
        <w:tc>
          <w:tcPr>
            <w:tcW w:w="2919" w:type="pct"/>
            <w:gridSpan w:val="2"/>
            <w:vAlign w:val="center"/>
          </w:tcPr>
          <w:p w14:paraId="0531DDE4">
            <w:pPr>
              <w:snapToGrid w:val="0"/>
              <w:spacing w:line="264" w:lineRule="auto"/>
              <w:rPr>
                <w:rFonts w:ascii="宋体" w:hAnsi="宋体" w:cs="宋体"/>
                <w:color w:val="000000"/>
                <w:sz w:val="24"/>
                <w:szCs w:val="24"/>
              </w:rPr>
            </w:pPr>
            <w:r>
              <w:rPr>
                <w:rFonts w:hint="eastAsia" w:ascii="宋体" w:hAnsi="宋体" w:cs="宋体"/>
                <w:color w:val="000000"/>
                <w:sz w:val="24"/>
                <w:szCs w:val="24"/>
              </w:rPr>
              <w:t>项目经理及管理技术人员一览表</w:t>
            </w:r>
          </w:p>
        </w:tc>
        <w:tc>
          <w:tcPr>
            <w:tcW w:w="1678" w:type="pct"/>
            <w:vAlign w:val="center"/>
          </w:tcPr>
          <w:p w14:paraId="651A329E">
            <w:pPr>
              <w:snapToGrid w:val="0"/>
              <w:spacing w:line="264" w:lineRule="auto"/>
              <w:jc w:val="center"/>
              <w:rPr>
                <w:rFonts w:ascii="宋体" w:hAnsi="宋体"/>
                <w:sz w:val="24"/>
              </w:rPr>
            </w:pPr>
            <w:r>
              <w:rPr>
                <w:rFonts w:hint="eastAsia" w:ascii="宋体" w:hAnsi="宋体"/>
                <w:sz w:val="24"/>
              </w:rPr>
              <w:t>第（ ）页</w:t>
            </w:r>
          </w:p>
        </w:tc>
      </w:tr>
      <w:tr w14:paraId="64C7F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6B1C749B">
            <w:pPr>
              <w:numPr>
                <w:ilvl w:val="0"/>
                <w:numId w:val="90"/>
              </w:numPr>
              <w:snapToGrid w:val="0"/>
              <w:spacing w:line="264" w:lineRule="auto"/>
              <w:rPr>
                <w:rFonts w:ascii="宋体" w:hAnsi="宋体"/>
                <w:sz w:val="24"/>
              </w:rPr>
            </w:pPr>
          </w:p>
        </w:tc>
        <w:tc>
          <w:tcPr>
            <w:tcW w:w="2919" w:type="pct"/>
            <w:gridSpan w:val="2"/>
            <w:vAlign w:val="center"/>
          </w:tcPr>
          <w:p w14:paraId="3DB23EBE">
            <w:pPr>
              <w:snapToGrid w:val="0"/>
              <w:spacing w:line="264" w:lineRule="auto"/>
              <w:rPr>
                <w:rFonts w:ascii="宋体" w:hAnsi="宋体" w:cs="宋体"/>
                <w:color w:val="000000"/>
                <w:sz w:val="24"/>
                <w:szCs w:val="24"/>
              </w:rPr>
            </w:pPr>
            <w:r>
              <w:rPr>
                <w:rFonts w:hint="eastAsia" w:ascii="宋体" w:hAnsi="宋体" w:cs="宋体"/>
                <w:color w:val="000000"/>
                <w:sz w:val="24"/>
                <w:szCs w:val="24"/>
              </w:rPr>
              <w:t>投标人证书一览表</w:t>
            </w:r>
          </w:p>
        </w:tc>
        <w:tc>
          <w:tcPr>
            <w:tcW w:w="1678" w:type="pct"/>
            <w:vAlign w:val="center"/>
          </w:tcPr>
          <w:p w14:paraId="7A1DD02B">
            <w:pPr>
              <w:snapToGrid w:val="0"/>
              <w:spacing w:line="264" w:lineRule="auto"/>
              <w:jc w:val="center"/>
              <w:rPr>
                <w:rFonts w:ascii="宋体" w:hAnsi="宋体"/>
                <w:sz w:val="24"/>
              </w:rPr>
            </w:pPr>
            <w:r>
              <w:rPr>
                <w:rFonts w:hint="eastAsia" w:ascii="宋体" w:hAnsi="宋体"/>
                <w:sz w:val="24"/>
              </w:rPr>
              <w:t>第（ ）页</w:t>
            </w:r>
          </w:p>
        </w:tc>
      </w:tr>
      <w:tr w14:paraId="347CE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E6FCB9D">
            <w:pPr>
              <w:numPr>
                <w:ilvl w:val="0"/>
                <w:numId w:val="90"/>
              </w:numPr>
              <w:snapToGrid w:val="0"/>
              <w:spacing w:line="264" w:lineRule="auto"/>
              <w:rPr>
                <w:rFonts w:ascii="宋体" w:hAnsi="宋体"/>
                <w:sz w:val="24"/>
              </w:rPr>
            </w:pPr>
          </w:p>
        </w:tc>
        <w:tc>
          <w:tcPr>
            <w:tcW w:w="2919" w:type="pct"/>
            <w:gridSpan w:val="2"/>
            <w:vAlign w:val="center"/>
          </w:tcPr>
          <w:p w14:paraId="31E31B28">
            <w:pPr>
              <w:snapToGrid w:val="0"/>
              <w:spacing w:line="264" w:lineRule="auto"/>
              <w:rPr>
                <w:rFonts w:ascii="宋体" w:hAnsi="宋体" w:cs="宋体"/>
                <w:color w:val="000000"/>
                <w:sz w:val="24"/>
                <w:szCs w:val="24"/>
              </w:rPr>
            </w:pPr>
            <w:r>
              <w:rPr>
                <w:rFonts w:hint="eastAsia" w:ascii="宋体" w:hAnsi="宋体" w:cs="宋体"/>
                <w:color w:val="000000"/>
                <w:sz w:val="24"/>
                <w:szCs w:val="24"/>
              </w:rPr>
              <w:t>招标代理服务费承诺书</w:t>
            </w:r>
          </w:p>
        </w:tc>
        <w:tc>
          <w:tcPr>
            <w:tcW w:w="1678" w:type="pct"/>
            <w:vAlign w:val="center"/>
          </w:tcPr>
          <w:p w14:paraId="70958E31">
            <w:pPr>
              <w:snapToGrid w:val="0"/>
              <w:spacing w:line="264" w:lineRule="auto"/>
              <w:jc w:val="center"/>
              <w:rPr>
                <w:rFonts w:ascii="宋体" w:hAnsi="宋体"/>
                <w:sz w:val="24"/>
              </w:rPr>
            </w:pPr>
            <w:r>
              <w:rPr>
                <w:rFonts w:hint="eastAsia" w:ascii="宋体" w:hAnsi="宋体"/>
                <w:sz w:val="24"/>
              </w:rPr>
              <w:t>第（ ）页</w:t>
            </w:r>
          </w:p>
        </w:tc>
      </w:tr>
      <w:tr w14:paraId="60C47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365C1E5A">
            <w:pPr>
              <w:numPr>
                <w:ilvl w:val="0"/>
                <w:numId w:val="90"/>
              </w:numPr>
              <w:snapToGrid w:val="0"/>
              <w:spacing w:line="264" w:lineRule="auto"/>
              <w:rPr>
                <w:rFonts w:ascii="宋体" w:hAnsi="宋体"/>
                <w:sz w:val="24"/>
              </w:rPr>
            </w:pPr>
          </w:p>
        </w:tc>
        <w:tc>
          <w:tcPr>
            <w:tcW w:w="2919" w:type="pct"/>
            <w:gridSpan w:val="2"/>
            <w:vAlign w:val="center"/>
          </w:tcPr>
          <w:p w14:paraId="07053412">
            <w:pPr>
              <w:snapToGrid w:val="0"/>
              <w:spacing w:line="264" w:lineRule="auto"/>
              <w:rPr>
                <w:rFonts w:ascii="宋体" w:hAnsi="宋体" w:cs="宋体"/>
                <w:color w:val="000000"/>
                <w:sz w:val="24"/>
                <w:szCs w:val="24"/>
              </w:rPr>
            </w:pPr>
            <w:r>
              <w:rPr>
                <w:rFonts w:hint="eastAsia" w:ascii="宋体" w:hAnsi="宋体" w:cs="宋体"/>
                <w:color w:val="000000"/>
                <w:sz w:val="24"/>
                <w:szCs w:val="24"/>
              </w:rPr>
              <w:t>开票资料说明函</w:t>
            </w:r>
          </w:p>
        </w:tc>
        <w:tc>
          <w:tcPr>
            <w:tcW w:w="1678" w:type="pct"/>
            <w:vAlign w:val="center"/>
          </w:tcPr>
          <w:p w14:paraId="6DAB540D">
            <w:pPr>
              <w:snapToGrid w:val="0"/>
              <w:spacing w:line="264" w:lineRule="auto"/>
              <w:jc w:val="center"/>
              <w:rPr>
                <w:rFonts w:ascii="宋体" w:hAnsi="宋体"/>
                <w:sz w:val="24"/>
              </w:rPr>
            </w:pPr>
            <w:r>
              <w:rPr>
                <w:rFonts w:hint="eastAsia" w:ascii="宋体" w:hAnsi="宋体"/>
                <w:sz w:val="24"/>
              </w:rPr>
              <w:t>第（ ）页</w:t>
            </w:r>
          </w:p>
        </w:tc>
      </w:tr>
      <w:tr w14:paraId="0CD5B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vAlign w:val="center"/>
          </w:tcPr>
          <w:p w14:paraId="09974F9C">
            <w:pPr>
              <w:snapToGrid w:val="0"/>
              <w:spacing w:line="264" w:lineRule="auto"/>
              <w:jc w:val="center"/>
              <w:rPr>
                <w:rFonts w:ascii="宋体" w:hAnsi="宋体" w:cs="宋体"/>
                <w:b/>
                <w:color w:val="000000"/>
                <w:sz w:val="24"/>
                <w:szCs w:val="24"/>
              </w:rPr>
            </w:pPr>
            <w:r>
              <w:rPr>
                <w:rFonts w:hint="eastAsia" w:ascii="宋体" w:hAnsi="宋体" w:cs="宋体"/>
                <w:b/>
                <w:color w:val="000000"/>
                <w:sz w:val="24"/>
                <w:szCs w:val="24"/>
              </w:rPr>
              <w:t>单独密封资料</w:t>
            </w:r>
          </w:p>
        </w:tc>
      </w:tr>
      <w:tr w14:paraId="770D1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0F5D9DDD">
            <w:pPr>
              <w:numPr>
                <w:ilvl w:val="0"/>
                <w:numId w:val="91"/>
              </w:numPr>
              <w:snapToGrid w:val="0"/>
              <w:spacing w:line="264" w:lineRule="auto"/>
              <w:rPr>
                <w:rFonts w:ascii="宋体" w:hAnsi="宋体"/>
                <w:sz w:val="24"/>
              </w:rPr>
            </w:pPr>
          </w:p>
        </w:tc>
        <w:tc>
          <w:tcPr>
            <w:tcW w:w="2919" w:type="pct"/>
            <w:gridSpan w:val="2"/>
            <w:vAlign w:val="center"/>
          </w:tcPr>
          <w:p w14:paraId="157DE7F4">
            <w:pPr>
              <w:snapToGrid w:val="0"/>
              <w:spacing w:line="264" w:lineRule="auto"/>
              <w:rPr>
                <w:rFonts w:ascii="宋体" w:hAnsi="宋体" w:cs="宋体"/>
                <w:color w:val="000000"/>
                <w:sz w:val="24"/>
                <w:szCs w:val="24"/>
              </w:rPr>
            </w:pPr>
            <w:r>
              <w:rPr>
                <w:rFonts w:hint="eastAsia" w:ascii="宋体" w:hAnsi="宋体"/>
                <w:sz w:val="24"/>
              </w:rPr>
              <w:t>开票资料说明函</w:t>
            </w:r>
          </w:p>
        </w:tc>
        <w:tc>
          <w:tcPr>
            <w:tcW w:w="1678" w:type="pct"/>
            <w:vAlign w:val="center"/>
          </w:tcPr>
          <w:p w14:paraId="1A3825C1">
            <w:pPr>
              <w:snapToGrid w:val="0"/>
              <w:spacing w:line="264" w:lineRule="auto"/>
              <w:jc w:val="center"/>
              <w:rPr>
                <w:rFonts w:ascii="宋体" w:hAnsi="宋体"/>
                <w:sz w:val="24"/>
              </w:rPr>
            </w:pPr>
            <w:r>
              <w:rPr>
                <w:rFonts w:hint="eastAsia" w:ascii="宋体" w:hAnsi="宋体"/>
                <w:sz w:val="24"/>
              </w:rPr>
              <w:t>/</w:t>
            </w:r>
          </w:p>
        </w:tc>
      </w:tr>
      <w:tr w14:paraId="51D5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6781B9C8">
            <w:pPr>
              <w:numPr>
                <w:ilvl w:val="0"/>
                <w:numId w:val="91"/>
              </w:numPr>
              <w:snapToGrid w:val="0"/>
              <w:spacing w:line="264" w:lineRule="auto"/>
              <w:rPr>
                <w:rFonts w:ascii="宋体" w:hAnsi="宋体"/>
                <w:sz w:val="24"/>
              </w:rPr>
            </w:pPr>
          </w:p>
        </w:tc>
        <w:tc>
          <w:tcPr>
            <w:tcW w:w="2919" w:type="pct"/>
            <w:gridSpan w:val="2"/>
            <w:vAlign w:val="center"/>
          </w:tcPr>
          <w:p w14:paraId="76C10F6F">
            <w:pPr>
              <w:tabs>
                <w:tab w:val="left" w:pos="459"/>
                <w:tab w:val="left" w:pos="601"/>
              </w:tabs>
              <w:autoSpaceDE/>
              <w:autoSpaceDN/>
              <w:snapToGrid w:val="0"/>
              <w:spacing w:line="360" w:lineRule="atLeast"/>
              <w:jc w:val="both"/>
              <w:textAlignment w:val="baseline"/>
              <w:rPr>
                <w:rFonts w:ascii="宋体" w:hAnsi="宋体"/>
                <w:sz w:val="24"/>
              </w:rPr>
            </w:pPr>
            <w:r>
              <w:rPr>
                <w:rFonts w:hint="eastAsia" w:ascii="宋体" w:hAnsi="宋体"/>
                <w:b/>
                <w:sz w:val="24"/>
              </w:rPr>
              <w:t>一般纳税人资格认定税务通知书或其他可证明具有该项资格证明文件的复印件。（如有）</w:t>
            </w:r>
          </w:p>
        </w:tc>
        <w:tc>
          <w:tcPr>
            <w:tcW w:w="1678" w:type="pct"/>
            <w:vAlign w:val="center"/>
          </w:tcPr>
          <w:p w14:paraId="677A1719">
            <w:pPr>
              <w:snapToGrid w:val="0"/>
              <w:spacing w:line="264" w:lineRule="auto"/>
              <w:jc w:val="center"/>
              <w:rPr>
                <w:rFonts w:ascii="宋体" w:hAnsi="宋体"/>
                <w:sz w:val="24"/>
              </w:rPr>
            </w:pPr>
            <w:r>
              <w:rPr>
                <w:rFonts w:hint="eastAsia" w:ascii="宋体" w:hAnsi="宋体"/>
                <w:sz w:val="24"/>
              </w:rPr>
              <w:t>/</w:t>
            </w:r>
          </w:p>
        </w:tc>
      </w:tr>
      <w:tr w14:paraId="306EF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4BBAFD18">
            <w:pPr>
              <w:numPr>
                <w:ilvl w:val="0"/>
                <w:numId w:val="91"/>
              </w:numPr>
              <w:snapToGrid w:val="0"/>
              <w:spacing w:line="264" w:lineRule="auto"/>
              <w:rPr>
                <w:rFonts w:ascii="宋体" w:hAnsi="宋体"/>
                <w:sz w:val="24"/>
              </w:rPr>
            </w:pPr>
          </w:p>
        </w:tc>
        <w:tc>
          <w:tcPr>
            <w:tcW w:w="2919" w:type="pct"/>
            <w:gridSpan w:val="2"/>
            <w:vAlign w:val="center"/>
          </w:tcPr>
          <w:p w14:paraId="5F8C6DD7">
            <w:pPr>
              <w:snapToGrid w:val="0"/>
              <w:spacing w:line="264" w:lineRule="auto"/>
              <w:rPr>
                <w:rFonts w:ascii="宋体" w:hAnsi="宋体" w:cs="宋体"/>
                <w:color w:val="000000"/>
                <w:sz w:val="24"/>
                <w:szCs w:val="24"/>
              </w:rPr>
            </w:pPr>
            <w:r>
              <w:rPr>
                <w:rFonts w:hint="eastAsia" w:ascii="宋体" w:hAnsi="宋体" w:cs="宋体"/>
                <w:color w:val="000000"/>
                <w:sz w:val="24"/>
                <w:szCs w:val="24"/>
              </w:rPr>
              <w:t>电子文件</w:t>
            </w:r>
          </w:p>
        </w:tc>
        <w:tc>
          <w:tcPr>
            <w:tcW w:w="1678" w:type="pct"/>
            <w:vAlign w:val="center"/>
          </w:tcPr>
          <w:p w14:paraId="295EAF11">
            <w:pPr>
              <w:snapToGrid w:val="0"/>
              <w:spacing w:line="264" w:lineRule="auto"/>
              <w:jc w:val="center"/>
              <w:rPr>
                <w:rFonts w:ascii="宋体" w:hAnsi="宋体"/>
                <w:sz w:val="24"/>
              </w:rPr>
            </w:pPr>
            <w:r>
              <w:rPr>
                <w:rFonts w:hint="eastAsia" w:ascii="宋体" w:hAnsi="宋体"/>
                <w:sz w:val="24"/>
              </w:rPr>
              <w:t>/</w:t>
            </w:r>
          </w:p>
        </w:tc>
      </w:tr>
      <w:tr w14:paraId="5FFE4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vAlign w:val="center"/>
          </w:tcPr>
          <w:p w14:paraId="2B0C2EDF">
            <w:pPr>
              <w:numPr>
                <w:ilvl w:val="0"/>
                <w:numId w:val="91"/>
              </w:numPr>
              <w:snapToGrid w:val="0"/>
              <w:spacing w:line="264" w:lineRule="auto"/>
              <w:rPr>
                <w:rFonts w:ascii="宋体" w:hAnsi="宋体"/>
                <w:sz w:val="24"/>
              </w:rPr>
            </w:pPr>
          </w:p>
        </w:tc>
        <w:tc>
          <w:tcPr>
            <w:tcW w:w="2919" w:type="pct"/>
            <w:gridSpan w:val="2"/>
            <w:vAlign w:val="center"/>
          </w:tcPr>
          <w:p w14:paraId="0D6EDD7B">
            <w:pPr>
              <w:snapToGrid w:val="0"/>
              <w:spacing w:line="264"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rPr>
              <w:t>营业执照（或事业单位法人证书或社会团体法人登记证书等）</w:t>
            </w:r>
            <w:r>
              <w:rPr>
                <w:rFonts w:hint="eastAsia" w:ascii="宋体" w:hAnsi="宋体" w:cs="宋体"/>
                <w:color w:val="000000"/>
                <w:sz w:val="24"/>
                <w:szCs w:val="24"/>
                <w:lang w:val="en-US" w:eastAsia="zh-CN"/>
              </w:rPr>
              <w:t>复印件</w:t>
            </w:r>
          </w:p>
        </w:tc>
        <w:tc>
          <w:tcPr>
            <w:tcW w:w="1678" w:type="pct"/>
            <w:vAlign w:val="center"/>
          </w:tcPr>
          <w:p w14:paraId="7133818F">
            <w:pPr>
              <w:snapToGrid w:val="0"/>
              <w:spacing w:line="264" w:lineRule="auto"/>
              <w:jc w:val="center"/>
              <w:rPr>
                <w:rFonts w:ascii="宋体" w:hAnsi="宋体"/>
                <w:sz w:val="24"/>
              </w:rPr>
            </w:pPr>
            <w:r>
              <w:rPr>
                <w:rFonts w:hint="eastAsia" w:ascii="宋体" w:hAnsi="宋体"/>
                <w:sz w:val="24"/>
              </w:rPr>
              <w:t>/</w:t>
            </w:r>
          </w:p>
        </w:tc>
      </w:tr>
    </w:tbl>
    <w:p w14:paraId="3A25A273">
      <w:pPr>
        <w:autoSpaceDE/>
        <w:autoSpaceDN/>
        <w:adjustRightInd/>
        <w:spacing w:line="440" w:lineRule="exact"/>
        <w:ind w:left="605"/>
        <w:jc w:val="both"/>
        <w:rPr>
          <w:rFonts w:ascii="黑体" w:eastAsia="黑体"/>
          <w:bCs/>
          <w:sz w:val="28"/>
        </w:rPr>
      </w:pPr>
    </w:p>
    <w:p w14:paraId="50D5E7E6">
      <w:pPr>
        <w:autoSpaceDE/>
        <w:autoSpaceDN/>
        <w:adjustRightInd/>
        <w:spacing w:line="440" w:lineRule="exact"/>
        <w:jc w:val="both"/>
        <w:rPr>
          <w:rFonts w:ascii="宋体" w:hAnsi="宋体" w:cs="宋体"/>
          <w:bCs/>
          <w:sz w:val="32"/>
          <w:szCs w:val="21"/>
        </w:rPr>
      </w:pPr>
    </w:p>
    <w:p w14:paraId="392E3F64">
      <w:pPr>
        <w:keepNext/>
        <w:keepLines/>
        <w:autoSpaceDE/>
        <w:autoSpaceDN/>
        <w:snapToGrid w:val="0"/>
        <w:spacing w:before="156" w:beforeLines="50" w:after="156" w:afterLines="50"/>
        <w:jc w:val="center"/>
        <w:outlineLvl w:val="1"/>
        <w:rPr>
          <w:rFonts w:ascii="宋体" w:hAnsi="宋体" w:cs="宋体"/>
          <w:bCs/>
          <w:kern w:val="2"/>
          <w:sz w:val="36"/>
          <w:szCs w:val="36"/>
        </w:rPr>
      </w:pPr>
      <w:r>
        <w:rPr>
          <w:rFonts w:hint="eastAsia" w:ascii="宋体" w:hAnsi="宋体" w:cs="宋体"/>
          <w:b/>
          <w:kern w:val="2"/>
          <w:sz w:val="32"/>
          <w:szCs w:val="32"/>
        </w:rPr>
        <w:br w:type="page"/>
      </w:r>
      <w:bookmarkStart w:id="124" w:name="_Toc12175"/>
      <w:bookmarkStart w:id="125" w:name="_Toc155"/>
      <w:bookmarkStart w:id="126" w:name="_Toc4639"/>
      <w:r>
        <w:rPr>
          <w:rFonts w:hint="eastAsia" w:ascii="宋体" w:hAnsi="宋体" w:cs="宋体"/>
          <w:b/>
          <w:kern w:val="2"/>
          <w:sz w:val="32"/>
          <w:szCs w:val="32"/>
        </w:rPr>
        <w:t>投  标  函</w:t>
      </w:r>
      <w:bookmarkEnd w:id="124"/>
      <w:bookmarkEnd w:id="125"/>
      <w:bookmarkEnd w:id="126"/>
    </w:p>
    <w:p w14:paraId="3E42BB31">
      <w:pPr>
        <w:rPr>
          <w:rFonts w:ascii="宋体" w:hAnsi="宋体" w:cs="宋体"/>
          <w:b/>
          <w:sz w:val="24"/>
          <w:szCs w:val="24"/>
        </w:rPr>
      </w:pPr>
      <w:r>
        <w:rPr>
          <w:rFonts w:hint="eastAsia" w:ascii="宋体" w:hAnsi="宋体" w:cs="宋体"/>
          <w:b/>
          <w:sz w:val="24"/>
          <w:szCs w:val="24"/>
        </w:rPr>
        <w:t>（招标代理机构）：</w:t>
      </w:r>
    </w:p>
    <w:p w14:paraId="211414CE">
      <w:pPr>
        <w:spacing w:line="360" w:lineRule="auto"/>
        <w:ind w:left="100" w:leftChars="50" w:firstLine="427" w:firstLineChars="178"/>
        <w:rPr>
          <w:rFonts w:ascii="宋体" w:hAnsi="宋体" w:cs="宋体"/>
          <w:sz w:val="24"/>
          <w:szCs w:val="24"/>
        </w:rPr>
      </w:pPr>
      <w:r>
        <w:rPr>
          <w:rFonts w:hint="eastAsia" w:ascii="宋体" w:hAnsi="宋体" w:cs="宋体"/>
          <w:sz w:val="24"/>
          <w:szCs w:val="24"/>
        </w:rPr>
        <w:t>我方确认收到贵方</w:t>
      </w:r>
      <w:r>
        <w:rPr>
          <w:rFonts w:hint="eastAsia" w:ascii="宋体" w:hAnsi="宋体" w:cs="宋体"/>
          <w:kern w:val="28"/>
          <w:sz w:val="24"/>
          <w:szCs w:val="24"/>
          <w:u w:val="single"/>
        </w:rPr>
        <w:t xml:space="preserve">           </w:t>
      </w:r>
      <w:r>
        <w:rPr>
          <w:rFonts w:hint="eastAsia" w:ascii="宋体" w:hAnsi="宋体" w:cs="宋体"/>
          <w:kern w:val="28"/>
          <w:sz w:val="24"/>
          <w:szCs w:val="24"/>
          <w:u w:val="single"/>
          <w:lang w:eastAsia="zh-CN"/>
        </w:rPr>
        <w:t>南雄市人民医院食堂对外承包项目</w:t>
      </w:r>
      <w:r>
        <w:rPr>
          <w:rFonts w:hint="eastAsia" w:ascii="宋体" w:hAnsi="宋体" w:cs="宋体"/>
          <w:kern w:val="28"/>
          <w:sz w:val="24"/>
          <w:szCs w:val="24"/>
          <w:u w:val="single"/>
        </w:rPr>
        <w:t xml:space="preserve">        </w:t>
      </w:r>
      <w:r>
        <w:rPr>
          <w:rFonts w:hint="eastAsia" w:ascii="宋体" w:hAnsi="宋体" w:cs="宋体"/>
          <w:kern w:val="28"/>
          <w:sz w:val="24"/>
          <w:szCs w:val="24"/>
        </w:rPr>
        <w:t>采购</w:t>
      </w:r>
      <w:r>
        <w:rPr>
          <w:rFonts w:hint="eastAsia" w:ascii="宋体" w:hAnsi="宋体" w:cs="宋体"/>
          <w:sz w:val="24"/>
          <w:szCs w:val="24"/>
        </w:rPr>
        <w:t>货物及相关服务的招标文件</w:t>
      </w:r>
      <w:r>
        <w:rPr>
          <w:rFonts w:hint="eastAsia" w:ascii="宋体" w:hAnsi="宋体" w:cs="宋体"/>
          <w:color w:val="auto"/>
          <w:sz w:val="24"/>
          <w:szCs w:val="24"/>
        </w:rPr>
        <w:t>（项目编号：</w:t>
      </w:r>
      <w:r>
        <w:rPr>
          <w:rFonts w:hint="eastAsia" w:ascii="宋体" w:hAnsi="宋体" w:cs="宋体"/>
          <w:color w:val="auto"/>
          <w:sz w:val="24"/>
          <w:szCs w:val="24"/>
          <w:lang w:eastAsia="zh-CN"/>
        </w:rPr>
        <w:t>CLZ0125SG01GC05</w:t>
      </w:r>
      <w:r>
        <w:rPr>
          <w:rFonts w:hint="eastAsia" w:ascii="宋体" w:hAnsi="宋体" w:cs="宋体"/>
          <w:color w:val="auto"/>
          <w:sz w:val="24"/>
          <w:szCs w:val="24"/>
        </w:rPr>
        <w:t>）</w:t>
      </w:r>
      <w:r>
        <w:rPr>
          <w:rFonts w:hint="eastAsia" w:ascii="宋体" w:hAnsi="宋体" w:cs="宋体"/>
          <w:sz w:val="24"/>
          <w:szCs w:val="24"/>
        </w:rPr>
        <w:t>，</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(投标人名称、地址)</w:t>
      </w:r>
      <w:r>
        <w:rPr>
          <w:rFonts w:hint="eastAsia" w:ascii="宋体" w:hAnsi="宋体" w:cs="宋体"/>
          <w:kern w:val="28"/>
          <w:sz w:val="24"/>
          <w:szCs w:val="24"/>
          <w:u w:val="single"/>
        </w:rPr>
        <w:t xml:space="preserve">     </w:t>
      </w:r>
      <w:r>
        <w:rPr>
          <w:rFonts w:hint="eastAsia" w:ascii="宋体" w:hAnsi="宋体" w:cs="宋体"/>
          <w:sz w:val="24"/>
          <w:szCs w:val="24"/>
        </w:rPr>
        <w:t>作为投标人已正式授权</w:t>
      </w:r>
      <w:r>
        <w:rPr>
          <w:rFonts w:hint="eastAsia" w:ascii="宋体" w:hAnsi="宋体"/>
          <w:sz w:val="24"/>
        </w:rPr>
        <w:t>《法定代表人授权委托书》中的授权代表或法定代表人为我方签名代表，签名代表在此声明并同意</w:t>
      </w:r>
      <w:r>
        <w:rPr>
          <w:rFonts w:hint="eastAsia" w:ascii="宋体" w:hAnsi="宋体" w:cs="宋体"/>
          <w:sz w:val="24"/>
          <w:szCs w:val="24"/>
        </w:rPr>
        <w:t>：</w:t>
      </w:r>
    </w:p>
    <w:p w14:paraId="1A6ED9B0">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我们愿意遵守招标代理机构招标文件的各项规定，自愿参加投标，并已清楚招标文件的要求及有关文件规定，并严格按照招标文件的规定履行全部责任和义务。</w:t>
      </w:r>
    </w:p>
    <w:p w14:paraId="29A1E6EB">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我们同意本投标文件的投标有效期从提交投标文件的截止之日起</w:t>
      </w:r>
      <w:r>
        <w:rPr>
          <w:rFonts w:hint="eastAsia" w:ascii="宋体" w:hAnsi="宋体"/>
          <w:b/>
          <w:sz w:val="24"/>
          <w:szCs w:val="24"/>
          <w:u w:val="single"/>
        </w:rPr>
        <w:t>90</w:t>
      </w:r>
      <w:r>
        <w:rPr>
          <w:rFonts w:hint="eastAsia" w:ascii="宋体" w:hAnsi="宋体"/>
          <w:b/>
          <w:sz w:val="24"/>
          <w:szCs w:val="24"/>
        </w:rPr>
        <w:t>日历日内有效，</w:t>
      </w:r>
      <w:r>
        <w:rPr>
          <w:rFonts w:hint="eastAsia" w:ascii="宋体" w:hAnsi="宋体"/>
          <w:sz w:val="24"/>
          <w:szCs w:val="24"/>
        </w:rPr>
        <w:t>并承诺不予撤销已递交的投标文件。</w:t>
      </w:r>
    </w:p>
    <w:p w14:paraId="43247EC4">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我们已经详细地阅读并完全明白了全部招标文件及附件，包括澄清（如有）及参考文件，我们完全理解本招标文件的要求，</w:t>
      </w:r>
      <w:r>
        <w:rPr>
          <w:rFonts w:hint="eastAsia" w:ascii="宋体"/>
          <w:sz w:val="24"/>
          <w:szCs w:val="24"/>
        </w:rPr>
        <w:t>我们同意放弃对招标文件提出不明或误解的一切权力</w:t>
      </w:r>
      <w:r>
        <w:rPr>
          <w:rFonts w:hint="eastAsia" w:ascii="宋体" w:hAnsi="宋体"/>
          <w:sz w:val="24"/>
          <w:szCs w:val="24"/>
        </w:rPr>
        <w:t>。</w:t>
      </w:r>
    </w:p>
    <w:p w14:paraId="6A200449">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我们同意提供</w:t>
      </w:r>
      <w:r>
        <w:rPr>
          <w:rFonts w:hint="eastAsia" w:ascii="宋体" w:hAnsi="宋体" w:cs="宋体"/>
          <w:sz w:val="24"/>
          <w:szCs w:val="24"/>
        </w:rPr>
        <w:t>招标人</w:t>
      </w:r>
      <w:r>
        <w:rPr>
          <w:rFonts w:hint="eastAsia" w:ascii="宋体" w:hAnsi="宋体" w:cs="宋体"/>
          <w:sz w:val="24"/>
          <w:szCs w:val="24"/>
          <w:lang w:eastAsia="zh-TW"/>
        </w:rPr>
        <w:t>或者</w:t>
      </w:r>
      <w:r>
        <w:rPr>
          <w:rFonts w:hint="eastAsia" w:ascii="宋体" w:hAnsi="宋体" w:cs="宋体"/>
          <w:sz w:val="24"/>
          <w:szCs w:val="24"/>
        </w:rPr>
        <w:t>招标代理机构</w:t>
      </w:r>
      <w:r>
        <w:rPr>
          <w:rFonts w:hint="eastAsia" w:ascii="宋体" w:hAnsi="宋体"/>
          <w:sz w:val="24"/>
          <w:szCs w:val="24"/>
        </w:rPr>
        <w:t>与评标委员会要求的有关投标的一切数据或资料。</w:t>
      </w:r>
    </w:p>
    <w:p w14:paraId="6951519D">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我们理解</w:t>
      </w:r>
      <w:r>
        <w:rPr>
          <w:rFonts w:hint="eastAsia" w:ascii="宋体" w:hAnsi="宋体" w:cs="宋体"/>
          <w:sz w:val="24"/>
          <w:szCs w:val="24"/>
        </w:rPr>
        <w:t>招标人</w:t>
      </w:r>
      <w:r>
        <w:rPr>
          <w:rFonts w:hint="eastAsia" w:ascii="宋体" w:hAnsi="宋体" w:cs="宋体"/>
          <w:sz w:val="24"/>
          <w:szCs w:val="24"/>
          <w:lang w:eastAsia="zh-TW"/>
        </w:rPr>
        <w:t>或者</w:t>
      </w:r>
      <w:r>
        <w:rPr>
          <w:rFonts w:hint="eastAsia" w:ascii="宋体" w:hAnsi="宋体" w:cs="宋体"/>
          <w:sz w:val="24"/>
          <w:szCs w:val="24"/>
        </w:rPr>
        <w:t>招标代理机构</w:t>
      </w:r>
      <w:r>
        <w:rPr>
          <w:rFonts w:hint="eastAsia" w:ascii="宋体" w:hAnsi="宋体"/>
          <w:sz w:val="24"/>
          <w:szCs w:val="24"/>
        </w:rPr>
        <w:t>与评标委员会并无义务必须接受最低报价的投标或其它任何投标，完全理解招标代理机构拒绝迟到的任何投标和最低投标报价不是被授予中标的唯一条件。</w:t>
      </w:r>
    </w:p>
    <w:p w14:paraId="6FB4DFDB">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如果我们未对招标文件全部要求作出实质性响应，则完全同意并接受按</w:t>
      </w:r>
      <w:r>
        <w:rPr>
          <w:rFonts w:hint="eastAsia" w:ascii="宋体" w:hAnsi="宋体"/>
          <w:bCs/>
          <w:sz w:val="24"/>
          <w:szCs w:val="24"/>
        </w:rPr>
        <w:t>否决投标</w:t>
      </w:r>
      <w:r>
        <w:rPr>
          <w:rFonts w:hint="eastAsia" w:ascii="宋体" w:hAnsi="宋体"/>
          <w:sz w:val="24"/>
          <w:szCs w:val="24"/>
        </w:rPr>
        <w:t xml:space="preserve">处理。 </w:t>
      </w:r>
    </w:p>
    <w:p w14:paraId="08FCBD03">
      <w:pPr>
        <w:numPr>
          <w:ilvl w:val="0"/>
          <w:numId w:val="92"/>
        </w:numPr>
        <w:tabs>
          <w:tab w:val="clear" w:pos="780"/>
        </w:tabs>
        <w:autoSpaceDE/>
        <w:autoSpaceDN/>
        <w:snapToGrid w:val="0"/>
        <w:spacing w:line="360" w:lineRule="auto"/>
        <w:ind w:left="426"/>
        <w:jc w:val="both"/>
        <w:textAlignment w:val="baseline"/>
        <w:rPr>
          <w:rFonts w:ascii="宋体" w:hAnsi="宋体"/>
          <w:sz w:val="24"/>
          <w:szCs w:val="24"/>
        </w:rPr>
      </w:pPr>
      <w:r>
        <w:rPr>
          <w:rFonts w:hint="eastAsia" w:ascii="宋体" w:hAnsi="宋体"/>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62EBD7A8">
      <w:pPr>
        <w:numPr>
          <w:ilvl w:val="0"/>
          <w:numId w:val="92"/>
        </w:numPr>
        <w:tabs>
          <w:tab w:val="clear" w:pos="780"/>
        </w:tabs>
        <w:autoSpaceDE/>
        <w:autoSpaceDN/>
        <w:snapToGrid w:val="0"/>
        <w:spacing w:line="360" w:lineRule="auto"/>
        <w:ind w:left="426"/>
        <w:jc w:val="both"/>
        <w:textAlignment w:val="baseline"/>
        <w:rPr>
          <w:rFonts w:ascii="宋体" w:hAnsi="宋体" w:cs="宋体"/>
          <w:bCs/>
          <w:sz w:val="24"/>
          <w:szCs w:val="24"/>
        </w:rPr>
      </w:pPr>
      <w:r>
        <w:rPr>
          <w:rFonts w:hint="eastAsia" w:ascii="宋体" w:hAnsi="宋体"/>
          <w:sz w:val="24"/>
          <w:szCs w:val="24"/>
        </w:rPr>
        <w:t>如果我们提供的声明或承诺不真实，则完全同意认定为我司提供虚假材料，并同意作相应处理。</w:t>
      </w:r>
    </w:p>
    <w:p w14:paraId="0CBD3162">
      <w:pPr>
        <w:numPr>
          <w:ilvl w:val="0"/>
          <w:numId w:val="92"/>
        </w:numPr>
        <w:tabs>
          <w:tab w:val="clear" w:pos="780"/>
        </w:tabs>
        <w:autoSpaceDE/>
        <w:autoSpaceDN/>
        <w:snapToGrid w:val="0"/>
        <w:spacing w:line="360" w:lineRule="auto"/>
        <w:ind w:left="200" w:hanging="200"/>
        <w:jc w:val="both"/>
        <w:textAlignment w:val="baseline"/>
        <w:rPr>
          <w:rFonts w:ascii="宋体" w:hAnsi="宋体" w:cs="宋体"/>
          <w:bCs/>
          <w:sz w:val="24"/>
          <w:szCs w:val="24"/>
        </w:rPr>
      </w:pPr>
      <w:r>
        <w:rPr>
          <w:rFonts w:hint="eastAsia" w:ascii="宋体" w:hAnsi="宋体"/>
          <w:sz w:val="24"/>
          <w:szCs w:val="24"/>
        </w:rPr>
        <w:t>我们是依法注册的法人，在法律、财务及运作上完全独立于本项目招标人、用户单位（如有）和招标代理机构。</w:t>
      </w:r>
    </w:p>
    <w:p w14:paraId="511C3EEA">
      <w:pPr>
        <w:numPr>
          <w:ilvl w:val="0"/>
          <w:numId w:val="92"/>
        </w:numPr>
        <w:tabs>
          <w:tab w:val="clear" w:pos="780"/>
        </w:tabs>
        <w:autoSpaceDE/>
        <w:autoSpaceDN/>
        <w:snapToGrid w:val="0"/>
        <w:spacing w:line="360" w:lineRule="auto"/>
        <w:ind w:left="200" w:hanging="200"/>
        <w:jc w:val="both"/>
        <w:textAlignment w:val="baseline"/>
        <w:rPr>
          <w:rFonts w:ascii="宋体" w:hAnsi="宋体" w:cs="宋体"/>
          <w:color w:val="000000"/>
          <w:sz w:val="24"/>
          <w:szCs w:val="24"/>
        </w:rPr>
      </w:pPr>
      <w:r>
        <w:rPr>
          <w:rFonts w:hint="eastAsia" w:ascii="宋体" w:hAnsi="宋体"/>
          <w:sz w:val="24"/>
        </w:rPr>
        <w:t>与本投标有关的一切正式信函请寄：</w:t>
      </w:r>
      <w:r>
        <w:rPr>
          <w:rFonts w:hint="eastAsia" w:ascii="宋体" w:hAnsi="宋体" w:cs="宋体"/>
          <w:bCs/>
          <w:sz w:val="24"/>
          <w:szCs w:val="24"/>
          <w:u w:val="single"/>
        </w:rPr>
        <w:t xml:space="preserve">  （投标人地址）   </w:t>
      </w:r>
      <w:r>
        <w:rPr>
          <w:rFonts w:hint="eastAsia" w:ascii="宋体" w:hAnsi="宋体" w:cs="宋体"/>
          <w:bCs/>
          <w:sz w:val="24"/>
          <w:szCs w:val="24"/>
        </w:rPr>
        <w:t xml:space="preserve"> 。 </w:t>
      </w:r>
    </w:p>
    <w:p w14:paraId="43A66755">
      <w:pPr>
        <w:autoSpaceDE/>
        <w:autoSpaceDN/>
        <w:spacing w:line="360" w:lineRule="auto"/>
        <w:ind w:left="420"/>
        <w:jc w:val="both"/>
        <w:textAlignment w:val="baseline"/>
        <w:rPr>
          <w:spacing w:val="4"/>
          <w:sz w:val="24"/>
          <w:szCs w:val="24"/>
        </w:rPr>
      </w:pPr>
      <w:r>
        <w:rPr>
          <w:rFonts w:hint="eastAsia"/>
          <w:spacing w:val="4"/>
          <w:sz w:val="24"/>
          <w:szCs w:val="24"/>
        </w:rPr>
        <w:t>投标人名称（单位盖公章）：</w:t>
      </w:r>
    </w:p>
    <w:p w14:paraId="61D6F6ED">
      <w:pPr>
        <w:autoSpaceDE/>
        <w:autoSpaceDN/>
        <w:spacing w:line="360" w:lineRule="auto"/>
        <w:ind w:left="420"/>
        <w:jc w:val="both"/>
        <w:textAlignment w:val="baseline"/>
        <w:rPr>
          <w:spacing w:val="4"/>
          <w:sz w:val="24"/>
          <w:szCs w:val="24"/>
        </w:rPr>
      </w:pPr>
      <w:r>
        <w:rPr>
          <w:rFonts w:hint="eastAsia" w:ascii="宋体"/>
          <w:sz w:val="24"/>
          <w:szCs w:val="24"/>
        </w:rPr>
        <w:t>法定代表人或</w:t>
      </w:r>
      <w:r>
        <w:rPr>
          <w:rFonts w:hint="eastAsia" w:ascii="宋体" w:hAnsi="宋体"/>
          <w:sz w:val="24"/>
          <w:szCs w:val="24"/>
        </w:rPr>
        <w:t>投标人授权代表（签名或盖个人名章）</w:t>
      </w:r>
      <w:r>
        <w:rPr>
          <w:rFonts w:hint="eastAsia"/>
          <w:spacing w:val="4"/>
          <w:sz w:val="24"/>
          <w:szCs w:val="24"/>
        </w:rPr>
        <w:t xml:space="preserve"> </w:t>
      </w:r>
    </w:p>
    <w:p w14:paraId="0ECBD424">
      <w:pPr>
        <w:autoSpaceDE/>
        <w:autoSpaceDN/>
        <w:spacing w:line="360" w:lineRule="auto"/>
        <w:ind w:left="420"/>
        <w:jc w:val="both"/>
        <w:textAlignment w:val="baseline"/>
        <w:rPr>
          <w:rFonts w:ascii="宋体" w:hAnsi="宋体" w:cs="宋体"/>
          <w:b/>
          <w:color w:val="000000"/>
          <w:sz w:val="24"/>
          <w:szCs w:val="24"/>
        </w:rPr>
      </w:pPr>
      <w:r>
        <w:rPr>
          <w:rFonts w:hint="eastAsia"/>
          <w:spacing w:val="4"/>
          <w:sz w:val="24"/>
          <w:szCs w:val="24"/>
        </w:rPr>
        <w:t>日期</w:t>
      </w:r>
    </w:p>
    <w:p w14:paraId="3C962E16">
      <w:pPr>
        <w:snapToGrid w:val="0"/>
        <w:spacing w:line="360" w:lineRule="auto"/>
        <w:ind w:firstLine="496" w:firstLineChars="206"/>
        <w:rPr>
          <w:rFonts w:ascii="宋体" w:hAnsi="宋体" w:cs="宋体"/>
          <w:spacing w:val="4"/>
          <w:sz w:val="21"/>
          <w:szCs w:val="21"/>
          <w:u w:val="single"/>
        </w:rPr>
      </w:pPr>
      <w:r>
        <w:rPr>
          <w:rFonts w:hint="eastAsia" w:ascii="宋体" w:hAnsi="宋体" w:cs="宋体"/>
          <w:b/>
          <w:color w:val="000000"/>
          <w:sz w:val="24"/>
          <w:szCs w:val="24"/>
        </w:rPr>
        <w:t>备注：投标函中承诺的投标有效期应当不少于招标文件中载明的投标有效期，其他内容不得擅自删改，否则应予否决投标。</w:t>
      </w:r>
    </w:p>
    <w:p w14:paraId="5BF7CB64">
      <w:pPr>
        <w:keepNext/>
        <w:keepLines/>
        <w:autoSpaceDE/>
        <w:autoSpaceDN/>
        <w:snapToGrid w:val="0"/>
        <w:spacing w:before="156" w:beforeLines="50" w:after="156" w:afterLines="50"/>
        <w:jc w:val="center"/>
        <w:outlineLvl w:val="1"/>
        <w:rPr>
          <w:rFonts w:ascii="宋体" w:hAnsi="宋体" w:cs="宋体"/>
          <w:bCs/>
          <w:kern w:val="2"/>
          <w:sz w:val="36"/>
          <w:szCs w:val="36"/>
        </w:rPr>
      </w:pPr>
      <w:r>
        <w:rPr>
          <w:rFonts w:hint="eastAsia" w:ascii="宋体" w:hAnsi="宋体" w:cs="宋体"/>
          <w:b/>
          <w:bCs/>
          <w:spacing w:val="4"/>
          <w:kern w:val="2"/>
          <w:sz w:val="21"/>
          <w:szCs w:val="21"/>
          <w:u w:val="single"/>
        </w:rPr>
        <w:br w:type="page"/>
      </w:r>
      <w:bookmarkStart w:id="127" w:name="_Toc23749"/>
      <w:bookmarkStart w:id="128" w:name="_Toc20195"/>
      <w:bookmarkStart w:id="129" w:name="_Toc15701"/>
      <w:r>
        <w:rPr>
          <w:rFonts w:hint="eastAsia" w:ascii="宋体" w:hAnsi="宋体" w:cs="宋体"/>
          <w:b/>
          <w:kern w:val="2"/>
          <w:sz w:val="32"/>
          <w:szCs w:val="32"/>
        </w:rPr>
        <w:t>投标人资格声明函</w:t>
      </w:r>
    </w:p>
    <w:p w14:paraId="6AA8633D">
      <w:pPr>
        <w:rPr>
          <w:rFonts w:ascii="宋体" w:hAnsi="宋体" w:cs="宋体"/>
          <w:b/>
          <w:sz w:val="24"/>
          <w:szCs w:val="24"/>
        </w:rPr>
      </w:pPr>
      <w:r>
        <w:rPr>
          <w:rFonts w:hint="eastAsia" w:ascii="宋体" w:hAnsi="宋体" w:cs="宋体"/>
          <w:b/>
          <w:sz w:val="24"/>
          <w:szCs w:val="24"/>
        </w:rPr>
        <w:t>（招标代理机构）：</w:t>
      </w:r>
    </w:p>
    <w:p w14:paraId="7851003D">
      <w:pPr>
        <w:snapToGrid w:val="0"/>
        <w:spacing w:before="156" w:beforeLines="50" w:line="360" w:lineRule="auto"/>
        <w:ind w:firstLine="600" w:firstLineChars="250"/>
        <w:rPr>
          <w:rFonts w:ascii="宋体" w:hAnsi="宋体" w:cs="宋体"/>
          <w:color w:val="000000"/>
          <w:sz w:val="24"/>
          <w:szCs w:val="24"/>
        </w:rPr>
      </w:pPr>
      <w:r>
        <w:rPr>
          <w:rFonts w:hint="eastAsia" w:ascii="宋体" w:hAnsi="宋体" w:cs="宋体"/>
          <w:sz w:val="24"/>
          <w:szCs w:val="24"/>
        </w:rPr>
        <w:t>关于贵公司</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日发布</w:t>
      </w:r>
      <w:r>
        <w:rPr>
          <w:rFonts w:hint="eastAsia" w:ascii="宋体" w:hAnsi="宋体" w:cs="宋体"/>
          <w:sz w:val="24"/>
          <w:szCs w:val="24"/>
          <w:u w:val="single"/>
        </w:rPr>
        <w:t xml:space="preserve">  </w:t>
      </w:r>
      <w:r>
        <w:rPr>
          <w:rFonts w:hint="eastAsia" w:ascii="宋体" w:hAnsi="宋体"/>
          <w:sz w:val="24"/>
          <w:u w:val="single"/>
        </w:rPr>
        <w:t xml:space="preserve">  （项目名称）</w:t>
      </w:r>
      <w:r>
        <w:rPr>
          <w:rFonts w:hint="eastAsia" w:ascii="宋体" w:hAnsi="宋体" w:cs="宋体"/>
          <w:sz w:val="24"/>
          <w:szCs w:val="24"/>
        </w:rPr>
        <w:t>（项目编号：</w:t>
      </w:r>
      <w:r>
        <w:rPr>
          <w:rFonts w:hint="eastAsia" w:ascii="宋体" w:hAnsi="宋体" w:cs="宋体"/>
          <w:sz w:val="24"/>
          <w:szCs w:val="24"/>
          <w:lang w:eastAsia="zh-CN"/>
        </w:rPr>
        <w:t>CLZ0125SG01GC05</w:t>
      </w:r>
      <w:r>
        <w:rPr>
          <w:rFonts w:hint="eastAsia" w:ascii="宋体" w:hAnsi="宋体" w:cs="宋体"/>
          <w:sz w:val="24"/>
          <w:szCs w:val="24"/>
        </w:rPr>
        <w:t>）的采购</w:t>
      </w:r>
      <w:r>
        <w:rPr>
          <w:rFonts w:hint="eastAsia" w:ascii="宋体" w:hAnsi="宋体" w:cs="宋体"/>
          <w:color w:val="000000"/>
          <w:sz w:val="24"/>
          <w:szCs w:val="24"/>
        </w:rPr>
        <w:t>公告，本</w:t>
      </w:r>
      <w:r>
        <w:rPr>
          <w:rFonts w:hint="eastAsia" w:ascii="宋体" w:hAnsi="宋体"/>
          <w:sz w:val="24"/>
        </w:rPr>
        <w:t>单位</w:t>
      </w:r>
      <w:r>
        <w:rPr>
          <w:rFonts w:hint="eastAsia" w:ascii="宋体" w:hAnsi="宋体" w:cs="宋体"/>
          <w:color w:val="000000"/>
          <w:sz w:val="24"/>
          <w:szCs w:val="24"/>
        </w:rPr>
        <w:t>愿意参加投标，并声明：</w:t>
      </w:r>
    </w:p>
    <w:p w14:paraId="385B01E3">
      <w:pPr>
        <w:snapToGrid w:val="0"/>
        <w:spacing w:line="360" w:lineRule="auto"/>
        <w:ind w:firstLine="482" w:firstLineChars="201"/>
        <w:rPr>
          <w:rFonts w:ascii="宋体" w:hAnsi="宋体"/>
          <w:bCs/>
          <w:sz w:val="24"/>
        </w:rPr>
      </w:pPr>
      <w:r>
        <w:rPr>
          <w:rFonts w:hint="eastAsia" w:ascii="宋体" w:hAnsi="宋体" w:cs="宋体"/>
          <w:color w:val="000000"/>
          <w:sz w:val="24"/>
          <w:szCs w:val="24"/>
        </w:rPr>
        <w:t>一、本</w:t>
      </w:r>
      <w:r>
        <w:rPr>
          <w:rFonts w:hint="eastAsia" w:ascii="宋体" w:hAnsi="宋体"/>
          <w:sz w:val="24"/>
        </w:rPr>
        <w:t>单位</w:t>
      </w:r>
      <w:r>
        <w:rPr>
          <w:rFonts w:hint="eastAsia" w:ascii="宋体" w:hAnsi="宋体" w:cs="宋体"/>
          <w:color w:val="000000"/>
          <w:sz w:val="24"/>
          <w:szCs w:val="24"/>
        </w:rPr>
        <w:t>具备</w:t>
      </w:r>
      <w:r>
        <w:rPr>
          <w:rFonts w:hint="eastAsia" w:ascii="宋体" w:hAnsi="宋体" w:cs="宋体"/>
          <w:bCs/>
          <w:color w:val="000000"/>
          <w:sz w:val="24"/>
          <w:szCs w:val="24"/>
        </w:rPr>
        <w:t>招标文件第一章投标邀请中的“投标人资格要求”，</w:t>
      </w:r>
      <w:r>
        <w:rPr>
          <w:rFonts w:hint="eastAsia" w:ascii="宋体" w:hAnsi="宋体" w:cs="宋体"/>
          <w:color w:val="000000"/>
          <w:sz w:val="24"/>
          <w:szCs w:val="24"/>
        </w:rPr>
        <w:t>并已清楚招标文件的要求及有关文件规定，</w:t>
      </w:r>
      <w:r>
        <w:rPr>
          <w:rFonts w:hint="eastAsia" w:ascii="宋体" w:hAnsi="宋体"/>
          <w:bCs/>
          <w:sz w:val="24"/>
        </w:rPr>
        <w:t>我方承诺：</w:t>
      </w:r>
    </w:p>
    <w:p w14:paraId="490D1EED">
      <w:pPr>
        <w:snapToGrid w:val="0"/>
        <w:spacing w:line="360" w:lineRule="auto"/>
        <w:ind w:firstLine="482" w:firstLineChars="201"/>
        <w:rPr>
          <w:rFonts w:ascii="宋体" w:hAnsi="宋体"/>
          <w:bCs/>
          <w:sz w:val="24"/>
          <w:szCs w:val="24"/>
        </w:rPr>
      </w:pPr>
      <w:r>
        <w:rPr>
          <w:rFonts w:hint="eastAsia" w:ascii="宋体" w:hAnsi="宋体"/>
          <w:bCs/>
          <w:sz w:val="24"/>
          <w:szCs w:val="24"/>
        </w:rPr>
        <w:t>1.具备履行合同所必需的设备和专业技术能力；</w:t>
      </w:r>
    </w:p>
    <w:p w14:paraId="6EF80D33">
      <w:pPr>
        <w:snapToGrid w:val="0"/>
        <w:spacing w:line="360" w:lineRule="auto"/>
        <w:ind w:firstLine="482" w:firstLineChars="201"/>
        <w:rPr>
          <w:rFonts w:ascii="宋体" w:hAnsi="宋体"/>
          <w:bCs/>
          <w:sz w:val="24"/>
          <w:szCs w:val="24"/>
        </w:rPr>
      </w:pPr>
      <w:r>
        <w:rPr>
          <w:rFonts w:hint="eastAsia" w:ascii="宋体" w:hAnsi="宋体"/>
          <w:bCs/>
          <w:sz w:val="24"/>
          <w:szCs w:val="24"/>
        </w:rPr>
        <w:t>2.参加招标活动前3年内，在经营活动中没有重大违法记录；</w:t>
      </w:r>
    </w:p>
    <w:p w14:paraId="3696986A">
      <w:pPr>
        <w:snapToGrid w:val="0"/>
        <w:spacing w:line="360" w:lineRule="auto"/>
        <w:ind w:firstLine="482" w:firstLineChars="201"/>
        <w:rPr>
          <w:rFonts w:ascii="宋体" w:hAnsi="宋体" w:cs="宋体"/>
          <w:color w:val="000000"/>
          <w:sz w:val="24"/>
          <w:szCs w:val="24"/>
        </w:rPr>
      </w:pPr>
      <w:r>
        <w:rPr>
          <w:rFonts w:hint="eastAsia" w:ascii="宋体" w:hAnsi="宋体"/>
          <w:bCs/>
          <w:sz w:val="24"/>
          <w:lang w:val="en-US" w:eastAsia="zh-CN"/>
        </w:rPr>
        <w:t>3</w:t>
      </w:r>
      <w:r>
        <w:rPr>
          <w:rFonts w:hint="eastAsia" w:ascii="宋体" w:hAnsi="宋体"/>
          <w:bCs/>
          <w:sz w:val="24"/>
        </w:rPr>
        <w:t>.如与本项目同一合同项下其他投标人的单位负责人为同一人或者存在控股、管理关系的情形，同意按</w:t>
      </w:r>
      <w:r>
        <w:rPr>
          <w:rFonts w:hint="eastAsia" w:ascii="宋体" w:hAnsi="宋体" w:cs="宋体"/>
          <w:sz w:val="24"/>
          <w:szCs w:val="24"/>
        </w:rPr>
        <w:t>否决投标</w:t>
      </w:r>
      <w:r>
        <w:rPr>
          <w:rFonts w:hint="eastAsia" w:ascii="宋体" w:hAnsi="宋体"/>
          <w:bCs/>
          <w:sz w:val="24"/>
        </w:rPr>
        <w:t>处理</w:t>
      </w:r>
      <w:r>
        <w:rPr>
          <w:rFonts w:hint="eastAsia" w:ascii="宋体" w:hAnsi="宋体"/>
          <w:bCs/>
          <w:sz w:val="24"/>
          <w:szCs w:val="24"/>
        </w:rPr>
        <w:t>；</w:t>
      </w:r>
    </w:p>
    <w:p w14:paraId="1248150B">
      <w:pPr>
        <w:snapToGrid w:val="0"/>
        <w:spacing w:line="360" w:lineRule="auto"/>
        <w:ind w:firstLine="482" w:firstLineChars="201"/>
        <w:rPr>
          <w:sz w:val="24"/>
          <w:szCs w:val="24"/>
        </w:rPr>
      </w:pPr>
      <w:r>
        <w:rPr>
          <w:rFonts w:hint="eastAsia" w:ascii="宋体" w:hAnsi="宋体" w:eastAsia="宋体" w:cs="宋体"/>
          <w:b w:val="0"/>
          <w:bCs w:val="0"/>
          <w:sz w:val="24"/>
          <w:szCs w:val="24"/>
          <w:lang w:val="en-US" w:eastAsia="zh-CN"/>
        </w:rPr>
        <w:t>4</w:t>
      </w:r>
      <w:r>
        <w:rPr>
          <w:rFonts w:hint="eastAsia"/>
          <w:sz w:val="24"/>
          <w:szCs w:val="24"/>
        </w:rPr>
        <w:t>.</w:t>
      </w:r>
      <w:r>
        <w:rPr>
          <w:rFonts w:hint="eastAsia" w:ascii="宋体" w:hAnsi="宋体"/>
          <w:sz w:val="24"/>
          <w:szCs w:val="24"/>
        </w:rPr>
        <w:t xml:space="preserve"> 没有联合体投标，如获中标，中标后不转包、不分包。</w:t>
      </w:r>
    </w:p>
    <w:p w14:paraId="5549D493">
      <w:pPr>
        <w:snapToGrid w:val="0"/>
        <w:spacing w:line="360" w:lineRule="auto"/>
        <w:ind w:firstLine="482" w:firstLineChars="201"/>
        <w:rPr>
          <w:rFonts w:ascii="宋体" w:hAnsi="宋体" w:cs="宋体"/>
          <w:color w:val="000000"/>
          <w:sz w:val="24"/>
          <w:szCs w:val="24"/>
        </w:rPr>
      </w:pPr>
      <w:r>
        <w:rPr>
          <w:rFonts w:hint="eastAsia" w:ascii="宋体" w:hAnsi="宋体" w:cs="宋体"/>
          <w:color w:val="000000"/>
          <w:sz w:val="24"/>
          <w:szCs w:val="24"/>
        </w:rPr>
        <w:t>二、我方承诺在本次招标活动中，如有违法、违规、弄虚作假行为，所造成的损失、不良后果及法律责任，一律由我</w:t>
      </w:r>
      <w:r>
        <w:rPr>
          <w:rFonts w:hint="eastAsia" w:ascii="宋体" w:hAnsi="宋体"/>
          <w:sz w:val="24"/>
        </w:rPr>
        <w:t>单位</w:t>
      </w:r>
      <w:r>
        <w:rPr>
          <w:rFonts w:hint="eastAsia" w:ascii="宋体" w:hAnsi="宋体" w:cs="宋体"/>
          <w:color w:val="000000"/>
          <w:sz w:val="24"/>
          <w:szCs w:val="24"/>
        </w:rPr>
        <w:t>承担。</w:t>
      </w:r>
    </w:p>
    <w:p w14:paraId="0C6CE4A5">
      <w:pPr>
        <w:spacing w:line="360" w:lineRule="auto"/>
        <w:ind w:firstLine="420"/>
        <w:rPr>
          <w:rFonts w:ascii="宋体" w:hAnsi="宋体" w:cs="宋体"/>
          <w:color w:val="000000"/>
          <w:sz w:val="24"/>
          <w:szCs w:val="24"/>
        </w:rPr>
      </w:pPr>
      <w:r>
        <w:rPr>
          <w:rFonts w:hint="eastAsia" w:ascii="宋体" w:hAnsi="宋体" w:cs="宋体"/>
          <w:color w:val="000000"/>
          <w:sz w:val="24"/>
          <w:szCs w:val="24"/>
        </w:rPr>
        <w:t>特此声明！</w:t>
      </w:r>
    </w:p>
    <w:p w14:paraId="488C4E3B">
      <w:pPr>
        <w:snapToGrid w:val="0"/>
        <w:spacing w:line="360" w:lineRule="auto"/>
        <w:rPr>
          <w:rFonts w:ascii="宋体" w:hAnsi="宋体"/>
          <w:b/>
          <w:sz w:val="24"/>
        </w:rPr>
      </w:pPr>
      <w:r>
        <w:rPr>
          <w:rFonts w:hint="eastAsia" w:ascii="宋体" w:hAnsi="宋体"/>
          <w:b/>
          <w:sz w:val="24"/>
        </w:rPr>
        <w:t>说明：</w:t>
      </w:r>
    </w:p>
    <w:p w14:paraId="49A2016E">
      <w:pPr>
        <w:pStyle w:val="53"/>
        <w:numPr>
          <w:ilvl w:val="0"/>
          <w:numId w:val="93"/>
        </w:numPr>
        <w:snapToGrid w:val="0"/>
        <w:spacing w:line="360" w:lineRule="auto"/>
        <w:ind w:firstLineChars="0"/>
        <w:rPr>
          <w:rFonts w:ascii="宋体" w:hAnsi="宋体"/>
          <w:sz w:val="24"/>
        </w:rPr>
      </w:pPr>
      <w:r>
        <w:rPr>
          <w:rFonts w:hint="eastAsia" w:ascii="宋体" w:hAnsi="宋体"/>
          <w:sz w:val="24"/>
        </w:rPr>
        <w:t>本声明函必须提供且内容不得擅自删改。</w:t>
      </w:r>
    </w:p>
    <w:p w14:paraId="671DA430">
      <w:pPr>
        <w:pStyle w:val="53"/>
        <w:numPr>
          <w:ilvl w:val="0"/>
          <w:numId w:val="93"/>
        </w:numPr>
        <w:snapToGrid w:val="0"/>
        <w:spacing w:line="360" w:lineRule="auto"/>
        <w:ind w:firstLineChars="0"/>
        <w:rPr>
          <w:rFonts w:ascii="宋体" w:hAnsi="宋体" w:cs="宋体"/>
          <w:color w:val="000000"/>
          <w:sz w:val="24"/>
          <w:szCs w:val="24"/>
        </w:rPr>
      </w:pPr>
      <w:r>
        <w:rPr>
          <w:rFonts w:hint="eastAsia" w:ascii="宋体" w:hAnsi="宋体"/>
          <w:sz w:val="24"/>
        </w:rPr>
        <w:t>本声明函如有虚假或与事实不符的，作</w:t>
      </w:r>
      <w:r>
        <w:rPr>
          <w:rFonts w:hint="eastAsia" w:ascii="宋体" w:hAnsi="宋体"/>
          <w:b/>
          <w:sz w:val="24"/>
        </w:rPr>
        <w:t>否决投标</w:t>
      </w:r>
      <w:r>
        <w:rPr>
          <w:rFonts w:hint="eastAsia" w:ascii="宋体" w:hAnsi="宋体"/>
          <w:sz w:val="24"/>
        </w:rPr>
        <w:t>处理。</w:t>
      </w:r>
    </w:p>
    <w:p w14:paraId="7730AD5C">
      <w:pPr>
        <w:autoSpaceDE/>
        <w:autoSpaceDN/>
        <w:snapToGrid w:val="0"/>
        <w:spacing w:line="360" w:lineRule="auto"/>
        <w:ind w:firstLine="420"/>
        <w:textAlignment w:val="baseline"/>
        <w:rPr>
          <w:sz w:val="24"/>
          <w:szCs w:val="24"/>
        </w:rPr>
      </w:pPr>
    </w:p>
    <w:p w14:paraId="2177A027">
      <w:pPr>
        <w:autoSpaceDE/>
        <w:autoSpaceDN/>
        <w:snapToGrid w:val="0"/>
        <w:spacing w:line="360" w:lineRule="auto"/>
        <w:ind w:firstLine="420"/>
        <w:textAlignment w:val="baseline"/>
        <w:rPr>
          <w:sz w:val="24"/>
          <w:szCs w:val="24"/>
        </w:rPr>
      </w:pPr>
      <w:r>
        <w:rPr>
          <w:rFonts w:hint="eastAsia"/>
          <w:sz w:val="24"/>
          <w:szCs w:val="24"/>
        </w:rPr>
        <w:t>投标人名称（单位盖公章）：</w:t>
      </w:r>
      <w:r>
        <w:rPr>
          <w:sz w:val="24"/>
          <w:szCs w:val="24"/>
        </w:rPr>
        <w:t xml:space="preserve"> </w:t>
      </w:r>
    </w:p>
    <w:p w14:paraId="0547CA38">
      <w:pPr>
        <w:autoSpaceDE/>
        <w:autoSpaceDN/>
        <w:snapToGrid w:val="0"/>
        <w:spacing w:line="360" w:lineRule="auto"/>
        <w:ind w:firstLine="420"/>
        <w:textAlignment w:val="baseline"/>
        <w:rPr>
          <w:sz w:val="24"/>
          <w:szCs w:val="24"/>
        </w:rPr>
      </w:pPr>
      <w:r>
        <w:rPr>
          <w:rFonts w:hint="eastAsia"/>
          <w:sz w:val="24"/>
          <w:szCs w:val="24"/>
        </w:rPr>
        <w:t>单位地址：</w:t>
      </w:r>
      <w:r>
        <w:rPr>
          <w:sz w:val="24"/>
          <w:szCs w:val="24"/>
        </w:rPr>
        <w:t xml:space="preserve"> </w:t>
      </w:r>
    </w:p>
    <w:p w14:paraId="7CAA5D28">
      <w:pPr>
        <w:autoSpaceDE/>
        <w:autoSpaceDN/>
        <w:snapToGrid w:val="0"/>
        <w:spacing w:line="360" w:lineRule="auto"/>
        <w:ind w:firstLine="420"/>
        <w:textAlignment w:val="baseline"/>
        <w:rPr>
          <w:sz w:val="24"/>
          <w:szCs w:val="24"/>
        </w:rPr>
      </w:pPr>
      <w:r>
        <w:rPr>
          <w:rFonts w:hint="eastAsia"/>
          <w:sz w:val="24"/>
          <w:szCs w:val="24"/>
        </w:rPr>
        <w:t>日期：</w:t>
      </w:r>
    </w:p>
    <w:bookmarkEnd w:id="127"/>
    <w:bookmarkEnd w:id="128"/>
    <w:bookmarkEnd w:id="129"/>
    <w:p w14:paraId="2E2575DA">
      <w:pPr>
        <w:autoSpaceDE/>
        <w:autoSpaceDN/>
        <w:snapToGrid w:val="0"/>
        <w:spacing w:line="360" w:lineRule="auto"/>
        <w:ind w:firstLine="420"/>
        <w:textAlignment w:val="baseline"/>
        <w:rPr>
          <w:sz w:val="24"/>
          <w:szCs w:val="24"/>
        </w:rPr>
      </w:pPr>
    </w:p>
    <w:p w14:paraId="6E26E5D0">
      <w:pPr>
        <w:autoSpaceDE/>
        <w:autoSpaceDN/>
        <w:snapToGrid w:val="0"/>
        <w:spacing w:line="360" w:lineRule="auto"/>
        <w:ind w:firstLine="420"/>
        <w:textAlignment w:val="baseline"/>
        <w:rPr>
          <w:rFonts w:ascii="宋体" w:hAnsi="宋体" w:cs="宋体"/>
          <w:sz w:val="22"/>
          <w:szCs w:val="22"/>
        </w:rPr>
      </w:pPr>
      <w:r>
        <w:rPr>
          <w:rFonts w:hint="eastAsia"/>
          <w:sz w:val="24"/>
          <w:szCs w:val="24"/>
        </w:rPr>
        <w:br w:type="page"/>
      </w:r>
    </w:p>
    <w:p w14:paraId="654B508D">
      <w:pPr>
        <w:tabs>
          <w:tab w:val="left" w:pos="426"/>
        </w:tabs>
        <w:spacing w:line="360" w:lineRule="auto"/>
        <w:jc w:val="center"/>
        <w:textAlignment w:val="baseline"/>
        <w:outlineLvl w:val="1"/>
        <w:rPr>
          <w:rFonts w:hint="eastAsia" w:ascii="黑体" w:hAnsi="黑体" w:eastAsia="宋体"/>
          <w:sz w:val="32"/>
          <w:szCs w:val="32"/>
          <w:lang w:eastAsia="zh-CN"/>
        </w:rPr>
      </w:pPr>
      <w:bookmarkStart w:id="130" w:name="_Toc4127"/>
      <w:bookmarkStart w:id="131" w:name="_Toc24751"/>
      <w:r>
        <w:rPr>
          <w:rFonts w:hint="eastAsia" w:ascii="宋体" w:hAnsi="宋体" w:cs="宋体"/>
          <w:b/>
          <w:bCs/>
          <w:sz w:val="32"/>
          <w:szCs w:val="32"/>
        </w:rPr>
        <w:t>公章对投标专用章授权说明</w:t>
      </w:r>
      <w:bookmarkEnd w:id="130"/>
      <w:bookmarkEnd w:id="131"/>
      <w:r>
        <w:rPr>
          <w:rFonts w:hint="eastAsia" w:ascii="宋体" w:hAnsi="宋体" w:cs="宋体"/>
          <w:b/>
          <w:bCs/>
          <w:sz w:val="32"/>
          <w:szCs w:val="32"/>
          <w:lang w:eastAsia="zh-CN"/>
        </w:rPr>
        <w:t>（</w:t>
      </w:r>
      <w:r>
        <w:rPr>
          <w:rFonts w:hint="eastAsia" w:ascii="宋体" w:hAnsi="宋体" w:cs="宋体"/>
          <w:b/>
          <w:bCs/>
          <w:sz w:val="32"/>
          <w:szCs w:val="32"/>
          <w:lang w:val="en-US" w:eastAsia="zh-CN"/>
        </w:rPr>
        <w:t>如有</w:t>
      </w:r>
      <w:r>
        <w:rPr>
          <w:rFonts w:hint="eastAsia" w:ascii="宋体" w:hAnsi="宋体" w:cs="宋体"/>
          <w:b/>
          <w:bCs/>
          <w:sz w:val="32"/>
          <w:szCs w:val="32"/>
          <w:lang w:eastAsia="zh-CN"/>
        </w:rPr>
        <w:t>）</w:t>
      </w:r>
    </w:p>
    <w:p w14:paraId="155E11F5">
      <w:pPr>
        <w:autoSpaceDE/>
        <w:autoSpaceDN/>
        <w:spacing w:line="400" w:lineRule="exact"/>
        <w:jc w:val="both"/>
        <w:textAlignment w:val="baseline"/>
        <w:rPr>
          <w:rFonts w:ascii="宋体" w:hAnsi="宋体"/>
          <w:sz w:val="24"/>
          <w:szCs w:val="24"/>
        </w:rPr>
      </w:pPr>
    </w:p>
    <w:p w14:paraId="54E3AA96">
      <w:pPr>
        <w:autoSpaceDE/>
        <w:autoSpaceDN/>
        <w:snapToGrid w:val="0"/>
        <w:spacing w:line="360" w:lineRule="auto"/>
        <w:jc w:val="both"/>
        <w:textAlignment w:val="baseline"/>
        <w:rPr>
          <w:rFonts w:ascii="宋体" w:hAnsi="宋体"/>
          <w:sz w:val="24"/>
          <w:szCs w:val="24"/>
        </w:rPr>
      </w:pPr>
      <w:r>
        <w:rPr>
          <w:rFonts w:hint="eastAsia" w:ascii="宋体" w:hAnsi="宋体" w:cs="宋体"/>
          <w:b/>
          <w:sz w:val="24"/>
          <w:szCs w:val="24"/>
        </w:rPr>
        <w:t>（招标代理机构）</w:t>
      </w:r>
      <w:r>
        <w:rPr>
          <w:rFonts w:hint="eastAsia" w:ascii="宋体" w:hAnsi="宋体"/>
          <w:b/>
          <w:sz w:val="24"/>
          <w:szCs w:val="24"/>
        </w:rPr>
        <w:t>：</w:t>
      </w:r>
    </w:p>
    <w:p w14:paraId="3D141A61">
      <w:pPr>
        <w:autoSpaceDE/>
        <w:autoSpaceDN/>
        <w:snapToGrid w:val="0"/>
        <w:spacing w:line="360" w:lineRule="auto"/>
        <w:ind w:firstLine="566" w:firstLineChars="236"/>
        <w:jc w:val="both"/>
        <w:textAlignment w:val="baseline"/>
        <w:rPr>
          <w:rFonts w:ascii="宋体" w:hAnsi="宋体"/>
          <w:sz w:val="24"/>
          <w:szCs w:val="24"/>
        </w:rPr>
      </w:pPr>
      <w:r>
        <w:rPr>
          <w:rFonts w:hint="eastAsia" w:ascii="宋体" w:hAnsi="宋体"/>
          <w:sz w:val="24"/>
          <w:szCs w:val="24"/>
        </w:rPr>
        <w:t>本单位</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（投标人名称）  </w:t>
      </w:r>
      <w:r>
        <w:rPr>
          <w:rFonts w:hint="eastAsia" w:ascii="宋体" w:hAnsi="宋体"/>
          <w:sz w:val="24"/>
          <w:szCs w:val="24"/>
        </w:rPr>
        <w:t>参加</w:t>
      </w:r>
      <w:r>
        <w:rPr>
          <w:rFonts w:hint="eastAsia" w:ascii="宋体" w:hAnsi="宋体"/>
          <w:sz w:val="24"/>
          <w:szCs w:val="24"/>
          <w:u w:val="single"/>
          <w:lang w:eastAsia="zh-CN"/>
        </w:rPr>
        <w:t>南雄市人民医院食堂对外承包项目</w:t>
      </w:r>
      <w:r>
        <w:rPr>
          <w:rFonts w:hint="eastAsia" w:ascii="宋体" w:hAnsi="宋体"/>
          <w:sz w:val="24"/>
          <w:szCs w:val="24"/>
          <w:u w:val="single"/>
        </w:rPr>
        <w:t>（</w:t>
      </w:r>
      <w:r>
        <w:rPr>
          <w:rFonts w:hint="eastAsia" w:ascii="宋体" w:hAnsi="宋体"/>
          <w:sz w:val="24"/>
          <w:szCs w:val="24"/>
          <w:u w:val="single"/>
          <w:lang w:eastAsia="zh-CN"/>
        </w:rPr>
        <w:t>CLZ0125SG01GC05</w:t>
      </w:r>
      <w:r>
        <w:rPr>
          <w:rFonts w:hint="eastAsia" w:ascii="宋体" w:hAnsi="宋体"/>
          <w:sz w:val="24"/>
          <w:szCs w:val="24"/>
          <w:u w:val="single"/>
        </w:rPr>
        <w:t>）</w:t>
      </w:r>
      <w:r>
        <w:rPr>
          <w:rFonts w:hint="eastAsia" w:ascii="宋体" w:hAnsi="宋体"/>
          <w:sz w:val="24"/>
          <w:szCs w:val="24"/>
        </w:rPr>
        <w:t>的采购活动，在此作如下说明：</w:t>
      </w:r>
    </w:p>
    <w:p w14:paraId="4744C591">
      <w:pPr>
        <w:autoSpaceDE/>
        <w:autoSpaceDN/>
        <w:snapToGrid w:val="0"/>
        <w:spacing w:line="360" w:lineRule="auto"/>
        <w:ind w:firstLine="566" w:firstLineChars="236"/>
        <w:jc w:val="both"/>
        <w:textAlignment w:val="baseline"/>
        <w:rPr>
          <w:rFonts w:ascii="宋体" w:hAnsi="宋体"/>
          <w:sz w:val="24"/>
          <w:szCs w:val="24"/>
        </w:rPr>
      </w:pPr>
      <w:r>
        <w:rPr>
          <w:rFonts w:hint="eastAsia" w:ascii="宋体" w:hAnsi="宋体"/>
          <w:sz w:val="24"/>
          <w:szCs w:val="24"/>
        </w:rPr>
        <w:t>在此次采购活动中，我单位所使用的“投标专用章”与我单位公章具有同等的法律效力，我单位对所使用“投标专用章”的行为和相应责任予以完全承认。</w:t>
      </w:r>
    </w:p>
    <w:p w14:paraId="345C2CB5">
      <w:pPr>
        <w:autoSpaceDE/>
        <w:autoSpaceDN/>
        <w:snapToGrid w:val="0"/>
        <w:spacing w:line="360" w:lineRule="auto"/>
        <w:ind w:firstLine="566" w:firstLineChars="236"/>
        <w:jc w:val="both"/>
        <w:textAlignment w:val="baseline"/>
        <w:rPr>
          <w:rFonts w:ascii="宋体" w:hAnsi="宋体"/>
          <w:sz w:val="24"/>
          <w:szCs w:val="24"/>
        </w:rPr>
      </w:pPr>
      <w:r>
        <w:rPr>
          <w:rFonts w:hint="eastAsia" w:ascii="宋体" w:hAnsi="宋体"/>
          <w:sz w:val="24"/>
          <w:szCs w:val="24"/>
        </w:rPr>
        <w:t>特此说明。</w:t>
      </w:r>
    </w:p>
    <w:p w14:paraId="4F2BFE36">
      <w:pPr>
        <w:autoSpaceDE/>
        <w:autoSpaceDN/>
        <w:snapToGrid w:val="0"/>
        <w:spacing w:line="360" w:lineRule="auto"/>
        <w:jc w:val="both"/>
        <w:textAlignment w:val="baseline"/>
        <w:rPr>
          <w:rFonts w:ascii="宋体" w:hAnsi="宋体"/>
          <w:sz w:val="24"/>
          <w:szCs w:val="24"/>
        </w:rPr>
      </w:pPr>
    </w:p>
    <w:p w14:paraId="65C42B04">
      <w:pPr>
        <w:autoSpaceDE/>
        <w:autoSpaceDN/>
        <w:snapToGrid w:val="0"/>
        <w:spacing w:line="360" w:lineRule="auto"/>
        <w:jc w:val="both"/>
        <w:textAlignment w:val="baseline"/>
        <w:rPr>
          <w:rFonts w:ascii="宋体" w:hAnsi="宋体"/>
          <w:b/>
          <w:bCs/>
          <w:sz w:val="24"/>
          <w:szCs w:val="24"/>
        </w:rPr>
      </w:pPr>
    </w:p>
    <w:p w14:paraId="31B32AA5">
      <w:pPr>
        <w:autoSpaceDE/>
        <w:autoSpaceDN/>
        <w:snapToGrid w:val="0"/>
        <w:spacing w:line="360" w:lineRule="auto"/>
        <w:jc w:val="both"/>
        <w:textAlignment w:val="baseline"/>
        <w:rPr>
          <w:rFonts w:ascii="宋体" w:hAnsi="宋体"/>
          <w:sz w:val="24"/>
          <w:szCs w:val="24"/>
          <w:u w:val="single"/>
        </w:rPr>
      </w:pPr>
      <w:r>
        <w:rPr>
          <w:rFonts w:hint="eastAsia" w:ascii="宋体" w:hAnsi="宋体"/>
          <w:sz w:val="24"/>
          <w:szCs w:val="24"/>
        </w:rPr>
        <w:t>投标人名称（单位盖公章）：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177CEE3">
      <w:pPr>
        <w:autoSpaceDE/>
        <w:autoSpaceDN/>
        <w:snapToGrid w:val="0"/>
        <w:spacing w:line="360" w:lineRule="auto"/>
        <w:jc w:val="both"/>
        <w:textAlignment w:val="baseline"/>
        <w:rPr>
          <w:rFonts w:ascii="宋体" w:hAnsi="宋体"/>
          <w:sz w:val="24"/>
          <w:szCs w:val="24"/>
        </w:rPr>
      </w:pPr>
      <w:r>
        <w:rPr>
          <w:rFonts w:hint="eastAsia" w:ascii="宋体" w:hAnsi="宋体"/>
          <w:sz w:val="24"/>
          <w:szCs w:val="24"/>
        </w:rPr>
        <w:t>单位注册地址：</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14:paraId="2C48B73A">
      <w:pPr>
        <w:autoSpaceDE/>
        <w:autoSpaceDN/>
        <w:snapToGrid w:val="0"/>
        <w:spacing w:line="360" w:lineRule="auto"/>
        <w:jc w:val="both"/>
        <w:textAlignment w:val="baseline"/>
        <w:rPr>
          <w:rFonts w:ascii="宋体" w:hAnsi="宋体"/>
          <w:sz w:val="24"/>
          <w:szCs w:val="24"/>
        </w:rPr>
      </w:pPr>
      <w:r>
        <w:rPr>
          <w:rFonts w:hint="eastAsia" w:ascii="宋体" w:hAnsi="宋体"/>
          <w:sz w:val="24"/>
          <w:szCs w:val="24"/>
        </w:rPr>
        <w:t>法定代表人</w:t>
      </w:r>
      <w:r>
        <w:rPr>
          <w:rFonts w:hint="eastAsia" w:ascii="宋体"/>
          <w:sz w:val="24"/>
          <w:szCs w:val="24"/>
        </w:rPr>
        <w:t>或</w:t>
      </w:r>
      <w:r>
        <w:rPr>
          <w:rFonts w:hint="eastAsia" w:ascii="宋体" w:hAnsi="宋体"/>
          <w:sz w:val="24"/>
          <w:szCs w:val="24"/>
        </w:rPr>
        <w:t>投标人授权代表（签名或盖个人名章）：</w:t>
      </w:r>
      <w:r>
        <w:rPr>
          <w:rFonts w:hint="eastAsia" w:ascii="宋体" w:hAnsi="宋体"/>
          <w:sz w:val="24"/>
          <w:szCs w:val="24"/>
          <w:u w:val="single"/>
        </w:rPr>
        <w:t xml:space="preserve"> </w:t>
      </w:r>
      <w:r>
        <w:rPr>
          <w:rFonts w:ascii="宋体" w:hAnsi="宋体"/>
          <w:sz w:val="24"/>
          <w:szCs w:val="24"/>
          <w:u w:val="single"/>
        </w:rPr>
        <w:t xml:space="preserve">                      </w:t>
      </w:r>
    </w:p>
    <w:p w14:paraId="7CAA00F6">
      <w:pPr>
        <w:autoSpaceDE/>
        <w:autoSpaceDN/>
        <w:snapToGrid w:val="0"/>
        <w:spacing w:line="360" w:lineRule="auto"/>
        <w:jc w:val="both"/>
        <w:textAlignment w:val="baseline"/>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0F3D5DB">
      <w:pPr>
        <w:autoSpaceDE/>
        <w:autoSpaceDN/>
        <w:snapToGrid w:val="0"/>
        <w:spacing w:line="360" w:lineRule="auto"/>
        <w:jc w:val="both"/>
        <w:textAlignment w:val="baseline"/>
        <w:rPr>
          <w:rFonts w:ascii="宋体" w:hAnsi="宋体"/>
          <w:sz w:val="24"/>
          <w:szCs w:val="24"/>
        </w:rPr>
      </w:pPr>
    </w:p>
    <w:p w14:paraId="455FE908">
      <w:pPr>
        <w:autoSpaceDE/>
        <w:autoSpaceDN/>
        <w:snapToGrid w:val="0"/>
        <w:spacing w:line="360" w:lineRule="auto"/>
        <w:jc w:val="both"/>
        <w:textAlignment w:val="baseline"/>
        <w:rPr>
          <w:rFonts w:ascii="宋体" w:hAnsi="宋体"/>
          <w:sz w:val="24"/>
          <w:szCs w:val="24"/>
        </w:rPr>
      </w:pPr>
      <w:r>
        <w:rPr>
          <w:rFonts w:hint="eastAsia" w:ascii="宋体" w:hAnsi="宋体"/>
          <w:sz w:val="24"/>
          <w:szCs w:val="24"/>
        </w:rPr>
        <w:t>我单位投标专用章样式如下：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5"/>
      </w:tblGrid>
      <w:tr w14:paraId="23AC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trPr>
        <w:tc>
          <w:tcPr>
            <w:tcW w:w="9125" w:type="dxa"/>
          </w:tcPr>
          <w:p w14:paraId="0B7BB3C6">
            <w:pPr>
              <w:autoSpaceDE/>
              <w:autoSpaceDN/>
              <w:spacing w:line="400" w:lineRule="exact"/>
              <w:jc w:val="both"/>
              <w:textAlignment w:val="baseline"/>
              <w:rPr>
                <w:rFonts w:ascii="宋体" w:hAnsi="宋体"/>
                <w:b/>
                <w:bCs/>
                <w:szCs w:val="21"/>
              </w:rPr>
            </w:pPr>
          </w:p>
        </w:tc>
      </w:tr>
    </w:tbl>
    <w:p w14:paraId="261B49E3">
      <w:pPr>
        <w:keepNext/>
        <w:keepLines/>
        <w:autoSpaceDE/>
        <w:autoSpaceDN/>
        <w:snapToGrid w:val="0"/>
        <w:spacing w:before="156" w:beforeLines="50" w:after="156" w:afterLines="50"/>
        <w:jc w:val="center"/>
        <w:outlineLvl w:val="1"/>
        <w:rPr>
          <w:rFonts w:ascii="宋体" w:hAnsi="宋体" w:cs="宋体"/>
          <w:bCs/>
          <w:kern w:val="2"/>
          <w:sz w:val="36"/>
          <w:szCs w:val="36"/>
        </w:rPr>
      </w:pPr>
      <w:r>
        <w:rPr>
          <w:rFonts w:hint="eastAsia" w:ascii="宋体" w:hAnsi="宋体" w:cs="宋体"/>
          <w:b/>
          <w:bCs/>
          <w:kern w:val="2"/>
          <w:sz w:val="21"/>
          <w:szCs w:val="21"/>
          <w:u w:val="single"/>
        </w:rPr>
        <w:br w:type="page"/>
      </w:r>
      <w:bookmarkStart w:id="132" w:name="_Toc7902"/>
      <w:bookmarkStart w:id="133" w:name="_Toc22260"/>
      <w:bookmarkStart w:id="134" w:name="_Toc16175"/>
      <w:r>
        <w:rPr>
          <w:rFonts w:hint="eastAsia" w:ascii="宋体" w:hAnsi="宋体" w:cs="宋体"/>
          <w:b/>
          <w:kern w:val="2"/>
          <w:sz w:val="32"/>
          <w:szCs w:val="32"/>
        </w:rPr>
        <w:t>法定代表人授权委托书</w:t>
      </w:r>
      <w:bookmarkEnd w:id="132"/>
      <w:bookmarkEnd w:id="133"/>
      <w:bookmarkEnd w:id="134"/>
    </w:p>
    <w:p w14:paraId="7FEE61CD">
      <w:pPr>
        <w:autoSpaceDE/>
        <w:autoSpaceDN/>
        <w:adjustRightInd/>
        <w:spacing w:line="360" w:lineRule="auto"/>
        <w:ind w:firstLine="480" w:firstLineChars="200"/>
        <w:jc w:val="both"/>
        <w:rPr>
          <w:rFonts w:ascii="宋体" w:hAnsi="宋体" w:cs="宋体"/>
          <w:sz w:val="24"/>
          <w:szCs w:val="24"/>
        </w:rPr>
      </w:pPr>
      <w:r>
        <w:rPr>
          <w:rFonts w:hint="eastAsia" w:ascii="宋体" w:hAnsi="宋体" w:cs="宋体"/>
          <w:sz w:val="24"/>
          <w:szCs w:val="24"/>
        </w:rPr>
        <w:t>本授权委托书声明：注册于</w:t>
      </w:r>
      <w:r>
        <w:rPr>
          <w:rFonts w:hint="eastAsia" w:ascii="宋体" w:hAnsi="宋体" w:cs="宋体"/>
          <w:sz w:val="24"/>
          <w:szCs w:val="24"/>
          <w:u w:val="single"/>
        </w:rPr>
        <w:t xml:space="preserve"> （投标人地址）  </w:t>
      </w:r>
      <w:r>
        <w:rPr>
          <w:rFonts w:hint="eastAsia" w:ascii="宋体" w:hAnsi="宋体" w:cs="宋体"/>
          <w:sz w:val="24"/>
          <w:szCs w:val="24"/>
        </w:rPr>
        <w:t>的</w:t>
      </w:r>
      <w:r>
        <w:rPr>
          <w:rFonts w:hint="eastAsia" w:ascii="宋体" w:hAnsi="宋体" w:cs="宋体"/>
          <w:sz w:val="24"/>
          <w:szCs w:val="24"/>
          <w:u w:val="single"/>
        </w:rPr>
        <w:t xml:space="preserve">  （投标人名称）    </w:t>
      </w:r>
      <w:r>
        <w:rPr>
          <w:rFonts w:hint="eastAsia" w:ascii="宋体" w:hAnsi="宋体" w:cs="宋体"/>
          <w:sz w:val="24"/>
          <w:szCs w:val="24"/>
        </w:rPr>
        <w:t>在下面签名的</w:t>
      </w:r>
      <w:r>
        <w:rPr>
          <w:rFonts w:hint="eastAsia" w:ascii="宋体" w:hAnsi="宋体" w:cs="宋体"/>
          <w:sz w:val="24"/>
          <w:szCs w:val="24"/>
          <w:u w:val="single"/>
        </w:rPr>
        <w:t>（法定代表人姓名、职务）</w:t>
      </w:r>
      <w:r>
        <w:rPr>
          <w:rFonts w:hint="eastAsia" w:ascii="宋体" w:hAnsi="宋体" w:cs="宋体"/>
          <w:sz w:val="24"/>
          <w:szCs w:val="24"/>
        </w:rPr>
        <w:t>在此授权</w:t>
      </w:r>
      <w:r>
        <w:rPr>
          <w:rFonts w:hint="eastAsia" w:ascii="宋体" w:hAnsi="宋体" w:cs="宋体"/>
          <w:sz w:val="24"/>
          <w:szCs w:val="24"/>
          <w:u w:val="single"/>
        </w:rPr>
        <w:t>（被授权人姓名、职务）</w:t>
      </w:r>
      <w:r>
        <w:rPr>
          <w:rFonts w:hint="eastAsia" w:ascii="宋体" w:hAnsi="宋体" w:cs="宋体"/>
          <w:sz w:val="24"/>
          <w:szCs w:val="24"/>
        </w:rPr>
        <w:t>作为我单位的合法代理人，就</w:t>
      </w:r>
      <w:r>
        <w:rPr>
          <w:rFonts w:hint="eastAsia" w:ascii="宋体" w:hAnsi="宋体" w:cs="宋体"/>
          <w:sz w:val="24"/>
          <w:szCs w:val="24"/>
          <w:u w:val="single"/>
        </w:rPr>
        <w:t>（项目名称、项目编号</w:t>
      </w:r>
      <w:r>
        <w:rPr>
          <w:rFonts w:hint="eastAsia" w:ascii="宋体" w:hAnsi="宋体" w:cs="宋体"/>
          <w:sz w:val="24"/>
          <w:szCs w:val="24"/>
        </w:rPr>
        <w:t>）的招投标活动，采购合同的签订、执行、完成和售后服务，作为投标人代表以我方的名义处理一切与之有关的事务。</w:t>
      </w:r>
    </w:p>
    <w:p w14:paraId="772AFB97">
      <w:pPr>
        <w:autoSpaceDE/>
        <w:autoSpaceDN/>
        <w:adjustRightInd/>
        <w:spacing w:line="360" w:lineRule="auto"/>
        <w:ind w:firstLine="480" w:firstLineChars="200"/>
        <w:jc w:val="both"/>
        <w:rPr>
          <w:rFonts w:ascii="宋体" w:hAnsi="宋体" w:cs="宋体"/>
          <w:sz w:val="24"/>
          <w:szCs w:val="24"/>
        </w:rPr>
      </w:pPr>
      <w:r>
        <w:rPr>
          <w:rFonts w:hint="eastAsia" w:ascii="宋体" w:hAnsi="宋体" w:cs="宋体"/>
          <w:sz w:val="24"/>
          <w:szCs w:val="24"/>
        </w:rPr>
        <w:t>被授权人（投标人授权代表）无转委托权限。</w:t>
      </w:r>
    </w:p>
    <w:p w14:paraId="4702D574">
      <w:pPr>
        <w:spacing w:line="360" w:lineRule="auto"/>
        <w:ind w:firstLine="480" w:firstLineChars="200"/>
        <w:rPr>
          <w:rFonts w:ascii="宋体" w:hAnsi="宋体" w:cs="宋体"/>
          <w:sz w:val="24"/>
          <w:szCs w:val="24"/>
        </w:rPr>
      </w:pPr>
      <w:r>
        <w:rPr>
          <w:rFonts w:hint="eastAsia" w:ascii="宋体"/>
          <w:sz w:val="24"/>
        </w:rPr>
        <w:t>本授权书自法定代表人签字（或盖个人名章）之日起生效，特此声明。</w:t>
      </w:r>
    </w:p>
    <w:p w14:paraId="52C397E2">
      <w:pPr>
        <w:spacing w:line="360" w:lineRule="auto"/>
        <w:rPr>
          <w:rFonts w:ascii="宋体" w:hAnsi="宋体" w:cs="宋体"/>
          <w:sz w:val="24"/>
          <w:szCs w:val="24"/>
        </w:rPr>
      </w:pPr>
      <w:r>
        <w:rPr>
          <w:rFonts w:hint="eastAsia" w:ascii="宋体" w:hAnsi="宋体" w:cs="宋体"/>
          <w:b/>
          <w:sz w:val="24"/>
          <w:szCs w:val="24"/>
        </w:rPr>
        <w:t>随附《法定代表人证明书》；</w:t>
      </w:r>
    </w:p>
    <w:p w14:paraId="34A6A3A7">
      <w:pPr>
        <w:spacing w:line="360" w:lineRule="auto"/>
        <w:rPr>
          <w:rFonts w:ascii="宋体" w:hAnsi="宋体" w:cs="宋体"/>
          <w:sz w:val="24"/>
          <w:szCs w:val="24"/>
        </w:rPr>
      </w:pPr>
      <w:r>
        <w:rPr>
          <w:rFonts w:hint="eastAsia" w:ascii="宋体" w:hAnsi="宋体" w:cs="宋体"/>
          <w:sz w:val="24"/>
          <w:szCs w:val="24"/>
        </w:rPr>
        <w:t>投标人名称（</w:t>
      </w:r>
      <w:r>
        <w:rPr>
          <w:rFonts w:hint="eastAsia" w:ascii="宋体" w:hAnsi="宋体"/>
          <w:sz w:val="24"/>
        </w:rPr>
        <w:t>单位盖</w:t>
      </w:r>
      <w:r>
        <w:rPr>
          <w:rFonts w:hint="eastAsia"/>
          <w:spacing w:val="4"/>
          <w:sz w:val="24"/>
        </w:rPr>
        <w:t>公章</w:t>
      </w:r>
      <w:r>
        <w:rPr>
          <w:rFonts w:hint="eastAsia" w:ascii="宋体" w:hAnsi="宋体" w:cs="宋体"/>
          <w:sz w:val="24"/>
          <w:szCs w:val="24"/>
        </w:rPr>
        <w:t>）：</w:t>
      </w:r>
    </w:p>
    <w:p w14:paraId="77E0FC61">
      <w:pPr>
        <w:spacing w:line="360" w:lineRule="auto"/>
        <w:rPr>
          <w:rFonts w:ascii="宋体" w:hAnsi="宋体" w:cs="宋体"/>
          <w:sz w:val="24"/>
          <w:szCs w:val="24"/>
        </w:rPr>
      </w:pPr>
      <w:r>
        <w:rPr>
          <w:rFonts w:hint="eastAsia" w:ascii="宋体" w:hAnsi="宋体" w:cs="宋体"/>
          <w:sz w:val="24"/>
          <w:szCs w:val="24"/>
        </w:rPr>
        <w:t>地      址：</w:t>
      </w:r>
    </w:p>
    <w:p w14:paraId="0D3F16B8">
      <w:pPr>
        <w:tabs>
          <w:tab w:val="left" w:pos="3780"/>
        </w:tabs>
        <w:spacing w:line="360" w:lineRule="auto"/>
        <w:rPr>
          <w:rFonts w:ascii="宋体" w:hAnsi="宋体" w:cs="宋体"/>
          <w:sz w:val="24"/>
          <w:szCs w:val="24"/>
        </w:rPr>
      </w:pPr>
      <w:r>
        <w:rPr>
          <w:rFonts w:hint="eastAsia" w:ascii="宋体" w:hAnsi="宋体" w:cs="宋体"/>
          <w:sz w:val="24"/>
          <w:szCs w:val="24"/>
        </w:rPr>
        <w:t>法定代表人（</w:t>
      </w:r>
      <w:r>
        <w:rPr>
          <w:rFonts w:hint="eastAsia" w:ascii="宋体"/>
          <w:sz w:val="24"/>
        </w:rPr>
        <w:t>签字或盖个人名章</w:t>
      </w:r>
      <w:r>
        <w:rPr>
          <w:rFonts w:hint="eastAsia" w:ascii="宋体" w:hAnsi="宋体" w:cs="宋体"/>
          <w:sz w:val="24"/>
          <w:szCs w:val="24"/>
        </w:rPr>
        <w:t>）：                    签字日期：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8573F86">
      <w:pPr>
        <w:spacing w:line="360" w:lineRule="auto"/>
        <w:rPr>
          <w:rFonts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9525" t="13970" r="6350" b="12065"/>
                <wp:wrapNone/>
                <wp:docPr id="512569296" name="组合 3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2110685278" name="矩形 37"/>
                        <wps:cNvSpPr>
                          <a:spLocks noChangeArrowheads="1"/>
                        </wps:cNvSpPr>
                        <wps:spPr bwMode="auto">
                          <a:xfrm>
                            <a:off x="1080" y="8670"/>
                            <a:ext cx="4218" cy="2509"/>
                          </a:xfrm>
                          <a:prstGeom prst="rect">
                            <a:avLst/>
                          </a:prstGeom>
                          <a:solidFill>
                            <a:srgbClr val="FFFFFF"/>
                          </a:solidFill>
                          <a:ln w="9525">
                            <a:solidFill>
                              <a:srgbClr val="000000"/>
                            </a:solidFill>
                            <a:miter lim="800000"/>
                          </a:ln>
                        </wps:spPr>
                        <wps:txbx>
                          <w:txbxContent>
                            <w:p w14:paraId="0207C448">
                              <w:pPr>
                                <w:autoSpaceDE/>
                                <w:autoSpaceDN/>
                                <w:spacing w:line="360" w:lineRule="atLeast"/>
                                <w:jc w:val="center"/>
                                <w:textAlignment w:val="baseline"/>
                                <w:rPr>
                                  <w:sz w:val="24"/>
                                  <w:szCs w:val="24"/>
                                </w:rPr>
                              </w:pPr>
                            </w:p>
                            <w:p w14:paraId="7F01B261">
                              <w:pPr>
                                <w:autoSpaceDE/>
                                <w:autoSpaceDN/>
                                <w:spacing w:line="360" w:lineRule="atLeast"/>
                                <w:jc w:val="center"/>
                                <w:textAlignment w:val="baseline"/>
                                <w:rPr>
                                  <w:sz w:val="24"/>
                                  <w:szCs w:val="24"/>
                                </w:rPr>
                              </w:pPr>
                              <w:r>
                                <w:rPr>
                                  <w:rFonts w:hint="eastAsia"/>
                                  <w:sz w:val="24"/>
                                  <w:szCs w:val="24"/>
                                </w:rPr>
                                <w:t>被授权人（授权代表）</w:t>
                              </w:r>
                            </w:p>
                            <w:p w14:paraId="7F25243B">
                              <w:pPr>
                                <w:autoSpaceDE/>
                                <w:autoSpaceDN/>
                                <w:spacing w:line="360" w:lineRule="atLeast"/>
                                <w:jc w:val="center"/>
                                <w:textAlignment w:val="baseline"/>
                                <w:rPr>
                                  <w:sz w:val="24"/>
                                  <w:szCs w:val="24"/>
                                </w:rPr>
                              </w:pPr>
                              <w:r>
                                <w:rPr>
                                  <w:rFonts w:hint="eastAsia"/>
                                  <w:sz w:val="24"/>
                                  <w:szCs w:val="24"/>
                                </w:rPr>
                                <w:t>居民身份证复印件粘贴处</w:t>
                              </w:r>
                            </w:p>
                            <w:p w14:paraId="4EEBD90E">
                              <w:pPr>
                                <w:autoSpaceDE/>
                                <w:autoSpaceDN/>
                                <w:spacing w:line="360" w:lineRule="atLeast"/>
                                <w:ind w:firstLine="1200" w:firstLineChars="500"/>
                                <w:jc w:val="both"/>
                                <w:textAlignment w:val="baseline"/>
                                <w:rPr>
                                  <w:sz w:val="24"/>
                                  <w:szCs w:val="24"/>
                                </w:rPr>
                              </w:pPr>
                            </w:p>
                            <w:p w14:paraId="48F2BE09">
                              <w:pPr>
                                <w:autoSpaceDE/>
                                <w:autoSpaceDN/>
                                <w:spacing w:line="360" w:lineRule="atLeast"/>
                                <w:jc w:val="center"/>
                                <w:textAlignment w:val="baseline"/>
                                <w:rPr>
                                  <w:szCs w:val="24"/>
                                </w:rPr>
                              </w:pPr>
                              <w:r>
                                <w:rPr>
                                  <w:rFonts w:hint="eastAsia"/>
                                  <w:sz w:val="24"/>
                                  <w:szCs w:val="24"/>
                                </w:rPr>
                                <w:t>（正面）</w:t>
                              </w:r>
                            </w:p>
                            <w:p w14:paraId="237131D8">
                              <w:pPr>
                                <w:autoSpaceDE/>
                                <w:autoSpaceDN/>
                                <w:spacing w:line="360" w:lineRule="atLeast"/>
                                <w:jc w:val="both"/>
                                <w:textAlignment w:val="baseline"/>
                                <w:rPr>
                                  <w:szCs w:val="24"/>
                                </w:rPr>
                              </w:pPr>
                            </w:p>
                            <w:p w14:paraId="4891E563"/>
                          </w:txbxContent>
                        </wps:txbx>
                        <wps:bodyPr rot="0" vert="horz" wrap="square" lIns="91440" tIns="45720" rIns="91440" bIns="45720" anchor="t" anchorCtr="0" upright="1">
                          <a:noAutofit/>
                        </wps:bodyPr>
                      </wps:wsp>
                      <wps:wsp>
                        <wps:cNvPr id="916022604" name="矩形 38"/>
                        <wps:cNvSpPr>
                          <a:spLocks noChangeArrowheads="1"/>
                        </wps:cNvSpPr>
                        <wps:spPr bwMode="auto">
                          <a:xfrm>
                            <a:off x="5761" y="8670"/>
                            <a:ext cx="4219" cy="2509"/>
                          </a:xfrm>
                          <a:prstGeom prst="rect">
                            <a:avLst/>
                          </a:prstGeom>
                          <a:solidFill>
                            <a:srgbClr val="FFFFFF"/>
                          </a:solidFill>
                          <a:ln w="9525">
                            <a:solidFill>
                              <a:srgbClr val="000000"/>
                            </a:solidFill>
                            <a:miter lim="800000"/>
                          </a:ln>
                        </wps:spPr>
                        <wps:txbx>
                          <w:txbxContent>
                            <w:p w14:paraId="1E2AD57B">
                              <w:pPr>
                                <w:jc w:val="center"/>
                                <w:rPr>
                                  <w:sz w:val="24"/>
                                </w:rPr>
                              </w:pPr>
                            </w:p>
                            <w:p w14:paraId="6C4C97C3">
                              <w:pPr>
                                <w:jc w:val="center"/>
                                <w:rPr>
                                  <w:sz w:val="24"/>
                                </w:rPr>
                              </w:pPr>
                              <w:r>
                                <w:rPr>
                                  <w:rFonts w:hint="eastAsia"/>
                                  <w:sz w:val="24"/>
                                </w:rPr>
                                <w:t>被授权人（授权代表）</w:t>
                              </w:r>
                            </w:p>
                            <w:p w14:paraId="51670A00">
                              <w:pPr>
                                <w:jc w:val="center"/>
                                <w:rPr>
                                  <w:sz w:val="24"/>
                                </w:rPr>
                              </w:pPr>
                              <w:r>
                                <w:rPr>
                                  <w:rFonts w:hint="eastAsia"/>
                                  <w:sz w:val="24"/>
                                </w:rPr>
                                <w:t>居民身份证复印件粘贴处</w:t>
                              </w:r>
                            </w:p>
                            <w:p w14:paraId="78F78D12">
                              <w:pPr>
                                <w:ind w:firstLine="1200" w:firstLineChars="500"/>
                                <w:rPr>
                                  <w:sz w:val="24"/>
                                </w:rPr>
                              </w:pPr>
                            </w:p>
                            <w:p w14:paraId="4BEBDB08">
                              <w:pPr>
                                <w:jc w:val="center"/>
                                <w:rPr>
                                  <w:sz w:val="24"/>
                                </w:rPr>
                              </w:pPr>
                              <w:r>
                                <w:rPr>
                                  <w:rFonts w:hint="eastAsia"/>
                                  <w:sz w:val="24"/>
                                </w:rPr>
                                <w:t>（反面）</w:t>
                              </w:r>
                            </w:p>
                            <w:p w14:paraId="323EA689"/>
                          </w:txbxContent>
                        </wps:txbx>
                        <wps:bodyPr rot="0" vert="horz" wrap="square" lIns="91440" tIns="45720" rIns="91440" bIns="45720" anchor="t" anchorCtr="0" upright="1">
                          <a:noAutofit/>
                        </wps:bodyPr>
                      </wps:wsp>
                    </wpg:wgp>
                  </a:graphicData>
                </a:graphic>
              </wp:anchor>
            </w:drawing>
          </mc:Choice>
          <mc:Fallback>
            <w:pict>
              <v:group id="组合 3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8w8d2dcAAAAHAQAADwAAAAAAAAABACAAAAAiAAAAZHJzL2Rv&#10;d25yZXYueG1sUEsBAhQAFAAAAAgAh07iQGICcMLmAgAAZQgAAA4AAAAAAAAAAQAgAAAAJgEAAGRy&#10;cy9lMm9Eb2MueG1sUEsFBgAAAAAGAAYAWQEAAH4GAAAAAA==&#10;">
                <o:lock v:ext="edit" aspectratio="f"/>
                <v:rect id="矩形 37" o:spid="_x0000_s1026" o:spt="1" style="position:absolute;left:1080;top:8670;height:2509;width:4218;" fillcolor="#FFFFFF" filled="t" stroked="t" coordsize="21600,21600" o:gfxdata="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qCR4&#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0207C448">
                        <w:pPr>
                          <w:autoSpaceDE/>
                          <w:autoSpaceDN/>
                          <w:spacing w:line="360" w:lineRule="atLeast"/>
                          <w:jc w:val="center"/>
                          <w:textAlignment w:val="baseline"/>
                          <w:rPr>
                            <w:sz w:val="24"/>
                            <w:szCs w:val="24"/>
                          </w:rPr>
                        </w:pPr>
                      </w:p>
                      <w:p w14:paraId="7F01B261">
                        <w:pPr>
                          <w:autoSpaceDE/>
                          <w:autoSpaceDN/>
                          <w:spacing w:line="360" w:lineRule="atLeast"/>
                          <w:jc w:val="center"/>
                          <w:textAlignment w:val="baseline"/>
                          <w:rPr>
                            <w:sz w:val="24"/>
                            <w:szCs w:val="24"/>
                          </w:rPr>
                        </w:pPr>
                        <w:r>
                          <w:rPr>
                            <w:rFonts w:hint="eastAsia"/>
                            <w:sz w:val="24"/>
                            <w:szCs w:val="24"/>
                          </w:rPr>
                          <w:t>被授权人（授权代表）</w:t>
                        </w:r>
                      </w:p>
                      <w:p w14:paraId="7F25243B">
                        <w:pPr>
                          <w:autoSpaceDE/>
                          <w:autoSpaceDN/>
                          <w:spacing w:line="360" w:lineRule="atLeast"/>
                          <w:jc w:val="center"/>
                          <w:textAlignment w:val="baseline"/>
                          <w:rPr>
                            <w:sz w:val="24"/>
                            <w:szCs w:val="24"/>
                          </w:rPr>
                        </w:pPr>
                        <w:r>
                          <w:rPr>
                            <w:rFonts w:hint="eastAsia"/>
                            <w:sz w:val="24"/>
                            <w:szCs w:val="24"/>
                          </w:rPr>
                          <w:t>居民身份证复印件粘贴处</w:t>
                        </w:r>
                      </w:p>
                      <w:p w14:paraId="4EEBD90E">
                        <w:pPr>
                          <w:autoSpaceDE/>
                          <w:autoSpaceDN/>
                          <w:spacing w:line="360" w:lineRule="atLeast"/>
                          <w:ind w:firstLine="1200" w:firstLineChars="500"/>
                          <w:jc w:val="both"/>
                          <w:textAlignment w:val="baseline"/>
                          <w:rPr>
                            <w:sz w:val="24"/>
                            <w:szCs w:val="24"/>
                          </w:rPr>
                        </w:pPr>
                      </w:p>
                      <w:p w14:paraId="48F2BE09">
                        <w:pPr>
                          <w:autoSpaceDE/>
                          <w:autoSpaceDN/>
                          <w:spacing w:line="360" w:lineRule="atLeast"/>
                          <w:jc w:val="center"/>
                          <w:textAlignment w:val="baseline"/>
                          <w:rPr>
                            <w:szCs w:val="24"/>
                          </w:rPr>
                        </w:pPr>
                        <w:r>
                          <w:rPr>
                            <w:rFonts w:hint="eastAsia"/>
                            <w:sz w:val="24"/>
                            <w:szCs w:val="24"/>
                          </w:rPr>
                          <w:t>（正面）</w:t>
                        </w:r>
                      </w:p>
                      <w:p w14:paraId="237131D8">
                        <w:pPr>
                          <w:autoSpaceDE/>
                          <w:autoSpaceDN/>
                          <w:spacing w:line="360" w:lineRule="atLeast"/>
                          <w:jc w:val="both"/>
                          <w:textAlignment w:val="baseline"/>
                          <w:rPr>
                            <w:szCs w:val="24"/>
                          </w:rPr>
                        </w:pPr>
                      </w:p>
                      <w:p w14:paraId="4891E563"/>
                    </w:txbxContent>
                  </v:textbox>
                </v:rect>
                <v:rect id="矩形 38" o:spid="_x0000_s1026" o:spt="1" style="position:absolute;left:5761;top:8670;height:2509;width:4219;" fillcolor="#FFFFFF" filled="t" stroked="t" coordsize="21600,21600" o:gfxdata="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bN&#10;D6H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1E2AD57B">
                        <w:pPr>
                          <w:jc w:val="center"/>
                          <w:rPr>
                            <w:sz w:val="24"/>
                          </w:rPr>
                        </w:pPr>
                      </w:p>
                      <w:p w14:paraId="6C4C97C3">
                        <w:pPr>
                          <w:jc w:val="center"/>
                          <w:rPr>
                            <w:sz w:val="24"/>
                          </w:rPr>
                        </w:pPr>
                        <w:r>
                          <w:rPr>
                            <w:rFonts w:hint="eastAsia"/>
                            <w:sz w:val="24"/>
                          </w:rPr>
                          <w:t>被授权人（授权代表）</w:t>
                        </w:r>
                      </w:p>
                      <w:p w14:paraId="51670A00">
                        <w:pPr>
                          <w:jc w:val="center"/>
                          <w:rPr>
                            <w:sz w:val="24"/>
                          </w:rPr>
                        </w:pPr>
                        <w:r>
                          <w:rPr>
                            <w:rFonts w:hint="eastAsia"/>
                            <w:sz w:val="24"/>
                          </w:rPr>
                          <w:t>居民身份证复印件粘贴处</w:t>
                        </w:r>
                      </w:p>
                      <w:p w14:paraId="78F78D12">
                        <w:pPr>
                          <w:ind w:firstLine="1200" w:firstLineChars="500"/>
                          <w:rPr>
                            <w:sz w:val="24"/>
                          </w:rPr>
                        </w:pPr>
                      </w:p>
                      <w:p w14:paraId="4BEBDB08">
                        <w:pPr>
                          <w:jc w:val="center"/>
                          <w:rPr>
                            <w:sz w:val="24"/>
                          </w:rPr>
                        </w:pPr>
                        <w:r>
                          <w:rPr>
                            <w:rFonts w:hint="eastAsia"/>
                            <w:sz w:val="24"/>
                          </w:rPr>
                          <w:t>（反面）</w:t>
                        </w:r>
                      </w:p>
                      <w:p w14:paraId="323EA689"/>
                    </w:txbxContent>
                  </v:textbox>
                </v:rect>
              </v:group>
            </w:pict>
          </mc:Fallback>
        </mc:AlternateContent>
      </w:r>
    </w:p>
    <w:p w14:paraId="562CD7BD">
      <w:pPr>
        <w:spacing w:line="360" w:lineRule="auto"/>
        <w:rPr>
          <w:rFonts w:ascii="宋体" w:hAnsi="宋体" w:cs="宋体"/>
          <w:sz w:val="24"/>
          <w:szCs w:val="24"/>
        </w:rPr>
      </w:pPr>
    </w:p>
    <w:p w14:paraId="115D4242">
      <w:pPr>
        <w:spacing w:line="360" w:lineRule="auto"/>
        <w:rPr>
          <w:rFonts w:ascii="宋体" w:hAnsi="宋体" w:cs="宋体"/>
          <w:sz w:val="24"/>
          <w:szCs w:val="24"/>
        </w:rPr>
      </w:pPr>
    </w:p>
    <w:p w14:paraId="41C3943A">
      <w:pPr>
        <w:spacing w:line="360" w:lineRule="auto"/>
        <w:rPr>
          <w:rFonts w:ascii="宋体" w:hAnsi="宋体" w:cs="宋体"/>
          <w:sz w:val="24"/>
          <w:szCs w:val="24"/>
        </w:rPr>
      </w:pPr>
    </w:p>
    <w:p w14:paraId="071A3C08">
      <w:pPr>
        <w:spacing w:line="360" w:lineRule="auto"/>
        <w:rPr>
          <w:rFonts w:ascii="宋体" w:hAnsi="宋体" w:cs="宋体"/>
          <w:sz w:val="24"/>
          <w:szCs w:val="24"/>
        </w:rPr>
      </w:pPr>
    </w:p>
    <w:p w14:paraId="147DB2E9">
      <w:pPr>
        <w:spacing w:line="360" w:lineRule="auto"/>
        <w:rPr>
          <w:rFonts w:ascii="宋体" w:hAnsi="宋体" w:cs="宋体"/>
          <w:sz w:val="24"/>
          <w:szCs w:val="24"/>
        </w:rPr>
      </w:pPr>
    </w:p>
    <w:p w14:paraId="35454A5E">
      <w:pPr>
        <w:spacing w:line="360" w:lineRule="auto"/>
        <w:rPr>
          <w:rFonts w:ascii="宋体" w:hAnsi="宋体" w:cs="宋体"/>
          <w:sz w:val="22"/>
          <w:szCs w:val="22"/>
        </w:rPr>
      </w:pPr>
    </w:p>
    <w:p w14:paraId="3E42DB0E">
      <w:pPr>
        <w:snapToGrid w:val="0"/>
        <w:spacing w:line="360" w:lineRule="auto"/>
        <w:rPr>
          <w:rFonts w:ascii="宋体" w:hAnsi="宋体"/>
          <w:b/>
          <w:sz w:val="24"/>
        </w:rPr>
      </w:pPr>
      <w:r>
        <w:rPr>
          <w:rFonts w:hint="eastAsia" w:ascii="宋体" w:hAnsi="宋体"/>
          <w:b/>
          <w:sz w:val="24"/>
        </w:rPr>
        <w:t>说明：</w:t>
      </w:r>
    </w:p>
    <w:p w14:paraId="25DA78EF">
      <w:pPr>
        <w:pStyle w:val="53"/>
        <w:numPr>
          <w:ilvl w:val="0"/>
          <w:numId w:val="94"/>
        </w:numPr>
        <w:snapToGrid w:val="0"/>
        <w:spacing w:line="360" w:lineRule="auto"/>
        <w:ind w:firstLineChars="0"/>
        <w:rPr>
          <w:rFonts w:ascii="宋体" w:hAnsi="宋体"/>
          <w:sz w:val="24"/>
        </w:rPr>
      </w:pPr>
      <w:r>
        <w:rPr>
          <w:rFonts w:hint="eastAsia" w:ascii="宋体" w:hAnsi="宋体"/>
          <w:sz w:val="24"/>
        </w:rPr>
        <w:t>本授权委托书内容不得擅自删改且必须按要求附</w:t>
      </w:r>
      <w:r>
        <w:rPr>
          <w:rFonts w:hint="eastAsia"/>
          <w:sz w:val="24"/>
          <w:szCs w:val="24"/>
        </w:rPr>
        <w:t>身份证复印件</w:t>
      </w:r>
      <w:r>
        <w:rPr>
          <w:rFonts w:hint="eastAsia" w:ascii="宋体" w:hAnsi="宋体"/>
          <w:sz w:val="24"/>
        </w:rPr>
        <w:t>，否则</w:t>
      </w:r>
      <w:r>
        <w:rPr>
          <w:rFonts w:hint="eastAsia" w:ascii="宋体" w:hAnsi="宋体"/>
          <w:bCs/>
          <w:sz w:val="24"/>
          <w:szCs w:val="24"/>
        </w:rPr>
        <w:t>应予否决投标</w:t>
      </w:r>
      <w:r>
        <w:rPr>
          <w:rFonts w:hint="eastAsia" w:ascii="宋体" w:hAnsi="宋体"/>
          <w:sz w:val="24"/>
        </w:rPr>
        <w:t>。</w:t>
      </w:r>
    </w:p>
    <w:p w14:paraId="495E424A">
      <w:pPr>
        <w:pStyle w:val="53"/>
        <w:numPr>
          <w:ilvl w:val="0"/>
          <w:numId w:val="94"/>
        </w:numPr>
        <w:snapToGrid w:val="0"/>
        <w:spacing w:line="360" w:lineRule="auto"/>
        <w:ind w:firstLineChars="0"/>
        <w:rPr>
          <w:rFonts w:ascii="宋体" w:hAnsi="宋体" w:cs="宋体"/>
          <w:b/>
          <w:sz w:val="21"/>
          <w:szCs w:val="21"/>
        </w:rPr>
      </w:pPr>
      <w:r>
        <w:rPr>
          <w:rFonts w:hint="eastAsia" w:ascii="宋体" w:hAnsi="宋体"/>
          <w:sz w:val="24"/>
        </w:rPr>
        <w:t>本授权委托书如有虚假或与事实不符的，作否决投标处理。</w:t>
      </w:r>
      <w:r>
        <w:rPr>
          <w:rFonts w:hint="eastAsia" w:ascii="宋体" w:hAnsi="宋体" w:cs="宋体"/>
          <w:sz w:val="22"/>
          <w:szCs w:val="22"/>
        </w:rPr>
        <w:br w:type="page"/>
      </w:r>
    </w:p>
    <w:p w14:paraId="4021E614">
      <w:pPr>
        <w:keepNext/>
        <w:keepLines/>
        <w:autoSpaceDE/>
        <w:autoSpaceDN/>
        <w:snapToGrid w:val="0"/>
        <w:spacing w:before="156" w:beforeLines="50" w:after="156" w:afterLines="50"/>
        <w:jc w:val="center"/>
        <w:outlineLvl w:val="1"/>
        <w:rPr>
          <w:rFonts w:ascii="宋体" w:hAnsi="宋体" w:cs="宋体"/>
          <w:b/>
          <w:kern w:val="2"/>
          <w:sz w:val="32"/>
          <w:szCs w:val="32"/>
        </w:rPr>
      </w:pPr>
      <w:bookmarkStart w:id="135" w:name="_Toc32406"/>
      <w:bookmarkStart w:id="136" w:name="_Toc26126"/>
      <w:bookmarkStart w:id="137" w:name="_Toc10341"/>
      <w:r>
        <w:rPr>
          <w:rFonts w:hint="eastAsia" w:ascii="宋体" w:hAnsi="宋体" w:cs="宋体"/>
          <w:b/>
          <w:kern w:val="2"/>
          <w:sz w:val="32"/>
          <w:szCs w:val="32"/>
        </w:rPr>
        <w:t>法定代表人证明书</w:t>
      </w:r>
      <w:bookmarkEnd w:id="135"/>
      <w:bookmarkEnd w:id="136"/>
      <w:bookmarkEnd w:id="137"/>
    </w:p>
    <w:p w14:paraId="6F8454E5">
      <w:pPr>
        <w:tabs>
          <w:tab w:val="left" w:pos="900"/>
        </w:tabs>
        <w:spacing w:line="480" w:lineRule="auto"/>
        <w:ind w:firstLine="1080" w:firstLineChars="45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同志，现任我单位</w:t>
      </w:r>
      <w:r>
        <w:rPr>
          <w:rFonts w:hint="eastAsia" w:ascii="宋体" w:hAnsi="宋体" w:cs="宋体"/>
          <w:sz w:val="24"/>
          <w:szCs w:val="24"/>
          <w:u w:val="single"/>
        </w:rPr>
        <w:t xml:space="preserve">         </w:t>
      </w:r>
      <w:r>
        <w:rPr>
          <w:rFonts w:hint="eastAsia" w:ascii="宋体" w:hAnsi="宋体" w:cs="宋体"/>
          <w:sz w:val="24"/>
          <w:szCs w:val="24"/>
        </w:rPr>
        <w:t>职务，为法定代表人，特此证明。</w:t>
      </w:r>
    </w:p>
    <w:p w14:paraId="42B9C7E8">
      <w:pPr>
        <w:spacing w:line="480" w:lineRule="auto"/>
        <w:ind w:firstLine="480" w:firstLineChars="200"/>
        <w:rPr>
          <w:rFonts w:ascii="宋体" w:hAnsi="宋体" w:cs="宋体"/>
          <w:sz w:val="24"/>
          <w:szCs w:val="24"/>
        </w:rPr>
      </w:pPr>
      <w:r>
        <w:rPr>
          <w:rFonts w:hint="eastAsia" w:ascii="宋体" w:hAnsi="宋体" w:cs="宋体"/>
          <w:sz w:val="24"/>
          <w:szCs w:val="24"/>
        </w:rPr>
        <w:t>本证明书自签发之日起生效，有效期与本公司投标文件中标注的投标有效期相同。</w:t>
      </w:r>
    </w:p>
    <w:p w14:paraId="6C36ECB7">
      <w:pPr>
        <w:spacing w:line="480" w:lineRule="auto"/>
        <w:ind w:firstLine="480" w:firstLineChars="200"/>
        <w:rPr>
          <w:rFonts w:ascii="宋体" w:hAnsi="宋体" w:cs="宋体"/>
          <w:sz w:val="24"/>
          <w:szCs w:val="24"/>
        </w:rPr>
      </w:pPr>
      <w:r>
        <w:rPr>
          <w:rFonts w:hint="eastAsia" w:ascii="宋体" w:hAnsi="宋体" w:cs="宋体"/>
          <w:sz w:val="24"/>
          <w:szCs w:val="24"/>
        </w:rPr>
        <w:t>附：</w:t>
      </w:r>
    </w:p>
    <w:p w14:paraId="122415BB">
      <w:pPr>
        <w:spacing w:line="480" w:lineRule="auto"/>
        <w:ind w:firstLine="960" w:firstLineChars="400"/>
        <w:rPr>
          <w:rFonts w:ascii="宋体" w:hAnsi="宋体" w:cs="宋体"/>
          <w:sz w:val="24"/>
          <w:szCs w:val="24"/>
        </w:rPr>
      </w:pPr>
      <w:r>
        <w:rPr>
          <w:rFonts w:hint="eastAsia" w:ascii="宋体" w:hAnsi="宋体" w:cs="宋体"/>
          <w:sz w:val="24"/>
          <w:szCs w:val="24"/>
        </w:rPr>
        <w:t xml:space="preserve">营业执照（注册号）：                       </w:t>
      </w:r>
    </w:p>
    <w:p w14:paraId="0D62541E">
      <w:pPr>
        <w:spacing w:line="480" w:lineRule="auto"/>
        <w:ind w:firstLine="960" w:firstLineChars="400"/>
        <w:rPr>
          <w:rFonts w:ascii="宋体" w:hAnsi="宋体" w:cs="宋体"/>
          <w:sz w:val="24"/>
          <w:szCs w:val="24"/>
        </w:rPr>
      </w:pPr>
      <w:r>
        <w:rPr>
          <w:rFonts w:hint="eastAsia" w:ascii="宋体" w:hAnsi="宋体" w:cs="宋体"/>
          <w:sz w:val="24"/>
          <w:szCs w:val="24"/>
        </w:rPr>
        <w:t>经济性质：</w:t>
      </w:r>
    </w:p>
    <w:p w14:paraId="1041CAAF">
      <w:pPr>
        <w:spacing w:line="480" w:lineRule="auto"/>
        <w:ind w:firstLine="960" w:firstLineChars="400"/>
        <w:rPr>
          <w:rFonts w:ascii="宋体" w:hAnsi="宋体" w:cs="宋体"/>
          <w:sz w:val="24"/>
          <w:szCs w:val="24"/>
        </w:rPr>
      </w:pPr>
      <w:r>
        <w:rPr>
          <w:rFonts w:hint="eastAsia" w:ascii="宋体" w:hAnsi="宋体" w:cs="宋体"/>
          <w:sz w:val="24"/>
          <w:szCs w:val="24"/>
        </w:rPr>
        <w:t>主营（产）：</w:t>
      </w:r>
    </w:p>
    <w:p w14:paraId="47094F80">
      <w:pPr>
        <w:spacing w:line="480" w:lineRule="auto"/>
        <w:ind w:firstLine="960" w:firstLineChars="400"/>
        <w:rPr>
          <w:rFonts w:ascii="宋体" w:hAnsi="宋体" w:cs="宋体"/>
          <w:sz w:val="24"/>
          <w:szCs w:val="24"/>
        </w:rPr>
      </w:pPr>
      <w:r>
        <w:rPr>
          <w:rFonts w:hint="eastAsia" w:ascii="宋体" w:hAnsi="宋体" w:cs="宋体"/>
          <w:sz w:val="24"/>
          <w:szCs w:val="24"/>
        </w:rPr>
        <w:t>兼营（产）：</w:t>
      </w:r>
    </w:p>
    <w:p w14:paraId="4B3BB69E">
      <w:pPr>
        <w:spacing w:line="480" w:lineRule="auto"/>
        <w:ind w:firstLine="960" w:firstLineChars="400"/>
        <w:rPr>
          <w:rFonts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932170" cy="1656715"/>
                <wp:effectExtent l="13335" t="13970" r="7620" b="5715"/>
                <wp:wrapNone/>
                <wp:docPr id="608902935" name="组合 39"/>
                <wp:cNvGraphicFramePr/>
                <a:graphic xmlns:a="http://schemas.openxmlformats.org/drawingml/2006/main">
                  <a:graphicData uri="http://schemas.microsoft.com/office/word/2010/wordprocessingGroup">
                    <wpg:wgp>
                      <wpg:cNvGrpSpPr/>
                      <wpg:grpSpPr>
                        <a:xfrm>
                          <a:off x="0" y="0"/>
                          <a:ext cx="5932170" cy="1656715"/>
                          <a:chOff x="1146" y="7566"/>
                          <a:chExt cx="8717" cy="2609"/>
                        </a:xfrm>
                      </wpg:grpSpPr>
                      <wps:wsp>
                        <wps:cNvPr id="1483057847" name="矩形 40"/>
                        <wps:cNvSpPr>
                          <a:spLocks noChangeArrowheads="1"/>
                        </wps:cNvSpPr>
                        <wps:spPr bwMode="auto">
                          <a:xfrm>
                            <a:off x="1146" y="7566"/>
                            <a:ext cx="4166" cy="2609"/>
                          </a:xfrm>
                          <a:prstGeom prst="rect">
                            <a:avLst/>
                          </a:prstGeom>
                          <a:solidFill>
                            <a:srgbClr val="FFFFFF"/>
                          </a:solidFill>
                          <a:ln w="9525">
                            <a:solidFill>
                              <a:srgbClr val="000000"/>
                            </a:solidFill>
                            <a:miter lim="800000"/>
                          </a:ln>
                        </wps:spPr>
                        <wps:txbx>
                          <w:txbxContent>
                            <w:p w14:paraId="78156917">
                              <w:pPr>
                                <w:ind w:firstLine="1680" w:firstLineChars="800"/>
                                <w:rPr>
                                  <w:sz w:val="21"/>
                                  <w:szCs w:val="21"/>
                                </w:rPr>
                              </w:pPr>
                              <w:r>
                                <w:rPr>
                                  <w:rFonts w:hint="eastAsia"/>
                                  <w:sz w:val="21"/>
                                  <w:szCs w:val="21"/>
                                </w:rPr>
                                <w:t>法定代表人</w:t>
                              </w:r>
                            </w:p>
                            <w:p w14:paraId="686D9B87">
                              <w:pPr>
                                <w:ind w:firstLine="1050" w:firstLineChars="500"/>
                                <w:rPr>
                                  <w:sz w:val="21"/>
                                  <w:szCs w:val="21"/>
                                </w:rPr>
                              </w:pPr>
                              <w:r>
                                <w:rPr>
                                  <w:rFonts w:hint="eastAsia"/>
                                  <w:sz w:val="21"/>
                                  <w:szCs w:val="21"/>
                                </w:rPr>
                                <w:t>居民身份证复印件粘贴处</w:t>
                              </w:r>
                            </w:p>
                            <w:p w14:paraId="4FF473C4">
                              <w:pPr>
                                <w:ind w:firstLine="1050" w:firstLineChars="500"/>
                                <w:rPr>
                                  <w:sz w:val="21"/>
                                  <w:szCs w:val="21"/>
                                </w:rPr>
                              </w:pPr>
                            </w:p>
                            <w:p w14:paraId="700A0B5B">
                              <w:pPr>
                                <w:ind w:firstLine="1785" w:firstLineChars="850"/>
                                <w:rPr>
                                  <w:sz w:val="21"/>
                                  <w:szCs w:val="21"/>
                                </w:rPr>
                              </w:pPr>
                              <w:r>
                                <w:rPr>
                                  <w:rFonts w:hint="eastAsia"/>
                                  <w:sz w:val="21"/>
                                  <w:szCs w:val="21"/>
                                </w:rPr>
                                <w:t>（正面）</w:t>
                              </w:r>
                            </w:p>
                            <w:p w14:paraId="4C628424">
                              <w:pPr>
                                <w:ind w:firstLine="1000" w:firstLineChars="500"/>
                              </w:pPr>
                            </w:p>
                          </w:txbxContent>
                        </wps:txbx>
                        <wps:bodyPr rot="0" vert="horz" wrap="square" lIns="91440" tIns="45720" rIns="91440" bIns="45720" anchor="t" anchorCtr="0" upright="1">
                          <a:noAutofit/>
                        </wps:bodyPr>
                      </wps:wsp>
                      <wps:wsp>
                        <wps:cNvPr id="682833886" name="矩形 41"/>
                        <wps:cNvSpPr>
                          <a:spLocks noChangeArrowheads="1"/>
                        </wps:cNvSpPr>
                        <wps:spPr bwMode="auto">
                          <a:xfrm>
                            <a:off x="5719" y="7566"/>
                            <a:ext cx="4144" cy="2609"/>
                          </a:xfrm>
                          <a:prstGeom prst="rect">
                            <a:avLst/>
                          </a:prstGeom>
                          <a:solidFill>
                            <a:srgbClr val="FFFFFF"/>
                          </a:solidFill>
                          <a:ln w="9525">
                            <a:solidFill>
                              <a:srgbClr val="000000"/>
                            </a:solidFill>
                            <a:miter lim="800000"/>
                          </a:ln>
                        </wps:spPr>
                        <wps:txbx>
                          <w:txbxContent>
                            <w:p w14:paraId="557F024D">
                              <w:pPr>
                                <w:ind w:firstLine="1680" w:firstLineChars="800"/>
                                <w:rPr>
                                  <w:sz w:val="21"/>
                                  <w:szCs w:val="21"/>
                                </w:rPr>
                              </w:pPr>
                              <w:r>
                                <w:rPr>
                                  <w:rFonts w:hint="eastAsia"/>
                                  <w:sz w:val="21"/>
                                  <w:szCs w:val="21"/>
                                </w:rPr>
                                <w:t>法定代表人</w:t>
                              </w:r>
                            </w:p>
                            <w:p w14:paraId="0488374B">
                              <w:pPr>
                                <w:ind w:firstLine="1050" w:firstLineChars="500"/>
                                <w:rPr>
                                  <w:sz w:val="21"/>
                                  <w:szCs w:val="21"/>
                                </w:rPr>
                              </w:pPr>
                              <w:r>
                                <w:rPr>
                                  <w:rFonts w:hint="eastAsia"/>
                                  <w:sz w:val="21"/>
                                  <w:szCs w:val="21"/>
                                </w:rPr>
                                <w:t>居民身份证复印件粘贴处</w:t>
                              </w:r>
                            </w:p>
                            <w:p w14:paraId="78BDDA43">
                              <w:pPr>
                                <w:ind w:firstLine="1050" w:firstLineChars="500"/>
                                <w:jc w:val="center"/>
                                <w:rPr>
                                  <w:sz w:val="21"/>
                                  <w:szCs w:val="21"/>
                                </w:rPr>
                              </w:pPr>
                            </w:p>
                            <w:p w14:paraId="266B2804">
                              <w:pPr>
                                <w:ind w:firstLine="1785" w:firstLineChars="850"/>
                                <w:rPr>
                                  <w:sz w:val="21"/>
                                  <w:szCs w:val="21"/>
                                </w:rPr>
                              </w:pPr>
                              <w:r>
                                <w:rPr>
                                  <w:rFonts w:hint="eastAsia"/>
                                  <w:sz w:val="21"/>
                                  <w:szCs w:val="21"/>
                                </w:rPr>
                                <w:t>（反面）</w:t>
                              </w:r>
                            </w:p>
                            <w:p w14:paraId="77EAD5AD">
                              <w:pPr>
                                <w:ind w:firstLine="1000" w:firstLineChars="500"/>
                                <w:jc w:val="center"/>
                              </w:pPr>
                            </w:p>
                            <w:p w14:paraId="07143ED8">
                              <w:pPr>
                                <w:ind w:firstLine="1000" w:firstLineChars="500"/>
                                <w:jc w:val="center"/>
                              </w:pPr>
                            </w:p>
                          </w:txbxContent>
                        </wps:txbx>
                        <wps:bodyPr rot="0" vert="horz" wrap="square" lIns="91440" tIns="45720" rIns="91440" bIns="45720" anchor="t" anchorCtr="0" upright="1">
                          <a:noAutofit/>
                        </wps:bodyPr>
                      </wps:wsp>
                    </wpg:wgp>
                  </a:graphicData>
                </a:graphic>
              </wp:anchor>
            </w:drawing>
          </mc:Choice>
          <mc:Fallback>
            <w:pict>
              <v:group id="组合 39" o:spid="_x0000_s1026" o:spt="203" style="position:absolute;left:0pt;margin-left:3.3pt;margin-top:19.2pt;height:130.45pt;width:467.1pt;z-index:251660288;mso-width-relative:page;mso-height-relative:page;" coordorigin="1146,7566" coordsize="8717,2609" o:gfxdata="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Dyuwk/ZAAAACAEAAA8AAAAAAAAAAQAgAAAAIgAA&#10;AGRycy9kb3ducmV2LnhtbFBLAQIUABQAAAAIAIdO4kAt81RY6wIAAGUIAAAOAAAAAAAAAAEAIAAA&#10;ACgBAABkcnMvZTJvRG9jLnhtbFBLBQYAAAAABgAGAFkBAACFBgAAAAA=&#10;">
                <o:lock v:ext="edit" aspectratio="f"/>
                <v:rect id="矩形 40" o:spid="_x0000_s1026" o:spt="1" style="position:absolute;left:1146;top:7566;height:2609;width:4166;" fillcolor="#FFFFFF" filled="t" stroked="t" coordsize="21600,21600" o:gfxdata="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dfk&#10;B8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78156917">
                        <w:pPr>
                          <w:ind w:firstLine="1680" w:firstLineChars="800"/>
                          <w:rPr>
                            <w:sz w:val="21"/>
                            <w:szCs w:val="21"/>
                          </w:rPr>
                        </w:pPr>
                        <w:r>
                          <w:rPr>
                            <w:rFonts w:hint="eastAsia"/>
                            <w:sz w:val="21"/>
                            <w:szCs w:val="21"/>
                          </w:rPr>
                          <w:t>法定代表人</w:t>
                        </w:r>
                      </w:p>
                      <w:p w14:paraId="686D9B87">
                        <w:pPr>
                          <w:ind w:firstLine="1050" w:firstLineChars="500"/>
                          <w:rPr>
                            <w:sz w:val="21"/>
                            <w:szCs w:val="21"/>
                          </w:rPr>
                        </w:pPr>
                        <w:r>
                          <w:rPr>
                            <w:rFonts w:hint="eastAsia"/>
                            <w:sz w:val="21"/>
                            <w:szCs w:val="21"/>
                          </w:rPr>
                          <w:t>居民身份证复印件粘贴处</w:t>
                        </w:r>
                      </w:p>
                      <w:p w14:paraId="4FF473C4">
                        <w:pPr>
                          <w:ind w:firstLine="1050" w:firstLineChars="500"/>
                          <w:rPr>
                            <w:sz w:val="21"/>
                            <w:szCs w:val="21"/>
                          </w:rPr>
                        </w:pPr>
                      </w:p>
                      <w:p w14:paraId="700A0B5B">
                        <w:pPr>
                          <w:ind w:firstLine="1785" w:firstLineChars="850"/>
                          <w:rPr>
                            <w:sz w:val="21"/>
                            <w:szCs w:val="21"/>
                          </w:rPr>
                        </w:pPr>
                        <w:r>
                          <w:rPr>
                            <w:rFonts w:hint="eastAsia"/>
                            <w:sz w:val="21"/>
                            <w:szCs w:val="21"/>
                          </w:rPr>
                          <w:t>（正面）</w:t>
                        </w:r>
                      </w:p>
                      <w:p w14:paraId="4C628424">
                        <w:pPr>
                          <w:ind w:firstLine="1000" w:firstLineChars="500"/>
                        </w:pPr>
                      </w:p>
                    </w:txbxContent>
                  </v:textbox>
                </v:rect>
                <v:rect id="矩形 41" o:spid="_x0000_s1026" o:spt="1" style="position:absolute;left:5719;top:7566;height:2609;width:4144;" fillcolor="#FFFFFF" filled="t" stroked="t" coordsize="21600,21600" o:gfxdata="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Z&#10;6luE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557F024D">
                        <w:pPr>
                          <w:ind w:firstLine="1680" w:firstLineChars="800"/>
                          <w:rPr>
                            <w:sz w:val="21"/>
                            <w:szCs w:val="21"/>
                          </w:rPr>
                        </w:pPr>
                        <w:r>
                          <w:rPr>
                            <w:rFonts w:hint="eastAsia"/>
                            <w:sz w:val="21"/>
                            <w:szCs w:val="21"/>
                          </w:rPr>
                          <w:t>法定代表人</w:t>
                        </w:r>
                      </w:p>
                      <w:p w14:paraId="0488374B">
                        <w:pPr>
                          <w:ind w:firstLine="1050" w:firstLineChars="500"/>
                          <w:rPr>
                            <w:sz w:val="21"/>
                            <w:szCs w:val="21"/>
                          </w:rPr>
                        </w:pPr>
                        <w:r>
                          <w:rPr>
                            <w:rFonts w:hint="eastAsia"/>
                            <w:sz w:val="21"/>
                            <w:szCs w:val="21"/>
                          </w:rPr>
                          <w:t>居民身份证复印件粘贴处</w:t>
                        </w:r>
                      </w:p>
                      <w:p w14:paraId="78BDDA43">
                        <w:pPr>
                          <w:ind w:firstLine="1050" w:firstLineChars="500"/>
                          <w:jc w:val="center"/>
                          <w:rPr>
                            <w:sz w:val="21"/>
                            <w:szCs w:val="21"/>
                          </w:rPr>
                        </w:pPr>
                      </w:p>
                      <w:p w14:paraId="266B2804">
                        <w:pPr>
                          <w:ind w:firstLine="1785" w:firstLineChars="850"/>
                          <w:rPr>
                            <w:sz w:val="21"/>
                            <w:szCs w:val="21"/>
                          </w:rPr>
                        </w:pPr>
                        <w:r>
                          <w:rPr>
                            <w:rFonts w:hint="eastAsia"/>
                            <w:sz w:val="21"/>
                            <w:szCs w:val="21"/>
                          </w:rPr>
                          <w:t>（反面）</w:t>
                        </w:r>
                      </w:p>
                      <w:p w14:paraId="77EAD5AD">
                        <w:pPr>
                          <w:ind w:firstLine="1000" w:firstLineChars="500"/>
                          <w:jc w:val="center"/>
                        </w:pPr>
                      </w:p>
                      <w:p w14:paraId="07143ED8">
                        <w:pPr>
                          <w:ind w:firstLine="1000" w:firstLineChars="500"/>
                          <w:jc w:val="center"/>
                        </w:pPr>
                      </w:p>
                    </w:txbxContent>
                  </v:textbox>
                </v:rect>
              </v:group>
            </w:pict>
          </mc:Fallback>
        </mc:AlternateContent>
      </w:r>
    </w:p>
    <w:p w14:paraId="4CD9B26D">
      <w:pPr>
        <w:spacing w:line="500" w:lineRule="exact"/>
        <w:rPr>
          <w:rFonts w:ascii="宋体" w:hAnsi="宋体" w:cs="宋体"/>
          <w:b/>
          <w:bCs/>
          <w:sz w:val="24"/>
          <w:szCs w:val="24"/>
        </w:rPr>
      </w:pPr>
    </w:p>
    <w:p w14:paraId="569ED012">
      <w:pPr>
        <w:spacing w:line="500" w:lineRule="exact"/>
        <w:rPr>
          <w:rFonts w:ascii="宋体" w:hAnsi="宋体" w:cs="宋体"/>
          <w:b/>
          <w:bCs/>
          <w:sz w:val="24"/>
          <w:szCs w:val="24"/>
        </w:rPr>
      </w:pPr>
    </w:p>
    <w:p w14:paraId="25A11F87">
      <w:pPr>
        <w:spacing w:line="500" w:lineRule="exact"/>
        <w:rPr>
          <w:rFonts w:ascii="宋体" w:hAnsi="宋体" w:cs="宋体"/>
          <w:b/>
          <w:bCs/>
          <w:sz w:val="24"/>
          <w:szCs w:val="24"/>
        </w:rPr>
      </w:pPr>
    </w:p>
    <w:p w14:paraId="3143417B">
      <w:pPr>
        <w:spacing w:line="500" w:lineRule="exact"/>
        <w:rPr>
          <w:rFonts w:ascii="宋体" w:hAnsi="宋体" w:cs="宋体"/>
          <w:b/>
          <w:bCs/>
          <w:sz w:val="24"/>
          <w:szCs w:val="24"/>
        </w:rPr>
      </w:pPr>
    </w:p>
    <w:p w14:paraId="7C33D170">
      <w:pPr>
        <w:spacing w:line="500" w:lineRule="exact"/>
        <w:rPr>
          <w:rFonts w:ascii="宋体" w:hAnsi="宋体" w:cs="宋体"/>
          <w:b/>
          <w:bCs/>
          <w:sz w:val="24"/>
          <w:szCs w:val="24"/>
        </w:rPr>
      </w:pPr>
    </w:p>
    <w:p w14:paraId="6AF6BA02">
      <w:pPr>
        <w:spacing w:line="500" w:lineRule="exact"/>
        <w:rPr>
          <w:rFonts w:ascii="宋体" w:hAnsi="宋体" w:cs="宋体"/>
          <w:b/>
          <w:bCs/>
          <w:sz w:val="24"/>
          <w:szCs w:val="24"/>
        </w:rPr>
      </w:pPr>
    </w:p>
    <w:p w14:paraId="164AD68A">
      <w:pPr>
        <w:spacing w:line="500" w:lineRule="exact"/>
        <w:rPr>
          <w:rFonts w:ascii="宋体" w:hAnsi="宋体" w:cs="宋体"/>
          <w:b/>
          <w:bCs/>
          <w:sz w:val="24"/>
          <w:szCs w:val="24"/>
        </w:rPr>
      </w:pPr>
      <w:r>
        <w:rPr>
          <w:rFonts w:hint="eastAsia" w:ascii="宋体" w:hAnsi="宋体" w:cs="宋体"/>
          <w:b/>
          <w:bCs/>
          <w:sz w:val="24"/>
          <w:szCs w:val="24"/>
        </w:rPr>
        <w:t xml:space="preserve">                         </w:t>
      </w:r>
    </w:p>
    <w:p w14:paraId="501530B1">
      <w:pPr>
        <w:spacing w:line="500" w:lineRule="exact"/>
        <w:rPr>
          <w:rFonts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投标人名称：（盖公章）：</w:t>
      </w:r>
    </w:p>
    <w:p w14:paraId="57F9D7DB">
      <w:pPr>
        <w:spacing w:line="500" w:lineRule="exact"/>
        <w:rPr>
          <w:rFonts w:ascii="宋体" w:hAnsi="宋体" w:cs="宋体"/>
          <w:sz w:val="24"/>
          <w:szCs w:val="24"/>
        </w:rPr>
      </w:pPr>
      <w:r>
        <w:rPr>
          <w:rFonts w:hint="eastAsia" w:ascii="宋体" w:hAnsi="宋体" w:cs="宋体"/>
          <w:sz w:val="24"/>
          <w:szCs w:val="24"/>
        </w:rPr>
        <w:t xml:space="preserve">                                           地址：</w:t>
      </w:r>
    </w:p>
    <w:p w14:paraId="26DAD96E">
      <w:pPr>
        <w:spacing w:line="500" w:lineRule="exact"/>
        <w:rPr>
          <w:rFonts w:ascii="宋体" w:hAnsi="宋体" w:cs="宋体"/>
          <w:b/>
          <w:bCs/>
          <w:sz w:val="24"/>
          <w:szCs w:val="24"/>
        </w:rPr>
      </w:pPr>
      <w:r>
        <w:rPr>
          <w:rFonts w:hint="eastAsia" w:ascii="宋体" w:hAnsi="宋体" w:cs="宋体"/>
          <w:sz w:val="24"/>
          <w:szCs w:val="24"/>
        </w:rPr>
        <w:t xml:space="preserve">                                           日期：</w:t>
      </w:r>
    </w:p>
    <w:p w14:paraId="34D427E1">
      <w:pPr>
        <w:snapToGrid w:val="0"/>
        <w:spacing w:line="360" w:lineRule="auto"/>
        <w:ind w:firstLine="432" w:firstLineChars="206"/>
        <w:rPr>
          <w:rFonts w:ascii="宋体" w:hAnsi="宋体" w:cs="宋体"/>
          <w:sz w:val="21"/>
          <w:szCs w:val="21"/>
          <w:u w:val="single"/>
        </w:rPr>
      </w:pPr>
    </w:p>
    <w:p w14:paraId="4A0AB130">
      <w:pPr>
        <w:snapToGrid w:val="0"/>
        <w:spacing w:line="360" w:lineRule="auto"/>
        <w:rPr>
          <w:rFonts w:ascii="宋体" w:hAnsi="宋体"/>
          <w:b/>
          <w:sz w:val="24"/>
        </w:rPr>
      </w:pPr>
      <w:r>
        <w:rPr>
          <w:rFonts w:hint="eastAsia" w:ascii="宋体" w:hAnsi="宋体"/>
          <w:b/>
          <w:sz w:val="24"/>
        </w:rPr>
        <w:t>说明：</w:t>
      </w:r>
    </w:p>
    <w:p w14:paraId="173C5F19">
      <w:pPr>
        <w:pStyle w:val="53"/>
        <w:numPr>
          <w:ilvl w:val="0"/>
          <w:numId w:val="95"/>
        </w:numPr>
        <w:snapToGrid w:val="0"/>
        <w:spacing w:line="360" w:lineRule="auto"/>
        <w:ind w:firstLineChars="0"/>
        <w:rPr>
          <w:rFonts w:ascii="宋体" w:hAnsi="宋体"/>
          <w:sz w:val="24"/>
        </w:rPr>
      </w:pPr>
      <w:r>
        <w:rPr>
          <w:rFonts w:hint="eastAsia" w:ascii="宋体" w:hAnsi="宋体"/>
          <w:sz w:val="24"/>
        </w:rPr>
        <w:t>本证明书内容不得擅自删改且必须按要求附</w:t>
      </w:r>
      <w:r>
        <w:rPr>
          <w:rFonts w:hint="eastAsia"/>
          <w:sz w:val="24"/>
          <w:szCs w:val="24"/>
        </w:rPr>
        <w:t>身份证复印件</w:t>
      </w:r>
      <w:r>
        <w:rPr>
          <w:rFonts w:hint="eastAsia" w:ascii="宋体" w:hAnsi="宋体"/>
          <w:sz w:val="24"/>
        </w:rPr>
        <w:t>，否则</w:t>
      </w:r>
      <w:r>
        <w:rPr>
          <w:rFonts w:hint="eastAsia" w:ascii="宋体" w:hAnsi="宋体"/>
          <w:bCs/>
          <w:sz w:val="24"/>
          <w:szCs w:val="24"/>
        </w:rPr>
        <w:t>应予否决投标</w:t>
      </w:r>
      <w:r>
        <w:rPr>
          <w:rFonts w:hint="eastAsia" w:ascii="宋体" w:hAnsi="宋体"/>
          <w:sz w:val="24"/>
        </w:rPr>
        <w:t>。</w:t>
      </w:r>
    </w:p>
    <w:p w14:paraId="021901B3">
      <w:pPr>
        <w:pStyle w:val="53"/>
        <w:numPr>
          <w:ilvl w:val="0"/>
          <w:numId w:val="95"/>
        </w:numPr>
        <w:snapToGrid w:val="0"/>
        <w:spacing w:line="360" w:lineRule="auto"/>
        <w:ind w:firstLineChars="0"/>
        <w:rPr>
          <w:rFonts w:ascii="宋体" w:hAnsi="宋体" w:cs="宋体"/>
          <w:sz w:val="21"/>
          <w:szCs w:val="21"/>
          <w:u w:val="single"/>
        </w:rPr>
      </w:pPr>
      <w:r>
        <w:rPr>
          <w:rFonts w:hint="eastAsia" w:ascii="宋体" w:hAnsi="宋体"/>
          <w:sz w:val="24"/>
        </w:rPr>
        <w:t>本证明书如有虚假或与事实不符的，作否决投标处理。</w:t>
      </w:r>
    </w:p>
    <w:p w14:paraId="28C3930D">
      <w:pPr>
        <w:autoSpaceDE/>
        <w:autoSpaceDN/>
        <w:adjustRightInd/>
        <w:spacing w:line="440" w:lineRule="exact"/>
        <w:jc w:val="center"/>
        <w:outlineLvl w:val="1"/>
        <w:rPr>
          <w:rFonts w:ascii="宋体" w:hAnsi="宋体" w:cs="宋体"/>
          <w:b/>
          <w:color w:val="FF0000"/>
          <w:sz w:val="36"/>
          <w:szCs w:val="36"/>
        </w:rPr>
      </w:pPr>
      <w:r>
        <w:rPr>
          <w:rFonts w:hint="eastAsia" w:ascii="宋体" w:hAnsi="宋体" w:cs="宋体"/>
          <w:b/>
          <w:bCs/>
          <w:kern w:val="2"/>
          <w:sz w:val="21"/>
          <w:szCs w:val="21"/>
          <w:u w:val="single"/>
        </w:rPr>
        <w:br w:type="page"/>
      </w:r>
      <w:bookmarkStart w:id="138" w:name="_Toc275865613"/>
      <w:bookmarkStart w:id="139" w:name="_Toc50737337"/>
      <w:bookmarkStart w:id="140" w:name="_Toc12295"/>
      <w:bookmarkStart w:id="141" w:name="_Toc50736485"/>
      <w:bookmarkStart w:id="142" w:name="_Toc26045"/>
      <w:bookmarkStart w:id="143" w:name="_Toc52165089"/>
      <w:bookmarkStart w:id="144" w:name="_Toc435515307"/>
      <w:bookmarkStart w:id="145" w:name="_Toc50737305"/>
      <w:bookmarkStart w:id="146" w:name="_Toc435514867"/>
      <w:bookmarkStart w:id="147" w:name="_Toc50691051"/>
      <w:r>
        <w:rPr>
          <w:rFonts w:hint="eastAsia" w:ascii="宋体" w:hAnsi="宋体" w:cs="宋体"/>
          <w:b/>
          <w:kern w:val="2"/>
          <w:sz w:val="32"/>
          <w:szCs w:val="32"/>
        </w:rPr>
        <w:t>采购需求条款响应一览表</w:t>
      </w:r>
      <w:bookmarkEnd w:id="138"/>
      <w:bookmarkEnd w:id="139"/>
      <w:bookmarkEnd w:id="140"/>
      <w:bookmarkEnd w:id="141"/>
      <w:bookmarkEnd w:id="142"/>
      <w:bookmarkEnd w:id="143"/>
      <w:bookmarkEnd w:id="144"/>
      <w:bookmarkEnd w:id="145"/>
      <w:bookmarkEnd w:id="146"/>
      <w:bookmarkEnd w:id="147"/>
    </w:p>
    <w:p w14:paraId="71ED350F">
      <w:pPr>
        <w:spacing w:line="400" w:lineRule="exact"/>
        <w:rPr>
          <w:rFonts w:ascii="宋体" w:hAnsi="宋体"/>
          <w:sz w:val="24"/>
        </w:rPr>
      </w:pPr>
      <w:r>
        <w:rPr>
          <w:rFonts w:hint="eastAsia" w:ascii="宋体" w:hAnsi="宋体"/>
          <w:sz w:val="24"/>
        </w:rPr>
        <w:t>说明：</w:t>
      </w:r>
    </w:p>
    <w:p w14:paraId="34196A66">
      <w:pPr>
        <w:pStyle w:val="53"/>
        <w:numPr>
          <w:ilvl w:val="0"/>
          <w:numId w:val="96"/>
        </w:numPr>
        <w:snapToGrid w:val="0"/>
        <w:spacing w:line="360" w:lineRule="auto"/>
        <w:ind w:firstLineChars="0"/>
        <w:rPr>
          <w:rFonts w:ascii="宋体" w:hAnsi="宋体"/>
          <w:sz w:val="24"/>
        </w:rPr>
      </w:pPr>
      <w:r>
        <w:rPr>
          <w:rFonts w:hint="eastAsia" w:ascii="宋体" w:hAnsi="宋体"/>
          <w:sz w:val="24"/>
        </w:rPr>
        <w:t>投标人必须对应招标文件条款逐条应答并按要求填写下表。</w:t>
      </w:r>
    </w:p>
    <w:p w14:paraId="4E139EE6">
      <w:pPr>
        <w:pStyle w:val="53"/>
        <w:numPr>
          <w:ilvl w:val="0"/>
          <w:numId w:val="96"/>
        </w:numPr>
        <w:snapToGrid w:val="0"/>
        <w:spacing w:line="360" w:lineRule="auto"/>
        <w:ind w:firstLineChars="0"/>
        <w:rPr>
          <w:rFonts w:ascii="宋体" w:hAnsi="宋体"/>
          <w:sz w:val="24"/>
        </w:rPr>
      </w:pPr>
      <w:r>
        <w:rPr>
          <w:rFonts w:hint="eastAsia" w:ascii="宋体" w:hAnsi="宋体"/>
          <w:sz w:val="24"/>
        </w:rPr>
        <w:t>投标人响应描述：</w:t>
      </w:r>
      <w:r>
        <w:rPr>
          <w:rFonts w:hint="eastAsia" w:ascii="宋体" w:hAnsi="宋体"/>
          <w:bCs/>
          <w:sz w:val="24"/>
        </w:rPr>
        <w:t>投标人按响应货物/服务实际数据填写。</w:t>
      </w:r>
    </w:p>
    <w:p w14:paraId="61C3C135">
      <w:pPr>
        <w:pStyle w:val="53"/>
        <w:numPr>
          <w:ilvl w:val="0"/>
          <w:numId w:val="96"/>
        </w:numPr>
        <w:snapToGrid w:val="0"/>
        <w:spacing w:line="360" w:lineRule="auto"/>
        <w:ind w:firstLineChars="0"/>
        <w:rPr>
          <w:rFonts w:ascii="宋体" w:hAnsi="宋体"/>
          <w:bCs/>
          <w:sz w:val="24"/>
        </w:rPr>
      </w:pPr>
      <w:r>
        <w:rPr>
          <w:rFonts w:hint="eastAsia" w:ascii="宋体" w:hAnsi="宋体"/>
          <w:bCs/>
          <w:sz w:val="24"/>
        </w:rPr>
        <w:t>投标人应按招标文件要求附相关证明文件，如有任何一项不响应或不满足的视为负偏离。</w:t>
      </w:r>
    </w:p>
    <w:p w14:paraId="2DD7FE6C">
      <w:pPr>
        <w:pStyle w:val="53"/>
        <w:numPr>
          <w:ilvl w:val="0"/>
          <w:numId w:val="96"/>
        </w:numPr>
        <w:snapToGrid w:val="0"/>
        <w:spacing w:line="360" w:lineRule="auto"/>
        <w:ind w:firstLineChars="0"/>
        <w:rPr>
          <w:rFonts w:ascii="宋体" w:hAnsi="宋体"/>
          <w:bCs/>
          <w:snapToGrid w:val="0"/>
          <w:sz w:val="24"/>
        </w:rPr>
      </w:pPr>
      <w:r>
        <w:rPr>
          <w:rFonts w:hint="eastAsia" w:ascii="宋体" w:hAnsi="宋体"/>
          <w:snapToGrid w:val="0"/>
          <w:sz w:val="24"/>
        </w:rPr>
        <w:t>偏离情况说明：投标人根据投标人实际情况填写“</w:t>
      </w:r>
      <w:r>
        <w:rPr>
          <w:rFonts w:hint="eastAsia"/>
          <w:snapToGrid w:val="0"/>
          <w:sz w:val="24"/>
        </w:rPr>
        <w:t>正偏离”“完全响应”或“负偏离</w:t>
      </w:r>
      <w:r>
        <w:rPr>
          <w:rFonts w:hint="eastAsia" w:ascii="宋体" w:hAnsi="宋体"/>
          <w:snapToGrid w:val="0"/>
          <w:sz w:val="24"/>
        </w:rPr>
        <w:t>”。</w:t>
      </w:r>
    </w:p>
    <w:p w14:paraId="52484BDA">
      <w:pPr>
        <w:widowControl/>
        <w:snapToGrid w:val="0"/>
        <w:spacing w:line="360" w:lineRule="auto"/>
        <w:rPr>
          <w:rFonts w:ascii="宋体" w:hAnsi="宋体"/>
          <w:sz w:val="24"/>
        </w:rPr>
      </w:pPr>
    </w:p>
    <w:p w14:paraId="2B54E07F">
      <w:pPr>
        <w:widowControl/>
        <w:snapToGrid w:val="0"/>
        <w:spacing w:line="360" w:lineRule="auto"/>
        <w:rPr>
          <w:rFonts w:ascii="宋体" w:hAnsi="宋体"/>
          <w:color w:val="FF0000"/>
          <w:sz w:val="24"/>
        </w:rPr>
      </w:pPr>
      <w:r>
        <w:rPr>
          <w:rFonts w:hint="eastAsia" w:ascii="宋体" w:hAnsi="宋体"/>
          <w:sz w:val="24"/>
        </w:rPr>
        <w:t>项目名称：</w:t>
      </w:r>
      <w:r>
        <w:rPr>
          <w:rFonts w:hint="eastAsia" w:ascii="宋体" w:hAnsi="宋体"/>
          <w:sz w:val="24"/>
          <w:lang w:eastAsia="zh-CN"/>
        </w:rPr>
        <w:t>南雄市人民医院食堂对外承包项目</w:t>
      </w:r>
      <w:r>
        <w:rPr>
          <w:rFonts w:ascii="宋体" w:hAnsi="宋体"/>
          <w:color w:val="FF0000"/>
          <w:sz w:val="24"/>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86"/>
        <w:gridCol w:w="2175"/>
        <w:gridCol w:w="2029"/>
        <w:gridCol w:w="1344"/>
      </w:tblGrid>
      <w:tr w14:paraId="51835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12" w:space="0"/>
              <w:bottom w:val="double" w:color="auto" w:sz="4" w:space="0"/>
            </w:tcBorders>
            <w:shd w:val="clear" w:color="auto" w:fill="EEECE1"/>
            <w:vAlign w:val="center"/>
          </w:tcPr>
          <w:p w14:paraId="72352640">
            <w:pPr>
              <w:snapToGrid w:val="0"/>
              <w:ind w:left="-68" w:leftChars="-34" w:right="-70" w:rightChars="-35"/>
              <w:jc w:val="center"/>
              <w:rPr>
                <w:rFonts w:ascii="宋体" w:hAnsi="宋体"/>
                <w:sz w:val="24"/>
              </w:rPr>
            </w:pPr>
            <w:r>
              <w:rPr>
                <w:rFonts w:hint="eastAsia" w:ascii="宋体" w:hAnsi="宋体"/>
                <w:sz w:val="24"/>
              </w:rPr>
              <w:t>序号</w:t>
            </w:r>
          </w:p>
        </w:tc>
        <w:tc>
          <w:tcPr>
            <w:tcW w:w="2786" w:type="dxa"/>
            <w:tcBorders>
              <w:top w:val="single" w:color="auto" w:sz="12" w:space="0"/>
              <w:bottom w:val="double" w:color="auto" w:sz="4" w:space="0"/>
            </w:tcBorders>
            <w:shd w:val="clear" w:color="auto" w:fill="EEECE1"/>
            <w:vAlign w:val="center"/>
          </w:tcPr>
          <w:p w14:paraId="7C095557">
            <w:pPr>
              <w:snapToGrid w:val="0"/>
              <w:ind w:left="-68" w:leftChars="-34" w:right="-70" w:rightChars="-35"/>
              <w:jc w:val="center"/>
              <w:rPr>
                <w:rFonts w:ascii="宋体" w:hAnsi="宋体"/>
                <w:sz w:val="24"/>
              </w:rPr>
            </w:pPr>
            <w:r>
              <w:rPr>
                <w:rFonts w:hint="eastAsia" w:ascii="宋体" w:hAnsi="宋体"/>
                <w:sz w:val="24"/>
              </w:rPr>
              <w:t>招标文件条款描述</w:t>
            </w:r>
          </w:p>
        </w:tc>
        <w:tc>
          <w:tcPr>
            <w:tcW w:w="2175" w:type="dxa"/>
            <w:tcBorders>
              <w:top w:val="single" w:color="auto" w:sz="12" w:space="0"/>
              <w:bottom w:val="double" w:color="auto" w:sz="4" w:space="0"/>
            </w:tcBorders>
            <w:shd w:val="clear" w:color="auto" w:fill="EEECE1"/>
            <w:vAlign w:val="center"/>
          </w:tcPr>
          <w:p w14:paraId="0D1BE09F">
            <w:pPr>
              <w:snapToGrid w:val="0"/>
              <w:ind w:left="-68" w:leftChars="-34" w:right="-70" w:rightChars="-35"/>
              <w:jc w:val="center"/>
              <w:rPr>
                <w:rFonts w:ascii="宋体" w:hAnsi="宋体"/>
                <w:sz w:val="24"/>
              </w:rPr>
            </w:pPr>
            <w:r>
              <w:rPr>
                <w:rFonts w:hint="eastAsia" w:ascii="宋体" w:hAnsi="宋体"/>
                <w:sz w:val="24"/>
              </w:rPr>
              <w:t>投标人响应描述</w:t>
            </w:r>
          </w:p>
        </w:tc>
        <w:tc>
          <w:tcPr>
            <w:tcW w:w="2029" w:type="dxa"/>
            <w:tcBorders>
              <w:top w:val="single" w:color="auto" w:sz="12" w:space="0"/>
              <w:bottom w:val="double" w:color="auto" w:sz="4" w:space="0"/>
            </w:tcBorders>
            <w:shd w:val="clear" w:color="auto" w:fill="EEECE1"/>
            <w:vAlign w:val="center"/>
          </w:tcPr>
          <w:p w14:paraId="0184EA8A">
            <w:pPr>
              <w:snapToGrid w:val="0"/>
              <w:ind w:left="-68" w:leftChars="-34" w:right="-70" w:rightChars="-35"/>
              <w:jc w:val="center"/>
              <w:rPr>
                <w:rFonts w:ascii="宋体" w:hAnsi="宋体"/>
                <w:sz w:val="24"/>
              </w:rPr>
            </w:pPr>
            <w:r>
              <w:rPr>
                <w:rFonts w:hint="eastAsia" w:ascii="宋体" w:hAnsi="宋体"/>
                <w:sz w:val="24"/>
              </w:rPr>
              <w:t>偏离情况说明</w:t>
            </w:r>
          </w:p>
        </w:tc>
        <w:tc>
          <w:tcPr>
            <w:tcW w:w="1344" w:type="dxa"/>
            <w:tcBorders>
              <w:top w:val="single" w:color="auto" w:sz="12" w:space="0"/>
              <w:bottom w:val="double" w:color="auto" w:sz="4" w:space="0"/>
            </w:tcBorders>
            <w:shd w:val="clear" w:color="auto" w:fill="EEECE1"/>
            <w:vAlign w:val="center"/>
          </w:tcPr>
          <w:p w14:paraId="63265B24">
            <w:pPr>
              <w:snapToGrid w:val="0"/>
              <w:ind w:left="-68" w:leftChars="-34" w:right="-70" w:rightChars="-35"/>
              <w:jc w:val="center"/>
              <w:rPr>
                <w:rFonts w:ascii="宋体" w:hAnsi="宋体"/>
                <w:sz w:val="24"/>
              </w:rPr>
            </w:pPr>
            <w:r>
              <w:rPr>
                <w:rFonts w:hint="eastAsia" w:ascii="宋体" w:hAnsi="宋体"/>
                <w:sz w:val="24"/>
              </w:rPr>
              <w:t>查阅/证明文件指引</w:t>
            </w:r>
          </w:p>
        </w:tc>
      </w:tr>
      <w:tr w14:paraId="3A5B7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14:paraId="36D23C2E">
            <w:pPr>
              <w:spacing w:line="400" w:lineRule="exact"/>
              <w:rPr>
                <w:rFonts w:ascii="宋体" w:hAnsi="宋体"/>
                <w:b/>
                <w:sz w:val="24"/>
              </w:rPr>
            </w:pPr>
            <w:r>
              <w:rPr>
                <w:rFonts w:hint="eastAsia"/>
                <w:b/>
                <w:sz w:val="24"/>
              </w:rPr>
              <w:t>（一）标注“★”的实质性</w:t>
            </w:r>
            <w:r>
              <w:rPr>
                <w:rFonts w:hint="eastAsia" w:ascii="宋体" w:hAnsi="宋体"/>
                <w:b/>
                <w:sz w:val="24"/>
              </w:rPr>
              <w:t>条款</w:t>
            </w:r>
          </w:p>
        </w:tc>
      </w:tr>
      <w:tr w14:paraId="240EA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61559DA1">
            <w:pPr>
              <w:numPr>
                <w:ilvl w:val="0"/>
                <w:numId w:val="97"/>
              </w:numPr>
              <w:jc w:val="center"/>
              <w:rPr>
                <w:rFonts w:ascii="宋体" w:hAnsi="宋体"/>
                <w:sz w:val="24"/>
              </w:rPr>
            </w:pPr>
          </w:p>
        </w:tc>
        <w:tc>
          <w:tcPr>
            <w:tcW w:w="2786" w:type="dxa"/>
            <w:vAlign w:val="center"/>
          </w:tcPr>
          <w:p w14:paraId="2C8D2306">
            <w:pPr>
              <w:spacing w:line="400" w:lineRule="exact"/>
              <w:jc w:val="center"/>
              <w:rPr>
                <w:rFonts w:ascii="宋体" w:hAnsi="宋体"/>
                <w:sz w:val="24"/>
              </w:rPr>
            </w:pPr>
          </w:p>
        </w:tc>
        <w:tc>
          <w:tcPr>
            <w:tcW w:w="2175" w:type="dxa"/>
            <w:vAlign w:val="center"/>
          </w:tcPr>
          <w:p w14:paraId="3D85687C">
            <w:pPr>
              <w:spacing w:line="400" w:lineRule="exact"/>
              <w:jc w:val="center"/>
              <w:rPr>
                <w:rFonts w:ascii="宋体" w:hAnsi="宋体"/>
                <w:sz w:val="24"/>
              </w:rPr>
            </w:pPr>
          </w:p>
        </w:tc>
        <w:tc>
          <w:tcPr>
            <w:tcW w:w="2029" w:type="dxa"/>
            <w:vAlign w:val="center"/>
          </w:tcPr>
          <w:p w14:paraId="42062594">
            <w:pPr>
              <w:spacing w:line="400" w:lineRule="exact"/>
              <w:jc w:val="center"/>
              <w:rPr>
                <w:rFonts w:ascii="宋体" w:hAnsi="宋体"/>
                <w:sz w:val="24"/>
              </w:rPr>
            </w:pPr>
          </w:p>
        </w:tc>
        <w:tc>
          <w:tcPr>
            <w:tcW w:w="1344" w:type="dxa"/>
            <w:vAlign w:val="center"/>
          </w:tcPr>
          <w:p w14:paraId="00DC7204">
            <w:pPr>
              <w:spacing w:line="400" w:lineRule="exact"/>
              <w:jc w:val="center"/>
              <w:rPr>
                <w:rFonts w:ascii="宋体" w:hAnsi="宋体"/>
                <w:sz w:val="24"/>
              </w:rPr>
            </w:pPr>
          </w:p>
        </w:tc>
      </w:tr>
      <w:tr w14:paraId="00257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626A4732">
            <w:pPr>
              <w:numPr>
                <w:ilvl w:val="0"/>
                <w:numId w:val="97"/>
              </w:numPr>
              <w:jc w:val="center"/>
              <w:rPr>
                <w:rFonts w:ascii="宋体" w:hAnsi="宋体"/>
                <w:sz w:val="24"/>
              </w:rPr>
            </w:pPr>
          </w:p>
        </w:tc>
        <w:tc>
          <w:tcPr>
            <w:tcW w:w="2786" w:type="dxa"/>
            <w:vAlign w:val="center"/>
          </w:tcPr>
          <w:p w14:paraId="223A284A">
            <w:pPr>
              <w:spacing w:line="400" w:lineRule="exact"/>
              <w:jc w:val="center"/>
              <w:rPr>
                <w:rFonts w:ascii="宋体" w:hAnsi="宋体"/>
                <w:sz w:val="24"/>
              </w:rPr>
            </w:pPr>
          </w:p>
        </w:tc>
        <w:tc>
          <w:tcPr>
            <w:tcW w:w="2175" w:type="dxa"/>
            <w:vAlign w:val="center"/>
          </w:tcPr>
          <w:p w14:paraId="2C2855E2">
            <w:pPr>
              <w:spacing w:line="400" w:lineRule="exact"/>
              <w:jc w:val="center"/>
              <w:rPr>
                <w:rFonts w:ascii="宋体" w:hAnsi="宋体"/>
                <w:sz w:val="24"/>
              </w:rPr>
            </w:pPr>
          </w:p>
        </w:tc>
        <w:tc>
          <w:tcPr>
            <w:tcW w:w="2029" w:type="dxa"/>
            <w:vAlign w:val="center"/>
          </w:tcPr>
          <w:p w14:paraId="22737F04">
            <w:pPr>
              <w:spacing w:line="400" w:lineRule="exact"/>
              <w:jc w:val="center"/>
              <w:rPr>
                <w:rFonts w:ascii="宋体" w:hAnsi="宋体"/>
                <w:sz w:val="24"/>
              </w:rPr>
            </w:pPr>
          </w:p>
        </w:tc>
        <w:tc>
          <w:tcPr>
            <w:tcW w:w="1344" w:type="dxa"/>
            <w:vAlign w:val="center"/>
          </w:tcPr>
          <w:p w14:paraId="43DC93F8">
            <w:pPr>
              <w:spacing w:line="400" w:lineRule="exact"/>
              <w:jc w:val="center"/>
              <w:rPr>
                <w:rFonts w:ascii="宋体" w:hAnsi="宋体"/>
                <w:sz w:val="24"/>
              </w:rPr>
            </w:pPr>
          </w:p>
        </w:tc>
      </w:tr>
      <w:tr w14:paraId="0842B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376A1A27">
            <w:pPr>
              <w:ind w:left="180"/>
              <w:jc w:val="center"/>
              <w:rPr>
                <w:rFonts w:ascii="宋体" w:hAnsi="宋体"/>
                <w:sz w:val="24"/>
              </w:rPr>
            </w:pPr>
            <w:r>
              <w:rPr>
                <w:rFonts w:ascii="宋体" w:hAnsi="宋体"/>
                <w:sz w:val="24"/>
              </w:rPr>
              <w:t>…</w:t>
            </w:r>
          </w:p>
        </w:tc>
        <w:tc>
          <w:tcPr>
            <w:tcW w:w="2786" w:type="dxa"/>
            <w:vAlign w:val="center"/>
          </w:tcPr>
          <w:p w14:paraId="7C7A0CC7">
            <w:pPr>
              <w:spacing w:line="400" w:lineRule="exact"/>
              <w:jc w:val="center"/>
              <w:rPr>
                <w:rFonts w:ascii="宋体" w:hAnsi="宋体"/>
                <w:sz w:val="24"/>
              </w:rPr>
            </w:pPr>
          </w:p>
        </w:tc>
        <w:tc>
          <w:tcPr>
            <w:tcW w:w="2175" w:type="dxa"/>
            <w:vAlign w:val="center"/>
          </w:tcPr>
          <w:p w14:paraId="714928DF">
            <w:pPr>
              <w:spacing w:line="400" w:lineRule="exact"/>
              <w:jc w:val="center"/>
              <w:rPr>
                <w:rFonts w:ascii="宋体" w:hAnsi="宋体"/>
                <w:sz w:val="24"/>
              </w:rPr>
            </w:pPr>
          </w:p>
        </w:tc>
        <w:tc>
          <w:tcPr>
            <w:tcW w:w="2029" w:type="dxa"/>
            <w:vAlign w:val="center"/>
          </w:tcPr>
          <w:p w14:paraId="1EB1F983">
            <w:pPr>
              <w:spacing w:line="400" w:lineRule="exact"/>
              <w:jc w:val="center"/>
              <w:rPr>
                <w:rFonts w:ascii="宋体" w:hAnsi="宋体"/>
                <w:sz w:val="24"/>
              </w:rPr>
            </w:pPr>
          </w:p>
        </w:tc>
        <w:tc>
          <w:tcPr>
            <w:tcW w:w="1344" w:type="dxa"/>
            <w:vAlign w:val="center"/>
          </w:tcPr>
          <w:p w14:paraId="2CBDCBDE">
            <w:pPr>
              <w:spacing w:line="400" w:lineRule="exact"/>
              <w:jc w:val="center"/>
              <w:rPr>
                <w:rFonts w:ascii="宋体" w:hAnsi="宋体"/>
                <w:sz w:val="24"/>
              </w:rPr>
            </w:pPr>
          </w:p>
        </w:tc>
      </w:tr>
      <w:tr w14:paraId="22E9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026" w:type="dxa"/>
            <w:gridSpan w:val="5"/>
            <w:vAlign w:val="center"/>
          </w:tcPr>
          <w:p w14:paraId="034FAE9A">
            <w:pPr>
              <w:spacing w:line="400" w:lineRule="exact"/>
              <w:rPr>
                <w:rFonts w:ascii="宋体" w:hAnsi="宋体" w:cs="宋体"/>
                <w:sz w:val="24"/>
              </w:rPr>
            </w:pPr>
            <w:r>
              <w:rPr>
                <w:rFonts w:hint="eastAsia"/>
                <w:b/>
                <w:sz w:val="24"/>
              </w:rPr>
              <w:t>（二）</w:t>
            </w:r>
            <w:r>
              <w:rPr>
                <w:rFonts w:hint="eastAsia" w:ascii="宋体" w:hAnsi="宋体"/>
                <w:b/>
                <w:sz w:val="24"/>
              </w:rPr>
              <w:t>技术</w:t>
            </w:r>
            <w:r>
              <w:rPr>
                <w:rFonts w:hint="eastAsia"/>
                <w:b/>
                <w:sz w:val="24"/>
              </w:rPr>
              <w:t>条款</w:t>
            </w:r>
          </w:p>
        </w:tc>
      </w:tr>
      <w:tr w14:paraId="0ABC8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05474E70">
            <w:pPr>
              <w:numPr>
                <w:ilvl w:val="0"/>
                <w:numId w:val="98"/>
              </w:numPr>
              <w:jc w:val="center"/>
              <w:rPr>
                <w:rFonts w:ascii="宋体" w:hAnsi="宋体"/>
                <w:sz w:val="24"/>
              </w:rPr>
            </w:pPr>
          </w:p>
        </w:tc>
        <w:tc>
          <w:tcPr>
            <w:tcW w:w="2786" w:type="dxa"/>
            <w:vAlign w:val="center"/>
          </w:tcPr>
          <w:p w14:paraId="1B98DF81">
            <w:pPr>
              <w:spacing w:line="400" w:lineRule="exact"/>
              <w:jc w:val="center"/>
              <w:rPr>
                <w:rFonts w:ascii="宋体" w:hAnsi="宋体"/>
                <w:sz w:val="24"/>
              </w:rPr>
            </w:pPr>
          </w:p>
        </w:tc>
        <w:tc>
          <w:tcPr>
            <w:tcW w:w="2175" w:type="dxa"/>
            <w:vAlign w:val="center"/>
          </w:tcPr>
          <w:p w14:paraId="52C30FE9">
            <w:pPr>
              <w:spacing w:line="400" w:lineRule="exact"/>
              <w:jc w:val="center"/>
              <w:rPr>
                <w:rFonts w:ascii="宋体" w:hAnsi="宋体"/>
                <w:sz w:val="24"/>
              </w:rPr>
            </w:pPr>
          </w:p>
        </w:tc>
        <w:tc>
          <w:tcPr>
            <w:tcW w:w="2029" w:type="dxa"/>
            <w:vAlign w:val="center"/>
          </w:tcPr>
          <w:p w14:paraId="20463264">
            <w:pPr>
              <w:spacing w:line="400" w:lineRule="exact"/>
              <w:jc w:val="center"/>
              <w:rPr>
                <w:rFonts w:ascii="宋体" w:hAnsi="宋体"/>
                <w:sz w:val="24"/>
              </w:rPr>
            </w:pPr>
          </w:p>
        </w:tc>
        <w:tc>
          <w:tcPr>
            <w:tcW w:w="1344" w:type="dxa"/>
            <w:vAlign w:val="center"/>
          </w:tcPr>
          <w:p w14:paraId="4007EA83">
            <w:pPr>
              <w:spacing w:line="400" w:lineRule="exact"/>
              <w:jc w:val="center"/>
              <w:rPr>
                <w:rFonts w:ascii="宋体" w:hAnsi="宋体" w:cs="宋体"/>
                <w:color w:val="FF0000"/>
                <w:sz w:val="24"/>
              </w:rPr>
            </w:pPr>
          </w:p>
        </w:tc>
      </w:tr>
      <w:tr w14:paraId="51BF8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7DD3E33B">
            <w:pPr>
              <w:numPr>
                <w:ilvl w:val="0"/>
                <w:numId w:val="98"/>
              </w:numPr>
              <w:jc w:val="center"/>
              <w:rPr>
                <w:rFonts w:ascii="宋体" w:hAnsi="宋体"/>
                <w:sz w:val="24"/>
              </w:rPr>
            </w:pPr>
          </w:p>
        </w:tc>
        <w:tc>
          <w:tcPr>
            <w:tcW w:w="2786" w:type="dxa"/>
            <w:vAlign w:val="center"/>
          </w:tcPr>
          <w:p w14:paraId="44C149D7">
            <w:pPr>
              <w:spacing w:line="400" w:lineRule="exact"/>
              <w:jc w:val="center"/>
              <w:rPr>
                <w:rFonts w:ascii="宋体" w:hAnsi="宋体"/>
                <w:sz w:val="24"/>
              </w:rPr>
            </w:pPr>
          </w:p>
        </w:tc>
        <w:tc>
          <w:tcPr>
            <w:tcW w:w="2175" w:type="dxa"/>
            <w:vAlign w:val="center"/>
          </w:tcPr>
          <w:p w14:paraId="463A9D3D">
            <w:pPr>
              <w:spacing w:line="400" w:lineRule="exact"/>
              <w:jc w:val="center"/>
              <w:rPr>
                <w:rFonts w:ascii="宋体" w:hAnsi="宋体"/>
                <w:sz w:val="24"/>
              </w:rPr>
            </w:pPr>
          </w:p>
        </w:tc>
        <w:tc>
          <w:tcPr>
            <w:tcW w:w="2029" w:type="dxa"/>
            <w:vAlign w:val="center"/>
          </w:tcPr>
          <w:p w14:paraId="51AF08B9">
            <w:pPr>
              <w:spacing w:line="400" w:lineRule="exact"/>
              <w:jc w:val="center"/>
              <w:rPr>
                <w:rFonts w:ascii="宋体" w:hAnsi="宋体"/>
                <w:sz w:val="24"/>
              </w:rPr>
            </w:pPr>
          </w:p>
        </w:tc>
        <w:tc>
          <w:tcPr>
            <w:tcW w:w="1344" w:type="dxa"/>
            <w:vAlign w:val="center"/>
          </w:tcPr>
          <w:p w14:paraId="42EE79B3">
            <w:pPr>
              <w:spacing w:line="400" w:lineRule="exact"/>
              <w:jc w:val="center"/>
              <w:rPr>
                <w:rFonts w:ascii="宋体" w:hAnsi="宋体" w:cs="宋体"/>
                <w:color w:val="FF0000"/>
                <w:sz w:val="24"/>
              </w:rPr>
            </w:pPr>
          </w:p>
        </w:tc>
      </w:tr>
      <w:tr w14:paraId="1A5ED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3CEB9344">
            <w:pPr>
              <w:ind w:left="180"/>
              <w:rPr>
                <w:rFonts w:ascii="宋体" w:hAnsi="宋体"/>
                <w:sz w:val="24"/>
              </w:rPr>
            </w:pPr>
            <w:r>
              <w:rPr>
                <w:rFonts w:ascii="宋体" w:hAnsi="宋体"/>
                <w:sz w:val="24"/>
              </w:rPr>
              <w:t>…</w:t>
            </w:r>
          </w:p>
        </w:tc>
        <w:tc>
          <w:tcPr>
            <w:tcW w:w="2786" w:type="dxa"/>
            <w:vAlign w:val="center"/>
          </w:tcPr>
          <w:p w14:paraId="347D5F30">
            <w:pPr>
              <w:spacing w:line="400" w:lineRule="exact"/>
              <w:jc w:val="center"/>
              <w:rPr>
                <w:rFonts w:ascii="宋体" w:hAnsi="宋体"/>
                <w:sz w:val="24"/>
              </w:rPr>
            </w:pPr>
          </w:p>
        </w:tc>
        <w:tc>
          <w:tcPr>
            <w:tcW w:w="2175" w:type="dxa"/>
            <w:vAlign w:val="center"/>
          </w:tcPr>
          <w:p w14:paraId="48B972DA">
            <w:pPr>
              <w:spacing w:line="400" w:lineRule="exact"/>
              <w:jc w:val="center"/>
              <w:rPr>
                <w:rFonts w:ascii="宋体" w:hAnsi="宋体"/>
                <w:sz w:val="24"/>
              </w:rPr>
            </w:pPr>
          </w:p>
        </w:tc>
        <w:tc>
          <w:tcPr>
            <w:tcW w:w="2029" w:type="dxa"/>
            <w:vAlign w:val="center"/>
          </w:tcPr>
          <w:p w14:paraId="0D77FACD">
            <w:pPr>
              <w:spacing w:line="400" w:lineRule="exact"/>
              <w:jc w:val="center"/>
              <w:rPr>
                <w:rFonts w:ascii="宋体" w:hAnsi="宋体"/>
                <w:sz w:val="24"/>
              </w:rPr>
            </w:pPr>
          </w:p>
        </w:tc>
        <w:tc>
          <w:tcPr>
            <w:tcW w:w="1344" w:type="dxa"/>
            <w:vAlign w:val="center"/>
          </w:tcPr>
          <w:p w14:paraId="4EDD49A3">
            <w:pPr>
              <w:spacing w:line="400" w:lineRule="exact"/>
              <w:jc w:val="center"/>
              <w:rPr>
                <w:rFonts w:ascii="宋体" w:hAnsi="宋体" w:cs="宋体"/>
                <w:color w:val="FF0000"/>
                <w:sz w:val="24"/>
              </w:rPr>
            </w:pPr>
          </w:p>
        </w:tc>
      </w:tr>
      <w:tr w14:paraId="2EAF2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14:paraId="427C1E9C">
            <w:pPr>
              <w:spacing w:line="400" w:lineRule="exact"/>
              <w:rPr>
                <w:rFonts w:ascii="宋体" w:hAnsi="宋体"/>
                <w:b/>
                <w:sz w:val="24"/>
              </w:rPr>
            </w:pPr>
            <w:r>
              <w:rPr>
                <w:rFonts w:hint="eastAsia" w:ascii="宋体" w:hAnsi="宋体"/>
                <w:b/>
                <w:sz w:val="24"/>
              </w:rPr>
              <w:t>（三）</w:t>
            </w:r>
            <w:r>
              <w:rPr>
                <w:rFonts w:hint="eastAsia" w:ascii="宋体" w:hAnsi="宋体"/>
                <w:b/>
                <w:sz w:val="24"/>
                <w:lang w:val="en-US" w:eastAsia="zh-CN"/>
              </w:rPr>
              <w:t>商务</w:t>
            </w:r>
            <w:r>
              <w:rPr>
                <w:rFonts w:hint="eastAsia"/>
                <w:b/>
                <w:sz w:val="24"/>
              </w:rPr>
              <w:t>条款</w:t>
            </w:r>
          </w:p>
        </w:tc>
      </w:tr>
      <w:tr w14:paraId="218F7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10C3E4A7">
            <w:pPr>
              <w:numPr>
                <w:ilvl w:val="0"/>
                <w:numId w:val="99"/>
              </w:numPr>
              <w:jc w:val="center"/>
              <w:rPr>
                <w:rFonts w:ascii="宋体" w:hAnsi="宋体"/>
                <w:sz w:val="24"/>
              </w:rPr>
            </w:pPr>
          </w:p>
        </w:tc>
        <w:tc>
          <w:tcPr>
            <w:tcW w:w="2786" w:type="dxa"/>
            <w:vAlign w:val="center"/>
          </w:tcPr>
          <w:p w14:paraId="46278860">
            <w:pPr>
              <w:spacing w:line="400" w:lineRule="exact"/>
              <w:jc w:val="center"/>
              <w:rPr>
                <w:rFonts w:ascii="宋体" w:hAnsi="宋体"/>
                <w:sz w:val="24"/>
              </w:rPr>
            </w:pPr>
          </w:p>
        </w:tc>
        <w:tc>
          <w:tcPr>
            <w:tcW w:w="2175" w:type="dxa"/>
            <w:vAlign w:val="center"/>
          </w:tcPr>
          <w:p w14:paraId="75A79D12">
            <w:pPr>
              <w:spacing w:line="400" w:lineRule="exact"/>
              <w:jc w:val="center"/>
              <w:rPr>
                <w:rFonts w:ascii="宋体" w:hAnsi="宋体"/>
                <w:sz w:val="24"/>
              </w:rPr>
            </w:pPr>
          </w:p>
        </w:tc>
        <w:tc>
          <w:tcPr>
            <w:tcW w:w="2029" w:type="dxa"/>
            <w:vAlign w:val="center"/>
          </w:tcPr>
          <w:p w14:paraId="3A419F58">
            <w:pPr>
              <w:spacing w:line="400" w:lineRule="exact"/>
              <w:jc w:val="center"/>
              <w:rPr>
                <w:rFonts w:ascii="宋体" w:hAnsi="宋体"/>
                <w:sz w:val="24"/>
              </w:rPr>
            </w:pPr>
          </w:p>
        </w:tc>
        <w:tc>
          <w:tcPr>
            <w:tcW w:w="1344" w:type="dxa"/>
            <w:vAlign w:val="center"/>
          </w:tcPr>
          <w:p w14:paraId="028ACAB7">
            <w:pPr>
              <w:spacing w:line="400" w:lineRule="exact"/>
              <w:jc w:val="center"/>
              <w:rPr>
                <w:rFonts w:ascii="宋体" w:hAnsi="宋体"/>
                <w:sz w:val="24"/>
              </w:rPr>
            </w:pPr>
          </w:p>
        </w:tc>
      </w:tr>
      <w:tr w14:paraId="0CBF0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17C19978">
            <w:pPr>
              <w:numPr>
                <w:ilvl w:val="0"/>
                <w:numId w:val="99"/>
              </w:numPr>
              <w:jc w:val="center"/>
              <w:rPr>
                <w:rFonts w:ascii="宋体" w:hAnsi="宋体"/>
                <w:sz w:val="24"/>
              </w:rPr>
            </w:pPr>
          </w:p>
        </w:tc>
        <w:tc>
          <w:tcPr>
            <w:tcW w:w="2786" w:type="dxa"/>
            <w:vAlign w:val="center"/>
          </w:tcPr>
          <w:p w14:paraId="792944F7">
            <w:pPr>
              <w:spacing w:line="400" w:lineRule="exact"/>
              <w:jc w:val="center"/>
              <w:rPr>
                <w:rFonts w:ascii="宋体" w:hAnsi="宋体"/>
                <w:sz w:val="24"/>
              </w:rPr>
            </w:pPr>
          </w:p>
        </w:tc>
        <w:tc>
          <w:tcPr>
            <w:tcW w:w="2175" w:type="dxa"/>
            <w:vAlign w:val="center"/>
          </w:tcPr>
          <w:p w14:paraId="3F47B6A9">
            <w:pPr>
              <w:spacing w:line="400" w:lineRule="exact"/>
              <w:jc w:val="center"/>
              <w:rPr>
                <w:rFonts w:ascii="宋体" w:hAnsi="宋体"/>
                <w:sz w:val="24"/>
              </w:rPr>
            </w:pPr>
          </w:p>
        </w:tc>
        <w:tc>
          <w:tcPr>
            <w:tcW w:w="2029" w:type="dxa"/>
            <w:vAlign w:val="center"/>
          </w:tcPr>
          <w:p w14:paraId="3D373FD8">
            <w:pPr>
              <w:spacing w:line="400" w:lineRule="exact"/>
              <w:jc w:val="center"/>
              <w:rPr>
                <w:rFonts w:ascii="宋体" w:hAnsi="宋体"/>
                <w:sz w:val="24"/>
              </w:rPr>
            </w:pPr>
          </w:p>
        </w:tc>
        <w:tc>
          <w:tcPr>
            <w:tcW w:w="1344" w:type="dxa"/>
            <w:vAlign w:val="center"/>
          </w:tcPr>
          <w:p w14:paraId="0B992221">
            <w:pPr>
              <w:spacing w:line="400" w:lineRule="exact"/>
              <w:jc w:val="center"/>
              <w:rPr>
                <w:rFonts w:ascii="宋体" w:hAnsi="宋体"/>
                <w:sz w:val="24"/>
              </w:rPr>
            </w:pPr>
          </w:p>
        </w:tc>
      </w:tr>
      <w:tr w14:paraId="09FF4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182CF4F4">
            <w:pPr>
              <w:ind w:left="180"/>
              <w:rPr>
                <w:rFonts w:ascii="宋体" w:hAnsi="宋体"/>
                <w:sz w:val="24"/>
              </w:rPr>
            </w:pPr>
            <w:r>
              <w:rPr>
                <w:rFonts w:ascii="宋体" w:hAnsi="宋体"/>
                <w:sz w:val="24"/>
              </w:rPr>
              <w:t>…</w:t>
            </w:r>
          </w:p>
        </w:tc>
        <w:tc>
          <w:tcPr>
            <w:tcW w:w="2786" w:type="dxa"/>
            <w:vAlign w:val="center"/>
          </w:tcPr>
          <w:p w14:paraId="0FBDFE99">
            <w:pPr>
              <w:spacing w:line="400" w:lineRule="exact"/>
              <w:jc w:val="center"/>
              <w:rPr>
                <w:rFonts w:ascii="宋体" w:hAnsi="宋体"/>
                <w:sz w:val="24"/>
              </w:rPr>
            </w:pPr>
          </w:p>
        </w:tc>
        <w:tc>
          <w:tcPr>
            <w:tcW w:w="2175" w:type="dxa"/>
            <w:vAlign w:val="center"/>
          </w:tcPr>
          <w:p w14:paraId="06DCF1C7">
            <w:pPr>
              <w:spacing w:line="400" w:lineRule="exact"/>
              <w:jc w:val="center"/>
              <w:rPr>
                <w:rFonts w:ascii="宋体" w:hAnsi="宋体"/>
                <w:sz w:val="24"/>
              </w:rPr>
            </w:pPr>
          </w:p>
        </w:tc>
        <w:tc>
          <w:tcPr>
            <w:tcW w:w="2029" w:type="dxa"/>
            <w:vAlign w:val="center"/>
          </w:tcPr>
          <w:p w14:paraId="653409A0">
            <w:pPr>
              <w:spacing w:line="400" w:lineRule="exact"/>
              <w:jc w:val="center"/>
              <w:rPr>
                <w:rFonts w:ascii="宋体" w:hAnsi="宋体"/>
                <w:sz w:val="24"/>
              </w:rPr>
            </w:pPr>
          </w:p>
        </w:tc>
        <w:tc>
          <w:tcPr>
            <w:tcW w:w="1344" w:type="dxa"/>
            <w:vAlign w:val="center"/>
          </w:tcPr>
          <w:p w14:paraId="18623105">
            <w:pPr>
              <w:spacing w:line="400" w:lineRule="exact"/>
              <w:jc w:val="center"/>
              <w:rPr>
                <w:rFonts w:ascii="宋体" w:hAnsi="宋体" w:cs="宋体"/>
                <w:color w:val="FF0000"/>
                <w:sz w:val="24"/>
              </w:rPr>
            </w:pPr>
          </w:p>
        </w:tc>
      </w:tr>
    </w:tbl>
    <w:p w14:paraId="64450085">
      <w:pPr>
        <w:spacing w:line="500" w:lineRule="exact"/>
        <w:ind w:firstLine="124" w:firstLineChars="50"/>
        <w:rPr>
          <w:rFonts w:ascii="宋体" w:hAnsi="宋体"/>
          <w:color w:val="000000"/>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14:paraId="4631DFAF">
      <w:pPr>
        <w:spacing w:line="500" w:lineRule="exact"/>
        <w:ind w:firstLine="124" w:firstLineChars="50"/>
        <w:rPr>
          <w:spacing w:val="4"/>
          <w:sz w:val="24"/>
          <w:szCs w:val="22"/>
        </w:rPr>
      </w:pPr>
      <w:r>
        <w:rPr>
          <w:rFonts w:hint="eastAsia"/>
          <w:spacing w:val="4"/>
          <w:sz w:val="24"/>
          <w:szCs w:val="22"/>
        </w:rPr>
        <w:t>日期：</w:t>
      </w:r>
    </w:p>
    <w:p w14:paraId="592BE61F">
      <w:pPr>
        <w:keepNext w:val="0"/>
        <w:keepLines w:val="0"/>
        <w:autoSpaceDE/>
        <w:autoSpaceDN/>
        <w:adjustRightInd/>
        <w:snapToGrid/>
        <w:spacing w:before="0" w:after="0" w:afterLines="-2147483648" w:line="240" w:lineRule="auto"/>
        <w:jc w:val="left"/>
        <w:outlineLvl w:val="9"/>
        <w:rPr>
          <w:rFonts w:hint="eastAsia" w:ascii="宋体" w:hAnsi="宋体" w:cs="宋体"/>
          <w:b/>
          <w:kern w:val="2"/>
          <w:sz w:val="32"/>
          <w:szCs w:val="32"/>
        </w:rPr>
      </w:pPr>
      <w:bookmarkStart w:id="148" w:name="_Toc23578"/>
      <w:bookmarkStart w:id="149" w:name="_Toc22082"/>
      <w:bookmarkStart w:id="150" w:name="_Toc11692"/>
      <w:r>
        <w:rPr>
          <w:rFonts w:hint="eastAsia" w:ascii="宋体" w:hAnsi="宋体" w:cs="宋体"/>
          <w:b/>
          <w:kern w:val="2"/>
          <w:sz w:val="32"/>
          <w:szCs w:val="32"/>
        </w:rPr>
        <w:br w:type="page"/>
      </w:r>
    </w:p>
    <w:p w14:paraId="025F0F99">
      <w:pPr>
        <w:keepNext/>
        <w:keepLines/>
        <w:autoSpaceDE/>
        <w:autoSpaceDN/>
        <w:adjustRightInd/>
        <w:snapToGrid w:val="0"/>
        <w:spacing w:before="120" w:after="156" w:afterLines="50" w:line="276" w:lineRule="auto"/>
        <w:jc w:val="center"/>
        <w:outlineLvl w:val="1"/>
        <w:rPr>
          <w:rFonts w:ascii="黑体" w:hAnsi="黑体" w:eastAsia="黑体"/>
          <w:sz w:val="32"/>
          <w:szCs w:val="32"/>
        </w:rPr>
      </w:pPr>
      <w:r>
        <w:rPr>
          <w:rFonts w:hint="eastAsia" w:ascii="宋体" w:hAnsi="宋体" w:cs="宋体"/>
          <w:b/>
          <w:kern w:val="2"/>
          <w:sz w:val="32"/>
          <w:szCs w:val="32"/>
        </w:rPr>
        <w:t>承诺函</w:t>
      </w:r>
      <w:bookmarkEnd w:id="148"/>
      <w:bookmarkEnd w:id="149"/>
      <w:bookmarkEnd w:id="150"/>
    </w:p>
    <w:p w14:paraId="7E17C40D">
      <w:pPr>
        <w:spacing w:line="480" w:lineRule="auto"/>
        <w:rPr>
          <w:rFonts w:ascii="宋体" w:hAnsi="宋体" w:cs="宋体"/>
          <w:b/>
          <w:sz w:val="24"/>
          <w:szCs w:val="24"/>
        </w:rPr>
      </w:pPr>
      <w:r>
        <w:rPr>
          <w:rFonts w:hint="eastAsia" w:ascii="宋体" w:hAnsi="宋体" w:cs="宋体"/>
          <w:b/>
          <w:sz w:val="24"/>
          <w:szCs w:val="24"/>
          <w:highlight w:val="none"/>
          <w:lang w:eastAsia="zh-CN"/>
        </w:rPr>
        <w:t>南雄市人民医院</w:t>
      </w:r>
      <w:r>
        <w:rPr>
          <w:rFonts w:hint="eastAsia" w:ascii="宋体" w:hAnsi="宋体" w:cs="宋体"/>
          <w:b/>
          <w:sz w:val="24"/>
          <w:szCs w:val="24"/>
          <w:highlight w:val="none"/>
        </w:rPr>
        <w:t>、</w:t>
      </w:r>
      <w:r>
        <w:rPr>
          <w:rFonts w:hint="eastAsia" w:ascii="宋体" w:hAnsi="宋体" w:cs="宋体"/>
          <w:b/>
          <w:sz w:val="24"/>
          <w:szCs w:val="24"/>
          <w:lang w:eastAsia="zh-CN"/>
        </w:rPr>
        <w:t>韶关市采联采购招标有限公司</w:t>
      </w:r>
      <w:r>
        <w:rPr>
          <w:rFonts w:hint="eastAsia" w:ascii="宋体" w:hAnsi="宋体" w:cs="宋体"/>
          <w:b/>
          <w:sz w:val="24"/>
          <w:szCs w:val="24"/>
        </w:rPr>
        <w:t>：</w:t>
      </w:r>
    </w:p>
    <w:p w14:paraId="70C91038">
      <w:pPr>
        <w:snapToGrid w:val="0"/>
        <w:spacing w:before="156" w:beforeLines="50" w:line="480" w:lineRule="auto"/>
        <w:ind w:firstLine="600" w:firstLineChars="250"/>
        <w:rPr>
          <w:rFonts w:ascii="宋体" w:hAnsi="宋体" w:cs="宋体"/>
          <w:sz w:val="24"/>
          <w:szCs w:val="24"/>
        </w:rPr>
      </w:pPr>
      <w:r>
        <w:rPr>
          <w:rFonts w:hint="eastAsia" w:ascii="宋体" w:hAnsi="宋体" w:cs="宋体"/>
          <w:sz w:val="24"/>
          <w:szCs w:val="24"/>
        </w:rPr>
        <w:t>关于贵单位___年____月___日发布</w:t>
      </w:r>
      <w:r>
        <w:rPr>
          <w:rFonts w:hint="eastAsia" w:ascii="宋体" w:hAnsi="宋体" w:cs="宋体"/>
          <w:sz w:val="24"/>
          <w:szCs w:val="24"/>
          <w:u w:val="single"/>
          <w:lang w:eastAsia="zh-CN"/>
        </w:rPr>
        <w:t>南雄市人民医院食堂对外承包项目</w:t>
      </w:r>
      <w:r>
        <w:rPr>
          <w:rFonts w:hint="eastAsia" w:ascii="宋体" w:hAnsi="宋体" w:cs="宋体"/>
          <w:sz w:val="24"/>
          <w:szCs w:val="24"/>
          <w:u w:val="single"/>
        </w:rPr>
        <w:t>（招标编号：(项目编号））</w:t>
      </w:r>
      <w:r>
        <w:rPr>
          <w:rFonts w:hint="eastAsia" w:ascii="宋体" w:hAnsi="宋体" w:cs="宋体"/>
          <w:sz w:val="24"/>
          <w:szCs w:val="24"/>
        </w:rPr>
        <w:t>的采购公告，本单位愿意参加投标，并承诺：</w:t>
      </w:r>
    </w:p>
    <w:p w14:paraId="6C802AF4">
      <w:pPr>
        <w:snapToGrid w:val="0"/>
        <w:spacing w:before="156" w:beforeLines="50" w:line="480" w:lineRule="auto"/>
        <w:ind w:firstLine="600" w:firstLineChars="250"/>
        <w:rPr>
          <w:rFonts w:ascii="宋体" w:hAnsi="宋体" w:cs="宋体"/>
          <w:sz w:val="22"/>
          <w:szCs w:val="22"/>
        </w:rPr>
      </w:pPr>
      <w:r>
        <w:rPr>
          <w:rFonts w:hint="eastAsia" w:ascii="宋体" w:hAnsi="宋体" w:cs="宋体"/>
          <w:color w:val="auto"/>
          <w:kern w:val="2"/>
          <w:sz w:val="24"/>
          <w:szCs w:val="32"/>
          <w:highlight w:val="none"/>
        </w:rPr>
        <w:t>（根据项目实际要求填写）</w:t>
      </w:r>
    </w:p>
    <w:p w14:paraId="0BFCC12A">
      <w:pPr>
        <w:autoSpaceDE/>
        <w:autoSpaceDN/>
        <w:adjustRightInd/>
        <w:spacing w:line="360" w:lineRule="auto"/>
        <w:ind w:firstLine="484" w:firstLineChars="202"/>
        <w:jc w:val="both"/>
        <w:rPr>
          <w:rFonts w:ascii="宋体" w:hAnsi="宋体" w:cs="宋体"/>
          <w:sz w:val="24"/>
          <w:szCs w:val="24"/>
        </w:rPr>
      </w:pPr>
      <w:r>
        <w:rPr>
          <w:rFonts w:hint="eastAsia" w:ascii="宋体" w:hAnsi="宋体" w:cs="宋体"/>
          <w:sz w:val="24"/>
          <w:szCs w:val="24"/>
        </w:rPr>
        <w:t>如有弄虚作假行为，所造成的损失、不良后果及法律责任，一律由我单位承担。</w:t>
      </w:r>
    </w:p>
    <w:p w14:paraId="7A8B18BC">
      <w:pPr>
        <w:spacing w:line="480" w:lineRule="auto"/>
        <w:rPr>
          <w:rFonts w:ascii="宋体" w:hAnsi="宋体" w:cs="宋体"/>
          <w:spacing w:val="4"/>
          <w:sz w:val="24"/>
          <w:szCs w:val="24"/>
        </w:rPr>
      </w:pPr>
    </w:p>
    <w:p w14:paraId="4540D224">
      <w:pPr>
        <w:spacing w:line="480" w:lineRule="auto"/>
        <w:rPr>
          <w:rFonts w:ascii="宋体" w:hAnsi="宋体" w:cs="宋体"/>
          <w:sz w:val="24"/>
          <w:szCs w:val="24"/>
          <w:u w:val="single"/>
        </w:rPr>
      </w:pPr>
      <w:r>
        <w:rPr>
          <w:rFonts w:hint="eastAsia" w:ascii="宋体" w:hAnsi="宋体" w:cs="宋体"/>
          <w:spacing w:val="4"/>
          <w:sz w:val="24"/>
          <w:szCs w:val="24"/>
        </w:rPr>
        <w:t>投标人名称（</w:t>
      </w:r>
      <w:r>
        <w:rPr>
          <w:rFonts w:hint="eastAsia" w:ascii="宋体" w:hAnsi="宋体" w:cs="宋体"/>
          <w:sz w:val="24"/>
          <w:szCs w:val="24"/>
        </w:rPr>
        <w:t>单位盖</w:t>
      </w:r>
      <w:r>
        <w:rPr>
          <w:rFonts w:hint="eastAsia" w:ascii="宋体" w:hAnsi="宋体" w:cs="宋体"/>
          <w:spacing w:val="4"/>
          <w:sz w:val="24"/>
          <w:szCs w:val="24"/>
        </w:rPr>
        <w:t>公章）：</w:t>
      </w:r>
    </w:p>
    <w:p w14:paraId="62CA9401">
      <w:pPr>
        <w:spacing w:line="480" w:lineRule="auto"/>
        <w:rPr>
          <w:rFonts w:ascii="宋体" w:hAnsi="宋体" w:cs="宋体"/>
          <w:spacing w:val="4"/>
          <w:sz w:val="24"/>
          <w:szCs w:val="24"/>
          <w:u w:val="single"/>
        </w:rPr>
      </w:pPr>
      <w:r>
        <w:rPr>
          <w:rFonts w:hint="eastAsia" w:ascii="宋体" w:hAnsi="宋体" w:cs="宋体"/>
          <w:sz w:val="24"/>
          <w:szCs w:val="24"/>
        </w:rPr>
        <w:t>法定代表人或投标人授权代表（</w:t>
      </w:r>
      <w:r>
        <w:rPr>
          <w:rFonts w:hint="eastAsia" w:ascii="宋体"/>
          <w:sz w:val="24"/>
        </w:rPr>
        <w:t>签字或盖个人名章</w:t>
      </w:r>
      <w:r>
        <w:rPr>
          <w:rFonts w:hint="eastAsia" w:ascii="宋体" w:hAnsi="宋体" w:cs="宋体"/>
          <w:sz w:val="24"/>
          <w:szCs w:val="24"/>
        </w:rPr>
        <w:t>）：</w:t>
      </w:r>
    </w:p>
    <w:p w14:paraId="109CDDE8">
      <w:pPr>
        <w:spacing w:line="480" w:lineRule="auto"/>
        <w:rPr>
          <w:rFonts w:ascii="宋体" w:hAnsi="宋体" w:cs="宋体"/>
          <w:spacing w:val="4"/>
          <w:sz w:val="22"/>
          <w:szCs w:val="22"/>
        </w:rPr>
      </w:pPr>
      <w:r>
        <w:rPr>
          <w:rFonts w:hint="eastAsia" w:ascii="宋体" w:hAnsi="宋体" w:cs="宋体"/>
          <w:spacing w:val="4"/>
          <w:sz w:val="24"/>
          <w:szCs w:val="24"/>
        </w:rPr>
        <w:t>日期：</w:t>
      </w:r>
    </w:p>
    <w:p w14:paraId="6CF9C434">
      <w:pPr>
        <w:snapToGrid w:val="0"/>
        <w:spacing w:line="360" w:lineRule="auto"/>
        <w:rPr>
          <w:rFonts w:ascii="宋体" w:hAnsi="宋体" w:cs="宋体"/>
          <w:spacing w:val="4"/>
          <w:sz w:val="22"/>
          <w:szCs w:val="22"/>
          <w:u w:val="single"/>
        </w:rPr>
      </w:pPr>
    </w:p>
    <w:p w14:paraId="44E8DE33">
      <w:pPr>
        <w:pStyle w:val="53"/>
        <w:tabs>
          <w:tab w:val="left" w:pos="567"/>
        </w:tabs>
        <w:snapToGrid w:val="0"/>
        <w:spacing w:line="360" w:lineRule="auto"/>
        <w:ind w:left="567"/>
        <w:jc w:val="center"/>
        <w:outlineLvl w:val="1"/>
        <w:rPr>
          <w:rFonts w:ascii="宋体" w:hAnsi="宋体" w:cs="宋体"/>
          <w:b/>
          <w:sz w:val="36"/>
          <w:szCs w:val="36"/>
        </w:rPr>
      </w:pPr>
      <w:r>
        <w:rPr>
          <w:rFonts w:hint="eastAsia" w:ascii="宋体" w:hAnsi="宋体" w:cs="宋体"/>
          <w:spacing w:val="4"/>
          <w:sz w:val="21"/>
          <w:szCs w:val="21"/>
          <w:u w:val="single"/>
        </w:rPr>
        <w:br w:type="page"/>
      </w:r>
      <w:bookmarkStart w:id="151" w:name="_Toc31586"/>
      <w:bookmarkStart w:id="152" w:name="_Toc28682"/>
      <w:r>
        <w:rPr>
          <w:rFonts w:hint="eastAsia" w:ascii="宋体" w:hAnsi="宋体" w:eastAsia="宋体" w:cs="黑体"/>
          <w:b/>
          <w:color w:val="000000"/>
          <w:kern w:val="0"/>
          <w:sz w:val="32"/>
          <w:szCs w:val="32"/>
          <w:highlight w:val="none"/>
        </w:rPr>
        <w:t>开标一览表(报价表)</w:t>
      </w:r>
      <w:bookmarkEnd w:id="151"/>
      <w:bookmarkEnd w:id="152"/>
    </w:p>
    <w:p w14:paraId="34A1262A">
      <w:pPr>
        <w:tabs>
          <w:tab w:val="left" w:pos="7740"/>
        </w:tabs>
        <w:snapToGrid w:val="0"/>
        <w:ind w:firstLine="240" w:firstLineChars="100"/>
        <w:rPr>
          <w:rFonts w:hint="eastAsia" w:ascii="宋体" w:hAnsi="宋体" w:eastAsia="宋体" w:cs="宋体"/>
          <w:color w:val="000000"/>
          <w:sz w:val="24"/>
          <w:szCs w:val="24"/>
          <w:lang w:eastAsia="zh-CN"/>
        </w:rPr>
      </w:pPr>
      <w:r>
        <w:rPr>
          <w:rFonts w:hint="eastAsia" w:ascii="宋体" w:hAnsi="宋体" w:cs="宋体"/>
          <w:sz w:val="24"/>
          <w:szCs w:val="24"/>
        </w:rPr>
        <w:t xml:space="preserve">投标人名称：                                     </w:t>
      </w:r>
      <w:r>
        <w:rPr>
          <w:rFonts w:hint="eastAsia" w:ascii="宋体" w:hAnsi="宋体" w:cs="宋体"/>
          <w:color w:val="000000"/>
          <w:sz w:val="24"/>
          <w:szCs w:val="24"/>
        </w:rPr>
        <w:t xml:space="preserve"> 项目编号：</w:t>
      </w:r>
      <w:r>
        <w:rPr>
          <w:rFonts w:hint="eastAsia" w:ascii="宋体" w:hAnsi="宋体" w:cs="宋体"/>
          <w:color w:val="000000"/>
          <w:sz w:val="24"/>
          <w:szCs w:val="24"/>
          <w:lang w:eastAsia="zh-CN"/>
        </w:rPr>
        <w:t>CLZ0125SG01GC05</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3"/>
        <w:gridCol w:w="885"/>
        <w:gridCol w:w="3450"/>
        <w:gridCol w:w="1517"/>
      </w:tblGrid>
      <w:tr w14:paraId="50C1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83" w:type="dxa"/>
            <w:shd w:val="clear" w:color="auto" w:fill="FFFFFF"/>
            <w:vAlign w:val="center"/>
          </w:tcPr>
          <w:p w14:paraId="725DE64D">
            <w:pPr>
              <w:snapToGrid w:val="0"/>
              <w:jc w:val="center"/>
              <w:rPr>
                <w:rFonts w:ascii="宋体" w:hAnsi="宋体" w:cs="宋体"/>
                <w:b/>
                <w:color w:val="000000"/>
                <w:sz w:val="24"/>
                <w:szCs w:val="24"/>
              </w:rPr>
            </w:pPr>
            <w:r>
              <w:rPr>
                <w:rFonts w:hint="eastAsia" w:ascii="宋体" w:hAnsi="宋体" w:cs="宋体"/>
                <w:b/>
                <w:color w:val="000000"/>
                <w:sz w:val="24"/>
                <w:szCs w:val="24"/>
              </w:rPr>
              <w:t>采购内容</w:t>
            </w:r>
          </w:p>
        </w:tc>
        <w:tc>
          <w:tcPr>
            <w:tcW w:w="885" w:type="dxa"/>
            <w:shd w:val="clear" w:color="auto" w:fill="FFFFFF"/>
            <w:vAlign w:val="center"/>
          </w:tcPr>
          <w:p w14:paraId="1759024C">
            <w:pPr>
              <w:snapToGrid w:val="0"/>
              <w:jc w:val="center"/>
              <w:rPr>
                <w:rFonts w:ascii="宋体" w:hAnsi="宋体" w:cs="宋体"/>
                <w:b/>
                <w:color w:val="000000"/>
                <w:sz w:val="24"/>
                <w:szCs w:val="24"/>
              </w:rPr>
            </w:pPr>
            <w:r>
              <w:rPr>
                <w:rFonts w:hint="eastAsia" w:ascii="宋体" w:hAnsi="宋体" w:cs="宋体"/>
                <w:b/>
                <w:color w:val="000000"/>
                <w:sz w:val="24"/>
                <w:szCs w:val="24"/>
              </w:rPr>
              <w:t>数量</w:t>
            </w:r>
          </w:p>
        </w:tc>
        <w:tc>
          <w:tcPr>
            <w:tcW w:w="3450" w:type="dxa"/>
            <w:shd w:val="clear" w:color="auto" w:fill="FFFFFF"/>
            <w:vAlign w:val="center"/>
          </w:tcPr>
          <w:p w14:paraId="4CB9EDDB">
            <w:pPr>
              <w:snapToGrid w:val="0"/>
              <w:jc w:val="center"/>
              <w:rPr>
                <w:rFonts w:ascii="宋体" w:hAnsi="宋体" w:cs="宋体"/>
                <w:b/>
                <w:color w:val="000000"/>
                <w:sz w:val="24"/>
                <w:szCs w:val="24"/>
              </w:rPr>
            </w:pPr>
            <w:r>
              <w:rPr>
                <w:rFonts w:hint="eastAsia" w:ascii="宋体" w:hAnsi="宋体" w:cs="宋体"/>
                <w:b/>
                <w:color w:val="000000"/>
                <w:sz w:val="24"/>
                <w:szCs w:val="24"/>
              </w:rPr>
              <w:t>投标报价</w:t>
            </w:r>
          </w:p>
          <w:p w14:paraId="13E6D902">
            <w:pPr>
              <w:snapToGrid w:val="0"/>
              <w:jc w:val="center"/>
              <w:rPr>
                <w:rFonts w:ascii="宋体" w:hAnsi="宋体" w:cs="宋体"/>
                <w:b/>
                <w:color w:val="000000"/>
                <w:sz w:val="24"/>
                <w:szCs w:val="24"/>
              </w:rPr>
            </w:pPr>
            <w:r>
              <w:rPr>
                <w:rFonts w:hint="eastAsia" w:ascii="宋体" w:hAnsi="宋体" w:cs="宋体"/>
                <w:b/>
                <w:color w:val="000000"/>
                <w:sz w:val="24"/>
                <w:szCs w:val="24"/>
              </w:rPr>
              <w:t>（人民币 元</w:t>
            </w:r>
            <w:r>
              <w:rPr>
                <w:rFonts w:hint="eastAsia" w:ascii="宋体" w:hAnsi="宋体" w:cs="宋体"/>
                <w:b/>
                <w:color w:val="000000"/>
                <w:sz w:val="24"/>
                <w:szCs w:val="24"/>
                <w:lang w:val="en-US" w:eastAsia="zh-CN"/>
              </w:rPr>
              <w:t>/月</w:t>
            </w:r>
            <w:r>
              <w:rPr>
                <w:rFonts w:hint="eastAsia" w:ascii="宋体" w:hAnsi="宋体" w:cs="宋体"/>
                <w:b/>
                <w:color w:val="000000"/>
                <w:sz w:val="24"/>
                <w:szCs w:val="24"/>
              </w:rPr>
              <w:t>）</w:t>
            </w:r>
          </w:p>
        </w:tc>
        <w:tc>
          <w:tcPr>
            <w:tcW w:w="1517" w:type="dxa"/>
            <w:shd w:val="clear" w:color="auto" w:fill="FFFFFF"/>
            <w:vAlign w:val="center"/>
          </w:tcPr>
          <w:p w14:paraId="1A1FCB2A">
            <w:pPr>
              <w:widowControl/>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履行</w:t>
            </w:r>
            <w:r>
              <w:rPr>
                <w:rFonts w:hint="eastAsia" w:ascii="宋体" w:hAnsi="宋体" w:cs="宋体"/>
                <w:b/>
                <w:color w:val="000000"/>
                <w:sz w:val="24"/>
                <w:szCs w:val="24"/>
              </w:rPr>
              <w:t>期</w:t>
            </w:r>
            <w:r>
              <w:rPr>
                <w:rFonts w:hint="eastAsia" w:ascii="宋体" w:hAnsi="宋体" w:cs="宋体"/>
                <w:b/>
                <w:color w:val="000000"/>
                <w:sz w:val="24"/>
                <w:szCs w:val="24"/>
                <w:lang w:val="en-US" w:eastAsia="zh-CN"/>
              </w:rPr>
              <w:t>限</w:t>
            </w:r>
          </w:p>
        </w:tc>
      </w:tr>
      <w:tr w14:paraId="356F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3383" w:type="dxa"/>
            <w:vAlign w:val="center"/>
          </w:tcPr>
          <w:p w14:paraId="27470A72">
            <w:pPr>
              <w:snapToGrid w:val="0"/>
              <w:jc w:val="center"/>
              <w:rPr>
                <w:rFonts w:ascii="宋体" w:hAnsi="宋体" w:cs="宋体"/>
                <w:bCs/>
                <w:color w:val="000000"/>
                <w:sz w:val="24"/>
                <w:szCs w:val="24"/>
              </w:rPr>
            </w:pPr>
            <w:r>
              <w:rPr>
                <w:rFonts w:hint="eastAsia" w:ascii="宋体" w:hAnsi="宋体"/>
                <w:bCs/>
                <w:color w:val="auto"/>
                <w:sz w:val="24"/>
                <w:szCs w:val="24"/>
                <w:lang w:eastAsia="zh-CN"/>
              </w:rPr>
              <w:t>南雄市人民医院食堂对外承包</w:t>
            </w:r>
          </w:p>
        </w:tc>
        <w:tc>
          <w:tcPr>
            <w:tcW w:w="885" w:type="dxa"/>
            <w:vAlign w:val="center"/>
          </w:tcPr>
          <w:p w14:paraId="253780AF">
            <w:pPr>
              <w:snapToGrid w:val="0"/>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1项</w:t>
            </w:r>
          </w:p>
        </w:tc>
        <w:tc>
          <w:tcPr>
            <w:tcW w:w="3450" w:type="dxa"/>
            <w:vAlign w:val="center"/>
          </w:tcPr>
          <w:p w14:paraId="5D5085A0">
            <w:pPr>
              <w:snapToGrid w:val="0"/>
              <w:rPr>
                <w:rFonts w:ascii="宋体" w:hAnsi="宋体" w:cs="宋体"/>
                <w:bCs/>
                <w:color w:val="000000"/>
                <w:sz w:val="24"/>
                <w:szCs w:val="24"/>
                <w:u w:val="single"/>
              </w:rPr>
            </w:pPr>
            <w:r>
              <w:rPr>
                <w:rFonts w:hint="eastAsia" w:ascii="宋体" w:hAnsi="宋体" w:cs="宋体"/>
                <w:bCs/>
                <w:color w:val="000000"/>
                <w:sz w:val="24"/>
                <w:szCs w:val="24"/>
              </w:rPr>
              <w:t>小写：RMB</w:t>
            </w:r>
          </w:p>
          <w:p w14:paraId="752332F9">
            <w:pPr>
              <w:snapToGrid w:val="0"/>
              <w:rPr>
                <w:rFonts w:ascii="宋体" w:hAnsi="宋体" w:cs="宋体"/>
                <w:bCs/>
                <w:color w:val="000000"/>
                <w:sz w:val="24"/>
                <w:szCs w:val="24"/>
                <w:u w:val="single"/>
              </w:rPr>
            </w:pPr>
            <w:r>
              <w:rPr>
                <w:rFonts w:hint="eastAsia" w:ascii="宋体" w:hAnsi="宋体" w:cs="宋体"/>
                <w:bCs/>
                <w:color w:val="000000"/>
                <w:sz w:val="24"/>
                <w:szCs w:val="24"/>
              </w:rPr>
              <w:t>大写：</w:t>
            </w:r>
          </w:p>
        </w:tc>
        <w:tc>
          <w:tcPr>
            <w:tcW w:w="1517" w:type="dxa"/>
            <w:vAlign w:val="center"/>
          </w:tcPr>
          <w:p w14:paraId="62677137">
            <w:pPr>
              <w:snapToGrid w:val="0"/>
              <w:rPr>
                <w:rFonts w:ascii="宋体" w:hAnsi="宋体" w:cs="宋体"/>
                <w:bCs/>
                <w:color w:val="000000"/>
                <w:sz w:val="24"/>
                <w:szCs w:val="24"/>
                <w:u w:val="single"/>
              </w:rPr>
            </w:pPr>
            <w:r>
              <w:rPr>
                <w:rFonts w:hint="eastAsia" w:ascii="宋体" w:hAnsi="宋体" w:eastAsia="宋体" w:cs="Times New Roman"/>
                <w:bCs/>
                <w:color w:val="auto"/>
                <w:sz w:val="24"/>
                <w:szCs w:val="24"/>
              </w:rPr>
              <w:t>合同签订之日起</w:t>
            </w:r>
            <w:r>
              <w:rPr>
                <w:rFonts w:hint="eastAsia" w:ascii="宋体" w:hAnsi="宋体" w:eastAsia="宋体" w:cs="Times New Roman"/>
                <w:bCs/>
                <w:color w:val="auto"/>
                <w:sz w:val="24"/>
                <w:szCs w:val="24"/>
                <w:lang w:eastAsia="zh-CN"/>
              </w:rPr>
              <w:t>三</w:t>
            </w:r>
            <w:r>
              <w:rPr>
                <w:rFonts w:hint="eastAsia" w:ascii="宋体" w:hAnsi="宋体" w:eastAsia="宋体" w:cs="Times New Roman"/>
                <w:bCs/>
                <w:color w:val="auto"/>
                <w:sz w:val="24"/>
                <w:szCs w:val="24"/>
              </w:rPr>
              <w:t>年</w:t>
            </w:r>
          </w:p>
        </w:tc>
      </w:tr>
    </w:tbl>
    <w:p w14:paraId="077C3216">
      <w:pPr>
        <w:spacing w:line="500" w:lineRule="exact"/>
        <w:rPr>
          <w:rFonts w:ascii="宋体" w:hAnsi="宋体" w:cs="宋体"/>
          <w:color w:val="000000"/>
          <w:spacing w:val="4"/>
          <w:sz w:val="24"/>
          <w:szCs w:val="24"/>
        </w:rPr>
      </w:pPr>
    </w:p>
    <w:p w14:paraId="7E650BF9">
      <w:pPr>
        <w:spacing w:line="500" w:lineRule="exact"/>
        <w:rPr>
          <w:rFonts w:ascii="宋体" w:hAnsi="宋体" w:cs="宋体"/>
          <w:color w:val="000000"/>
          <w:spacing w:val="4"/>
          <w:sz w:val="24"/>
          <w:szCs w:val="24"/>
        </w:rPr>
      </w:pPr>
      <w:r>
        <w:rPr>
          <w:rFonts w:hint="eastAsia" w:ascii="宋体" w:hAnsi="宋体" w:cs="宋体"/>
          <w:color w:val="000000"/>
          <w:spacing w:val="4"/>
          <w:sz w:val="24"/>
          <w:szCs w:val="24"/>
        </w:rPr>
        <w:t>投标人名称（单位盖公章）：</w:t>
      </w:r>
    </w:p>
    <w:p w14:paraId="0589398F">
      <w:pPr>
        <w:spacing w:line="520" w:lineRule="exact"/>
        <w:rPr>
          <w:rFonts w:ascii="宋体" w:hAnsi="宋体" w:cs="宋体"/>
          <w:color w:val="000000"/>
          <w:spacing w:val="4"/>
          <w:sz w:val="24"/>
          <w:szCs w:val="24"/>
        </w:rPr>
      </w:pPr>
      <w:r>
        <w:rPr>
          <w:rFonts w:hint="eastAsia" w:ascii="宋体" w:hAnsi="宋体" w:cs="宋体"/>
          <w:color w:val="000000"/>
          <w:sz w:val="24"/>
          <w:szCs w:val="24"/>
        </w:rPr>
        <w:t>法定代表人或投标人授权代表（签名或</w:t>
      </w:r>
      <w:r>
        <w:rPr>
          <w:rFonts w:hint="eastAsia" w:ascii="宋体" w:hAnsi="宋体"/>
          <w:color w:val="000000"/>
          <w:sz w:val="24"/>
        </w:rPr>
        <w:t>盖个人名章</w:t>
      </w:r>
      <w:r>
        <w:rPr>
          <w:rFonts w:hint="eastAsia" w:ascii="宋体" w:hAnsi="宋体" w:cs="宋体"/>
          <w:color w:val="000000"/>
          <w:sz w:val="24"/>
          <w:szCs w:val="24"/>
        </w:rPr>
        <w:t>）：</w:t>
      </w:r>
      <w:r>
        <w:rPr>
          <w:rFonts w:hint="eastAsia" w:ascii="宋体" w:hAnsi="宋体" w:cs="宋体"/>
          <w:color w:val="000000"/>
          <w:spacing w:val="4"/>
          <w:sz w:val="24"/>
          <w:szCs w:val="24"/>
        </w:rPr>
        <w:t xml:space="preserve"> </w:t>
      </w:r>
    </w:p>
    <w:p w14:paraId="7C71DE37">
      <w:pPr>
        <w:spacing w:line="520" w:lineRule="exact"/>
        <w:rPr>
          <w:rFonts w:ascii="宋体" w:hAnsi="宋体" w:cs="宋体"/>
          <w:color w:val="000000"/>
          <w:spacing w:val="4"/>
          <w:sz w:val="24"/>
          <w:szCs w:val="24"/>
        </w:rPr>
      </w:pPr>
      <w:r>
        <w:rPr>
          <w:rFonts w:hint="eastAsia" w:ascii="宋体" w:hAnsi="宋体" w:cs="宋体"/>
          <w:color w:val="000000"/>
          <w:spacing w:val="4"/>
          <w:sz w:val="24"/>
          <w:szCs w:val="24"/>
        </w:rPr>
        <w:t>日期：</w:t>
      </w:r>
    </w:p>
    <w:p w14:paraId="3766D7D2">
      <w:pPr>
        <w:spacing w:line="400" w:lineRule="exact"/>
        <w:rPr>
          <w:rFonts w:ascii="宋体" w:hAnsi="宋体" w:cs="宋体"/>
          <w:b/>
          <w:bCs/>
          <w:color w:val="000000"/>
          <w:sz w:val="24"/>
          <w:szCs w:val="24"/>
        </w:rPr>
      </w:pPr>
    </w:p>
    <w:p w14:paraId="7F72663B">
      <w:pPr>
        <w:tabs>
          <w:tab w:val="left" w:pos="360"/>
        </w:tabs>
        <w:snapToGrid w:val="0"/>
        <w:spacing w:line="360" w:lineRule="auto"/>
        <w:rPr>
          <w:b/>
          <w:color w:val="000000"/>
          <w:spacing w:val="4"/>
          <w:sz w:val="24"/>
        </w:rPr>
      </w:pPr>
      <w:r>
        <w:rPr>
          <w:rFonts w:hint="eastAsia"/>
          <w:b/>
          <w:color w:val="000000"/>
          <w:spacing w:val="4"/>
          <w:sz w:val="24"/>
        </w:rPr>
        <w:t>说明：</w:t>
      </w:r>
    </w:p>
    <w:p w14:paraId="62C8E88E">
      <w:pPr>
        <w:pStyle w:val="53"/>
        <w:numPr>
          <w:ilvl w:val="0"/>
          <w:numId w:val="100"/>
        </w:numPr>
        <w:tabs>
          <w:tab w:val="left" w:pos="360"/>
        </w:tabs>
        <w:snapToGrid w:val="0"/>
        <w:spacing w:line="360" w:lineRule="auto"/>
        <w:ind w:left="284" w:hanging="284" w:firstLineChars="0"/>
        <w:rPr>
          <w:color w:val="000000"/>
          <w:spacing w:val="4"/>
          <w:sz w:val="24"/>
        </w:rPr>
      </w:pPr>
      <w:r>
        <w:rPr>
          <w:rFonts w:hint="eastAsia"/>
          <w:color w:val="000000"/>
          <w:spacing w:val="4"/>
          <w:sz w:val="24"/>
        </w:rPr>
        <w:t>中文大写金额用汉字，如壹、贰、叁、肆、伍、陆、柒、捌、玖、拾、佰、仟、万、亿、元、角、分、零、整（正）等。</w:t>
      </w:r>
    </w:p>
    <w:p w14:paraId="508E8AFE">
      <w:pPr>
        <w:pStyle w:val="53"/>
        <w:numPr>
          <w:ilvl w:val="0"/>
          <w:numId w:val="100"/>
        </w:numPr>
        <w:tabs>
          <w:tab w:val="left" w:pos="360"/>
        </w:tabs>
        <w:snapToGrid w:val="0"/>
        <w:spacing w:line="360" w:lineRule="auto"/>
        <w:ind w:left="284" w:hanging="284" w:firstLineChars="0"/>
        <w:rPr>
          <w:color w:val="000000"/>
          <w:spacing w:val="4"/>
          <w:sz w:val="24"/>
        </w:rPr>
      </w:pPr>
      <w:r>
        <w:rPr>
          <w:rFonts w:hint="eastAsia"/>
          <w:color w:val="000000"/>
          <w:spacing w:val="4"/>
          <w:sz w:val="24"/>
        </w:rPr>
        <w:t>除招标文件另有规定外，投标文件内不得含有任何对本报价进行价格折扣的说明或资料，否则</w:t>
      </w:r>
      <w:r>
        <w:rPr>
          <w:rFonts w:hint="eastAsia" w:ascii="宋体" w:hAnsi="宋体"/>
          <w:bCs/>
          <w:sz w:val="24"/>
          <w:szCs w:val="24"/>
        </w:rPr>
        <w:t>应予否决投标</w:t>
      </w:r>
      <w:r>
        <w:rPr>
          <w:rFonts w:hint="eastAsia"/>
          <w:color w:val="000000"/>
          <w:spacing w:val="4"/>
          <w:sz w:val="24"/>
        </w:rPr>
        <w:t>。</w:t>
      </w:r>
    </w:p>
    <w:p w14:paraId="07771256">
      <w:pPr>
        <w:pStyle w:val="53"/>
        <w:numPr>
          <w:ilvl w:val="0"/>
          <w:numId w:val="100"/>
        </w:numPr>
        <w:tabs>
          <w:tab w:val="left" w:pos="360"/>
        </w:tabs>
        <w:snapToGrid w:val="0"/>
        <w:spacing w:line="360" w:lineRule="auto"/>
        <w:ind w:left="284" w:hanging="284" w:firstLineChars="0"/>
        <w:rPr>
          <w:color w:val="000000"/>
          <w:spacing w:val="4"/>
          <w:sz w:val="24"/>
        </w:rPr>
      </w:pPr>
      <w:r>
        <w:rPr>
          <w:rFonts w:hint="eastAsia"/>
          <w:color w:val="000000"/>
          <w:spacing w:val="4"/>
          <w:sz w:val="24"/>
        </w:rPr>
        <w:t>投标报价的小数点后保留</w:t>
      </w:r>
      <w:r>
        <w:rPr>
          <w:rFonts w:hint="eastAsia" w:ascii="宋体" w:hAnsi="宋体"/>
          <w:color w:val="000000"/>
          <w:spacing w:val="4"/>
          <w:sz w:val="24"/>
        </w:rPr>
        <w:t>2</w:t>
      </w:r>
      <w:r>
        <w:rPr>
          <w:rFonts w:hint="eastAsia"/>
          <w:color w:val="000000"/>
          <w:spacing w:val="4"/>
          <w:sz w:val="24"/>
        </w:rPr>
        <w:t>位有效数。</w:t>
      </w:r>
    </w:p>
    <w:p w14:paraId="605F9D7C">
      <w:pPr>
        <w:autoSpaceDE/>
        <w:autoSpaceDN/>
        <w:adjustRightInd/>
        <w:spacing w:line="440" w:lineRule="exact"/>
        <w:jc w:val="center"/>
        <w:outlineLvl w:val="1"/>
        <w:rPr>
          <w:rFonts w:ascii="宋体" w:hAnsi="宋体" w:cs="宋体"/>
          <w:b/>
          <w:sz w:val="36"/>
          <w:szCs w:val="36"/>
        </w:rPr>
      </w:pPr>
      <w:r>
        <w:rPr>
          <w:rFonts w:hint="eastAsia" w:ascii="宋体" w:hAnsi="宋体" w:cs="宋体"/>
          <w:b/>
          <w:color w:val="FF0000"/>
          <w:sz w:val="22"/>
          <w:szCs w:val="22"/>
        </w:rPr>
        <w:br w:type="page"/>
      </w:r>
      <w:bookmarkStart w:id="153" w:name="_Toc23829"/>
      <w:bookmarkStart w:id="154" w:name="_Toc2838"/>
      <w:r>
        <w:rPr>
          <w:rFonts w:hint="eastAsia" w:ascii="宋体" w:hAnsi="宋体" w:cs="宋体"/>
          <w:b/>
          <w:sz w:val="32"/>
          <w:szCs w:val="32"/>
        </w:rPr>
        <w:t>技术服务方案</w:t>
      </w:r>
      <w:bookmarkEnd w:id="153"/>
      <w:bookmarkEnd w:id="154"/>
    </w:p>
    <w:p w14:paraId="2C384B30">
      <w:pPr>
        <w:snapToGrid w:val="0"/>
        <w:spacing w:line="360" w:lineRule="auto"/>
        <w:rPr>
          <w:rFonts w:ascii="宋体" w:hAnsi="宋体" w:cs="宋体"/>
          <w:b/>
          <w:color w:val="000000"/>
          <w:sz w:val="24"/>
          <w:szCs w:val="24"/>
        </w:rPr>
      </w:pPr>
      <w:r>
        <w:rPr>
          <w:rFonts w:hint="eastAsia" w:ascii="宋体" w:hAnsi="宋体" w:cs="宋体"/>
          <w:b/>
          <w:color w:val="000000"/>
          <w:sz w:val="24"/>
          <w:szCs w:val="24"/>
        </w:rPr>
        <w:t>主要内容应包括但不限于以下内容（格式自定）：</w:t>
      </w:r>
    </w:p>
    <w:p w14:paraId="06A93932">
      <w:pPr>
        <w:numPr>
          <w:ilvl w:val="3"/>
          <w:numId w:val="101"/>
        </w:numPr>
        <w:tabs>
          <w:tab w:val="left" w:pos="630"/>
          <w:tab w:val="clear" w:pos="1680"/>
        </w:tabs>
        <w:autoSpaceDE/>
        <w:autoSpaceDN/>
        <w:adjustRightInd/>
        <w:spacing w:line="520" w:lineRule="exact"/>
        <w:ind w:left="200" w:leftChars="100"/>
        <w:jc w:val="both"/>
        <w:rPr>
          <w:rFonts w:ascii="宋体" w:hAnsi="宋体" w:cs="宋体"/>
          <w:color w:val="000000"/>
          <w:sz w:val="24"/>
          <w:szCs w:val="24"/>
        </w:rPr>
      </w:pPr>
      <w:r>
        <w:rPr>
          <w:rFonts w:hint="eastAsia" w:ascii="宋体" w:hAnsi="宋体" w:cs="宋体"/>
          <w:b/>
          <w:color w:val="000000"/>
          <w:sz w:val="24"/>
          <w:szCs w:val="24"/>
          <w:highlight w:val="none"/>
          <w:shd w:val="clear" w:color="auto" w:fill="auto"/>
        </w:rPr>
        <w:t>结合评分体系中的评审项目列明</w:t>
      </w:r>
      <w:r>
        <w:rPr>
          <w:rFonts w:hint="eastAsia" w:ascii="宋体" w:hAnsi="宋体" w:cs="宋体"/>
          <w:color w:val="000000"/>
          <w:sz w:val="24"/>
          <w:szCs w:val="24"/>
        </w:rPr>
        <w:t>……</w:t>
      </w:r>
    </w:p>
    <w:p w14:paraId="2503F4F4">
      <w:pPr>
        <w:numPr>
          <w:ilvl w:val="3"/>
          <w:numId w:val="101"/>
        </w:numPr>
        <w:tabs>
          <w:tab w:val="left" w:pos="630"/>
          <w:tab w:val="clear" w:pos="1680"/>
        </w:tabs>
        <w:autoSpaceDE/>
        <w:autoSpaceDN/>
        <w:adjustRightInd/>
        <w:spacing w:line="520" w:lineRule="exact"/>
        <w:ind w:left="200" w:leftChars="100"/>
        <w:jc w:val="both"/>
        <w:rPr>
          <w:rFonts w:ascii="宋体" w:hAnsi="宋体" w:cs="宋体"/>
          <w:color w:val="000000"/>
          <w:sz w:val="24"/>
          <w:szCs w:val="24"/>
        </w:rPr>
      </w:pPr>
      <w:r>
        <w:rPr>
          <w:rFonts w:hint="eastAsia" w:ascii="宋体" w:hAnsi="宋体" w:cs="宋体"/>
          <w:color w:val="000000"/>
          <w:sz w:val="24"/>
          <w:szCs w:val="24"/>
        </w:rPr>
        <w:t>详细的合同项下提供服务的执行时间表及其实施措施，明确标注出影响合同执行的关键时间及因素；</w:t>
      </w:r>
    </w:p>
    <w:p w14:paraId="23D8FA8D">
      <w:pPr>
        <w:numPr>
          <w:ilvl w:val="3"/>
          <w:numId w:val="101"/>
        </w:numPr>
        <w:tabs>
          <w:tab w:val="left" w:pos="630"/>
          <w:tab w:val="clear" w:pos="1680"/>
        </w:tabs>
        <w:autoSpaceDE/>
        <w:autoSpaceDN/>
        <w:adjustRightInd/>
        <w:spacing w:line="520" w:lineRule="exact"/>
        <w:ind w:left="200" w:leftChars="100"/>
        <w:jc w:val="both"/>
        <w:rPr>
          <w:rFonts w:ascii="宋体" w:hAnsi="宋体" w:cs="宋体"/>
          <w:color w:val="000000"/>
          <w:sz w:val="24"/>
          <w:szCs w:val="24"/>
        </w:rPr>
      </w:pPr>
      <w:r>
        <w:rPr>
          <w:rFonts w:hint="eastAsia" w:ascii="宋体" w:hAnsi="宋体" w:cs="宋体"/>
          <w:color w:val="000000"/>
          <w:sz w:val="24"/>
          <w:szCs w:val="24"/>
        </w:rPr>
        <w:t>须招标人配合事项；</w:t>
      </w:r>
    </w:p>
    <w:p w14:paraId="5610B8C1">
      <w:pPr>
        <w:numPr>
          <w:ilvl w:val="3"/>
          <w:numId w:val="101"/>
        </w:numPr>
        <w:tabs>
          <w:tab w:val="left" w:pos="630"/>
          <w:tab w:val="clear" w:pos="1680"/>
        </w:tabs>
        <w:autoSpaceDE/>
        <w:autoSpaceDN/>
        <w:adjustRightInd/>
        <w:spacing w:line="520" w:lineRule="exact"/>
        <w:ind w:left="200" w:leftChars="100"/>
        <w:jc w:val="both"/>
        <w:rPr>
          <w:rFonts w:ascii="宋体" w:hAnsi="宋体" w:cs="宋体"/>
          <w:color w:val="000000"/>
          <w:sz w:val="24"/>
          <w:szCs w:val="24"/>
        </w:rPr>
      </w:pPr>
      <w:r>
        <w:rPr>
          <w:rFonts w:hint="eastAsia" w:ascii="宋体" w:hAnsi="宋体" w:cs="宋体"/>
          <w:color w:val="000000"/>
          <w:sz w:val="24"/>
          <w:szCs w:val="24"/>
        </w:rPr>
        <w:t>投标人认为对投标有利的其他资料。</w:t>
      </w:r>
    </w:p>
    <w:p w14:paraId="5A8CB388">
      <w:pPr>
        <w:spacing w:line="440" w:lineRule="exact"/>
        <w:rPr>
          <w:rFonts w:ascii="宋体" w:hAnsi="宋体" w:cs="宋体"/>
          <w:bCs/>
          <w:color w:val="000000"/>
          <w:sz w:val="22"/>
          <w:szCs w:val="22"/>
        </w:rPr>
      </w:pPr>
    </w:p>
    <w:p w14:paraId="62D04611">
      <w:pPr>
        <w:spacing w:line="500" w:lineRule="exact"/>
        <w:rPr>
          <w:rFonts w:ascii="宋体" w:hAnsi="宋体" w:cs="宋体"/>
          <w:color w:val="000000"/>
          <w:sz w:val="24"/>
          <w:szCs w:val="24"/>
          <w:u w:val="single"/>
        </w:rPr>
      </w:pPr>
      <w:r>
        <w:rPr>
          <w:rFonts w:hint="eastAsia" w:ascii="宋体" w:hAnsi="宋体" w:cs="宋体"/>
          <w:spacing w:val="4"/>
          <w:sz w:val="24"/>
          <w:szCs w:val="24"/>
        </w:rPr>
        <w:t>投标人名称（</w:t>
      </w:r>
      <w:r>
        <w:rPr>
          <w:rFonts w:hint="eastAsia" w:ascii="宋体" w:hAnsi="宋体"/>
          <w:sz w:val="24"/>
          <w:szCs w:val="24"/>
        </w:rPr>
        <w:t>单位盖</w:t>
      </w:r>
      <w:r>
        <w:rPr>
          <w:rFonts w:hint="eastAsia"/>
          <w:spacing w:val="4"/>
          <w:sz w:val="24"/>
          <w:szCs w:val="24"/>
        </w:rPr>
        <w:t>公章</w:t>
      </w:r>
      <w:r>
        <w:rPr>
          <w:rFonts w:hint="eastAsia" w:ascii="宋体" w:hAnsi="宋体" w:cs="宋体"/>
          <w:spacing w:val="4"/>
          <w:sz w:val="24"/>
          <w:szCs w:val="24"/>
        </w:rPr>
        <w:t>）：</w:t>
      </w:r>
    </w:p>
    <w:p w14:paraId="6B1CD5F6">
      <w:pPr>
        <w:rPr>
          <w:rFonts w:ascii="宋体" w:hAnsi="宋体" w:cs="宋体"/>
          <w:spacing w:val="4"/>
          <w:sz w:val="24"/>
          <w:szCs w:val="24"/>
        </w:rPr>
      </w:pPr>
    </w:p>
    <w:p w14:paraId="4C492BC3">
      <w:pPr>
        <w:tabs>
          <w:tab w:val="left" w:pos="360"/>
        </w:tabs>
        <w:autoSpaceDE/>
        <w:autoSpaceDN/>
        <w:adjustRightInd/>
        <w:snapToGrid w:val="0"/>
        <w:spacing w:line="360" w:lineRule="auto"/>
        <w:jc w:val="both"/>
        <w:rPr>
          <w:rFonts w:ascii="宋体" w:hAnsi="宋体" w:cs="宋体"/>
          <w:spacing w:val="4"/>
          <w:sz w:val="24"/>
          <w:szCs w:val="24"/>
        </w:rPr>
      </w:pPr>
      <w:r>
        <w:rPr>
          <w:rFonts w:hint="eastAsia" w:ascii="宋体" w:hAnsi="宋体" w:cs="宋体"/>
          <w:sz w:val="24"/>
          <w:szCs w:val="24"/>
        </w:rPr>
        <w:t>法定代表人或投标人授权代表（</w:t>
      </w:r>
      <w:r>
        <w:rPr>
          <w:rFonts w:hint="eastAsia" w:ascii="宋体"/>
          <w:sz w:val="24"/>
        </w:rPr>
        <w:t>签字或盖个人名章</w:t>
      </w:r>
      <w:r>
        <w:rPr>
          <w:rFonts w:hint="eastAsia" w:ascii="宋体" w:hAnsi="宋体" w:cs="宋体"/>
          <w:sz w:val="24"/>
          <w:szCs w:val="24"/>
        </w:rPr>
        <w:t>）：</w:t>
      </w:r>
      <w:r>
        <w:rPr>
          <w:rFonts w:hint="eastAsia" w:ascii="宋体" w:hAnsi="宋体" w:cs="宋体"/>
          <w:spacing w:val="4"/>
          <w:sz w:val="24"/>
          <w:szCs w:val="24"/>
        </w:rPr>
        <w:t xml:space="preserve"> </w:t>
      </w:r>
    </w:p>
    <w:p w14:paraId="2E20B92C">
      <w:pPr>
        <w:tabs>
          <w:tab w:val="left" w:pos="360"/>
        </w:tabs>
        <w:autoSpaceDE/>
        <w:autoSpaceDN/>
        <w:adjustRightInd/>
        <w:snapToGrid w:val="0"/>
        <w:spacing w:line="360" w:lineRule="auto"/>
        <w:jc w:val="both"/>
        <w:rPr>
          <w:rFonts w:ascii="宋体" w:hAnsi="宋体" w:cs="宋体"/>
          <w:spacing w:val="4"/>
          <w:sz w:val="22"/>
          <w:szCs w:val="22"/>
          <w:u w:val="single"/>
        </w:rPr>
      </w:pPr>
      <w:r>
        <w:rPr>
          <w:rFonts w:hint="eastAsia" w:ascii="宋体" w:hAnsi="宋体" w:cs="宋体"/>
          <w:spacing w:val="4"/>
          <w:sz w:val="24"/>
          <w:szCs w:val="24"/>
        </w:rPr>
        <w:t>日期：</w:t>
      </w:r>
    </w:p>
    <w:p w14:paraId="386CA4F3">
      <w:pPr>
        <w:spacing w:line="520" w:lineRule="exact"/>
        <w:rPr>
          <w:rFonts w:ascii="宋体" w:hAnsi="宋体" w:cs="宋体"/>
          <w:spacing w:val="4"/>
          <w:sz w:val="24"/>
          <w:szCs w:val="24"/>
        </w:rPr>
      </w:pPr>
    </w:p>
    <w:p w14:paraId="3B00E18F">
      <w:pPr>
        <w:autoSpaceDE/>
        <w:autoSpaceDN/>
        <w:adjustRightInd/>
        <w:spacing w:line="440" w:lineRule="exact"/>
        <w:jc w:val="center"/>
        <w:outlineLvl w:val="1"/>
        <w:rPr>
          <w:rFonts w:ascii="宋体" w:hAnsi="宋体" w:cs="宋体"/>
          <w:b/>
          <w:sz w:val="36"/>
          <w:szCs w:val="36"/>
        </w:rPr>
      </w:pPr>
      <w:r>
        <w:rPr>
          <w:rFonts w:hint="eastAsia" w:ascii="宋体" w:hAnsi="宋体" w:cs="宋体"/>
          <w:color w:val="FF0000"/>
          <w:sz w:val="22"/>
          <w:szCs w:val="22"/>
        </w:rPr>
        <w:br w:type="page"/>
      </w:r>
      <w:bookmarkStart w:id="155" w:name="_Toc14544"/>
      <w:bookmarkStart w:id="156" w:name="_Toc28631"/>
      <w:r>
        <w:rPr>
          <w:rFonts w:hint="eastAsia" w:ascii="宋体" w:hAnsi="宋体" w:cs="宋体"/>
          <w:b/>
          <w:sz w:val="32"/>
          <w:szCs w:val="32"/>
        </w:rPr>
        <w:t>投标人基本情况表</w:t>
      </w:r>
      <w:bookmarkEnd w:id="155"/>
      <w:bookmarkEnd w:id="156"/>
    </w:p>
    <w:p w14:paraId="2BD9F847">
      <w:pPr>
        <w:rPr>
          <w:rFonts w:ascii="宋体" w:hAnsi="宋体" w:cs="宋体"/>
          <w:sz w:val="24"/>
          <w:szCs w:val="24"/>
        </w:rPr>
      </w:pPr>
      <w:r>
        <w:rPr>
          <w:rFonts w:hint="eastAsia" w:ascii="宋体" w:hAnsi="宋体" w:cs="宋体"/>
          <w:sz w:val="24"/>
          <w:szCs w:val="24"/>
        </w:rPr>
        <w:t>单位基本情况</w:t>
      </w:r>
    </w:p>
    <w:p w14:paraId="641680A6">
      <w:pPr>
        <w:numPr>
          <w:ilvl w:val="1"/>
          <w:numId w:val="102"/>
        </w:numPr>
        <w:tabs>
          <w:tab w:val="left" w:pos="420"/>
          <w:tab w:val="clear" w:pos="840"/>
        </w:tabs>
        <w:autoSpaceDE/>
        <w:autoSpaceDN/>
        <w:adjustRightInd/>
        <w:ind w:left="420"/>
        <w:jc w:val="both"/>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r>
        <w:rPr>
          <w:rFonts w:hint="eastAsia" w:ascii="宋体" w:hAnsi="宋体" w:cs="宋体"/>
          <w:sz w:val="24"/>
          <w:szCs w:val="24"/>
        </w:rPr>
        <w:t xml:space="preserve">  电话号码：</w:t>
      </w:r>
      <w:r>
        <w:rPr>
          <w:rFonts w:hint="eastAsia" w:ascii="宋体" w:hAnsi="宋体" w:cs="宋体"/>
          <w:sz w:val="24"/>
          <w:szCs w:val="24"/>
          <w:u w:val="single"/>
        </w:rPr>
        <w:t xml:space="preserve">          </w:t>
      </w:r>
      <w:r>
        <w:rPr>
          <w:rFonts w:hint="eastAsia" w:ascii="宋体" w:hAnsi="宋体" w:cs="宋体"/>
          <w:sz w:val="24"/>
          <w:szCs w:val="24"/>
        </w:rPr>
        <w:t xml:space="preserve">                  </w:t>
      </w:r>
    </w:p>
    <w:p w14:paraId="4E525DBC">
      <w:pPr>
        <w:numPr>
          <w:ilvl w:val="1"/>
          <w:numId w:val="102"/>
        </w:numPr>
        <w:tabs>
          <w:tab w:val="left" w:pos="420"/>
          <w:tab w:val="clear" w:pos="840"/>
        </w:tabs>
        <w:autoSpaceDE/>
        <w:autoSpaceDN/>
        <w:adjustRightInd/>
        <w:ind w:left="420"/>
        <w:jc w:val="both"/>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w:t>
      </w:r>
      <w:r>
        <w:rPr>
          <w:rFonts w:hint="eastAsia" w:ascii="宋体" w:hAnsi="宋体" w:cs="宋体"/>
          <w:sz w:val="24"/>
          <w:szCs w:val="24"/>
        </w:rPr>
        <w:t xml:space="preserve">                  </w:t>
      </w:r>
    </w:p>
    <w:p w14:paraId="48E2D1AF">
      <w:pPr>
        <w:numPr>
          <w:ilvl w:val="1"/>
          <w:numId w:val="102"/>
        </w:numPr>
        <w:tabs>
          <w:tab w:val="left" w:pos="420"/>
          <w:tab w:val="clear" w:pos="840"/>
        </w:tabs>
        <w:autoSpaceDE/>
        <w:autoSpaceDN/>
        <w:adjustRightInd/>
        <w:ind w:left="420"/>
        <w:jc w:val="both"/>
        <w:rPr>
          <w:rFonts w:ascii="宋体" w:hAnsi="宋体" w:cs="宋体"/>
          <w:sz w:val="24"/>
          <w:szCs w:val="24"/>
          <w:u w:val="single"/>
        </w:rPr>
      </w:pPr>
      <w:r>
        <w:rPr>
          <w:rFonts w:hint="eastAsia" w:ascii="宋体" w:hAnsi="宋体" w:cs="宋体"/>
          <w:sz w:val="24"/>
          <w:szCs w:val="24"/>
        </w:rPr>
        <w:t>注册资金：</w:t>
      </w:r>
      <w:r>
        <w:rPr>
          <w:rFonts w:hint="eastAsia" w:ascii="宋体" w:hAnsi="宋体" w:cs="宋体"/>
          <w:sz w:val="24"/>
          <w:szCs w:val="24"/>
          <w:u w:val="single"/>
        </w:rPr>
        <w:t xml:space="preserve">                              </w:t>
      </w:r>
      <w:r>
        <w:rPr>
          <w:rFonts w:hint="eastAsia" w:ascii="宋体" w:hAnsi="宋体" w:cs="宋体"/>
          <w:sz w:val="24"/>
          <w:szCs w:val="24"/>
        </w:rPr>
        <w:t xml:space="preserve">  经济性质：</w:t>
      </w:r>
      <w:r>
        <w:rPr>
          <w:rFonts w:hint="eastAsia" w:ascii="宋体" w:hAnsi="宋体" w:cs="宋体"/>
          <w:sz w:val="24"/>
          <w:szCs w:val="24"/>
          <w:u w:val="single"/>
        </w:rPr>
        <w:t xml:space="preserve">          </w:t>
      </w:r>
    </w:p>
    <w:p w14:paraId="4092FEFD">
      <w:pPr>
        <w:numPr>
          <w:ilvl w:val="1"/>
          <w:numId w:val="102"/>
        </w:numPr>
        <w:tabs>
          <w:tab w:val="left" w:pos="420"/>
          <w:tab w:val="clear" w:pos="840"/>
        </w:tabs>
        <w:autoSpaceDE/>
        <w:autoSpaceDN/>
        <w:adjustRightInd/>
        <w:ind w:left="420"/>
        <w:jc w:val="both"/>
        <w:rPr>
          <w:rFonts w:ascii="宋体" w:hAnsi="宋体" w:cs="宋体"/>
          <w:sz w:val="24"/>
          <w:szCs w:val="24"/>
        </w:rPr>
      </w:pPr>
      <w:r>
        <w:rPr>
          <w:rFonts w:hint="eastAsia" w:ascii="宋体" w:hAnsi="宋体" w:cs="宋体"/>
          <w:sz w:val="24"/>
          <w:szCs w:val="24"/>
        </w:rPr>
        <w:t xml:space="preserve">单位开户银行名称及账号：     </w:t>
      </w:r>
    </w:p>
    <w:p w14:paraId="624D16A3">
      <w:pPr>
        <w:numPr>
          <w:ilvl w:val="1"/>
          <w:numId w:val="102"/>
        </w:numPr>
        <w:tabs>
          <w:tab w:val="left" w:pos="420"/>
          <w:tab w:val="clear" w:pos="840"/>
        </w:tabs>
        <w:autoSpaceDE/>
        <w:autoSpaceDN/>
        <w:adjustRightInd/>
        <w:ind w:left="420"/>
        <w:jc w:val="both"/>
        <w:rPr>
          <w:rFonts w:ascii="宋体" w:hAnsi="宋体" w:cs="宋体"/>
          <w:sz w:val="24"/>
          <w:szCs w:val="24"/>
        </w:rPr>
      </w:pPr>
      <w:r>
        <w:rPr>
          <w:rFonts w:hint="eastAsia" w:ascii="宋体" w:hAnsi="宋体" w:cs="宋体"/>
          <w:sz w:val="24"/>
          <w:szCs w:val="24"/>
        </w:rPr>
        <w:t xml:space="preserve">营业注册执照号：   </w:t>
      </w:r>
    </w:p>
    <w:p w14:paraId="426A462E">
      <w:pPr>
        <w:numPr>
          <w:ilvl w:val="1"/>
          <w:numId w:val="102"/>
        </w:numPr>
        <w:tabs>
          <w:tab w:val="left" w:pos="420"/>
          <w:tab w:val="clear" w:pos="840"/>
        </w:tabs>
        <w:autoSpaceDE/>
        <w:autoSpaceDN/>
        <w:adjustRightInd/>
        <w:ind w:left="420"/>
        <w:jc w:val="both"/>
        <w:rPr>
          <w:rFonts w:ascii="宋体" w:hAnsi="宋体" w:cs="宋体"/>
          <w:sz w:val="24"/>
          <w:szCs w:val="24"/>
        </w:rPr>
      </w:pPr>
      <w:r>
        <w:rPr>
          <w:rFonts w:hint="eastAsia" w:ascii="宋体" w:hAnsi="宋体" w:cs="宋体"/>
          <w:sz w:val="24"/>
          <w:szCs w:val="24"/>
        </w:rPr>
        <w:t>单位简介</w:t>
      </w:r>
    </w:p>
    <w:p w14:paraId="021319D2">
      <w:pPr>
        <w:ind w:left="360"/>
        <w:rPr>
          <w:rFonts w:ascii="宋体" w:hAnsi="宋体" w:cs="宋体"/>
          <w:sz w:val="24"/>
          <w:szCs w:val="24"/>
        </w:rPr>
      </w:pPr>
      <w:r>
        <w:rPr>
          <w:rFonts w:hint="eastAsia" w:ascii="宋体" w:hAnsi="宋体" w:cs="宋体"/>
          <w:sz w:val="24"/>
          <w:szCs w:val="24"/>
        </w:rPr>
        <w:t>文字描述：</w:t>
      </w:r>
      <w:r>
        <w:rPr>
          <w:rFonts w:hint="eastAsia" w:ascii="宋体" w:hAnsi="宋体" w:cs="宋体"/>
          <w:bCs/>
          <w:sz w:val="24"/>
          <w:szCs w:val="24"/>
          <w:lang w:val="en-GB"/>
        </w:rPr>
        <w:t>发展历程、经营规模及服务理念</w:t>
      </w:r>
      <w:r>
        <w:rPr>
          <w:rFonts w:hint="eastAsia" w:ascii="宋体" w:hAnsi="宋体" w:cs="宋体"/>
          <w:sz w:val="24"/>
          <w:szCs w:val="24"/>
        </w:rPr>
        <w:t>、技术力量、财务状况、管理水平等方面进行阐述。</w:t>
      </w:r>
    </w:p>
    <w:p w14:paraId="31D24F3A">
      <w:pPr>
        <w:ind w:left="360"/>
        <w:rPr>
          <w:rFonts w:ascii="宋体" w:hAnsi="宋体" w:cs="宋体"/>
          <w:bCs/>
          <w:sz w:val="24"/>
          <w:szCs w:val="24"/>
          <w:lang w:val="en-GB"/>
        </w:rPr>
      </w:pPr>
      <w:r>
        <w:rPr>
          <w:rFonts w:hint="eastAsia" w:ascii="宋体" w:hAnsi="宋体" w:cs="宋体"/>
          <w:sz w:val="24"/>
          <w:szCs w:val="24"/>
        </w:rPr>
        <w:t>图片描述：</w:t>
      </w:r>
      <w:r>
        <w:rPr>
          <w:rFonts w:hint="eastAsia" w:ascii="宋体" w:hAnsi="宋体" w:cs="宋体"/>
          <w:bCs/>
          <w:sz w:val="24"/>
          <w:szCs w:val="24"/>
          <w:lang w:val="en-GB"/>
        </w:rPr>
        <w:t>经营场所、主要或关键产品介绍、生产场所及工艺流程等。</w:t>
      </w:r>
    </w:p>
    <w:p w14:paraId="6C3637EA">
      <w:pPr>
        <w:numPr>
          <w:ilvl w:val="1"/>
          <w:numId w:val="102"/>
        </w:numPr>
        <w:tabs>
          <w:tab w:val="left" w:pos="420"/>
          <w:tab w:val="clear" w:pos="840"/>
        </w:tabs>
        <w:autoSpaceDE/>
        <w:autoSpaceDN/>
        <w:adjustRightInd/>
        <w:spacing w:line="360" w:lineRule="auto"/>
        <w:ind w:left="420"/>
        <w:jc w:val="both"/>
        <w:rPr>
          <w:rFonts w:ascii="宋体" w:hAnsi="宋体" w:cs="宋体"/>
          <w:sz w:val="24"/>
          <w:szCs w:val="24"/>
        </w:rPr>
      </w:pPr>
      <w:r>
        <w:rPr>
          <w:rFonts w:hint="eastAsia" w:ascii="宋体" w:hAnsi="宋体" w:cs="宋体"/>
          <w:sz w:val="24"/>
          <w:szCs w:val="24"/>
        </w:rPr>
        <w:t xml:space="preserve">股东及出资信息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10"/>
        <w:gridCol w:w="1961"/>
        <w:gridCol w:w="2025"/>
        <w:gridCol w:w="1071"/>
        <w:gridCol w:w="1254"/>
        <w:gridCol w:w="1254"/>
      </w:tblGrid>
      <w:tr w14:paraId="30F5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9" w:type="dxa"/>
            <w:vAlign w:val="center"/>
          </w:tcPr>
          <w:p w14:paraId="770C06AA">
            <w:pPr>
              <w:spacing w:line="360" w:lineRule="auto"/>
              <w:jc w:val="center"/>
              <w:rPr>
                <w:rFonts w:ascii="宋体" w:hAnsi="宋体" w:cs="宋体"/>
                <w:kern w:val="2"/>
                <w:sz w:val="24"/>
                <w:szCs w:val="24"/>
              </w:rPr>
            </w:pPr>
            <w:r>
              <w:rPr>
                <w:rFonts w:hint="eastAsia" w:ascii="宋体" w:hAnsi="宋体" w:cs="宋体"/>
                <w:kern w:val="2"/>
                <w:sz w:val="24"/>
                <w:szCs w:val="24"/>
              </w:rPr>
              <w:t>序号</w:t>
            </w:r>
          </w:p>
        </w:tc>
        <w:tc>
          <w:tcPr>
            <w:tcW w:w="1110" w:type="dxa"/>
            <w:vAlign w:val="center"/>
          </w:tcPr>
          <w:p w14:paraId="23688EF0">
            <w:pPr>
              <w:spacing w:line="276" w:lineRule="auto"/>
              <w:jc w:val="center"/>
              <w:rPr>
                <w:rFonts w:ascii="宋体" w:hAnsi="宋体" w:cs="宋体"/>
                <w:b/>
                <w:bCs/>
                <w:kern w:val="2"/>
                <w:sz w:val="24"/>
                <w:szCs w:val="24"/>
              </w:rPr>
            </w:pPr>
            <w:r>
              <w:rPr>
                <w:rFonts w:hint="eastAsia" w:ascii="宋体" w:hAnsi="宋体" w:cs="宋体"/>
                <w:b/>
                <w:bCs/>
                <w:kern w:val="2"/>
                <w:sz w:val="24"/>
                <w:szCs w:val="24"/>
              </w:rPr>
              <w:t>名称</w:t>
            </w:r>
          </w:p>
          <w:p w14:paraId="7D40454E">
            <w:pPr>
              <w:spacing w:line="276" w:lineRule="auto"/>
              <w:jc w:val="center"/>
              <w:rPr>
                <w:rFonts w:ascii="宋体" w:hAnsi="宋体" w:cs="宋体"/>
                <w:kern w:val="2"/>
                <w:sz w:val="24"/>
                <w:szCs w:val="24"/>
              </w:rPr>
            </w:pPr>
            <w:r>
              <w:rPr>
                <w:rFonts w:hint="eastAsia" w:ascii="宋体" w:hAnsi="宋体" w:cs="宋体"/>
                <w:b/>
                <w:bCs/>
                <w:kern w:val="2"/>
                <w:sz w:val="24"/>
                <w:szCs w:val="24"/>
              </w:rPr>
              <w:t>（姓名）</w:t>
            </w:r>
          </w:p>
        </w:tc>
        <w:tc>
          <w:tcPr>
            <w:tcW w:w="1961" w:type="dxa"/>
            <w:vAlign w:val="center"/>
          </w:tcPr>
          <w:p w14:paraId="25AFC36A">
            <w:pPr>
              <w:pStyle w:val="18"/>
              <w:spacing w:before="0" w:beforeAutospacing="0" w:after="0" w:afterAutospacing="0" w:line="276" w:lineRule="auto"/>
              <w:jc w:val="center"/>
              <w:rPr>
                <w:rFonts w:cs="宋体"/>
                <w:kern w:val="2"/>
              </w:rPr>
            </w:pPr>
            <w:r>
              <w:rPr>
                <w:rFonts w:hint="eastAsia" w:cs="宋体"/>
                <w:b/>
                <w:bCs/>
                <w:kern w:val="2"/>
              </w:rPr>
              <w:t>统一社会信息用代码（身份证号）</w:t>
            </w:r>
          </w:p>
        </w:tc>
        <w:tc>
          <w:tcPr>
            <w:tcW w:w="2025" w:type="dxa"/>
            <w:vAlign w:val="center"/>
          </w:tcPr>
          <w:p w14:paraId="62E87992">
            <w:pPr>
              <w:pStyle w:val="18"/>
              <w:spacing w:before="0" w:beforeAutospacing="0" w:after="0" w:afterAutospacing="0" w:line="276" w:lineRule="auto"/>
              <w:jc w:val="center"/>
              <w:rPr>
                <w:rFonts w:cs="宋体"/>
                <w:kern w:val="2"/>
              </w:rPr>
            </w:pPr>
            <w:r>
              <w:rPr>
                <w:rFonts w:hint="eastAsia" w:cs="宋体"/>
                <w:b/>
                <w:bCs/>
                <w:kern w:val="2"/>
              </w:rPr>
              <w:t>出资额</w:t>
            </w:r>
          </w:p>
          <w:p w14:paraId="0B8CBB7F">
            <w:pPr>
              <w:pStyle w:val="18"/>
              <w:spacing w:before="0" w:beforeAutospacing="0" w:after="0" w:afterAutospacing="0" w:line="276" w:lineRule="auto"/>
              <w:jc w:val="center"/>
              <w:rPr>
                <w:rFonts w:cs="宋体"/>
                <w:kern w:val="2"/>
              </w:rPr>
            </w:pPr>
            <w:r>
              <w:rPr>
                <w:rFonts w:hint="eastAsia" w:cs="宋体"/>
                <w:b/>
                <w:bCs/>
                <w:kern w:val="2"/>
              </w:rPr>
              <w:t>（人民币  万元）</w:t>
            </w:r>
          </w:p>
        </w:tc>
        <w:tc>
          <w:tcPr>
            <w:tcW w:w="1071" w:type="dxa"/>
            <w:vAlign w:val="center"/>
          </w:tcPr>
          <w:p w14:paraId="3101A85E">
            <w:pPr>
              <w:pStyle w:val="18"/>
              <w:spacing w:before="0" w:beforeAutospacing="0" w:after="0" w:afterAutospacing="0" w:line="276" w:lineRule="auto"/>
              <w:jc w:val="center"/>
              <w:rPr>
                <w:rFonts w:cs="宋体"/>
                <w:kern w:val="2"/>
              </w:rPr>
            </w:pPr>
            <w:r>
              <w:rPr>
                <w:rFonts w:hint="eastAsia" w:cs="宋体"/>
                <w:b/>
                <w:bCs/>
                <w:kern w:val="2"/>
              </w:rPr>
              <w:t>出资方式</w:t>
            </w:r>
          </w:p>
        </w:tc>
        <w:tc>
          <w:tcPr>
            <w:tcW w:w="1254" w:type="dxa"/>
            <w:vAlign w:val="center"/>
          </w:tcPr>
          <w:p w14:paraId="27A4DE97">
            <w:pPr>
              <w:pStyle w:val="18"/>
              <w:spacing w:before="0" w:beforeAutospacing="0" w:after="0" w:afterAutospacing="0" w:line="276" w:lineRule="auto"/>
              <w:jc w:val="center"/>
              <w:rPr>
                <w:rFonts w:cs="宋体"/>
                <w:kern w:val="2"/>
              </w:rPr>
            </w:pPr>
            <w:r>
              <w:rPr>
                <w:rFonts w:hint="eastAsia" w:cs="宋体"/>
                <w:b/>
                <w:bCs/>
                <w:kern w:val="2"/>
              </w:rPr>
              <w:t>占全部股份比例</w:t>
            </w:r>
          </w:p>
        </w:tc>
        <w:tc>
          <w:tcPr>
            <w:tcW w:w="1254" w:type="dxa"/>
            <w:vAlign w:val="center"/>
          </w:tcPr>
          <w:p w14:paraId="7AFC026C">
            <w:pPr>
              <w:pStyle w:val="18"/>
              <w:spacing w:before="0" w:beforeAutospacing="0" w:after="0" w:afterAutospacing="0" w:line="276" w:lineRule="auto"/>
              <w:jc w:val="center"/>
              <w:rPr>
                <w:rFonts w:cs="宋体"/>
                <w:b/>
                <w:bCs/>
                <w:kern w:val="2"/>
              </w:rPr>
            </w:pPr>
            <w:r>
              <w:rPr>
                <w:rFonts w:hint="eastAsia" w:cs="宋体"/>
                <w:b/>
                <w:bCs/>
                <w:kern w:val="2"/>
              </w:rPr>
              <w:t>是否为单位负责人</w:t>
            </w:r>
          </w:p>
        </w:tc>
      </w:tr>
      <w:tr w14:paraId="7D0A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tcPr>
          <w:p w14:paraId="619C86F4">
            <w:pPr>
              <w:spacing w:line="360" w:lineRule="auto"/>
              <w:jc w:val="center"/>
              <w:rPr>
                <w:rFonts w:ascii="宋体" w:hAnsi="宋体" w:cs="宋体"/>
                <w:sz w:val="24"/>
                <w:szCs w:val="24"/>
              </w:rPr>
            </w:pPr>
            <w:r>
              <w:rPr>
                <w:rFonts w:hint="eastAsia" w:ascii="宋体" w:hAnsi="宋体" w:cs="宋体"/>
                <w:sz w:val="24"/>
                <w:szCs w:val="24"/>
              </w:rPr>
              <w:t>1</w:t>
            </w:r>
          </w:p>
        </w:tc>
        <w:tc>
          <w:tcPr>
            <w:tcW w:w="1110" w:type="dxa"/>
          </w:tcPr>
          <w:p w14:paraId="4CF21CE6">
            <w:pPr>
              <w:spacing w:line="360" w:lineRule="auto"/>
              <w:jc w:val="center"/>
              <w:rPr>
                <w:rFonts w:ascii="宋体" w:hAnsi="宋体" w:cs="宋体"/>
                <w:sz w:val="24"/>
                <w:szCs w:val="24"/>
              </w:rPr>
            </w:pPr>
          </w:p>
        </w:tc>
        <w:tc>
          <w:tcPr>
            <w:tcW w:w="1961" w:type="dxa"/>
          </w:tcPr>
          <w:p w14:paraId="7F4B90B9">
            <w:pPr>
              <w:spacing w:line="360" w:lineRule="auto"/>
              <w:jc w:val="center"/>
              <w:rPr>
                <w:rFonts w:ascii="宋体" w:hAnsi="宋体" w:cs="宋体"/>
                <w:sz w:val="24"/>
                <w:szCs w:val="24"/>
              </w:rPr>
            </w:pPr>
          </w:p>
        </w:tc>
        <w:tc>
          <w:tcPr>
            <w:tcW w:w="2025" w:type="dxa"/>
          </w:tcPr>
          <w:p w14:paraId="10FBFC00">
            <w:pPr>
              <w:spacing w:line="360" w:lineRule="auto"/>
              <w:jc w:val="center"/>
              <w:rPr>
                <w:rFonts w:ascii="宋体" w:hAnsi="宋体" w:cs="宋体"/>
                <w:sz w:val="24"/>
                <w:szCs w:val="24"/>
              </w:rPr>
            </w:pPr>
          </w:p>
        </w:tc>
        <w:tc>
          <w:tcPr>
            <w:tcW w:w="1071" w:type="dxa"/>
          </w:tcPr>
          <w:p w14:paraId="2DFF49F8">
            <w:pPr>
              <w:spacing w:line="360" w:lineRule="auto"/>
              <w:jc w:val="center"/>
              <w:rPr>
                <w:rFonts w:ascii="宋体" w:hAnsi="宋体" w:cs="宋体"/>
                <w:sz w:val="24"/>
                <w:szCs w:val="24"/>
              </w:rPr>
            </w:pPr>
          </w:p>
        </w:tc>
        <w:tc>
          <w:tcPr>
            <w:tcW w:w="1254" w:type="dxa"/>
          </w:tcPr>
          <w:p w14:paraId="35C56AE3">
            <w:pPr>
              <w:spacing w:line="360" w:lineRule="auto"/>
              <w:jc w:val="center"/>
              <w:rPr>
                <w:rFonts w:ascii="宋体" w:hAnsi="宋体" w:cs="宋体"/>
                <w:sz w:val="24"/>
                <w:szCs w:val="24"/>
              </w:rPr>
            </w:pPr>
          </w:p>
        </w:tc>
        <w:tc>
          <w:tcPr>
            <w:tcW w:w="1254" w:type="dxa"/>
          </w:tcPr>
          <w:p w14:paraId="71A25E5A">
            <w:pPr>
              <w:spacing w:line="360" w:lineRule="auto"/>
              <w:jc w:val="center"/>
              <w:rPr>
                <w:rFonts w:ascii="宋体" w:hAnsi="宋体" w:cs="宋体"/>
                <w:sz w:val="24"/>
                <w:szCs w:val="24"/>
              </w:rPr>
            </w:pPr>
          </w:p>
        </w:tc>
      </w:tr>
      <w:tr w14:paraId="2631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69" w:type="dxa"/>
          </w:tcPr>
          <w:p w14:paraId="1C76FEF6">
            <w:pPr>
              <w:spacing w:line="360" w:lineRule="auto"/>
              <w:jc w:val="center"/>
              <w:rPr>
                <w:rFonts w:ascii="宋体" w:hAnsi="宋体" w:cs="宋体"/>
                <w:sz w:val="24"/>
                <w:szCs w:val="24"/>
              </w:rPr>
            </w:pPr>
            <w:r>
              <w:rPr>
                <w:rFonts w:hint="eastAsia" w:ascii="宋体" w:hAnsi="宋体" w:cs="宋体"/>
                <w:sz w:val="24"/>
                <w:szCs w:val="24"/>
              </w:rPr>
              <w:t>……</w:t>
            </w:r>
          </w:p>
        </w:tc>
        <w:tc>
          <w:tcPr>
            <w:tcW w:w="1110" w:type="dxa"/>
          </w:tcPr>
          <w:p w14:paraId="1C1FE7EE">
            <w:pPr>
              <w:spacing w:line="360" w:lineRule="auto"/>
              <w:jc w:val="center"/>
              <w:rPr>
                <w:rFonts w:ascii="宋体" w:hAnsi="宋体" w:cs="宋体"/>
                <w:sz w:val="24"/>
                <w:szCs w:val="24"/>
              </w:rPr>
            </w:pPr>
          </w:p>
        </w:tc>
        <w:tc>
          <w:tcPr>
            <w:tcW w:w="1961" w:type="dxa"/>
          </w:tcPr>
          <w:p w14:paraId="0F1150A8">
            <w:pPr>
              <w:spacing w:line="360" w:lineRule="auto"/>
              <w:jc w:val="center"/>
              <w:rPr>
                <w:rFonts w:ascii="宋体" w:hAnsi="宋体" w:cs="宋体"/>
                <w:sz w:val="24"/>
                <w:szCs w:val="24"/>
              </w:rPr>
            </w:pPr>
          </w:p>
        </w:tc>
        <w:tc>
          <w:tcPr>
            <w:tcW w:w="2025" w:type="dxa"/>
          </w:tcPr>
          <w:p w14:paraId="2650038A">
            <w:pPr>
              <w:spacing w:line="360" w:lineRule="auto"/>
              <w:jc w:val="center"/>
              <w:rPr>
                <w:rFonts w:ascii="宋体" w:hAnsi="宋体" w:cs="宋体"/>
                <w:sz w:val="24"/>
                <w:szCs w:val="24"/>
              </w:rPr>
            </w:pPr>
          </w:p>
        </w:tc>
        <w:tc>
          <w:tcPr>
            <w:tcW w:w="1071" w:type="dxa"/>
          </w:tcPr>
          <w:p w14:paraId="66A49C0C">
            <w:pPr>
              <w:spacing w:line="360" w:lineRule="auto"/>
              <w:jc w:val="center"/>
              <w:rPr>
                <w:rFonts w:ascii="宋体" w:hAnsi="宋体" w:cs="宋体"/>
                <w:sz w:val="24"/>
                <w:szCs w:val="24"/>
              </w:rPr>
            </w:pPr>
          </w:p>
        </w:tc>
        <w:tc>
          <w:tcPr>
            <w:tcW w:w="1254" w:type="dxa"/>
          </w:tcPr>
          <w:p w14:paraId="54036D2C">
            <w:pPr>
              <w:spacing w:line="360" w:lineRule="auto"/>
              <w:jc w:val="center"/>
              <w:rPr>
                <w:rFonts w:ascii="宋体" w:hAnsi="宋体" w:cs="宋体"/>
                <w:sz w:val="24"/>
                <w:szCs w:val="24"/>
              </w:rPr>
            </w:pPr>
          </w:p>
        </w:tc>
        <w:tc>
          <w:tcPr>
            <w:tcW w:w="1254" w:type="dxa"/>
          </w:tcPr>
          <w:p w14:paraId="228011A5">
            <w:pPr>
              <w:spacing w:line="360" w:lineRule="auto"/>
              <w:jc w:val="center"/>
              <w:rPr>
                <w:rFonts w:ascii="宋体" w:hAnsi="宋体" w:cs="宋体"/>
                <w:sz w:val="24"/>
                <w:szCs w:val="24"/>
              </w:rPr>
            </w:pPr>
          </w:p>
        </w:tc>
      </w:tr>
    </w:tbl>
    <w:p w14:paraId="59CF7797">
      <w:pPr>
        <w:spacing w:line="360" w:lineRule="auto"/>
        <w:ind w:left="485" w:hanging="484" w:hangingChars="202"/>
        <w:rPr>
          <w:rFonts w:ascii="宋体" w:hAnsi="宋体" w:cs="宋体"/>
          <w:sz w:val="24"/>
          <w:szCs w:val="24"/>
        </w:rPr>
      </w:pPr>
      <w:r>
        <w:rPr>
          <w:rFonts w:hint="eastAsia" w:ascii="宋体" w:hAnsi="宋体" w:cs="宋体"/>
          <w:sz w:val="24"/>
          <w:szCs w:val="24"/>
        </w:rPr>
        <w:t>注：1. 主要股东或出资人为法人的，填写法人全称及统一社会信息用代码（尚未办理三证合一的填写组织机构代码）；为自然人的，填写自然人姓名和身份证号。</w:t>
      </w:r>
    </w:p>
    <w:p w14:paraId="072BCC2D">
      <w:pPr>
        <w:spacing w:line="360" w:lineRule="auto"/>
        <w:ind w:left="420" w:firstLine="6"/>
        <w:rPr>
          <w:rFonts w:ascii="宋体" w:hAnsi="宋体" w:cs="宋体"/>
          <w:sz w:val="24"/>
          <w:szCs w:val="24"/>
        </w:rPr>
      </w:pPr>
      <w:r>
        <w:rPr>
          <w:rFonts w:hint="eastAsia" w:ascii="宋体" w:hAnsi="宋体" w:cs="宋体"/>
          <w:sz w:val="24"/>
          <w:szCs w:val="24"/>
        </w:rPr>
        <w:t>2. 出资方式填写：货币、实物、工艺产权和非专利技术、土地使用权等。</w:t>
      </w:r>
    </w:p>
    <w:p w14:paraId="3644988A">
      <w:pPr>
        <w:spacing w:line="360" w:lineRule="auto"/>
        <w:ind w:firstLine="480" w:firstLineChars="200"/>
        <w:rPr>
          <w:rFonts w:ascii="宋体" w:hAnsi="宋体" w:cs="宋体"/>
          <w:sz w:val="24"/>
          <w:szCs w:val="24"/>
        </w:rPr>
      </w:pPr>
      <w:r>
        <w:rPr>
          <w:rFonts w:hint="eastAsia" w:ascii="宋体" w:hAnsi="宋体" w:cs="宋体"/>
          <w:sz w:val="24"/>
          <w:szCs w:val="24"/>
        </w:rPr>
        <w:t>3. 投标单位应按照占全部股份比例从大到小依次逐个股东填写，股东数量多于10个的，填写前10名，不足10个全部填写。同时投标人必须附“国家企业信用信息公示系统”网页并加盖投标人单位公章。</w:t>
      </w:r>
    </w:p>
    <w:p w14:paraId="009CB6D6">
      <w:pPr>
        <w:spacing w:line="360" w:lineRule="auto"/>
        <w:ind w:left="485" w:hanging="484" w:hangingChars="202"/>
        <w:rPr>
          <w:rFonts w:ascii="宋体" w:hAnsi="宋体" w:cs="宋体"/>
          <w:sz w:val="24"/>
          <w:szCs w:val="24"/>
        </w:rPr>
      </w:pPr>
      <w:r>
        <w:rPr>
          <w:rFonts w:hint="eastAsia" w:ascii="宋体" w:hAnsi="宋体" w:cs="宋体"/>
          <w:sz w:val="24"/>
          <w:szCs w:val="24"/>
        </w:rPr>
        <w:t>8.本单位与其他单位的关联关系。</w:t>
      </w:r>
    </w:p>
    <w:tbl>
      <w:tblPr>
        <w:tblStyle w:val="2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2361"/>
        <w:gridCol w:w="3061"/>
        <w:gridCol w:w="3224"/>
      </w:tblGrid>
      <w:tr w14:paraId="51D7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654" w:type="pct"/>
            <w:vAlign w:val="center"/>
          </w:tcPr>
          <w:p w14:paraId="171ED4E9">
            <w:pPr>
              <w:spacing w:line="360" w:lineRule="auto"/>
              <w:jc w:val="center"/>
              <w:rPr>
                <w:rFonts w:ascii="宋体" w:hAnsi="宋体" w:cs="宋体"/>
                <w:kern w:val="2"/>
                <w:sz w:val="24"/>
                <w:szCs w:val="24"/>
              </w:rPr>
            </w:pPr>
            <w:r>
              <w:rPr>
                <w:rFonts w:hint="eastAsia" w:ascii="宋体" w:hAnsi="宋体" w:cs="宋体"/>
                <w:kern w:val="2"/>
                <w:sz w:val="24"/>
                <w:szCs w:val="24"/>
              </w:rPr>
              <w:t>序号</w:t>
            </w:r>
          </w:p>
        </w:tc>
        <w:tc>
          <w:tcPr>
            <w:tcW w:w="1186" w:type="pct"/>
            <w:vAlign w:val="center"/>
          </w:tcPr>
          <w:p w14:paraId="14DAA5B9">
            <w:pPr>
              <w:spacing w:line="276" w:lineRule="auto"/>
              <w:jc w:val="center"/>
              <w:rPr>
                <w:rFonts w:ascii="宋体" w:hAnsi="宋体" w:cs="宋体"/>
                <w:kern w:val="2"/>
                <w:sz w:val="24"/>
                <w:szCs w:val="24"/>
              </w:rPr>
            </w:pPr>
            <w:r>
              <w:rPr>
                <w:rFonts w:hint="eastAsia" w:ascii="宋体" w:hAnsi="宋体" w:cs="宋体"/>
                <w:b/>
                <w:bCs/>
                <w:kern w:val="2"/>
                <w:sz w:val="24"/>
                <w:szCs w:val="24"/>
              </w:rPr>
              <w:t>关联单位名称</w:t>
            </w:r>
          </w:p>
        </w:tc>
        <w:tc>
          <w:tcPr>
            <w:tcW w:w="1538" w:type="pct"/>
            <w:vAlign w:val="center"/>
          </w:tcPr>
          <w:p w14:paraId="2314563B">
            <w:pPr>
              <w:pStyle w:val="18"/>
              <w:spacing w:before="0" w:beforeAutospacing="0" w:after="0" w:afterAutospacing="0" w:line="276" w:lineRule="auto"/>
              <w:jc w:val="center"/>
              <w:rPr>
                <w:rFonts w:cs="宋体"/>
                <w:b/>
                <w:bCs/>
                <w:kern w:val="2"/>
              </w:rPr>
            </w:pPr>
            <w:r>
              <w:rPr>
                <w:rFonts w:hint="eastAsia" w:cs="宋体"/>
                <w:b/>
                <w:bCs/>
                <w:kern w:val="2"/>
              </w:rPr>
              <w:t>统一社会信息用代码</w:t>
            </w:r>
          </w:p>
          <w:p w14:paraId="5E3CD11D">
            <w:pPr>
              <w:pStyle w:val="18"/>
              <w:spacing w:before="0" w:beforeAutospacing="0" w:after="0" w:afterAutospacing="0" w:line="276" w:lineRule="auto"/>
              <w:jc w:val="center"/>
              <w:rPr>
                <w:rFonts w:cs="宋体"/>
                <w:kern w:val="2"/>
              </w:rPr>
            </w:pPr>
            <w:r>
              <w:rPr>
                <w:rFonts w:hint="eastAsia" w:cs="宋体"/>
                <w:b/>
                <w:bCs/>
                <w:kern w:val="2"/>
              </w:rPr>
              <w:t>（身份证号）</w:t>
            </w:r>
          </w:p>
        </w:tc>
        <w:tc>
          <w:tcPr>
            <w:tcW w:w="1620" w:type="pct"/>
            <w:vAlign w:val="center"/>
          </w:tcPr>
          <w:p w14:paraId="5E2F2627">
            <w:pPr>
              <w:pStyle w:val="18"/>
              <w:spacing w:before="0" w:beforeAutospacing="0" w:after="0" w:afterAutospacing="0" w:line="276" w:lineRule="auto"/>
              <w:jc w:val="center"/>
              <w:rPr>
                <w:rFonts w:cs="宋体"/>
                <w:kern w:val="2"/>
              </w:rPr>
            </w:pPr>
            <w:r>
              <w:rPr>
                <w:rFonts w:hint="eastAsia" w:cs="宋体"/>
                <w:b/>
                <w:bCs/>
                <w:kern w:val="2"/>
              </w:rPr>
              <w:t>关联关系</w:t>
            </w:r>
          </w:p>
        </w:tc>
      </w:tr>
      <w:tr w14:paraId="39FC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54" w:type="pct"/>
          </w:tcPr>
          <w:p w14:paraId="57810E6B">
            <w:pPr>
              <w:spacing w:line="360" w:lineRule="auto"/>
              <w:jc w:val="center"/>
              <w:rPr>
                <w:rFonts w:ascii="宋体" w:hAnsi="宋体" w:cs="宋体"/>
                <w:sz w:val="24"/>
                <w:szCs w:val="24"/>
              </w:rPr>
            </w:pPr>
            <w:r>
              <w:rPr>
                <w:rFonts w:hint="eastAsia" w:ascii="宋体" w:hAnsi="宋体" w:cs="宋体"/>
                <w:sz w:val="24"/>
                <w:szCs w:val="24"/>
              </w:rPr>
              <w:t>1</w:t>
            </w:r>
          </w:p>
        </w:tc>
        <w:tc>
          <w:tcPr>
            <w:tcW w:w="1186" w:type="pct"/>
          </w:tcPr>
          <w:p w14:paraId="0D12FDE2">
            <w:pPr>
              <w:spacing w:line="360" w:lineRule="auto"/>
              <w:jc w:val="center"/>
              <w:rPr>
                <w:rFonts w:ascii="宋体" w:hAnsi="宋体" w:cs="宋体"/>
                <w:sz w:val="24"/>
                <w:szCs w:val="24"/>
              </w:rPr>
            </w:pPr>
          </w:p>
        </w:tc>
        <w:tc>
          <w:tcPr>
            <w:tcW w:w="1538" w:type="pct"/>
          </w:tcPr>
          <w:p w14:paraId="2CA286DE">
            <w:pPr>
              <w:spacing w:line="360" w:lineRule="auto"/>
              <w:jc w:val="center"/>
              <w:rPr>
                <w:rFonts w:ascii="宋体" w:hAnsi="宋体" w:cs="宋体"/>
                <w:sz w:val="24"/>
                <w:szCs w:val="24"/>
              </w:rPr>
            </w:pPr>
          </w:p>
        </w:tc>
        <w:tc>
          <w:tcPr>
            <w:tcW w:w="1620" w:type="pct"/>
          </w:tcPr>
          <w:p w14:paraId="721CBC3A">
            <w:pPr>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单位负责人为同一人</w:t>
            </w:r>
          </w:p>
          <w:p w14:paraId="536DE525">
            <w:pPr>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控股、管理关系</w:t>
            </w:r>
          </w:p>
        </w:tc>
      </w:tr>
      <w:tr w14:paraId="0504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54" w:type="pct"/>
          </w:tcPr>
          <w:p w14:paraId="2BD8C5EA">
            <w:pPr>
              <w:spacing w:line="360" w:lineRule="auto"/>
              <w:jc w:val="center"/>
              <w:rPr>
                <w:rFonts w:ascii="宋体" w:hAnsi="宋体" w:cs="宋体"/>
                <w:sz w:val="24"/>
                <w:szCs w:val="24"/>
              </w:rPr>
            </w:pPr>
            <w:r>
              <w:rPr>
                <w:rFonts w:hint="eastAsia" w:ascii="宋体" w:hAnsi="宋体" w:cs="宋体"/>
                <w:sz w:val="24"/>
                <w:szCs w:val="24"/>
              </w:rPr>
              <w:t>……</w:t>
            </w:r>
          </w:p>
        </w:tc>
        <w:tc>
          <w:tcPr>
            <w:tcW w:w="1186" w:type="pct"/>
          </w:tcPr>
          <w:p w14:paraId="362D6691">
            <w:pPr>
              <w:spacing w:line="360" w:lineRule="auto"/>
              <w:jc w:val="center"/>
              <w:rPr>
                <w:rFonts w:ascii="宋体" w:hAnsi="宋体" w:cs="宋体"/>
                <w:sz w:val="24"/>
                <w:szCs w:val="24"/>
              </w:rPr>
            </w:pPr>
          </w:p>
        </w:tc>
        <w:tc>
          <w:tcPr>
            <w:tcW w:w="1538" w:type="pct"/>
          </w:tcPr>
          <w:p w14:paraId="06C4AA3C">
            <w:pPr>
              <w:spacing w:line="360" w:lineRule="auto"/>
              <w:jc w:val="center"/>
              <w:rPr>
                <w:rFonts w:ascii="宋体" w:hAnsi="宋体" w:cs="宋体"/>
                <w:sz w:val="24"/>
                <w:szCs w:val="24"/>
              </w:rPr>
            </w:pPr>
          </w:p>
        </w:tc>
        <w:tc>
          <w:tcPr>
            <w:tcW w:w="1620" w:type="pct"/>
          </w:tcPr>
          <w:p w14:paraId="41C3864E">
            <w:pPr>
              <w:spacing w:line="360" w:lineRule="auto"/>
              <w:jc w:val="center"/>
              <w:rPr>
                <w:rFonts w:ascii="宋体" w:hAnsi="宋体" w:cs="宋体"/>
                <w:sz w:val="24"/>
                <w:szCs w:val="24"/>
              </w:rPr>
            </w:pPr>
          </w:p>
        </w:tc>
      </w:tr>
    </w:tbl>
    <w:p w14:paraId="0D7BCD11">
      <w:pPr>
        <w:pStyle w:val="30"/>
      </w:pPr>
      <w:r>
        <w:rPr>
          <w:rFonts w:hint="eastAsia" w:ascii="宋体" w:hAnsi="宋体" w:cs="宋体"/>
          <w:sz w:val="24"/>
          <w:szCs w:val="24"/>
        </w:rPr>
        <w:t>注：</w:t>
      </w:r>
      <w:r>
        <w:rPr>
          <w:rFonts w:ascii="宋体" w:hAnsi="宋体" w:cs="宋体"/>
          <w:sz w:val="24"/>
          <w:szCs w:val="24"/>
        </w:rPr>
        <w:t>如未与其他单位存在关联关系的，该表填写“无”</w:t>
      </w:r>
      <w:r>
        <w:rPr>
          <w:rFonts w:hint="eastAsia" w:ascii="宋体" w:hAnsi="宋体" w:cs="宋体"/>
          <w:sz w:val="24"/>
          <w:szCs w:val="24"/>
        </w:rPr>
        <w:t>。</w:t>
      </w:r>
    </w:p>
    <w:p w14:paraId="6176BF78">
      <w:pPr>
        <w:rPr>
          <w:rFonts w:ascii="宋体" w:hAnsi="宋体" w:cs="宋体"/>
          <w:sz w:val="24"/>
          <w:szCs w:val="24"/>
        </w:rPr>
      </w:pPr>
    </w:p>
    <w:p w14:paraId="239C4493">
      <w:pPr>
        <w:rPr>
          <w:rFonts w:ascii="宋体" w:hAnsi="宋体" w:cs="宋体"/>
          <w:sz w:val="24"/>
          <w:szCs w:val="24"/>
        </w:rPr>
      </w:pPr>
      <w:r>
        <w:rPr>
          <w:rFonts w:hint="eastAsia" w:ascii="宋体" w:hAnsi="宋体" w:cs="宋体"/>
          <w:sz w:val="24"/>
          <w:szCs w:val="24"/>
        </w:rPr>
        <w:t>投标人获得国家有关部门颁发的资质和国内外知名厂商出具的销售许可证明：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14:paraId="699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349" w:type="dxa"/>
            <w:tcBorders>
              <w:top w:val="single" w:color="auto" w:sz="12" w:space="0"/>
              <w:left w:val="single" w:color="auto" w:sz="12" w:space="0"/>
            </w:tcBorders>
          </w:tcPr>
          <w:p w14:paraId="3CFF770C">
            <w:pPr>
              <w:spacing w:line="360" w:lineRule="auto"/>
              <w:jc w:val="center"/>
              <w:rPr>
                <w:rFonts w:ascii="宋体" w:hAnsi="宋体" w:cs="宋体"/>
                <w:sz w:val="24"/>
                <w:szCs w:val="24"/>
              </w:rPr>
            </w:pPr>
            <w:r>
              <w:rPr>
                <w:rFonts w:hint="eastAsia" w:ascii="宋体" w:hAnsi="宋体" w:cs="宋体"/>
                <w:sz w:val="24"/>
                <w:szCs w:val="24"/>
              </w:rPr>
              <w:t xml:space="preserve">  证书名称</w:t>
            </w:r>
          </w:p>
        </w:tc>
        <w:tc>
          <w:tcPr>
            <w:tcW w:w="2349" w:type="dxa"/>
            <w:tcBorders>
              <w:top w:val="single" w:color="auto" w:sz="12" w:space="0"/>
            </w:tcBorders>
          </w:tcPr>
          <w:p w14:paraId="2F86D151">
            <w:pPr>
              <w:spacing w:line="360" w:lineRule="auto"/>
              <w:jc w:val="center"/>
              <w:rPr>
                <w:rFonts w:ascii="宋体" w:hAnsi="宋体" w:cs="宋体"/>
                <w:sz w:val="24"/>
                <w:szCs w:val="24"/>
              </w:rPr>
            </w:pPr>
            <w:r>
              <w:rPr>
                <w:rFonts w:hint="eastAsia" w:ascii="宋体" w:hAnsi="宋体" w:cs="宋体"/>
                <w:sz w:val="24"/>
                <w:szCs w:val="24"/>
              </w:rPr>
              <w:t>发证单位</w:t>
            </w:r>
          </w:p>
        </w:tc>
        <w:tc>
          <w:tcPr>
            <w:tcW w:w="2349" w:type="dxa"/>
            <w:tcBorders>
              <w:top w:val="single" w:color="auto" w:sz="12" w:space="0"/>
            </w:tcBorders>
          </w:tcPr>
          <w:p w14:paraId="6218CE9D">
            <w:pPr>
              <w:spacing w:line="360" w:lineRule="auto"/>
              <w:jc w:val="center"/>
              <w:rPr>
                <w:rFonts w:ascii="宋体" w:hAnsi="宋体" w:cs="宋体"/>
                <w:sz w:val="24"/>
                <w:szCs w:val="24"/>
              </w:rPr>
            </w:pPr>
            <w:r>
              <w:rPr>
                <w:rFonts w:hint="eastAsia" w:ascii="宋体" w:hAnsi="宋体" w:cs="宋体"/>
                <w:sz w:val="24"/>
                <w:szCs w:val="24"/>
              </w:rPr>
              <w:t>证书等级</w:t>
            </w:r>
          </w:p>
        </w:tc>
        <w:tc>
          <w:tcPr>
            <w:tcW w:w="2349" w:type="dxa"/>
            <w:tcBorders>
              <w:top w:val="single" w:color="auto" w:sz="12" w:space="0"/>
              <w:right w:val="single" w:color="auto" w:sz="12" w:space="0"/>
            </w:tcBorders>
          </w:tcPr>
          <w:p w14:paraId="6CBB5418">
            <w:pPr>
              <w:spacing w:line="360" w:lineRule="auto"/>
              <w:jc w:val="center"/>
              <w:rPr>
                <w:rFonts w:ascii="宋体" w:hAnsi="宋体" w:cs="宋体"/>
                <w:sz w:val="24"/>
                <w:szCs w:val="24"/>
              </w:rPr>
            </w:pPr>
            <w:r>
              <w:rPr>
                <w:rFonts w:hint="eastAsia" w:ascii="宋体" w:hAnsi="宋体" w:cs="宋体"/>
                <w:sz w:val="24"/>
                <w:szCs w:val="24"/>
              </w:rPr>
              <w:t>证书有效期</w:t>
            </w:r>
          </w:p>
        </w:tc>
      </w:tr>
      <w:tr w14:paraId="6AB1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9" w:type="dxa"/>
            <w:tcBorders>
              <w:left w:val="single" w:color="auto" w:sz="12" w:space="0"/>
            </w:tcBorders>
          </w:tcPr>
          <w:p w14:paraId="3CBB541C">
            <w:pPr>
              <w:spacing w:line="360" w:lineRule="auto"/>
              <w:jc w:val="center"/>
              <w:rPr>
                <w:rFonts w:ascii="宋体" w:hAnsi="宋体" w:cs="宋体"/>
                <w:sz w:val="24"/>
                <w:szCs w:val="24"/>
              </w:rPr>
            </w:pPr>
          </w:p>
        </w:tc>
        <w:tc>
          <w:tcPr>
            <w:tcW w:w="2349" w:type="dxa"/>
          </w:tcPr>
          <w:p w14:paraId="79967D0D">
            <w:pPr>
              <w:spacing w:line="360" w:lineRule="auto"/>
              <w:jc w:val="center"/>
              <w:rPr>
                <w:rFonts w:ascii="宋体" w:hAnsi="宋体" w:cs="宋体"/>
                <w:sz w:val="24"/>
                <w:szCs w:val="24"/>
              </w:rPr>
            </w:pPr>
          </w:p>
        </w:tc>
        <w:tc>
          <w:tcPr>
            <w:tcW w:w="2349" w:type="dxa"/>
          </w:tcPr>
          <w:p w14:paraId="1D48557C">
            <w:pPr>
              <w:spacing w:line="360" w:lineRule="auto"/>
              <w:jc w:val="center"/>
              <w:rPr>
                <w:rFonts w:ascii="宋体" w:hAnsi="宋体" w:cs="宋体"/>
                <w:sz w:val="24"/>
                <w:szCs w:val="24"/>
              </w:rPr>
            </w:pPr>
          </w:p>
        </w:tc>
        <w:tc>
          <w:tcPr>
            <w:tcW w:w="2349" w:type="dxa"/>
            <w:tcBorders>
              <w:right w:val="single" w:color="auto" w:sz="12" w:space="0"/>
            </w:tcBorders>
          </w:tcPr>
          <w:p w14:paraId="7B042FF7">
            <w:pPr>
              <w:spacing w:line="360" w:lineRule="auto"/>
              <w:jc w:val="center"/>
              <w:rPr>
                <w:rFonts w:ascii="宋体" w:hAnsi="宋体" w:cs="宋体"/>
                <w:sz w:val="24"/>
                <w:szCs w:val="24"/>
              </w:rPr>
            </w:pPr>
          </w:p>
        </w:tc>
      </w:tr>
      <w:tr w14:paraId="448E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9" w:type="dxa"/>
            <w:tcBorders>
              <w:left w:val="single" w:color="auto" w:sz="12" w:space="0"/>
              <w:bottom w:val="single" w:color="auto" w:sz="12" w:space="0"/>
            </w:tcBorders>
          </w:tcPr>
          <w:p w14:paraId="2362A7AF">
            <w:pPr>
              <w:spacing w:line="360" w:lineRule="auto"/>
              <w:jc w:val="center"/>
              <w:rPr>
                <w:rFonts w:ascii="宋体" w:hAnsi="宋体" w:cs="宋体"/>
                <w:sz w:val="24"/>
                <w:szCs w:val="24"/>
              </w:rPr>
            </w:pPr>
          </w:p>
        </w:tc>
        <w:tc>
          <w:tcPr>
            <w:tcW w:w="2349" w:type="dxa"/>
            <w:tcBorders>
              <w:bottom w:val="single" w:color="auto" w:sz="12" w:space="0"/>
            </w:tcBorders>
          </w:tcPr>
          <w:p w14:paraId="1AC7ACA8">
            <w:pPr>
              <w:spacing w:line="360" w:lineRule="auto"/>
              <w:jc w:val="center"/>
              <w:rPr>
                <w:rFonts w:ascii="宋体" w:hAnsi="宋体" w:cs="宋体"/>
                <w:sz w:val="24"/>
                <w:szCs w:val="24"/>
              </w:rPr>
            </w:pPr>
          </w:p>
        </w:tc>
        <w:tc>
          <w:tcPr>
            <w:tcW w:w="2349" w:type="dxa"/>
            <w:tcBorders>
              <w:bottom w:val="single" w:color="auto" w:sz="12" w:space="0"/>
            </w:tcBorders>
          </w:tcPr>
          <w:p w14:paraId="793778D4">
            <w:pPr>
              <w:spacing w:line="360" w:lineRule="auto"/>
              <w:jc w:val="center"/>
              <w:rPr>
                <w:rFonts w:ascii="宋体" w:hAnsi="宋体" w:cs="宋体"/>
                <w:sz w:val="24"/>
                <w:szCs w:val="24"/>
              </w:rPr>
            </w:pPr>
          </w:p>
        </w:tc>
        <w:tc>
          <w:tcPr>
            <w:tcW w:w="2349" w:type="dxa"/>
            <w:tcBorders>
              <w:bottom w:val="single" w:color="auto" w:sz="12" w:space="0"/>
              <w:right w:val="single" w:color="auto" w:sz="12" w:space="0"/>
            </w:tcBorders>
          </w:tcPr>
          <w:p w14:paraId="60234803">
            <w:pPr>
              <w:spacing w:line="360" w:lineRule="auto"/>
              <w:jc w:val="center"/>
              <w:rPr>
                <w:rFonts w:ascii="宋体" w:hAnsi="宋体" w:cs="宋体"/>
                <w:sz w:val="24"/>
                <w:szCs w:val="24"/>
              </w:rPr>
            </w:pPr>
          </w:p>
        </w:tc>
      </w:tr>
    </w:tbl>
    <w:p w14:paraId="2A5C06C9">
      <w:pPr>
        <w:spacing w:line="360" w:lineRule="auto"/>
        <w:rPr>
          <w:rFonts w:ascii="宋体" w:hAnsi="宋体" w:cs="宋体"/>
          <w:sz w:val="24"/>
          <w:szCs w:val="24"/>
        </w:rPr>
      </w:pPr>
      <w:r>
        <w:rPr>
          <w:rFonts w:hint="eastAsia" w:ascii="宋体" w:hAnsi="宋体" w:cs="宋体"/>
          <w:sz w:val="24"/>
          <w:szCs w:val="24"/>
        </w:rPr>
        <w:t xml:space="preserve">    我/我们声明以上所述是正确无误的，您有权进行您认为必要的所有调查，</w:t>
      </w:r>
      <w:r>
        <w:rPr>
          <w:rFonts w:hint="eastAsia" w:ascii="宋体" w:hAnsi="宋体" w:cs="宋体"/>
          <w:sz w:val="24"/>
          <w:szCs w:val="24"/>
          <w:lang w:val="en-GB"/>
        </w:rPr>
        <w:t>如以上数据有虚假，一经查实，自行承担相关责任。</w:t>
      </w:r>
    </w:p>
    <w:p w14:paraId="277D2450">
      <w:pPr>
        <w:spacing w:line="500" w:lineRule="exact"/>
        <w:rPr>
          <w:rFonts w:ascii="宋体" w:hAnsi="宋体" w:cs="宋体"/>
          <w:spacing w:val="4"/>
          <w:sz w:val="24"/>
          <w:szCs w:val="24"/>
        </w:rPr>
      </w:pPr>
      <w:r>
        <w:rPr>
          <w:rFonts w:hint="eastAsia" w:ascii="宋体" w:hAnsi="宋体" w:cs="宋体"/>
          <w:spacing w:val="4"/>
          <w:sz w:val="24"/>
          <w:szCs w:val="24"/>
        </w:rPr>
        <w:t>投标人名称（</w:t>
      </w:r>
      <w:r>
        <w:rPr>
          <w:rFonts w:hint="eastAsia" w:ascii="宋体" w:hAnsi="宋体"/>
          <w:sz w:val="24"/>
        </w:rPr>
        <w:t>单位盖</w:t>
      </w:r>
      <w:r>
        <w:rPr>
          <w:rFonts w:hint="eastAsia"/>
          <w:spacing w:val="4"/>
          <w:sz w:val="24"/>
        </w:rPr>
        <w:t>公章</w:t>
      </w:r>
      <w:r>
        <w:rPr>
          <w:rFonts w:hint="eastAsia" w:ascii="宋体" w:hAnsi="宋体" w:cs="宋体"/>
          <w:spacing w:val="4"/>
          <w:sz w:val="24"/>
          <w:szCs w:val="24"/>
        </w:rPr>
        <w:t>）：</w:t>
      </w:r>
    </w:p>
    <w:p w14:paraId="06E6DBFF">
      <w:pPr>
        <w:spacing w:line="520" w:lineRule="exact"/>
        <w:rPr>
          <w:rFonts w:ascii="宋体" w:hAnsi="宋体" w:cs="宋体"/>
          <w:sz w:val="24"/>
          <w:szCs w:val="24"/>
        </w:rPr>
      </w:pPr>
      <w:r>
        <w:rPr>
          <w:rFonts w:hint="eastAsia" w:ascii="宋体" w:hAnsi="宋体" w:cs="宋体"/>
          <w:sz w:val="24"/>
          <w:szCs w:val="24"/>
        </w:rPr>
        <w:t>法定代表人或投标人授权代表（签名或盖个人名章）：</w:t>
      </w:r>
    </w:p>
    <w:p w14:paraId="61926B53">
      <w:pPr>
        <w:autoSpaceDE/>
        <w:autoSpaceDN/>
        <w:adjustRightInd/>
        <w:spacing w:line="360" w:lineRule="auto"/>
        <w:ind w:right="80" w:rightChars="40"/>
        <w:jc w:val="both"/>
        <w:rPr>
          <w:rFonts w:ascii="宋体" w:hAnsi="宋体" w:cs="宋体"/>
          <w:spacing w:val="4"/>
          <w:sz w:val="22"/>
          <w:szCs w:val="22"/>
          <w:u w:val="single"/>
        </w:rPr>
      </w:pPr>
      <w:r>
        <w:rPr>
          <w:rFonts w:hint="eastAsia" w:ascii="宋体" w:hAnsi="宋体" w:cs="宋体"/>
          <w:spacing w:val="4"/>
          <w:sz w:val="24"/>
          <w:szCs w:val="24"/>
        </w:rPr>
        <w:t>日期：</w:t>
      </w:r>
      <w:r>
        <w:rPr>
          <w:rFonts w:hint="eastAsia" w:ascii="宋体" w:hAnsi="宋体" w:cs="宋体"/>
          <w:spacing w:val="4"/>
          <w:sz w:val="24"/>
          <w:szCs w:val="24"/>
          <w:u w:val="single"/>
        </w:rPr>
        <w:t xml:space="preserve">     </w:t>
      </w:r>
    </w:p>
    <w:p w14:paraId="492C3701">
      <w:pPr>
        <w:autoSpaceDE/>
        <w:autoSpaceDN/>
        <w:adjustRightInd/>
        <w:spacing w:line="440" w:lineRule="exact"/>
        <w:ind w:left="180"/>
        <w:jc w:val="center"/>
        <w:outlineLvl w:val="1"/>
        <w:rPr>
          <w:rFonts w:ascii="黑体" w:hAnsi="黑体" w:eastAsia="黑体"/>
          <w:sz w:val="32"/>
          <w:szCs w:val="32"/>
        </w:rPr>
      </w:pPr>
      <w:r>
        <w:rPr>
          <w:rFonts w:hint="eastAsia" w:ascii="宋体" w:hAnsi="宋体" w:cs="宋体"/>
          <w:bCs/>
          <w:sz w:val="32"/>
          <w:szCs w:val="21"/>
        </w:rPr>
        <w:br w:type="page"/>
      </w:r>
      <w:bookmarkStart w:id="157" w:name="_Toc50737301"/>
      <w:bookmarkStart w:id="158" w:name="_Toc50691044"/>
      <w:bookmarkStart w:id="159" w:name="_Toc275865617"/>
      <w:bookmarkStart w:id="160" w:name="_Toc50737333"/>
      <w:bookmarkStart w:id="161" w:name="_Toc435514870"/>
      <w:bookmarkStart w:id="162" w:name="_Toc31842"/>
      <w:bookmarkStart w:id="163" w:name="_Toc43264525"/>
      <w:bookmarkStart w:id="164" w:name="_Toc52165085"/>
      <w:bookmarkStart w:id="165" w:name="_Toc14623"/>
      <w:bookmarkStart w:id="166" w:name="_Toc435515310"/>
      <w:bookmarkStart w:id="167" w:name="_Toc50736481"/>
      <w:bookmarkStart w:id="168" w:name="_Toc50703730"/>
      <w:bookmarkStart w:id="169" w:name="_Toc50691037"/>
      <w:r>
        <w:rPr>
          <w:rFonts w:hint="eastAsia" w:ascii="宋体" w:hAnsi="宋体" w:cs="宋体"/>
          <w:b/>
          <w:bCs/>
          <w:sz w:val="32"/>
          <w:szCs w:val="32"/>
        </w:rPr>
        <w:t>同类项目情况一览表</w:t>
      </w:r>
      <w:bookmarkEnd w:id="157"/>
      <w:bookmarkEnd w:id="158"/>
      <w:bookmarkEnd w:id="159"/>
      <w:bookmarkEnd w:id="160"/>
      <w:bookmarkEnd w:id="161"/>
      <w:bookmarkEnd w:id="162"/>
      <w:bookmarkEnd w:id="163"/>
      <w:bookmarkEnd w:id="164"/>
      <w:bookmarkEnd w:id="165"/>
      <w:bookmarkEnd w:id="166"/>
      <w:bookmarkEnd w:id="167"/>
    </w:p>
    <w:p w14:paraId="4046F1C3">
      <w:pPr>
        <w:widowControl/>
        <w:autoSpaceDE/>
        <w:autoSpaceDN/>
        <w:snapToGrid w:val="0"/>
        <w:spacing w:line="360" w:lineRule="auto"/>
        <w:textAlignment w:val="baseline"/>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南雄市人民医院食堂对外承包项目</w:t>
      </w:r>
    </w:p>
    <w:tbl>
      <w:tblPr>
        <w:tblStyle w:val="23"/>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54"/>
        <w:gridCol w:w="966"/>
        <w:gridCol w:w="1682"/>
        <w:gridCol w:w="954"/>
        <w:gridCol w:w="1077"/>
        <w:gridCol w:w="953"/>
        <w:gridCol w:w="992"/>
        <w:gridCol w:w="1082"/>
      </w:tblGrid>
      <w:tr w14:paraId="2BEEA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28" w:type="dxa"/>
            <w:tcBorders>
              <w:top w:val="single" w:color="auto" w:sz="12" w:space="0"/>
            </w:tcBorders>
            <w:shd w:val="clear" w:color="auto" w:fill="EEECE1"/>
            <w:vAlign w:val="center"/>
          </w:tcPr>
          <w:p w14:paraId="681D4A24">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序号</w:t>
            </w:r>
          </w:p>
        </w:tc>
        <w:tc>
          <w:tcPr>
            <w:tcW w:w="854" w:type="dxa"/>
            <w:tcBorders>
              <w:top w:val="single" w:color="auto" w:sz="12" w:space="0"/>
            </w:tcBorders>
            <w:shd w:val="clear" w:color="auto" w:fill="EEECE1"/>
            <w:vAlign w:val="center"/>
          </w:tcPr>
          <w:p w14:paraId="46B22F87">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用户/业主名称</w:t>
            </w:r>
          </w:p>
        </w:tc>
        <w:tc>
          <w:tcPr>
            <w:tcW w:w="966" w:type="dxa"/>
            <w:tcBorders>
              <w:top w:val="single" w:color="auto" w:sz="12" w:space="0"/>
            </w:tcBorders>
            <w:shd w:val="clear" w:color="auto" w:fill="EEECE1"/>
            <w:vAlign w:val="center"/>
          </w:tcPr>
          <w:p w14:paraId="3CD62FD3">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项目名称</w:t>
            </w:r>
          </w:p>
        </w:tc>
        <w:tc>
          <w:tcPr>
            <w:tcW w:w="1682" w:type="dxa"/>
            <w:tcBorders>
              <w:top w:val="single" w:color="auto" w:sz="12" w:space="0"/>
              <w:bottom w:val="double" w:color="auto" w:sz="4" w:space="0"/>
            </w:tcBorders>
            <w:shd w:val="clear" w:color="auto" w:fill="EEECE1"/>
            <w:vAlign w:val="center"/>
          </w:tcPr>
          <w:p w14:paraId="7FF58D10">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项目内容</w:t>
            </w:r>
          </w:p>
        </w:tc>
        <w:tc>
          <w:tcPr>
            <w:tcW w:w="954" w:type="dxa"/>
            <w:tcBorders>
              <w:top w:val="single" w:color="auto" w:sz="12" w:space="0"/>
              <w:right w:val="single" w:color="auto" w:sz="6" w:space="0"/>
            </w:tcBorders>
            <w:shd w:val="clear" w:color="auto" w:fill="EEECE1"/>
            <w:vAlign w:val="center"/>
          </w:tcPr>
          <w:p w14:paraId="0A318FBC">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合同总价</w:t>
            </w:r>
          </w:p>
        </w:tc>
        <w:tc>
          <w:tcPr>
            <w:tcW w:w="1077" w:type="dxa"/>
            <w:tcBorders>
              <w:top w:val="single" w:color="auto" w:sz="12" w:space="0"/>
              <w:left w:val="single" w:color="auto" w:sz="6" w:space="0"/>
            </w:tcBorders>
            <w:shd w:val="clear" w:color="auto" w:fill="EEECE1"/>
            <w:vAlign w:val="center"/>
          </w:tcPr>
          <w:p w14:paraId="2A63C896">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签订时间</w:t>
            </w:r>
          </w:p>
        </w:tc>
        <w:tc>
          <w:tcPr>
            <w:tcW w:w="953" w:type="dxa"/>
            <w:tcBorders>
              <w:top w:val="single" w:color="auto" w:sz="12" w:space="0"/>
              <w:left w:val="single" w:color="auto" w:sz="6" w:space="0"/>
            </w:tcBorders>
            <w:shd w:val="clear" w:color="auto" w:fill="EEECE1"/>
            <w:vAlign w:val="center"/>
          </w:tcPr>
          <w:p w14:paraId="5112D930">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完成时间</w:t>
            </w:r>
          </w:p>
        </w:tc>
        <w:tc>
          <w:tcPr>
            <w:tcW w:w="992" w:type="dxa"/>
            <w:tcBorders>
              <w:top w:val="single" w:color="auto" w:sz="12" w:space="0"/>
              <w:right w:val="single" w:color="auto" w:sz="6" w:space="0"/>
            </w:tcBorders>
            <w:shd w:val="clear" w:color="auto" w:fill="EEECE1"/>
            <w:vAlign w:val="center"/>
          </w:tcPr>
          <w:p w14:paraId="5B22F734">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用户/业主联系人及电话</w:t>
            </w:r>
          </w:p>
        </w:tc>
        <w:tc>
          <w:tcPr>
            <w:tcW w:w="1082" w:type="dxa"/>
            <w:tcBorders>
              <w:top w:val="single" w:color="auto" w:sz="12" w:space="0"/>
              <w:left w:val="single" w:color="auto" w:sz="6" w:space="0"/>
            </w:tcBorders>
            <w:shd w:val="clear" w:color="auto" w:fill="EEECE1"/>
            <w:vAlign w:val="center"/>
          </w:tcPr>
          <w:p w14:paraId="67726DE4">
            <w:pPr>
              <w:autoSpaceDE/>
              <w:autoSpaceDN/>
              <w:snapToGrid w:val="0"/>
              <w:spacing w:line="360" w:lineRule="atLeast"/>
              <w:ind w:left="-80" w:leftChars="-40" w:right="-102" w:rightChars="-51"/>
              <w:jc w:val="center"/>
              <w:textAlignment w:val="baseline"/>
              <w:rPr>
                <w:rFonts w:ascii="宋体" w:hAnsi="宋体"/>
                <w:sz w:val="24"/>
                <w:szCs w:val="24"/>
              </w:rPr>
            </w:pPr>
            <w:r>
              <w:rPr>
                <w:rFonts w:hint="eastAsia" w:ascii="宋体" w:hAnsi="宋体"/>
                <w:sz w:val="24"/>
                <w:szCs w:val="24"/>
              </w:rPr>
              <w:t>查阅/证明文件指引</w:t>
            </w:r>
          </w:p>
        </w:tc>
      </w:tr>
      <w:tr w14:paraId="541B5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tcBorders>
              <w:top w:val="double" w:color="auto" w:sz="4" w:space="0"/>
            </w:tcBorders>
            <w:vAlign w:val="center"/>
          </w:tcPr>
          <w:p w14:paraId="0B6D655D">
            <w:pPr>
              <w:numPr>
                <w:ilvl w:val="0"/>
                <w:numId w:val="103"/>
              </w:numPr>
              <w:spacing w:line="400" w:lineRule="exact"/>
              <w:ind w:firstLine="420"/>
              <w:jc w:val="center"/>
              <w:textAlignment w:val="baseline"/>
              <w:rPr>
                <w:rFonts w:ascii="宋体" w:hAnsi="宋体"/>
                <w:sz w:val="24"/>
                <w:szCs w:val="24"/>
              </w:rPr>
            </w:pPr>
          </w:p>
        </w:tc>
        <w:tc>
          <w:tcPr>
            <w:tcW w:w="854" w:type="dxa"/>
            <w:tcBorders>
              <w:top w:val="double" w:color="auto" w:sz="4" w:space="0"/>
            </w:tcBorders>
            <w:vAlign w:val="center"/>
          </w:tcPr>
          <w:p w14:paraId="7ED65229">
            <w:pPr>
              <w:autoSpaceDE/>
              <w:autoSpaceDN/>
              <w:spacing w:line="400" w:lineRule="exact"/>
              <w:jc w:val="center"/>
              <w:textAlignment w:val="baseline"/>
              <w:rPr>
                <w:rFonts w:ascii="宋体" w:hAnsi="宋体"/>
                <w:sz w:val="24"/>
                <w:szCs w:val="24"/>
              </w:rPr>
            </w:pPr>
          </w:p>
        </w:tc>
        <w:tc>
          <w:tcPr>
            <w:tcW w:w="966" w:type="dxa"/>
            <w:tcBorders>
              <w:top w:val="double" w:color="auto" w:sz="4" w:space="0"/>
            </w:tcBorders>
            <w:vAlign w:val="center"/>
          </w:tcPr>
          <w:p w14:paraId="7F1AE3A1">
            <w:pPr>
              <w:autoSpaceDE/>
              <w:autoSpaceDN/>
              <w:spacing w:line="400" w:lineRule="exact"/>
              <w:jc w:val="center"/>
              <w:textAlignment w:val="baseline"/>
              <w:rPr>
                <w:rFonts w:ascii="宋体" w:hAnsi="宋体"/>
                <w:sz w:val="24"/>
                <w:szCs w:val="24"/>
              </w:rPr>
            </w:pPr>
          </w:p>
        </w:tc>
        <w:tc>
          <w:tcPr>
            <w:tcW w:w="1682" w:type="dxa"/>
            <w:tcBorders>
              <w:top w:val="double" w:color="auto" w:sz="4" w:space="0"/>
            </w:tcBorders>
            <w:vAlign w:val="center"/>
          </w:tcPr>
          <w:p w14:paraId="7D17330B">
            <w:pPr>
              <w:autoSpaceDE/>
              <w:autoSpaceDN/>
              <w:spacing w:line="400" w:lineRule="exact"/>
              <w:jc w:val="center"/>
              <w:textAlignment w:val="baseline"/>
              <w:rPr>
                <w:rFonts w:ascii="宋体" w:hAnsi="宋体"/>
                <w:sz w:val="24"/>
                <w:szCs w:val="24"/>
              </w:rPr>
            </w:pPr>
          </w:p>
        </w:tc>
        <w:tc>
          <w:tcPr>
            <w:tcW w:w="954" w:type="dxa"/>
            <w:tcBorders>
              <w:top w:val="double" w:color="auto" w:sz="4" w:space="0"/>
              <w:right w:val="single" w:color="auto" w:sz="6" w:space="0"/>
            </w:tcBorders>
            <w:vAlign w:val="center"/>
          </w:tcPr>
          <w:p w14:paraId="7E0E33B7">
            <w:pPr>
              <w:autoSpaceDE/>
              <w:autoSpaceDN/>
              <w:spacing w:line="400" w:lineRule="exact"/>
              <w:jc w:val="center"/>
              <w:textAlignment w:val="baseline"/>
              <w:rPr>
                <w:rFonts w:ascii="宋体" w:hAnsi="宋体"/>
                <w:sz w:val="24"/>
                <w:szCs w:val="24"/>
              </w:rPr>
            </w:pPr>
          </w:p>
        </w:tc>
        <w:tc>
          <w:tcPr>
            <w:tcW w:w="1077" w:type="dxa"/>
            <w:tcBorders>
              <w:top w:val="double" w:color="auto" w:sz="4" w:space="0"/>
              <w:left w:val="single" w:color="auto" w:sz="6" w:space="0"/>
            </w:tcBorders>
            <w:vAlign w:val="center"/>
          </w:tcPr>
          <w:p w14:paraId="01E2E41A">
            <w:pPr>
              <w:autoSpaceDE/>
              <w:autoSpaceDN/>
              <w:spacing w:line="400" w:lineRule="exact"/>
              <w:jc w:val="center"/>
              <w:textAlignment w:val="baseline"/>
              <w:rPr>
                <w:rFonts w:ascii="宋体" w:hAnsi="宋体"/>
                <w:sz w:val="24"/>
                <w:szCs w:val="24"/>
              </w:rPr>
            </w:pPr>
          </w:p>
        </w:tc>
        <w:tc>
          <w:tcPr>
            <w:tcW w:w="953" w:type="dxa"/>
            <w:tcBorders>
              <w:top w:val="double" w:color="auto" w:sz="4" w:space="0"/>
              <w:left w:val="single" w:color="auto" w:sz="6" w:space="0"/>
            </w:tcBorders>
            <w:vAlign w:val="center"/>
          </w:tcPr>
          <w:p w14:paraId="78556D38">
            <w:pPr>
              <w:autoSpaceDE/>
              <w:autoSpaceDN/>
              <w:spacing w:line="400" w:lineRule="exact"/>
              <w:jc w:val="center"/>
              <w:textAlignment w:val="baseline"/>
              <w:rPr>
                <w:rFonts w:ascii="宋体" w:hAnsi="宋体"/>
                <w:sz w:val="24"/>
                <w:szCs w:val="24"/>
              </w:rPr>
            </w:pPr>
          </w:p>
        </w:tc>
        <w:tc>
          <w:tcPr>
            <w:tcW w:w="992" w:type="dxa"/>
            <w:tcBorders>
              <w:top w:val="double" w:color="auto" w:sz="4" w:space="0"/>
              <w:right w:val="single" w:color="auto" w:sz="6" w:space="0"/>
            </w:tcBorders>
            <w:vAlign w:val="center"/>
          </w:tcPr>
          <w:p w14:paraId="004BEAE5">
            <w:pPr>
              <w:autoSpaceDE/>
              <w:autoSpaceDN/>
              <w:spacing w:line="400" w:lineRule="exact"/>
              <w:jc w:val="center"/>
              <w:textAlignment w:val="baseline"/>
              <w:rPr>
                <w:rFonts w:ascii="宋体" w:hAnsi="宋体"/>
                <w:sz w:val="24"/>
                <w:szCs w:val="24"/>
              </w:rPr>
            </w:pPr>
          </w:p>
        </w:tc>
        <w:tc>
          <w:tcPr>
            <w:tcW w:w="1082" w:type="dxa"/>
            <w:tcBorders>
              <w:top w:val="double" w:color="auto" w:sz="4" w:space="0"/>
              <w:left w:val="single" w:color="auto" w:sz="6" w:space="0"/>
            </w:tcBorders>
            <w:vAlign w:val="center"/>
          </w:tcPr>
          <w:p w14:paraId="7B7F0CCF">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02A15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vAlign w:val="center"/>
          </w:tcPr>
          <w:p w14:paraId="37A0018F">
            <w:pPr>
              <w:numPr>
                <w:ilvl w:val="0"/>
                <w:numId w:val="103"/>
              </w:numPr>
              <w:spacing w:line="400" w:lineRule="exact"/>
              <w:ind w:firstLine="420"/>
              <w:jc w:val="center"/>
              <w:textAlignment w:val="baseline"/>
              <w:rPr>
                <w:rFonts w:ascii="宋体" w:hAnsi="宋体"/>
                <w:sz w:val="24"/>
                <w:szCs w:val="24"/>
              </w:rPr>
            </w:pPr>
          </w:p>
        </w:tc>
        <w:tc>
          <w:tcPr>
            <w:tcW w:w="854" w:type="dxa"/>
            <w:vAlign w:val="center"/>
          </w:tcPr>
          <w:p w14:paraId="10688CBD">
            <w:pPr>
              <w:autoSpaceDE/>
              <w:autoSpaceDN/>
              <w:spacing w:line="400" w:lineRule="exact"/>
              <w:jc w:val="center"/>
              <w:textAlignment w:val="baseline"/>
              <w:rPr>
                <w:rFonts w:ascii="宋体" w:hAnsi="宋体"/>
                <w:sz w:val="24"/>
                <w:szCs w:val="24"/>
              </w:rPr>
            </w:pPr>
          </w:p>
        </w:tc>
        <w:tc>
          <w:tcPr>
            <w:tcW w:w="966" w:type="dxa"/>
            <w:vAlign w:val="center"/>
          </w:tcPr>
          <w:p w14:paraId="15EBF492">
            <w:pPr>
              <w:autoSpaceDE/>
              <w:autoSpaceDN/>
              <w:spacing w:line="400" w:lineRule="exact"/>
              <w:jc w:val="center"/>
              <w:textAlignment w:val="baseline"/>
              <w:rPr>
                <w:rFonts w:ascii="宋体" w:hAnsi="宋体"/>
                <w:sz w:val="24"/>
                <w:szCs w:val="24"/>
              </w:rPr>
            </w:pPr>
          </w:p>
        </w:tc>
        <w:tc>
          <w:tcPr>
            <w:tcW w:w="1682" w:type="dxa"/>
            <w:vAlign w:val="center"/>
          </w:tcPr>
          <w:p w14:paraId="10C3B276">
            <w:pPr>
              <w:autoSpaceDE/>
              <w:autoSpaceDN/>
              <w:spacing w:line="400" w:lineRule="exact"/>
              <w:jc w:val="center"/>
              <w:textAlignment w:val="baseline"/>
              <w:rPr>
                <w:rFonts w:ascii="宋体" w:hAnsi="宋体"/>
                <w:sz w:val="24"/>
                <w:szCs w:val="24"/>
              </w:rPr>
            </w:pPr>
          </w:p>
        </w:tc>
        <w:tc>
          <w:tcPr>
            <w:tcW w:w="954" w:type="dxa"/>
            <w:tcBorders>
              <w:right w:val="single" w:color="auto" w:sz="6" w:space="0"/>
            </w:tcBorders>
            <w:vAlign w:val="center"/>
          </w:tcPr>
          <w:p w14:paraId="3EA2102A">
            <w:pPr>
              <w:autoSpaceDE/>
              <w:autoSpaceDN/>
              <w:spacing w:line="400" w:lineRule="exact"/>
              <w:jc w:val="center"/>
              <w:textAlignment w:val="baseline"/>
              <w:rPr>
                <w:rFonts w:ascii="宋体" w:hAnsi="宋体"/>
                <w:sz w:val="24"/>
                <w:szCs w:val="24"/>
              </w:rPr>
            </w:pPr>
          </w:p>
        </w:tc>
        <w:tc>
          <w:tcPr>
            <w:tcW w:w="1077" w:type="dxa"/>
            <w:tcBorders>
              <w:left w:val="single" w:color="auto" w:sz="6" w:space="0"/>
            </w:tcBorders>
            <w:vAlign w:val="center"/>
          </w:tcPr>
          <w:p w14:paraId="6A52F70B">
            <w:pPr>
              <w:autoSpaceDE/>
              <w:autoSpaceDN/>
              <w:spacing w:line="400" w:lineRule="exact"/>
              <w:jc w:val="center"/>
              <w:textAlignment w:val="baseline"/>
              <w:rPr>
                <w:rFonts w:ascii="宋体" w:hAnsi="宋体"/>
                <w:sz w:val="24"/>
                <w:szCs w:val="24"/>
              </w:rPr>
            </w:pPr>
          </w:p>
        </w:tc>
        <w:tc>
          <w:tcPr>
            <w:tcW w:w="953" w:type="dxa"/>
            <w:tcBorders>
              <w:left w:val="single" w:color="auto" w:sz="6" w:space="0"/>
            </w:tcBorders>
            <w:vAlign w:val="center"/>
          </w:tcPr>
          <w:p w14:paraId="0BDC4E65">
            <w:pPr>
              <w:autoSpaceDE/>
              <w:autoSpaceDN/>
              <w:spacing w:line="400" w:lineRule="exact"/>
              <w:jc w:val="center"/>
              <w:textAlignment w:val="baseline"/>
              <w:rPr>
                <w:rFonts w:ascii="宋体" w:hAnsi="宋体"/>
                <w:sz w:val="24"/>
                <w:szCs w:val="24"/>
              </w:rPr>
            </w:pPr>
          </w:p>
        </w:tc>
        <w:tc>
          <w:tcPr>
            <w:tcW w:w="992" w:type="dxa"/>
            <w:tcBorders>
              <w:right w:val="single" w:color="auto" w:sz="6" w:space="0"/>
            </w:tcBorders>
            <w:vAlign w:val="center"/>
          </w:tcPr>
          <w:p w14:paraId="1DB833AA">
            <w:pPr>
              <w:autoSpaceDE/>
              <w:autoSpaceDN/>
              <w:spacing w:line="400" w:lineRule="exact"/>
              <w:jc w:val="center"/>
              <w:textAlignment w:val="baseline"/>
              <w:rPr>
                <w:rFonts w:ascii="宋体" w:hAnsi="宋体"/>
                <w:sz w:val="24"/>
                <w:szCs w:val="24"/>
              </w:rPr>
            </w:pPr>
          </w:p>
        </w:tc>
        <w:tc>
          <w:tcPr>
            <w:tcW w:w="1082" w:type="dxa"/>
            <w:tcBorders>
              <w:left w:val="single" w:color="auto" w:sz="6" w:space="0"/>
            </w:tcBorders>
            <w:vAlign w:val="center"/>
          </w:tcPr>
          <w:p w14:paraId="3EA2B25C">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14252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28" w:type="dxa"/>
            <w:vAlign w:val="center"/>
          </w:tcPr>
          <w:p w14:paraId="028804B8">
            <w:pPr>
              <w:numPr>
                <w:ilvl w:val="0"/>
                <w:numId w:val="103"/>
              </w:numPr>
              <w:spacing w:line="400" w:lineRule="exact"/>
              <w:ind w:firstLine="420"/>
              <w:jc w:val="center"/>
              <w:textAlignment w:val="baseline"/>
              <w:rPr>
                <w:rFonts w:ascii="宋体" w:hAnsi="宋体"/>
                <w:sz w:val="24"/>
                <w:szCs w:val="24"/>
              </w:rPr>
            </w:pPr>
          </w:p>
        </w:tc>
        <w:tc>
          <w:tcPr>
            <w:tcW w:w="854" w:type="dxa"/>
            <w:vAlign w:val="center"/>
          </w:tcPr>
          <w:p w14:paraId="3729CBB5">
            <w:pPr>
              <w:autoSpaceDE/>
              <w:autoSpaceDN/>
              <w:spacing w:line="400" w:lineRule="exact"/>
              <w:jc w:val="center"/>
              <w:textAlignment w:val="baseline"/>
              <w:rPr>
                <w:rFonts w:ascii="宋体" w:hAnsi="宋体"/>
                <w:sz w:val="24"/>
                <w:szCs w:val="24"/>
              </w:rPr>
            </w:pPr>
          </w:p>
        </w:tc>
        <w:tc>
          <w:tcPr>
            <w:tcW w:w="966" w:type="dxa"/>
            <w:vAlign w:val="center"/>
          </w:tcPr>
          <w:p w14:paraId="5978A674">
            <w:pPr>
              <w:autoSpaceDE/>
              <w:autoSpaceDN/>
              <w:spacing w:line="400" w:lineRule="exact"/>
              <w:jc w:val="center"/>
              <w:textAlignment w:val="baseline"/>
              <w:rPr>
                <w:rFonts w:ascii="宋体" w:hAnsi="宋体"/>
                <w:sz w:val="24"/>
                <w:szCs w:val="24"/>
              </w:rPr>
            </w:pPr>
          </w:p>
        </w:tc>
        <w:tc>
          <w:tcPr>
            <w:tcW w:w="1682" w:type="dxa"/>
            <w:vAlign w:val="center"/>
          </w:tcPr>
          <w:p w14:paraId="21D8AA16">
            <w:pPr>
              <w:autoSpaceDE/>
              <w:autoSpaceDN/>
              <w:spacing w:line="400" w:lineRule="exact"/>
              <w:jc w:val="center"/>
              <w:textAlignment w:val="baseline"/>
              <w:rPr>
                <w:rFonts w:ascii="宋体" w:hAnsi="宋体"/>
                <w:sz w:val="24"/>
                <w:szCs w:val="24"/>
              </w:rPr>
            </w:pPr>
          </w:p>
        </w:tc>
        <w:tc>
          <w:tcPr>
            <w:tcW w:w="954" w:type="dxa"/>
            <w:tcBorders>
              <w:right w:val="single" w:color="auto" w:sz="6" w:space="0"/>
            </w:tcBorders>
            <w:vAlign w:val="center"/>
          </w:tcPr>
          <w:p w14:paraId="1001CCA3">
            <w:pPr>
              <w:autoSpaceDE/>
              <w:autoSpaceDN/>
              <w:spacing w:line="400" w:lineRule="exact"/>
              <w:jc w:val="center"/>
              <w:textAlignment w:val="baseline"/>
              <w:rPr>
                <w:rFonts w:ascii="宋体" w:hAnsi="宋体"/>
                <w:sz w:val="24"/>
                <w:szCs w:val="24"/>
              </w:rPr>
            </w:pPr>
          </w:p>
        </w:tc>
        <w:tc>
          <w:tcPr>
            <w:tcW w:w="1077" w:type="dxa"/>
            <w:tcBorders>
              <w:left w:val="single" w:color="auto" w:sz="6" w:space="0"/>
            </w:tcBorders>
            <w:vAlign w:val="center"/>
          </w:tcPr>
          <w:p w14:paraId="301436FF">
            <w:pPr>
              <w:autoSpaceDE/>
              <w:autoSpaceDN/>
              <w:spacing w:line="400" w:lineRule="exact"/>
              <w:jc w:val="center"/>
              <w:textAlignment w:val="baseline"/>
              <w:rPr>
                <w:rFonts w:ascii="宋体" w:hAnsi="宋体"/>
                <w:sz w:val="24"/>
                <w:szCs w:val="24"/>
              </w:rPr>
            </w:pPr>
          </w:p>
        </w:tc>
        <w:tc>
          <w:tcPr>
            <w:tcW w:w="953" w:type="dxa"/>
            <w:tcBorders>
              <w:left w:val="single" w:color="auto" w:sz="6" w:space="0"/>
            </w:tcBorders>
            <w:vAlign w:val="center"/>
          </w:tcPr>
          <w:p w14:paraId="128EADCE">
            <w:pPr>
              <w:autoSpaceDE/>
              <w:autoSpaceDN/>
              <w:spacing w:line="400" w:lineRule="exact"/>
              <w:jc w:val="center"/>
              <w:textAlignment w:val="baseline"/>
              <w:rPr>
                <w:rFonts w:ascii="宋体" w:hAnsi="宋体"/>
                <w:sz w:val="24"/>
                <w:szCs w:val="24"/>
              </w:rPr>
            </w:pPr>
          </w:p>
        </w:tc>
        <w:tc>
          <w:tcPr>
            <w:tcW w:w="992" w:type="dxa"/>
            <w:tcBorders>
              <w:right w:val="single" w:color="auto" w:sz="6" w:space="0"/>
            </w:tcBorders>
            <w:vAlign w:val="center"/>
          </w:tcPr>
          <w:p w14:paraId="06AE7129">
            <w:pPr>
              <w:autoSpaceDE/>
              <w:autoSpaceDN/>
              <w:spacing w:line="400" w:lineRule="exact"/>
              <w:jc w:val="center"/>
              <w:textAlignment w:val="baseline"/>
              <w:rPr>
                <w:rFonts w:ascii="宋体" w:hAnsi="宋体"/>
                <w:sz w:val="24"/>
                <w:szCs w:val="24"/>
              </w:rPr>
            </w:pPr>
          </w:p>
        </w:tc>
        <w:tc>
          <w:tcPr>
            <w:tcW w:w="1082" w:type="dxa"/>
            <w:tcBorders>
              <w:left w:val="single" w:color="auto" w:sz="6" w:space="0"/>
            </w:tcBorders>
            <w:vAlign w:val="center"/>
          </w:tcPr>
          <w:p w14:paraId="6D37E3A5">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0CFBF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8" w:type="dxa"/>
            <w:vAlign w:val="center"/>
          </w:tcPr>
          <w:p w14:paraId="6F9C440D">
            <w:pPr>
              <w:numPr>
                <w:ilvl w:val="0"/>
                <w:numId w:val="103"/>
              </w:numPr>
              <w:spacing w:line="400" w:lineRule="exact"/>
              <w:ind w:firstLine="420"/>
              <w:jc w:val="center"/>
              <w:textAlignment w:val="baseline"/>
              <w:rPr>
                <w:rFonts w:ascii="宋体" w:hAnsi="宋体"/>
                <w:sz w:val="24"/>
                <w:szCs w:val="24"/>
              </w:rPr>
            </w:pPr>
          </w:p>
        </w:tc>
        <w:tc>
          <w:tcPr>
            <w:tcW w:w="854" w:type="dxa"/>
            <w:vAlign w:val="center"/>
          </w:tcPr>
          <w:p w14:paraId="58EB99A9">
            <w:pPr>
              <w:autoSpaceDE/>
              <w:autoSpaceDN/>
              <w:spacing w:line="400" w:lineRule="exact"/>
              <w:jc w:val="center"/>
              <w:textAlignment w:val="baseline"/>
              <w:rPr>
                <w:rFonts w:ascii="宋体" w:hAnsi="宋体"/>
                <w:sz w:val="24"/>
                <w:szCs w:val="24"/>
              </w:rPr>
            </w:pPr>
          </w:p>
        </w:tc>
        <w:tc>
          <w:tcPr>
            <w:tcW w:w="966" w:type="dxa"/>
            <w:vAlign w:val="center"/>
          </w:tcPr>
          <w:p w14:paraId="6172DACF">
            <w:pPr>
              <w:autoSpaceDE/>
              <w:autoSpaceDN/>
              <w:spacing w:line="400" w:lineRule="exact"/>
              <w:jc w:val="center"/>
              <w:textAlignment w:val="baseline"/>
              <w:rPr>
                <w:rFonts w:ascii="宋体" w:hAnsi="宋体"/>
                <w:sz w:val="24"/>
                <w:szCs w:val="24"/>
              </w:rPr>
            </w:pPr>
          </w:p>
        </w:tc>
        <w:tc>
          <w:tcPr>
            <w:tcW w:w="1682" w:type="dxa"/>
            <w:vAlign w:val="center"/>
          </w:tcPr>
          <w:p w14:paraId="7351061E">
            <w:pPr>
              <w:autoSpaceDE/>
              <w:autoSpaceDN/>
              <w:spacing w:line="400" w:lineRule="exact"/>
              <w:jc w:val="center"/>
              <w:textAlignment w:val="baseline"/>
              <w:rPr>
                <w:rFonts w:ascii="宋体" w:hAnsi="宋体"/>
                <w:sz w:val="24"/>
                <w:szCs w:val="24"/>
              </w:rPr>
            </w:pPr>
          </w:p>
        </w:tc>
        <w:tc>
          <w:tcPr>
            <w:tcW w:w="954" w:type="dxa"/>
            <w:tcBorders>
              <w:right w:val="single" w:color="auto" w:sz="6" w:space="0"/>
            </w:tcBorders>
            <w:vAlign w:val="center"/>
          </w:tcPr>
          <w:p w14:paraId="0664A949">
            <w:pPr>
              <w:autoSpaceDE/>
              <w:autoSpaceDN/>
              <w:spacing w:line="400" w:lineRule="exact"/>
              <w:jc w:val="center"/>
              <w:textAlignment w:val="baseline"/>
              <w:rPr>
                <w:rFonts w:ascii="宋体" w:hAnsi="宋体"/>
                <w:sz w:val="24"/>
                <w:szCs w:val="24"/>
              </w:rPr>
            </w:pPr>
          </w:p>
        </w:tc>
        <w:tc>
          <w:tcPr>
            <w:tcW w:w="1077" w:type="dxa"/>
            <w:tcBorders>
              <w:left w:val="single" w:color="auto" w:sz="6" w:space="0"/>
            </w:tcBorders>
            <w:vAlign w:val="center"/>
          </w:tcPr>
          <w:p w14:paraId="5EBEF6B6">
            <w:pPr>
              <w:autoSpaceDE/>
              <w:autoSpaceDN/>
              <w:spacing w:line="400" w:lineRule="exact"/>
              <w:jc w:val="center"/>
              <w:textAlignment w:val="baseline"/>
              <w:rPr>
                <w:rFonts w:ascii="宋体" w:hAnsi="宋体"/>
                <w:sz w:val="24"/>
                <w:szCs w:val="24"/>
              </w:rPr>
            </w:pPr>
          </w:p>
        </w:tc>
        <w:tc>
          <w:tcPr>
            <w:tcW w:w="953" w:type="dxa"/>
            <w:tcBorders>
              <w:left w:val="single" w:color="auto" w:sz="6" w:space="0"/>
            </w:tcBorders>
            <w:vAlign w:val="center"/>
          </w:tcPr>
          <w:p w14:paraId="5F0B8FDD">
            <w:pPr>
              <w:autoSpaceDE/>
              <w:autoSpaceDN/>
              <w:spacing w:line="400" w:lineRule="exact"/>
              <w:jc w:val="center"/>
              <w:textAlignment w:val="baseline"/>
              <w:rPr>
                <w:rFonts w:ascii="宋体" w:hAnsi="宋体"/>
                <w:sz w:val="24"/>
                <w:szCs w:val="24"/>
              </w:rPr>
            </w:pPr>
          </w:p>
        </w:tc>
        <w:tc>
          <w:tcPr>
            <w:tcW w:w="992" w:type="dxa"/>
            <w:tcBorders>
              <w:right w:val="single" w:color="auto" w:sz="6" w:space="0"/>
            </w:tcBorders>
            <w:vAlign w:val="center"/>
          </w:tcPr>
          <w:p w14:paraId="599AF2C4">
            <w:pPr>
              <w:autoSpaceDE/>
              <w:autoSpaceDN/>
              <w:spacing w:line="400" w:lineRule="exact"/>
              <w:jc w:val="center"/>
              <w:textAlignment w:val="baseline"/>
              <w:rPr>
                <w:rFonts w:ascii="宋体" w:hAnsi="宋体"/>
                <w:sz w:val="24"/>
                <w:szCs w:val="24"/>
              </w:rPr>
            </w:pPr>
          </w:p>
        </w:tc>
        <w:tc>
          <w:tcPr>
            <w:tcW w:w="1082" w:type="dxa"/>
            <w:tcBorders>
              <w:left w:val="single" w:color="auto" w:sz="6" w:space="0"/>
            </w:tcBorders>
            <w:vAlign w:val="center"/>
          </w:tcPr>
          <w:p w14:paraId="28602F1B">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347DF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8" w:type="dxa"/>
            <w:gridSpan w:val="9"/>
            <w:vAlign w:val="center"/>
          </w:tcPr>
          <w:p w14:paraId="39ACC7E8">
            <w:pPr>
              <w:autoSpaceDE/>
              <w:autoSpaceDN/>
              <w:spacing w:line="400" w:lineRule="exact"/>
              <w:jc w:val="center"/>
              <w:textAlignment w:val="baseline"/>
              <w:rPr>
                <w:rFonts w:ascii="宋体" w:hAnsi="宋体" w:cs="宋体"/>
                <w:b/>
                <w:sz w:val="24"/>
                <w:szCs w:val="24"/>
              </w:rPr>
            </w:pPr>
            <w:r>
              <w:rPr>
                <w:rFonts w:hint="eastAsia" w:ascii="宋体" w:hAnsi="宋体" w:cs="宋体"/>
                <w:b/>
                <w:sz w:val="24"/>
                <w:szCs w:val="24"/>
              </w:rPr>
              <w:t>合计：</w:t>
            </w:r>
            <w:r>
              <w:rPr>
                <w:rFonts w:hint="eastAsia" w:ascii="宋体" w:hAnsi="宋体" w:cs="宋体"/>
                <w:b/>
                <w:sz w:val="24"/>
                <w:szCs w:val="24"/>
                <w:u w:val="single"/>
              </w:rPr>
              <w:t xml:space="preserve">     </w:t>
            </w:r>
            <w:r>
              <w:rPr>
                <w:rFonts w:hint="eastAsia" w:ascii="宋体" w:hAnsi="宋体" w:cs="宋体"/>
                <w:b/>
                <w:sz w:val="24"/>
                <w:szCs w:val="24"/>
              </w:rPr>
              <w:t>个业绩</w:t>
            </w:r>
          </w:p>
        </w:tc>
      </w:tr>
    </w:tbl>
    <w:p w14:paraId="5EF1CA16">
      <w:pPr>
        <w:autoSpaceDE/>
        <w:autoSpaceDN/>
        <w:spacing w:line="440" w:lineRule="exact"/>
        <w:jc w:val="both"/>
        <w:textAlignment w:val="baseline"/>
        <w:rPr>
          <w:rFonts w:ascii="宋体" w:hAnsi="宋体"/>
          <w:sz w:val="24"/>
          <w:szCs w:val="24"/>
        </w:rPr>
      </w:pPr>
      <w:r>
        <w:rPr>
          <w:rFonts w:hint="eastAsia"/>
          <w:bCs/>
          <w:sz w:val="24"/>
          <w:szCs w:val="24"/>
        </w:rPr>
        <w:t>备注：</w:t>
      </w:r>
      <w:r>
        <w:rPr>
          <w:rFonts w:hint="eastAsia" w:ascii="宋体" w:hAnsi="宋体"/>
          <w:sz w:val="24"/>
          <w:szCs w:val="24"/>
        </w:rPr>
        <w:t>根据评分表的要求提交相应资料。</w:t>
      </w:r>
    </w:p>
    <w:bookmarkEnd w:id="168"/>
    <w:bookmarkEnd w:id="169"/>
    <w:p w14:paraId="7CE28E1F">
      <w:pPr>
        <w:autoSpaceDE/>
        <w:autoSpaceDN/>
        <w:spacing w:line="500" w:lineRule="exact"/>
        <w:ind w:firstLine="124" w:firstLineChars="50"/>
        <w:jc w:val="both"/>
        <w:textAlignment w:val="baseline"/>
        <w:rPr>
          <w:rFonts w:ascii="宋体" w:hAnsi="宋体"/>
          <w:color w:val="000000"/>
          <w:sz w:val="24"/>
          <w:szCs w:val="24"/>
          <w:u w:val="single"/>
        </w:rPr>
      </w:pPr>
      <w:r>
        <w:rPr>
          <w:rFonts w:hint="eastAsia"/>
          <w:spacing w:val="4"/>
          <w:sz w:val="24"/>
          <w:szCs w:val="24"/>
        </w:rPr>
        <w:t>投标人名称（</w:t>
      </w:r>
      <w:r>
        <w:rPr>
          <w:rFonts w:hint="eastAsia" w:ascii="宋体" w:hAnsi="宋体"/>
          <w:sz w:val="24"/>
          <w:szCs w:val="24"/>
        </w:rPr>
        <w:t>单位盖</w:t>
      </w:r>
      <w:r>
        <w:rPr>
          <w:rFonts w:hint="eastAsia"/>
          <w:spacing w:val="4"/>
          <w:sz w:val="24"/>
          <w:szCs w:val="24"/>
        </w:rPr>
        <w:t>公章）：</w:t>
      </w:r>
    </w:p>
    <w:p w14:paraId="1A733D31">
      <w:pPr>
        <w:autoSpaceDE/>
        <w:autoSpaceDN/>
        <w:spacing w:line="440" w:lineRule="exact"/>
        <w:ind w:firstLine="124" w:firstLineChars="50"/>
        <w:jc w:val="both"/>
        <w:textAlignment w:val="baseline"/>
        <w:rPr>
          <w:spacing w:val="4"/>
          <w:sz w:val="24"/>
          <w:szCs w:val="24"/>
        </w:rPr>
      </w:pPr>
      <w:r>
        <w:rPr>
          <w:rFonts w:hint="eastAsia"/>
          <w:spacing w:val="4"/>
          <w:sz w:val="24"/>
          <w:szCs w:val="24"/>
        </w:rPr>
        <w:t>日期：</w:t>
      </w:r>
    </w:p>
    <w:p w14:paraId="51FF3314">
      <w:pPr>
        <w:autoSpaceDE/>
        <w:autoSpaceDN/>
        <w:spacing w:line="440" w:lineRule="exact"/>
        <w:ind w:firstLine="124" w:firstLineChars="50"/>
        <w:jc w:val="both"/>
        <w:textAlignment w:val="baseline"/>
        <w:rPr>
          <w:spacing w:val="4"/>
          <w:sz w:val="24"/>
          <w:szCs w:val="24"/>
        </w:rPr>
      </w:pPr>
    </w:p>
    <w:p w14:paraId="46575B89">
      <w:pPr>
        <w:tabs>
          <w:tab w:val="left" w:pos="142"/>
        </w:tabs>
        <w:spacing w:line="360" w:lineRule="auto"/>
        <w:ind w:left="-2" w:leftChars="-1" w:firstLine="2"/>
        <w:jc w:val="center"/>
        <w:textAlignment w:val="baseline"/>
        <w:outlineLvl w:val="1"/>
        <w:rPr>
          <w:rFonts w:ascii="黑体" w:hAnsi="黑体" w:eastAsia="黑体"/>
          <w:sz w:val="32"/>
          <w:szCs w:val="32"/>
        </w:rPr>
      </w:pPr>
      <w:bookmarkStart w:id="170" w:name="_Toc50737332"/>
      <w:bookmarkStart w:id="171" w:name="_Toc435514871"/>
      <w:bookmarkStart w:id="172" w:name="_Toc50737300"/>
      <w:bookmarkStart w:id="173" w:name="_Toc23968"/>
      <w:bookmarkStart w:id="174" w:name="_Toc18258"/>
      <w:bookmarkStart w:id="175" w:name="_Toc50691042"/>
      <w:bookmarkStart w:id="176" w:name="_Toc435515311"/>
      <w:bookmarkStart w:id="177" w:name="_Toc52165084"/>
      <w:bookmarkStart w:id="178" w:name="_Toc275865618"/>
      <w:bookmarkStart w:id="179" w:name="_Toc50736480"/>
      <w:r>
        <w:rPr>
          <w:rFonts w:hint="eastAsia" w:ascii="宋体" w:hAnsi="宋体" w:cs="宋体"/>
          <w:b/>
          <w:bCs/>
          <w:sz w:val="32"/>
          <w:szCs w:val="32"/>
        </w:rPr>
        <w:t>项目经理及管理技术人员一览表</w:t>
      </w:r>
      <w:bookmarkEnd w:id="170"/>
      <w:bookmarkEnd w:id="171"/>
      <w:bookmarkEnd w:id="172"/>
      <w:bookmarkEnd w:id="173"/>
      <w:bookmarkEnd w:id="174"/>
      <w:bookmarkEnd w:id="175"/>
      <w:bookmarkEnd w:id="176"/>
      <w:bookmarkEnd w:id="177"/>
      <w:bookmarkEnd w:id="178"/>
      <w:bookmarkEnd w:id="179"/>
    </w:p>
    <w:p w14:paraId="205F655F">
      <w:pPr>
        <w:widowControl/>
        <w:autoSpaceDE/>
        <w:autoSpaceDN/>
        <w:snapToGrid w:val="0"/>
        <w:spacing w:line="360" w:lineRule="auto"/>
        <w:textAlignment w:val="baseline"/>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南雄市人民医院食堂对外承包项目</w:t>
      </w:r>
    </w:p>
    <w:tbl>
      <w:tblPr>
        <w:tblStyle w:val="23"/>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14:paraId="0830A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vAlign w:val="center"/>
          </w:tcPr>
          <w:p w14:paraId="39E1503C">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序号</w:t>
            </w:r>
          </w:p>
        </w:tc>
        <w:tc>
          <w:tcPr>
            <w:tcW w:w="1034" w:type="dxa"/>
            <w:tcBorders>
              <w:top w:val="single" w:color="auto" w:sz="12" w:space="0"/>
              <w:bottom w:val="double" w:color="auto" w:sz="4" w:space="0"/>
            </w:tcBorders>
            <w:shd w:val="clear" w:color="auto" w:fill="EEECE1"/>
            <w:vAlign w:val="center"/>
          </w:tcPr>
          <w:p w14:paraId="13CFD0B6">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姓名</w:t>
            </w:r>
          </w:p>
        </w:tc>
        <w:tc>
          <w:tcPr>
            <w:tcW w:w="662" w:type="dxa"/>
            <w:tcBorders>
              <w:top w:val="single" w:color="auto" w:sz="12" w:space="0"/>
              <w:bottom w:val="double" w:color="auto" w:sz="4" w:space="0"/>
            </w:tcBorders>
            <w:shd w:val="clear" w:color="auto" w:fill="EEECE1"/>
            <w:vAlign w:val="center"/>
          </w:tcPr>
          <w:p w14:paraId="26869176">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性别</w:t>
            </w:r>
          </w:p>
        </w:tc>
        <w:tc>
          <w:tcPr>
            <w:tcW w:w="658" w:type="dxa"/>
            <w:tcBorders>
              <w:top w:val="single" w:color="auto" w:sz="12" w:space="0"/>
              <w:bottom w:val="double" w:color="auto" w:sz="4" w:space="0"/>
            </w:tcBorders>
            <w:shd w:val="clear" w:color="auto" w:fill="EEECE1"/>
            <w:vAlign w:val="center"/>
          </w:tcPr>
          <w:p w14:paraId="13873050">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年龄</w:t>
            </w:r>
          </w:p>
        </w:tc>
        <w:tc>
          <w:tcPr>
            <w:tcW w:w="822" w:type="dxa"/>
            <w:tcBorders>
              <w:top w:val="single" w:color="auto" w:sz="12" w:space="0"/>
              <w:bottom w:val="double" w:color="auto" w:sz="4" w:space="0"/>
            </w:tcBorders>
            <w:shd w:val="clear" w:color="auto" w:fill="EEECE1"/>
            <w:vAlign w:val="center"/>
          </w:tcPr>
          <w:p w14:paraId="44553BBD">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学历</w:t>
            </w:r>
          </w:p>
        </w:tc>
        <w:tc>
          <w:tcPr>
            <w:tcW w:w="1051" w:type="dxa"/>
            <w:tcBorders>
              <w:top w:val="single" w:color="auto" w:sz="12" w:space="0"/>
              <w:bottom w:val="double" w:color="auto" w:sz="4" w:space="0"/>
            </w:tcBorders>
            <w:shd w:val="clear" w:color="auto" w:fill="EEECE1"/>
            <w:vAlign w:val="center"/>
          </w:tcPr>
          <w:p w14:paraId="14E190DD">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职称</w:t>
            </w:r>
          </w:p>
        </w:tc>
        <w:tc>
          <w:tcPr>
            <w:tcW w:w="731" w:type="dxa"/>
            <w:tcBorders>
              <w:top w:val="single" w:color="auto" w:sz="12" w:space="0"/>
              <w:bottom w:val="double" w:color="auto" w:sz="4" w:space="0"/>
            </w:tcBorders>
            <w:shd w:val="clear" w:color="auto" w:fill="EEECE1"/>
            <w:vAlign w:val="center"/>
          </w:tcPr>
          <w:p w14:paraId="2C7F218A">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专业</w:t>
            </w:r>
          </w:p>
        </w:tc>
        <w:tc>
          <w:tcPr>
            <w:tcW w:w="579" w:type="dxa"/>
            <w:tcBorders>
              <w:top w:val="single" w:color="auto" w:sz="12" w:space="0"/>
              <w:bottom w:val="double" w:color="auto" w:sz="4" w:space="0"/>
            </w:tcBorders>
            <w:shd w:val="clear" w:color="auto" w:fill="EEECE1"/>
            <w:vAlign w:val="center"/>
          </w:tcPr>
          <w:p w14:paraId="243667E7">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经验年限</w:t>
            </w:r>
          </w:p>
        </w:tc>
        <w:tc>
          <w:tcPr>
            <w:tcW w:w="924" w:type="dxa"/>
            <w:tcBorders>
              <w:top w:val="single" w:color="auto" w:sz="12" w:space="0"/>
              <w:bottom w:val="double" w:color="auto" w:sz="4" w:space="0"/>
              <w:right w:val="single" w:color="auto" w:sz="4" w:space="0"/>
            </w:tcBorders>
            <w:shd w:val="clear" w:color="auto" w:fill="EEECE1"/>
            <w:vAlign w:val="center"/>
          </w:tcPr>
          <w:p w14:paraId="563CC84E">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vAlign w:val="center"/>
          </w:tcPr>
          <w:p w14:paraId="74DD4BCC">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承担工作内容</w:t>
            </w:r>
          </w:p>
        </w:tc>
        <w:tc>
          <w:tcPr>
            <w:tcW w:w="1283" w:type="dxa"/>
            <w:tcBorders>
              <w:top w:val="single" w:color="auto" w:sz="12" w:space="0"/>
              <w:left w:val="single" w:color="auto" w:sz="6" w:space="0"/>
              <w:bottom w:val="double" w:color="auto" w:sz="4" w:space="0"/>
            </w:tcBorders>
            <w:shd w:val="clear" w:color="auto" w:fill="EEECE1"/>
            <w:vAlign w:val="center"/>
          </w:tcPr>
          <w:p w14:paraId="68B1CDCA">
            <w:pPr>
              <w:autoSpaceDE/>
              <w:autoSpaceDN/>
              <w:snapToGrid w:val="0"/>
              <w:spacing w:line="360" w:lineRule="atLeast"/>
              <w:ind w:left="-88" w:leftChars="-44" w:right="-76" w:rightChars="-38"/>
              <w:jc w:val="center"/>
              <w:textAlignment w:val="baseline"/>
              <w:rPr>
                <w:rFonts w:ascii="宋体" w:hAnsi="宋体"/>
                <w:b/>
                <w:sz w:val="24"/>
                <w:szCs w:val="24"/>
              </w:rPr>
            </w:pPr>
            <w:r>
              <w:rPr>
                <w:rFonts w:hint="eastAsia" w:ascii="宋体" w:hAnsi="宋体"/>
                <w:b/>
                <w:sz w:val="24"/>
                <w:szCs w:val="24"/>
              </w:rPr>
              <w:t>查阅/证明文件指引</w:t>
            </w:r>
          </w:p>
        </w:tc>
      </w:tr>
      <w:tr w14:paraId="5F8CD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vAlign w:val="center"/>
          </w:tcPr>
          <w:p w14:paraId="4CBC83D3">
            <w:pPr>
              <w:numPr>
                <w:ilvl w:val="0"/>
                <w:numId w:val="104"/>
              </w:numPr>
              <w:spacing w:line="400" w:lineRule="exact"/>
              <w:ind w:firstLine="420"/>
              <w:jc w:val="center"/>
              <w:textAlignment w:val="baseline"/>
              <w:rPr>
                <w:rFonts w:ascii="宋体" w:hAnsi="宋体"/>
                <w:sz w:val="24"/>
                <w:szCs w:val="24"/>
              </w:rPr>
            </w:pPr>
          </w:p>
        </w:tc>
        <w:tc>
          <w:tcPr>
            <w:tcW w:w="1034" w:type="dxa"/>
            <w:tcBorders>
              <w:top w:val="double" w:color="auto" w:sz="4" w:space="0"/>
            </w:tcBorders>
            <w:vAlign w:val="center"/>
          </w:tcPr>
          <w:p w14:paraId="771A18A1">
            <w:pPr>
              <w:autoSpaceDE/>
              <w:autoSpaceDN/>
              <w:spacing w:line="400" w:lineRule="exact"/>
              <w:jc w:val="center"/>
              <w:textAlignment w:val="baseline"/>
              <w:rPr>
                <w:rFonts w:ascii="宋体" w:hAnsi="宋体"/>
                <w:sz w:val="24"/>
                <w:szCs w:val="24"/>
              </w:rPr>
            </w:pPr>
          </w:p>
        </w:tc>
        <w:tc>
          <w:tcPr>
            <w:tcW w:w="662" w:type="dxa"/>
            <w:tcBorders>
              <w:top w:val="double" w:color="auto" w:sz="4" w:space="0"/>
            </w:tcBorders>
            <w:vAlign w:val="center"/>
          </w:tcPr>
          <w:p w14:paraId="3F2FD6AB">
            <w:pPr>
              <w:autoSpaceDE/>
              <w:autoSpaceDN/>
              <w:spacing w:line="400" w:lineRule="exact"/>
              <w:jc w:val="center"/>
              <w:textAlignment w:val="baseline"/>
              <w:rPr>
                <w:rFonts w:ascii="宋体" w:hAnsi="宋体"/>
                <w:sz w:val="24"/>
                <w:szCs w:val="24"/>
              </w:rPr>
            </w:pPr>
          </w:p>
        </w:tc>
        <w:tc>
          <w:tcPr>
            <w:tcW w:w="658" w:type="dxa"/>
            <w:tcBorders>
              <w:top w:val="double" w:color="auto" w:sz="4" w:space="0"/>
            </w:tcBorders>
            <w:vAlign w:val="center"/>
          </w:tcPr>
          <w:p w14:paraId="294B3377">
            <w:pPr>
              <w:autoSpaceDE/>
              <w:autoSpaceDN/>
              <w:spacing w:line="400" w:lineRule="exact"/>
              <w:jc w:val="center"/>
              <w:textAlignment w:val="baseline"/>
              <w:rPr>
                <w:rFonts w:ascii="宋体" w:hAnsi="宋体"/>
                <w:sz w:val="24"/>
                <w:szCs w:val="24"/>
              </w:rPr>
            </w:pPr>
          </w:p>
        </w:tc>
        <w:tc>
          <w:tcPr>
            <w:tcW w:w="822" w:type="dxa"/>
            <w:tcBorders>
              <w:top w:val="double" w:color="auto" w:sz="4" w:space="0"/>
            </w:tcBorders>
            <w:vAlign w:val="center"/>
          </w:tcPr>
          <w:p w14:paraId="450231CC">
            <w:pPr>
              <w:autoSpaceDE/>
              <w:autoSpaceDN/>
              <w:spacing w:line="400" w:lineRule="exact"/>
              <w:jc w:val="center"/>
              <w:textAlignment w:val="baseline"/>
              <w:rPr>
                <w:rFonts w:ascii="宋体" w:hAnsi="宋体"/>
                <w:sz w:val="24"/>
                <w:szCs w:val="24"/>
              </w:rPr>
            </w:pPr>
          </w:p>
        </w:tc>
        <w:tc>
          <w:tcPr>
            <w:tcW w:w="1051" w:type="dxa"/>
            <w:tcBorders>
              <w:top w:val="double" w:color="auto" w:sz="4" w:space="0"/>
            </w:tcBorders>
            <w:vAlign w:val="center"/>
          </w:tcPr>
          <w:p w14:paraId="003D4996">
            <w:pPr>
              <w:autoSpaceDE/>
              <w:autoSpaceDN/>
              <w:spacing w:line="400" w:lineRule="exact"/>
              <w:jc w:val="center"/>
              <w:textAlignment w:val="baseline"/>
              <w:rPr>
                <w:rFonts w:ascii="宋体" w:hAnsi="宋体"/>
                <w:sz w:val="24"/>
                <w:szCs w:val="24"/>
              </w:rPr>
            </w:pPr>
          </w:p>
        </w:tc>
        <w:tc>
          <w:tcPr>
            <w:tcW w:w="731" w:type="dxa"/>
            <w:tcBorders>
              <w:top w:val="double" w:color="auto" w:sz="4" w:space="0"/>
            </w:tcBorders>
            <w:vAlign w:val="center"/>
          </w:tcPr>
          <w:p w14:paraId="4A3CB73D">
            <w:pPr>
              <w:autoSpaceDE/>
              <w:autoSpaceDN/>
              <w:spacing w:line="400" w:lineRule="exact"/>
              <w:jc w:val="center"/>
              <w:textAlignment w:val="baseline"/>
              <w:rPr>
                <w:rFonts w:ascii="宋体" w:hAnsi="宋体"/>
                <w:sz w:val="24"/>
                <w:szCs w:val="24"/>
              </w:rPr>
            </w:pPr>
          </w:p>
        </w:tc>
        <w:tc>
          <w:tcPr>
            <w:tcW w:w="579" w:type="dxa"/>
            <w:tcBorders>
              <w:top w:val="double" w:color="auto" w:sz="4" w:space="0"/>
            </w:tcBorders>
            <w:vAlign w:val="center"/>
          </w:tcPr>
          <w:p w14:paraId="164E7E66">
            <w:pPr>
              <w:autoSpaceDE/>
              <w:autoSpaceDN/>
              <w:spacing w:line="400" w:lineRule="exact"/>
              <w:jc w:val="center"/>
              <w:textAlignment w:val="baseline"/>
              <w:rPr>
                <w:rFonts w:ascii="宋体" w:hAnsi="宋体"/>
                <w:sz w:val="24"/>
                <w:szCs w:val="24"/>
              </w:rPr>
            </w:pPr>
          </w:p>
        </w:tc>
        <w:tc>
          <w:tcPr>
            <w:tcW w:w="924" w:type="dxa"/>
            <w:tcBorders>
              <w:top w:val="double" w:color="auto" w:sz="4" w:space="0"/>
              <w:right w:val="single" w:color="auto" w:sz="4" w:space="0"/>
            </w:tcBorders>
            <w:vAlign w:val="center"/>
          </w:tcPr>
          <w:p w14:paraId="5C53CBBF">
            <w:pPr>
              <w:autoSpaceDE/>
              <w:autoSpaceDN/>
              <w:spacing w:line="400" w:lineRule="exact"/>
              <w:jc w:val="center"/>
              <w:textAlignment w:val="baseline"/>
              <w:rPr>
                <w:rFonts w:ascii="宋体" w:hAnsi="宋体"/>
                <w:sz w:val="24"/>
                <w:szCs w:val="24"/>
              </w:rPr>
            </w:pPr>
          </w:p>
        </w:tc>
        <w:tc>
          <w:tcPr>
            <w:tcW w:w="709" w:type="dxa"/>
            <w:tcBorders>
              <w:top w:val="double" w:color="auto" w:sz="4" w:space="0"/>
              <w:left w:val="single" w:color="auto" w:sz="4" w:space="0"/>
              <w:right w:val="single" w:color="auto" w:sz="6" w:space="0"/>
            </w:tcBorders>
            <w:vAlign w:val="center"/>
          </w:tcPr>
          <w:p w14:paraId="15BC3D2D">
            <w:pPr>
              <w:autoSpaceDE/>
              <w:autoSpaceDN/>
              <w:spacing w:line="400" w:lineRule="exact"/>
              <w:jc w:val="center"/>
              <w:textAlignment w:val="baseline"/>
              <w:rPr>
                <w:rFonts w:ascii="宋体" w:hAnsi="宋体"/>
                <w:sz w:val="24"/>
                <w:szCs w:val="24"/>
              </w:rPr>
            </w:pPr>
          </w:p>
        </w:tc>
        <w:tc>
          <w:tcPr>
            <w:tcW w:w="1283" w:type="dxa"/>
            <w:tcBorders>
              <w:top w:val="double" w:color="auto" w:sz="4" w:space="0"/>
              <w:left w:val="single" w:color="auto" w:sz="6" w:space="0"/>
            </w:tcBorders>
            <w:vAlign w:val="center"/>
          </w:tcPr>
          <w:p w14:paraId="71839234">
            <w:pPr>
              <w:autoSpaceDE/>
              <w:autoSpaceDN/>
              <w:snapToGrid w:val="0"/>
              <w:spacing w:line="360" w:lineRule="atLeast"/>
              <w:jc w:val="center"/>
              <w:textAlignment w:val="baseline"/>
              <w:rPr>
                <w:rFonts w:ascii="宋体" w:hAnsi="宋体"/>
                <w:b/>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31B03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14:paraId="38425231">
            <w:pPr>
              <w:numPr>
                <w:ilvl w:val="0"/>
                <w:numId w:val="104"/>
              </w:numPr>
              <w:spacing w:line="400" w:lineRule="exact"/>
              <w:ind w:firstLine="420"/>
              <w:jc w:val="center"/>
              <w:textAlignment w:val="baseline"/>
              <w:rPr>
                <w:rFonts w:ascii="宋体" w:hAnsi="宋体"/>
                <w:sz w:val="24"/>
                <w:szCs w:val="24"/>
              </w:rPr>
            </w:pPr>
          </w:p>
        </w:tc>
        <w:tc>
          <w:tcPr>
            <w:tcW w:w="1034" w:type="dxa"/>
            <w:vAlign w:val="center"/>
          </w:tcPr>
          <w:p w14:paraId="6357F246">
            <w:pPr>
              <w:autoSpaceDE/>
              <w:autoSpaceDN/>
              <w:spacing w:line="400" w:lineRule="exact"/>
              <w:jc w:val="center"/>
              <w:textAlignment w:val="baseline"/>
              <w:rPr>
                <w:rFonts w:ascii="宋体" w:hAnsi="宋体"/>
                <w:sz w:val="24"/>
                <w:szCs w:val="24"/>
              </w:rPr>
            </w:pPr>
          </w:p>
        </w:tc>
        <w:tc>
          <w:tcPr>
            <w:tcW w:w="662" w:type="dxa"/>
            <w:vAlign w:val="center"/>
          </w:tcPr>
          <w:p w14:paraId="3FF6446B">
            <w:pPr>
              <w:autoSpaceDE/>
              <w:autoSpaceDN/>
              <w:spacing w:line="400" w:lineRule="exact"/>
              <w:jc w:val="center"/>
              <w:textAlignment w:val="baseline"/>
              <w:rPr>
                <w:rFonts w:ascii="宋体" w:hAnsi="宋体"/>
                <w:sz w:val="24"/>
                <w:szCs w:val="24"/>
              </w:rPr>
            </w:pPr>
          </w:p>
        </w:tc>
        <w:tc>
          <w:tcPr>
            <w:tcW w:w="658" w:type="dxa"/>
            <w:vAlign w:val="center"/>
          </w:tcPr>
          <w:p w14:paraId="65AB804E">
            <w:pPr>
              <w:autoSpaceDE/>
              <w:autoSpaceDN/>
              <w:spacing w:line="400" w:lineRule="exact"/>
              <w:jc w:val="center"/>
              <w:textAlignment w:val="baseline"/>
              <w:rPr>
                <w:rFonts w:ascii="宋体" w:hAnsi="宋体"/>
                <w:sz w:val="24"/>
                <w:szCs w:val="24"/>
              </w:rPr>
            </w:pPr>
          </w:p>
        </w:tc>
        <w:tc>
          <w:tcPr>
            <w:tcW w:w="822" w:type="dxa"/>
            <w:vAlign w:val="center"/>
          </w:tcPr>
          <w:p w14:paraId="7F661C74">
            <w:pPr>
              <w:autoSpaceDE/>
              <w:autoSpaceDN/>
              <w:spacing w:line="400" w:lineRule="exact"/>
              <w:jc w:val="center"/>
              <w:textAlignment w:val="baseline"/>
              <w:rPr>
                <w:rFonts w:ascii="宋体" w:hAnsi="宋体"/>
                <w:sz w:val="24"/>
                <w:szCs w:val="24"/>
              </w:rPr>
            </w:pPr>
          </w:p>
        </w:tc>
        <w:tc>
          <w:tcPr>
            <w:tcW w:w="1051" w:type="dxa"/>
            <w:vAlign w:val="center"/>
          </w:tcPr>
          <w:p w14:paraId="0B5E9278">
            <w:pPr>
              <w:autoSpaceDE/>
              <w:autoSpaceDN/>
              <w:spacing w:line="400" w:lineRule="exact"/>
              <w:jc w:val="center"/>
              <w:textAlignment w:val="baseline"/>
              <w:rPr>
                <w:rFonts w:ascii="宋体" w:hAnsi="宋体"/>
                <w:sz w:val="24"/>
                <w:szCs w:val="24"/>
              </w:rPr>
            </w:pPr>
          </w:p>
        </w:tc>
        <w:tc>
          <w:tcPr>
            <w:tcW w:w="731" w:type="dxa"/>
            <w:vAlign w:val="center"/>
          </w:tcPr>
          <w:p w14:paraId="4625B0AD">
            <w:pPr>
              <w:autoSpaceDE/>
              <w:autoSpaceDN/>
              <w:spacing w:line="400" w:lineRule="exact"/>
              <w:jc w:val="center"/>
              <w:textAlignment w:val="baseline"/>
              <w:rPr>
                <w:rFonts w:ascii="宋体" w:hAnsi="宋体"/>
                <w:sz w:val="24"/>
                <w:szCs w:val="24"/>
              </w:rPr>
            </w:pPr>
          </w:p>
        </w:tc>
        <w:tc>
          <w:tcPr>
            <w:tcW w:w="579" w:type="dxa"/>
            <w:vAlign w:val="center"/>
          </w:tcPr>
          <w:p w14:paraId="2EF7C7B2">
            <w:pPr>
              <w:autoSpaceDE/>
              <w:autoSpaceDN/>
              <w:spacing w:line="400" w:lineRule="exact"/>
              <w:jc w:val="center"/>
              <w:textAlignment w:val="baseline"/>
              <w:rPr>
                <w:rFonts w:ascii="宋体" w:hAnsi="宋体"/>
                <w:sz w:val="24"/>
                <w:szCs w:val="24"/>
              </w:rPr>
            </w:pPr>
          </w:p>
        </w:tc>
        <w:tc>
          <w:tcPr>
            <w:tcW w:w="924" w:type="dxa"/>
            <w:tcBorders>
              <w:right w:val="single" w:color="auto" w:sz="4" w:space="0"/>
            </w:tcBorders>
            <w:vAlign w:val="center"/>
          </w:tcPr>
          <w:p w14:paraId="72B4D240">
            <w:pPr>
              <w:autoSpaceDE/>
              <w:autoSpaceDN/>
              <w:spacing w:line="400" w:lineRule="exact"/>
              <w:jc w:val="center"/>
              <w:textAlignment w:val="baseline"/>
              <w:rPr>
                <w:rFonts w:ascii="宋体" w:hAnsi="宋体"/>
                <w:sz w:val="24"/>
                <w:szCs w:val="24"/>
              </w:rPr>
            </w:pPr>
          </w:p>
        </w:tc>
        <w:tc>
          <w:tcPr>
            <w:tcW w:w="709" w:type="dxa"/>
            <w:tcBorders>
              <w:left w:val="single" w:color="auto" w:sz="4" w:space="0"/>
              <w:right w:val="single" w:color="auto" w:sz="6" w:space="0"/>
            </w:tcBorders>
            <w:vAlign w:val="center"/>
          </w:tcPr>
          <w:p w14:paraId="1DF2D23F">
            <w:pPr>
              <w:autoSpaceDE/>
              <w:autoSpaceDN/>
              <w:spacing w:line="400" w:lineRule="exact"/>
              <w:jc w:val="center"/>
              <w:textAlignment w:val="baseline"/>
              <w:rPr>
                <w:rFonts w:ascii="宋体" w:hAnsi="宋体"/>
                <w:sz w:val="24"/>
                <w:szCs w:val="24"/>
              </w:rPr>
            </w:pPr>
          </w:p>
        </w:tc>
        <w:tc>
          <w:tcPr>
            <w:tcW w:w="1283" w:type="dxa"/>
            <w:tcBorders>
              <w:left w:val="single" w:color="auto" w:sz="6" w:space="0"/>
            </w:tcBorders>
            <w:vAlign w:val="center"/>
          </w:tcPr>
          <w:p w14:paraId="07786B12">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108E1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14:paraId="5126A9B4">
            <w:pPr>
              <w:numPr>
                <w:ilvl w:val="0"/>
                <w:numId w:val="104"/>
              </w:numPr>
              <w:spacing w:line="400" w:lineRule="exact"/>
              <w:ind w:firstLine="420"/>
              <w:jc w:val="center"/>
              <w:textAlignment w:val="baseline"/>
              <w:rPr>
                <w:rFonts w:ascii="宋体" w:hAnsi="宋体"/>
                <w:sz w:val="24"/>
                <w:szCs w:val="24"/>
              </w:rPr>
            </w:pPr>
          </w:p>
        </w:tc>
        <w:tc>
          <w:tcPr>
            <w:tcW w:w="1034" w:type="dxa"/>
            <w:vAlign w:val="center"/>
          </w:tcPr>
          <w:p w14:paraId="5349427E">
            <w:pPr>
              <w:autoSpaceDE/>
              <w:autoSpaceDN/>
              <w:spacing w:line="400" w:lineRule="exact"/>
              <w:jc w:val="center"/>
              <w:textAlignment w:val="baseline"/>
              <w:rPr>
                <w:rFonts w:ascii="宋体" w:hAnsi="宋体"/>
                <w:sz w:val="24"/>
                <w:szCs w:val="24"/>
              </w:rPr>
            </w:pPr>
          </w:p>
        </w:tc>
        <w:tc>
          <w:tcPr>
            <w:tcW w:w="662" w:type="dxa"/>
            <w:vAlign w:val="center"/>
          </w:tcPr>
          <w:p w14:paraId="3C88CF63">
            <w:pPr>
              <w:autoSpaceDE/>
              <w:autoSpaceDN/>
              <w:spacing w:line="400" w:lineRule="exact"/>
              <w:jc w:val="center"/>
              <w:textAlignment w:val="baseline"/>
              <w:rPr>
                <w:rFonts w:ascii="宋体" w:hAnsi="宋体"/>
                <w:sz w:val="24"/>
                <w:szCs w:val="24"/>
              </w:rPr>
            </w:pPr>
          </w:p>
        </w:tc>
        <w:tc>
          <w:tcPr>
            <w:tcW w:w="658" w:type="dxa"/>
            <w:vAlign w:val="center"/>
          </w:tcPr>
          <w:p w14:paraId="6788ED38">
            <w:pPr>
              <w:autoSpaceDE/>
              <w:autoSpaceDN/>
              <w:spacing w:line="400" w:lineRule="exact"/>
              <w:jc w:val="center"/>
              <w:textAlignment w:val="baseline"/>
              <w:rPr>
                <w:rFonts w:ascii="宋体" w:hAnsi="宋体"/>
                <w:sz w:val="24"/>
                <w:szCs w:val="24"/>
              </w:rPr>
            </w:pPr>
          </w:p>
        </w:tc>
        <w:tc>
          <w:tcPr>
            <w:tcW w:w="822" w:type="dxa"/>
            <w:vAlign w:val="center"/>
          </w:tcPr>
          <w:p w14:paraId="0B015889">
            <w:pPr>
              <w:autoSpaceDE/>
              <w:autoSpaceDN/>
              <w:spacing w:line="400" w:lineRule="exact"/>
              <w:jc w:val="center"/>
              <w:textAlignment w:val="baseline"/>
              <w:rPr>
                <w:rFonts w:ascii="宋体" w:hAnsi="宋体"/>
                <w:sz w:val="24"/>
                <w:szCs w:val="24"/>
              </w:rPr>
            </w:pPr>
          </w:p>
        </w:tc>
        <w:tc>
          <w:tcPr>
            <w:tcW w:w="1051" w:type="dxa"/>
            <w:vAlign w:val="center"/>
          </w:tcPr>
          <w:p w14:paraId="4DAE356B">
            <w:pPr>
              <w:autoSpaceDE/>
              <w:autoSpaceDN/>
              <w:spacing w:line="400" w:lineRule="exact"/>
              <w:jc w:val="center"/>
              <w:textAlignment w:val="baseline"/>
              <w:rPr>
                <w:rFonts w:ascii="宋体" w:hAnsi="宋体"/>
                <w:sz w:val="24"/>
                <w:szCs w:val="24"/>
              </w:rPr>
            </w:pPr>
          </w:p>
        </w:tc>
        <w:tc>
          <w:tcPr>
            <w:tcW w:w="731" w:type="dxa"/>
            <w:vAlign w:val="center"/>
          </w:tcPr>
          <w:p w14:paraId="2F4425CF">
            <w:pPr>
              <w:autoSpaceDE/>
              <w:autoSpaceDN/>
              <w:spacing w:line="400" w:lineRule="exact"/>
              <w:jc w:val="center"/>
              <w:textAlignment w:val="baseline"/>
              <w:rPr>
                <w:rFonts w:ascii="宋体" w:hAnsi="宋体"/>
                <w:sz w:val="24"/>
                <w:szCs w:val="24"/>
              </w:rPr>
            </w:pPr>
          </w:p>
        </w:tc>
        <w:tc>
          <w:tcPr>
            <w:tcW w:w="579" w:type="dxa"/>
            <w:vAlign w:val="center"/>
          </w:tcPr>
          <w:p w14:paraId="646B4B2A">
            <w:pPr>
              <w:autoSpaceDE/>
              <w:autoSpaceDN/>
              <w:spacing w:line="400" w:lineRule="exact"/>
              <w:jc w:val="center"/>
              <w:textAlignment w:val="baseline"/>
              <w:rPr>
                <w:rFonts w:ascii="宋体" w:hAnsi="宋体"/>
                <w:sz w:val="24"/>
                <w:szCs w:val="24"/>
              </w:rPr>
            </w:pPr>
          </w:p>
        </w:tc>
        <w:tc>
          <w:tcPr>
            <w:tcW w:w="924" w:type="dxa"/>
            <w:tcBorders>
              <w:right w:val="single" w:color="auto" w:sz="4" w:space="0"/>
            </w:tcBorders>
            <w:vAlign w:val="center"/>
          </w:tcPr>
          <w:p w14:paraId="032F89B7">
            <w:pPr>
              <w:autoSpaceDE/>
              <w:autoSpaceDN/>
              <w:spacing w:line="400" w:lineRule="exact"/>
              <w:jc w:val="center"/>
              <w:textAlignment w:val="baseline"/>
              <w:rPr>
                <w:rFonts w:ascii="宋体" w:hAnsi="宋体"/>
                <w:sz w:val="24"/>
                <w:szCs w:val="24"/>
              </w:rPr>
            </w:pPr>
          </w:p>
        </w:tc>
        <w:tc>
          <w:tcPr>
            <w:tcW w:w="709" w:type="dxa"/>
            <w:tcBorders>
              <w:left w:val="single" w:color="auto" w:sz="4" w:space="0"/>
              <w:right w:val="single" w:color="auto" w:sz="6" w:space="0"/>
            </w:tcBorders>
            <w:vAlign w:val="center"/>
          </w:tcPr>
          <w:p w14:paraId="51C2E3D5">
            <w:pPr>
              <w:autoSpaceDE/>
              <w:autoSpaceDN/>
              <w:spacing w:line="400" w:lineRule="exact"/>
              <w:jc w:val="center"/>
              <w:textAlignment w:val="baseline"/>
              <w:rPr>
                <w:rFonts w:ascii="宋体" w:hAnsi="宋体"/>
                <w:sz w:val="24"/>
                <w:szCs w:val="24"/>
              </w:rPr>
            </w:pPr>
          </w:p>
        </w:tc>
        <w:tc>
          <w:tcPr>
            <w:tcW w:w="1283" w:type="dxa"/>
            <w:tcBorders>
              <w:left w:val="single" w:color="auto" w:sz="6" w:space="0"/>
            </w:tcBorders>
            <w:vAlign w:val="center"/>
          </w:tcPr>
          <w:p w14:paraId="3CAB3E9E">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708C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14:paraId="35C3E1A4">
            <w:pPr>
              <w:numPr>
                <w:ilvl w:val="0"/>
                <w:numId w:val="104"/>
              </w:numPr>
              <w:spacing w:line="400" w:lineRule="exact"/>
              <w:ind w:firstLine="420"/>
              <w:jc w:val="center"/>
              <w:textAlignment w:val="baseline"/>
              <w:rPr>
                <w:rFonts w:ascii="宋体" w:hAnsi="宋体"/>
                <w:sz w:val="24"/>
                <w:szCs w:val="24"/>
              </w:rPr>
            </w:pPr>
          </w:p>
        </w:tc>
        <w:tc>
          <w:tcPr>
            <w:tcW w:w="1034" w:type="dxa"/>
            <w:vAlign w:val="center"/>
          </w:tcPr>
          <w:p w14:paraId="36B42B9E">
            <w:pPr>
              <w:autoSpaceDE/>
              <w:autoSpaceDN/>
              <w:spacing w:line="400" w:lineRule="exact"/>
              <w:jc w:val="center"/>
              <w:textAlignment w:val="baseline"/>
              <w:rPr>
                <w:rFonts w:ascii="宋体" w:hAnsi="宋体"/>
                <w:sz w:val="24"/>
                <w:szCs w:val="24"/>
              </w:rPr>
            </w:pPr>
          </w:p>
        </w:tc>
        <w:tc>
          <w:tcPr>
            <w:tcW w:w="662" w:type="dxa"/>
            <w:vAlign w:val="center"/>
          </w:tcPr>
          <w:p w14:paraId="38FA1A79">
            <w:pPr>
              <w:autoSpaceDE/>
              <w:autoSpaceDN/>
              <w:spacing w:line="400" w:lineRule="exact"/>
              <w:jc w:val="center"/>
              <w:textAlignment w:val="baseline"/>
              <w:rPr>
                <w:rFonts w:ascii="宋体" w:hAnsi="宋体"/>
                <w:sz w:val="24"/>
                <w:szCs w:val="24"/>
              </w:rPr>
            </w:pPr>
          </w:p>
        </w:tc>
        <w:tc>
          <w:tcPr>
            <w:tcW w:w="658" w:type="dxa"/>
            <w:vAlign w:val="center"/>
          </w:tcPr>
          <w:p w14:paraId="6DD67822">
            <w:pPr>
              <w:autoSpaceDE/>
              <w:autoSpaceDN/>
              <w:spacing w:line="400" w:lineRule="exact"/>
              <w:jc w:val="center"/>
              <w:textAlignment w:val="baseline"/>
              <w:rPr>
                <w:rFonts w:ascii="宋体" w:hAnsi="宋体"/>
                <w:sz w:val="24"/>
                <w:szCs w:val="24"/>
              </w:rPr>
            </w:pPr>
          </w:p>
        </w:tc>
        <w:tc>
          <w:tcPr>
            <w:tcW w:w="822" w:type="dxa"/>
            <w:vAlign w:val="center"/>
          </w:tcPr>
          <w:p w14:paraId="57CBAAEF">
            <w:pPr>
              <w:autoSpaceDE/>
              <w:autoSpaceDN/>
              <w:spacing w:line="400" w:lineRule="exact"/>
              <w:jc w:val="center"/>
              <w:textAlignment w:val="baseline"/>
              <w:rPr>
                <w:rFonts w:ascii="宋体" w:hAnsi="宋体"/>
                <w:sz w:val="24"/>
                <w:szCs w:val="24"/>
              </w:rPr>
            </w:pPr>
          </w:p>
        </w:tc>
        <w:tc>
          <w:tcPr>
            <w:tcW w:w="1051" w:type="dxa"/>
            <w:vAlign w:val="center"/>
          </w:tcPr>
          <w:p w14:paraId="3B6972F5">
            <w:pPr>
              <w:autoSpaceDE/>
              <w:autoSpaceDN/>
              <w:spacing w:line="400" w:lineRule="exact"/>
              <w:jc w:val="center"/>
              <w:textAlignment w:val="baseline"/>
              <w:rPr>
                <w:rFonts w:ascii="宋体" w:hAnsi="宋体"/>
                <w:sz w:val="24"/>
                <w:szCs w:val="24"/>
              </w:rPr>
            </w:pPr>
          </w:p>
        </w:tc>
        <w:tc>
          <w:tcPr>
            <w:tcW w:w="731" w:type="dxa"/>
            <w:vAlign w:val="center"/>
          </w:tcPr>
          <w:p w14:paraId="576BFC91">
            <w:pPr>
              <w:autoSpaceDE/>
              <w:autoSpaceDN/>
              <w:spacing w:line="400" w:lineRule="exact"/>
              <w:jc w:val="center"/>
              <w:textAlignment w:val="baseline"/>
              <w:rPr>
                <w:rFonts w:ascii="宋体" w:hAnsi="宋体"/>
                <w:sz w:val="24"/>
                <w:szCs w:val="24"/>
              </w:rPr>
            </w:pPr>
          </w:p>
        </w:tc>
        <w:tc>
          <w:tcPr>
            <w:tcW w:w="579" w:type="dxa"/>
            <w:vAlign w:val="center"/>
          </w:tcPr>
          <w:p w14:paraId="64C51F2A">
            <w:pPr>
              <w:autoSpaceDE/>
              <w:autoSpaceDN/>
              <w:spacing w:line="400" w:lineRule="exact"/>
              <w:jc w:val="center"/>
              <w:textAlignment w:val="baseline"/>
              <w:rPr>
                <w:rFonts w:ascii="宋体" w:hAnsi="宋体"/>
                <w:sz w:val="24"/>
                <w:szCs w:val="24"/>
              </w:rPr>
            </w:pPr>
          </w:p>
        </w:tc>
        <w:tc>
          <w:tcPr>
            <w:tcW w:w="924" w:type="dxa"/>
            <w:tcBorders>
              <w:right w:val="single" w:color="auto" w:sz="4" w:space="0"/>
            </w:tcBorders>
            <w:vAlign w:val="center"/>
          </w:tcPr>
          <w:p w14:paraId="79497BF3">
            <w:pPr>
              <w:autoSpaceDE/>
              <w:autoSpaceDN/>
              <w:spacing w:line="400" w:lineRule="exact"/>
              <w:jc w:val="center"/>
              <w:textAlignment w:val="baseline"/>
              <w:rPr>
                <w:rFonts w:ascii="宋体" w:hAnsi="宋体"/>
                <w:sz w:val="24"/>
                <w:szCs w:val="24"/>
              </w:rPr>
            </w:pPr>
          </w:p>
        </w:tc>
        <w:tc>
          <w:tcPr>
            <w:tcW w:w="709" w:type="dxa"/>
            <w:tcBorders>
              <w:left w:val="single" w:color="auto" w:sz="4" w:space="0"/>
              <w:right w:val="single" w:color="auto" w:sz="6" w:space="0"/>
            </w:tcBorders>
            <w:vAlign w:val="center"/>
          </w:tcPr>
          <w:p w14:paraId="1325167C">
            <w:pPr>
              <w:autoSpaceDE/>
              <w:autoSpaceDN/>
              <w:spacing w:line="400" w:lineRule="exact"/>
              <w:jc w:val="center"/>
              <w:textAlignment w:val="baseline"/>
              <w:rPr>
                <w:rFonts w:ascii="宋体" w:hAnsi="宋体"/>
                <w:sz w:val="24"/>
                <w:szCs w:val="24"/>
              </w:rPr>
            </w:pPr>
          </w:p>
        </w:tc>
        <w:tc>
          <w:tcPr>
            <w:tcW w:w="1283" w:type="dxa"/>
            <w:tcBorders>
              <w:left w:val="single" w:color="auto" w:sz="6" w:space="0"/>
            </w:tcBorders>
            <w:vAlign w:val="center"/>
          </w:tcPr>
          <w:p w14:paraId="10DC5A9B">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r w14:paraId="6C615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vAlign w:val="center"/>
          </w:tcPr>
          <w:p w14:paraId="6089B4C8">
            <w:pPr>
              <w:numPr>
                <w:ilvl w:val="0"/>
                <w:numId w:val="104"/>
              </w:numPr>
              <w:spacing w:line="400" w:lineRule="exact"/>
              <w:ind w:firstLine="420"/>
              <w:jc w:val="center"/>
              <w:textAlignment w:val="baseline"/>
              <w:rPr>
                <w:rFonts w:ascii="宋体" w:hAnsi="宋体"/>
                <w:sz w:val="24"/>
                <w:szCs w:val="24"/>
              </w:rPr>
            </w:pPr>
          </w:p>
        </w:tc>
        <w:tc>
          <w:tcPr>
            <w:tcW w:w="1034" w:type="dxa"/>
            <w:vAlign w:val="center"/>
          </w:tcPr>
          <w:p w14:paraId="1DE942A3">
            <w:pPr>
              <w:autoSpaceDE/>
              <w:autoSpaceDN/>
              <w:spacing w:line="400" w:lineRule="exact"/>
              <w:jc w:val="center"/>
              <w:textAlignment w:val="baseline"/>
              <w:rPr>
                <w:rFonts w:ascii="宋体" w:hAnsi="宋体"/>
                <w:sz w:val="24"/>
                <w:szCs w:val="24"/>
              </w:rPr>
            </w:pPr>
          </w:p>
        </w:tc>
        <w:tc>
          <w:tcPr>
            <w:tcW w:w="662" w:type="dxa"/>
            <w:vAlign w:val="center"/>
          </w:tcPr>
          <w:p w14:paraId="18AE22DC">
            <w:pPr>
              <w:autoSpaceDE/>
              <w:autoSpaceDN/>
              <w:spacing w:line="400" w:lineRule="exact"/>
              <w:jc w:val="center"/>
              <w:textAlignment w:val="baseline"/>
              <w:rPr>
                <w:rFonts w:ascii="宋体" w:hAnsi="宋体"/>
                <w:sz w:val="24"/>
                <w:szCs w:val="24"/>
              </w:rPr>
            </w:pPr>
          </w:p>
        </w:tc>
        <w:tc>
          <w:tcPr>
            <w:tcW w:w="658" w:type="dxa"/>
            <w:vAlign w:val="center"/>
          </w:tcPr>
          <w:p w14:paraId="6B7C1BE0">
            <w:pPr>
              <w:autoSpaceDE/>
              <w:autoSpaceDN/>
              <w:spacing w:line="400" w:lineRule="exact"/>
              <w:jc w:val="center"/>
              <w:textAlignment w:val="baseline"/>
              <w:rPr>
                <w:rFonts w:ascii="宋体" w:hAnsi="宋体"/>
                <w:sz w:val="24"/>
                <w:szCs w:val="24"/>
              </w:rPr>
            </w:pPr>
          </w:p>
        </w:tc>
        <w:tc>
          <w:tcPr>
            <w:tcW w:w="822" w:type="dxa"/>
            <w:vAlign w:val="center"/>
          </w:tcPr>
          <w:p w14:paraId="134644EF">
            <w:pPr>
              <w:autoSpaceDE/>
              <w:autoSpaceDN/>
              <w:spacing w:line="400" w:lineRule="exact"/>
              <w:jc w:val="center"/>
              <w:textAlignment w:val="baseline"/>
              <w:rPr>
                <w:rFonts w:ascii="宋体" w:hAnsi="宋体"/>
                <w:sz w:val="24"/>
                <w:szCs w:val="24"/>
              </w:rPr>
            </w:pPr>
          </w:p>
        </w:tc>
        <w:tc>
          <w:tcPr>
            <w:tcW w:w="1051" w:type="dxa"/>
            <w:vAlign w:val="center"/>
          </w:tcPr>
          <w:p w14:paraId="09CF2F50">
            <w:pPr>
              <w:autoSpaceDE/>
              <w:autoSpaceDN/>
              <w:spacing w:line="400" w:lineRule="exact"/>
              <w:jc w:val="center"/>
              <w:textAlignment w:val="baseline"/>
              <w:rPr>
                <w:rFonts w:ascii="宋体" w:hAnsi="宋体"/>
                <w:sz w:val="24"/>
                <w:szCs w:val="24"/>
              </w:rPr>
            </w:pPr>
          </w:p>
        </w:tc>
        <w:tc>
          <w:tcPr>
            <w:tcW w:w="731" w:type="dxa"/>
            <w:vAlign w:val="center"/>
          </w:tcPr>
          <w:p w14:paraId="6C56C329">
            <w:pPr>
              <w:autoSpaceDE/>
              <w:autoSpaceDN/>
              <w:spacing w:line="400" w:lineRule="exact"/>
              <w:jc w:val="center"/>
              <w:textAlignment w:val="baseline"/>
              <w:rPr>
                <w:rFonts w:ascii="宋体" w:hAnsi="宋体"/>
                <w:sz w:val="24"/>
                <w:szCs w:val="24"/>
              </w:rPr>
            </w:pPr>
          </w:p>
        </w:tc>
        <w:tc>
          <w:tcPr>
            <w:tcW w:w="579" w:type="dxa"/>
            <w:vAlign w:val="center"/>
          </w:tcPr>
          <w:p w14:paraId="5789F773">
            <w:pPr>
              <w:autoSpaceDE/>
              <w:autoSpaceDN/>
              <w:spacing w:line="400" w:lineRule="exact"/>
              <w:jc w:val="center"/>
              <w:textAlignment w:val="baseline"/>
              <w:rPr>
                <w:rFonts w:ascii="宋体" w:hAnsi="宋体"/>
                <w:sz w:val="24"/>
                <w:szCs w:val="24"/>
              </w:rPr>
            </w:pPr>
          </w:p>
        </w:tc>
        <w:tc>
          <w:tcPr>
            <w:tcW w:w="924" w:type="dxa"/>
            <w:tcBorders>
              <w:right w:val="single" w:color="auto" w:sz="4" w:space="0"/>
            </w:tcBorders>
            <w:vAlign w:val="center"/>
          </w:tcPr>
          <w:p w14:paraId="62E6E4D8">
            <w:pPr>
              <w:autoSpaceDE/>
              <w:autoSpaceDN/>
              <w:spacing w:line="400" w:lineRule="exact"/>
              <w:jc w:val="center"/>
              <w:textAlignment w:val="baseline"/>
              <w:rPr>
                <w:rFonts w:ascii="宋体" w:hAnsi="宋体"/>
                <w:sz w:val="24"/>
                <w:szCs w:val="24"/>
              </w:rPr>
            </w:pPr>
          </w:p>
        </w:tc>
        <w:tc>
          <w:tcPr>
            <w:tcW w:w="709" w:type="dxa"/>
            <w:tcBorders>
              <w:left w:val="single" w:color="auto" w:sz="4" w:space="0"/>
              <w:right w:val="single" w:color="auto" w:sz="6" w:space="0"/>
            </w:tcBorders>
            <w:vAlign w:val="center"/>
          </w:tcPr>
          <w:p w14:paraId="4EE62C27">
            <w:pPr>
              <w:autoSpaceDE/>
              <w:autoSpaceDN/>
              <w:spacing w:line="400" w:lineRule="exact"/>
              <w:jc w:val="center"/>
              <w:textAlignment w:val="baseline"/>
              <w:rPr>
                <w:rFonts w:ascii="宋体" w:hAnsi="宋体"/>
                <w:sz w:val="24"/>
                <w:szCs w:val="24"/>
              </w:rPr>
            </w:pPr>
          </w:p>
        </w:tc>
        <w:tc>
          <w:tcPr>
            <w:tcW w:w="1283" w:type="dxa"/>
            <w:tcBorders>
              <w:left w:val="single" w:color="auto" w:sz="6" w:space="0"/>
            </w:tcBorders>
            <w:vAlign w:val="center"/>
          </w:tcPr>
          <w:p w14:paraId="6F38AD68">
            <w:pPr>
              <w:autoSpaceDE/>
              <w:autoSpaceDN/>
              <w:spacing w:line="400" w:lineRule="exact"/>
              <w:jc w:val="center"/>
              <w:textAlignment w:val="baseline"/>
              <w:rPr>
                <w:rFonts w:ascii="宋体" w:hAnsi="宋体"/>
                <w:sz w:val="24"/>
                <w:szCs w:val="24"/>
              </w:rPr>
            </w:pP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sz w:val="24"/>
                <w:szCs w:val="24"/>
              </w:rPr>
              <w:t>页</w:t>
            </w:r>
          </w:p>
        </w:tc>
      </w:tr>
    </w:tbl>
    <w:p w14:paraId="6D175777">
      <w:pPr>
        <w:autoSpaceDE/>
        <w:autoSpaceDN/>
        <w:spacing w:line="500" w:lineRule="exact"/>
        <w:jc w:val="both"/>
        <w:textAlignment w:val="baseline"/>
        <w:rPr>
          <w:rFonts w:ascii="宋体" w:hAnsi="宋体"/>
          <w:bCs/>
          <w:color w:val="FF0000"/>
          <w:sz w:val="24"/>
          <w:szCs w:val="24"/>
        </w:rPr>
      </w:pPr>
      <w:r>
        <w:rPr>
          <w:rFonts w:hint="eastAsia" w:ascii="宋体" w:hAnsi="宋体"/>
          <w:bCs/>
          <w:sz w:val="24"/>
          <w:szCs w:val="24"/>
        </w:rPr>
        <w:t>备注</w:t>
      </w:r>
      <w:r>
        <w:rPr>
          <w:rFonts w:hint="eastAsia"/>
          <w:bCs/>
          <w:sz w:val="24"/>
          <w:szCs w:val="24"/>
        </w:rPr>
        <w:t>：</w:t>
      </w:r>
      <w:r>
        <w:rPr>
          <w:rFonts w:hint="eastAsia" w:ascii="宋体" w:hAnsi="宋体"/>
          <w:sz w:val="24"/>
          <w:szCs w:val="24"/>
        </w:rPr>
        <w:t>根据评分表的要求提交相应资料</w:t>
      </w:r>
      <w:r>
        <w:rPr>
          <w:rFonts w:hint="eastAsia" w:ascii="宋体" w:hAnsi="宋体"/>
          <w:bCs/>
          <w:sz w:val="24"/>
          <w:szCs w:val="24"/>
        </w:rPr>
        <w:t>。</w:t>
      </w:r>
    </w:p>
    <w:p w14:paraId="33836FD6">
      <w:pPr>
        <w:autoSpaceDE/>
        <w:autoSpaceDN/>
        <w:spacing w:line="500" w:lineRule="exact"/>
        <w:ind w:firstLine="124" w:firstLineChars="50"/>
        <w:jc w:val="both"/>
        <w:textAlignment w:val="baseline"/>
        <w:rPr>
          <w:spacing w:val="4"/>
          <w:sz w:val="24"/>
          <w:szCs w:val="24"/>
        </w:rPr>
      </w:pPr>
      <w:r>
        <w:rPr>
          <w:rFonts w:hint="eastAsia"/>
          <w:spacing w:val="4"/>
          <w:sz w:val="24"/>
          <w:szCs w:val="24"/>
        </w:rPr>
        <w:t>投标人名称（</w:t>
      </w:r>
      <w:r>
        <w:rPr>
          <w:rFonts w:hint="eastAsia" w:ascii="宋体" w:hAnsi="宋体"/>
          <w:sz w:val="24"/>
          <w:szCs w:val="24"/>
        </w:rPr>
        <w:t>单位盖</w:t>
      </w:r>
      <w:r>
        <w:rPr>
          <w:rFonts w:hint="eastAsia"/>
          <w:spacing w:val="4"/>
          <w:sz w:val="24"/>
          <w:szCs w:val="24"/>
        </w:rPr>
        <w:t xml:space="preserve">公章）：                 </w:t>
      </w:r>
    </w:p>
    <w:p w14:paraId="5466251B">
      <w:pPr>
        <w:autoSpaceDE/>
        <w:autoSpaceDN/>
        <w:spacing w:line="500" w:lineRule="exact"/>
        <w:ind w:firstLine="124" w:firstLineChars="50"/>
        <w:jc w:val="both"/>
        <w:textAlignment w:val="baseline"/>
        <w:rPr>
          <w:spacing w:val="4"/>
          <w:sz w:val="24"/>
          <w:szCs w:val="24"/>
          <w:u w:val="single"/>
        </w:rPr>
      </w:pPr>
      <w:r>
        <w:rPr>
          <w:rFonts w:hint="eastAsia"/>
          <w:spacing w:val="4"/>
          <w:sz w:val="24"/>
          <w:szCs w:val="24"/>
        </w:rPr>
        <w:t>日期：</w:t>
      </w:r>
    </w:p>
    <w:p w14:paraId="6DAA57C5">
      <w:pPr>
        <w:tabs>
          <w:tab w:val="left" w:pos="142"/>
        </w:tabs>
        <w:spacing w:line="360" w:lineRule="auto"/>
        <w:ind w:left="-2" w:leftChars="-1" w:firstLine="2"/>
        <w:jc w:val="center"/>
        <w:textAlignment w:val="baseline"/>
        <w:outlineLvl w:val="1"/>
        <w:rPr>
          <w:rFonts w:ascii="黑体" w:hAnsi="黑体" w:eastAsia="黑体"/>
          <w:sz w:val="32"/>
          <w:szCs w:val="32"/>
        </w:rPr>
      </w:pPr>
      <w:r>
        <w:rPr>
          <w:rFonts w:ascii="黑体" w:hAnsi="黑体" w:eastAsia="黑体"/>
          <w:sz w:val="32"/>
          <w:szCs w:val="32"/>
        </w:rPr>
        <w:br w:type="page"/>
      </w:r>
      <w:bookmarkStart w:id="180" w:name="_Toc21123"/>
      <w:bookmarkStart w:id="181" w:name="_Toc16250"/>
      <w:r>
        <w:rPr>
          <w:rFonts w:hint="eastAsia" w:ascii="宋体" w:hAnsi="宋体" w:cs="宋体"/>
          <w:b/>
          <w:bCs/>
          <w:sz w:val="32"/>
          <w:szCs w:val="32"/>
        </w:rPr>
        <w:t>投标人证书一览表</w:t>
      </w:r>
      <w:bookmarkEnd w:id="180"/>
      <w:bookmarkEnd w:id="181"/>
    </w:p>
    <w:p w14:paraId="3AF60E0A">
      <w:pPr>
        <w:widowControl/>
        <w:autoSpaceDE/>
        <w:autoSpaceDN/>
        <w:snapToGrid w:val="0"/>
        <w:spacing w:line="360" w:lineRule="auto"/>
        <w:textAlignment w:val="baseline"/>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南雄市人民医院食堂对外承包项目</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74"/>
        <w:gridCol w:w="2146"/>
        <w:gridCol w:w="2148"/>
        <w:gridCol w:w="1947"/>
        <w:gridCol w:w="1947"/>
      </w:tblGrid>
      <w:tr w14:paraId="44CFD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890" w:type="pct"/>
            <w:shd w:val="clear" w:color="auto" w:fill="EEECE1"/>
          </w:tcPr>
          <w:p w14:paraId="72802FC0">
            <w:pPr>
              <w:pStyle w:val="50"/>
              <w:spacing w:line="360" w:lineRule="auto"/>
              <w:jc w:val="center"/>
              <w:rPr>
                <w:rFonts w:ascii="宋体" w:hAnsi="宋体" w:cs="Arial"/>
                <w:b/>
                <w:bCs/>
                <w:sz w:val="24"/>
                <w:szCs w:val="24"/>
              </w:rPr>
            </w:pPr>
            <w:r>
              <w:rPr>
                <w:rFonts w:hint="eastAsia" w:ascii="宋体" w:hAnsi="宋体" w:cs="Arial"/>
                <w:b/>
                <w:bCs/>
                <w:sz w:val="24"/>
                <w:szCs w:val="24"/>
              </w:rPr>
              <w:t>证书名称</w:t>
            </w:r>
          </w:p>
        </w:tc>
        <w:tc>
          <w:tcPr>
            <w:tcW w:w="1077" w:type="pct"/>
            <w:shd w:val="clear" w:color="auto" w:fill="EEECE1"/>
          </w:tcPr>
          <w:p w14:paraId="3AB4DEA6">
            <w:pPr>
              <w:pStyle w:val="50"/>
              <w:spacing w:line="360" w:lineRule="auto"/>
              <w:jc w:val="center"/>
              <w:rPr>
                <w:rFonts w:ascii="宋体" w:hAnsi="宋体" w:cs="Arial"/>
                <w:b/>
                <w:bCs/>
                <w:sz w:val="24"/>
                <w:szCs w:val="24"/>
              </w:rPr>
            </w:pPr>
            <w:r>
              <w:rPr>
                <w:rFonts w:hint="eastAsia" w:ascii="宋体" w:hAnsi="宋体" w:cs="Arial"/>
                <w:b/>
                <w:bCs/>
                <w:sz w:val="24"/>
                <w:szCs w:val="24"/>
              </w:rPr>
              <w:t>发证单位</w:t>
            </w:r>
          </w:p>
        </w:tc>
        <w:tc>
          <w:tcPr>
            <w:tcW w:w="1078" w:type="pct"/>
            <w:shd w:val="clear" w:color="auto" w:fill="EEECE1"/>
          </w:tcPr>
          <w:p w14:paraId="47CE508F">
            <w:pPr>
              <w:pStyle w:val="50"/>
              <w:spacing w:line="360" w:lineRule="auto"/>
              <w:jc w:val="center"/>
              <w:rPr>
                <w:rFonts w:ascii="宋体" w:hAnsi="宋体" w:cs="Arial"/>
                <w:b/>
                <w:bCs/>
                <w:sz w:val="24"/>
                <w:szCs w:val="24"/>
              </w:rPr>
            </w:pPr>
            <w:r>
              <w:rPr>
                <w:rFonts w:hint="eastAsia" w:ascii="宋体" w:hAnsi="宋体" w:cs="Arial"/>
                <w:b/>
                <w:bCs/>
                <w:sz w:val="24"/>
                <w:szCs w:val="24"/>
              </w:rPr>
              <w:t>证书等级</w:t>
            </w:r>
          </w:p>
        </w:tc>
        <w:tc>
          <w:tcPr>
            <w:tcW w:w="977" w:type="pct"/>
            <w:shd w:val="clear" w:color="auto" w:fill="EEECE1"/>
          </w:tcPr>
          <w:p w14:paraId="50F55803">
            <w:pPr>
              <w:pStyle w:val="50"/>
              <w:spacing w:line="360" w:lineRule="auto"/>
              <w:jc w:val="center"/>
              <w:rPr>
                <w:rFonts w:ascii="宋体" w:hAnsi="宋体" w:cs="Arial"/>
                <w:b/>
                <w:bCs/>
                <w:sz w:val="24"/>
                <w:szCs w:val="24"/>
              </w:rPr>
            </w:pPr>
            <w:r>
              <w:rPr>
                <w:rFonts w:hint="eastAsia" w:ascii="宋体" w:hAnsi="宋体" w:cs="Arial"/>
                <w:b/>
                <w:bCs/>
                <w:sz w:val="24"/>
                <w:szCs w:val="24"/>
              </w:rPr>
              <w:t>证书有效期</w:t>
            </w:r>
          </w:p>
        </w:tc>
        <w:tc>
          <w:tcPr>
            <w:tcW w:w="977" w:type="pct"/>
            <w:shd w:val="clear" w:color="auto" w:fill="EEECE1"/>
          </w:tcPr>
          <w:p w14:paraId="6F3E51AA">
            <w:pPr>
              <w:pStyle w:val="50"/>
              <w:spacing w:line="360" w:lineRule="auto"/>
              <w:jc w:val="center"/>
              <w:rPr>
                <w:rFonts w:ascii="宋体" w:hAnsi="宋体" w:cs="Arial"/>
                <w:b/>
                <w:bCs/>
                <w:sz w:val="24"/>
                <w:szCs w:val="24"/>
              </w:rPr>
            </w:pPr>
            <w:r>
              <w:rPr>
                <w:rFonts w:hint="eastAsia" w:ascii="宋体" w:hAnsi="宋体"/>
                <w:b/>
                <w:sz w:val="24"/>
              </w:rPr>
              <w:t>查阅/指引</w:t>
            </w:r>
          </w:p>
        </w:tc>
      </w:tr>
      <w:tr w14:paraId="2552B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14:paraId="74F0B327">
            <w:pPr>
              <w:pStyle w:val="50"/>
              <w:spacing w:line="360" w:lineRule="auto"/>
              <w:jc w:val="center"/>
              <w:rPr>
                <w:rFonts w:ascii="宋体" w:hAnsi="宋体" w:cs="Arial"/>
                <w:sz w:val="24"/>
                <w:szCs w:val="24"/>
              </w:rPr>
            </w:pPr>
          </w:p>
        </w:tc>
        <w:tc>
          <w:tcPr>
            <w:tcW w:w="1077" w:type="pct"/>
          </w:tcPr>
          <w:p w14:paraId="5115C6B8">
            <w:pPr>
              <w:pStyle w:val="50"/>
              <w:spacing w:line="360" w:lineRule="auto"/>
              <w:jc w:val="center"/>
              <w:rPr>
                <w:rFonts w:ascii="宋体" w:hAnsi="宋体" w:cs="Arial"/>
                <w:sz w:val="24"/>
                <w:szCs w:val="24"/>
              </w:rPr>
            </w:pPr>
          </w:p>
        </w:tc>
        <w:tc>
          <w:tcPr>
            <w:tcW w:w="1078" w:type="pct"/>
          </w:tcPr>
          <w:p w14:paraId="4B755BE2">
            <w:pPr>
              <w:pStyle w:val="50"/>
              <w:spacing w:line="360" w:lineRule="auto"/>
              <w:jc w:val="center"/>
              <w:rPr>
                <w:rFonts w:ascii="宋体" w:hAnsi="宋体" w:cs="Arial"/>
                <w:sz w:val="24"/>
                <w:szCs w:val="24"/>
              </w:rPr>
            </w:pPr>
          </w:p>
        </w:tc>
        <w:tc>
          <w:tcPr>
            <w:tcW w:w="977" w:type="pct"/>
          </w:tcPr>
          <w:p w14:paraId="7052BB2D">
            <w:pPr>
              <w:pStyle w:val="50"/>
              <w:spacing w:line="360" w:lineRule="auto"/>
              <w:jc w:val="center"/>
              <w:rPr>
                <w:rFonts w:ascii="宋体" w:hAnsi="宋体" w:cs="Arial"/>
                <w:sz w:val="24"/>
                <w:szCs w:val="24"/>
              </w:rPr>
            </w:pPr>
          </w:p>
        </w:tc>
        <w:tc>
          <w:tcPr>
            <w:tcW w:w="977" w:type="pct"/>
          </w:tcPr>
          <w:p w14:paraId="30E39187">
            <w:pPr>
              <w:pStyle w:val="50"/>
              <w:spacing w:line="360" w:lineRule="auto"/>
              <w:jc w:val="center"/>
              <w:rPr>
                <w:rFonts w:ascii="宋体" w:hAnsi="宋体" w:cs="Arial"/>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E6CC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14:paraId="72101657">
            <w:pPr>
              <w:pStyle w:val="50"/>
              <w:spacing w:line="360" w:lineRule="auto"/>
              <w:jc w:val="center"/>
              <w:rPr>
                <w:rFonts w:ascii="宋体" w:hAnsi="宋体" w:cs="Arial"/>
                <w:sz w:val="24"/>
                <w:szCs w:val="24"/>
              </w:rPr>
            </w:pPr>
          </w:p>
        </w:tc>
        <w:tc>
          <w:tcPr>
            <w:tcW w:w="1077" w:type="pct"/>
          </w:tcPr>
          <w:p w14:paraId="6E360568">
            <w:pPr>
              <w:pStyle w:val="50"/>
              <w:spacing w:line="360" w:lineRule="auto"/>
              <w:jc w:val="center"/>
              <w:rPr>
                <w:rFonts w:ascii="宋体" w:hAnsi="宋体" w:cs="Arial"/>
                <w:sz w:val="24"/>
                <w:szCs w:val="24"/>
              </w:rPr>
            </w:pPr>
          </w:p>
        </w:tc>
        <w:tc>
          <w:tcPr>
            <w:tcW w:w="1078" w:type="pct"/>
          </w:tcPr>
          <w:p w14:paraId="297A6616">
            <w:pPr>
              <w:pStyle w:val="50"/>
              <w:spacing w:line="360" w:lineRule="auto"/>
              <w:jc w:val="center"/>
              <w:rPr>
                <w:rFonts w:ascii="宋体" w:hAnsi="宋体" w:cs="Arial"/>
                <w:sz w:val="24"/>
                <w:szCs w:val="24"/>
              </w:rPr>
            </w:pPr>
          </w:p>
        </w:tc>
        <w:tc>
          <w:tcPr>
            <w:tcW w:w="977" w:type="pct"/>
          </w:tcPr>
          <w:p w14:paraId="57AB24D8">
            <w:pPr>
              <w:pStyle w:val="50"/>
              <w:spacing w:line="360" w:lineRule="auto"/>
              <w:jc w:val="center"/>
              <w:rPr>
                <w:rFonts w:ascii="宋体" w:hAnsi="宋体" w:cs="Arial"/>
                <w:sz w:val="24"/>
                <w:szCs w:val="24"/>
              </w:rPr>
            </w:pPr>
          </w:p>
        </w:tc>
        <w:tc>
          <w:tcPr>
            <w:tcW w:w="977" w:type="pct"/>
          </w:tcPr>
          <w:p w14:paraId="5BB15DEA">
            <w:pPr>
              <w:pStyle w:val="50"/>
              <w:spacing w:line="360" w:lineRule="auto"/>
              <w:jc w:val="center"/>
              <w:rPr>
                <w:rFonts w:ascii="宋体" w:hAnsi="宋体" w:cs="Arial"/>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F37E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14:paraId="6DF3FE34">
            <w:pPr>
              <w:pStyle w:val="50"/>
              <w:spacing w:line="360" w:lineRule="auto"/>
              <w:jc w:val="center"/>
              <w:rPr>
                <w:rFonts w:ascii="宋体" w:hAnsi="宋体" w:cs="Arial"/>
                <w:sz w:val="24"/>
                <w:szCs w:val="24"/>
              </w:rPr>
            </w:pPr>
          </w:p>
        </w:tc>
        <w:tc>
          <w:tcPr>
            <w:tcW w:w="1077" w:type="pct"/>
          </w:tcPr>
          <w:p w14:paraId="446C10CB">
            <w:pPr>
              <w:pStyle w:val="50"/>
              <w:spacing w:line="360" w:lineRule="auto"/>
              <w:jc w:val="center"/>
              <w:rPr>
                <w:rFonts w:ascii="宋体" w:hAnsi="宋体" w:cs="Arial"/>
                <w:sz w:val="24"/>
                <w:szCs w:val="24"/>
              </w:rPr>
            </w:pPr>
          </w:p>
        </w:tc>
        <w:tc>
          <w:tcPr>
            <w:tcW w:w="1078" w:type="pct"/>
          </w:tcPr>
          <w:p w14:paraId="00CD17FD">
            <w:pPr>
              <w:pStyle w:val="50"/>
              <w:spacing w:line="360" w:lineRule="auto"/>
              <w:jc w:val="center"/>
              <w:rPr>
                <w:rFonts w:ascii="宋体" w:hAnsi="宋体" w:cs="Arial"/>
                <w:sz w:val="24"/>
                <w:szCs w:val="24"/>
              </w:rPr>
            </w:pPr>
          </w:p>
        </w:tc>
        <w:tc>
          <w:tcPr>
            <w:tcW w:w="977" w:type="pct"/>
          </w:tcPr>
          <w:p w14:paraId="571DE906">
            <w:pPr>
              <w:pStyle w:val="50"/>
              <w:spacing w:line="360" w:lineRule="auto"/>
              <w:jc w:val="center"/>
              <w:rPr>
                <w:rFonts w:ascii="宋体" w:hAnsi="宋体" w:cs="Arial"/>
                <w:sz w:val="24"/>
                <w:szCs w:val="24"/>
              </w:rPr>
            </w:pPr>
          </w:p>
        </w:tc>
        <w:tc>
          <w:tcPr>
            <w:tcW w:w="977" w:type="pct"/>
          </w:tcPr>
          <w:p w14:paraId="31817A27">
            <w:pPr>
              <w:pStyle w:val="50"/>
              <w:spacing w:line="360" w:lineRule="auto"/>
              <w:jc w:val="center"/>
              <w:rPr>
                <w:rFonts w:ascii="宋体" w:hAnsi="宋体" w:cs="Arial"/>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2750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14:paraId="2F05002E">
            <w:pPr>
              <w:pStyle w:val="50"/>
              <w:spacing w:line="360" w:lineRule="auto"/>
              <w:jc w:val="center"/>
              <w:rPr>
                <w:rFonts w:ascii="宋体" w:hAnsi="宋体" w:cs="Arial"/>
                <w:sz w:val="24"/>
                <w:szCs w:val="24"/>
              </w:rPr>
            </w:pPr>
          </w:p>
        </w:tc>
        <w:tc>
          <w:tcPr>
            <w:tcW w:w="1077" w:type="pct"/>
          </w:tcPr>
          <w:p w14:paraId="6DE4BF26">
            <w:pPr>
              <w:pStyle w:val="50"/>
              <w:spacing w:line="360" w:lineRule="auto"/>
              <w:jc w:val="center"/>
              <w:rPr>
                <w:rFonts w:ascii="宋体" w:hAnsi="宋体" w:cs="Arial"/>
                <w:sz w:val="24"/>
                <w:szCs w:val="24"/>
              </w:rPr>
            </w:pPr>
          </w:p>
        </w:tc>
        <w:tc>
          <w:tcPr>
            <w:tcW w:w="1078" w:type="pct"/>
          </w:tcPr>
          <w:p w14:paraId="7B85F7DB">
            <w:pPr>
              <w:pStyle w:val="50"/>
              <w:spacing w:line="360" w:lineRule="auto"/>
              <w:jc w:val="center"/>
              <w:rPr>
                <w:rFonts w:ascii="宋体" w:hAnsi="宋体" w:cs="Arial"/>
                <w:sz w:val="24"/>
                <w:szCs w:val="24"/>
              </w:rPr>
            </w:pPr>
          </w:p>
        </w:tc>
        <w:tc>
          <w:tcPr>
            <w:tcW w:w="977" w:type="pct"/>
          </w:tcPr>
          <w:p w14:paraId="5D8291DB">
            <w:pPr>
              <w:pStyle w:val="50"/>
              <w:spacing w:line="360" w:lineRule="auto"/>
              <w:jc w:val="center"/>
              <w:rPr>
                <w:rFonts w:ascii="宋体" w:hAnsi="宋体" w:cs="Arial"/>
                <w:sz w:val="24"/>
                <w:szCs w:val="24"/>
              </w:rPr>
            </w:pPr>
          </w:p>
        </w:tc>
        <w:tc>
          <w:tcPr>
            <w:tcW w:w="977" w:type="pct"/>
          </w:tcPr>
          <w:p w14:paraId="75225DCA">
            <w:pPr>
              <w:pStyle w:val="50"/>
              <w:spacing w:line="360" w:lineRule="auto"/>
              <w:jc w:val="center"/>
              <w:rPr>
                <w:rFonts w:ascii="宋体" w:hAnsi="宋体" w:cs="Arial"/>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453E1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tcPr>
          <w:p w14:paraId="1EF70B3D">
            <w:pPr>
              <w:pStyle w:val="50"/>
              <w:spacing w:line="360" w:lineRule="auto"/>
              <w:jc w:val="center"/>
              <w:rPr>
                <w:rFonts w:ascii="宋体" w:hAnsi="宋体" w:cs="Arial"/>
                <w:sz w:val="24"/>
                <w:szCs w:val="24"/>
              </w:rPr>
            </w:pPr>
          </w:p>
        </w:tc>
        <w:tc>
          <w:tcPr>
            <w:tcW w:w="1077" w:type="pct"/>
          </w:tcPr>
          <w:p w14:paraId="0676F3F0">
            <w:pPr>
              <w:pStyle w:val="50"/>
              <w:spacing w:line="360" w:lineRule="auto"/>
              <w:jc w:val="center"/>
              <w:rPr>
                <w:rFonts w:ascii="宋体" w:hAnsi="宋体" w:cs="Arial"/>
                <w:sz w:val="24"/>
                <w:szCs w:val="24"/>
              </w:rPr>
            </w:pPr>
          </w:p>
        </w:tc>
        <w:tc>
          <w:tcPr>
            <w:tcW w:w="1078" w:type="pct"/>
          </w:tcPr>
          <w:p w14:paraId="1C78EA53">
            <w:pPr>
              <w:pStyle w:val="50"/>
              <w:spacing w:line="360" w:lineRule="auto"/>
              <w:jc w:val="center"/>
              <w:rPr>
                <w:rFonts w:ascii="宋体" w:hAnsi="宋体" w:cs="Arial"/>
                <w:sz w:val="24"/>
                <w:szCs w:val="24"/>
              </w:rPr>
            </w:pPr>
          </w:p>
        </w:tc>
        <w:tc>
          <w:tcPr>
            <w:tcW w:w="977" w:type="pct"/>
          </w:tcPr>
          <w:p w14:paraId="65C2251A">
            <w:pPr>
              <w:pStyle w:val="50"/>
              <w:spacing w:line="360" w:lineRule="auto"/>
              <w:jc w:val="center"/>
              <w:rPr>
                <w:rFonts w:ascii="宋体" w:hAnsi="宋体" w:cs="Arial"/>
                <w:sz w:val="24"/>
                <w:szCs w:val="24"/>
              </w:rPr>
            </w:pPr>
          </w:p>
        </w:tc>
        <w:tc>
          <w:tcPr>
            <w:tcW w:w="977" w:type="pct"/>
          </w:tcPr>
          <w:p w14:paraId="64164410">
            <w:pPr>
              <w:pStyle w:val="50"/>
              <w:spacing w:line="360" w:lineRule="auto"/>
              <w:jc w:val="center"/>
              <w:rPr>
                <w:rFonts w:ascii="宋体" w:hAnsi="宋体" w:cs="Arial"/>
                <w:sz w:val="24"/>
                <w:szCs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bl>
    <w:p w14:paraId="78FA8E52">
      <w:pPr>
        <w:widowControl/>
        <w:numPr>
          <w:ilvl w:val="0"/>
          <w:numId w:val="105"/>
        </w:numPr>
        <w:tabs>
          <w:tab w:val="left" w:pos="0"/>
        </w:tabs>
        <w:spacing w:line="360" w:lineRule="auto"/>
        <w:jc w:val="both"/>
        <w:textAlignment w:val="baseline"/>
        <w:rPr>
          <w:rFonts w:ascii="宋体" w:hAnsi="宋体"/>
          <w:color w:val="0000FF"/>
          <w:sz w:val="24"/>
          <w:szCs w:val="24"/>
        </w:rPr>
      </w:pPr>
      <w:r>
        <w:rPr>
          <w:rFonts w:hint="eastAsia" w:ascii="宋体" w:hAnsi="宋体"/>
          <w:sz w:val="24"/>
          <w:szCs w:val="24"/>
        </w:rPr>
        <w:t>请根据评分表中要求填写投标人获得资质、认证或企业信誉证书。</w:t>
      </w:r>
    </w:p>
    <w:p w14:paraId="3F32EA8E">
      <w:pPr>
        <w:widowControl/>
        <w:numPr>
          <w:ilvl w:val="0"/>
          <w:numId w:val="105"/>
        </w:numPr>
        <w:tabs>
          <w:tab w:val="left" w:pos="0"/>
        </w:tabs>
        <w:spacing w:line="360" w:lineRule="auto"/>
        <w:jc w:val="both"/>
        <w:textAlignment w:val="baseline"/>
        <w:rPr>
          <w:rFonts w:ascii="宋体" w:hAnsi="宋体"/>
          <w:sz w:val="24"/>
          <w:szCs w:val="24"/>
        </w:rPr>
      </w:pPr>
      <w:r>
        <w:rPr>
          <w:rFonts w:hint="eastAsia" w:ascii="宋体" w:hAnsi="宋体"/>
          <w:sz w:val="24"/>
          <w:szCs w:val="24"/>
        </w:rPr>
        <w:t>请提供本表所列的证书资料。</w:t>
      </w:r>
    </w:p>
    <w:p w14:paraId="1F5D32B6">
      <w:pPr>
        <w:autoSpaceDE/>
        <w:autoSpaceDN/>
        <w:spacing w:line="500" w:lineRule="exact"/>
        <w:jc w:val="both"/>
        <w:textAlignment w:val="baseline"/>
        <w:rPr>
          <w:rFonts w:ascii="宋体" w:hAnsi="宋体"/>
          <w:color w:val="000000"/>
          <w:sz w:val="24"/>
          <w:szCs w:val="24"/>
          <w:u w:val="single"/>
        </w:rPr>
      </w:pPr>
      <w:r>
        <w:rPr>
          <w:rFonts w:hint="eastAsia"/>
          <w:spacing w:val="4"/>
          <w:sz w:val="24"/>
          <w:szCs w:val="24"/>
        </w:rPr>
        <w:t>投标人名称（</w:t>
      </w:r>
      <w:r>
        <w:rPr>
          <w:rFonts w:hint="eastAsia" w:ascii="宋体" w:hAnsi="宋体"/>
          <w:sz w:val="24"/>
          <w:szCs w:val="24"/>
        </w:rPr>
        <w:t>单位盖</w:t>
      </w:r>
      <w:r>
        <w:rPr>
          <w:rFonts w:hint="eastAsia"/>
          <w:spacing w:val="4"/>
          <w:sz w:val="24"/>
          <w:szCs w:val="24"/>
        </w:rPr>
        <w:t>公章）：</w:t>
      </w:r>
    </w:p>
    <w:p w14:paraId="556F43E3">
      <w:pPr>
        <w:autoSpaceDE/>
        <w:autoSpaceDN/>
        <w:adjustRightInd/>
        <w:spacing w:line="360" w:lineRule="auto"/>
        <w:ind w:right="80" w:rightChars="40"/>
        <w:jc w:val="both"/>
        <w:rPr>
          <w:rFonts w:ascii="宋体" w:hAnsi="宋体" w:cs="宋体"/>
          <w:spacing w:val="4"/>
          <w:sz w:val="22"/>
          <w:szCs w:val="22"/>
          <w:u w:val="single"/>
        </w:rPr>
      </w:pPr>
      <w:r>
        <w:rPr>
          <w:rFonts w:hint="eastAsia"/>
          <w:spacing w:val="4"/>
          <w:sz w:val="24"/>
          <w:szCs w:val="24"/>
        </w:rPr>
        <w:t>日期：</w:t>
      </w:r>
    </w:p>
    <w:p w14:paraId="288C3827">
      <w:pPr>
        <w:autoSpaceDE/>
        <w:autoSpaceDN/>
        <w:adjustRightInd/>
        <w:spacing w:line="360" w:lineRule="auto"/>
        <w:ind w:right="80" w:rightChars="40"/>
        <w:jc w:val="both"/>
        <w:rPr>
          <w:rFonts w:ascii="宋体" w:hAnsi="宋体" w:cs="宋体"/>
          <w:spacing w:val="4"/>
          <w:sz w:val="21"/>
          <w:szCs w:val="21"/>
          <w:u w:val="single"/>
        </w:rPr>
      </w:pPr>
    </w:p>
    <w:p w14:paraId="1FC76538">
      <w:pPr>
        <w:spacing w:line="240" w:lineRule="auto"/>
        <w:ind w:left="0" w:leftChars="0" w:firstLine="0"/>
        <w:jc w:val="left"/>
        <w:outlineLvl w:val="9"/>
        <w:rPr>
          <w:rFonts w:hint="default" w:ascii="Times New Roman" w:hAnsi="Times New Roman" w:cs="Times New Roman"/>
          <w:b w:val="0"/>
          <w:bCs w:val="0"/>
          <w:sz w:val="20"/>
          <w:szCs w:val="20"/>
        </w:rPr>
      </w:pPr>
      <w:bookmarkStart w:id="182" w:name="_Toc216"/>
      <w:bookmarkStart w:id="183" w:name="_Toc394307583"/>
      <w:bookmarkStart w:id="184" w:name="_Toc23313"/>
    </w:p>
    <w:p w14:paraId="669F3D86">
      <w:pPr>
        <w:spacing w:line="240" w:lineRule="auto"/>
        <w:ind w:left="0" w:leftChars="0" w:firstLine="0"/>
        <w:jc w:val="left"/>
        <w:outlineLvl w:val="9"/>
        <w:rPr>
          <w:rFonts w:hint="default" w:ascii="Times New Roman" w:hAnsi="Times New Roman" w:cs="Times New Roman"/>
          <w:b w:val="0"/>
          <w:bCs w:val="0"/>
          <w:sz w:val="20"/>
          <w:szCs w:val="20"/>
        </w:rPr>
      </w:pPr>
    </w:p>
    <w:bookmarkEnd w:id="182"/>
    <w:bookmarkEnd w:id="183"/>
    <w:bookmarkEnd w:id="184"/>
    <w:p w14:paraId="51727F23">
      <w:pPr>
        <w:autoSpaceDE/>
        <w:autoSpaceDN/>
        <w:adjustRightInd/>
        <w:spacing w:line="440" w:lineRule="exact"/>
        <w:ind w:left="180"/>
        <w:jc w:val="center"/>
        <w:outlineLvl w:val="1"/>
        <w:rPr>
          <w:rFonts w:ascii="宋体" w:hAnsi="宋体" w:cs="宋体"/>
          <w:b/>
          <w:sz w:val="36"/>
          <w:szCs w:val="36"/>
        </w:rPr>
      </w:pPr>
      <w:bookmarkStart w:id="185" w:name="_Toc16084"/>
      <w:bookmarkStart w:id="186" w:name="_Toc21777"/>
      <w:r>
        <w:rPr>
          <w:rFonts w:hint="eastAsia" w:ascii="宋体" w:hAnsi="宋体" w:cs="宋体"/>
          <w:b/>
          <w:bCs/>
          <w:sz w:val="32"/>
          <w:szCs w:val="32"/>
        </w:rPr>
        <w:t>招标代理服务费承诺书</w:t>
      </w:r>
      <w:bookmarkEnd w:id="185"/>
      <w:bookmarkEnd w:id="186"/>
    </w:p>
    <w:p w14:paraId="30843BC8">
      <w:pPr>
        <w:spacing w:line="360" w:lineRule="auto"/>
        <w:rPr>
          <w:rFonts w:ascii="宋体" w:hAnsi="宋体" w:cs="宋体"/>
          <w:b/>
          <w:sz w:val="24"/>
          <w:szCs w:val="24"/>
        </w:rPr>
      </w:pPr>
      <w:r>
        <w:rPr>
          <w:rFonts w:hint="eastAsia" w:ascii="宋体" w:hAnsi="宋体" w:cs="宋体"/>
          <w:b/>
          <w:sz w:val="24"/>
          <w:szCs w:val="24"/>
        </w:rPr>
        <w:t>（招标代理机构）:</w:t>
      </w:r>
    </w:p>
    <w:p w14:paraId="7587311B">
      <w:pPr>
        <w:spacing w:line="360" w:lineRule="auto"/>
        <w:ind w:firstLine="480" w:firstLineChars="200"/>
        <w:rPr>
          <w:rFonts w:hint="eastAsia" w:ascii="宋体" w:hAnsi="宋体" w:cs="宋体"/>
          <w:sz w:val="24"/>
          <w:szCs w:val="24"/>
        </w:rPr>
      </w:pPr>
      <w:r>
        <w:rPr>
          <w:rFonts w:hint="eastAsia" w:ascii="宋体" w:hAnsi="宋体" w:cs="宋体"/>
          <w:sz w:val="24"/>
          <w:szCs w:val="24"/>
        </w:rPr>
        <w:t>本公司</w:t>
      </w:r>
      <w:r>
        <w:rPr>
          <w:rFonts w:hint="eastAsia" w:ascii="宋体" w:hAnsi="宋体" w:cs="宋体"/>
          <w:sz w:val="24"/>
          <w:szCs w:val="24"/>
          <w:u w:val="single"/>
        </w:rPr>
        <w:t xml:space="preserve">       (投标人名称)      </w:t>
      </w:r>
      <w:r>
        <w:rPr>
          <w:rFonts w:hint="eastAsia" w:ascii="宋体" w:hAnsi="宋体" w:cs="宋体"/>
          <w:sz w:val="24"/>
          <w:szCs w:val="24"/>
        </w:rPr>
        <w:t>在参加</w:t>
      </w:r>
      <w:r>
        <w:rPr>
          <w:rFonts w:hint="eastAsia" w:ascii="宋体" w:hAnsi="宋体" w:cs="宋体"/>
          <w:sz w:val="24"/>
          <w:szCs w:val="24"/>
          <w:u w:val="single"/>
        </w:rPr>
        <w:t xml:space="preserve">       (项目名称)      </w:t>
      </w:r>
      <w:r>
        <w:rPr>
          <w:rFonts w:hint="eastAsia" w:ascii="宋体" w:hAnsi="宋体" w:cs="宋体"/>
          <w:sz w:val="24"/>
          <w:szCs w:val="24"/>
        </w:rPr>
        <w:t>(项目编号：</w:t>
      </w:r>
      <w:r>
        <w:rPr>
          <w:rFonts w:hint="eastAsia" w:ascii="宋体" w:hAnsi="宋体" w:cs="宋体"/>
          <w:sz w:val="24"/>
          <w:szCs w:val="24"/>
          <w:lang w:eastAsia="zh-CN"/>
        </w:rPr>
        <w:t>CLZ0125SG01GC05</w:t>
      </w:r>
      <w:r>
        <w:rPr>
          <w:rFonts w:hint="eastAsia" w:ascii="宋体" w:hAnsi="宋体" w:cs="宋体"/>
          <w:sz w:val="24"/>
          <w:szCs w:val="24"/>
        </w:rPr>
        <w:t>)的招标中如获中标，我公司保证</w:t>
      </w:r>
      <w:bookmarkStart w:id="187" w:name="_Hlk153549784"/>
      <w:r>
        <w:rPr>
          <w:rFonts w:hint="eastAsia" w:ascii="宋体" w:hAnsi="宋体" w:cs="宋体"/>
          <w:sz w:val="24"/>
          <w:szCs w:val="24"/>
        </w:rPr>
        <w:t>在收到中标通知之日起7个工作日内</w:t>
      </w:r>
      <w:bookmarkEnd w:id="187"/>
      <w:r>
        <w:rPr>
          <w:rFonts w:hint="eastAsia" w:ascii="宋体" w:hAnsi="宋体" w:cs="宋体"/>
          <w:sz w:val="24"/>
          <w:szCs w:val="24"/>
        </w:rPr>
        <w:t>按照招标文件的规定缴纳“采购代理服务费”。如采用电汇或银行转账，我公司将同时递交采购代理服务费缴费凭证复印件。</w:t>
      </w:r>
    </w:p>
    <w:p w14:paraId="0D64630B">
      <w:pPr>
        <w:spacing w:line="360" w:lineRule="auto"/>
        <w:ind w:firstLine="480" w:firstLineChars="200"/>
        <w:rPr>
          <w:rFonts w:ascii="宋体" w:hAnsi="宋体" w:cs="宋体"/>
          <w:sz w:val="24"/>
          <w:szCs w:val="24"/>
        </w:rPr>
      </w:pPr>
      <w:r>
        <w:rPr>
          <w:rFonts w:hint="eastAsia" w:ascii="宋体" w:hAnsi="宋体" w:cs="宋体"/>
          <w:sz w:val="24"/>
          <w:szCs w:val="24"/>
        </w:rPr>
        <w:t>如我公司逾期向贵司缴纳采购代理服务费的，我公司同意除应当缴纳采购代理服务费外，每日按逾期的采购代理服务费的</w:t>
      </w:r>
      <w:bookmarkStart w:id="188" w:name="_Hlk153549109"/>
      <w:r>
        <w:rPr>
          <w:rFonts w:hint="eastAsia" w:ascii="宋体" w:hAnsi="宋体" w:cs="宋体"/>
          <w:sz w:val="24"/>
          <w:szCs w:val="24"/>
        </w:rPr>
        <w:t>0.4‰</w:t>
      </w:r>
      <w:bookmarkEnd w:id="188"/>
      <w:r>
        <w:rPr>
          <w:rFonts w:hint="eastAsia" w:ascii="宋体" w:hAnsi="宋体" w:cs="宋体"/>
          <w:sz w:val="24"/>
          <w:szCs w:val="24"/>
        </w:rPr>
        <w:t>向贵司支付违约金。</w:t>
      </w:r>
    </w:p>
    <w:p w14:paraId="5F3845FB">
      <w:pPr>
        <w:tabs>
          <w:tab w:val="center" w:pos="5010"/>
        </w:tabs>
        <w:spacing w:line="360" w:lineRule="auto"/>
        <w:ind w:firstLine="960" w:firstLineChars="400"/>
        <w:rPr>
          <w:rFonts w:ascii="宋体" w:hAnsi="宋体" w:cs="宋体"/>
          <w:sz w:val="24"/>
          <w:szCs w:val="24"/>
        </w:rPr>
      </w:pPr>
      <w:r>
        <w:rPr>
          <w:rFonts w:hint="eastAsia" w:ascii="宋体" w:hAnsi="宋体" w:cs="宋体"/>
          <w:sz w:val="24"/>
          <w:szCs w:val="24"/>
        </w:rPr>
        <w:t>特此承诺!</w:t>
      </w:r>
      <w:r>
        <w:rPr>
          <w:rFonts w:hint="eastAsia" w:ascii="宋体" w:hAnsi="宋体" w:cs="宋体"/>
          <w:sz w:val="24"/>
          <w:szCs w:val="24"/>
        </w:rPr>
        <w:tab/>
      </w:r>
    </w:p>
    <w:p w14:paraId="0CE195BD">
      <w:pPr>
        <w:spacing w:line="360" w:lineRule="auto"/>
        <w:ind w:firstLine="960" w:firstLineChars="400"/>
        <w:rPr>
          <w:rFonts w:ascii="宋体" w:hAnsi="宋体" w:cs="宋体"/>
          <w:sz w:val="24"/>
          <w:szCs w:val="24"/>
        </w:rPr>
      </w:pPr>
    </w:p>
    <w:p w14:paraId="453A282F">
      <w:pPr>
        <w:spacing w:line="360" w:lineRule="auto"/>
        <w:ind w:left="315"/>
        <w:rPr>
          <w:rFonts w:ascii="宋体" w:hAnsi="宋体" w:cs="宋体"/>
          <w:sz w:val="24"/>
          <w:szCs w:val="24"/>
        </w:rPr>
      </w:pPr>
      <w:r>
        <w:rPr>
          <w:rFonts w:hint="eastAsia" w:ascii="宋体" w:hAnsi="宋体" w:cs="宋体"/>
          <w:sz w:val="24"/>
          <w:szCs w:val="24"/>
        </w:rPr>
        <w:t>投标人名称(单位盖公章):</w:t>
      </w:r>
    </w:p>
    <w:p w14:paraId="63247993">
      <w:pPr>
        <w:spacing w:line="360" w:lineRule="auto"/>
        <w:ind w:left="315"/>
        <w:rPr>
          <w:rFonts w:ascii="宋体" w:hAnsi="宋体" w:cs="宋体"/>
          <w:sz w:val="24"/>
          <w:szCs w:val="24"/>
        </w:rPr>
      </w:pPr>
      <w:r>
        <w:rPr>
          <w:rFonts w:hint="eastAsia" w:ascii="宋体" w:hAnsi="宋体" w:cs="宋体"/>
          <w:sz w:val="24"/>
          <w:szCs w:val="24"/>
        </w:rPr>
        <w:t>投标人地址:</w:t>
      </w:r>
    </w:p>
    <w:p w14:paraId="0958E8D4">
      <w:pPr>
        <w:spacing w:line="360" w:lineRule="auto"/>
        <w:ind w:left="315"/>
        <w:rPr>
          <w:rFonts w:ascii="宋体" w:hAnsi="宋体" w:cs="宋体"/>
          <w:sz w:val="24"/>
          <w:szCs w:val="24"/>
        </w:rPr>
      </w:pPr>
      <w:r>
        <w:rPr>
          <w:rFonts w:hint="eastAsia" w:ascii="宋体" w:hAnsi="宋体" w:cs="宋体"/>
          <w:sz w:val="24"/>
          <w:szCs w:val="24"/>
        </w:rPr>
        <w:t>电话:</w:t>
      </w:r>
    </w:p>
    <w:p w14:paraId="32E8BA20">
      <w:pPr>
        <w:spacing w:line="360" w:lineRule="auto"/>
        <w:ind w:left="315"/>
        <w:rPr>
          <w:rFonts w:ascii="宋体" w:hAnsi="宋体" w:cs="宋体"/>
          <w:sz w:val="24"/>
          <w:szCs w:val="24"/>
        </w:rPr>
      </w:pPr>
      <w:r>
        <w:rPr>
          <w:rFonts w:hint="eastAsia" w:ascii="宋体" w:hAnsi="宋体" w:cs="宋体"/>
          <w:sz w:val="24"/>
          <w:szCs w:val="24"/>
        </w:rPr>
        <w:t>传真:</w:t>
      </w:r>
    </w:p>
    <w:p w14:paraId="25391E71">
      <w:pPr>
        <w:spacing w:line="360" w:lineRule="auto"/>
        <w:ind w:left="315"/>
        <w:rPr>
          <w:rFonts w:ascii="宋体" w:hAnsi="宋体" w:cs="宋体"/>
          <w:sz w:val="24"/>
          <w:szCs w:val="24"/>
        </w:rPr>
      </w:pPr>
      <w:r>
        <w:rPr>
          <w:rFonts w:hint="eastAsia" w:ascii="宋体" w:hAnsi="宋体" w:cs="宋体"/>
          <w:sz w:val="24"/>
          <w:szCs w:val="24"/>
        </w:rPr>
        <w:t>法定代表人或投标人授权代表（签名或盖个人名章）：</w:t>
      </w:r>
    </w:p>
    <w:p w14:paraId="1B518D1A">
      <w:pPr>
        <w:spacing w:line="360" w:lineRule="auto"/>
        <w:ind w:left="315"/>
        <w:rPr>
          <w:rFonts w:ascii="宋体" w:hAnsi="宋体" w:cs="宋体"/>
          <w:sz w:val="22"/>
          <w:szCs w:val="22"/>
        </w:rPr>
      </w:pPr>
      <w:r>
        <w:rPr>
          <w:rFonts w:hint="eastAsia" w:ascii="宋体" w:hAnsi="宋体" w:cs="宋体"/>
          <w:sz w:val="24"/>
          <w:szCs w:val="24"/>
        </w:rPr>
        <w:t>签署日期:</w:t>
      </w:r>
    </w:p>
    <w:p w14:paraId="229ECCD4">
      <w:pPr>
        <w:tabs>
          <w:tab w:val="left" w:pos="142"/>
        </w:tabs>
        <w:spacing w:line="360" w:lineRule="auto"/>
        <w:ind w:left="-2" w:leftChars="-1" w:firstLine="2"/>
        <w:jc w:val="center"/>
        <w:outlineLvl w:val="1"/>
        <w:rPr>
          <w:rFonts w:ascii="黑体" w:hAnsi="黑体" w:eastAsia="黑体"/>
          <w:sz w:val="32"/>
          <w:szCs w:val="32"/>
        </w:rPr>
      </w:pPr>
      <w:r>
        <w:rPr>
          <w:rFonts w:hint="eastAsia" w:ascii="宋体" w:hAnsi="宋体" w:cs="宋体"/>
          <w:bCs/>
          <w:sz w:val="24"/>
          <w:szCs w:val="24"/>
        </w:rPr>
        <w:br w:type="page"/>
      </w:r>
      <w:bookmarkStart w:id="189" w:name="_Toc21461"/>
      <w:bookmarkStart w:id="190" w:name="_Toc20347"/>
      <w:r>
        <w:rPr>
          <w:rFonts w:hint="eastAsia" w:ascii="宋体" w:hAnsi="宋体" w:cs="宋体"/>
          <w:b/>
          <w:bCs/>
          <w:sz w:val="32"/>
          <w:szCs w:val="32"/>
        </w:rPr>
        <w:t>开票资料说明函</w:t>
      </w:r>
      <w:bookmarkEnd w:id="189"/>
      <w:bookmarkEnd w:id="190"/>
    </w:p>
    <w:p w14:paraId="4124A533">
      <w:pPr>
        <w:snapToGrid w:val="0"/>
        <w:spacing w:line="360" w:lineRule="auto"/>
        <w:rPr>
          <w:rFonts w:ascii="宋体" w:hAnsi="宋体"/>
          <w:b/>
          <w:sz w:val="24"/>
        </w:rPr>
      </w:pPr>
      <w:r>
        <w:rPr>
          <w:rFonts w:hint="eastAsia" w:ascii="宋体" w:hAnsi="宋体" w:cs="宋体"/>
          <w:b/>
          <w:sz w:val="24"/>
          <w:szCs w:val="24"/>
        </w:rPr>
        <w:t>（招标代理机构）</w:t>
      </w:r>
      <w:r>
        <w:rPr>
          <w:rFonts w:hint="eastAsia" w:ascii="宋体" w:hAnsi="宋体"/>
          <w:b/>
          <w:sz w:val="24"/>
        </w:rPr>
        <w:t>:</w:t>
      </w:r>
    </w:p>
    <w:p w14:paraId="35E27A9B">
      <w:pPr>
        <w:snapToGrid w:val="0"/>
        <w:spacing w:line="360" w:lineRule="auto"/>
        <w:ind w:firstLine="480" w:firstLineChars="200"/>
        <w:rPr>
          <w:rFonts w:ascii="宋体" w:cs="宋体"/>
          <w:sz w:val="24"/>
        </w:rPr>
      </w:pPr>
      <w:r>
        <w:rPr>
          <w:rFonts w:hint="eastAsia" w:ascii="宋体" w:hAnsi="宋体"/>
          <w:sz w:val="24"/>
        </w:rPr>
        <w:t>本公司</w:t>
      </w:r>
      <w:r>
        <w:rPr>
          <w:rFonts w:hint="eastAsia" w:ascii="宋体" w:hAnsi="宋体"/>
          <w:sz w:val="24"/>
          <w:u w:val="single"/>
        </w:rPr>
        <w:t xml:space="preserve">       (供应商名称)      </w:t>
      </w:r>
      <w:r>
        <w:rPr>
          <w:rFonts w:hint="eastAsia" w:ascii="宋体" w:hAnsi="宋体"/>
          <w:sz w:val="24"/>
        </w:rPr>
        <w:t>在参加在贵公司举行的</w:t>
      </w:r>
      <w:r>
        <w:rPr>
          <w:rFonts w:hint="eastAsia" w:ascii="宋体" w:hAnsi="宋体"/>
          <w:sz w:val="24"/>
          <w:u w:val="single"/>
        </w:rPr>
        <w:t xml:space="preserve">       (项目名称)      </w:t>
      </w:r>
      <w:r>
        <w:rPr>
          <w:rFonts w:hint="eastAsia" w:ascii="宋体" w:hAnsi="宋体"/>
          <w:sz w:val="24"/>
        </w:rPr>
        <w:t>(</w:t>
      </w:r>
      <w:r>
        <w:rPr>
          <w:rFonts w:hint="eastAsia"/>
          <w:sz w:val="24"/>
        </w:rPr>
        <w:t>项目编号：</w:t>
      </w:r>
      <w:r>
        <w:rPr>
          <w:rFonts w:hint="eastAsia" w:ascii="宋体" w:hAnsi="宋体"/>
          <w:sz w:val="24"/>
          <w:lang w:eastAsia="zh-CN"/>
        </w:rPr>
        <w:t>CLZ0125SG01GC05</w:t>
      </w:r>
      <w:r>
        <w:rPr>
          <w:rFonts w:hint="eastAsia" w:ascii="宋体" w:hAnsi="宋体"/>
          <w:sz w:val="24"/>
        </w:rPr>
        <w:t>)的招标中如获中标</w:t>
      </w:r>
      <w:r>
        <w:rPr>
          <w:rFonts w:hint="eastAsia" w:ascii="宋体" w:cs="宋体"/>
          <w:sz w:val="24"/>
        </w:rPr>
        <w:t>，则开票类型选择</w:t>
      </w:r>
      <w:r>
        <w:rPr>
          <w:rFonts w:hint="eastAsia" w:ascii="宋体" w:hAnsi="宋体"/>
          <w:b/>
          <w:sz w:val="24"/>
          <w:u w:val="single"/>
        </w:rPr>
        <w:t>□增值税普通发票□增值税专用发票</w:t>
      </w:r>
      <w:r>
        <w:rPr>
          <w:rFonts w:hint="eastAsia" w:ascii="宋体" w:hAnsi="宋体"/>
          <w:sz w:val="24"/>
        </w:rPr>
        <w:t>（</w:t>
      </w:r>
      <w:r>
        <w:rPr>
          <w:rFonts w:hint="eastAsia" w:ascii="宋体" w:hAnsi="宋体"/>
          <w:b/>
          <w:sz w:val="24"/>
        </w:rPr>
        <w:t>请在对应的“□”打“√”，且只能选择其中一项）</w:t>
      </w:r>
      <w:r>
        <w:rPr>
          <w:rFonts w:hint="eastAsia" w:ascii="宋体" w:cs="宋体"/>
          <w:sz w:val="24"/>
        </w:rPr>
        <w:t>，以及我司的开票资料如下：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3763"/>
        <w:gridCol w:w="1179"/>
        <w:gridCol w:w="1665"/>
      </w:tblGrid>
      <w:tr w14:paraId="6BCB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4C86676C">
            <w:pPr>
              <w:jc w:val="center"/>
              <w:rPr>
                <w:rFonts w:ascii="宋体"/>
                <w:sz w:val="24"/>
              </w:rPr>
            </w:pPr>
            <w:r>
              <w:rPr>
                <w:rFonts w:hint="eastAsia" w:ascii="宋体"/>
                <w:sz w:val="24"/>
              </w:rPr>
              <w:t>单位名称</w:t>
            </w:r>
          </w:p>
        </w:tc>
        <w:tc>
          <w:tcPr>
            <w:tcW w:w="6607" w:type="dxa"/>
            <w:gridSpan w:val="3"/>
            <w:vAlign w:val="center"/>
          </w:tcPr>
          <w:p w14:paraId="5B3A6F47">
            <w:pPr>
              <w:jc w:val="center"/>
              <w:rPr>
                <w:rFonts w:ascii="宋体"/>
                <w:sz w:val="24"/>
              </w:rPr>
            </w:pPr>
          </w:p>
        </w:tc>
      </w:tr>
      <w:tr w14:paraId="4B6DB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05FE3DCB">
            <w:pPr>
              <w:jc w:val="center"/>
              <w:rPr>
                <w:rFonts w:ascii="宋体"/>
                <w:sz w:val="24"/>
              </w:rPr>
            </w:pPr>
            <w:r>
              <w:rPr>
                <w:rFonts w:hint="eastAsia" w:ascii="宋体" w:hAnsi="宋体"/>
                <w:sz w:val="24"/>
              </w:rPr>
              <w:t>纳税人识别号</w:t>
            </w:r>
          </w:p>
        </w:tc>
        <w:tc>
          <w:tcPr>
            <w:tcW w:w="6607" w:type="dxa"/>
            <w:gridSpan w:val="3"/>
            <w:vAlign w:val="center"/>
          </w:tcPr>
          <w:p w14:paraId="05954B13">
            <w:pPr>
              <w:jc w:val="center"/>
              <w:rPr>
                <w:rFonts w:ascii="宋体"/>
                <w:sz w:val="24"/>
              </w:rPr>
            </w:pPr>
          </w:p>
        </w:tc>
      </w:tr>
      <w:tr w14:paraId="36C32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4C570E79">
            <w:pPr>
              <w:jc w:val="center"/>
              <w:rPr>
                <w:rFonts w:ascii="宋体"/>
                <w:sz w:val="24"/>
              </w:rPr>
            </w:pPr>
            <w:r>
              <w:rPr>
                <w:rFonts w:hint="eastAsia" w:ascii="宋体"/>
                <w:sz w:val="24"/>
              </w:rPr>
              <w:t>地址</w:t>
            </w:r>
          </w:p>
        </w:tc>
        <w:tc>
          <w:tcPr>
            <w:tcW w:w="6607" w:type="dxa"/>
            <w:gridSpan w:val="3"/>
            <w:vAlign w:val="center"/>
          </w:tcPr>
          <w:p w14:paraId="42D3146B">
            <w:pPr>
              <w:jc w:val="center"/>
              <w:rPr>
                <w:rFonts w:ascii="宋体"/>
                <w:sz w:val="24"/>
              </w:rPr>
            </w:pPr>
          </w:p>
        </w:tc>
      </w:tr>
      <w:tr w14:paraId="41FE3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14:paraId="78859C37">
            <w:pPr>
              <w:jc w:val="center"/>
              <w:rPr>
                <w:rFonts w:ascii="宋体"/>
                <w:sz w:val="24"/>
              </w:rPr>
            </w:pPr>
            <w:r>
              <w:rPr>
                <w:rFonts w:hint="eastAsia" w:ascii="宋体"/>
                <w:sz w:val="24"/>
              </w:rPr>
              <w:t>开户银行</w:t>
            </w:r>
            <w:r>
              <w:rPr>
                <w:rFonts w:ascii="宋体"/>
                <w:sz w:val="24"/>
              </w:rPr>
              <w:br w:type="textWrapping"/>
            </w:r>
            <w:r>
              <w:rPr>
                <w:rFonts w:hint="eastAsia" w:ascii="宋体" w:hAnsi="宋体"/>
                <w:sz w:val="24"/>
              </w:rPr>
              <w:t>（具体到XX银行XX支行）</w:t>
            </w:r>
          </w:p>
        </w:tc>
        <w:tc>
          <w:tcPr>
            <w:tcW w:w="3763" w:type="dxa"/>
            <w:vAlign w:val="center"/>
          </w:tcPr>
          <w:p w14:paraId="38C6EBAF">
            <w:pPr>
              <w:jc w:val="center"/>
              <w:rPr>
                <w:rFonts w:ascii="宋体"/>
                <w:sz w:val="24"/>
              </w:rPr>
            </w:pPr>
          </w:p>
        </w:tc>
        <w:tc>
          <w:tcPr>
            <w:tcW w:w="1179" w:type="dxa"/>
            <w:vAlign w:val="center"/>
          </w:tcPr>
          <w:p w14:paraId="424C5C3C">
            <w:pPr>
              <w:jc w:val="center"/>
              <w:rPr>
                <w:rFonts w:ascii="宋体"/>
                <w:sz w:val="24"/>
              </w:rPr>
            </w:pPr>
            <w:r>
              <w:rPr>
                <w:rFonts w:hint="eastAsia" w:ascii="宋体"/>
                <w:sz w:val="24"/>
              </w:rPr>
              <w:t>联系电话</w:t>
            </w:r>
          </w:p>
        </w:tc>
        <w:tc>
          <w:tcPr>
            <w:tcW w:w="1665" w:type="dxa"/>
            <w:vAlign w:val="center"/>
          </w:tcPr>
          <w:p w14:paraId="067B4477">
            <w:pPr>
              <w:jc w:val="center"/>
              <w:rPr>
                <w:rFonts w:ascii="宋体"/>
                <w:sz w:val="24"/>
              </w:rPr>
            </w:pPr>
          </w:p>
        </w:tc>
      </w:tr>
      <w:tr w14:paraId="46645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502F8BA7">
            <w:pPr>
              <w:jc w:val="center"/>
              <w:rPr>
                <w:rFonts w:ascii="宋体"/>
                <w:sz w:val="24"/>
              </w:rPr>
            </w:pPr>
            <w:r>
              <w:rPr>
                <w:rFonts w:hint="eastAsia" w:ascii="宋体"/>
                <w:sz w:val="24"/>
              </w:rPr>
              <w:t>账    号</w:t>
            </w:r>
          </w:p>
        </w:tc>
        <w:tc>
          <w:tcPr>
            <w:tcW w:w="3763" w:type="dxa"/>
            <w:vAlign w:val="center"/>
          </w:tcPr>
          <w:p w14:paraId="4B0D5804">
            <w:pPr>
              <w:jc w:val="center"/>
              <w:rPr>
                <w:rFonts w:ascii="宋体"/>
                <w:sz w:val="24"/>
              </w:rPr>
            </w:pPr>
          </w:p>
        </w:tc>
        <w:tc>
          <w:tcPr>
            <w:tcW w:w="1179" w:type="dxa"/>
            <w:vAlign w:val="center"/>
          </w:tcPr>
          <w:p w14:paraId="59F65CD4">
            <w:pPr>
              <w:jc w:val="center"/>
              <w:rPr>
                <w:rFonts w:ascii="宋体"/>
                <w:sz w:val="24"/>
              </w:rPr>
            </w:pPr>
            <w:r>
              <w:rPr>
                <w:rFonts w:hint="eastAsia" w:ascii="宋体"/>
                <w:sz w:val="24"/>
              </w:rPr>
              <w:t>联系人</w:t>
            </w:r>
          </w:p>
        </w:tc>
        <w:tc>
          <w:tcPr>
            <w:tcW w:w="1665" w:type="dxa"/>
            <w:vAlign w:val="center"/>
          </w:tcPr>
          <w:p w14:paraId="5B5426E0">
            <w:pPr>
              <w:jc w:val="center"/>
              <w:rPr>
                <w:rFonts w:ascii="宋体"/>
                <w:sz w:val="24"/>
              </w:rPr>
            </w:pPr>
          </w:p>
        </w:tc>
      </w:tr>
      <w:tr w14:paraId="4F4AB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14:paraId="121874EF">
            <w:pPr>
              <w:rPr>
                <w:rFonts w:ascii="宋体"/>
                <w:b/>
                <w:sz w:val="24"/>
              </w:rPr>
            </w:pPr>
            <w:r>
              <w:rPr>
                <w:rFonts w:hint="eastAsia" w:ascii="宋体"/>
                <w:b/>
                <w:sz w:val="24"/>
              </w:rPr>
              <w:t>附件：</w:t>
            </w:r>
            <w:r>
              <w:rPr>
                <w:rFonts w:hint="eastAsia" w:ascii="宋体" w:hAnsi="宋体"/>
                <w:b/>
                <w:sz w:val="24"/>
              </w:rPr>
              <w:t>一般纳税人资格认定税务通知书或其他可证明具有该项资格证明文件的复印件。（加盖公章）</w:t>
            </w:r>
          </w:p>
        </w:tc>
      </w:tr>
    </w:tbl>
    <w:p w14:paraId="0029EC80">
      <w:pPr>
        <w:spacing w:line="360" w:lineRule="auto"/>
        <w:ind w:firstLine="480" w:firstLineChars="200"/>
        <w:rPr>
          <w:rFonts w:ascii="宋体"/>
          <w:sz w:val="24"/>
        </w:rPr>
      </w:pPr>
      <w:r>
        <w:rPr>
          <w:rFonts w:hint="eastAsia" w:ascii="宋体"/>
          <w:sz w:val="24"/>
        </w:rPr>
        <w:t>投标截止日，如我公司未按该要求填写、未提供有效的开票资料、未确认开具发票类型或确认的发票类型有误，则视为开具增值税普通发票。同意</w:t>
      </w:r>
      <w:r>
        <w:rPr>
          <w:rFonts w:hint="eastAsia" w:ascii="宋体" w:hAnsi="宋体" w:cs="宋体"/>
          <w:b/>
          <w:sz w:val="24"/>
          <w:szCs w:val="24"/>
        </w:rPr>
        <w:t>（招标代理机构）</w:t>
      </w:r>
      <w:r>
        <w:rPr>
          <w:rFonts w:hint="eastAsia" w:ascii="宋体"/>
          <w:sz w:val="24"/>
        </w:rPr>
        <w:t>不予更换发票类型。并愿承担由此引起的一切后果。</w:t>
      </w:r>
    </w:p>
    <w:p w14:paraId="636294C2">
      <w:pPr>
        <w:spacing w:line="360" w:lineRule="auto"/>
        <w:ind w:firstLine="480" w:firstLineChars="200"/>
        <w:rPr>
          <w:rFonts w:ascii="宋体"/>
          <w:sz w:val="24"/>
        </w:rPr>
      </w:pPr>
    </w:p>
    <w:p w14:paraId="57F1C166">
      <w:pPr>
        <w:snapToGrid w:val="0"/>
        <w:spacing w:line="520" w:lineRule="exact"/>
        <w:ind w:left="780" w:right="480"/>
        <w:jc w:val="center"/>
        <w:rPr>
          <w:rFonts w:ascii="宋体"/>
          <w:sz w:val="24"/>
        </w:rPr>
      </w:pPr>
      <w:r>
        <w:rPr>
          <w:rFonts w:hint="eastAsia"/>
          <w:sz w:val="24"/>
        </w:rPr>
        <w:t>投标人名称</w:t>
      </w:r>
      <w:r>
        <w:rPr>
          <w:rFonts w:hint="eastAsia" w:ascii="宋体"/>
          <w:sz w:val="24"/>
        </w:rPr>
        <w:t>（</w:t>
      </w:r>
      <w:r>
        <w:rPr>
          <w:rFonts w:hint="eastAsia" w:ascii="宋体" w:hAnsi="宋体"/>
          <w:sz w:val="24"/>
        </w:rPr>
        <w:t>单位盖</w:t>
      </w:r>
      <w:r>
        <w:rPr>
          <w:rFonts w:hint="eastAsia"/>
          <w:spacing w:val="4"/>
          <w:sz w:val="24"/>
        </w:rPr>
        <w:t>公章</w:t>
      </w:r>
      <w:r>
        <w:rPr>
          <w:rFonts w:hint="eastAsia" w:ascii="宋体"/>
          <w:sz w:val="24"/>
        </w:rPr>
        <w:t>）：</w:t>
      </w:r>
    </w:p>
    <w:p w14:paraId="709555FF">
      <w:pPr>
        <w:snapToGrid w:val="0"/>
        <w:spacing w:line="520" w:lineRule="exact"/>
        <w:ind w:left="780" w:right="480"/>
        <w:jc w:val="center"/>
        <w:rPr>
          <w:rFonts w:ascii="宋体" w:hAnsi="宋体" w:cs="宋体"/>
          <w:sz w:val="22"/>
          <w:szCs w:val="22"/>
        </w:rPr>
      </w:pPr>
      <w:r>
        <w:rPr>
          <w:rFonts w:hint="eastAsia" w:ascii="宋体"/>
          <w:sz w:val="24"/>
        </w:rPr>
        <w:t xml:space="preserve">              投标人地址：</w:t>
      </w:r>
    </w:p>
    <w:p w14:paraId="33461A92">
      <w:pPr>
        <w:autoSpaceDE/>
        <w:autoSpaceDN/>
        <w:adjustRightInd/>
        <w:spacing w:line="360" w:lineRule="auto"/>
        <w:jc w:val="both"/>
        <w:rPr>
          <w:b/>
          <w:bCs/>
          <w:sz w:val="30"/>
          <w:szCs w:val="30"/>
        </w:rPr>
      </w:pPr>
    </w:p>
    <w:sectPr>
      <w:headerReference r:id="rId3" w:type="default"/>
      <w:footerReference r:id="rId4" w:type="default"/>
      <w:pgSz w:w="11906" w:h="16838"/>
      <w:pgMar w:top="1440" w:right="1080" w:bottom="1440" w:left="1080" w:header="851" w:footer="7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55A4">
    <w:pPr>
      <w:pStyle w:val="13"/>
    </w:pPr>
    <w:r>
      <w:rPr>
        <w:rFonts w:hint="eastAsia"/>
      </w:rPr>
      <w:t xml:space="preserve">http://www.chinapsp.cn/                         </w:t>
    </w:r>
    <w:r>
      <w:rPr>
        <w:rFonts w:hint="eastAsia" w:ascii="宋体" w:hAnsi="宋体"/>
      </w:rPr>
      <w:t>第</w:t>
    </w:r>
    <w:r>
      <w:rPr>
        <w:rFonts w:ascii="宋体" w:hAnsi="宋体"/>
      </w:rPr>
      <w:fldChar w:fldCharType="begin"/>
    </w:r>
    <w:r>
      <w:rPr>
        <w:rFonts w:ascii="宋体" w:hAnsi="宋体"/>
      </w:rPr>
      <w:instrText xml:space="preserve">PAGE  \* Arabic  \* MERGEFORMAT</w:instrText>
    </w:r>
    <w:r>
      <w:rPr>
        <w:rFonts w:ascii="宋体" w:hAnsi="宋体"/>
      </w:rPr>
      <w:fldChar w:fldCharType="separate"/>
    </w:r>
    <w:r>
      <w:rPr>
        <w:rFonts w:ascii="宋体" w:hAnsi="宋体"/>
        <w:lang w:val="zh-CN"/>
      </w:rPr>
      <w:t>20</w:t>
    </w:r>
    <w:r>
      <w:rPr>
        <w:rFonts w:ascii="宋体" w:hAnsi="宋体"/>
      </w:rPr>
      <w:fldChar w:fldCharType="end"/>
    </w:r>
    <w:r>
      <w:rPr>
        <w:rStyle w:val="27"/>
        <w:rFonts w:hint="eastAsia" w:ascii="宋体" w:hAnsi="宋体"/>
      </w:rPr>
      <w:t>页，共</w:t>
    </w:r>
    <w:r>
      <w:rPr>
        <w:rFonts w:ascii="宋体" w:hAnsi="宋体"/>
      </w:rPr>
      <w:fldChar w:fldCharType="begin"/>
    </w:r>
    <w:r>
      <w:rPr>
        <w:rFonts w:ascii="宋体" w:hAnsi="宋体"/>
      </w:rPr>
      <w:instrText xml:space="preserve">NUMPAGES  \* Arabic  \* MERGEFORMAT</w:instrText>
    </w:r>
    <w:r>
      <w:rPr>
        <w:rFonts w:ascii="宋体" w:hAnsi="宋体"/>
      </w:rPr>
      <w:fldChar w:fldCharType="separate"/>
    </w:r>
    <w:r>
      <w:rPr>
        <w:rFonts w:ascii="宋体" w:hAnsi="宋体"/>
        <w:lang w:val="zh-CN"/>
      </w:rPr>
      <w:t>76</w:t>
    </w:r>
    <w:r>
      <w:rPr>
        <w:rFonts w:ascii="宋体" w:hAnsi="宋体"/>
      </w:rPr>
      <w:fldChar w:fldCharType="end"/>
    </w:r>
    <w:r>
      <w:rPr>
        <w:rStyle w:val="27"/>
        <w:rFonts w:hint="eastAsia" w:ascii="宋体" w:hAnsi="宋体"/>
      </w:rPr>
      <w:t>页</w:t>
    </w:r>
    <w:r>
      <w:rPr>
        <w:rFonts w:hint="eastAsia" w:ascii="宋体" w:hAnsi="宋体"/>
      </w:rPr>
      <w:t xml:space="preserve"> </w:t>
    </w:r>
    <w:r>
      <w:rPr>
        <w:rFonts w:hint="eastAsia"/>
      </w:rPr>
      <w:t xml:space="preserve">                      韶关市采联采购招标有限公司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7779">
    <w:pPr>
      <w:pStyle w:val="14"/>
      <w:jc w:val="both"/>
      <w:rPr>
        <w:rFonts w:ascii="宋体" w:hAnsi="宋体"/>
      </w:rPr>
    </w:pPr>
    <w:r>
      <w:rPr>
        <w:rFonts w:hint="eastAsia" w:ascii="宋体" w:hAnsi="宋体"/>
      </w:rPr>
      <w:t xml:space="preserve"> </w:t>
    </w:r>
    <w:r>
      <w:rPr>
        <w:rFonts w:hint="eastAsia" w:ascii="宋体" w:hAnsi="宋体"/>
      </w:rPr>
      <w:drawing>
        <wp:inline distT="0" distB="0" distL="114300" distR="114300">
          <wp:extent cx="740410" cy="320675"/>
          <wp:effectExtent l="0" t="0" r="2540" b="3175"/>
          <wp:docPr id="4" name="图片 4" descr="采联集团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联集团新LOGO"/>
                  <pic:cNvPicPr>
                    <a:picLocks noChangeAspect="1"/>
                  </pic:cNvPicPr>
                </pic:nvPicPr>
                <pic:blipFill>
                  <a:blip r:embed="rId1"/>
                  <a:stretch>
                    <a:fillRect/>
                  </a:stretch>
                </pic:blipFill>
                <pic:spPr>
                  <a:xfrm>
                    <a:off x="0" y="0"/>
                    <a:ext cx="740410" cy="320675"/>
                  </a:xfrm>
                  <a:prstGeom prst="rect">
                    <a:avLst/>
                  </a:prstGeom>
                </pic:spPr>
              </pic:pic>
            </a:graphicData>
          </a:graphic>
        </wp:inline>
      </w:drawing>
    </w:r>
    <w:r>
      <w:rPr>
        <w:rFonts w:hint="eastAsia" w:ascii="宋体" w:hAnsi="宋体"/>
      </w:rPr>
      <w:t xml:space="preserve"> ︱让︱您︱的︱选︱择︱更︱专︱业︱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B1A6F"/>
    <w:multiLevelType w:val="multilevel"/>
    <w:tmpl w:val="82FB1A6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8361C10B"/>
    <w:multiLevelType w:val="multilevel"/>
    <w:tmpl w:val="8361C10B"/>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84693193"/>
    <w:multiLevelType w:val="multilevel"/>
    <w:tmpl w:val="8469319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8485A5AA"/>
    <w:multiLevelType w:val="multilevel"/>
    <w:tmpl w:val="8485A5AA"/>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8649F219"/>
    <w:multiLevelType w:val="multilevel"/>
    <w:tmpl w:val="8649F219"/>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8FAD5D5D"/>
    <w:multiLevelType w:val="multilevel"/>
    <w:tmpl w:val="8FAD5D5D"/>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9011C1CC"/>
    <w:multiLevelType w:val="multilevel"/>
    <w:tmpl w:val="9011C1CC"/>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921B1B2F"/>
    <w:multiLevelType w:val="singleLevel"/>
    <w:tmpl w:val="921B1B2F"/>
    <w:lvl w:ilvl="0" w:tentative="0">
      <w:start w:val="1"/>
      <w:numFmt w:val="chineseCounting"/>
      <w:suff w:val="nothing"/>
      <w:lvlText w:val="（%1）"/>
      <w:lvlJc w:val="left"/>
      <w:pPr>
        <w:ind w:left="0" w:firstLine="420"/>
      </w:pPr>
      <w:rPr>
        <w:rFonts w:hint="eastAsia"/>
      </w:rPr>
    </w:lvl>
  </w:abstractNum>
  <w:abstractNum w:abstractNumId="8">
    <w:nsid w:val="941BD9B0"/>
    <w:multiLevelType w:val="multilevel"/>
    <w:tmpl w:val="941BD9B0"/>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959C2857"/>
    <w:multiLevelType w:val="multilevel"/>
    <w:tmpl w:val="959C2857"/>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961964FF"/>
    <w:multiLevelType w:val="singleLevel"/>
    <w:tmpl w:val="961964FF"/>
    <w:lvl w:ilvl="0" w:tentative="0">
      <w:start w:val="1"/>
      <w:numFmt w:val="decimal"/>
      <w:lvlText w:val="(%1)"/>
      <w:lvlJc w:val="left"/>
      <w:pPr>
        <w:ind w:left="425" w:hanging="425"/>
      </w:pPr>
      <w:rPr>
        <w:rFonts w:hint="default"/>
      </w:rPr>
    </w:lvl>
  </w:abstractNum>
  <w:abstractNum w:abstractNumId="11">
    <w:nsid w:val="9C55FC3A"/>
    <w:multiLevelType w:val="singleLevel"/>
    <w:tmpl w:val="9C55FC3A"/>
    <w:lvl w:ilvl="0" w:tentative="0">
      <w:start w:val="1"/>
      <w:numFmt w:val="decimal"/>
      <w:lvlText w:val="%1."/>
      <w:lvlJc w:val="left"/>
      <w:pPr>
        <w:ind w:left="425" w:hanging="425"/>
      </w:pPr>
      <w:rPr>
        <w:rFonts w:hint="default"/>
      </w:rPr>
    </w:lvl>
  </w:abstractNum>
  <w:abstractNum w:abstractNumId="12">
    <w:nsid w:val="9D476676"/>
    <w:multiLevelType w:val="singleLevel"/>
    <w:tmpl w:val="9D476676"/>
    <w:lvl w:ilvl="0" w:tentative="0">
      <w:start w:val="1"/>
      <w:numFmt w:val="decimal"/>
      <w:lvlText w:val="(%1)"/>
      <w:lvlJc w:val="left"/>
      <w:pPr>
        <w:ind w:left="425" w:hanging="425"/>
      </w:pPr>
      <w:rPr>
        <w:rFonts w:hint="default"/>
      </w:rPr>
    </w:lvl>
  </w:abstractNum>
  <w:abstractNum w:abstractNumId="13">
    <w:nsid w:val="9E563AAC"/>
    <w:multiLevelType w:val="singleLevel"/>
    <w:tmpl w:val="9E563AAC"/>
    <w:lvl w:ilvl="0" w:tentative="0">
      <w:start w:val="1"/>
      <w:numFmt w:val="chineseCounting"/>
      <w:suff w:val="nothing"/>
      <w:lvlText w:val="（%1）"/>
      <w:lvlJc w:val="left"/>
      <w:pPr>
        <w:ind w:left="0" w:firstLine="420"/>
      </w:pPr>
      <w:rPr>
        <w:rFonts w:hint="eastAsia"/>
      </w:rPr>
    </w:lvl>
  </w:abstractNum>
  <w:abstractNum w:abstractNumId="14">
    <w:nsid w:val="9E937A65"/>
    <w:multiLevelType w:val="multilevel"/>
    <w:tmpl w:val="9E937A65"/>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A050C049"/>
    <w:multiLevelType w:val="multilevel"/>
    <w:tmpl w:val="A050C049"/>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A3669071"/>
    <w:multiLevelType w:val="singleLevel"/>
    <w:tmpl w:val="A3669071"/>
    <w:lvl w:ilvl="0" w:tentative="0">
      <w:start w:val="1"/>
      <w:numFmt w:val="chineseCounting"/>
      <w:suff w:val="nothing"/>
      <w:lvlText w:val="（%1）"/>
      <w:lvlJc w:val="left"/>
      <w:pPr>
        <w:ind w:left="0" w:firstLine="420"/>
      </w:pPr>
      <w:rPr>
        <w:rFonts w:hint="eastAsia"/>
      </w:rPr>
    </w:lvl>
  </w:abstractNum>
  <w:abstractNum w:abstractNumId="17">
    <w:nsid w:val="A42B7A0D"/>
    <w:multiLevelType w:val="multilevel"/>
    <w:tmpl w:val="A42B7A0D"/>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A546BAC9"/>
    <w:multiLevelType w:val="multilevel"/>
    <w:tmpl w:val="A546BAC9"/>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AC1AE437"/>
    <w:multiLevelType w:val="singleLevel"/>
    <w:tmpl w:val="AC1AE437"/>
    <w:lvl w:ilvl="0" w:tentative="0">
      <w:start w:val="1"/>
      <w:numFmt w:val="chineseCounting"/>
      <w:suff w:val="nothing"/>
      <w:lvlText w:val="（%1）"/>
      <w:lvlJc w:val="left"/>
      <w:pPr>
        <w:ind w:left="0" w:firstLine="420"/>
      </w:pPr>
      <w:rPr>
        <w:rFonts w:hint="eastAsia"/>
      </w:rPr>
    </w:lvl>
  </w:abstractNum>
  <w:abstractNum w:abstractNumId="20">
    <w:nsid w:val="AC5268E9"/>
    <w:multiLevelType w:val="multilevel"/>
    <w:tmpl w:val="AC5268E9"/>
    <w:lvl w:ilvl="0" w:tentative="0">
      <w:start w:val="1"/>
      <w:numFmt w:val="chineseCountingThousand"/>
      <w:suff w:val="nothing"/>
      <w:lvlText w:val="%1、"/>
      <w:lvlJc w:val="left"/>
      <w:pPr>
        <w:ind w:left="420" w:hanging="420"/>
      </w:pPr>
      <w:rPr>
        <w:rFonts w:hint="eastAsia"/>
      </w:rPr>
    </w:lvl>
    <w:lvl w:ilvl="1" w:tentative="0">
      <w:start w:val="1"/>
      <w:numFmt w:val="decimal"/>
      <w:lvlText w:val="%2．"/>
      <w:lvlJc w:val="left"/>
      <w:pPr>
        <w:ind w:left="360" w:hanging="360"/>
      </w:pPr>
      <w:rPr>
        <w:rFonts w:hint="eastAsia"/>
        <w:u w:val="none"/>
      </w:rPr>
    </w:lvl>
    <w:lvl w:ilvl="2" w:tentative="0">
      <w:start w:val="1"/>
      <w:numFmt w:val="decimal"/>
      <w:lvlText w:val="%3、"/>
      <w:lvlJc w:val="left"/>
      <w:pPr>
        <w:ind w:left="780" w:hanging="360"/>
      </w:pPr>
      <w:rPr>
        <w:rFonts w:hint="eastAsia"/>
      </w:rPr>
    </w:lvl>
    <w:lvl w:ilvl="3" w:tentative="0">
      <w:start w:val="1"/>
      <w:numFmt w:val="decimal"/>
      <w:lvlText w:val="%4."/>
      <w:lvlJc w:val="left"/>
      <w:pPr>
        <w:tabs>
          <w:tab w:val="left" w:pos="1260"/>
        </w:tabs>
        <w:ind w:left="1260" w:hanging="420"/>
      </w:pPr>
      <w:rPr>
        <w:rFonts w:hint="eastAsia"/>
      </w:rPr>
    </w:lvl>
    <w:lvl w:ilvl="4" w:tentative="0">
      <w:start w:val="1"/>
      <w:numFmt w:val="lowerLetter"/>
      <w:lvlText w:val="%5)"/>
      <w:lvlJc w:val="left"/>
      <w:pPr>
        <w:tabs>
          <w:tab w:val="left" w:pos="1680"/>
        </w:tabs>
        <w:ind w:left="1680" w:hanging="420"/>
      </w:pPr>
      <w:rPr>
        <w:rFonts w:hint="eastAsia"/>
      </w:rPr>
    </w:lvl>
    <w:lvl w:ilvl="5" w:tentative="0">
      <w:start w:val="1"/>
      <w:numFmt w:val="lowerRoman"/>
      <w:lvlText w:val="%6."/>
      <w:lvlJc w:val="right"/>
      <w:pPr>
        <w:tabs>
          <w:tab w:val="left" w:pos="2100"/>
        </w:tabs>
        <w:ind w:left="2100" w:hanging="420"/>
      </w:pPr>
      <w:rPr>
        <w:rFonts w:hint="eastAsia"/>
      </w:rPr>
    </w:lvl>
    <w:lvl w:ilvl="6" w:tentative="0">
      <w:start w:val="1"/>
      <w:numFmt w:val="decimal"/>
      <w:lvlText w:val="%7."/>
      <w:lvlJc w:val="left"/>
      <w:pPr>
        <w:tabs>
          <w:tab w:val="left" w:pos="2520"/>
        </w:tabs>
        <w:ind w:left="2520" w:hanging="420"/>
      </w:pPr>
      <w:rPr>
        <w:rFonts w:hint="eastAsia"/>
      </w:rPr>
    </w:lvl>
    <w:lvl w:ilvl="7" w:tentative="0">
      <w:start w:val="1"/>
      <w:numFmt w:val="lowerLetter"/>
      <w:lvlText w:val="%8)"/>
      <w:lvlJc w:val="left"/>
      <w:pPr>
        <w:tabs>
          <w:tab w:val="left" w:pos="2940"/>
        </w:tabs>
        <w:ind w:left="2940" w:hanging="420"/>
      </w:pPr>
      <w:rPr>
        <w:rFonts w:hint="eastAsia"/>
      </w:rPr>
    </w:lvl>
    <w:lvl w:ilvl="8" w:tentative="0">
      <w:start w:val="1"/>
      <w:numFmt w:val="lowerRoman"/>
      <w:lvlText w:val="%9."/>
      <w:lvlJc w:val="right"/>
      <w:pPr>
        <w:tabs>
          <w:tab w:val="left" w:pos="3360"/>
        </w:tabs>
        <w:ind w:left="3360" w:hanging="420"/>
      </w:pPr>
      <w:rPr>
        <w:rFonts w:hint="eastAsia"/>
      </w:rPr>
    </w:lvl>
  </w:abstractNum>
  <w:abstractNum w:abstractNumId="21">
    <w:nsid w:val="AC55121B"/>
    <w:multiLevelType w:val="singleLevel"/>
    <w:tmpl w:val="AC55121B"/>
    <w:lvl w:ilvl="0" w:tentative="0">
      <w:start w:val="1"/>
      <w:numFmt w:val="decimal"/>
      <w:lvlText w:val="(%1)"/>
      <w:lvlJc w:val="left"/>
      <w:pPr>
        <w:ind w:left="425" w:hanging="425"/>
      </w:pPr>
      <w:rPr>
        <w:rFonts w:hint="default"/>
      </w:rPr>
    </w:lvl>
  </w:abstractNum>
  <w:abstractNum w:abstractNumId="22">
    <w:nsid w:val="AD5FA5E0"/>
    <w:multiLevelType w:val="multilevel"/>
    <w:tmpl w:val="AD5FA5E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B1793FB7"/>
    <w:multiLevelType w:val="singleLevel"/>
    <w:tmpl w:val="B1793FB7"/>
    <w:lvl w:ilvl="0" w:tentative="0">
      <w:start w:val="1"/>
      <w:numFmt w:val="chineseCounting"/>
      <w:suff w:val="nothing"/>
      <w:lvlText w:val="（%1）"/>
      <w:lvlJc w:val="left"/>
      <w:pPr>
        <w:ind w:left="0" w:firstLine="420"/>
      </w:pPr>
      <w:rPr>
        <w:rFonts w:hint="eastAsia"/>
      </w:rPr>
    </w:lvl>
  </w:abstractNum>
  <w:abstractNum w:abstractNumId="24">
    <w:nsid w:val="B41CC206"/>
    <w:multiLevelType w:val="multilevel"/>
    <w:tmpl w:val="B41CC206"/>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BEC13AEC"/>
    <w:multiLevelType w:val="singleLevel"/>
    <w:tmpl w:val="BEC13AEC"/>
    <w:lvl w:ilvl="0" w:tentative="0">
      <w:start w:val="1"/>
      <w:numFmt w:val="chineseCounting"/>
      <w:suff w:val="nothing"/>
      <w:lvlText w:val="（%1）"/>
      <w:lvlJc w:val="left"/>
      <w:pPr>
        <w:ind w:left="0" w:firstLine="420"/>
      </w:pPr>
      <w:rPr>
        <w:rFonts w:hint="eastAsia"/>
      </w:rPr>
    </w:lvl>
  </w:abstractNum>
  <w:abstractNum w:abstractNumId="26">
    <w:nsid w:val="C1421D5A"/>
    <w:multiLevelType w:val="multilevel"/>
    <w:tmpl w:val="C1421D5A"/>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C8594CAD"/>
    <w:multiLevelType w:val="singleLevel"/>
    <w:tmpl w:val="C8594CAD"/>
    <w:lvl w:ilvl="0" w:tentative="0">
      <w:start w:val="1"/>
      <w:numFmt w:val="chineseCounting"/>
      <w:suff w:val="nothing"/>
      <w:lvlText w:val="（%1）"/>
      <w:lvlJc w:val="left"/>
      <w:pPr>
        <w:ind w:left="0" w:firstLine="420"/>
      </w:pPr>
      <w:rPr>
        <w:rFonts w:hint="eastAsia"/>
      </w:rPr>
    </w:lvl>
  </w:abstractNum>
  <w:abstractNum w:abstractNumId="28">
    <w:nsid w:val="C8D44728"/>
    <w:multiLevelType w:val="multilevel"/>
    <w:tmpl w:val="C8D4472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default" w:ascii="宋体" w:hAnsi="宋体" w:eastAsia="宋体" w:cs="宋体"/>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CF2251E8"/>
    <w:multiLevelType w:val="singleLevel"/>
    <w:tmpl w:val="CF2251E8"/>
    <w:lvl w:ilvl="0" w:tentative="0">
      <w:start w:val="1"/>
      <w:numFmt w:val="chineseCounting"/>
      <w:suff w:val="nothing"/>
      <w:lvlText w:val="（%1）"/>
      <w:lvlJc w:val="left"/>
      <w:pPr>
        <w:ind w:left="0" w:firstLine="420"/>
      </w:pPr>
      <w:rPr>
        <w:rFonts w:hint="eastAsia"/>
        <w:b/>
        <w:bCs/>
      </w:rPr>
    </w:lvl>
  </w:abstractNum>
  <w:abstractNum w:abstractNumId="30">
    <w:nsid w:val="D4B9344B"/>
    <w:multiLevelType w:val="multilevel"/>
    <w:tmpl w:val="D4B9344B"/>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D62C997B"/>
    <w:multiLevelType w:val="singleLevel"/>
    <w:tmpl w:val="D62C997B"/>
    <w:lvl w:ilvl="0" w:tentative="0">
      <w:start w:val="1"/>
      <w:numFmt w:val="decimal"/>
      <w:lvlText w:val="(%1)"/>
      <w:lvlJc w:val="left"/>
      <w:pPr>
        <w:ind w:left="425" w:hanging="425"/>
      </w:pPr>
      <w:rPr>
        <w:rFonts w:hint="default"/>
      </w:rPr>
    </w:lvl>
  </w:abstractNum>
  <w:abstractNum w:abstractNumId="32">
    <w:nsid w:val="E1210517"/>
    <w:multiLevelType w:val="singleLevel"/>
    <w:tmpl w:val="E1210517"/>
    <w:lvl w:ilvl="0" w:tentative="0">
      <w:start w:val="1"/>
      <w:numFmt w:val="decimal"/>
      <w:lvlText w:val="(%1)"/>
      <w:lvlJc w:val="left"/>
      <w:pPr>
        <w:ind w:left="425" w:hanging="425"/>
      </w:pPr>
      <w:rPr>
        <w:rFonts w:hint="default"/>
      </w:rPr>
    </w:lvl>
  </w:abstractNum>
  <w:abstractNum w:abstractNumId="33">
    <w:nsid w:val="E7547C79"/>
    <w:multiLevelType w:val="multilevel"/>
    <w:tmpl w:val="E7547C79"/>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E8F73EB4"/>
    <w:multiLevelType w:val="singleLevel"/>
    <w:tmpl w:val="E8F73EB4"/>
    <w:lvl w:ilvl="0" w:tentative="0">
      <w:start w:val="1"/>
      <w:numFmt w:val="decimal"/>
      <w:suff w:val="nothing"/>
      <w:lvlText w:val="(%1)"/>
      <w:lvlJc w:val="left"/>
      <w:pPr>
        <w:ind w:left="425" w:hanging="425"/>
      </w:pPr>
      <w:rPr>
        <w:rFonts w:hint="default"/>
      </w:rPr>
    </w:lvl>
  </w:abstractNum>
  <w:abstractNum w:abstractNumId="35">
    <w:nsid w:val="EA5CB96E"/>
    <w:multiLevelType w:val="singleLevel"/>
    <w:tmpl w:val="EA5CB96E"/>
    <w:lvl w:ilvl="0" w:tentative="0">
      <w:start w:val="1"/>
      <w:numFmt w:val="decimal"/>
      <w:lvlText w:val="(%1)"/>
      <w:lvlJc w:val="left"/>
      <w:pPr>
        <w:ind w:left="425" w:hanging="425"/>
      </w:pPr>
      <w:rPr>
        <w:rFonts w:hint="default"/>
      </w:rPr>
    </w:lvl>
  </w:abstractNum>
  <w:abstractNum w:abstractNumId="36">
    <w:nsid w:val="EADB6406"/>
    <w:multiLevelType w:val="singleLevel"/>
    <w:tmpl w:val="EADB6406"/>
    <w:lvl w:ilvl="0" w:tentative="0">
      <w:start w:val="1"/>
      <w:numFmt w:val="chineseCounting"/>
      <w:suff w:val="nothing"/>
      <w:lvlText w:val="（%1）"/>
      <w:lvlJc w:val="left"/>
      <w:pPr>
        <w:ind w:left="0" w:firstLine="420"/>
      </w:pPr>
      <w:rPr>
        <w:rFonts w:hint="eastAsia"/>
      </w:rPr>
    </w:lvl>
  </w:abstractNum>
  <w:abstractNum w:abstractNumId="37">
    <w:nsid w:val="EFA82979"/>
    <w:multiLevelType w:val="singleLevel"/>
    <w:tmpl w:val="EFA82979"/>
    <w:lvl w:ilvl="0" w:tentative="0">
      <w:start w:val="1"/>
      <w:numFmt w:val="decimal"/>
      <w:lvlText w:val="%1."/>
      <w:lvlJc w:val="left"/>
      <w:pPr>
        <w:tabs>
          <w:tab w:val="left" w:pos="312"/>
        </w:tabs>
      </w:pPr>
    </w:lvl>
  </w:abstractNum>
  <w:abstractNum w:abstractNumId="38">
    <w:nsid w:val="F1FF8E01"/>
    <w:multiLevelType w:val="multilevel"/>
    <w:tmpl w:val="F1FF8E01"/>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F233EC83"/>
    <w:multiLevelType w:val="multilevel"/>
    <w:tmpl w:val="F233EC8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FB48C2FE"/>
    <w:multiLevelType w:val="singleLevel"/>
    <w:tmpl w:val="FB48C2FE"/>
    <w:lvl w:ilvl="0" w:tentative="0">
      <w:start w:val="1"/>
      <w:numFmt w:val="decimal"/>
      <w:lvlText w:val="(%1)"/>
      <w:lvlJc w:val="left"/>
      <w:pPr>
        <w:ind w:left="425" w:hanging="425"/>
      </w:pPr>
      <w:rPr>
        <w:rFonts w:hint="default"/>
      </w:rPr>
    </w:lvl>
  </w:abstractNum>
  <w:abstractNum w:abstractNumId="41">
    <w:nsid w:val="00000012"/>
    <w:multiLevelType w:val="multilevel"/>
    <w:tmpl w:val="00000012"/>
    <w:lvl w:ilvl="0" w:tentative="0">
      <w:start w:val="1"/>
      <w:numFmt w:val="japaneseCounting"/>
      <w:lvlText w:val="%1、"/>
      <w:lvlJc w:val="left"/>
      <w:pPr>
        <w:ind w:left="502" w:hanging="360"/>
      </w:pPr>
      <w:rPr>
        <w:rFonts w:ascii="宋体" w:hAnsi="宋体" w:eastAsia="宋体"/>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0000001D"/>
    <w:multiLevelType w:val="multilevel"/>
    <w:tmpl w:val="0000001D"/>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7"/>
      <w:numFmt w:val="japaneseCounting"/>
      <w:lvlText w:val="第%5章"/>
      <w:lvlJc w:val="left"/>
      <w:pPr>
        <w:tabs>
          <w:tab w:val="left" w:pos="2805"/>
        </w:tabs>
        <w:ind w:left="2805" w:hanging="1125"/>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22"/>
    <w:multiLevelType w:val="multilevel"/>
    <w:tmpl w:val="00000022"/>
    <w:lvl w:ilvl="0" w:tentative="0">
      <w:start w:val="1"/>
      <w:numFmt w:val="decimal"/>
      <w:lvlText w:val="%1."/>
      <w:lvlJc w:val="left"/>
      <w:pPr>
        <w:tabs>
          <w:tab w:val="left" w:pos="425"/>
        </w:tabs>
        <w:ind w:left="425" w:hanging="425"/>
      </w:pPr>
      <w:rPr>
        <w:rFonts w:hint="default"/>
        <w:color w:val="auto"/>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4">
    <w:nsid w:val="00000034"/>
    <w:multiLevelType w:val="multilevel"/>
    <w:tmpl w:val="00000034"/>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0041F96D"/>
    <w:multiLevelType w:val="singleLevel"/>
    <w:tmpl w:val="0041F96D"/>
    <w:lvl w:ilvl="0" w:tentative="0">
      <w:start w:val="1"/>
      <w:numFmt w:val="decimal"/>
      <w:lvlText w:val="%1."/>
      <w:lvlJc w:val="left"/>
      <w:pPr>
        <w:ind w:left="425" w:hanging="425"/>
      </w:pPr>
      <w:rPr>
        <w:rFonts w:hint="default" w:ascii="宋体" w:hAnsi="宋体" w:eastAsia="宋体" w:cs="宋体"/>
        <w:sz w:val="24"/>
        <w:szCs w:val="24"/>
      </w:rPr>
    </w:lvl>
  </w:abstractNum>
  <w:abstractNum w:abstractNumId="46">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08BC891E"/>
    <w:multiLevelType w:val="multilevel"/>
    <w:tmpl w:val="08BC891E"/>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0ABC38F1"/>
    <w:multiLevelType w:val="multilevel"/>
    <w:tmpl w:val="0ABC38F1"/>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0AD0FA9F"/>
    <w:multiLevelType w:val="singleLevel"/>
    <w:tmpl w:val="0AD0FA9F"/>
    <w:lvl w:ilvl="0" w:tentative="0">
      <w:start w:val="1"/>
      <w:numFmt w:val="decimal"/>
      <w:lvlText w:val="%1."/>
      <w:lvlJc w:val="left"/>
      <w:pPr>
        <w:ind w:left="425" w:hanging="425"/>
      </w:pPr>
      <w:rPr>
        <w:rFonts w:hint="default"/>
      </w:rPr>
    </w:lvl>
  </w:abstractNum>
  <w:abstractNum w:abstractNumId="51">
    <w:nsid w:val="0B0C3A47"/>
    <w:multiLevelType w:val="singleLevel"/>
    <w:tmpl w:val="0B0C3A47"/>
    <w:lvl w:ilvl="0" w:tentative="0">
      <w:start w:val="1"/>
      <w:numFmt w:val="chineseCounting"/>
      <w:suff w:val="nothing"/>
      <w:lvlText w:val="（%1）"/>
      <w:lvlJc w:val="left"/>
      <w:pPr>
        <w:ind w:left="0" w:firstLine="420"/>
      </w:pPr>
      <w:rPr>
        <w:rFonts w:hint="eastAsia"/>
      </w:rPr>
    </w:lvl>
  </w:abstractNum>
  <w:abstractNum w:abstractNumId="52">
    <w:nsid w:val="0B43BBE8"/>
    <w:multiLevelType w:val="multilevel"/>
    <w:tmpl w:val="0B43BBE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0F1125D0"/>
    <w:multiLevelType w:val="multilevel"/>
    <w:tmpl w:val="0F1125D0"/>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10109E27"/>
    <w:multiLevelType w:val="singleLevel"/>
    <w:tmpl w:val="10109E27"/>
    <w:lvl w:ilvl="0" w:tentative="0">
      <w:start w:val="1"/>
      <w:numFmt w:val="chineseCounting"/>
      <w:suff w:val="nothing"/>
      <w:lvlText w:val="（%1）"/>
      <w:lvlJc w:val="left"/>
      <w:pPr>
        <w:ind w:left="0" w:firstLine="420"/>
      </w:pPr>
      <w:rPr>
        <w:rFonts w:hint="eastAsia"/>
      </w:rPr>
    </w:lvl>
  </w:abstractNum>
  <w:abstractNum w:abstractNumId="55">
    <w:nsid w:val="12632279"/>
    <w:multiLevelType w:val="multilevel"/>
    <w:tmpl w:val="12632279"/>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142A8E51"/>
    <w:multiLevelType w:val="multilevel"/>
    <w:tmpl w:val="142A8E51"/>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144E713D"/>
    <w:multiLevelType w:val="singleLevel"/>
    <w:tmpl w:val="144E713D"/>
    <w:lvl w:ilvl="0" w:tentative="0">
      <w:start w:val="1"/>
      <w:numFmt w:val="decimal"/>
      <w:lvlText w:val="%1)"/>
      <w:lvlJc w:val="left"/>
      <w:pPr>
        <w:ind w:left="425" w:hanging="425"/>
      </w:pPr>
      <w:rPr>
        <w:rFonts w:hint="default"/>
      </w:rPr>
    </w:lvl>
  </w:abstractNum>
  <w:abstractNum w:abstractNumId="59">
    <w:nsid w:val="1B326FDF"/>
    <w:multiLevelType w:val="multilevel"/>
    <w:tmpl w:val="1B326FD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223B6720"/>
    <w:multiLevelType w:val="multilevel"/>
    <w:tmpl w:val="223B6720"/>
    <w:lvl w:ilvl="0" w:tentative="0">
      <w:start w:val="1"/>
      <w:numFmt w:val="chineseCountingThousand"/>
      <w:lvlText w:val="%1、"/>
      <w:lvlJc w:val="left"/>
      <w:pPr>
        <w:ind w:left="420" w:hanging="420"/>
      </w:pPr>
      <w:rPr>
        <w:rFonts w:hint="eastAsia" w:ascii="宋体" w:hAnsi="宋体" w:eastAsia="宋体"/>
        <w:b/>
      </w:rPr>
    </w:lvl>
    <w:lvl w:ilvl="1" w:tentative="0">
      <w:start w:val="1"/>
      <w:numFmt w:val="decimal"/>
      <w:lvlText w:val="（%2）"/>
      <w:lvlJc w:val="left"/>
      <w:pPr>
        <w:ind w:left="1365" w:hanging="94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2386A763"/>
    <w:multiLevelType w:val="multilevel"/>
    <w:tmpl w:val="2386A7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282577CF"/>
    <w:multiLevelType w:val="multilevel"/>
    <w:tmpl w:val="282577CF"/>
    <w:lvl w:ilvl="0" w:tentative="0">
      <w:start w:val="1"/>
      <w:numFmt w:val="chineseCountingThousand"/>
      <w:lvlText w:val="%1、"/>
      <w:lvlJc w:val="left"/>
      <w:pPr>
        <w:tabs>
          <w:tab w:val="left" w:pos="420"/>
        </w:tabs>
        <w:ind w:left="420" w:hanging="420"/>
      </w:pPr>
      <w:rPr>
        <w:rFonts w:hint="eastAsia"/>
        <w:b/>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292A6796"/>
    <w:multiLevelType w:val="multilevel"/>
    <w:tmpl w:val="292A6796"/>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2A60EA0F"/>
    <w:multiLevelType w:val="multilevel"/>
    <w:tmpl w:val="2A60EA0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7">
    <w:nsid w:val="2BC6B153"/>
    <w:multiLevelType w:val="multilevel"/>
    <w:tmpl w:val="2BC6B15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2D1A4293"/>
    <w:multiLevelType w:val="singleLevel"/>
    <w:tmpl w:val="2D1A4293"/>
    <w:lvl w:ilvl="0" w:tentative="0">
      <w:start w:val="1"/>
      <w:numFmt w:val="chineseCounting"/>
      <w:suff w:val="nothing"/>
      <w:lvlText w:val="（%1）"/>
      <w:lvlJc w:val="left"/>
      <w:pPr>
        <w:ind w:left="0" w:firstLine="420"/>
      </w:pPr>
      <w:rPr>
        <w:rFonts w:hint="eastAsia"/>
      </w:rPr>
    </w:lvl>
  </w:abstractNum>
  <w:abstractNum w:abstractNumId="69">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0">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1">
    <w:nsid w:val="39887FE1"/>
    <w:multiLevelType w:val="multilevel"/>
    <w:tmpl w:val="39887F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2">
    <w:nsid w:val="3B41BC4A"/>
    <w:multiLevelType w:val="multilevel"/>
    <w:tmpl w:val="3B41BC4A"/>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3">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4">
    <w:nsid w:val="3FE6D6D9"/>
    <w:multiLevelType w:val="multilevel"/>
    <w:tmpl w:val="3FE6D6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422ED03A"/>
    <w:multiLevelType w:val="singleLevel"/>
    <w:tmpl w:val="422ED03A"/>
    <w:lvl w:ilvl="0" w:tentative="0">
      <w:start w:val="1"/>
      <w:numFmt w:val="decimal"/>
      <w:lvlText w:val="(%1)"/>
      <w:lvlJc w:val="left"/>
      <w:pPr>
        <w:ind w:left="425" w:hanging="425"/>
      </w:pPr>
      <w:rPr>
        <w:rFonts w:hint="default"/>
      </w:rPr>
    </w:lvl>
  </w:abstractNum>
  <w:abstractNum w:abstractNumId="77">
    <w:nsid w:val="471E1367"/>
    <w:multiLevelType w:val="multilevel"/>
    <w:tmpl w:val="471E1367"/>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4CB56785"/>
    <w:multiLevelType w:val="singleLevel"/>
    <w:tmpl w:val="4CB56785"/>
    <w:lvl w:ilvl="0" w:tentative="0">
      <w:start w:val="1"/>
      <w:numFmt w:val="chineseCounting"/>
      <w:suff w:val="nothing"/>
      <w:lvlText w:val="（%1）"/>
      <w:lvlJc w:val="left"/>
      <w:pPr>
        <w:ind w:left="0" w:firstLine="420"/>
      </w:pPr>
      <w:rPr>
        <w:rFonts w:hint="eastAsia"/>
      </w:rPr>
    </w:lvl>
  </w:abstractNum>
  <w:abstractNum w:abstractNumId="81">
    <w:nsid w:val="51E9255C"/>
    <w:multiLevelType w:val="singleLevel"/>
    <w:tmpl w:val="51E9255C"/>
    <w:lvl w:ilvl="0" w:tentative="0">
      <w:start w:val="1"/>
      <w:numFmt w:val="chineseCounting"/>
      <w:suff w:val="nothing"/>
      <w:lvlText w:val="（%1）"/>
      <w:lvlJc w:val="left"/>
      <w:pPr>
        <w:ind w:left="0" w:firstLine="420"/>
      </w:pPr>
      <w:rPr>
        <w:rFonts w:hint="eastAsia"/>
      </w:rPr>
    </w:lvl>
  </w:abstractNum>
  <w:abstractNum w:abstractNumId="82">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567BE142"/>
    <w:multiLevelType w:val="multilevel"/>
    <w:tmpl w:val="567BE142"/>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4">
    <w:nsid w:val="56BE0CC7"/>
    <w:multiLevelType w:val="multilevel"/>
    <w:tmpl w:val="56BE0CC7"/>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5A441DD8"/>
    <w:multiLevelType w:val="multilevel"/>
    <w:tmpl w:val="5A441DD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6">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5D303FA6"/>
    <w:multiLevelType w:val="multilevel"/>
    <w:tmpl w:val="5D303FA6"/>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8">
    <w:nsid w:val="5DCD0911"/>
    <w:multiLevelType w:val="singleLevel"/>
    <w:tmpl w:val="5DCD0911"/>
    <w:lvl w:ilvl="0" w:tentative="0">
      <w:start w:val="1"/>
      <w:numFmt w:val="chineseCounting"/>
      <w:suff w:val="nothing"/>
      <w:lvlText w:val="（%1）"/>
      <w:lvlJc w:val="left"/>
      <w:pPr>
        <w:ind w:left="0" w:firstLine="420"/>
      </w:pPr>
      <w:rPr>
        <w:rFonts w:hint="eastAsia"/>
      </w:rPr>
    </w:lvl>
  </w:abstractNum>
  <w:abstractNum w:abstractNumId="89">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629AA99A"/>
    <w:multiLevelType w:val="multilevel"/>
    <w:tmpl w:val="629AA99A"/>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1">
    <w:nsid w:val="651B109F"/>
    <w:multiLevelType w:val="multilevel"/>
    <w:tmpl w:val="651B109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2">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67EF4738"/>
    <w:multiLevelType w:val="multilevel"/>
    <w:tmpl w:val="67EF473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5">
    <w:nsid w:val="6848C29B"/>
    <w:multiLevelType w:val="singleLevel"/>
    <w:tmpl w:val="6848C29B"/>
    <w:lvl w:ilvl="0" w:tentative="0">
      <w:start w:val="1"/>
      <w:numFmt w:val="decimal"/>
      <w:lvlText w:val="%1."/>
      <w:lvlJc w:val="left"/>
      <w:pPr>
        <w:ind w:left="825" w:hanging="425"/>
      </w:pPr>
      <w:rPr>
        <w:rFonts w:hint="default" w:ascii="宋体" w:hAnsi="宋体" w:eastAsia="宋体" w:cs="宋体"/>
        <w:sz w:val="24"/>
        <w:szCs w:val="24"/>
      </w:rPr>
    </w:lvl>
  </w:abstractNum>
  <w:abstractNum w:abstractNumId="96">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6E6F6101"/>
    <w:multiLevelType w:val="multilevel"/>
    <w:tmpl w:val="6E6F610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73A63212"/>
    <w:multiLevelType w:val="multilevel"/>
    <w:tmpl w:val="73A63212"/>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0">
    <w:nsid w:val="771BA772"/>
    <w:multiLevelType w:val="singleLevel"/>
    <w:tmpl w:val="771BA772"/>
    <w:lvl w:ilvl="0" w:tentative="0">
      <w:start w:val="1"/>
      <w:numFmt w:val="chineseCounting"/>
      <w:suff w:val="nothing"/>
      <w:lvlText w:val="（%1）"/>
      <w:lvlJc w:val="left"/>
      <w:pPr>
        <w:ind w:left="0" w:firstLine="420"/>
      </w:pPr>
      <w:rPr>
        <w:rFonts w:hint="eastAsia"/>
      </w:rPr>
    </w:lvl>
  </w:abstractNum>
  <w:abstractNum w:abstractNumId="101">
    <w:nsid w:val="7754E28A"/>
    <w:multiLevelType w:val="singleLevel"/>
    <w:tmpl w:val="7754E28A"/>
    <w:lvl w:ilvl="0" w:tentative="0">
      <w:start w:val="1"/>
      <w:numFmt w:val="decimal"/>
      <w:suff w:val="nothing"/>
      <w:lvlText w:val="%1."/>
      <w:lvlJc w:val="left"/>
      <w:pPr>
        <w:ind w:left="425" w:hanging="425"/>
      </w:pPr>
      <w:rPr>
        <w:rFonts w:hint="default"/>
      </w:rPr>
    </w:lvl>
  </w:abstractNum>
  <w:abstractNum w:abstractNumId="10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3">
    <w:nsid w:val="7D643644"/>
    <w:multiLevelType w:val="multilevel"/>
    <w:tmpl w:val="7D64364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4">
    <w:nsid w:val="7E80FBAB"/>
    <w:multiLevelType w:val="multilevel"/>
    <w:tmpl w:val="7E80FBAB"/>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45"/>
  </w:num>
  <w:num w:numId="4">
    <w:abstractNumId w:val="91"/>
  </w:num>
  <w:num w:numId="5">
    <w:abstractNumId w:val="64"/>
  </w:num>
  <w:num w:numId="6">
    <w:abstractNumId w:val="46"/>
  </w:num>
  <w:num w:numId="7">
    <w:abstractNumId w:val="48"/>
  </w:num>
  <w:num w:numId="8">
    <w:abstractNumId w:val="11"/>
  </w:num>
  <w:num w:numId="9">
    <w:abstractNumId w:val="87"/>
  </w:num>
  <w:num w:numId="10">
    <w:abstractNumId w:val="34"/>
  </w:num>
  <w:num w:numId="11">
    <w:abstractNumId w:val="29"/>
  </w:num>
  <w:num w:numId="12">
    <w:abstractNumId w:val="37"/>
  </w:num>
  <w:num w:numId="13">
    <w:abstractNumId w:val="10"/>
  </w:num>
  <w:num w:numId="14">
    <w:abstractNumId w:val="21"/>
  </w:num>
  <w:num w:numId="15">
    <w:abstractNumId w:val="32"/>
  </w:num>
  <w:num w:numId="16">
    <w:abstractNumId w:val="40"/>
  </w:num>
  <w:num w:numId="17">
    <w:abstractNumId w:val="12"/>
  </w:num>
  <w:num w:numId="18">
    <w:abstractNumId w:val="31"/>
  </w:num>
  <w:num w:numId="19">
    <w:abstractNumId w:val="76"/>
  </w:num>
  <w:num w:numId="20">
    <w:abstractNumId w:val="35"/>
  </w:num>
  <w:num w:numId="21">
    <w:abstractNumId w:val="50"/>
  </w:num>
  <w:num w:numId="22">
    <w:abstractNumId w:val="58"/>
  </w:num>
  <w:num w:numId="23">
    <w:abstractNumId w:val="96"/>
  </w:num>
  <w:num w:numId="24">
    <w:abstractNumId w:val="95"/>
  </w:num>
  <w:num w:numId="25">
    <w:abstractNumId w:val="101"/>
  </w:num>
  <w:num w:numId="26">
    <w:abstractNumId w:val="42"/>
  </w:num>
  <w:num w:numId="27">
    <w:abstractNumId w:val="84"/>
  </w:num>
  <w:num w:numId="28">
    <w:abstractNumId w:val="43"/>
  </w:num>
  <w:num w:numId="29">
    <w:abstractNumId w:val="25"/>
  </w:num>
  <w:num w:numId="30">
    <w:abstractNumId w:val="73"/>
  </w:num>
  <w:num w:numId="31">
    <w:abstractNumId w:val="2"/>
  </w:num>
  <w:num w:numId="32">
    <w:abstractNumId w:val="15"/>
  </w:num>
  <w:num w:numId="33">
    <w:abstractNumId w:val="55"/>
  </w:num>
  <w:num w:numId="34">
    <w:abstractNumId w:val="24"/>
  </w:num>
  <w:num w:numId="35">
    <w:abstractNumId w:val="23"/>
  </w:num>
  <w:num w:numId="36">
    <w:abstractNumId w:val="57"/>
  </w:num>
  <w:num w:numId="37">
    <w:abstractNumId w:val="0"/>
  </w:num>
  <w:num w:numId="38">
    <w:abstractNumId w:val="100"/>
  </w:num>
  <w:num w:numId="39">
    <w:abstractNumId w:val="39"/>
  </w:num>
  <w:num w:numId="40">
    <w:abstractNumId w:val="17"/>
  </w:num>
  <w:num w:numId="41">
    <w:abstractNumId w:val="66"/>
  </w:num>
  <w:num w:numId="42">
    <w:abstractNumId w:val="83"/>
  </w:num>
  <w:num w:numId="43">
    <w:abstractNumId w:val="59"/>
  </w:num>
  <w:num w:numId="44">
    <w:abstractNumId w:val="85"/>
  </w:num>
  <w:num w:numId="45">
    <w:abstractNumId w:val="94"/>
  </w:num>
  <w:num w:numId="46">
    <w:abstractNumId w:val="53"/>
  </w:num>
  <w:num w:numId="47">
    <w:abstractNumId w:val="72"/>
  </w:num>
  <w:num w:numId="48">
    <w:abstractNumId w:val="3"/>
  </w:num>
  <w:num w:numId="49">
    <w:abstractNumId w:val="27"/>
  </w:num>
  <w:num w:numId="50">
    <w:abstractNumId w:val="67"/>
  </w:num>
  <w:num w:numId="51">
    <w:abstractNumId w:val="5"/>
  </w:num>
  <w:num w:numId="52">
    <w:abstractNumId w:val="52"/>
  </w:num>
  <w:num w:numId="53">
    <w:abstractNumId w:val="81"/>
  </w:num>
  <w:num w:numId="54">
    <w:abstractNumId w:val="28"/>
  </w:num>
  <w:num w:numId="55">
    <w:abstractNumId w:val="33"/>
  </w:num>
  <w:num w:numId="56">
    <w:abstractNumId w:val="30"/>
  </w:num>
  <w:num w:numId="57">
    <w:abstractNumId w:val="14"/>
  </w:num>
  <w:num w:numId="58">
    <w:abstractNumId w:val="38"/>
  </w:num>
  <w:num w:numId="59">
    <w:abstractNumId w:val="99"/>
  </w:num>
  <w:num w:numId="60">
    <w:abstractNumId w:val="8"/>
  </w:num>
  <w:num w:numId="61">
    <w:abstractNumId w:val="49"/>
  </w:num>
  <w:num w:numId="62">
    <w:abstractNumId w:val="54"/>
  </w:num>
  <w:num w:numId="63">
    <w:abstractNumId w:val="18"/>
  </w:num>
  <w:num w:numId="64">
    <w:abstractNumId w:val="16"/>
  </w:num>
  <w:num w:numId="65">
    <w:abstractNumId w:val="90"/>
  </w:num>
  <w:num w:numId="66">
    <w:abstractNumId w:val="1"/>
  </w:num>
  <w:num w:numId="67">
    <w:abstractNumId w:val="26"/>
  </w:num>
  <w:num w:numId="68">
    <w:abstractNumId w:val="88"/>
  </w:num>
  <w:num w:numId="69">
    <w:abstractNumId w:val="104"/>
  </w:num>
  <w:num w:numId="70">
    <w:abstractNumId w:val="4"/>
  </w:num>
  <w:num w:numId="71">
    <w:abstractNumId w:val="9"/>
  </w:num>
  <w:num w:numId="72">
    <w:abstractNumId w:val="6"/>
  </w:num>
  <w:num w:numId="73">
    <w:abstractNumId w:val="75"/>
  </w:num>
  <w:num w:numId="74">
    <w:abstractNumId w:val="60"/>
  </w:num>
  <w:num w:numId="75">
    <w:abstractNumId w:val="20"/>
  </w:num>
  <w:num w:numId="76">
    <w:abstractNumId w:val="68"/>
  </w:num>
  <w:num w:numId="77">
    <w:abstractNumId w:val="19"/>
  </w:num>
  <w:num w:numId="78">
    <w:abstractNumId w:val="103"/>
  </w:num>
  <w:num w:numId="79">
    <w:abstractNumId w:val="71"/>
  </w:num>
  <w:num w:numId="80">
    <w:abstractNumId w:val="51"/>
  </w:num>
  <w:num w:numId="81">
    <w:abstractNumId w:val="36"/>
  </w:num>
  <w:num w:numId="82">
    <w:abstractNumId w:val="13"/>
  </w:num>
  <w:num w:numId="83">
    <w:abstractNumId w:val="7"/>
  </w:num>
  <w:num w:numId="84">
    <w:abstractNumId w:val="80"/>
  </w:num>
  <w:num w:numId="85">
    <w:abstractNumId w:val="92"/>
  </w:num>
  <w:num w:numId="86">
    <w:abstractNumId w:val="98"/>
  </w:num>
  <w:num w:numId="87">
    <w:abstractNumId w:val="22"/>
  </w:num>
  <w:num w:numId="88">
    <w:abstractNumId w:val="93"/>
  </w:num>
  <w:num w:numId="89">
    <w:abstractNumId w:val="70"/>
  </w:num>
  <w:num w:numId="90">
    <w:abstractNumId w:val="69"/>
  </w:num>
  <w:num w:numId="91">
    <w:abstractNumId w:val="77"/>
  </w:num>
  <w:num w:numId="92">
    <w:abstractNumId w:val="102"/>
  </w:num>
  <w:num w:numId="93">
    <w:abstractNumId w:val="78"/>
  </w:num>
  <w:num w:numId="94">
    <w:abstractNumId w:val="74"/>
  </w:num>
  <w:num w:numId="95">
    <w:abstractNumId w:val="62"/>
  </w:num>
  <w:num w:numId="96">
    <w:abstractNumId w:val="63"/>
  </w:num>
  <w:num w:numId="97">
    <w:abstractNumId w:val="82"/>
  </w:num>
  <w:num w:numId="98">
    <w:abstractNumId w:val="79"/>
  </w:num>
  <w:num w:numId="99">
    <w:abstractNumId w:val="56"/>
  </w:num>
  <w:num w:numId="100">
    <w:abstractNumId w:val="65"/>
  </w:num>
  <w:num w:numId="101">
    <w:abstractNumId w:val="86"/>
  </w:num>
  <w:num w:numId="102">
    <w:abstractNumId w:val="44"/>
  </w:num>
  <w:num w:numId="103">
    <w:abstractNumId w:val="89"/>
  </w:num>
  <w:num w:numId="104">
    <w:abstractNumId w:val="47"/>
  </w:num>
  <w:num w:numId="105">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81"/>
    <w:rsid w:val="00001041"/>
    <w:rsid w:val="000012CD"/>
    <w:rsid w:val="00001B73"/>
    <w:rsid w:val="00002808"/>
    <w:rsid w:val="00003428"/>
    <w:rsid w:val="00003D4B"/>
    <w:rsid w:val="00003F46"/>
    <w:rsid w:val="000040CB"/>
    <w:rsid w:val="00004AD0"/>
    <w:rsid w:val="000052F2"/>
    <w:rsid w:val="00005355"/>
    <w:rsid w:val="000053EC"/>
    <w:rsid w:val="000056C2"/>
    <w:rsid w:val="000069A4"/>
    <w:rsid w:val="00007F43"/>
    <w:rsid w:val="000100A2"/>
    <w:rsid w:val="000118BE"/>
    <w:rsid w:val="00011E1C"/>
    <w:rsid w:val="00013488"/>
    <w:rsid w:val="000144E7"/>
    <w:rsid w:val="000154A8"/>
    <w:rsid w:val="00015555"/>
    <w:rsid w:val="00016555"/>
    <w:rsid w:val="00016854"/>
    <w:rsid w:val="00016A64"/>
    <w:rsid w:val="0001749D"/>
    <w:rsid w:val="000179C7"/>
    <w:rsid w:val="00021E75"/>
    <w:rsid w:val="00023046"/>
    <w:rsid w:val="00023E8B"/>
    <w:rsid w:val="0002450F"/>
    <w:rsid w:val="0002535E"/>
    <w:rsid w:val="000261D7"/>
    <w:rsid w:val="00026833"/>
    <w:rsid w:val="00026A6C"/>
    <w:rsid w:val="000273D4"/>
    <w:rsid w:val="00027C86"/>
    <w:rsid w:val="00027C94"/>
    <w:rsid w:val="00030226"/>
    <w:rsid w:val="00031CBF"/>
    <w:rsid w:val="000320E7"/>
    <w:rsid w:val="00032447"/>
    <w:rsid w:val="000342CF"/>
    <w:rsid w:val="00035EE5"/>
    <w:rsid w:val="000370AF"/>
    <w:rsid w:val="000376CD"/>
    <w:rsid w:val="00040269"/>
    <w:rsid w:val="00040B5B"/>
    <w:rsid w:val="00041014"/>
    <w:rsid w:val="0004231E"/>
    <w:rsid w:val="0004271C"/>
    <w:rsid w:val="00043517"/>
    <w:rsid w:val="0004375B"/>
    <w:rsid w:val="00043DD9"/>
    <w:rsid w:val="00044A77"/>
    <w:rsid w:val="00045308"/>
    <w:rsid w:val="0004626D"/>
    <w:rsid w:val="000464B1"/>
    <w:rsid w:val="00047212"/>
    <w:rsid w:val="00047C57"/>
    <w:rsid w:val="000501C5"/>
    <w:rsid w:val="000501E4"/>
    <w:rsid w:val="0005105A"/>
    <w:rsid w:val="0005109C"/>
    <w:rsid w:val="000516AC"/>
    <w:rsid w:val="00051CD3"/>
    <w:rsid w:val="000520CE"/>
    <w:rsid w:val="00052167"/>
    <w:rsid w:val="000521E6"/>
    <w:rsid w:val="0005280F"/>
    <w:rsid w:val="000539E1"/>
    <w:rsid w:val="000545EA"/>
    <w:rsid w:val="00054904"/>
    <w:rsid w:val="00054E1A"/>
    <w:rsid w:val="00055A61"/>
    <w:rsid w:val="00055EBC"/>
    <w:rsid w:val="00056E48"/>
    <w:rsid w:val="00060DF5"/>
    <w:rsid w:val="000615C1"/>
    <w:rsid w:val="00061674"/>
    <w:rsid w:val="0006226F"/>
    <w:rsid w:val="000623DD"/>
    <w:rsid w:val="00063479"/>
    <w:rsid w:val="00063625"/>
    <w:rsid w:val="00063B08"/>
    <w:rsid w:val="00063E3C"/>
    <w:rsid w:val="00064003"/>
    <w:rsid w:val="0006446C"/>
    <w:rsid w:val="00064DE3"/>
    <w:rsid w:val="000656DA"/>
    <w:rsid w:val="0006591A"/>
    <w:rsid w:val="00067109"/>
    <w:rsid w:val="000673D2"/>
    <w:rsid w:val="000722FE"/>
    <w:rsid w:val="00072605"/>
    <w:rsid w:val="00074F71"/>
    <w:rsid w:val="00075381"/>
    <w:rsid w:val="00075398"/>
    <w:rsid w:val="000757F2"/>
    <w:rsid w:val="00076535"/>
    <w:rsid w:val="00076CDA"/>
    <w:rsid w:val="00077311"/>
    <w:rsid w:val="0008003B"/>
    <w:rsid w:val="0008032D"/>
    <w:rsid w:val="0008075E"/>
    <w:rsid w:val="00081520"/>
    <w:rsid w:val="00081B8A"/>
    <w:rsid w:val="00082EF6"/>
    <w:rsid w:val="00083437"/>
    <w:rsid w:val="000839B9"/>
    <w:rsid w:val="00083DAB"/>
    <w:rsid w:val="000841BA"/>
    <w:rsid w:val="00084397"/>
    <w:rsid w:val="000851E9"/>
    <w:rsid w:val="00085203"/>
    <w:rsid w:val="000857B0"/>
    <w:rsid w:val="00086B3D"/>
    <w:rsid w:val="00087181"/>
    <w:rsid w:val="000901D8"/>
    <w:rsid w:val="00090AF5"/>
    <w:rsid w:val="0009180D"/>
    <w:rsid w:val="00092417"/>
    <w:rsid w:val="000932A4"/>
    <w:rsid w:val="000939A1"/>
    <w:rsid w:val="00093BEA"/>
    <w:rsid w:val="00093D1F"/>
    <w:rsid w:val="000946FA"/>
    <w:rsid w:val="00096012"/>
    <w:rsid w:val="000962C6"/>
    <w:rsid w:val="0009643F"/>
    <w:rsid w:val="0009649E"/>
    <w:rsid w:val="00096884"/>
    <w:rsid w:val="000A09E5"/>
    <w:rsid w:val="000A0CCF"/>
    <w:rsid w:val="000A10F5"/>
    <w:rsid w:val="000A159E"/>
    <w:rsid w:val="000A16AA"/>
    <w:rsid w:val="000A18C0"/>
    <w:rsid w:val="000A1D28"/>
    <w:rsid w:val="000A4081"/>
    <w:rsid w:val="000A506C"/>
    <w:rsid w:val="000A56AD"/>
    <w:rsid w:val="000A5BEC"/>
    <w:rsid w:val="000A5FF5"/>
    <w:rsid w:val="000A615A"/>
    <w:rsid w:val="000A6856"/>
    <w:rsid w:val="000A7F43"/>
    <w:rsid w:val="000B0507"/>
    <w:rsid w:val="000B16FD"/>
    <w:rsid w:val="000B1C06"/>
    <w:rsid w:val="000B1FDE"/>
    <w:rsid w:val="000B2722"/>
    <w:rsid w:val="000B38DF"/>
    <w:rsid w:val="000B3BF2"/>
    <w:rsid w:val="000B4216"/>
    <w:rsid w:val="000B456C"/>
    <w:rsid w:val="000B4A14"/>
    <w:rsid w:val="000B4D03"/>
    <w:rsid w:val="000B5412"/>
    <w:rsid w:val="000B5822"/>
    <w:rsid w:val="000B652E"/>
    <w:rsid w:val="000B71C6"/>
    <w:rsid w:val="000B72D7"/>
    <w:rsid w:val="000C119C"/>
    <w:rsid w:val="000C16E2"/>
    <w:rsid w:val="000C2BC6"/>
    <w:rsid w:val="000C38F5"/>
    <w:rsid w:val="000C3EA3"/>
    <w:rsid w:val="000C3F1B"/>
    <w:rsid w:val="000C4C95"/>
    <w:rsid w:val="000C55A4"/>
    <w:rsid w:val="000C5CCD"/>
    <w:rsid w:val="000C5E29"/>
    <w:rsid w:val="000C67F8"/>
    <w:rsid w:val="000C6A79"/>
    <w:rsid w:val="000C7453"/>
    <w:rsid w:val="000D03F7"/>
    <w:rsid w:val="000D1B84"/>
    <w:rsid w:val="000D1F41"/>
    <w:rsid w:val="000D27B1"/>
    <w:rsid w:val="000D7328"/>
    <w:rsid w:val="000D743E"/>
    <w:rsid w:val="000D7705"/>
    <w:rsid w:val="000D7B8F"/>
    <w:rsid w:val="000E0CB5"/>
    <w:rsid w:val="000E1A9C"/>
    <w:rsid w:val="000E1C37"/>
    <w:rsid w:val="000E1C58"/>
    <w:rsid w:val="000E28E2"/>
    <w:rsid w:val="000E2957"/>
    <w:rsid w:val="000E2AE6"/>
    <w:rsid w:val="000E2B0A"/>
    <w:rsid w:val="000E2BF5"/>
    <w:rsid w:val="000E2D00"/>
    <w:rsid w:val="000E40B4"/>
    <w:rsid w:val="000E586E"/>
    <w:rsid w:val="000E5E9E"/>
    <w:rsid w:val="000E649E"/>
    <w:rsid w:val="000E70CD"/>
    <w:rsid w:val="000E78AD"/>
    <w:rsid w:val="000F0093"/>
    <w:rsid w:val="000F0596"/>
    <w:rsid w:val="000F0F3A"/>
    <w:rsid w:val="000F2089"/>
    <w:rsid w:val="000F21C6"/>
    <w:rsid w:val="000F3745"/>
    <w:rsid w:val="000F4806"/>
    <w:rsid w:val="000F4CD8"/>
    <w:rsid w:val="000F572A"/>
    <w:rsid w:val="000F5D59"/>
    <w:rsid w:val="000F5E54"/>
    <w:rsid w:val="000F6C35"/>
    <w:rsid w:val="000F77B9"/>
    <w:rsid w:val="000F787B"/>
    <w:rsid w:val="000F7927"/>
    <w:rsid w:val="0010001E"/>
    <w:rsid w:val="0010061C"/>
    <w:rsid w:val="001008F3"/>
    <w:rsid w:val="0010214A"/>
    <w:rsid w:val="001028CF"/>
    <w:rsid w:val="00102CF2"/>
    <w:rsid w:val="0010315C"/>
    <w:rsid w:val="00103BB2"/>
    <w:rsid w:val="0010417D"/>
    <w:rsid w:val="00105062"/>
    <w:rsid w:val="00105457"/>
    <w:rsid w:val="00105780"/>
    <w:rsid w:val="001069C6"/>
    <w:rsid w:val="00107357"/>
    <w:rsid w:val="001073BB"/>
    <w:rsid w:val="00107AFA"/>
    <w:rsid w:val="00110FCB"/>
    <w:rsid w:val="001122B7"/>
    <w:rsid w:val="0011256E"/>
    <w:rsid w:val="00112DCE"/>
    <w:rsid w:val="00113D40"/>
    <w:rsid w:val="00113D56"/>
    <w:rsid w:val="00113F51"/>
    <w:rsid w:val="00114804"/>
    <w:rsid w:val="00114B6B"/>
    <w:rsid w:val="00114EA8"/>
    <w:rsid w:val="001152C0"/>
    <w:rsid w:val="00115F6B"/>
    <w:rsid w:val="00116665"/>
    <w:rsid w:val="001169F2"/>
    <w:rsid w:val="00116A39"/>
    <w:rsid w:val="00116BBD"/>
    <w:rsid w:val="0011709E"/>
    <w:rsid w:val="00121586"/>
    <w:rsid w:val="00121642"/>
    <w:rsid w:val="0012199B"/>
    <w:rsid w:val="00122612"/>
    <w:rsid w:val="0012265B"/>
    <w:rsid w:val="00122EA6"/>
    <w:rsid w:val="0012396F"/>
    <w:rsid w:val="00124274"/>
    <w:rsid w:val="00125415"/>
    <w:rsid w:val="00125451"/>
    <w:rsid w:val="0012601D"/>
    <w:rsid w:val="001260C7"/>
    <w:rsid w:val="0012679C"/>
    <w:rsid w:val="00127D8D"/>
    <w:rsid w:val="001304EF"/>
    <w:rsid w:val="00131F72"/>
    <w:rsid w:val="00132270"/>
    <w:rsid w:val="001345A7"/>
    <w:rsid w:val="00134850"/>
    <w:rsid w:val="00134EED"/>
    <w:rsid w:val="001364C6"/>
    <w:rsid w:val="00137660"/>
    <w:rsid w:val="0014043C"/>
    <w:rsid w:val="0014154D"/>
    <w:rsid w:val="001420F8"/>
    <w:rsid w:val="00143375"/>
    <w:rsid w:val="00143ECF"/>
    <w:rsid w:val="0014420B"/>
    <w:rsid w:val="0014593A"/>
    <w:rsid w:val="00145EB5"/>
    <w:rsid w:val="00146358"/>
    <w:rsid w:val="001517D3"/>
    <w:rsid w:val="00152109"/>
    <w:rsid w:val="00152EAF"/>
    <w:rsid w:val="0015314F"/>
    <w:rsid w:val="00153884"/>
    <w:rsid w:val="001538D8"/>
    <w:rsid w:val="00153CFB"/>
    <w:rsid w:val="001544A9"/>
    <w:rsid w:val="00155270"/>
    <w:rsid w:val="00155C2D"/>
    <w:rsid w:val="00155CED"/>
    <w:rsid w:val="00156B56"/>
    <w:rsid w:val="0015705C"/>
    <w:rsid w:val="00157F6F"/>
    <w:rsid w:val="001604EF"/>
    <w:rsid w:val="00160F7E"/>
    <w:rsid w:val="00161790"/>
    <w:rsid w:val="0016206C"/>
    <w:rsid w:val="00162CCD"/>
    <w:rsid w:val="00163101"/>
    <w:rsid w:val="00163150"/>
    <w:rsid w:val="0016368B"/>
    <w:rsid w:val="001637E9"/>
    <w:rsid w:val="00163899"/>
    <w:rsid w:val="00164A76"/>
    <w:rsid w:val="00164ED4"/>
    <w:rsid w:val="00165088"/>
    <w:rsid w:val="001660A4"/>
    <w:rsid w:val="00166468"/>
    <w:rsid w:val="00166D8B"/>
    <w:rsid w:val="00167748"/>
    <w:rsid w:val="00167BA8"/>
    <w:rsid w:val="001704C7"/>
    <w:rsid w:val="001718C5"/>
    <w:rsid w:val="00171D2D"/>
    <w:rsid w:val="00172DA0"/>
    <w:rsid w:val="00173033"/>
    <w:rsid w:val="001735B4"/>
    <w:rsid w:val="0017520B"/>
    <w:rsid w:val="00175291"/>
    <w:rsid w:val="00176155"/>
    <w:rsid w:val="0017656D"/>
    <w:rsid w:val="00177E13"/>
    <w:rsid w:val="00177E63"/>
    <w:rsid w:val="00181035"/>
    <w:rsid w:val="001811E4"/>
    <w:rsid w:val="00181317"/>
    <w:rsid w:val="0018186A"/>
    <w:rsid w:val="00183067"/>
    <w:rsid w:val="00183E8C"/>
    <w:rsid w:val="0018494E"/>
    <w:rsid w:val="00184B54"/>
    <w:rsid w:val="0018599C"/>
    <w:rsid w:val="00186986"/>
    <w:rsid w:val="00187314"/>
    <w:rsid w:val="00187584"/>
    <w:rsid w:val="00190325"/>
    <w:rsid w:val="001908E1"/>
    <w:rsid w:val="00190BFF"/>
    <w:rsid w:val="00191E48"/>
    <w:rsid w:val="00192087"/>
    <w:rsid w:val="001923EF"/>
    <w:rsid w:val="001927A2"/>
    <w:rsid w:val="0019327F"/>
    <w:rsid w:val="00193836"/>
    <w:rsid w:val="0019425A"/>
    <w:rsid w:val="00194480"/>
    <w:rsid w:val="0019517F"/>
    <w:rsid w:val="001953C7"/>
    <w:rsid w:val="00195693"/>
    <w:rsid w:val="00195DE2"/>
    <w:rsid w:val="00195F3A"/>
    <w:rsid w:val="0019638A"/>
    <w:rsid w:val="001967C7"/>
    <w:rsid w:val="00197978"/>
    <w:rsid w:val="00197AC3"/>
    <w:rsid w:val="001A0CEB"/>
    <w:rsid w:val="001A1B8D"/>
    <w:rsid w:val="001A1E2D"/>
    <w:rsid w:val="001A241E"/>
    <w:rsid w:val="001A3257"/>
    <w:rsid w:val="001A385D"/>
    <w:rsid w:val="001A3BE7"/>
    <w:rsid w:val="001A445D"/>
    <w:rsid w:val="001A4ABC"/>
    <w:rsid w:val="001A547D"/>
    <w:rsid w:val="001A5B64"/>
    <w:rsid w:val="001A6E07"/>
    <w:rsid w:val="001A7655"/>
    <w:rsid w:val="001A7F6A"/>
    <w:rsid w:val="001B053C"/>
    <w:rsid w:val="001B06C5"/>
    <w:rsid w:val="001B27D6"/>
    <w:rsid w:val="001B2B92"/>
    <w:rsid w:val="001B369F"/>
    <w:rsid w:val="001B41A8"/>
    <w:rsid w:val="001B66B8"/>
    <w:rsid w:val="001B68D7"/>
    <w:rsid w:val="001B6E25"/>
    <w:rsid w:val="001B7585"/>
    <w:rsid w:val="001B7A0C"/>
    <w:rsid w:val="001B7C55"/>
    <w:rsid w:val="001C0CF5"/>
    <w:rsid w:val="001C0DA6"/>
    <w:rsid w:val="001C2055"/>
    <w:rsid w:val="001C2228"/>
    <w:rsid w:val="001C23D3"/>
    <w:rsid w:val="001C31EB"/>
    <w:rsid w:val="001C4A2F"/>
    <w:rsid w:val="001C5116"/>
    <w:rsid w:val="001C733E"/>
    <w:rsid w:val="001C7592"/>
    <w:rsid w:val="001D1AD6"/>
    <w:rsid w:val="001D1CEE"/>
    <w:rsid w:val="001D2F42"/>
    <w:rsid w:val="001D3FCF"/>
    <w:rsid w:val="001D5021"/>
    <w:rsid w:val="001D55F2"/>
    <w:rsid w:val="001D58EE"/>
    <w:rsid w:val="001D5E66"/>
    <w:rsid w:val="001D7130"/>
    <w:rsid w:val="001D7157"/>
    <w:rsid w:val="001D7983"/>
    <w:rsid w:val="001D7B8F"/>
    <w:rsid w:val="001D7F41"/>
    <w:rsid w:val="001E24AC"/>
    <w:rsid w:val="001E30D6"/>
    <w:rsid w:val="001E32C2"/>
    <w:rsid w:val="001E3631"/>
    <w:rsid w:val="001E39F5"/>
    <w:rsid w:val="001E4052"/>
    <w:rsid w:val="001E50D1"/>
    <w:rsid w:val="001E5556"/>
    <w:rsid w:val="001E58E4"/>
    <w:rsid w:val="001E6684"/>
    <w:rsid w:val="001E6861"/>
    <w:rsid w:val="001E6EF1"/>
    <w:rsid w:val="001E6F58"/>
    <w:rsid w:val="001E6F5A"/>
    <w:rsid w:val="001E7048"/>
    <w:rsid w:val="001E767B"/>
    <w:rsid w:val="001E7A15"/>
    <w:rsid w:val="001F011F"/>
    <w:rsid w:val="001F1F72"/>
    <w:rsid w:val="001F1F74"/>
    <w:rsid w:val="001F27EE"/>
    <w:rsid w:val="001F2DEF"/>
    <w:rsid w:val="001F32E1"/>
    <w:rsid w:val="001F4508"/>
    <w:rsid w:val="001F7B1D"/>
    <w:rsid w:val="001F7DE6"/>
    <w:rsid w:val="001F7E59"/>
    <w:rsid w:val="00202831"/>
    <w:rsid w:val="00203EAC"/>
    <w:rsid w:val="0020515B"/>
    <w:rsid w:val="00205658"/>
    <w:rsid w:val="00205E98"/>
    <w:rsid w:val="00206086"/>
    <w:rsid w:val="002061CA"/>
    <w:rsid w:val="00206803"/>
    <w:rsid w:val="00207B19"/>
    <w:rsid w:val="00207C4D"/>
    <w:rsid w:val="00207FE9"/>
    <w:rsid w:val="002103FA"/>
    <w:rsid w:val="00210519"/>
    <w:rsid w:val="00211507"/>
    <w:rsid w:val="00211D0A"/>
    <w:rsid w:val="00212CA4"/>
    <w:rsid w:val="00213287"/>
    <w:rsid w:val="00213779"/>
    <w:rsid w:val="00213A6B"/>
    <w:rsid w:val="002143AA"/>
    <w:rsid w:val="0021450C"/>
    <w:rsid w:val="00214541"/>
    <w:rsid w:val="00214CFA"/>
    <w:rsid w:val="00214F19"/>
    <w:rsid w:val="00214F59"/>
    <w:rsid w:val="00214FD7"/>
    <w:rsid w:val="002156C2"/>
    <w:rsid w:val="002169D2"/>
    <w:rsid w:val="00216A8C"/>
    <w:rsid w:val="00216C39"/>
    <w:rsid w:val="002176B5"/>
    <w:rsid w:val="0022044A"/>
    <w:rsid w:val="002204DA"/>
    <w:rsid w:val="0022108D"/>
    <w:rsid w:val="0022258C"/>
    <w:rsid w:val="00222C73"/>
    <w:rsid w:val="002235D7"/>
    <w:rsid w:val="00223A51"/>
    <w:rsid w:val="00223AD1"/>
    <w:rsid w:val="00223E65"/>
    <w:rsid w:val="0022417A"/>
    <w:rsid w:val="0022612F"/>
    <w:rsid w:val="002263A5"/>
    <w:rsid w:val="00226850"/>
    <w:rsid w:val="00227B4B"/>
    <w:rsid w:val="00227DDF"/>
    <w:rsid w:val="00230184"/>
    <w:rsid w:val="002306D7"/>
    <w:rsid w:val="00231197"/>
    <w:rsid w:val="00231981"/>
    <w:rsid w:val="002349E8"/>
    <w:rsid w:val="00235226"/>
    <w:rsid w:val="0023565E"/>
    <w:rsid w:val="00235E58"/>
    <w:rsid w:val="00240985"/>
    <w:rsid w:val="00240CC7"/>
    <w:rsid w:val="00242255"/>
    <w:rsid w:val="002429C2"/>
    <w:rsid w:val="00242C50"/>
    <w:rsid w:val="002438C6"/>
    <w:rsid w:val="002441C5"/>
    <w:rsid w:val="002448E0"/>
    <w:rsid w:val="00244B4F"/>
    <w:rsid w:val="00245300"/>
    <w:rsid w:val="00247665"/>
    <w:rsid w:val="00247717"/>
    <w:rsid w:val="0024781E"/>
    <w:rsid w:val="00247E71"/>
    <w:rsid w:val="00250702"/>
    <w:rsid w:val="00251C2E"/>
    <w:rsid w:val="0025267E"/>
    <w:rsid w:val="00252A38"/>
    <w:rsid w:val="0025439B"/>
    <w:rsid w:val="0025471B"/>
    <w:rsid w:val="002548BF"/>
    <w:rsid w:val="00254A47"/>
    <w:rsid w:val="00254EF4"/>
    <w:rsid w:val="00255941"/>
    <w:rsid w:val="00255AFA"/>
    <w:rsid w:val="002566E3"/>
    <w:rsid w:val="00256C93"/>
    <w:rsid w:val="002577AC"/>
    <w:rsid w:val="00260031"/>
    <w:rsid w:val="002600A8"/>
    <w:rsid w:val="002606E0"/>
    <w:rsid w:val="00262776"/>
    <w:rsid w:val="00262E35"/>
    <w:rsid w:val="00262F18"/>
    <w:rsid w:val="00263605"/>
    <w:rsid w:val="00263A9D"/>
    <w:rsid w:val="00263BEF"/>
    <w:rsid w:val="002651A1"/>
    <w:rsid w:val="002654CB"/>
    <w:rsid w:val="0026634A"/>
    <w:rsid w:val="00267460"/>
    <w:rsid w:val="0026785B"/>
    <w:rsid w:val="00270BCC"/>
    <w:rsid w:val="0027197F"/>
    <w:rsid w:val="0027226A"/>
    <w:rsid w:val="00272A10"/>
    <w:rsid w:val="00272D86"/>
    <w:rsid w:val="00273DF1"/>
    <w:rsid w:val="002745C3"/>
    <w:rsid w:val="00275D15"/>
    <w:rsid w:val="00275D78"/>
    <w:rsid w:val="00275F75"/>
    <w:rsid w:val="0027749F"/>
    <w:rsid w:val="00277664"/>
    <w:rsid w:val="002777AD"/>
    <w:rsid w:val="00280079"/>
    <w:rsid w:val="002805E5"/>
    <w:rsid w:val="002808DF"/>
    <w:rsid w:val="00281540"/>
    <w:rsid w:val="00281F34"/>
    <w:rsid w:val="00282102"/>
    <w:rsid w:val="002828E2"/>
    <w:rsid w:val="00283627"/>
    <w:rsid w:val="002838E2"/>
    <w:rsid w:val="00284260"/>
    <w:rsid w:val="002843C4"/>
    <w:rsid w:val="00284BE3"/>
    <w:rsid w:val="002861B9"/>
    <w:rsid w:val="00286F3E"/>
    <w:rsid w:val="002871E5"/>
    <w:rsid w:val="00290DE7"/>
    <w:rsid w:val="00290F54"/>
    <w:rsid w:val="00291DBE"/>
    <w:rsid w:val="00291F42"/>
    <w:rsid w:val="00292333"/>
    <w:rsid w:val="002930F5"/>
    <w:rsid w:val="002933DE"/>
    <w:rsid w:val="002957B9"/>
    <w:rsid w:val="00295900"/>
    <w:rsid w:val="00296BC7"/>
    <w:rsid w:val="00297FEB"/>
    <w:rsid w:val="002A06B4"/>
    <w:rsid w:val="002A1BAA"/>
    <w:rsid w:val="002A2D66"/>
    <w:rsid w:val="002A2F9D"/>
    <w:rsid w:val="002A30BE"/>
    <w:rsid w:val="002A3FEF"/>
    <w:rsid w:val="002A4029"/>
    <w:rsid w:val="002A5075"/>
    <w:rsid w:val="002A521E"/>
    <w:rsid w:val="002A6B30"/>
    <w:rsid w:val="002A6C75"/>
    <w:rsid w:val="002A78A4"/>
    <w:rsid w:val="002A78E7"/>
    <w:rsid w:val="002A7F27"/>
    <w:rsid w:val="002B038E"/>
    <w:rsid w:val="002B0810"/>
    <w:rsid w:val="002B1440"/>
    <w:rsid w:val="002B160B"/>
    <w:rsid w:val="002B172B"/>
    <w:rsid w:val="002B1EA7"/>
    <w:rsid w:val="002B2264"/>
    <w:rsid w:val="002B2B28"/>
    <w:rsid w:val="002B3C5F"/>
    <w:rsid w:val="002B41E3"/>
    <w:rsid w:val="002B5058"/>
    <w:rsid w:val="002B559F"/>
    <w:rsid w:val="002B5849"/>
    <w:rsid w:val="002C040F"/>
    <w:rsid w:val="002C0B7D"/>
    <w:rsid w:val="002C270E"/>
    <w:rsid w:val="002C29ED"/>
    <w:rsid w:val="002C3419"/>
    <w:rsid w:val="002C3443"/>
    <w:rsid w:val="002C3B33"/>
    <w:rsid w:val="002C3BF0"/>
    <w:rsid w:val="002C5602"/>
    <w:rsid w:val="002C5644"/>
    <w:rsid w:val="002C5818"/>
    <w:rsid w:val="002C5C15"/>
    <w:rsid w:val="002C5E56"/>
    <w:rsid w:val="002C5F0F"/>
    <w:rsid w:val="002C69E6"/>
    <w:rsid w:val="002C7777"/>
    <w:rsid w:val="002C7BDE"/>
    <w:rsid w:val="002D0A6B"/>
    <w:rsid w:val="002D1094"/>
    <w:rsid w:val="002D11C6"/>
    <w:rsid w:val="002D1228"/>
    <w:rsid w:val="002D15EC"/>
    <w:rsid w:val="002D2F84"/>
    <w:rsid w:val="002D3657"/>
    <w:rsid w:val="002D3A53"/>
    <w:rsid w:val="002D3B95"/>
    <w:rsid w:val="002D53A2"/>
    <w:rsid w:val="002D54CF"/>
    <w:rsid w:val="002D5B77"/>
    <w:rsid w:val="002D63EB"/>
    <w:rsid w:val="002D6A73"/>
    <w:rsid w:val="002D7C92"/>
    <w:rsid w:val="002E0285"/>
    <w:rsid w:val="002E0768"/>
    <w:rsid w:val="002E098F"/>
    <w:rsid w:val="002E1C81"/>
    <w:rsid w:val="002E21A3"/>
    <w:rsid w:val="002E2ABC"/>
    <w:rsid w:val="002E4646"/>
    <w:rsid w:val="002E598F"/>
    <w:rsid w:val="002E5CD9"/>
    <w:rsid w:val="002E6C02"/>
    <w:rsid w:val="002E6D11"/>
    <w:rsid w:val="002E73EB"/>
    <w:rsid w:val="002E7546"/>
    <w:rsid w:val="002E7758"/>
    <w:rsid w:val="002F0719"/>
    <w:rsid w:val="002F110D"/>
    <w:rsid w:val="002F20FB"/>
    <w:rsid w:val="002F3510"/>
    <w:rsid w:val="002F4304"/>
    <w:rsid w:val="002F4544"/>
    <w:rsid w:val="002F4B10"/>
    <w:rsid w:val="002F4D28"/>
    <w:rsid w:val="002F4E76"/>
    <w:rsid w:val="002F615D"/>
    <w:rsid w:val="002F62B0"/>
    <w:rsid w:val="002F6310"/>
    <w:rsid w:val="002F6521"/>
    <w:rsid w:val="002F67BE"/>
    <w:rsid w:val="002F6D58"/>
    <w:rsid w:val="00302539"/>
    <w:rsid w:val="00302D00"/>
    <w:rsid w:val="0030346C"/>
    <w:rsid w:val="00305223"/>
    <w:rsid w:val="003052AC"/>
    <w:rsid w:val="00305B4A"/>
    <w:rsid w:val="00306051"/>
    <w:rsid w:val="00306434"/>
    <w:rsid w:val="00306F80"/>
    <w:rsid w:val="003102CF"/>
    <w:rsid w:val="0031032A"/>
    <w:rsid w:val="00310611"/>
    <w:rsid w:val="003109BA"/>
    <w:rsid w:val="00311002"/>
    <w:rsid w:val="00311AAA"/>
    <w:rsid w:val="0031256C"/>
    <w:rsid w:val="00312A47"/>
    <w:rsid w:val="0031354B"/>
    <w:rsid w:val="00314083"/>
    <w:rsid w:val="00314373"/>
    <w:rsid w:val="003162C1"/>
    <w:rsid w:val="00316A03"/>
    <w:rsid w:val="003176D1"/>
    <w:rsid w:val="00320632"/>
    <w:rsid w:val="003206C2"/>
    <w:rsid w:val="00320C98"/>
    <w:rsid w:val="00321206"/>
    <w:rsid w:val="003215FD"/>
    <w:rsid w:val="00321BC6"/>
    <w:rsid w:val="00322792"/>
    <w:rsid w:val="003250B3"/>
    <w:rsid w:val="0032555A"/>
    <w:rsid w:val="003256B6"/>
    <w:rsid w:val="00325D67"/>
    <w:rsid w:val="00326053"/>
    <w:rsid w:val="0032606B"/>
    <w:rsid w:val="0032764E"/>
    <w:rsid w:val="003311EC"/>
    <w:rsid w:val="003318E2"/>
    <w:rsid w:val="00331DB1"/>
    <w:rsid w:val="00331FA0"/>
    <w:rsid w:val="00331FD4"/>
    <w:rsid w:val="003326B5"/>
    <w:rsid w:val="003329EC"/>
    <w:rsid w:val="00332E64"/>
    <w:rsid w:val="00333EF5"/>
    <w:rsid w:val="0033588D"/>
    <w:rsid w:val="00335ACB"/>
    <w:rsid w:val="00335FE2"/>
    <w:rsid w:val="0033699E"/>
    <w:rsid w:val="003369DE"/>
    <w:rsid w:val="00336D93"/>
    <w:rsid w:val="00337EBF"/>
    <w:rsid w:val="0034017C"/>
    <w:rsid w:val="00340406"/>
    <w:rsid w:val="00340C87"/>
    <w:rsid w:val="003424D9"/>
    <w:rsid w:val="00342E6E"/>
    <w:rsid w:val="0034301E"/>
    <w:rsid w:val="003448F3"/>
    <w:rsid w:val="00344B95"/>
    <w:rsid w:val="0034521F"/>
    <w:rsid w:val="0034522C"/>
    <w:rsid w:val="003458FE"/>
    <w:rsid w:val="00345FA9"/>
    <w:rsid w:val="003466B4"/>
    <w:rsid w:val="003474F5"/>
    <w:rsid w:val="0034785A"/>
    <w:rsid w:val="00347A58"/>
    <w:rsid w:val="00347AAE"/>
    <w:rsid w:val="00347CE0"/>
    <w:rsid w:val="00347D2F"/>
    <w:rsid w:val="003505EA"/>
    <w:rsid w:val="00351C3E"/>
    <w:rsid w:val="00352024"/>
    <w:rsid w:val="00352A0B"/>
    <w:rsid w:val="00352E29"/>
    <w:rsid w:val="00353A4B"/>
    <w:rsid w:val="00353F98"/>
    <w:rsid w:val="003549AF"/>
    <w:rsid w:val="00354E0A"/>
    <w:rsid w:val="0035512C"/>
    <w:rsid w:val="0035517C"/>
    <w:rsid w:val="003555CE"/>
    <w:rsid w:val="0035599E"/>
    <w:rsid w:val="00355A4B"/>
    <w:rsid w:val="00355BDA"/>
    <w:rsid w:val="00356AFD"/>
    <w:rsid w:val="00356FF4"/>
    <w:rsid w:val="003573EF"/>
    <w:rsid w:val="0035745B"/>
    <w:rsid w:val="00360F49"/>
    <w:rsid w:val="00361DC4"/>
    <w:rsid w:val="00362914"/>
    <w:rsid w:val="00363D48"/>
    <w:rsid w:val="00364038"/>
    <w:rsid w:val="003650B5"/>
    <w:rsid w:val="003654F3"/>
    <w:rsid w:val="00365516"/>
    <w:rsid w:val="00365C64"/>
    <w:rsid w:val="003663C4"/>
    <w:rsid w:val="00366553"/>
    <w:rsid w:val="003668FF"/>
    <w:rsid w:val="00367352"/>
    <w:rsid w:val="0036799F"/>
    <w:rsid w:val="00370F91"/>
    <w:rsid w:val="00370FA5"/>
    <w:rsid w:val="00371072"/>
    <w:rsid w:val="00371AC1"/>
    <w:rsid w:val="0037224E"/>
    <w:rsid w:val="00372A10"/>
    <w:rsid w:val="00372D11"/>
    <w:rsid w:val="00373243"/>
    <w:rsid w:val="00373B98"/>
    <w:rsid w:val="00375ABD"/>
    <w:rsid w:val="00376E09"/>
    <w:rsid w:val="00376E87"/>
    <w:rsid w:val="0037708B"/>
    <w:rsid w:val="003773A0"/>
    <w:rsid w:val="00377B0C"/>
    <w:rsid w:val="003807A0"/>
    <w:rsid w:val="00380CF9"/>
    <w:rsid w:val="003818C8"/>
    <w:rsid w:val="00382038"/>
    <w:rsid w:val="003826EF"/>
    <w:rsid w:val="00383649"/>
    <w:rsid w:val="00383C7E"/>
    <w:rsid w:val="00383D25"/>
    <w:rsid w:val="003840EA"/>
    <w:rsid w:val="00384271"/>
    <w:rsid w:val="00384DE5"/>
    <w:rsid w:val="003850E6"/>
    <w:rsid w:val="003854FA"/>
    <w:rsid w:val="003868FE"/>
    <w:rsid w:val="0038749D"/>
    <w:rsid w:val="00387774"/>
    <w:rsid w:val="00387CA1"/>
    <w:rsid w:val="003900DB"/>
    <w:rsid w:val="00391FD3"/>
    <w:rsid w:val="003923B8"/>
    <w:rsid w:val="00392BD0"/>
    <w:rsid w:val="00392DEA"/>
    <w:rsid w:val="00394254"/>
    <w:rsid w:val="00394563"/>
    <w:rsid w:val="00394A43"/>
    <w:rsid w:val="00395351"/>
    <w:rsid w:val="003962AF"/>
    <w:rsid w:val="003968FE"/>
    <w:rsid w:val="00396B52"/>
    <w:rsid w:val="00396C99"/>
    <w:rsid w:val="00396F92"/>
    <w:rsid w:val="00397092"/>
    <w:rsid w:val="003A2116"/>
    <w:rsid w:val="003A26F0"/>
    <w:rsid w:val="003A32FF"/>
    <w:rsid w:val="003A357B"/>
    <w:rsid w:val="003A3B01"/>
    <w:rsid w:val="003A3F50"/>
    <w:rsid w:val="003A3FE3"/>
    <w:rsid w:val="003A470C"/>
    <w:rsid w:val="003A5A2C"/>
    <w:rsid w:val="003A5BFF"/>
    <w:rsid w:val="003A5E0F"/>
    <w:rsid w:val="003A6F86"/>
    <w:rsid w:val="003A74EC"/>
    <w:rsid w:val="003A79AE"/>
    <w:rsid w:val="003A7DB5"/>
    <w:rsid w:val="003B135F"/>
    <w:rsid w:val="003B1BA0"/>
    <w:rsid w:val="003B32E3"/>
    <w:rsid w:val="003B4A45"/>
    <w:rsid w:val="003B4B4A"/>
    <w:rsid w:val="003B568D"/>
    <w:rsid w:val="003B5D94"/>
    <w:rsid w:val="003B6559"/>
    <w:rsid w:val="003B7106"/>
    <w:rsid w:val="003B7379"/>
    <w:rsid w:val="003B7A2F"/>
    <w:rsid w:val="003B7DA3"/>
    <w:rsid w:val="003C01C7"/>
    <w:rsid w:val="003C04F5"/>
    <w:rsid w:val="003C1E11"/>
    <w:rsid w:val="003C263C"/>
    <w:rsid w:val="003C2E1F"/>
    <w:rsid w:val="003C336E"/>
    <w:rsid w:val="003C376A"/>
    <w:rsid w:val="003C4CD8"/>
    <w:rsid w:val="003C59B3"/>
    <w:rsid w:val="003C59B8"/>
    <w:rsid w:val="003C6116"/>
    <w:rsid w:val="003C6899"/>
    <w:rsid w:val="003C6C55"/>
    <w:rsid w:val="003C6C72"/>
    <w:rsid w:val="003C7452"/>
    <w:rsid w:val="003C7950"/>
    <w:rsid w:val="003C7995"/>
    <w:rsid w:val="003D00B6"/>
    <w:rsid w:val="003D019C"/>
    <w:rsid w:val="003D1086"/>
    <w:rsid w:val="003D1B52"/>
    <w:rsid w:val="003D2A98"/>
    <w:rsid w:val="003D309D"/>
    <w:rsid w:val="003D3253"/>
    <w:rsid w:val="003D4356"/>
    <w:rsid w:val="003D44A6"/>
    <w:rsid w:val="003D4C0A"/>
    <w:rsid w:val="003D4C40"/>
    <w:rsid w:val="003D56F0"/>
    <w:rsid w:val="003D5EB2"/>
    <w:rsid w:val="003D62F7"/>
    <w:rsid w:val="003D639B"/>
    <w:rsid w:val="003D6BF7"/>
    <w:rsid w:val="003D7045"/>
    <w:rsid w:val="003D7A3D"/>
    <w:rsid w:val="003D7B1C"/>
    <w:rsid w:val="003E0950"/>
    <w:rsid w:val="003E0AE0"/>
    <w:rsid w:val="003E0CC0"/>
    <w:rsid w:val="003E1103"/>
    <w:rsid w:val="003E238A"/>
    <w:rsid w:val="003E23F8"/>
    <w:rsid w:val="003E30C2"/>
    <w:rsid w:val="003E37BE"/>
    <w:rsid w:val="003E3893"/>
    <w:rsid w:val="003E4426"/>
    <w:rsid w:val="003E4C48"/>
    <w:rsid w:val="003E5DD9"/>
    <w:rsid w:val="003E64CD"/>
    <w:rsid w:val="003E710E"/>
    <w:rsid w:val="003E712C"/>
    <w:rsid w:val="003E72BF"/>
    <w:rsid w:val="003E72F4"/>
    <w:rsid w:val="003E7E84"/>
    <w:rsid w:val="003F043E"/>
    <w:rsid w:val="003F0E82"/>
    <w:rsid w:val="003F0F22"/>
    <w:rsid w:val="003F1101"/>
    <w:rsid w:val="003F12CE"/>
    <w:rsid w:val="003F1FAD"/>
    <w:rsid w:val="003F350E"/>
    <w:rsid w:val="003F36FC"/>
    <w:rsid w:val="003F3F4C"/>
    <w:rsid w:val="003F3F9B"/>
    <w:rsid w:val="003F7116"/>
    <w:rsid w:val="00400A6B"/>
    <w:rsid w:val="00401370"/>
    <w:rsid w:val="00401ACB"/>
    <w:rsid w:val="00402194"/>
    <w:rsid w:val="00402E72"/>
    <w:rsid w:val="004031C7"/>
    <w:rsid w:val="004034D5"/>
    <w:rsid w:val="004043C5"/>
    <w:rsid w:val="00404443"/>
    <w:rsid w:val="00404912"/>
    <w:rsid w:val="0040571D"/>
    <w:rsid w:val="00406C34"/>
    <w:rsid w:val="004078EA"/>
    <w:rsid w:val="00407AFE"/>
    <w:rsid w:val="00410B6B"/>
    <w:rsid w:val="00411DF7"/>
    <w:rsid w:val="00411E4D"/>
    <w:rsid w:val="00412045"/>
    <w:rsid w:val="00412173"/>
    <w:rsid w:val="0041234A"/>
    <w:rsid w:val="0041272C"/>
    <w:rsid w:val="00412D28"/>
    <w:rsid w:val="0041320E"/>
    <w:rsid w:val="0041340D"/>
    <w:rsid w:val="00413EB5"/>
    <w:rsid w:val="00415328"/>
    <w:rsid w:val="00415878"/>
    <w:rsid w:val="0041591A"/>
    <w:rsid w:val="00415BD8"/>
    <w:rsid w:val="00416A28"/>
    <w:rsid w:val="00420273"/>
    <w:rsid w:val="00421632"/>
    <w:rsid w:val="00421C24"/>
    <w:rsid w:val="00423B4B"/>
    <w:rsid w:val="00423B7E"/>
    <w:rsid w:val="00423CC1"/>
    <w:rsid w:val="0042429E"/>
    <w:rsid w:val="00424E62"/>
    <w:rsid w:val="004250FF"/>
    <w:rsid w:val="004251D5"/>
    <w:rsid w:val="00425C82"/>
    <w:rsid w:val="00425E1D"/>
    <w:rsid w:val="004273D1"/>
    <w:rsid w:val="00427444"/>
    <w:rsid w:val="00431405"/>
    <w:rsid w:val="004320C4"/>
    <w:rsid w:val="00432CBB"/>
    <w:rsid w:val="00432E06"/>
    <w:rsid w:val="0043321A"/>
    <w:rsid w:val="004332D7"/>
    <w:rsid w:val="00433830"/>
    <w:rsid w:val="00436481"/>
    <w:rsid w:val="0043782F"/>
    <w:rsid w:val="00440623"/>
    <w:rsid w:val="00440D5B"/>
    <w:rsid w:val="00442323"/>
    <w:rsid w:val="00442B9A"/>
    <w:rsid w:val="004442B7"/>
    <w:rsid w:val="0044472C"/>
    <w:rsid w:val="00444D10"/>
    <w:rsid w:val="00445113"/>
    <w:rsid w:val="00445B73"/>
    <w:rsid w:val="0044679B"/>
    <w:rsid w:val="00447917"/>
    <w:rsid w:val="00447962"/>
    <w:rsid w:val="00447A73"/>
    <w:rsid w:val="00450510"/>
    <w:rsid w:val="00450754"/>
    <w:rsid w:val="00450D19"/>
    <w:rsid w:val="0045103A"/>
    <w:rsid w:val="00451729"/>
    <w:rsid w:val="00451796"/>
    <w:rsid w:val="00451B5D"/>
    <w:rsid w:val="00453976"/>
    <w:rsid w:val="00453BEF"/>
    <w:rsid w:val="00454233"/>
    <w:rsid w:val="00454445"/>
    <w:rsid w:val="004544F8"/>
    <w:rsid w:val="00455D22"/>
    <w:rsid w:val="0045608B"/>
    <w:rsid w:val="00456357"/>
    <w:rsid w:val="0045679D"/>
    <w:rsid w:val="00456F11"/>
    <w:rsid w:val="004570CC"/>
    <w:rsid w:val="00460197"/>
    <w:rsid w:val="00460689"/>
    <w:rsid w:val="00460698"/>
    <w:rsid w:val="00460B20"/>
    <w:rsid w:val="00460F5D"/>
    <w:rsid w:val="00461562"/>
    <w:rsid w:val="004623CE"/>
    <w:rsid w:val="0046296F"/>
    <w:rsid w:val="00463705"/>
    <w:rsid w:val="004638D3"/>
    <w:rsid w:val="00463B82"/>
    <w:rsid w:val="0046404B"/>
    <w:rsid w:val="00464ACD"/>
    <w:rsid w:val="00465E36"/>
    <w:rsid w:val="004665F3"/>
    <w:rsid w:val="00466C65"/>
    <w:rsid w:val="00467737"/>
    <w:rsid w:val="00471FC4"/>
    <w:rsid w:val="00473884"/>
    <w:rsid w:val="00474869"/>
    <w:rsid w:val="00475575"/>
    <w:rsid w:val="004758EB"/>
    <w:rsid w:val="00476326"/>
    <w:rsid w:val="00476386"/>
    <w:rsid w:val="00476A26"/>
    <w:rsid w:val="00476A3F"/>
    <w:rsid w:val="00480401"/>
    <w:rsid w:val="004810EF"/>
    <w:rsid w:val="00481855"/>
    <w:rsid w:val="00481905"/>
    <w:rsid w:val="004825C1"/>
    <w:rsid w:val="00482B6E"/>
    <w:rsid w:val="00482CA8"/>
    <w:rsid w:val="0048428B"/>
    <w:rsid w:val="004849F1"/>
    <w:rsid w:val="00484B9A"/>
    <w:rsid w:val="00484D02"/>
    <w:rsid w:val="00485AC6"/>
    <w:rsid w:val="004875BF"/>
    <w:rsid w:val="0048762D"/>
    <w:rsid w:val="00487CEF"/>
    <w:rsid w:val="0049063E"/>
    <w:rsid w:val="00490900"/>
    <w:rsid w:val="004912C4"/>
    <w:rsid w:val="00492319"/>
    <w:rsid w:val="00492578"/>
    <w:rsid w:val="00492B2A"/>
    <w:rsid w:val="00493573"/>
    <w:rsid w:val="00493FAB"/>
    <w:rsid w:val="0049401F"/>
    <w:rsid w:val="00494A04"/>
    <w:rsid w:val="004950A9"/>
    <w:rsid w:val="004967DC"/>
    <w:rsid w:val="00497912"/>
    <w:rsid w:val="00497E88"/>
    <w:rsid w:val="004A053F"/>
    <w:rsid w:val="004A2277"/>
    <w:rsid w:val="004A2444"/>
    <w:rsid w:val="004A2C4B"/>
    <w:rsid w:val="004A3209"/>
    <w:rsid w:val="004A3B47"/>
    <w:rsid w:val="004A5BB6"/>
    <w:rsid w:val="004A5C42"/>
    <w:rsid w:val="004A763D"/>
    <w:rsid w:val="004A7DD3"/>
    <w:rsid w:val="004A7FCA"/>
    <w:rsid w:val="004B0F45"/>
    <w:rsid w:val="004B1032"/>
    <w:rsid w:val="004B1734"/>
    <w:rsid w:val="004B35E8"/>
    <w:rsid w:val="004B371F"/>
    <w:rsid w:val="004B441E"/>
    <w:rsid w:val="004B57CC"/>
    <w:rsid w:val="004B68E1"/>
    <w:rsid w:val="004B693A"/>
    <w:rsid w:val="004B6E61"/>
    <w:rsid w:val="004B7D2E"/>
    <w:rsid w:val="004C05D4"/>
    <w:rsid w:val="004C18D0"/>
    <w:rsid w:val="004C4299"/>
    <w:rsid w:val="004C60D4"/>
    <w:rsid w:val="004C6B8A"/>
    <w:rsid w:val="004C74E3"/>
    <w:rsid w:val="004C76D5"/>
    <w:rsid w:val="004D0284"/>
    <w:rsid w:val="004D04DD"/>
    <w:rsid w:val="004D119A"/>
    <w:rsid w:val="004D18B6"/>
    <w:rsid w:val="004D28BB"/>
    <w:rsid w:val="004D2DC4"/>
    <w:rsid w:val="004D33B9"/>
    <w:rsid w:val="004D43C6"/>
    <w:rsid w:val="004D4546"/>
    <w:rsid w:val="004D49C1"/>
    <w:rsid w:val="004D55BD"/>
    <w:rsid w:val="004D5693"/>
    <w:rsid w:val="004E2039"/>
    <w:rsid w:val="004E227E"/>
    <w:rsid w:val="004E25E0"/>
    <w:rsid w:val="004E262D"/>
    <w:rsid w:val="004E28FB"/>
    <w:rsid w:val="004E2B71"/>
    <w:rsid w:val="004E308D"/>
    <w:rsid w:val="004E36D2"/>
    <w:rsid w:val="004E41E4"/>
    <w:rsid w:val="004E4431"/>
    <w:rsid w:val="004E508C"/>
    <w:rsid w:val="004E52F2"/>
    <w:rsid w:val="004E5570"/>
    <w:rsid w:val="004E5BB7"/>
    <w:rsid w:val="004E5EB5"/>
    <w:rsid w:val="004E6884"/>
    <w:rsid w:val="004E69D5"/>
    <w:rsid w:val="004E7DF9"/>
    <w:rsid w:val="004E7FF9"/>
    <w:rsid w:val="004F13FC"/>
    <w:rsid w:val="004F1A59"/>
    <w:rsid w:val="004F3A23"/>
    <w:rsid w:val="004F3AE8"/>
    <w:rsid w:val="004F3E63"/>
    <w:rsid w:val="004F3FAE"/>
    <w:rsid w:val="004F4196"/>
    <w:rsid w:val="004F586F"/>
    <w:rsid w:val="004F5963"/>
    <w:rsid w:val="004F5E53"/>
    <w:rsid w:val="004F5EC9"/>
    <w:rsid w:val="004F6821"/>
    <w:rsid w:val="004F72AB"/>
    <w:rsid w:val="004F75D8"/>
    <w:rsid w:val="004F7601"/>
    <w:rsid w:val="0050087F"/>
    <w:rsid w:val="005008F5"/>
    <w:rsid w:val="00500A4B"/>
    <w:rsid w:val="00501387"/>
    <w:rsid w:val="005018B8"/>
    <w:rsid w:val="00502189"/>
    <w:rsid w:val="005024F9"/>
    <w:rsid w:val="005026C8"/>
    <w:rsid w:val="0050450E"/>
    <w:rsid w:val="0050476B"/>
    <w:rsid w:val="00505A1C"/>
    <w:rsid w:val="00506B1A"/>
    <w:rsid w:val="00507944"/>
    <w:rsid w:val="00507B98"/>
    <w:rsid w:val="00510376"/>
    <w:rsid w:val="00510B2A"/>
    <w:rsid w:val="005124C7"/>
    <w:rsid w:val="00512FCB"/>
    <w:rsid w:val="005134C0"/>
    <w:rsid w:val="0051432F"/>
    <w:rsid w:val="0051433B"/>
    <w:rsid w:val="00514D06"/>
    <w:rsid w:val="00515984"/>
    <w:rsid w:val="00515BF2"/>
    <w:rsid w:val="0051600B"/>
    <w:rsid w:val="0051657A"/>
    <w:rsid w:val="0051675E"/>
    <w:rsid w:val="00517197"/>
    <w:rsid w:val="00521371"/>
    <w:rsid w:val="00521479"/>
    <w:rsid w:val="005219DD"/>
    <w:rsid w:val="00521ED9"/>
    <w:rsid w:val="00522C5D"/>
    <w:rsid w:val="005237EB"/>
    <w:rsid w:val="00524056"/>
    <w:rsid w:val="0052541B"/>
    <w:rsid w:val="00525449"/>
    <w:rsid w:val="00527D05"/>
    <w:rsid w:val="00530398"/>
    <w:rsid w:val="0053093C"/>
    <w:rsid w:val="0053096E"/>
    <w:rsid w:val="005314EE"/>
    <w:rsid w:val="00531639"/>
    <w:rsid w:val="00534114"/>
    <w:rsid w:val="0053789D"/>
    <w:rsid w:val="00541983"/>
    <w:rsid w:val="00541A9B"/>
    <w:rsid w:val="00541FF5"/>
    <w:rsid w:val="005424FD"/>
    <w:rsid w:val="00542A72"/>
    <w:rsid w:val="00544944"/>
    <w:rsid w:val="00545498"/>
    <w:rsid w:val="00545673"/>
    <w:rsid w:val="005473DC"/>
    <w:rsid w:val="005502F0"/>
    <w:rsid w:val="00550B97"/>
    <w:rsid w:val="00550CD2"/>
    <w:rsid w:val="0055168C"/>
    <w:rsid w:val="00551BAC"/>
    <w:rsid w:val="00551D79"/>
    <w:rsid w:val="00551DF5"/>
    <w:rsid w:val="005530A9"/>
    <w:rsid w:val="005536D4"/>
    <w:rsid w:val="00554BD9"/>
    <w:rsid w:val="00554D1B"/>
    <w:rsid w:val="0055553F"/>
    <w:rsid w:val="00555D8F"/>
    <w:rsid w:val="00555F6C"/>
    <w:rsid w:val="00556106"/>
    <w:rsid w:val="00556891"/>
    <w:rsid w:val="00556F3F"/>
    <w:rsid w:val="0055752A"/>
    <w:rsid w:val="00557BEE"/>
    <w:rsid w:val="00557C4E"/>
    <w:rsid w:val="00557E24"/>
    <w:rsid w:val="005606B8"/>
    <w:rsid w:val="00560788"/>
    <w:rsid w:val="00560F86"/>
    <w:rsid w:val="0056129E"/>
    <w:rsid w:val="00561303"/>
    <w:rsid w:val="0056252F"/>
    <w:rsid w:val="00563097"/>
    <w:rsid w:val="00563294"/>
    <w:rsid w:val="005635A0"/>
    <w:rsid w:val="00563B31"/>
    <w:rsid w:val="00563DB8"/>
    <w:rsid w:val="0056614F"/>
    <w:rsid w:val="00566336"/>
    <w:rsid w:val="005678BC"/>
    <w:rsid w:val="00570FA4"/>
    <w:rsid w:val="00572353"/>
    <w:rsid w:val="005723DD"/>
    <w:rsid w:val="0057467A"/>
    <w:rsid w:val="0057509C"/>
    <w:rsid w:val="00575276"/>
    <w:rsid w:val="005764DD"/>
    <w:rsid w:val="00576AF0"/>
    <w:rsid w:val="00577163"/>
    <w:rsid w:val="005771DA"/>
    <w:rsid w:val="00577692"/>
    <w:rsid w:val="005776C5"/>
    <w:rsid w:val="00577A28"/>
    <w:rsid w:val="0058018E"/>
    <w:rsid w:val="005802E6"/>
    <w:rsid w:val="00580306"/>
    <w:rsid w:val="00580A66"/>
    <w:rsid w:val="005837CE"/>
    <w:rsid w:val="0058491C"/>
    <w:rsid w:val="00585454"/>
    <w:rsid w:val="00585752"/>
    <w:rsid w:val="00585BB9"/>
    <w:rsid w:val="00585D40"/>
    <w:rsid w:val="0058682E"/>
    <w:rsid w:val="00586D50"/>
    <w:rsid w:val="00591160"/>
    <w:rsid w:val="005919ED"/>
    <w:rsid w:val="00591E2F"/>
    <w:rsid w:val="00592105"/>
    <w:rsid w:val="005923A0"/>
    <w:rsid w:val="00592425"/>
    <w:rsid w:val="00592E25"/>
    <w:rsid w:val="00592E3E"/>
    <w:rsid w:val="0059508F"/>
    <w:rsid w:val="00595CF3"/>
    <w:rsid w:val="00596648"/>
    <w:rsid w:val="0059749E"/>
    <w:rsid w:val="005976A8"/>
    <w:rsid w:val="00597DCF"/>
    <w:rsid w:val="005A09E5"/>
    <w:rsid w:val="005A0B68"/>
    <w:rsid w:val="005A0E55"/>
    <w:rsid w:val="005A16EA"/>
    <w:rsid w:val="005A27DB"/>
    <w:rsid w:val="005A2AC5"/>
    <w:rsid w:val="005A3218"/>
    <w:rsid w:val="005A3CD0"/>
    <w:rsid w:val="005A52BE"/>
    <w:rsid w:val="005A5D56"/>
    <w:rsid w:val="005A6675"/>
    <w:rsid w:val="005A69ED"/>
    <w:rsid w:val="005A73B7"/>
    <w:rsid w:val="005A7EC0"/>
    <w:rsid w:val="005B0082"/>
    <w:rsid w:val="005B0719"/>
    <w:rsid w:val="005B0822"/>
    <w:rsid w:val="005B21EB"/>
    <w:rsid w:val="005B289A"/>
    <w:rsid w:val="005B2BBA"/>
    <w:rsid w:val="005B2C49"/>
    <w:rsid w:val="005B3A9A"/>
    <w:rsid w:val="005B508B"/>
    <w:rsid w:val="005B60EC"/>
    <w:rsid w:val="005B6F70"/>
    <w:rsid w:val="005B7D9D"/>
    <w:rsid w:val="005C05CF"/>
    <w:rsid w:val="005C0E53"/>
    <w:rsid w:val="005C1274"/>
    <w:rsid w:val="005C25B0"/>
    <w:rsid w:val="005C2F67"/>
    <w:rsid w:val="005C336B"/>
    <w:rsid w:val="005C4D4E"/>
    <w:rsid w:val="005C4DD1"/>
    <w:rsid w:val="005C518B"/>
    <w:rsid w:val="005C53F1"/>
    <w:rsid w:val="005C5C48"/>
    <w:rsid w:val="005C6569"/>
    <w:rsid w:val="005C6F7F"/>
    <w:rsid w:val="005C7E06"/>
    <w:rsid w:val="005D122F"/>
    <w:rsid w:val="005D22E2"/>
    <w:rsid w:val="005D263B"/>
    <w:rsid w:val="005D2C39"/>
    <w:rsid w:val="005D361D"/>
    <w:rsid w:val="005D4F82"/>
    <w:rsid w:val="005D5611"/>
    <w:rsid w:val="005D57EB"/>
    <w:rsid w:val="005D5869"/>
    <w:rsid w:val="005D6F41"/>
    <w:rsid w:val="005E0EDF"/>
    <w:rsid w:val="005E1A4F"/>
    <w:rsid w:val="005E1F38"/>
    <w:rsid w:val="005E2CDD"/>
    <w:rsid w:val="005E3B3F"/>
    <w:rsid w:val="005E3EC9"/>
    <w:rsid w:val="005E4160"/>
    <w:rsid w:val="005E4712"/>
    <w:rsid w:val="005E4D2D"/>
    <w:rsid w:val="005E561B"/>
    <w:rsid w:val="005E5C39"/>
    <w:rsid w:val="005E6161"/>
    <w:rsid w:val="005E7739"/>
    <w:rsid w:val="005F044E"/>
    <w:rsid w:val="005F1543"/>
    <w:rsid w:val="005F190A"/>
    <w:rsid w:val="005F22A7"/>
    <w:rsid w:val="005F236B"/>
    <w:rsid w:val="005F2DB6"/>
    <w:rsid w:val="005F37C4"/>
    <w:rsid w:val="005F3870"/>
    <w:rsid w:val="005F3A93"/>
    <w:rsid w:val="005F516A"/>
    <w:rsid w:val="005F5824"/>
    <w:rsid w:val="005F5DF4"/>
    <w:rsid w:val="005F62E3"/>
    <w:rsid w:val="005F6AD9"/>
    <w:rsid w:val="005F6BCE"/>
    <w:rsid w:val="005F713F"/>
    <w:rsid w:val="005F764C"/>
    <w:rsid w:val="005F78B6"/>
    <w:rsid w:val="00600491"/>
    <w:rsid w:val="00604AE4"/>
    <w:rsid w:val="006050A8"/>
    <w:rsid w:val="0060514C"/>
    <w:rsid w:val="00605185"/>
    <w:rsid w:val="006057B2"/>
    <w:rsid w:val="00605C7A"/>
    <w:rsid w:val="00605DBE"/>
    <w:rsid w:val="00605F27"/>
    <w:rsid w:val="00606457"/>
    <w:rsid w:val="00610AD6"/>
    <w:rsid w:val="00610BE4"/>
    <w:rsid w:val="00610E0E"/>
    <w:rsid w:val="00611758"/>
    <w:rsid w:val="0061303F"/>
    <w:rsid w:val="006131CD"/>
    <w:rsid w:val="00613EC9"/>
    <w:rsid w:val="00614FDE"/>
    <w:rsid w:val="00615164"/>
    <w:rsid w:val="00615EA9"/>
    <w:rsid w:val="006166CF"/>
    <w:rsid w:val="00616772"/>
    <w:rsid w:val="00616CEA"/>
    <w:rsid w:val="00616EA9"/>
    <w:rsid w:val="00617442"/>
    <w:rsid w:val="0061754B"/>
    <w:rsid w:val="0061786A"/>
    <w:rsid w:val="00621219"/>
    <w:rsid w:val="0062265F"/>
    <w:rsid w:val="0062293E"/>
    <w:rsid w:val="006231C6"/>
    <w:rsid w:val="0062399C"/>
    <w:rsid w:val="00623DD1"/>
    <w:rsid w:val="00624DAA"/>
    <w:rsid w:val="006260BC"/>
    <w:rsid w:val="006263E4"/>
    <w:rsid w:val="006267B8"/>
    <w:rsid w:val="006308DD"/>
    <w:rsid w:val="00632B14"/>
    <w:rsid w:val="00632F2A"/>
    <w:rsid w:val="006332DE"/>
    <w:rsid w:val="00634657"/>
    <w:rsid w:val="00634ABD"/>
    <w:rsid w:val="006362AB"/>
    <w:rsid w:val="00636B05"/>
    <w:rsid w:val="00637033"/>
    <w:rsid w:val="00640241"/>
    <w:rsid w:val="0064052E"/>
    <w:rsid w:val="00641DFC"/>
    <w:rsid w:val="00642007"/>
    <w:rsid w:val="006420A3"/>
    <w:rsid w:val="0064229C"/>
    <w:rsid w:val="0064353B"/>
    <w:rsid w:val="00645F49"/>
    <w:rsid w:val="006460B4"/>
    <w:rsid w:val="006506B6"/>
    <w:rsid w:val="00650F6A"/>
    <w:rsid w:val="00651597"/>
    <w:rsid w:val="0065262C"/>
    <w:rsid w:val="006529DF"/>
    <w:rsid w:val="00654330"/>
    <w:rsid w:val="00654926"/>
    <w:rsid w:val="006555C9"/>
    <w:rsid w:val="00655A97"/>
    <w:rsid w:val="00656D31"/>
    <w:rsid w:val="00656F85"/>
    <w:rsid w:val="006570E6"/>
    <w:rsid w:val="006578C4"/>
    <w:rsid w:val="00657D4E"/>
    <w:rsid w:val="006605F1"/>
    <w:rsid w:val="006607DC"/>
    <w:rsid w:val="00661514"/>
    <w:rsid w:val="00661D50"/>
    <w:rsid w:val="00662B01"/>
    <w:rsid w:val="0066407F"/>
    <w:rsid w:val="00664AE6"/>
    <w:rsid w:val="00665BA0"/>
    <w:rsid w:val="00665C1D"/>
    <w:rsid w:val="006665CA"/>
    <w:rsid w:val="00666920"/>
    <w:rsid w:val="0066716B"/>
    <w:rsid w:val="00670129"/>
    <w:rsid w:val="006708DD"/>
    <w:rsid w:val="006711F2"/>
    <w:rsid w:val="00672306"/>
    <w:rsid w:val="00672662"/>
    <w:rsid w:val="00673293"/>
    <w:rsid w:val="0067399D"/>
    <w:rsid w:val="0067410D"/>
    <w:rsid w:val="0067567E"/>
    <w:rsid w:val="0067629C"/>
    <w:rsid w:val="00676BB8"/>
    <w:rsid w:val="00676DA0"/>
    <w:rsid w:val="0067779D"/>
    <w:rsid w:val="0068011D"/>
    <w:rsid w:val="00680A73"/>
    <w:rsid w:val="00680CEB"/>
    <w:rsid w:val="0068231A"/>
    <w:rsid w:val="00682551"/>
    <w:rsid w:val="0068298B"/>
    <w:rsid w:val="00682E42"/>
    <w:rsid w:val="00683BAF"/>
    <w:rsid w:val="006843A1"/>
    <w:rsid w:val="006843EA"/>
    <w:rsid w:val="00684457"/>
    <w:rsid w:val="006845D6"/>
    <w:rsid w:val="006848E9"/>
    <w:rsid w:val="00685A23"/>
    <w:rsid w:val="00685CED"/>
    <w:rsid w:val="0068666A"/>
    <w:rsid w:val="00687481"/>
    <w:rsid w:val="0069058B"/>
    <w:rsid w:val="006916AA"/>
    <w:rsid w:val="00691718"/>
    <w:rsid w:val="00691CF8"/>
    <w:rsid w:val="00692321"/>
    <w:rsid w:val="0069275C"/>
    <w:rsid w:val="0069288D"/>
    <w:rsid w:val="00692A1A"/>
    <w:rsid w:val="006931C4"/>
    <w:rsid w:val="006934C8"/>
    <w:rsid w:val="0069483A"/>
    <w:rsid w:val="00695823"/>
    <w:rsid w:val="006959BD"/>
    <w:rsid w:val="00696381"/>
    <w:rsid w:val="006969D4"/>
    <w:rsid w:val="00697E73"/>
    <w:rsid w:val="006A0F9D"/>
    <w:rsid w:val="006A319A"/>
    <w:rsid w:val="006A39FE"/>
    <w:rsid w:val="006A3B4D"/>
    <w:rsid w:val="006A52DD"/>
    <w:rsid w:val="006A7199"/>
    <w:rsid w:val="006A731A"/>
    <w:rsid w:val="006A7AE2"/>
    <w:rsid w:val="006B013E"/>
    <w:rsid w:val="006B02AC"/>
    <w:rsid w:val="006B0E37"/>
    <w:rsid w:val="006B17E1"/>
    <w:rsid w:val="006B1C65"/>
    <w:rsid w:val="006B1DC9"/>
    <w:rsid w:val="006B2211"/>
    <w:rsid w:val="006B2C60"/>
    <w:rsid w:val="006B3A5C"/>
    <w:rsid w:val="006B4A6C"/>
    <w:rsid w:val="006B5113"/>
    <w:rsid w:val="006B5CBC"/>
    <w:rsid w:val="006B60D4"/>
    <w:rsid w:val="006B7AF7"/>
    <w:rsid w:val="006C0AF9"/>
    <w:rsid w:val="006C1273"/>
    <w:rsid w:val="006C15CC"/>
    <w:rsid w:val="006C1703"/>
    <w:rsid w:val="006C1EFD"/>
    <w:rsid w:val="006C35B3"/>
    <w:rsid w:val="006C3839"/>
    <w:rsid w:val="006C3E54"/>
    <w:rsid w:val="006C4119"/>
    <w:rsid w:val="006C4B7E"/>
    <w:rsid w:val="006C4F3D"/>
    <w:rsid w:val="006C560F"/>
    <w:rsid w:val="006C6A06"/>
    <w:rsid w:val="006C71CE"/>
    <w:rsid w:val="006C748F"/>
    <w:rsid w:val="006C788A"/>
    <w:rsid w:val="006D01B9"/>
    <w:rsid w:val="006D1E87"/>
    <w:rsid w:val="006D232C"/>
    <w:rsid w:val="006D2826"/>
    <w:rsid w:val="006D455A"/>
    <w:rsid w:val="006D5B96"/>
    <w:rsid w:val="006D680E"/>
    <w:rsid w:val="006D6824"/>
    <w:rsid w:val="006D6BA0"/>
    <w:rsid w:val="006D77BA"/>
    <w:rsid w:val="006E1691"/>
    <w:rsid w:val="006E281C"/>
    <w:rsid w:val="006E314B"/>
    <w:rsid w:val="006E3F3C"/>
    <w:rsid w:val="006E4486"/>
    <w:rsid w:val="006E45AE"/>
    <w:rsid w:val="006E50CB"/>
    <w:rsid w:val="006E5785"/>
    <w:rsid w:val="006E6324"/>
    <w:rsid w:val="006E69EF"/>
    <w:rsid w:val="006E6CB0"/>
    <w:rsid w:val="006E7CBB"/>
    <w:rsid w:val="006F013F"/>
    <w:rsid w:val="006F0889"/>
    <w:rsid w:val="006F0B65"/>
    <w:rsid w:val="006F0EC4"/>
    <w:rsid w:val="006F1E8B"/>
    <w:rsid w:val="006F2D76"/>
    <w:rsid w:val="006F2F36"/>
    <w:rsid w:val="006F39ED"/>
    <w:rsid w:val="006F3BD6"/>
    <w:rsid w:val="006F47D5"/>
    <w:rsid w:val="006F4D13"/>
    <w:rsid w:val="006F5E90"/>
    <w:rsid w:val="006F61F3"/>
    <w:rsid w:val="006F6DE9"/>
    <w:rsid w:val="006F6F9E"/>
    <w:rsid w:val="006F76C1"/>
    <w:rsid w:val="006F78BC"/>
    <w:rsid w:val="006F78ED"/>
    <w:rsid w:val="007005B0"/>
    <w:rsid w:val="007022EA"/>
    <w:rsid w:val="00702782"/>
    <w:rsid w:val="0070283C"/>
    <w:rsid w:val="007042D4"/>
    <w:rsid w:val="00704C03"/>
    <w:rsid w:val="0070602F"/>
    <w:rsid w:val="00706B70"/>
    <w:rsid w:val="0070702E"/>
    <w:rsid w:val="007079C5"/>
    <w:rsid w:val="00707D02"/>
    <w:rsid w:val="00707D70"/>
    <w:rsid w:val="00710053"/>
    <w:rsid w:val="0071054E"/>
    <w:rsid w:val="00710CF4"/>
    <w:rsid w:val="00712142"/>
    <w:rsid w:val="007128BD"/>
    <w:rsid w:val="00712E8A"/>
    <w:rsid w:val="00713976"/>
    <w:rsid w:val="00713F76"/>
    <w:rsid w:val="00714919"/>
    <w:rsid w:val="00715445"/>
    <w:rsid w:val="00715FDD"/>
    <w:rsid w:val="007161CC"/>
    <w:rsid w:val="00716955"/>
    <w:rsid w:val="007172AC"/>
    <w:rsid w:val="007173C2"/>
    <w:rsid w:val="00717A15"/>
    <w:rsid w:val="00717B25"/>
    <w:rsid w:val="00717CF8"/>
    <w:rsid w:val="00722047"/>
    <w:rsid w:val="007222C4"/>
    <w:rsid w:val="007224F2"/>
    <w:rsid w:val="00722637"/>
    <w:rsid w:val="00722C1D"/>
    <w:rsid w:val="00723712"/>
    <w:rsid w:val="0072442F"/>
    <w:rsid w:val="00724C97"/>
    <w:rsid w:val="00725071"/>
    <w:rsid w:val="00727ADA"/>
    <w:rsid w:val="007305D6"/>
    <w:rsid w:val="00732705"/>
    <w:rsid w:val="007349E4"/>
    <w:rsid w:val="007353EE"/>
    <w:rsid w:val="00735824"/>
    <w:rsid w:val="00735AD3"/>
    <w:rsid w:val="00735C1B"/>
    <w:rsid w:val="00735C68"/>
    <w:rsid w:val="00735F64"/>
    <w:rsid w:val="00735F95"/>
    <w:rsid w:val="007369E5"/>
    <w:rsid w:val="007376E1"/>
    <w:rsid w:val="00737D0A"/>
    <w:rsid w:val="0074031E"/>
    <w:rsid w:val="00741119"/>
    <w:rsid w:val="00741410"/>
    <w:rsid w:val="007415CA"/>
    <w:rsid w:val="007418D9"/>
    <w:rsid w:val="00741CDA"/>
    <w:rsid w:val="00742738"/>
    <w:rsid w:val="00743D56"/>
    <w:rsid w:val="00743D7B"/>
    <w:rsid w:val="00745295"/>
    <w:rsid w:val="00745EF0"/>
    <w:rsid w:val="00745F86"/>
    <w:rsid w:val="007464BB"/>
    <w:rsid w:val="00746D24"/>
    <w:rsid w:val="00747F42"/>
    <w:rsid w:val="00750581"/>
    <w:rsid w:val="0075101D"/>
    <w:rsid w:val="007512CD"/>
    <w:rsid w:val="0075244A"/>
    <w:rsid w:val="007528AA"/>
    <w:rsid w:val="00752BD4"/>
    <w:rsid w:val="00752EC5"/>
    <w:rsid w:val="0075397C"/>
    <w:rsid w:val="00754696"/>
    <w:rsid w:val="0075474F"/>
    <w:rsid w:val="007553E7"/>
    <w:rsid w:val="00755708"/>
    <w:rsid w:val="00760A06"/>
    <w:rsid w:val="00761E12"/>
    <w:rsid w:val="007620C6"/>
    <w:rsid w:val="007620E3"/>
    <w:rsid w:val="00762C4B"/>
    <w:rsid w:val="0076408F"/>
    <w:rsid w:val="007645F8"/>
    <w:rsid w:val="00764DEA"/>
    <w:rsid w:val="0076665D"/>
    <w:rsid w:val="00766A92"/>
    <w:rsid w:val="0076753E"/>
    <w:rsid w:val="00767E0F"/>
    <w:rsid w:val="007700E7"/>
    <w:rsid w:val="00770219"/>
    <w:rsid w:val="007702CA"/>
    <w:rsid w:val="00770F06"/>
    <w:rsid w:val="0077178E"/>
    <w:rsid w:val="00772291"/>
    <w:rsid w:val="00772718"/>
    <w:rsid w:val="00772C0E"/>
    <w:rsid w:val="00772C5D"/>
    <w:rsid w:val="007731A0"/>
    <w:rsid w:val="00773CC6"/>
    <w:rsid w:val="00773EE7"/>
    <w:rsid w:val="007742B2"/>
    <w:rsid w:val="00774453"/>
    <w:rsid w:val="0077553C"/>
    <w:rsid w:val="00776130"/>
    <w:rsid w:val="00776959"/>
    <w:rsid w:val="00776A75"/>
    <w:rsid w:val="00776F33"/>
    <w:rsid w:val="00777D24"/>
    <w:rsid w:val="00777E27"/>
    <w:rsid w:val="00777E73"/>
    <w:rsid w:val="00780110"/>
    <w:rsid w:val="00780544"/>
    <w:rsid w:val="0078094B"/>
    <w:rsid w:val="00780D86"/>
    <w:rsid w:val="00780E34"/>
    <w:rsid w:val="00781127"/>
    <w:rsid w:val="00781A1A"/>
    <w:rsid w:val="00781C02"/>
    <w:rsid w:val="00782DD3"/>
    <w:rsid w:val="0078326E"/>
    <w:rsid w:val="00783739"/>
    <w:rsid w:val="00783AA6"/>
    <w:rsid w:val="00784C61"/>
    <w:rsid w:val="00785402"/>
    <w:rsid w:val="0078545F"/>
    <w:rsid w:val="00786CA6"/>
    <w:rsid w:val="00787831"/>
    <w:rsid w:val="007879C4"/>
    <w:rsid w:val="0079017D"/>
    <w:rsid w:val="00791517"/>
    <w:rsid w:val="00792D8D"/>
    <w:rsid w:val="00793407"/>
    <w:rsid w:val="007936FC"/>
    <w:rsid w:val="00794348"/>
    <w:rsid w:val="007951AE"/>
    <w:rsid w:val="0079535B"/>
    <w:rsid w:val="00795EC4"/>
    <w:rsid w:val="00796AB8"/>
    <w:rsid w:val="00797327"/>
    <w:rsid w:val="00797E12"/>
    <w:rsid w:val="007A0A2E"/>
    <w:rsid w:val="007A126D"/>
    <w:rsid w:val="007A15CF"/>
    <w:rsid w:val="007A1DA7"/>
    <w:rsid w:val="007A2092"/>
    <w:rsid w:val="007A323E"/>
    <w:rsid w:val="007A3326"/>
    <w:rsid w:val="007A3687"/>
    <w:rsid w:val="007A467E"/>
    <w:rsid w:val="007A606E"/>
    <w:rsid w:val="007A625E"/>
    <w:rsid w:val="007A65B5"/>
    <w:rsid w:val="007A675E"/>
    <w:rsid w:val="007A78E5"/>
    <w:rsid w:val="007A7AFF"/>
    <w:rsid w:val="007A7D70"/>
    <w:rsid w:val="007B0B01"/>
    <w:rsid w:val="007B0B48"/>
    <w:rsid w:val="007B12FB"/>
    <w:rsid w:val="007B1D29"/>
    <w:rsid w:val="007B4075"/>
    <w:rsid w:val="007B424E"/>
    <w:rsid w:val="007B523E"/>
    <w:rsid w:val="007B534D"/>
    <w:rsid w:val="007B5600"/>
    <w:rsid w:val="007B636B"/>
    <w:rsid w:val="007B641A"/>
    <w:rsid w:val="007B6AF7"/>
    <w:rsid w:val="007C07D9"/>
    <w:rsid w:val="007C0ACF"/>
    <w:rsid w:val="007C13E5"/>
    <w:rsid w:val="007C158E"/>
    <w:rsid w:val="007C1954"/>
    <w:rsid w:val="007C3249"/>
    <w:rsid w:val="007C3AB9"/>
    <w:rsid w:val="007C48CA"/>
    <w:rsid w:val="007C48D8"/>
    <w:rsid w:val="007C4FCF"/>
    <w:rsid w:val="007C75B8"/>
    <w:rsid w:val="007C7C46"/>
    <w:rsid w:val="007C7D53"/>
    <w:rsid w:val="007D004E"/>
    <w:rsid w:val="007D0336"/>
    <w:rsid w:val="007D0DA5"/>
    <w:rsid w:val="007D1A4D"/>
    <w:rsid w:val="007D2A90"/>
    <w:rsid w:val="007D2F25"/>
    <w:rsid w:val="007D3237"/>
    <w:rsid w:val="007D4BC7"/>
    <w:rsid w:val="007D4D8B"/>
    <w:rsid w:val="007D540A"/>
    <w:rsid w:val="007D551D"/>
    <w:rsid w:val="007D7165"/>
    <w:rsid w:val="007D786E"/>
    <w:rsid w:val="007D7FD2"/>
    <w:rsid w:val="007E04BB"/>
    <w:rsid w:val="007E2388"/>
    <w:rsid w:val="007E4456"/>
    <w:rsid w:val="007E4A6B"/>
    <w:rsid w:val="007E5436"/>
    <w:rsid w:val="007E6836"/>
    <w:rsid w:val="007E74C8"/>
    <w:rsid w:val="007E76CA"/>
    <w:rsid w:val="007E7C78"/>
    <w:rsid w:val="007F0AC5"/>
    <w:rsid w:val="007F143A"/>
    <w:rsid w:val="007F1C95"/>
    <w:rsid w:val="007F2419"/>
    <w:rsid w:val="007F2C8C"/>
    <w:rsid w:val="007F2E63"/>
    <w:rsid w:val="007F314E"/>
    <w:rsid w:val="007F4024"/>
    <w:rsid w:val="007F63A9"/>
    <w:rsid w:val="007F705F"/>
    <w:rsid w:val="007F75F2"/>
    <w:rsid w:val="00800655"/>
    <w:rsid w:val="00800C3B"/>
    <w:rsid w:val="00801223"/>
    <w:rsid w:val="00802F6F"/>
    <w:rsid w:val="00803A8E"/>
    <w:rsid w:val="008041F6"/>
    <w:rsid w:val="00804A54"/>
    <w:rsid w:val="00806831"/>
    <w:rsid w:val="00806D90"/>
    <w:rsid w:val="00806E5A"/>
    <w:rsid w:val="008102D8"/>
    <w:rsid w:val="008107A5"/>
    <w:rsid w:val="008108B7"/>
    <w:rsid w:val="00811B3E"/>
    <w:rsid w:val="00812AA0"/>
    <w:rsid w:val="008151E7"/>
    <w:rsid w:val="0081525F"/>
    <w:rsid w:val="00815D2B"/>
    <w:rsid w:val="00817135"/>
    <w:rsid w:val="0081733D"/>
    <w:rsid w:val="008200AD"/>
    <w:rsid w:val="00820E6D"/>
    <w:rsid w:val="008220C4"/>
    <w:rsid w:val="00822733"/>
    <w:rsid w:val="00823634"/>
    <w:rsid w:val="00824125"/>
    <w:rsid w:val="00824382"/>
    <w:rsid w:val="00824A2C"/>
    <w:rsid w:val="00825BC6"/>
    <w:rsid w:val="00826372"/>
    <w:rsid w:val="0082679D"/>
    <w:rsid w:val="0082700D"/>
    <w:rsid w:val="008270D4"/>
    <w:rsid w:val="00827180"/>
    <w:rsid w:val="00827402"/>
    <w:rsid w:val="00827678"/>
    <w:rsid w:val="0082772E"/>
    <w:rsid w:val="00830D16"/>
    <w:rsid w:val="00830F97"/>
    <w:rsid w:val="0083121D"/>
    <w:rsid w:val="0083126A"/>
    <w:rsid w:val="00831AC4"/>
    <w:rsid w:val="0083363D"/>
    <w:rsid w:val="00834458"/>
    <w:rsid w:val="00834518"/>
    <w:rsid w:val="00834940"/>
    <w:rsid w:val="0083610F"/>
    <w:rsid w:val="00837049"/>
    <w:rsid w:val="00837290"/>
    <w:rsid w:val="00837E56"/>
    <w:rsid w:val="0084013D"/>
    <w:rsid w:val="0084073D"/>
    <w:rsid w:val="008407DA"/>
    <w:rsid w:val="00842D2A"/>
    <w:rsid w:val="008439C0"/>
    <w:rsid w:val="00843B1D"/>
    <w:rsid w:val="00843BF2"/>
    <w:rsid w:val="008444C4"/>
    <w:rsid w:val="00844586"/>
    <w:rsid w:val="0084533F"/>
    <w:rsid w:val="008456A2"/>
    <w:rsid w:val="008467D5"/>
    <w:rsid w:val="00846B3C"/>
    <w:rsid w:val="008476FF"/>
    <w:rsid w:val="008504F1"/>
    <w:rsid w:val="00850BA4"/>
    <w:rsid w:val="0085113A"/>
    <w:rsid w:val="00851D5F"/>
    <w:rsid w:val="0085337B"/>
    <w:rsid w:val="008535EA"/>
    <w:rsid w:val="00853A4A"/>
    <w:rsid w:val="008542AF"/>
    <w:rsid w:val="00854F74"/>
    <w:rsid w:val="008562E6"/>
    <w:rsid w:val="0085656D"/>
    <w:rsid w:val="008568C6"/>
    <w:rsid w:val="00857475"/>
    <w:rsid w:val="008578B8"/>
    <w:rsid w:val="00860153"/>
    <w:rsid w:val="0086047A"/>
    <w:rsid w:val="008605D1"/>
    <w:rsid w:val="00860713"/>
    <w:rsid w:val="00860B12"/>
    <w:rsid w:val="008610F1"/>
    <w:rsid w:val="00861260"/>
    <w:rsid w:val="00861B1E"/>
    <w:rsid w:val="00861EB0"/>
    <w:rsid w:val="00862298"/>
    <w:rsid w:val="00862954"/>
    <w:rsid w:val="008630FB"/>
    <w:rsid w:val="00863F09"/>
    <w:rsid w:val="00864C2C"/>
    <w:rsid w:val="008651AE"/>
    <w:rsid w:val="0086537D"/>
    <w:rsid w:val="008659CB"/>
    <w:rsid w:val="00865C79"/>
    <w:rsid w:val="00865D04"/>
    <w:rsid w:val="00866381"/>
    <w:rsid w:val="00867095"/>
    <w:rsid w:val="00867F18"/>
    <w:rsid w:val="008701AC"/>
    <w:rsid w:val="008701DA"/>
    <w:rsid w:val="0087038E"/>
    <w:rsid w:val="00870698"/>
    <w:rsid w:val="00870A27"/>
    <w:rsid w:val="0087147E"/>
    <w:rsid w:val="008724C0"/>
    <w:rsid w:val="00872DA0"/>
    <w:rsid w:val="00873339"/>
    <w:rsid w:val="00874A00"/>
    <w:rsid w:val="00875B9E"/>
    <w:rsid w:val="0087615F"/>
    <w:rsid w:val="00882BB9"/>
    <w:rsid w:val="00882ECE"/>
    <w:rsid w:val="00883EDF"/>
    <w:rsid w:val="0088476F"/>
    <w:rsid w:val="00884CD9"/>
    <w:rsid w:val="00885311"/>
    <w:rsid w:val="008854AD"/>
    <w:rsid w:val="008857F0"/>
    <w:rsid w:val="00886336"/>
    <w:rsid w:val="00886ABA"/>
    <w:rsid w:val="00886DAE"/>
    <w:rsid w:val="00886E4A"/>
    <w:rsid w:val="00887D5C"/>
    <w:rsid w:val="00891D1E"/>
    <w:rsid w:val="0089221F"/>
    <w:rsid w:val="00892741"/>
    <w:rsid w:val="00892F75"/>
    <w:rsid w:val="0089300D"/>
    <w:rsid w:val="00893012"/>
    <w:rsid w:val="00893653"/>
    <w:rsid w:val="00893F02"/>
    <w:rsid w:val="00894231"/>
    <w:rsid w:val="00896825"/>
    <w:rsid w:val="00896BF1"/>
    <w:rsid w:val="0089701F"/>
    <w:rsid w:val="0089729C"/>
    <w:rsid w:val="00897E46"/>
    <w:rsid w:val="008A0668"/>
    <w:rsid w:val="008A0874"/>
    <w:rsid w:val="008A0DEA"/>
    <w:rsid w:val="008A0F37"/>
    <w:rsid w:val="008A0FED"/>
    <w:rsid w:val="008A152C"/>
    <w:rsid w:val="008A2177"/>
    <w:rsid w:val="008A2689"/>
    <w:rsid w:val="008A39C0"/>
    <w:rsid w:val="008A3F0F"/>
    <w:rsid w:val="008A400B"/>
    <w:rsid w:val="008A47D1"/>
    <w:rsid w:val="008A4AFE"/>
    <w:rsid w:val="008A563E"/>
    <w:rsid w:val="008A5974"/>
    <w:rsid w:val="008A6538"/>
    <w:rsid w:val="008A6795"/>
    <w:rsid w:val="008A6DFE"/>
    <w:rsid w:val="008A6FF2"/>
    <w:rsid w:val="008A73E2"/>
    <w:rsid w:val="008A7C3C"/>
    <w:rsid w:val="008B0F4D"/>
    <w:rsid w:val="008B134E"/>
    <w:rsid w:val="008B1464"/>
    <w:rsid w:val="008B161C"/>
    <w:rsid w:val="008B1A6A"/>
    <w:rsid w:val="008B2476"/>
    <w:rsid w:val="008B3907"/>
    <w:rsid w:val="008B45B5"/>
    <w:rsid w:val="008B5489"/>
    <w:rsid w:val="008B55B0"/>
    <w:rsid w:val="008B6838"/>
    <w:rsid w:val="008B6FA4"/>
    <w:rsid w:val="008B707A"/>
    <w:rsid w:val="008B7751"/>
    <w:rsid w:val="008B7DC4"/>
    <w:rsid w:val="008C08D5"/>
    <w:rsid w:val="008C0F15"/>
    <w:rsid w:val="008C14F5"/>
    <w:rsid w:val="008C201E"/>
    <w:rsid w:val="008C2139"/>
    <w:rsid w:val="008C2BCD"/>
    <w:rsid w:val="008C4F93"/>
    <w:rsid w:val="008C4FA9"/>
    <w:rsid w:val="008C5664"/>
    <w:rsid w:val="008C56EB"/>
    <w:rsid w:val="008C59FF"/>
    <w:rsid w:val="008C64B1"/>
    <w:rsid w:val="008C66AE"/>
    <w:rsid w:val="008C67E2"/>
    <w:rsid w:val="008C6EA4"/>
    <w:rsid w:val="008C77D2"/>
    <w:rsid w:val="008C7D4A"/>
    <w:rsid w:val="008D0059"/>
    <w:rsid w:val="008D0BF2"/>
    <w:rsid w:val="008D0D5E"/>
    <w:rsid w:val="008D1578"/>
    <w:rsid w:val="008D181F"/>
    <w:rsid w:val="008D2641"/>
    <w:rsid w:val="008D2677"/>
    <w:rsid w:val="008D26FE"/>
    <w:rsid w:val="008D2768"/>
    <w:rsid w:val="008D2CD1"/>
    <w:rsid w:val="008D2E49"/>
    <w:rsid w:val="008D2E4D"/>
    <w:rsid w:val="008D38A6"/>
    <w:rsid w:val="008D3D3F"/>
    <w:rsid w:val="008D5917"/>
    <w:rsid w:val="008D5BE0"/>
    <w:rsid w:val="008D6167"/>
    <w:rsid w:val="008D6740"/>
    <w:rsid w:val="008D69DF"/>
    <w:rsid w:val="008D6DD9"/>
    <w:rsid w:val="008D7918"/>
    <w:rsid w:val="008D7D84"/>
    <w:rsid w:val="008E1C8F"/>
    <w:rsid w:val="008E1FF2"/>
    <w:rsid w:val="008E35A4"/>
    <w:rsid w:val="008E37B4"/>
    <w:rsid w:val="008E3A8D"/>
    <w:rsid w:val="008E4507"/>
    <w:rsid w:val="008E64A4"/>
    <w:rsid w:val="008E6516"/>
    <w:rsid w:val="008E7121"/>
    <w:rsid w:val="008F0C86"/>
    <w:rsid w:val="008F14D2"/>
    <w:rsid w:val="008F22C7"/>
    <w:rsid w:val="008F256D"/>
    <w:rsid w:val="008F2BB3"/>
    <w:rsid w:val="008F3471"/>
    <w:rsid w:val="008F374D"/>
    <w:rsid w:val="008F41E0"/>
    <w:rsid w:val="008F5856"/>
    <w:rsid w:val="008F5E8C"/>
    <w:rsid w:val="008F617A"/>
    <w:rsid w:val="008F61B7"/>
    <w:rsid w:val="008F62CA"/>
    <w:rsid w:val="008F642E"/>
    <w:rsid w:val="008F721B"/>
    <w:rsid w:val="008F7579"/>
    <w:rsid w:val="008F795D"/>
    <w:rsid w:val="009016DB"/>
    <w:rsid w:val="009018B9"/>
    <w:rsid w:val="00901BEA"/>
    <w:rsid w:val="009021BB"/>
    <w:rsid w:val="009021F7"/>
    <w:rsid w:val="00902202"/>
    <w:rsid w:val="00902730"/>
    <w:rsid w:val="00902F17"/>
    <w:rsid w:val="00903288"/>
    <w:rsid w:val="00903D0D"/>
    <w:rsid w:val="009040F9"/>
    <w:rsid w:val="00904497"/>
    <w:rsid w:val="0090465A"/>
    <w:rsid w:val="00904E6A"/>
    <w:rsid w:val="00905155"/>
    <w:rsid w:val="009052FC"/>
    <w:rsid w:val="00906F4A"/>
    <w:rsid w:val="0090797A"/>
    <w:rsid w:val="00910EF6"/>
    <w:rsid w:val="00912152"/>
    <w:rsid w:val="00912559"/>
    <w:rsid w:val="00912A6C"/>
    <w:rsid w:val="00912A7F"/>
    <w:rsid w:val="009133E9"/>
    <w:rsid w:val="009134BE"/>
    <w:rsid w:val="00913798"/>
    <w:rsid w:val="0091405C"/>
    <w:rsid w:val="009158B0"/>
    <w:rsid w:val="00916367"/>
    <w:rsid w:val="009176B2"/>
    <w:rsid w:val="0092151E"/>
    <w:rsid w:val="00922413"/>
    <w:rsid w:val="00922B70"/>
    <w:rsid w:val="009236AF"/>
    <w:rsid w:val="00923D31"/>
    <w:rsid w:val="00924338"/>
    <w:rsid w:val="00925398"/>
    <w:rsid w:val="00925986"/>
    <w:rsid w:val="00925A49"/>
    <w:rsid w:val="009263A8"/>
    <w:rsid w:val="009266CD"/>
    <w:rsid w:val="00927E59"/>
    <w:rsid w:val="00930722"/>
    <w:rsid w:val="00930742"/>
    <w:rsid w:val="0093185E"/>
    <w:rsid w:val="0093271A"/>
    <w:rsid w:val="0093272C"/>
    <w:rsid w:val="009328E0"/>
    <w:rsid w:val="00932E47"/>
    <w:rsid w:val="00932ED6"/>
    <w:rsid w:val="00933141"/>
    <w:rsid w:val="00933B63"/>
    <w:rsid w:val="00933C36"/>
    <w:rsid w:val="00934267"/>
    <w:rsid w:val="009349F0"/>
    <w:rsid w:val="00934C76"/>
    <w:rsid w:val="009355F0"/>
    <w:rsid w:val="00935646"/>
    <w:rsid w:val="0093565A"/>
    <w:rsid w:val="009365B0"/>
    <w:rsid w:val="009374D2"/>
    <w:rsid w:val="00941C14"/>
    <w:rsid w:val="00942C2E"/>
    <w:rsid w:val="00942F7C"/>
    <w:rsid w:val="0094362E"/>
    <w:rsid w:val="00944422"/>
    <w:rsid w:val="0094559C"/>
    <w:rsid w:val="009457F5"/>
    <w:rsid w:val="00945E8C"/>
    <w:rsid w:val="009467CC"/>
    <w:rsid w:val="009467F0"/>
    <w:rsid w:val="00946F6D"/>
    <w:rsid w:val="00947C7A"/>
    <w:rsid w:val="009518DF"/>
    <w:rsid w:val="00951BA5"/>
    <w:rsid w:val="00952919"/>
    <w:rsid w:val="009529C4"/>
    <w:rsid w:val="00952A57"/>
    <w:rsid w:val="00952F94"/>
    <w:rsid w:val="00953385"/>
    <w:rsid w:val="00954909"/>
    <w:rsid w:val="00955330"/>
    <w:rsid w:val="009556A8"/>
    <w:rsid w:val="00955B5C"/>
    <w:rsid w:val="00955BFB"/>
    <w:rsid w:val="00956B73"/>
    <w:rsid w:val="00956C33"/>
    <w:rsid w:val="00956D4C"/>
    <w:rsid w:val="00956F89"/>
    <w:rsid w:val="00957BB7"/>
    <w:rsid w:val="00960D57"/>
    <w:rsid w:val="009616B1"/>
    <w:rsid w:val="00962130"/>
    <w:rsid w:val="0096253F"/>
    <w:rsid w:val="00962A9B"/>
    <w:rsid w:val="00962B9E"/>
    <w:rsid w:val="00963A02"/>
    <w:rsid w:val="009646C1"/>
    <w:rsid w:val="009647D9"/>
    <w:rsid w:val="00964A6B"/>
    <w:rsid w:val="009659EF"/>
    <w:rsid w:val="00965CEA"/>
    <w:rsid w:val="00965F5C"/>
    <w:rsid w:val="00965F6B"/>
    <w:rsid w:val="00966099"/>
    <w:rsid w:val="00966903"/>
    <w:rsid w:val="009676D2"/>
    <w:rsid w:val="00967EAA"/>
    <w:rsid w:val="009703CC"/>
    <w:rsid w:val="00970C65"/>
    <w:rsid w:val="00970F86"/>
    <w:rsid w:val="00972297"/>
    <w:rsid w:val="0097324F"/>
    <w:rsid w:val="009744DD"/>
    <w:rsid w:val="0097453C"/>
    <w:rsid w:val="00975734"/>
    <w:rsid w:val="00975B9A"/>
    <w:rsid w:val="009760CA"/>
    <w:rsid w:val="00976106"/>
    <w:rsid w:val="009764F4"/>
    <w:rsid w:val="00976C4C"/>
    <w:rsid w:val="009779BE"/>
    <w:rsid w:val="00977A6E"/>
    <w:rsid w:val="00977C80"/>
    <w:rsid w:val="00980730"/>
    <w:rsid w:val="00980D19"/>
    <w:rsid w:val="009810C7"/>
    <w:rsid w:val="00981141"/>
    <w:rsid w:val="00982D7D"/>
    <w:rsid w:val="00983126"/>
    <w:rsid w:val="00983D8A"/>
    <w:rsid w:val="0098413A"/>
    <w:rsid w:val="00985FE1"/>
    <w:rsid w:val="0098627D"/>
    <w:rsid w:val="00986610"/>
    <w:rsid w:val="00986AF8"/>
    <w:rsid w:val="00986BD5"/>
    <w:rsid w:val="00986BDC"/>
    <w:rsid w:val="00987421"/>
    <w:rsid w:val="00987B01"/>
    <w:rsid w:val="00987F07"/>
    <w:rsid w:val="00990A48"/>
    <w:rsid w:val="009920AD"/>
    <w:rsid w:val="00992A89"/>
    <w:rsid w:val="00992FB6"/>
    <w:rsid w:val="00992FFF"/>
    <w:rsid w:val="009933E9"/>
    <w:rsid w:val="00993456"/>
    <w:rsid w:val="00996CC7"/>
    <w:rsid w:val="00996DA6"/>
    <w:rsid w:val="00997761"/>
    <w:rsid w:val="00997775"/>
    <w:rsid w:val="009A0CDF"/>
    <w:rsid w:val="009A13D6"/>
    <w:rsid w:val="009A1642"/>
    <w:rsid w:val="009A1A00"/>
    <w:rsid w:val="009A1B35"/>
    <w:rsid w:val="009A2014"/>
    <w:rsid w:val="009A2677"/>
    <w:rsid w:val="009A2E61"/>
    <w:rsid w:val="009A3205"/>
    <w:rsid w:val="009A3DCC"/>
    <w:rsid w:val="009A43B5"/>
    <w:rsid w:val="009A4DAD"/>
    <w:rsid w:val="009A501E"/>
    <w:rsid w:val="009A54D6"/>
    <w:rsid w:val="009A5703"/>
    <w:rsid w:val="009A595F"/>
    <w:rsid w:val="009A5DF9"/>
    <w:rsid w:val="009A67BA"/>
    <w:rsid w:val="009A6C55"/>
    <w:rsid w:val="009A71D0"/>
    <w:rsid w:val="009A7749"/>
    <w:rsid w:val="009A7A43"/>
    <w:rsid w:val="009B19F9"/>
    <w:rsid w:val="009B1A33"/>
    <w:rsid w:val="009B1F7F"/>
    <w:rsid w:val="009B2100"/>
    <w:rsid w:val="009B30DD"/>
    <w:rsid w:val="009B36E2"/>
    <w:rsid w:val="009B44EF"/>
    <w:rsid w:val="009B4643"/>
    <w:rsid w:val="009B4AAC"/>
    <w:rsid w:val="009B54AD"/>
    <w:rsid w:val="009B6550"/>
    <w:rsid w:val="009B7553"/>
    <w:rsid w:val="009C0794"/>
    <w:rsid w:val="009C16AE"/>
    <w:rsid w:val="009C16E6"/>
    <w:rsid w:val="009C1843"/>
    <w:rsid w:val="009C2AD7"/>
    <w:rsid w:val="009C2CDB"/>
    <w:rsid w:val="009C2DE2"/>
    <w:rsid w:val="009C3469"/>
    <w:rsid w:val="009C3C9F"/>
    <w:rsid w:val="009C4865"/>
    <w:rsid w:val="009C4C7A"/>
    <w:rsid w:val="009C4E57"/>
    <w:rsid w:val="009C6139"/>
    <w:rsid w:val="009C6B45"/>
    <w:rsid w:val="009D0176"/>
    <w:rsid w:val="009D02BC"/>
    <w:rsid w:val="009D0DBA"/>
    <w:rsid w:val="009D1A0C"/>
    <w:rsid w:val="009D1A49"/>
    <w:rsid w:val="009D2055"/>
    <w:rsid w:val="009D242C"/>
    <w:rsid w:val="009D2B8F"/>
    <w:rsid w:val="009D36EF"/>
    <w:rsid w:val="009D3930"/>
    <w:rsid w:val="009D4592"/>
    <w:rsid w:val="009D4A51"/>
    <w:rsid w:val="009D6056"/>
    <w:rsid w:val="009E1A4F"/>
    <w:rsid w:val="009E2722"/>
    <w:rsid w:val="009E2948"/>
    <w:rsid w:val="009E38E5"/>
    <w:rsid w:val="009E5AD5"/>
    <w:rsid w:val="009E5B3E"/>
    <w:rsid w:val="009E6403"/>
    <w:rsid w:val="009E74E1"/>
    <w:rsid w:val="009E7605"/>
    <w:rsid w:val="009E7C7F"/>
    <w:rsid w:val="009E7FC0"/>
    <w:rsid w:val="009F09DB"/>
    <w:rsid w:val="009F0B61"/>
    <w:rsid w:val="009F13F7"/>
    <w:rsid w:val="009F1EDC"/>
    <w:rsid w:val="009F1F74"/>
    <w:rsid w:val="009F2777"/>
    <w:rsid w:val="009F2B21"/>
    <w:rsid w:val="009F3060"/>
    <w:rsid w:val="009F34BA"/>
    <w:rsid w:val="009F4C0D"/>
    <w:rsid w:val="009F69A2"/>
    <w:rsid w:val="009F7CEF"/>
    <w:rsid w:val="00A00EA4"/>
    <w:rsid w:val="00A01C2F"/>
    <w:rsid w:val="00A025DF"/>
    <w:rsid w:val="00A02CC9"/>
    <w:rsid w:val="00A03190"/>
    <w:rsid w:val="00A04A07"/>
    <w:rsid w:val="00A05B99"/>
    <w:rsid w:val="00A05E8C"/>
    <w:rsid w:val="00A07C90"/>
    <w:rsid w:val="00A122C2"/>
    <w:rsid w:val="00A12312"/>
    <w:rsid w:val="00A1302E"/>
    <w:rsid w:val="00A137D1"/>
    <w:rsid w:val="00A143F1"/>
    <w:rsid w:val="00A148F4"/>
    <w:rsid w:val="00A15D5D"/>
    <w:rsid w:val="00A16921"/>
    <w:rsid w:val="00A16DE6"/>
    <w:rsid w:val="00A17340"/>
    <w:rsid w:val="00A20F6B"/>
    <w:rsid w:val="00A21599"/>
    <w:rsid w:val="00A2356B"/>
    <w:rsid w:val="00A23BDC"/>
    <w:rsid w:val="00A24AF3"/>
    <w:rsid w:val="00A250E0"/>
    <w:rsid w:val="00A251F1"/>
    <w:rsid w:val="00A2533B"/>
    <w:rsid w:val="00A25F72"/>
    <w:rsid w:val="00A26DAF"/>
    <w:rsid w:val="00A30AF3"/>
    <w:rsid w:val="00A33BCD"/>
    <w:rsid w:val="00A33E66"/>
    <w:rsid w:val="00A34761"/>
    <w:rsid w:val="00A34EF1"/>
    <w:rsid w:val="00A3548F"/>
    <w:rsid w:val="00A35A37"/>
    <w:rsid w:val="00A35CBC"/>
    <w:rsid w:val="00A3697E"/>
    <w:rsid w:val="00A36F8A"/>
    <w:rsid w:val="00A37016"/>
    <w:rsid w:val="00A37311"/>
    <w:rsid w:val="00A37CEA"/>
    <w:rsid w:val="00A37F2B"/>
    <w:rsid w:val="00A40576"/>
    <w:rsid w:val="00A41A06"/>
    <w:rsid w:val="00A41E59"/>
    <w:rsid w:val="00A422A2"/>
    <w:rsid w:val="00A43640"/>
    <w:rsid w:val="00A43680"/>
    <w:rsid w:val="00A43707"/>
    <w:rsid w:val="00A44CAA"/>
    <w:rsid w:val="00A44EAD"/>
    <w:rsid w:val="00A44FF0"/>
    <w:rsid w:val="00A45051"/>
    <w:rsid w:val="00A453CB"/>
    <w:rsid w:val="00A455D9"/>
    <w:rsid w:val="00A501F0"/>
    <w:rsid w:val="00A50338"/>
    <w:rsid w:val="00A507AF"/>
    <w:rsid w:val="00A50AF3"/>
    <w:rsid w:val="00A5158A"/>
    <w:rsid w:val="00A51A51"/>
    <w:rsid w:val="00A52AC5"/>
    <w:rsid w:val="00A53D75"/>
    <w:rsid w:val="00A544C9"/>
    <w:rsid w:val="00A54A33"/>
    <w:rsid w:val="00A55406"/>
    <w:rsid w:val="00A55BA6"/>
    <w:rsid w:val="00A56024"/>
    <w:rsid w:val="00A56ADC"/>
    <w:rsid w:val="00A572AA"/>
    <w:rsid w:val="00A57549"/>
    <w:rsid w:val="00A57B45"/>
    <w:rsid w:val="00A60A03"/>
    <w:rsid w:val="00A60A5B"/>
    <w:rsid w:val="00A60C81"/>
    <w:rsid w:val="00A61919"/>
    <w:rsid w:val="00A638DC"/>
    <w:rsid w:val="00A63DA3"/>
    <w:rsid w:val="00A64275"/>
    <w:rsid w:val="00A646E4"/>
    <w:rsid w:val="00A64D23"/>
    <w:rsid w:val="00A650AB"/>
    <w:rsid w:val="00A65218"/>
    <w:rsid w:val="00A66032"/>
    <w:rsid w:val="00A66098"/>
    <w:rsid w:val="00A67B17"/>
    <w:rsid w:val="00A7002C"/>
    <w:rsid w:val="00A7013A"/>
    <w:rsid w:val="00A70BCC"/>
    <w:rsid w:val="00A70D44"/>
    <w:rsid w:val="00A71069"/>
    <w:rsid w:val="00A72396"/>
    <w:rsid w:val="00A7314F"/>
    <w:rsid w:val="00A75166"/>
    <w:rsid w:val="00A75503"/>
    <w:rsid w:val="00A76C42"/>
    <w:rsid w:val="00A77139"/>
    <w:rsid w:val="00A77755"/>
    <w:rsid w:val="00A779FA"/>
    <w:rsid w:val="00A804A8"/>
    <w:rsid w:val="00A82544"/>
    <w:rsid w:val="00A82A2C"/>
    <w:rsid w:val="00A83496"/>
    <w:rsid w:val="00A8463D"/>
    <w:rsid w:val="00A84A1D"/>
    <w:rsid w:val="00A854AE"/>
    <w:rsid w:val="00A856DF"/>
    <w:rsid w:val="00A85BE5"/>
    <w:rsid w:val="00A86131"/>
    <w:rsid w:val="00A8627B"/>
    <w:rsid w:val="00A86509"/>
    <w:rsid w:val="00A867C9"/>
    <w:rsid w:val="00A86B5C"/>
    <w:rsid w:val="00A87E61"/>
    <w:rsid w:val="00A904BB"/>
    <w:rsid w:val="00A928EA"/>
    <w:rsid w:val="00A92B9C"/>
    <w:rsid w:val="00A93E77"/>
    <w:rsid w:val="00A9414A"/>
    <w:rsid w:val="00A9500B"/>
    <w:rsid w:val="00A9507F"/>
    <w:rsid w:val="00A95821"/>
    <w:rsid w:val="00A96B0F"/>
    <w:rsid w:val="00A96B79"/>
    <w:rsid w:val="00A97D3E"/>
    <w:rsid w:val="00AA0187"/>
    <w:rsid w:val="00AA2451"/>
    <w:rsid w:val="00AA2577"/>
    <w:rsid w:val="00AA3BAD"/>
    <w:rsid w:val="00AA5803"/>
    <w:rsid w:val="00AA6DAC"/>
    <w:rsid w:val="00AB087F"/>
    <w:rsid w:val="00AB1951"/>
    <w:rsid w:val="00AB2B0A"/>
    <w:rsid w:val="00AB3A8A"/>
    <w:rsid w:val="00AB3A9A"/>
    <w:rsid w:val="00AB4221"/>
    <w:rsid w:val="00AB4739"/>
    <w:rsid w:val="00AB55DF"/>
    <w:rsid w:val="00AB5C23"/>
    <w:rsid w:val="00AB6223"/>
    <w:rsid w:val="00AB668E"/>
    <w:rsid w:val="00AB6F67"/>
    <w:rsid w:val="00AB79D7"/>
    <w:rsid w:val="00AB7AEC"/>
    <w:rsid w:val="00AB7BD0"/>
    <w:rsid w:val="00AC0658"/>
    <w:rsid w:val="00AC09D7"/>
    <w:rsid w:val="00AC14EC"/>
    <w:rsid w:val="00AC193B"/>
    <w:rsid w:val="00AC21CA"/>
    <w:rsid w:val="00AC250E"/>
    <w:rsid w:val="00AC25E9"/>
    <w:rsid w:val="00AC2D64"/>
    <w:rsid w:val="00AC32E8"/>
    <w:rsid w:val="00AC37A6"/>
    <w:rsid w:val="00AC425F"/>
    <w:rsid w:val="00AC4798"/>
    <w:rsid w:val="00AC4A3A"/>
    <w:rsid w:val="00AC4E84"/>
    <w:rsid w:val="00AC5F81"/>
    <w:rsid w:val="00AC6EF0"/>
    <w:rsid w:val="00AC744E"/>
    <w:rsid w:val="00AC7988"/>
    <w:rsid w:val="00AD0D5A"/>
    <w:rsid w:val="00AD118B"/>
    <w:rsid w:val="00AD1AB0"/>
    <w:rsid w:val="00AD1B44"/>
    <w:rsid w:val="00AD1D6F"/>
    <w:rsid w:val="00AD2DCD"/>
    <w:rsid w:val="00AD2FBA"/>
    <w:rsid w:val="00AD3124"/>
    <w:rsid w:val="00AD4862"/>
    <w:rsid w:val="00AD5391"/>
    <w:rsid w:val="00AD6083"/>
    <w:rsid w:val="00AD614F"/>
    <w:rsid w:val="00AD678E"/>
    <w:rsid w:val="00AD6D20"/>
    <w:rsid w:val="00AD7E6D"/>
    <w:rsid w:val="00AE0104"/>
    <w:rsid w:val="00AE16C4"/>
    <w:rsid w:val="00AE1A2F"/>
    <w:rsid w:val="00AE266B"/>
    <w:rsid w:val="00AE3F8B"/>
    <w:rsid w:val="00AE45B8"/>
    <w:rsid w:val="00AE4795"/>
    <w:rsid w:val="00AE6016"/>
    <w:rsid w:val="00AE6290"/>
    <w:rsid w:val="00AE65FE"/>
    <w:rsid w:val="00AE6E88"/>
    <w:rsid w:val="00AE73CD"/>
    <w:rsid w:val="00AE7A60"/>
    <w:rsid w:val="00AE7B91"/>
    <w:rsid w:val="00AF0E22"/>
    <w:rsid w:val="00AF10D4"/>
    <w:rsid w:val="00AF2BC3"/>
    <w:rsid w:val="00AF3465"/>
    <w:rsid w:val="00AF38D1"/>
    <w:rsid w:val="00AF3AD0"/>
    <w:rsid w:val="00AF6E3C"/>
    <w:rsid w:val="00AF71DF"/>
    <w:rsid w:val="00B00590"/>
    <w:rsid w:val="00B00D08"/>
    <w:rsid w:val="00B00EEB"/>
    <w:rsid w:val="00B02368"/>
    <w:rsid w:val="00B02A6B"/>
    <w:rsid w:val="00B02AA9"/>
    <w:rsid w:val="00B02B32"/>
    <w:rsid w:val="00B0366B"/>
    <w:rsid w:val="00B041AF"/>
    <w:rsid w:val="00B04CE9"/>
    <w:rsid w:val="00B05687"/>
    <w:rsid w:val="00B05771"/>
    <w:rsid w:val="00B05B3F"/>
    <w:rsid w:val="00B066B6"/>
    <w:rsid w:val="00B06751"/>
    <w:rsid w:val="00B06A18"/>
    <w:rsid w:val="00B07C42"/>
    <w:rsid w:val="00B10A59"/>
    <w:rsid w:val="00B11BAB"/>
    <w:rsid w:val="00B11E19"/>
    <w:rsid w:val="00B12668"/>
    <w:rsid w:val="00B12953"/>
    <w:rsid w:val="00B14450"/>
    <w:rsid w:val="00B146C2"/>
    <w:rsid w:val="00B14B1D"/>
    <w:rsid w:val="00B16E45"/>
    <w:rsid w:val="00B16F05"/>
    <w:rsid w:val="00B203A0"/>
    <w:rsid w:val="00B22163"/>
    <w:rsid w:val="00B2438E"/>
    <w:rsid w:val="00B253F6"/>
    <w:rsid w:val="00B25974"/>
    <w:rsid w:val="00B26164"/>
    <w:rsid w:val="00B2616D"/>
    <w:rsid w:val="00B26C2B"/>
    <w:rsid w:val="00B27B43"/>
    <w:rsid w:val="00B27D55"/>
    <w:rsid w:val="00B27F19"/>
    <w:rsid w:val="00B3101F"/>
    <w:rsid w:val="00B31AFC"/>
    <w:rsid w:val="00B31BD9"/>
    <w:rsid w:val="00B32391"/>
    <w:rsid w:val="00B33890"/>
    <w:rsid w:val="00B33962"/>
    <w:rsid w:val="00B34249"/>
    <w:rsid w:val="00B34581"/>
    <w:rsid w:val="00B34722"/>
    <w:rsid w:val="00B3476D"/>
    <w:rsid w:val="00B3593D"/>
    <w:rsid w:val="00B37239"/>
    <w:rsid w:val="00B37D6E"/>
    <w:rsid w:val="00B4052C"/>
    <w:rsid w:val="00B40694"/>
    <w:rsid w:val="00B40E34"/>
    <w:rsid w:val="00B41876"/>
    <w:rsid w:val="00B41D9E"/>
    <w:rsid w:val="00B421BC"/>
    <w:rsid w:val="00B42987"/>
    <w:rsid w:val="00B42EBD"/>
    <w:rsid w:val="00B43301"/>
    <w:rsid w:val="00B4350D"/>
    <w:rsid w:val="00B44FBA"/>
    <w:rsid w:val="00B45076"/>
    <w:rsid w:val="00B45471"/>
    <w:rsid w:val="00B4559C"/>
    <w:rsid w:val="00B46416"/>
    <w:rsid w:val="00B46F35"/>
    <w:rsid w:val="00B4734B"/>
    <w:rsid w:val="00B50355"/>
    <w:rsid w:val="00B514D1"/>
    <w:rsid w:val="00B5162A"/>
    <w:rsid w:val="00B51664"/>
    <w:rsid w:val="00B527C8"/>
    <w:rsid w:val="00B55372"/>
    <w:rsid w:val="00B55F0A"/>
    <w:rsid w:val="00B56362"/>
    <w:rsid w:val="00B56D29"/>
    <w:rsid w:val="00B57044"/>
    <w:rsid w:val="00B57207"/>
    <w:rsid w:val="00B57532"/>
    <w:rsid w:val="00B5783D"/>
    <w:rsid w:val="00B606E9"/>
    <w:rsid w:val="00B60CA7"/>
    <w:rsid w:val="00B6103D"/>
    <w:rsid w:val="00B612F7"/>
    <w:rsid w:val="00B6158E"/>
    <w:rsid w:val="00B61A74"/>
    <w:rsid w:val="00B6249D"/>
    <w:rsid w:val="00B63D09"/>
    <w:rsid w:val="00B641AF"/>
    <w:rsid w:val="00B641FE"/>
    <w:rsid w:val="00B64971"/>
    <w:rsid w:val="00B64D97"/>
    <w:rsid w:val="00B6504A"/>
    <w:rsid w:val="00B65B68"/>
    <w:rsid w:val="00B665A6"/>
    <w:rsid w:val="00B672D8"/>
    <w:rsid w:val="00B67C8F"/>
    <w:rsid w:val="00B70126"/>
    <w:rsid w:val="00B704E0"/>
    <w:rsid w:val="00B708FC"/>
    <w:rsid w:val="00B70FA8"/>
    <w:rsid w:val="00B733ED"/>
    <w:rsid w:val="00B73F38"/>
    <w:rsid w:val="00B73F62"/>
    <w:rsid w:val="00B7636C"/>
    <w:rsid w:val="00B76C88"/>
    <w:rsid w:val="00B8005D"/>
    <w:rsid w:val="00B80A2B"/>
    <w:rsid w:val="00B81611"/>
    <w:rsid w:val="00B81A87"/>
    <w:rsid w:val="00B81CA9"/>
    <w:rsid w:val="00B8200B"/>
    <w:rsid w:val="00B82066"/>
    <w:rsid w:val="00B82256"/>
    <w:rsid w:val="00B8288E"/>
    <w:rsid w:val="00B83282"/>
    <w:rsid w:val="00B8390E"/>
    <w:rsid w:val="00B83B90"/>
    <w:rsid w:val="00B84437"/>
    <w:rsid w:val="00B84ACE"/>
    <w:rsid w:val="00B856CE"/>
    <w:rsid w:val="00B85CC5"/>
    <w:rsid w:val="00B86319"/>
    <w:rsid w:val="00B869C3"/>
    <w:rsid w:val="00B87C87"/>
    <w:rsid w:val="00B87DF9"/>
    <w:rsid w:val="00B90563"/>
    <w:rsid w:val="00B927A7"/>
    <w:rsid w:val="00B92A61"/>
    <w:rsid w:val="00B92B10"/>
    <w:rsid w:val="00B92EB4"/>
    <w:rsid w:val="00B93816"/>
    <w:rsid w:val="00B93E18"/>
    <w:rsid w:val="00B94A3F"/>
    <w:rsid w:val="00B95541"/>
    <w:rsid w:val="00B9585A"/>
    <w:rsid w:val="00B96E17"/>
    <w:rsid w:val="00BA0685"/>
    <w:rsid w:val="00BA0A1D"/>
    <w:rsid w:val="00BA1523"/>
    <w:rsid w:val="00BA1B1E"/>
    <w:rsid w:val="00BA1DB6"/>
    <w:rsid w:val="00BA330E"/>
    <w:rsid w:val="00BA350C"/>
    <w:rsid w:val="00BA364C"/>
    <w:rsid w:val="00BA3806"/>
    <w:rsid w:val="00BA3C71"/>
    <w:rsid w:val="00BA4310"/>
    <w:rsid w:val="00BA5BBB"/>
    <w:rsid w:val="00BB033B"/>
    <w:rsid w:val="00BB05B8"/>
    <w:rsid w:val="00BB180B"/>
    <w:rsid w:val="00BB1F8A"/>
    <w:rsid w:val="00BB3328"/>
    <w:rsid w:val="00BB39D0"/>
    <w:rsid w:val="00BB5289"/>
    <w:rsid w:val="00BB5513"/>
    <w:rsid w:val="00BB5668"/>
    <w:rsid w:val="00BB5803"/>
    <w:rsid w:val="00BB6065"/>
    <w:rsid w:val="00BB762A"/>
    <w:rsid w:val="00BB7AB5"/>
    <w:rsid w:val="00BB7FE2"/>
    <w:rsid w:val="00BC071B"/>
    <w:rsid w:val="00BC0D7D"/>
    <w:rsid w:val="00BC0F90"/>
    <w:rsid w:val="00BC2B03"/>
    <w:rsid w:val="00BC3DC1"/>
    <w:rsid w:val="00BC69E2"/>
    <w:rsid w:val="00BC6B19"/>
    <w:rsid w:val="00BC7143"/>
    <w:rsid w:val="00BC755D"/>
    <w:rsid w:val="00BD02CC"/>
    <w:rsid w:val="00BD05AE"/>
    <w:rsid w:val="00BD0642"/>
    <w:rsid w:val="00BD0C94"/>
    <w:rsid w:val="00BD19EE"/>
    <w:rsid w:val="00BD1EDF"/>
    <w:rsid w:val="00BD29CF"/>
    <w:rsid w:val="00BD4663"/>
    <w:rsid w:val="00BD47FA"/>
    <w:rsid w:val="00BD5C18"/>
    <w:rsid w:val="00BD5C25"/>
    <w:rsid w:val="00BD6161"/>
    <w:rsid w:val="00BE0595"/>
    <w:rsid w:val="00BE0F46"/>
    <w:rsid w:val="00BE1774"/>
    <w:rsid w:val="00BE1789"/>
    <w:rsid w:val="00BE3662"/>
    <w:rsid w:val="00BE42EF"/>
    <w:rsid w:val="00BE6994"/>
    <w:rsid w:val="00BE7316"/>
    <w:rsid w:val="00BF2807"/>
    <w:rsid w:val="00BF2C7A"/>
    <w:rsid w:val="00BF2EE0"/>
    <w:rsid w:val="00BF31D8"/>
    <w:rsid w:val="00BF4465"/>
    <w:rsid w:val="00BF481A"/>
    <w:rsid w:val="00BF5217"/>
    <w:rsid w:val="00BF5672"/>
    <w:rsid w:val="00BF5D8D"/>
    <w:rsid w:val="00BF6203"/>
    <w:rsid w:val="00BF7AFC"/>
    <w:rsid w:val="00C003CD"/>
    <w:rsid w:val="00C00662"/>
    <w:rsid w:val="00C008FD"/>
    <w:rsid w:val="00C01CDD"/>
    <w:rsid w:val="00C02B34"/>
    <w:rsid w:val="00C02EC5"/>
    <w:rsid w:val="00C03ECC"/>
    <w:rsid w:val="00C04216"/>
    <w:rsid w:val="00C04402"/>
    <w:rsid w:val="00C069BF"/>
    <w:rsid w:val="00C06A52"/>
    <w:rsid w:val="00C07E1F"/>
    <w:rsid w:val="00C07F2A"/>
    <w:rsid w:val="00C1098F"/>
    <w:rsid w:val="00C10D2E"/>
    <w:rsid w:val="00C117B2"/>
    <w:rsid w:val="00C12E5F"/>
    <w:rsid w:val="00C13D68"/>
    <w:rsid w:val="00C13DBB"/>
    <w:rsid w:val="00C1409A"/>
    <w:rsid w:val="00C1431C"/>
    <w:rsid w:val="00C14410"/>
    <w:rsid w:val="00C147CB"/>
    <w:rsid w:val="00C16349"/>
    <w:rsid w:val="00C167B9"/>
    <w:rsid w:val="00C17789"/>
    <w:rsid w:val="00C20554"/>
    <w:rsid w:val="00C213F6"/>
    <w:rsid w:val="00C24560"/>
    <w:rsid w:val="00C24CEA"/>
    <w:rsid w:val="00C252B4"/>
    <w:rsid w:val="00C25556"/>
    <w:rsid w:val="00C2564F"/>
    <w:rsid w:val="00C26248"/>
    <w:rsid w:val="00C262A9"/>
    <w:rsid w:val="00C26354"/>
    <w:rsid w:val="00C26572"/>
    <w:rsid w:val="00C27320"/>
    <w:rsid w:val="00C27C2B"/>
    <w:rsid w:val="00C30327"/>
    <w:rsid w:val="00C30469"/>
    <w:rsid w:val="00C313C0"/>
    <w:rsid w:val="00C31679"/>
    <w:rsid w:val="00C31B4B"/>
    <w:rsid w:val="00C324C5"/>
    <w:rsid w:val="00C3595D"/>
    <w:rsid w:val="00C36535"/>
    <w:rsid w:val="00C41503"/>
    <w:rsid w:val="00C42C30"/>
    <w:rsid w:val="00C42FED"/>
    <w:rsid w:val="00C43695"/>
    <w:rsid w:val="00C442F7"/>
    <w:rsid w:val="00C44F62"/>
    <w:rsid w:val="00C465DB"/>
    <w:rsid w:val="00C47EC6"/>
    <w:rsid w:val="00C51D4F"/>
    <w:rsid w:val="00C52543"/>
    <w:rsid w:val="00C52FA0"/>
    <w:rsid w:val="00C54834"/>
    <w:rsid w:val="00C54DDF"/>
    <w:rsid w:val="00C5523A"/>
    <w:rsid w:val="00C5656A"/>
    <w:rsid w:val="00C57BF2"/>
    <w:rsid w:val="00C604A4"/>
    <w:rsid w:val="00C6218E"/>
    <w:rsid w:val="00C62801"/>
    <w:rsid w:val="00C638E8"/>
    <w:rsid w:val="00C63A81"/>
    <w:rsid w:val="00C65603"/>
    <w:rsid w:val="00C658C7"/>
    <w:rsid w:val="00C65A15"/>
    <w:rsid w:val="00C65E14"/>
    <w:rsid w:val="00C6784A"/>
    <w:rsid w:val="00C70D8D"/>
    <w:rsid w:val="00C715D1"/>
    <w:rsid w:val="00C7230B"/>
    <w:rsid w:val="00C73C0A"/>
    <w:rsid w:val="00C74E42"/>
    <w:rsid w:val="00C75810"/>
    <w:rsid w:val="00C75B05"/>
    <w:rsid w:val="00C75EA6"/>
    <w:rsid w:val="00C76AA6"/>
    <w:rsid w:val="00C77427"/>
    <w:rsid w:val="00C7781E"/>
    <w:rsid w:val="00C800A2"/>
    <w:rsid w:val="00C80527"/>
    <w:rsid w:val="00C8087D"/>
    <w:rsid w:val="00C8191B"/>
    <w:rsid w:val="00C828AD"/>
    <w:rsid w:val="00C82DC0"/>
    <w:rsid w:val="00C8413D"/>
    <w:rsid w:val="00C850D5"/>
    <w:rsid w:val="00C863EA"/>
    <w:rsid w:val="00C86552"/>
    <w:rsid w:val="00C8657B"/>
    <w:rsid w:val="00C86BB5"/>
    <w:rsid w:val="00C86F32"/>
    <w:rsid w:val="00C8768D"/>
    <w:rsid w:val="00C87D10"/>
    <w:rsid w:val="00C901A9"/>
    <w:rsid w:val="00C903B1"/>
    <w:rsid w:val="00C92055"/>
    <w:rsid w:val="00C92AC9"/>
    <w:rsid w:val="00C92BBE"/>
    <w:rsid w:val="00C9337F"/>
    <w:rsid w:val="00C9669D"/>
    <w:rsid w:val="00C969DB"/>
    <w:rsid w:val="00C96B43"/>
    <w:rsid w:val="00C97419"/>
    <w:rsid w:val="00C97E16"/>
    <w:rsid w:val="00CA0FC7"/>
    <w:rsid w:val="00CA11B1"/>
    <w:rsid w:val="00CA211E"/>
    <w:rsid w:val="00CA2F82"/>
    <w:rsid w:val="00CA305B"/>
    <w:rsid w:val="00CA352B"/>
    <w:rsid w:val="00CA47B2"/>
    <w:rsid w:val="00CA563D"/>
    <w:rsid w:val="00CA57D2"/>
    <w:rsid w:val="00CA74E6"/>
    <w:rsid w:val="00CA7B2F"/>
    <w:rsid w:val="00CB0F00"/>
    <w:rsid w:val="00CB2292"/>
    <w:rsid w:val="00CB2819"/>
    <w:rsid w:val="00CB31D6"/>
    <w:rsid w:val="00CB3BA4"/>
    <w:rsid w:val="00CB3E75"/>
    <w:rsid w:val="00CB44CB"/>
    <w:rsid w:val="00CB4788"/>
    <w:rsid w:val="00CB490C"/>
    <w:rsid w:val="00CB4B77"/>
    <w:rsid w:val="00CB5218"/>
    <w:rsid w:val="00CB5EE3"/>
    <w:rsid w:val="00CB6082"/>
    <w:rsid w:val="00CB6199"/>
    <w:rsid w:val="00CB667A"/>
    <w:rsid w:val="00CC0A81"/>
    <w:rsid w:val="00CC0B35"/>
    <w:rsid w:val="00CC1FB3"/>
    <w:rsid w:val="00CC215C"/>
    <w:rsid w:val="00CC21F9"/>
    <w:rsid w:val="00CC495A"/>
    <w:rsid w:val="00CC4B30"/>
    <w:rsid w:val="00CC5CF7"/>
    <w:rsid w:val="00CC607E"/>
    <w:rsid w:val="00CC6337"/>
    <w:rsid w:val="00CC6E69"/>
    <w:rsid w:val="00CD077C"/>
    <w:rsid w:val="00CD0E17"/>
    <w:rsid w:val="00CD1290"/>
    <w:rsid w:val="00CD214F"/>
    <w:rsid w:val="00CD244B"/>
    <w:rsid w:val="00CD443B"/>
    <w:rsid w:val="00CD4922"/>
    <w:rsid w:val="00CD4C7F"/>
    <w:rsid w:val="00CD4C9E"/>
    <w:rsid w:val="00CD69AB"/>
    <w:rsid w:val="00CD763F"/>
    <w:rsid w:val="00CE0056"/>
    <w:rsid w:val="00CE0569"/>
    <w:rsid w:val="00CE0EC7"/>
    <w:rsid w:val="00CE0FE5"/>
    <w:rsid w:val="00CE1511"/>
    <w:rsid w:val="00CE162B"/>
    <w:rsid w:val="00CE22E1"/>
    <w:rsid w:val="00CE2F7B"/>
    <w:rsid w:val="00CE38EA"/>
    <w:rsid w:val="00CE422F"/>
    <w:rsid w:val="00CE617D"/>
    <w:rsid w:val="00CE64A5"/>
    <w:rsid w:val="00CE69C3"/>
    <w:rsid w:val="00CE728D"/>
    <w:rsid w:val="00CF0288"/>
    <w:rsid w:val="00CF02F6"/>
    <w:rsid w:val="00CF1264"/>
    <w:rsid w:val="00CF2E8C"/>
    <w:rsid w:val="00CF39BC"/>
    <w:rsid w:val="00CF3C05"/>
    <w:rsid w:val="00CF40B5"/>
    <w:rsid w:val="00CF4D9D"/>
    <w:rsid w:val="00CF56E5"/>
    <w:rsid w:val="00CF57C8"/>
    <w:rsid w:val="00CF5C24"/>
    <w:rsid w:val="00CF65FE"/>
    <w:rsid w:val="00CF7D40"/>
    <w:rsid w:val="00CF7E53"/>
    <w:rsid w:val="00D00B5C"/>
    <w:rsid w:val="00D01100"/>
    <w:rsid w:val="00D01328"/>
    <w:rsid w:val="00D01393"/>
    <w:rsid w:val="00D016EE"/>
    <w:rsid w:val="00D01D66"/>
    <w:rsid w:val="00D01D9E"/>
    <w:rsid w:val="00D04142"/>
    <w:rsid w:val="00D0482D"/>
    <w:rsid w:val="00D04FBC"/>
    <w:rsid w:val="00D06306"/>
    <w:rsid w:val="00D06370"/>
    <w:rsid w:val="00D101C2"/>
    <w:rsid w:val="00D1038F"/>
    <w:rsid w:val="00D10577"/>
    <w:rsid w:val="00D10DE7"/>
    <w:rsid w:val="00D10EC2"/>
    <w:rsid w:val="00D10F94"/>
    <w:rsid w:val="00D11371"/>
    <w:rsid w:val="00D11B8F"/>
    <w:rsid w:val="00D121B1"/>
    <w:rsid w:val="00D12984"/>
    <w:rsid w:val="00D132D4"/>
    <w:rsid w:val="00D133A2"/>
    <w:rsid w:val="00D134A1"/>
    <w:rsid w:val="00D1362B"/>
    <w:rsid w:val="00D14202"/>
    <w:rsid w:val="00D14B49"/>
    <w:rsid w:val="00D15EF1"/>
    <w:rsid w:val="00D16AB3"/>
    <w:rsid w:val="00D21904"/>
    <w:rsid w:val="00D21BA4"/>
    <w:rsid w:val="00D22A0A"/>
    <w:rsid w:val="00D22BFC"/>
    <w:rsid w:val="00D22D2C"/>
    <w:rsid w:val="00D22D84"/>
    <w:rsid w:val="00D23C04"/>
    <w:rsid w:val="00D23D50"/>
    <w:rsid w:val="00D23DAE"/>
    <w:rsid w:val="00D2412D"/>
    <w:rsid w:val="00D2460E"/>
    <w:rsid w:val="00D24B59"/>
    <w:rsid w:val="00D24E72"/>
    <w:rsid w:val="00D25491"/>
    <w:rsid w:val="00D25516"/>
    <w:rsid w:val="00D2565E"/>
    <w:rsid w:val="00D263B2"/>
    <w:rsid w:val="00D27175"/>
    <w:rsid w:val="00D27AB7"/>
    <w:rsid w:val="00D30E45"/>
    <w:rsid w:val="00D32C35"/>
    <w:rsid w:val="00D334B2"/>
    <w:rsid w:val="00D3395D"/>
    <w:rsid w:val="00D3461E"/>
    <w:rsid w:val="00D351EE"/>
    <w:rsid w:val="00D352A0"/>
    <w:rsid w:val="00D3552D"/>
    <w:rsid w:val="00D35887"/>
    <w:rsid w:val="00D35E8D"/>
    <w:rsid w:val="00D36055"/>
    <w:rsid w:val="00D3662F"/>
    <w:rsid w:val="00D36C67"/>
    <w:rsid w:val="00D36CBF"/>
    <w:rsid w:val="00D37ACE"/>
    <w:rsid w:val="00D37D14"/>
    <w:rsid w:val="00D40A3E"/>
    <w:rsid w:val="00D40C94"/>
    <w:rsid w:val="00D41433"/>
    <w:rsid w:val="00D4149B"/>
    <w:rsid w:val="00D418EE"/>
    <w:rsid w:val="00D42CA9"/>
    <w:rsid w:val="00D43AB0"/>
    <w:rsid w:val="00D43D52"/>
    <w:rsid w:val="00D444D3"/>
    <w:rsid w:val="00D447D7"/>
    <w:rsid w:val="00D44E05"/>
    <w:rsid w:val="00D45110"/>
    <w:rsid w:val="00D45320"/>
    <w:rsid w:val="00D4568E"/>
    <w:rsid w:val="00D45F1B"/>
    <w:rsid w:val="00D461B2"/>
    <w:rsid w:val="00D469CF"/>
    <w:rsid w:val="00D47D97"/>
    <w:rsid w:val="00D50404"/>
    <w:rsid w:val="00D5099A"/>
    <w:rsid w:val="00D50A94"/>
    <w:rsid w:val="00D51472"/>
    <w:rsid w:val="00D51557"/>
    <w:rsid w:val="00D51EB4"/>
    <w:rsid w:val="00D5313D"/>
    <w:rsid w:val="00D542C2"/>
    <w:rsid w:val="00D5435E"/>
    <w:rsid w:val="00D55675"/>
    <w:rsid w:val="00D5617C"/>
    <w:rsid w:val="00D60A28"/>
    <w:rsid w:val="00D60EAF"/>
    <w:rsid w:val="00D61C23"/>
    <w:rsid w:val="00D61CEB"/>
    <w:rsid w:val="00D6232B"/>
    <w:rsid w:val="00D624E0"/>
    <w:rsid w:val="00D62648"/>
    <w:rsid w:val="00D62AF5"/>
    <w:rsid w:val="00D63253"/>
    <w:rsid w:val="00D63739"/>
    <w:rsid w:val="00D63F4B"/>
    <w:rsid w:val="00D64112"/>
    <w:rsid w:val="00D6418B"/>
    <w:rsid w:val="00D641D7"/>
    <w:rsid w:val="00D65C54"/>
    <w:rsid w:val="00D714D2"/>
    <w:rsid w:val="00D71C9C"/>
    <w:rsid w:val="00D72846"/>
    <w:rsid w:val="00D745B2"/>
    <w:rsid w:val="00D749EF"/>
    <w:rsid w:val="00D75126"/>
    <w:rsid w:val="00D762EF"/>
    <w:rsid w:val="00D769CA"/>
    <w:rsid w:val="00D76D53"/>
    <w:rsid w:val="00D77670"/>
    <w:rsid w:val="00D77D5F"/>
    <w:rsid w:val="00D80368"/>
    <w:rsid w:val="00D81990"/>
    <w:rsid w:val="00D81A55"/>
    <w:rsid w:val="00D82507"/>
    <w:rsid w:val="00D8256D"/>
    <w:rsid w:val="00D82B6B"/>
    <w:rsid w:val="00D82E16"/>
    <w:rsid w:val="00D83258"/>
    <w:rsid w:val="00D83521"/>
    <w:rsid w:val="00D8379E"/>
    <w:rsid w:val="00D8455D"/>
    <w:rsid w:val="00D8531E"/>
    <w:rsid w:val="00D86BF8"/>
    <w:rsid w:val="00D873BC"/>
    <w:rsid w:val="00D9130F"/>
    <w:rsid w:val="00D93353"/>
    <w:rsid w:val="00D93382"/>
    <w:rsid w:val="00D93F7A"/>
    <w:rsid w:val="00D9429A"/>
    <w:rsid w:val="00D94D76"/>
    <w:rsid w:val="00D950FC"/>
    <w:rsid w:val="00D9665A"/>
    <w:rsid w:val="00D96B35"/>
    <w:rsid w:val="00D97213"/>
    <w:rsid w:val="00D9737A"/>
    <w:rsid w:val="00DA0026"/>
    <w:rsid w:val="00DA0614"/>
    <w:rsid w:val="00DA0B12"/>
    <w:rsid w:val="00DA11A1"/>
    <w:rsid w:val="00DA176A"/>
    <w:rsid w:val="00DA2671"/>
    <w:rsid w:val="00DA29C5"/>
    <w:rsid w:val="00DA2A42"/>
    <w:rsid w:val="00DA2C11"/>
    <w:rsid w:val="00DA2D49"/>
    <w:rsid w:val="00DA3766"/>
    <w:rsid w:val="00DA48AD"/>
    <w:rsid w:val="00DA4A53"/>
    <w:rsid w:val="00DA5788"/>
    <w:rsid w:val="00DA57EE"/>
    <w:rsid w:val="00DB0C15"/>
    <w:rsid w:val="00DB1274"/>
    <w:rsid w:val="00DB1639"/>
    <w:rsid w:val="00DB18A2"/>
    <w:rsid w:val="00DB1A7E"/>
    <w:rsid w:val="00DB1C82"/>
    <w:rsid w:val="00DB2111"/>
    <w:rsid w:val="00DB25BD"/>
    <w:rsid w:val="00DB2C59"/>
    <w:rsid w:val="00DB312F"/>
    <w:rsid w:val="00DB3497"/>
    <w:rsid w:val="00DB3D91"/>
    <w:rsid w:val="00DB3ED5"/>
    <w:rsid w:val="00DB4355"/>
    <w:rsid w:val="00DB589D"/>
    <w:rsid w:val="00DB677E"/>
    <w:rsid w:val="00DB7009"/>
    <w:rsid w:val="00DB709F"/>
    <w:rsid w:val="00DB7746"/>
    <w:rsid w:val="00DC0FA7"/>
    <w:rsid w:val="00DC188C"/>
    <w:rsid w:val="00DC2122"/>
    <w:rsid w:val="00DC25A2"/>
    <w:rsid w:val="00DC2AD7"/>
    <w:rsid w:val="00DC6068"/>
    <w:rsid w:val="00DC67C0"/>
    <w:rsid w:val="00DD014D"/>
    <w:rsid w:val="00DD0253"/>
    <w:rsid w:val="00DD055F"/>
    <w:rsid w:val="00DD0AAD"/>
    <w:rsid w:val="00DD0C6A"/>
    <w:rsid w:val="00DD0E0A"/>
    <w:rsid w:val="00DD0FD7"/>
    <w:rsid w:val="00DD22C1"/>
    <w:rsid w:val="00DD24CF"/>
    <w:rsid w:val="00DD25C5"/>
    <w:rsid w:val="00DD2B6C"/>
    <w:rsid w:val="00DD2D75"/>
    <w:rsid w:val="00DD3CEC"/>
    <w:rsid w:val="00DD4526"/>
    <w:rsid w:val="00DD519C"/>
    <w:rsid w:val="00DD5C9A"/>
    <w:rsid w:val="00DD5D4A"/>
    <w:rsid w:val="00DD6A5F"/>
    <w:rsid w:val="00DD6D1C"/>
    <w:rsid w:val="00DD77B8"/>
    <w:rsid w:val="00DE0805"/>
    <w:rsid w:val="00DE087E"/>
    <w:rsid w:val="00DE0A94"/>
    <w:rsid w:val="00DE12AB"/>
    <w:rsid w:val="00DE177D"/>
    <w:rsid w:val="00DE1BC3"/>
    <w:rsid w:val="00DE2DA6"/>
    <w:rsid w:val="00DE35F1"/>
    <w:rsid w:val="00DE391F"/>
    <w:rsid w:val="00DE3B8C"/>
    <w:rsid w:val="00DE47B2"/>
    <w:rsid w:val="00DE520A"/>
    <w:rsid w:val="00DE527F"/>
    <w:rsid w:val="00DE607C"/>
    <w:rsid w:val="00DE61F2"/>
    <w:rsid w:val="00DE6D30"/>
    <w:rsid w:val="00DE7246"/>
    <w:rsid w:val="00DF0D58"/>
    <w:rsid w:val="00DF10BB"/>
    <w:rsid w:val="00DF1897"/>
    <w:rsid w:val="00DF18F7"/>
    <w:rsid w:val="00DF22A0"/>
    <w:rsid w:val="00DF29BD"/>
    <w:rsid w:val="00DF368A"/>
    <w:rsid w:val="00DF4B63"/>
    <w:rsid w:val="00DF50F6"/>
    <w:rsid w:val="00DF60A1"/>
    <w:rsid w:val="00DF6165"/>
    <w:rsid w:val="00DF65B7"/>
    <w:rsid w:val="00DF6BAB"/>
    <w:rsid w:val="00DF6F5D"/>
    <w:rsid w:val="00DF764D"/>
    <w:rsid w:val="00E009DF"/>
    <w:rsid w:val="00E010A7"/>
    <w:rsid w:val="00E011B9"/>
    <w:rsid w:val="00E01FD2"/>
    <w:rsid w:val="00E020D7"/>
    <w:rsid w:val="00E02E70"/>
    <w:rsid w:val="00E02FA1"/>
    <w:rsid w:val="00E031A2"/>
    <w:rsid w:val="00E04796"/>
    <w:rsid w:val="00E048DB"/>
    <w:rsid w:val="00E04B78"/>
    <w:rsid w:val="00E05A50"/>
    <w:rsid w:val="00E05DEB"/>
    <w:rsid w:val="00E07382"/>
    <w:rsid w:val="00E076D6"/>
    <w:rsid w:val="00E0791C"/>
    <w:rsid w:val="00E07A32"/>
    <w:rsid w:val="00E10471"/>
    <w:rsid w:val="00E10A3D"/>
    <w:rsid w:val="00E117D2"/>
    <w:rsid w:val="00E11CC4"/>
    <w:rsid w:val="00E11E86"/>
    <w:rsid w:val="00E12347"/>
    <w:rsid w:val="00E12F9D"/>
    <w:rsid w:val="00E13AB3"/>
    <w:rsid w:val="00E14213"/>
    <w:rsid w:val="00E15B06"/>
    <w:rsid w:val="00E15C04"/>
    <w:rsid w:val="00E1621B"/>
    <w:rsid w:val="00E16789"/>
    <w:rsid w:val="00E16BA6"/>
    <w:rsid w:val="00E16FED"/>
    <w:rsid w:val="00E17D84"/>
    <w:rsid w:val="00E221C9"/>
    <w:rsid w:val="00E23514"/>
    <w:rsid w:val="00E24860"/>
    <w:rsid w:val="00E24B10"/>
    <w:rsid w:val="00E25727"/>
    <w:rsid w:val="00E266AC"/>
    <w:rsid w:val="00E26B8A"/>
    <w:rsid w:val="00E26C1F"/>
    <w:rsid w:val="00E272BE"/>
    <w:rsid w:val="00E277D7"/>
    <w:rsid w:val="00E279C6"/>
    <w:rsid w:val="00E27F6A"/>
    <w:rsid w:val="00E27F73"/>
    <w:rsid w:val="00E308A7"/>
    <w:rsid w:val="00E31D65"/>
    <w:rsid w:val="00E32298"/>
    <w:rsid w:val="00E3233D"/>
    <w:rsid w:val="00E32435"/>
    <w:rsid w:val="00E35388"/>
    <w:rsid w:val="00E3640A"/>
    <w:rsid w:val="00E36539"/>
    <w:rsid w:val="00E36A6C"/>
    <w:rsid w:val="00E36B8D"/>
    <w:rsid w:val="00E3718E"/>
    <w:rsid w:val="00E4001F"/>
    <w:rsid w:val="00E4009A"/>
    <w:rsid w:val="00E405A8"/>
    <w:rsid w:val="00E409BE"/>
    <w:rsid w:val="00E40CD2"/>
    <w:rsid w:val="00E41779"/>
    <w:rsid w:val="00E4208A"/>
    <w:rsid w:val="00E42195"/>
    <w:rsid w:val="00E426E2"/>
    <w:rsid w:val="00E4284C"/>
    <w:rsid w:val="00E43D63"/>
    <w:rsid w:val="00E4515A"/>
    <w:rsid w:val="00E45DF2"/>
    <w:rsid w:val="00E50BD3"/>
    <w:rsid w:val="00E514CB"/>
    <w:rsid w:val="00E51F59"/>
    <w:rsid w:val="00E52817"/>
    <w:rsid w:val="00E529FE"/>
    <w:rsid w:val="00E5394C"/>
    <w:rsid w:val="00E54B33"/>
    <w:rsid w:val="00E55F2E"/>
    <w:rsid w:val="00E55FBC"/>
    <w:rsid w:val="00E560CF"/>
    <w:rsid w:val="00E5632C"/>
    <w:rsid w:val="00E56720"/>
    <w:rsid w:val="00E56A6A"/>
    <w:rsid w:val="00E56DD3"/>
    <w:rsid w:val="00E577F8"/>
    <w:rsid w:val="00E57AB4"/>
    <w:rsid w:val="00E601B6"/>
    <w:rsid w:val="00E603CC"/>
    <w:rsid w:val="00E605A3"/>
    <w:rsid w:val="00E61D71"/>
    <w:rsid w:val="00E61FF3"/>
    <w:rsid w:val="00E62458"/>
    <w:rsid w:val="00E6268E"/>
    <w:rsid w:val="00E6281B"/>
    <w:rsid w:val="00E63381"/>
    <w:rsid w:val="00E633DF"/>
    <w:rsid w:val="00E63E1C"/>
    <w:rsid w:val="00E651FC"/>
    <w:rsid w:val="00E6617D"/>
    <w:rsid w:val="00E670BB"/>
    <w:rsid w:val="00E67647"/>
    <w:rsid w:val="00E6773F"/>
    <w:rsid w:val="00E677E4"/>
    <w:rsid w:val="00E70A48"/>
    <w:rsid w:val="00E71256"/>
    <w:rsid w:val="00E71A4F"/>
    <w:rsid w:val="00E721C1"/>
    <w:rsid w:val="00E722DA"/>
    <w:rsid w:val="00E72B3E"/>
    <w:rsid w:val="00E72E97"/>
    <w:rsid w:val="00E733F9"/>
    <w:rsid w:val="00E7355D"/>
    <w:rsid w:val="00E742EF"/>
    <w:rsid w:val="00E7443E"/>
    <w:rsid w:val="00E7483B"/>
    <w:rsid w:val="00E75A95"/>
    <w:rsid w:val="00E77094"/>
    <w:rsid w:val="00E7747F"/>
    <w:rsid w:val="00E77527"/>
    <w:rsid w:val="00E80CD7"/>
    <w:rsid w:val="00E81474"/>
    <w:rsid w:val="00E8161F"/>
    <w:rsid w:val="00E821D4"/>
    <w:rsid w:val="00E823D5"/>
    <w:rsid w:val="00E82983"/>
    <w:rsid w:val="00E82FC5"/>
    <w:rsid w:val="00E83105"/>
    <w:rsid w:val="00E84691"/>
    <w:rsid w:val="00E846AC"/>
    <w:rsid w:val="00E84B91"/>
    <w:rsid w:val="00E84E24"/>
    <w:rsid w:val="00E854AB"/>
    <w:rsid w:val="00E8583B"/>
    <w:rsid w:val="00E859CE"/>
    <w:rsid w:val="00E85A49"/>
    <w:rsid w:val="00E85E4A"/>
    <w:rsid w:val="00E8616D"/>
    <w:rsid w:val="00E86184"/>
    <w:rsid w:val="00E867D1"/>
    <w:rsid w:val="00E867FB"/>
    <w:rsid w:val="00E8789E"/>
    <w:rsid w:val="00E9069B"/>
    <w:rsid w:val="00E90818"/>
    <w:rsid w:val="00E90D7E"/>
    <w:rsid w:val="00E921C5"/>
    <w:rsid w:val="00E92D9D"/>
    <w:rsid w:val="00E92FC7"/>
    <w:rsid w:val="00E93337"/>
    <w:rsid w:val="00E933D6"/>
    <w:rsid w:val="00E9439B"/>
    <w:rsid w:val="00E950D3"/>
    <w:rsid w:val="00E95929"/>
    <w:rsid w:val="00E9636E"/>
    <w:rsid w:val="00E96591"/>
    <w:rsid w:val="00E976A4"/>
    <w:rsid w:val="00EA01B1"/>
    <w:rsid w:val="00EA06AC"/>
    <w:rsid w:val="00EA096A"/>
    <w:rsid w:val="00EA12CD"/>
    <w:rsid w:val="00EA1DA4"/>
    <w:rsid w:val="00EA1DF2"/>
    <w:rsid w:val="00EA1FDD"/>
    <w:rsid w:val="00EA23EA"/>
    <w:rsid w:val="00EA2E29"/>
    <w:rsid w:val="00EA2FB7"/>
    <w:rsid w:val="00EA34CA"/>
    <w:rsid w:val="00EA3FB2"/>
    <w:rsid w:val="00EA5070"/>
    <w:rsid w:val="00EA5CD8"/>
    <w:rsid w:val="00EA5D9E"/>
    <w:rsid w:val="00EA61E4"/>
    <w:rsid w:val="00EA62FE"/>
    <w:rsid w:val="00EA6812"/>
    <w:rsid w:val="00EA7ABA"/>
    <w:rsid w:val="00EB0144"/>
    <w:rsid w:val="00EB0A6E"/>
    <w:rsid w:val="00EB0B6E"/>
    <w:rsid w:val="00EB0FF0"/>
    <w:rsid w:val="00EB1037"/>
    <w:rsid w:val="00EB103F"/>
    <w:rsid w:val="00EB118E"/>
    <w:rsid w:val="00EB1885"/>
    <w:rsid w:val="00EB2843"/>
    <w:rsid w:val="00EB4535"/>
    <w:rsid w:val="00EB472B"/>
    <w:rsid w:val="00EB489E"/>
    <w:rsid w:val="00EB4BC8"/>
    <w:rsid w:val="00EB4DB0"/>
    <w:rsid w:val="00EB4EB0"/>
    <w:rsid w:val="00EB5561"/>
    <w:rsid w:val="00EB5904"/>
    <w:rsid w:val="00EB6253"/>
    <w:rsid w:val="00EB626A"/>
    <w:rsid w:val="00EB75EA"/>
    <w:rsid w:val="00EB7C7E"/>
    <w:rsid w:val="00EC04F8"/>
    <w:rsid w:val="00EC150C"/>
    <w:rsid w:val="00EC197B"/>
    <w:rsid w:val="00EC1F9D"/>
    <w:rsid w:val="00EC20D0"/>
    <w:rsid w:val="00EC2F1C"/>
    <w:rsid w:val="00EC2F29"/>
    <w:rsid w:val="00EC325E"/>
    <w:rsid w:val="00EC3957"/>
    <w:rsid w:val="00EC3AA6"/>
    <w:rsid w:val="00EC4AA3"/>
    <w:rsid w:val="00EC4E39"/>
    <w:rsid w:val="00EC61C5"/>
    <w:rsid w:val="00EC677A"/>
    <w:rsid w:val="00EC703B"/>
    <w:rsid w:val="00EC70C3"/>
    <w:rsid w:val="00EC71BA"/>
    <w:rsid w:val="00EC7D95"/>
    <w:rsid w:val="00EC7FEA"/>
    <w:rsid w:val="00ED0610"/>
    <w:rsid w:val="00ED0886"/>
    <w:rsid w:val="00ED0B43"/>
    <w:rsid w:val="00ED0BDC"/>
    <w:rsid w:val="00ED1163"/>
    <w:rsid w:val="00ED121A"/>
    <w:rsid w:val="00ED171C"/>
    <w:rsid w:val="00ED1B98"/>
    <w:rsid w:val="00ED4564"/>
    <w:rsid w:val="00ED5298"/>
    <w:rsid w:val="00ED55AE"/>
    <w:rsid w:val="00ED58C5"/>
    <w:rsid w:val="00ED632D"/>
    <w:rsid w:val="00ED6EE6"/>
    <w:rsid w:val="00ED7D0E"/>
    <w:rsid w:val="00EE0CD4"/>
    <w:rsid w:val="00EE1BFC"/>
    <w:rsid w:val="00EE21DC"/>
    <w:rsid w:val="00EE21F5"/>
    <w:rsid w:val="00EE59C8"/>
    <w:rsid w:val="00EE64BC"/>
    <w:rsid w:val="00EE676C"/>
    <w:rsid w:val="00EE6940"/>
    <w:rsid w:val="00EE7292"/>
    <w:rsid w:val="00EE75B0"/>
    <w:rsid w:val="00EF117F"/>
    <w:rsid w:val="00EF1190"/>
    <w:rsid w:val="00EF23CD"/>
    <w:rsid w:val="00EF2A47"/>
    <w:rsid w:val="00EF2BBC"/>
    <w:rsid w:val="00EF341E"/>
    <w:rsid w:val="00EF3446"/>
    <w:rsid w:val="00EF460E"/>
    <w:rsid w:val="00EF4808"/>
    <w:rsid w:val="00EF5D6A"/>
    <w:rsid w:val="00EF63A1"/>
    <w:rsid w:val="00EF72BF"/>
    <w:rsid w:val="00EF785D"/>
    <w:rsid w:val="00EF7A7C"/>
    <w:rsid w:val="00F008C1"/>
    <w:rsid w:val="00F009F4"/>
    <w:rsid w:val="00F022D5"/>
    <w:rsid w:val="00F0426A"/>
    <w:rsid w:val="00F046BA"/>
    <w:rsid w:val="00F04A55"/>
    <w:rsid w:val="00F04F19"/>
    <w:rsid w:val="00F05319"/>
    <w:rsid w:val="00F05604"/>
    <w:rsid w:val="00F057B2"/>
    <w:rsid w:val="00F06F1E"/>
    <w:rsid w:val="00F077D5"/>
    <w:rsid w:val="00F12559"/>
    <w:rsid w:val="00F1284E"/>
    <w:rsid w:val="00F12DAF"/>
    <w:rsid w:val="00F13641"/>
    <w:rsid w:val="00F13D97"/>
    <w:rsid w:val="00F14E0A"/>
    <w:rsid w:val="00F15823"/>
    <w:rsid w:val="00F15AE5"/>
    <w:rsid w:val="00F15DA5"/>
    <w:rsid w:val="00F16228"/>
    <w:rsid w:val="00F20657"/>
    <w:rsid w:val="00F206FD"/>
    <w:rsid w:val="00F20A38"/>
    <w:rsid w:val="00F20A9F"/>
    <w:rsid w:val="00F20E11"/>
    <w:rsid w:val="00F213AA"/>
    <w:rsid w:val="00F214F1"/>
    <w:rsid w:val="00F22EA6"/>
    <w:rsid w:val="00F2437F"/>
    <w:rsid w:val="00F24536"/>
    <w:rsid w:val="00F24E62"/>
    <w:rsid w:val="00F24F3C"/>
    <w:rsid w:val="00F2686E"/>
    <w:rsid w:val="00F30620"/>
    <w:rsid w:val="00F30BD5"/>
    <w:rsid w:val="00F30BFF"/>
    <w:rsid w:val="00F31569"/>
    <w:rsid w:val="00F31A90"/>
    <w:rsid w:val="00F320CC"/>
    <w:rsid w:val="00F32467"/>
    <w:rsid w:val="00F32CB8"/>
    <w:rsid w:val="00F32DE0"/>
    <w:rsid w:val="00F335A9"/>
    <w:rsid w:val="00F36384"/>
    <w:rsid w:val="00F377B8"/>
    <w:rsid w:val="00F4187E"/>
    <w:rsid w:val="00F41DC4"/>
    <w:rsid w:val="00F43760"/>
    <w:rsid w:val="00F43DF2"/>
    <w:rsid w:val="00F4426A"/>
    <w:rsid w:val="00F449A0"/>
    <w:rsid w:val="00F4652B"/>
    <w:rsid w:val="00F4696F"/>
    <w:rsid w:val="00F5151B"/>
    <w:rsid w:val="00F5353E"/>
    <w:rsid w:val="00F53D82"/>
    <w:rsid w:val="00F54FC9"/>
    <w:rsid w:val="00F559F6"/>
    <w:rsid w:val="00F56FDC"/>
    <w:rsid w:val="00F60BF1"/>
    <w:rsid w:val="00F60EAD"/>
    <w:rsid w:val="00F61EA0"/>
    <w:rsid w:val="00F626E5"/>
    <w:rsid w:val="00F62BD2"/>
    <w:rsid w:val="00F643BE"/>
    <w:rsid w:val="00F6672F"/>
    <w:rsid w:val="00F66C9F"/>
    <w:rsid w:val="00F66E25"/>
    <w:rsid w:val="00F66EE5"/>
    <w:rsid w:val="00F67962"/>
    <w:rsid w:val="00F705F7"/>
    <w:rsid w:val="00F71E28"/>
    <w:rsid w:val="00F73704"/>
    <w:rsid w:val="00F73848"/>
    <w:rsid w:val="00F738DB"/>
    <w:rsid w:val="00F73C39"/>
    <w:rsid w:val="00F74664"/>
    <w:rsid w:val="00F746E3"/>
    <w:rsid w:val="00F74B58"/>
    <w:rsid w:val="00F74C73"/>
    <w:rsid w:val="00F755FC"/>
    <w:rsid w:val="00F763C7"/>
    <w:rsid w:val="00F763DB"/>
    <w:rsid w:val="00F7663C"/>
    <w:rsid w:val="00F7790B"/>
    <w:rsid w:val="00F80D10"/>
    <w:rsid w:val="00F8101C"/>
    <w:rsid w:val="00F82E24"/>
    <w:rsid w:val="00F833C6"/>
    <w:rsid w:val="00F83F9B"/>
    <w:rsid w:val="00F848E8"/>
    <w:rsid w:val="00F8494A"/>
    <w:rsid w:val="00F84951"/>
    <w:rsid w:val="00F84B88"/>
    <w:rsid w:val="00F86509"/>
    <w:rsid w:val="00F86529"/>
    <w:rsid w:val="00F86EC8"/>
    <w:rsid w:val="00F9068D"/>
    <w:rsid w:val="00F90D36"/>
    <w:rsid w:val="00F911AF"/>
    <w:rsid w:val="00F91A36"/>
    <w:rsid w:val="00F92067"/>
    <w:rsid w:val="00F923B1"/>
    <w:rsid w:val="00F92CE4"/>
    <w:rsid w:val="00F92F26"/>
    <w:rsid w:val="00F92F5D"/>
    <w:rsid w:val="00F933AE"/>
    <w:rsid w:val="00F951A5"/>
    <w:rsid w:val="00F95B48"/>
    <w:rsid w:val="00F95ED5"/>
    <w:rsid w:val="00F96554"/>
    <w:rsid w:val="00F96CC6"/>
    <w:rsid w:val="00F97267"/>
    <w:rsid w:val="00F973F9"/>
    <w:rsid w:val="00F977A1"/>
    <w:rsid w:val="00FA06E4"/>
    <w:rsid w:val="00FA1BC8"/>
    <w:rsid w:val="00FA32D9"/>
    <w:rsid w:val="00FA4C6F"/>
    <w:rsid w:val="00FA52F9"/>
    <w:rsid w:val="00FA67BC"/>
    <w:rsid w:val="00FB1787"/>
    <w:rsid w:val="00FB2491"/>
    <w:rsid w:val="00FB2619"/>
    <w:rsid w:val="00FB2BDA"/>
    <w:rsid w:val="00FB3B3B"/>
    <w:rsid w:val="00FB3E9C"/>
    <w:rsid w:val="00FB4318"/>
    <w:rsid w:val="00FB48FF"/>
    <w:rsid w:val="00FB4CE3"/>
    <w:rsid w:val="00FB635B"/>
    <w:rsid w:val="00FB64D5"/>
    <w:rsid w:val="00FB69C8"/>
    <w:rsid w:val="00FB7170"/>
    <w:rsid w:val="00FB76CD"/>
    <w:rsid w:val="00FB7BBF"/>
    <w:rsid w:val="00FB7F92"/>
    <w:rsid w:val="00FC0066"/>
    <w:rsid w:val="00FC0820"/>
    <w:rsid w:val="00FC1312"/>
    <w:rsid w:val="00FC3E89"/>
    <w:rsid w:val="00FC47C0"/>
    <w:rsid w:val="00FC54FB"/>
    <w:rsid w:val="00FC5557"/>
    <w:rsid w:val="00FC556C"/>
    <w:rsid w:val="00FC5839"/>
    <w:rsid w:val="00FC5EA3"/>
    <w:rsid w:val="00FC6E08"/>
    <w:rsid w:val="00FC7493"/>
    <w:rsid w:val="00FD07F3"/>
    <w:rsid w:val="00FD0AFB"/>
    <w:rsid w:val="00FD0D0B"/>
    <w:rsid w:val="00FD2F24"/>
    <w:rsid w:val="00FD4C15"/>
    <w:rsid w:val="00FD53DD"/>
    <w:rsid w:val="00FD54C6"/>
    <w:rsid w:val="00FD60E0"/>
    <w:rsid w:val="00FD6D92"/>
    <w:rsid w:val="00FD79D8"/>
    <w:rsid w:val="00FE075D"/>
    <w:rsid w:val="00FE0989"/>
    <w:rsid w:val="00FE1D87"/>
    <w:rsid w:val="00FE2DE0"/>
    <w:rsid w:val="00FE364B"/>
    <w:rsid w:val="00FE4BAD"/>
    <w:rsid w:val="00FE5AC0"/>
    <w:rsid w:val="00FE61A8"/>
    <w:rsid w:val="00FE6290"/>
    <w:rsid w:val="00FE6441"/>
    <w:rsid w:val="00FE65E2"/>
    <w:rsid w:val="00FE77AD"/>
    <w:rsid w:val="00FE77B2"/>
    <w:rsid w:val="00FE7939"/>
    <w:rsid w:val="00FE7CA1"/>
    <w:rsid w:val="00FF02A3"/>
    <w:rsid w:val="00FF059E"/>
    <w:rsid w:val="00FF10B8"/>
    <w:rsid w:val="00FF123C"/>
    <w:rsid w:val="00FF13A4"/>
    <w:rsid w:val="00FF145A"/>
    <w:rsid w:val="00FF1E66"/>
    <w:rsid w:val="00FF210B"/>
    <w:rsid w:val="00FF22D8"/>
    <w:rsid w:val="00FF24C0"/>
    <w:rsid w:val="00FF293C"/>
    <w:rsid w:val="00FF3292"/>
    <w:rsid w:val="00FF347E"/>
    <w:rsid w:val="00FF35E1"/>
    <w:rsid w:val="00FF3A57"/>
    <w:rsid w:val="00FF3A98"/>
    <w:rsid w:val="00FF45F3"/>
    <w:rsid w:val="00FF5859"/>
    <w:rsid w:val="00FF5F8A"/>
    <w:rsid w:val="00FF7009"/>
    <w:rsid w:val="00FF73D0"/>
    <w:rsid w:val="014740A5"/>
    <w:rsid w:val="01B810B9"/>
    <w:rsid w:val="02355035"/>
    <w:rsid w:val="025E193E"/>
    <w:rsid w:val="030D2D00"/>
    <w:rsid w:val="036B7BD6"/>
    <w:rsid w:val="03D72FC8"/>
    <w:rsid w:val="03DB5CB8"/>
    <w:rsid w:val="03FC3762"/>
    <w:rsid w:val="048B264B"/>
    <w:rsid w:val="05417D97"/>
    <w:rsid w:val="0593436C"/>
    <w:rsid w:val="08701149"/>
    <w:rsid w:val="09795487"/>
    <w:rsid w:val="098B1699"/>
    <w:rsid w:val="09A810A0"/>
    <w:rsid w:val="0A8B6765"/>
    <w:rsid w:val="0C2F51C1"/>
    <w:rsid w:val="0CC978FC"/>
    <w:rsid w:val="0CEC7B9E"/>
    <w:rsid w:val="0DE94544"/>
    <w:rsid w:val="0EAE47DE"/>
    <w:rsid w:val="0EC95C89"/>
    <w:rsid w:val="0F815C63"/>
    <w:rsid w:val="0F89376B"/>
    <w:rsid w:val="10E548CC"/>
    <w:rsid w:val="116811BF"/>
    <w:rsid w:val="13177DAC"/>
    <w:rsid w:val="132B5F2E"/>
    <w:rsid w:val="15427B4F"/>
    <w:rsid w:val="168420EC"/>
    <w:rsid w:val="16E61626"/>
    <w:rsid w:val="18E875B6"/>
    <w:rsid w:val="1AAE55F1"/>
    <w:rsid w:val="1B0441B5"/>
    <w:rsid w:val="1B0C7835"/>
    <w:rsid w:val="1B3F6162"/>
    <w:rsid w:val="1CEF44D7"/>
    <w:rsid w:val="1D5E33C9"/>
    <w:rsid w:val="1DF26FDC"/>
    <w:rsid w:val="1DF41078"/>
    <w:rsid w:val="1FC87A5B"/>
    <w:rsid w:val="20555CEC"/>
    <w:rsid w:val="2078366D"/>
    <w:rsid w:val="20B0187A"/>
    <w:rsid w:val="21936C38"/>
    <w:rsid w:val="221F1AB0"/>
    <w:rsid w:val="22912DFC"/>
    <w:rsid w:val="23B17252"/>
    <w:rsid w:val="244C324A"/>
    <w:rsid w:val="24C152D8"/>
    <w:rsid w:val="261B0D4F"/>
    <w:rsid w:val="264B4CF1"/>
    <w:rsid w:val="269C1EA3"/>
    <w:rsid w:val="26BB09E5"/>
    <w:rsid w:val="26CD188B"/>
    <w:rsid w:val="276B3DE9"/>
    <w:rsid w:val="28894B1C"/>
    <w:rsid w:val="28EB58CF"/>
    <w:rsid w:val="29623DA3"/>
    <w:rsid w:val="2BE54542"/>
    <w:rsid w:val="2CF27C6F"/>
    <w:rsid w:val="2D4647BC"/>
    <w:rsid w:val="2D77649E"/>
    <w:rsid w:val="2D807CB9"/>
    <w:rsid w:val="2DDD6BFF"/>
    <w:rsid w:val="2E755138"/>
    <w:rsid w:val="2EA31691"/>
    <w:rsid w:val="2F2E675E"/>
    <w:rsid w:val="30110DE2"/>
    <w:rsid w:val="30634474"/>
    <w:rsid w:val="30BA773D"/>
    <w:rsid w:val="337B62EE"/>
    <w:rsid w:val="33A53B68"/>
    <w:rsid w:val="33D1346E"/>
    <w:rsid w:val="33D93A1F"/>
    <w:rsid w:val="346E6803"/>
    <w:rsid w:val="351D7B94"/>
    <w:rsid w:val="363A69E8"/>
    <w:rsid w:val="36BC67BA"/>
    <w:rsid w:val="36EF1BF7"/>
    <w:rsid w:val="3707289B"/>
    <w:rsid w:val="376616E3"/>
    <w:rsid w:val="38557DCF"/>
    <w:rsid w:val="3A014487"/>
    <w:rsid w:val="3BEA6187"/>
    <w:rsid w:val="3D7C7182"/>
    <w:rsid w:val="3D9C2E5A"/>
    <w:rsid w:val="3E5A424A"/>
    <w:rsid w:val="403D7C20"/>
    <w:rsid w:val="41761A52"/>
    <w:rsid w:val="418C601E"/>
    <w:rsid w:val="429865FD"/>
    <w:rsid w:val="42C553B4"/>
    <w:rsid w:val="42EE6E22"/>
    <w:rsid w:val="4330436B"/>
    <w:rsid w:val="43F303F0"/>
    <w:rsid w:val="440379E8"/>
    <w:rsid w:val="44FA1E80"/>
    <w:rsid w:val="45613C50"/>
    <w:rsid w:val="45665222"/>
    <w:rsid w:val="459031BE"/>
    <w:rsid w:val="45C80701"/>
    <w:rsid w:val="45FF375F"/>
    <w:rsid w:val="48B764BA"/>
    <w:rsid w:val="49AD78A3"/>
    <w:rsid w:val="49E95BE1"/>
    <w:rsid w:val="49F035DB"/>
    <w:rsid w:val="4B0F2A6E"/>
    <w:rsid w:val="4B821EEA"/>
    <w:rsid w:val="4B9146DA"/>
    <w:rsid w:val="4C350F75"/>
    <w:rsid w:val="4CC704D8"/>
    <w:rsid w:val="4E1418C3"/>
    <w:rsid w:val="51023059"/>
    <w:rsid w:val="511E5C2C"/>
    <w:rsid w:val="51462B7E"/>
    <w:rsid w:val="54A73BD9"/>
    <w:rsid w:val="54DE67B2"/>
    <w:rsid w:val="562854A2"/>
    <w:rsid w:val="58D32F16"/>
    <w:rsid w:val="58DD6AF2"/>
    <w:rsid w:val="58F05461"/>
    <w:rsid w:val="5964647B"/>
    <w:rsid w:val="59D925AE"/>
    <w:rsid w:val="5A0F190C"/>
    <w:rsid w:val="5A823A89"/>
    <w:rsid w:val="5C054DC2"/>
    <w:rsid w:val="5C6D0B32"/>
    <w:rsid w:val="5CF36594"/>
    <w:rsid w:val="5FB95E08"/>
    <w:rsid w:val="5FFD3EF6"/>
    <w:rsid w:val="60045D03"/>
    <w:rsid w:val="61DD7A45"/>
    <w:rsid w:val="63756067"/>
    <w:rsid w:val="65123C21"/>
    <w:rsid w:val="66BE5B96"/>
    <w:rsid w:val="670A73EE"/>
    <w:rsid w:val="672968D5"/>
    <w:rsid w:val="6834519C"/>
    <w:rsid w:val="68757459"/>
    <w:rsid w:val="68895519"/>
    <w:rsid w:val="6D056FFD"/>
    <w:rsid w:val="6EBE2506"/>
    <w:rsid w:val="6FF23ECE"/>
    <w:rsid w:val="70611AA3"/>
    <w:rsid w:val="715F06C6"/>
    <w:rsid w:val="73AC58CC"/>
    <w:rsid w:val="7401651A"/>
    <w:rsid w:val="74522D55"/>
    <w:rsid w:val="74A75135"/>
    <w:rsid w:val="751E0378"/>
    <w:rsid w:val="76B02714"/>
    <w:rsid w:val="76E5092B"/>
    <w:rsid w:val="78457409"/>
    <w:rsid w:val="7A6F006C"/>
    <w:rsid w:val="7B307882"/>
    <w:rsid w:val="7B3F303C"/>
    <w:rsid w:val="7CC04E36"/>
    <w:rsid w:val="7DE64C64"/>
    <w:rsid w:val="7E416C62"/>
    <w:rsid w:val="7E6106E0"/>
    <w:rsid w:val="7E751B86"/>
    <w:rsid w:val="7E9D0185"/>
    <w:rsid w:val="7FD7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1"/>
    <w:qFormat/>
    <w:uiPriority w:val="9"/>
    <w:pPr>
      <w:keepNext/>
      <w:keepLines/>
      <w:spacing w:before="340" w:after="330" w:line="576" w:lineRule="auto"/>
      <w:outlineLvl w:val="0"/>
    </w:pPr>
    <w:rPr>
      <w:b/>
      <w:kern w:val="44"/>
      <w:sz w:val="44"/>
    </w:rPr>
  </w:style>
  <w:style w:type="paragraph" w:styleId="3">
    <w:name w:val="heading 2"/>
    <w:basedOn w:val="1"/>
    <w:next w:val="1"/>
    <w:link w:val="32"/>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Document Map"/>
    <w:basedOn w:val="1"/>
    <w:link w:val="33"/>
    <w:unhideWhenUsed/>
    <w:qFormat/>
    <w:uiPriority w:val="99"/>
    <w:rPr>
      <w:rFonts w:ascii="宋体"/>
      <w:sz w:val="18"/>
      <w:szCs w:val="18"/>
    </w:rPr>
  </w:style>
  <w:style w:type="paragraph" w:styleId="7">
    <w:name w:val="annotation text"/>
    <w:basedOn w:val="1"/>
    <w:link w:val="34"/>
    <w:qFormat/>
    <w:uiPriority w:val="0"/>
  </w:style>
  <w:style w:type="paragraph" w:styleId="8">
    <w:name w:val="Body Text"/>
    <w:basedOn w:val="1"/>
    <w:link w:val="35"/>
    <w:qFormat/>
    <w:uiPriority w:val="0"/>
    <w:pPr>
      <w:autoSpaceDE/>
      <w:autoSpaceDN/>
      <w:adjustRightInd/>
      <w:spacing w:after="120"/>
      <w:jc w:val="both"/>
    </w:pPr>
    <w:rPr>
      <w:szCs w:val="24"/>
    </w:rPr>
  </w:style>
  <w:style w:type="paragraph" w:styleId="9">
    <w:name w:val="Body Text Indent"/>
    <w:basedOn w:val="1"/>
    <w:qFormat/>
    <w:uiPriority w:val="0"/>
    <w:pPr>
      <w:spacing w:line="560" w:lineRule="exact"/>
      <w:ind w:left="300"/>
    </w:pPr>
    <w:rPr>
      <w:sz w:val="24"/>
    </w:rPr>
  </w:style>
  <w:style w:type="paragraph" w:styleId="10">
    <w:name w:val="toc 3"/>
    <w:basedOn w:val="1"/>
    <w:next w:val="1"/>
    <w:unhideWhenUsed/>
    <w:qFormat/>
    <w:uiPriority w:val="39"/>
    <w:pPr>
      <w:ind w:left="840" w:leftChars="400"/>
    </w:pPr>
  </w:style>
  <w:style w:type="paragraph" w:styleId="11">
    <w:name w:val="Plain Text"/>
    <w:basedOn w:val="1"/>
    <w:link w:val="36"/>
    <w:qFormat/>
    <w:uiPriority w:val="0"/>
    <w:pPr>
      <w:autoSpaceDE/>
      <w:autoSpaceDN/>
      <w:adjustRightInd/>
      <w:jc w:val="both"/>
    </w:pPr>
    <w:rPr>
      <w:rFonts w:ascii="宋体" w:hAnsi="Courier New"/>
      <w:szCs w:val="21"/>
    </w:rPr>
  </w:style>
  <w:style w:type="paragraph" w:styleId="12">
    <w:name w:val="Balloon Text"/>
    <w:basedOn w:val="1"/>
    <w:link w:val="37"/>
    <w:unhideWhenUsed/>
    <w:qFormat/>
    <w:uiPriority w:val="99"/>
    <w:rPr>
      <w:sz w:val="18"/>
      <w:szCs w:val="18"/>
    </w:rPr>
  </w:style>
  <w:style w:type="paragraph" w:styleId="13">
    <w:name w:val="footer"/>
    <w:basedOn w:val="1"/>
    <w:link w:val="38"/>
    <w:unhideWhenUsed/>
    <w:qFormat/>
    <w:uiPriority w:val="0"/>
    <w:pPr>
      <w:tabs>
        <w:tab w:val="center" w:pos="4153"/>
        <w:tab w:val="right" w:pos="8306"/>
      </w:tabs>
      <w:snapToGrid w:val="0"/>
    </w:pPr>
    <w:rPr>
      <w:rFonts w:ascii="Calibri" w:hAnsi="Calibri"/>
      <w:sz w:val="18"/>
      <w:szCs w:val="18"/>
    </w:rPr>
  </w:style>
  <w:style w:type="paragraph" w:styleId="14">
    <w:name w:val="header"/>
    <w:basedOn w:val="1"/>
    <w:link w:val="39"/>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5">
    <w:name w:val="toc 1"/>
    <w:basedOn w:val="1"/>
    <w:next w:val="1"/>
    <w:qFormat/>
    <w:uiPriority w:val="39"/>
    <w:pPr>
      <w:tabs>
        <w:tab w:val="right" w:leader="dot" w:pos="9060"/>
      </w:tabs>
      <w:autoSpaceDE/>
      <w:autoSpaceDN/>
      <w:adjustRightInd/>
      <w:spacing w:line="360" w:lineRule="auto"/>
      <w:jc w:val="both"/>
    </w:pPr>
    <w:rPr>
      <w:kern w:val="2"/>
      <w:sz w:val="21"/>
    </w:rPr>
  </w:style>
  <w:style w:type="paragraph" w:styleId="16">
    <w:name w:val="Body Text Indent 3"/>
    <w:basedOn w:val="1"/>
    <w:link w:val="40"/>
    <w:qFormat/>
    <w:uiPriority w:val="0"/>
    <w:pPr>
      <w:autoSpaceDE/>
      <w:autoSpaceDN/>
      <w:adjustRightInd/>
      <w:spacing w:after="120"/>
      <w:ind w:left="420" w:leftChars="200"/>
      <w:jc w:val="both"/>
    </w:pPr>
    <w:rPr>
      <w:kern w:val="2"/>
      <w:sz w:val="16"/>
      <w:szCs w:val="16"/>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19">
    <w:name w:val="Title"/>
    <w:basedOn w:val="1"/>
    <w:next w:val="1"/>
    <w:link w:val="41"/>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42"/>
    <w:unhideWhenUsed/>
    <w:qFormat/>
    <w:uiPriority w:val="99"/>
    <w:rPr>
      <w:b/>
      <w:bCs/>
    </w:rPr>
  </w:style>
  <w:style w:type="paragraph" w:styleId="21">
    <w:name w:val="Body Text First Indent 2"/>
    <w:basedOn w:val="9"/>
    <w:next w:val="22"/>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仿宋_GB2312" w:hAnsi="Calibri" w:eastAsia="仿宋_GB2312" w:cs="Times New Roman"/>
      <w:kern w:val="2"/>
      <w:sz w:val="32"/>
      <w:szCs w:val="32"/>
      <w:lang w:val="en-US" w:eastAsia="zh-CN" w:bidi="ar"/>
    </w:rPr>
  </w:style>
  <w:style w:type="paragraph" w:customStyle="1" w:styleId="22">
    <w:name w:val="正文1"/>
    <w:basedOn w:val="1"/>
    <w:unhideWhenUsed/>
    <w:qFormat/>
    <w:uiPriority w:val="0"/>
    <w:pPr>
      <w:spacing w:beforeLines="0" w:afterLines="0" w:line="360" w:lineRule="auto"/>
      <w:ind w:left="350" w:leftChars="350"/>
    </w:pPr>
    <w:rPr>
      <w:rFonts w:hint="eastAsia"/>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qFormat/>
    <w:uiPriority w:val="0"/>
  </w:style>
  <w:style w:type="character" w:styleId="28">
    <w:name w:val="Hyperlink"/>
    <w:qFormat/>
    <w:uiPriority w:val="99"/>
    <w:rPr>
      <w:color w:val="0000FF"/>
      <w:u w:val="single"/>
    </w:rPr>
  </w:style>
  <w:style w:type="character" w:styleId="29">
    <w:name w:val="annotation reference"/>
    <w:basedOn w:val="25"/>
    <w:qFormat/>
    <w:uiPriority w:val="0"/>
    <w:rPr>
      <w:sz w:val="21"/>
      <w:szCs w:val="21"/>
    </w:rPr>
  </w:style>
  <w:style w:type="paragraph" w:customStyle="1" w:styleId="30">
    <w:name w:val="正文正"/>
    <w:basedOn w:val="1"/>
    <w:qFormat/>
    <w:uiPriority w:val="0"/>
    <w:pPr>
      <w:spacing w:line="560" w:lineRule="exact"/>
      <w:ind w:firstLine="561"/>
    </w:pPr>
    <w:rPr>
      <w:rFonts w:ascii="Calibri" w:hAnsi="Calibri"/>
      <w:sz w:val="28"/>
      <w:szCs w:val="28"/>
    </w:rPr>
  </w:style>
  <w:style w:type="character" w:customStyle="1" w:styleId="31">
    <w:name w:val="标题 1 Char"/>
    <w:link w:val="2"/>
    <w:qFormat/>
    <w:uiPriority w:val="0"/>
    <w:rPr>
      <w:b/>
      <w:kern w:val="44"/>
      <w:sz w:val="44"/>
    </w:rPr>
  </w:style>
  <w:style w:type="character" w:customStyle="1" w:styleId="32">
    <w:name w:val="标题 2 Char"/>
    <w:link w:val="3"/>
    <w:qFormat/>
    <w:uiPriority w:val="0"/>
    <w:rPr>
      <w:rFonts w:ascii="Arial" w:hAnsi="Arial" w:eastAsia="黑体"/>
      <w:b/>
      <w:bCs/>
      <w:kern w:val="2"/>
      <w:sz w:val="32"/>
      <w:szCs w:val="32"/>
    </w:rPr>
  </w:style>
  <w:style w:type="character" w:customStyle="1" w:styleId="33">
    <w:name w:val="文档结构图 Char"/>
    <w:link w:val="6"/>
    <w:semiHidden/>
    <w:qFormat/>
    <w:uiPriority w:val="99"/>
    <w:rPr>
      <w:rFonts w:ascii="宋体" w:hAnsi="Times New Roman"/>
      <w:sz w:val="18"/>
      <w:szCs w:val="18"/>
    </w:rPr>
  </w:style>
  <w:style w:type="character" w:customStyle="1" w:styleId="34">
    <w:name w:val="批注文字 Char"/>
    <w:link w:val="7"/>
    <w:qFormat/>
    <w:uiPriority w:val="0"/>
    <w:rPr>
      <w:rFonts w:ascii="Times New Roman" w:hAnsi="Times New Roman" w:eastAsia="宋体" w:cs="Times New Roman"/>
      <w:kern w:val="0"/>
      <w:sz w:val="20"/>
      <w:szCs w:val="20"/>
    </w:rPr>
  </w:style>
  <w:style w:type="character" w:customStyle="1" w:styleId="35">
    <w:name w:val="正文文本 Char"/>
    <w:link w:val="8"/>
    <w:qFormat/>
    <w:uiPriority w:val="0"/>
    <w:rPr>
      <w:rFonts w:ascii="Times New Roman" w:hAnsi="Times New Roman" w:eastAsia="宋体" w:cs="Times New Roman"/>
      <w:kern w:val="0"/>
      <w:sz w:val="20"/>
      <w:szCs w:val="24"/>
    </w:rPr>
  </w:style>
  <w:style w:type="character" w:customStyle="1" w:styleId="36">
    <w:name w:val="纯文本 Char1"/>
    <w:link w:val="11"/>
    <w:qFormat/>
    <w:uiPriority w:val="0"/>
    <w:rPr>
      <w:rFonts w:ascii="宋体" w:hAnsi="Courier New" w:eastAsia="宋体" w:cs="Courier New"/>
      <w:szCs w:val="21"/>
    </w:rPr>
  </w:style>
  <w:style w:type="character" w:customStyle="1" w:styleId="37">
    <w:name w:val="批注框文本 Char"/>
    <w:link w:val="12"/>
    <w:semiHidden/>
    <w:qFormat/>
    <w:uiPriority w:val="99"/>
    <w:rPr>
      <w:rFonts w:ascii="Times New Roman" w:hAnsi="Times New Roman" w:eastAsia="宋体" w:cs="Times New Roman"/>
      <w:kern w:val="0"/>
      <w:sz w:val="18"/>
      <w:szCs w:val="18"/>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正文文本缩进 3 Char"/>
    <w:link w:val="16"/>
    <w:qFormat/>
    <w:uiPriority w:val="0"/>
    <w:rPr>
      <w:rFonts w:ascii="Times New Roman" w:hAnsi="Times New Roman"/>
      <w:kern w:val="2"/>
      <w:sz w:val="16"/>
      <w:szCs w:val="16"/>
    </w:rPr>
  </w:style>
  <w:style w:type="character" w:customStyle="1" w:styleId="41">
    <w:name w:val="标题 Char"/>
    <w:link w:val="19"/>
    <w:qFormat/>
    <w:uiPriority w:val="0"/>
    <w:rPr>
      <w:rFonts w:ascii="Cambria" w:hAnsi="Cambria"/>
      <w:b/>
      <w:bCs/>
      <w:sz w:val="32"/>
      <w:szCs w:val="32"/>
    </w:rPr>
  </w:style>
  <w:style w:type="character" w:customStyle="1" w:styleId="42">
    <w:name w:val="批注主题 Char"/>
    <w:link w:val="20"/>
    <w:semiHidden/>
    <w:qFormat/>
    <w:uiPriority w:val="99"/>
    <w:rPr>
      <w:rFonts w:ascii="Times New Roman" w:hAnsi="Times New Roman" w:eastAsia="宋体" w:cs="Times New Roman"/>
      <w:b/>
      <w:bCs/>
      <w:kern w:val="0"/>
      <w:sz w:val="20"/>
      <w:szCs w:val="20"/>
    </w:rPr>
  </w:style>
  <w:style w:type="character" w:customStyle="1" w:styleId="43">
    <w:name w:val="p141_0"/>
    <w:qFormat/>
    <w:uiPriority w:val="0"/>
    <w:rPr>
      <w:rFonts w:ascii="Calibri" w:hAnsi="Calibri"/>
      <w:sz w:val="21"/>
      <w:szCs w:val="21"/>
    </w:rPr>
  </w:style>
  <w:style w:type="character" w:customStyle="1" w:styleId="44">
    <w:name w:val="p141"/>
    <w:qFormat/>
    <w:uiPriority w:val="0"/>
    <w:rPr>
      <w:sz w:val="21"/>
      <w:szCs w:val="21"/>
    </w:rPr>
  </w:style>
  <w:style w:type="character" w:customStyle="1" w:styleId="45">
    <w:name w:val="纯文本 Char"/>
    <w:qFormat/>
    <w:uiPriority w:val="0"/>
    <w:rPr>
      <w:rFonts w:ascii="宋体" w:hAnsi="Courier New" w:eastAsia="宋体" w:cs="Courier New"/>
      <w:kern w:val="0"/>
      <w:szCs w:val="21"/>
    </w:rPr>
  </w:style>
  <w:style w:type="character" w:customStyle="1" w:styleId="46">
    <w:name w:val="apple-converted-space"/>
    <w:qFormat/>
    <w:uiPriority w:val="0"/>
  </w:style>
  <w:style w:type="character" w:customStyle="1" w:styleId="47">
    <w:name w:val="批注文字 Char1"/>
    <w:semiHidden/>
    <w:qFormat/>
    <w:uiPriority w:val="99"/>
    <w:rPr>
      <w:rFonts w:ascii="Times New Roman" w:hAnsi="Times New Roman" w:eastAsia="宋体" w:cs="Times New Roman"/>
      <w:kern w:val="0"/>
      <w:sz w:val="20"/>
      <w:szCs w:val="20"/>
    </w:rPr>
  </w:style>
  <w:style w:type="paragraph" w:customStyle="1" w:styleId="48">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49">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50">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1">
    <w:name w:val="样式4"/>
    <w:basedOn w:val="1"/>
    <w:qFormat/>
    <w:uiPriority w:val="0"/>
    <w:pPr>
      <w:tabs>
        <w:tab w:val="left" w:pos="1984"/>
      </w:tabs>
      <w:autoSpaceDE/>
      <w:autoSpaceDN/>
      <w:adjustRightInd/>
      <w:jc w:val="both"/>
    </w:pPr>
    <w:rPr>
      <w:kern w:val="2"/>
      <w:sz w:val="21"/>
      <w:szCs w:val="24"/>
    </w:rPr>
  </w:style>
  <w:style w:type="paragraph" w:customStyle="1" w:styleId="52">
    <w:name w:val="表格"/>
    <w:basedOn w:val="1"/>
    <w:qFormat/>
    <w:uiPriority w:val="0"/>
    <w:pPr>
      <w:autoSpaceDE/>
      <w:autoSpaceDN/>
      <w:spacing w:line="420" w:lineRule="exact"/>
      <w:ind w:left="84" w:leftChars="40"/>
      <w:jc w:val="center"/>
      <w:textAlignment w:val="baseline"/>
    </w:pPr>
    <w:rPr>
      <w:rFonts w:ascii="宋体" w:hAnsi="宋体"/>
      <w:bCs/>
      <w:spacing w:val="-12"/>
      <w:szCs w:val="24"/>
    </w:rPr>
  </w:style>
  <w:style w:type="paragraph" w:styleId="53">
    <w:name w:val="List Paragraph"/>
    <w:basedOn w:val="1"/>
    <w:link w:val="55"/>
    <w:qFormat/>
    <w:uiPriority w:val="34"/>
    <w:pPr>
      <w:ind w:firstLine="420" w:firstLineChars="200"/>
    </w:pPr>
  </w:style>
  <w:style w:type="paragraph" w:customStyle="1" w:styleId="54">
    <w:name w:val="WPSOffice手动目录 1"/>
    <w:qFormat/>
    <w:uiPriority w:val="0"/>
    <w:rPr>
      <w:rFonts w:ascii="Times New Roman" w:hAnsi="Times New Roman" w:eastAsia="宋体" w:cs="Times New Roman"/>
      <w:lang w:val="en-US" w:eastAsia="zh-CN" w:bidi="ar-SA"/>
    </w:rPr>
  </w:style>
  <w:style w:type="character" w:customStyle="1" w:styleId="55">
    <w:name w:val="列出段落 Char"/>
    <w:link w:val="53"/>
    <w:qFormat/>
    <w:uiPriority w:val="99"/>
  </w:style>
  <w:style w:type="paragraph" w:customStyle="1" w:styleId="5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72</Pages>
  <Words>20227</Words>
  <Characters>21397</Characters>
  <Lines>52</Lines>
  <Paragraphs>82</Paragraphs>
  <TotalTime>52</TotalTime>
  <ScaleCrop>false</ScaleCrop>
  <LinksUpToDate>false</LinksUpToDate>
  <CharactersWithSpaces>21613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2023-07-07T03:50:00Z</dcterms:created>
  <dc:creator>LHT</dc:creator>
  <cp:lastModifiedBy>ABCDEFG</cp:lastModifiedBy>
  <cp:lastPrinted>2026-01-22T00:51:00Z</cp:lastPrinted>
  <dcterms:modified xsi:type="dcterms:W3CDTF">2026-01-22T07:03:06Z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A0010378E4FE4589A52278DC24B4D89F_13</vt:lpwstr>
  </property>
  <property fmtid="{D5CDD505-2E9C-101B-9397-08002B2CF9AE}" pid="4" name="KSOTemplateDocerSaveRecord">
    <vt:lpwstr>eyJoZGlkIjoiMWJjYmYyOTVlM2U5MjRkMzlmY2NhOTZmOTkxNjhkNDAiLCJ1c2VySWQiOiIxNTk1OTk2MDAwIn0=</vt:lpwstr>
  </property>
</Properties>
</file>