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F9063">
      <w:pPr>
        <w:pStyle w:val="35"/>
        <w:shd w:val="clear" w:color="auto" w:fill="auto"/>
        <w:spacing w:line="360" w:lineRule="auto"/>
        <w:jc w:val="center"/>
        <w:rPr>
          <w:rFonts w:hint="eastAsia" w:ascii="宋体" w:hAnsi="宋体" w:eastAsia="宋体" w:cs="宋体"/>
          <w:b/>
          <w:bCs/>
          <w:color w:val="auto"/>
          <w:sz w:val="22"/>
          <w:szCs w:val="22"/>
          <w:highlight w:val="none"/>
          <w:lang w:val="en-US" w:eastAsia="zh-CN"/>
        </w:rPr>
      </w:pPr>
    </w:p>
    <w:p w14:paraId="186A6FA8">
      <w:pPr>
        <w:pStyle w:val="35"/>
        <w:shd w:val="clear" w:color="auto" w:fill="auto"/>
        <w:spacing w:line="360" w:lineRule="auto"/>
        <w:jc w:val="center"/>
        <w:rPr>
          <w:rFonts w:hint="eastAsia" w:ascii="宋体" w:hAnsi="宋体" w:eastAsia="宋体" w:cs="宋体"/>
          <w:b/>
          <w:bCs/>
          <w:color w:val="auto"/>
          <w:spacing w:val="28"/>
          <w:sz w:val="84"/>
          <w:szCs w:val="84"/>
          <w:highlight w:val="none"/>
        </w:rPr>
      </w:pPr>
      <w:r>
        <w:rPr>
          <w:rFonts w:hint="eastAsia" w:ascii="宋体" w:hAnsi="宋体" w:eastAsia="宋体" w:cs="宋体"/>
          <w:b/>
          <w:bCs/>
          <w:color w:val="auto"/>
          <w:sz w:val="48"/>
          <w:szCs w:val="48"/>
          <w:highlight w:val="none"/>
          <w:lang w:val="en-US" w:eastAsia="zh-CN"/>
        </w:rPr>
        <w:t>南雄市“银杏染秋”乡村振兴示范带建设项目-澜河镇典型村建设项目设计施工总承包</w:t>
      </w:r>
    </w:p>
    <w:p w14:paraId="4BC28267">
      <w:pPr>
        <w:pStyle w:val="35"/>
        <w:shd w:val="clear" w:color="auto" w:fill="auto"/>
        <w:spacing w:line="360" w:lineRule="auto"/>
        <w:jc w:val="center"/>
        <w:rPr>
          <w:rFonts w:hint="eastAsia" w:ascii="宋体" w:hAnsi="宋体" w:eastAsia="宋体" w:cs="宋体"/>
          <w:b/>
          <w:bCs/>
          <w:color w:val="auto"/>
          <w:spacing w:val="28"/>
          <w:sz w:val="84"/>
          <w:szCs w:val="84"/>
          <w:highlight w:val="none"/>
        </w:rPr>
      </w:pPr>
    </w:p>
    <w:p w14:paraId="6893B533">
      <w:pPr>
        <w:pStyle w:val="35"/>
        <w:shd w:val="clear" w:color="auto" w:fill="auto"/>
        <w:spacing w:line="360" w:lineRule="auto"/>
        <w:jc w:val="center"/>
        <w:rPr>
          <w:rFonts w:hint="eastAsia" w:ascii="宋体" w:hAnsi="宋体" w:eastAsia="宋体" w:cs="宋体"/>
          <w:b/>
          <w:bCs/>
          <w:color w:val="auto"/>
          <w:spacing w:val="26"/>
          <w:sz w:val="52"/>
          <w:szCs w:val="5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color w:val="auto"/>
          <w:spacing w:val="28"/>
          <w:sz w:val="84"/>
          <w:szCs w:val="84"/>
          <w:highlight w:val="none"/>
        </w:rPr>
        <w:t>招标文件</w:t>
      </w:r>
    </w:p>
    <w:p w14:paraId="0D96DB5D">
      <w:pPr>
        <w:pStyle w:val="37"/>
        <w:tabs>
          <w:tab w:val="left" w:pos="4935"/>
        </w:tabs>
        <w:jc w:val="center"/>
        <w:rPr>
          <w:rFonts w:asciiTheme="minorEastAsia" w:hAnsiTheme="minorEastAsia" w:eastAsiaTheme="minorEastAsia" w:cstheme="minorEastAsia"/>
          <w:b/>
          <w:color w:val="auto"/>
          <w:sz w:val="28"/>
          <w:szCs w:val="28"/>
          <w:highlight w:val="none"/>
        </w:rPr>
      </w:pPr>
    </w:p>
    <w:p w14:paraId="0F1E8164">
      <w:pPr>
        <w:pStyle w:val="37"/>
        <w:tabs>
          <w:tab w:val="left" w:pos="4935"/>
        </w:tabs>
        <w:jc w:val="both"/>
        <w:rPr>
          <w:rFonts w:asciiTheme="minorEastAsia" w:hAnsiTheme="minorEastAsia" w:eastAsiaTheme="minorEastAsia" w:cstheme="minorEastAsia"/>
          <w:b/>
          <w:color w:val="auto"/>
          <w:sz w:val="28"/>
          <w:szCs w:val="28"/>
          <w:highlight w:val="none"/>
        </w:rPr>
      </w:pPr>
    </w:p>
    <w:p w14:paraId="051F49CA">
      <w:pPr>
        <w:pStyle w:val="37"/>
        <w:tabs>
          <w:tab w:val="left" w:pos="4935"/>
        </w:tabs>
        <w:jc w:val="center"/>
        <w:rPr>
          <w:rFonts w:asciiTheme="minorEastAsia" w:hAnsiTheme="minorEastAsia" w:eastAsiaTheme="minorEastAsia" w:cstheme="minorEastAsia"/>
          <w:b/>
          <w:color w:val="auto"/>
          <w:sz w:val="28"/>
          <w:szCs w:val="28"/>
          <w:highlight w:val="none"/>
        </w:rPr>
      </w:pPr>
    </w:p>
    <w:p w14:paraId="3AB17310">
      <w:pPr>
        <w:pStyle w:val="37"/>
        <w:tabs>
          <w:tab w:val="left" w:pos="4935"/>
        </w:tabs>
        <w:jc w:val="center"/>
        <w:rPr>
          <w:rFonts w:asciiTheme="minorEastAsia" w:hAnsiTheme="minorEastAsia" w:eastAsiaTheme="minorEastAsia" w:cstheme="minorEastAsia"/>
          <w:b/>
          <w:color w:val="auto"/>
          <w:sz w:val="28"/>
          <w:szCs w:val="28"/>
          <w:highlight w:val="none"/>
        </w:rPr>
      </w:pPr>
    </w:p>
    <w:tbl>
      <w:tblPr>
        <w:tblStyle w:val="23"/>
        <w:tblW w:w="95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768"/>
        <w:gridCol w:w="4799"/>
      </w:tblGrid>
      <w:tr w14:paraId="0790A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17" w:hRule="atLeast"/>
          <w:jc w:val="center"/>
        </w:trPr>
        <w:tc>
          <w:tcPr>
            <w:tcW w:w="4768" w:type="dxa"/>
            <w:tcBorders>
              <w:top w:val="nil"/>
              <w:left w:val="nil"/>
              <w:bottom w:val="nil"/>
              <w:right w:val="nil"/>
            </w:tcBorders>
            <w:shd w:val="clear" w:color="auto" w:fill="auto"/>
            <w:vAlign w:val="center"/>
          </w:tcPr>
          <w:p w14:paraId="64800A09">
            <w:pPr>
              <w:pStyle w:val="21"/>
              <w:keepNext w:val="0"/>
              <w:keepLines w:val="0"/>
              <w:widowControl w:val="0"/>
              <w:suppressLineNumbers w:val="0"/>
              <w:spacing w:before="0" w:beforeLines="0" w:beforeAutospacing="0" w:after="0" w:afterLines="0" w:afterAutospacing="0" w:line="360" w:lineRule="auto"/>
              <w:ind w:left="0" w:right="0" w:firstLine="280" w:firstLineChars="10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招      标      人（盖 章）：</w:t>
            </w:r>
          </w:p>
        </w:tc>
        <w:tc>
          <w:tcPr>
            <w:tcW w:w="4799" w:type="dxa"/>
            <w:tcBorders>
              <w:top w:val="nil"/>
              <w:left w:val="nil"/>
              <w:bottom w:val="nil"/>
              <w:right w:val="nil"/>
            </w:tcBorders>
            <w:shd w:val="clear" w:color="auto" w:fill="auto"/>
            <w:vAlign w:val="center"/>
          </w:tcPr>
          <w:p w14:paraId="53D8ABC7">
            <w:pPr>
              <w:pStyle w:val="21"/>
              <w:keepNext w:val="0"/>
              <w:keepLines w:val="0"/>
              <w:widowControl w:val="0"/>
              <w:suppressLineNumbers w:val="0"/>
              <w:spacing w:before="0" w:beforeLines="0" w:beforeAutospacing="0" w:after="0" w:afterLines="0" w:afterAutospacing="0" w:line="360" w:lineRule="auto"/>
              <w:ind w:left="0" w:right="0"/>
              <w:jc w:val="both"/>
              <w:rPr>
                <w:rFonts w:hint="eastAsia" w:ascii="宋体" w:hAnsi="宋体" w:eastAsia="宋体" w:cs="宋体"/>
                <w:color w:val="auto"/>
                <w:kern w:val="0"/>
                <w:sz w:val="24"/>
                <w:szCs w:val="24"/>
                <w:highlight w:val="none"/>
              </w:rPr>
            </w:pPr>
            <w:r>
              <w:rPr>
                <w:rFonts w:hint="eastAsia" w:eastAsia="宋体" w:cs="宋体"/>
                <w:color w:val="auto"/>
                <w:kern w:val="2"/>
                <w:sz w:val="28"/>
                <w:szCs w:val="28"/>
                <w:highlight w:val="none"/>
                <w:lang w:val="en-US" w:eastAsia="zh-CN" w:bidi="ar"/>
              </w:rPr>
              <w:t>南雄市澜河镇人民政府</w:t>
            </w:r>
          </w:p>
        </w:tc>
      </w:tr>
      <w:tr w14:paraId="477F0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2" w:hRule="atLeast"/>
          <w:jc w:val="center"/>
        </w:trPr>
        <w:tc>
          <w:tcPr>
            <w:tcW w:w="4768" w:type="dxa"/>
            <w:tcBorders>
              <w:top w:val="nil"/>
              <w:left w:val="nil"/>
              <w:bottom w:val="nil"/>
              <w:right w:val="nil"/>
            </w:tcBorders>
            <w:shd w:val="clear" w:color="auto" w:fill="auto"/>
            <w:vAlign w:val="center"/>
          </w:tcPr>
          <w:p w14:paraId="70775327">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招标人工作领导小组负责人（签字）：</w:t>
            </w:r>
          </w:p>
        </w:tc>
        <w:tc>
          <w:tcPr>
            <w:tcW w:w="4799" w:type="dxa"/>
            <w:tcBorders>
              <w:top w:val="nil"/>
              <w:left w:val="nil"/>
              <w:bottom w:val="nil"/>
              <w:right w:val="nil"/>
            </w:tcBorders>
            <w:shd w:val="clear" w:color="auto" w:fill="auto"/>
            <w:vAlign w:val="center"/>
          </w:tcPr>
          <w:p w14:paraId="3071B0B6">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6C047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2" w:hRule="atLeast"/>
          <w:jc w:val="center"/>
        </w:trPr>
        <w:tc>
          <w:tcPr>
            <w:tcW w:w="4768" w:type="dxa"/>
            <w:tcBorders>
              <w:top w:val="nil"/>
              <w:left w:val="nil"/>
              <w:bottom w:val="nil"/>
              <w:right w:val="nil"/>
            </w:tcBorders>
            <w:shd w:val="clear" w:color="auto" w:fill="auto"/>
            <w:vAlign w:val="center"/>
          </w:tcPr>
          <w:p w14:paraId="233A33E3">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代 理 机 构 （盖 章）：</w:t>
            </w:r>
          </w:p>
        </w:tc>
        <w:tc>
          <w:tcPr>
            <w:tcW w:w="4799" w:type="dxa"/>
            <w:tcBorders>
              <w:top w:val="nil"/>
              <w:left w:val="nil"/>
              <w:bottom w:val="nil"/>
              <w:right w:val="nil"/>
            </w:tcBorders>
            <w:shd w:val="clear" w:color="auto" w:fill="auto"/>
            <w:vAlign w:val="center"/>
          </w:tcPr>
          <w:p w14:paraId="32A0524C">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hAnsi="宋体" w:eastAsia="宋体" w:cs="宋体"/>
                <w:color w:val="auto"/>
                <w:kern w:val="2"/>
                <w:sz w:val="28"/>
                <w:szCs w:val="28"/>
                <w:highlight w:val="none"/>
                <w:lang w:val="en-US" w:eastAsia="zh-CN" w:bidi="ar"/>
              </w:rPr>
              <w:t>广东省南沣建设管理有限公司</w:t>
            </w:r>
          </w:p>
        </w:tc>
      </w:tr>
      <w:tr w14:paraId="1F2F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1" w:hRule="atLeast"/>
          <w:jc w:val="center"/>
        </w:trPr>
        <w:tc>
          <w:tcPr>
            <w:tcW w:w="4768" w:type="dxa"/>
            <w:tcBorders>
              <w:top w:val="nil"/>
              <w:left w:val="nil"/>
              <w:bottom w:val="nil"/>
              <w:right w:val="nil"/>
            </w:tcBorders>
            <w:shd w:val="clear" w:color="auto" w:fill="auto"/>
            <w:vAlign w:val="center"/>
          </w:tcPr>
          <w:p w14:paraId="13117C72">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人（签字）：</w:t>
            </w:r>
          </w:p>
        </w:tc>
        <w:tc>
          <w:tcPr>
            <w:tcW w:w="4799" w:type="dxa"/>
            <w:tcBorders>
              <w:top w:val="nil"/>
              <w:left w:val="nil"/>
              <w:bottom w:val="nil"/>
              <w:right w:val="nil"/>
            </w:tcBorders>
            <w:shd w:val="clear" w:color="auto" w:fill="auto"/>
            <w:vAlign w:val="center"/>
          </w:tcPr>
          <w:p w14:paraId="26619183">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6679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7" w:hRule="atLeast"/>
          <w:jc w:val="center"/>
        </w:trPr>
        <w:tc>
          <w:tcPr>
            <w:tcW w:w="4768" w:type="dxa"/>
            <w:tcBorders>
              <w:top w:val="nil"/>
              <w:left w:val="nil"/>
              <w:bottom w:val="nil"/>
              <w:right w:val="nil"/>
            </w:tcBorders>
            <w:shd w:val="clear" w:color="auto" w:fill="auto"/>
            <w:vAlign w:val="center"/>
          </w:tcPr>
          <w:p w14:paraId="6785FB14">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招标代理机构项目负责人（签字）：</w:t>
            </w:r>
          </w:p>
        </w:tc>
        <w:tc>
          <w:tcPr>
            <w:tcW w:w="4799" w:type="dxa"/>
            <w:tcBorders>
              <w:top w:val="nil"/>
              <w:left w:val="nil"/>
              <w:bottom w:val="nil"/>
              <w:right w:val="nil"/>
            </w:tcBorders>
            <w:shd w:val="clear" w:color="auto" w:fill="auto"/>
            <w:vAlign w:val="center"/>
          </w:tcPr>
          <w:p w14:paraId="2F83B381">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73E4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8" w:hRule="atLeast"/>
          <w:jc w:val="center"/>
        </w:trPr>
        <w:tc>
          <w:tcPr>
            <w:tcW w:w="4768" w:type="dxa"/>
            <w:tcBorders>
              <w:top w:val="nil"/>
              <w:left w:val="nil"/>
              <w:bottom w:val="nil"/>
              <w:right w:val="nil"/>
            </w:tcBorders>
            <w:shd w:val="clear" w:color="auto" w:fill="auto"/>
            <w:vAlign w:val="center"/>
          </w:tcPr>
          <w:p w14:paraId="55F7B27A">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日  期：</w:t>
            </w:r>
          </w:p>
        </w:tc>
        <w:tc>
          <w:tcPr>
            <w:tcW w:w="4799" w:type="dxa"/>
            <w:tcBorders>
              <w:top w:val="nil"/>
              <w:left w:val="nil"/>
              <w:bottom w:val="nil"/>
              <w:right w:val="nil"/>
            </w:tcBorders>
            <w:shd w:val="clear" w:color="auto" w:fill="auto"/>
            <w:vAlign w:val="center"/>
          </w:tcPr>
          <w:p w14:paraId="7C07B3C0">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2026年</w:t>
            </w:r>
            <w:r>
              <w:rPr>
                <w:rFonts w:hint="eastAsia" w:hAnsi="宋体" w:eastAsia="宋体" w:cs="宋体"/>
                <w:color w:val="auto"/>
                <w:kern w:val="2"/>
                <w:sz w:val="28"/>
                <w:szCs w:val="28"/>
                <w:highlight w:val="none"/>
                <w:lang w:val="en-US" w:eastAsia="zh-CN" w:bidi="ar"/>
              </w:rPr>
              <w:t>9</w:t>
            </w:r>
            <w:r>
              <w:rPr>
                <w:rFonts w:hint="eastAsia" w:ascii="宋体" w:hAnsi="宋体" w:eastAsia="宋体" w:cs="宋体"/>
                <w:color w:val="auto"/>
                <w:kern w:val="2"/>
                <w:sz w:val="28"/>
                <w:szCs w:val="28"/>
                <w:highlight w:val="none"/>
                <w:lang w:val="en-US" w:eastAsia="zh-CN" w:bidi="ar"/>
              </w:rPr>
              <w:t>月</w:t>
            </w:r>
          </w:p>
        </w:tc>
      </w:tr>
    </w:tbl>
    <w:p w14:paraId="411B049A">
      <w:pPr>
        <w:pStyle w:val="37"/>
        <w:tabs>
          <w:tab w:val="left" w:pos="4935"/>
        </w:tabs>
        <w:jc w:val="center"/>
        <w:rPr>
          <w:rFonts w:asciiTheme="minorEastAsia" w:hAnsiTheme="minorEastAsia" w:eastAsiaTheme="minorEastAsia" w:cstheme="minorEastAsia"/>
          <w:b/>
          <w:color w:val="auto"/>
          <w:sz w:val="28"/>
          <w:szCs w:val="28"/>
          <w:highlight w:val="none"/>
        </w:rPr>
        <w:sectPr>
          <w:footerReference r:id="rId3"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p>
    <w:p w14:paraId="601F9E48">
      <w:pPr>
        <w:pStyle w:val="37"/>
        <w:tabs>
          <w:tab w:val="left" w:pos="4935"/>
        </w:tabs>
        <w:jc w:val="center"/>
        <w:rPr>
          <w:rFonts w:asciiTheme="minorEastAsia" w:hAnsiTheme="minorEastAsia" w:eastAsiaTheme="minorEastAsia" w:cstheme="minorEastAsia"/>
          <w:b/>
          <w:color w:val="auto"/>
          <w:sz w:val="28"/>
          <w:szCs w:val="28"/>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p>
    <w:p w14:paraId="6629567B">
      <w:pPr>
        <w:pStyle w:val="37"/>
        <w:tabs>
          <w:tab w:val="left" w:pos="4935"/>
        </w:tabs>
        <w:jc w:val="center"/>
        <w:rPr>
          <w:rFonts w:asciiTheme="minorEastAsia" w:hAnsiTheme="minorEastAsia" w:eastAsiaTheme="minorEastAsia" w:cstheme="minorEastAsia"/>
          <w:b/>
          <w:color w:val="auto"/>
          <w:sz w:val="28"/>
          <w:szCs w:val="28"/>
          <w:highlight w:val="none"/>
        </w:rPr>
      </w:pPr>
    </w:p>
    <w:p w14:paraId="446DA808">
      <w:pPr>
        <w:pStyle w:val="37"/>
        <w:tabs>
          <w:tab w:val="left" w:pos="4935"/>
        </w:tabs>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345FC8C6">
      <w:pPr>
        <w:pStyle w:val="16"/>
        <w:tabs>
          <w:tab w:val="right" w:leader="dot" w:pos="9354"/>
        </w:tabs>
      </w:pP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color w:val="auto"/>
          <w:szCs w:val="21"/>
          <w:highlight w:val="none"/>
        </w:rPr>
        <w:instrText xml:space="preserve"> TOC \o "1-4" \h \z </w:instrText>
      </w:r>
      <w:r>
        <w:rPr>
          <w:rFonts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szCs w:val="21"/>
          <w:highlight w:val="none"/>
        </w:rPr>
        <w:instrText xml:space="preserve"> HYPERLINK \l _Toc7639 </w:instrText>
      </w:r>
      <w:r>
        <w:rPr>
          <w:rFonts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第一章投标须知</w:t>
      </w:r>
      <w:r>
        <w:tab/>
      </w:r>
      <w:r>
        <w:fldChar w:fldCharType="begin"/>
      </w:r>
      <w:r>
        <w:instrText xml:space="preserve"> PAGEREF _Toc7639 \h </w:instrText>
      </w:r>
      <w:r>
        <w:fldChar w:fldCharType="separate"/>
      </w:r>
      <w:r>
        <w:t>1</w:t>
      </w:r>
      <w:r>
        <w:fldChar w:fldCharType="end"/>
      </w:r>
      <w:r>
        <w:rPr>
          <w:rFonts w:asciiTheme="minorEastAsia" w:hAnsiTheme="minorEastAsia" w:eastAsiaTheme="minorEastAsia" w:cstheme="minorEastAsia"/>
          <w:color w:val="auto"/>
          <w:szCs w:val="21"/>
          <w:highlight w:val="none"/>
        </w:rPr>
        <w:fldChar w:fldCharType="end"/>
      </w:r>
    </w:p>
    <w:p w14:paraId="500749BD">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_Toc28993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第一节.投标须知前附表</w:t>
      </w:r>
      <w:r>
        <w:tab/>
      </w:r>
      <w:r>
        <w:fldChar w:fldCharType="begin"/>
      </w:r>
      <w:r>
        <w:instrText xml:space="preserve"> PAGEREF _Toc28993 \h </w:instrText>
      </w:r>
      <w:r>
        <w:fldChar w:fldCharType="separate"/>
      </w:r>
      <w:r>
        <w:t>1</w:t>
      </w:r>
      <w:r>
        <w:fldChar w:fldCharType="end"/>
      </w:r>
      <w:r>
        <w:rPr>
          <w:rFonts w:hint="eastAsia" w:asciiTheme="minorEastAsia" w:hAnsiTheme="minorEastAsia" w:eastAsiaTheme="minorEastAsia" w:cstheme="minorEastAsia"/>
          <w:color w:val="auto"/>
          <w:szCs w:val="21"/>
          <w:highlight w:val="none"/>
        </w:rPr>
        <w:fldChar w:fldCharType="end"/>
      </w:r>
    </w:p>
    <w:p w14:paraId="100606FB">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_Toc3357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kern w:val="2"/>
          <w:szCs w:val="24"/>
          <w:highlight w:val="none"/>
        </w:rPr>
        <w:t>第二节.重要事项时间地点一览表</w:t>
      </w:r>
      <w:r>
        <w:tab/>
      </w:r>
      <w:r>
        <w:fldChar w:fldCharType="begin"/>
      </w:r>
      <w:r>
        <w:instrText xml:space="preserve"> PAGEREF _Toc3357 \h </w:instrText>
      </w:r>
      <w:r>
        <w:fldChar w:fldCharType="separate"/>
      </w:r>
      <w:r>
        <w:t>9</w:t>
      </w:r>
      <w:r>
        <w:fldChar w:fldCharType="end"/>
      </w:r>
      <w:r>
        <w:rPr>
          <w:rFonts w:hint="eastAsia" w:asciiTheme="minorEastAsia" w:hAnsiTheme="minorEastAsia" w:eastAsiaTheme="minorEastAsia" w:cstheme="minorEastAsia"/>
          <w:color w:val="auto"/>
          <w:szCs w:val="21"/>
          <w:highlight w:val="none"/>
        </w:rPr>
        <w:fldChar w:fldCharType="end"/>
      </w:r>
    </w:p>
    <w:p w14:paraId="50E33BF2">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_Toc6318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36"/>
          <w:highlight w:val="none"/>
        </w:rPr>
        <w:t>第</w:t>
      </w:r>
      <w:r>
        <w:rPr>
          <w:rFonts w:hint="eastAsia" w:asciiTheme="minorEastAsia" w:hAnsiTheme="minorEastAsia" w:eastAsiaTheme="minorEastAsia" w:cstheme="minorEastAsia"/>
          <w:kern w:val="44"/>
          <w:szCs w:val="36"/>
          <w:highlight w:val="none"/>
        </w:rPr>
        <w:t>三节 投标须知正文</w:t>
      </w:r>
      <w:r>
        <w:tab/>
      </w:r>
      <w:r>
        <w:fldChar w:fldCharType="begin"/>
      </w:r>
      <w:r>
        <w:instrText xml:space="preserve"> PAGEREF _Toc6318 \h </w:instrText>
      </w:r>
      <w:r>
        <w:fldChar w:fldCharType="separate"/>
      </w:r>
      <w:r>
        <w:t>10</w:t>
      </w:r>
      <w:r>
        <w:fldChar w:fldCharType="end"/>
      </w:r>
      <w:r>
        <w:rPr>
          <w:rFonts w:hint="eastAsia" w:asciiTheme="minorEastAsia" w:hAnsiTheme="minorEastAsia" w:eastAsiaTheme="minorEastAsia" w:cstheme="minorEastAsia"/>
          <w:color w:val="auto"/>
          <w:szCs w:val="21"/>
          <w:highlight w:val="none"/>
        </w:rPr>
        <w:fldChar w:fldCharType="end"/>
      </w:r>
    </w:p>
    <w:p w14:paraId="31281EE5">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_Toc13376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1、 工程概况综合说明</w:t>
      </w:r>
      <w:r>
        <w:tab/>
      </w:r>
      <w:r>
        <w:fldChar w:fldCharType="begin"/>
      </w:r>
      <w:r>
        <w:instrText xml:space="preserve"> PAGEREF _Toc13376 \h </w:instrText>
      </w:r>
      <w:r>
        <w:fldChar w:fldCharType="separate"/>
      </w:r>
      <w:r>
        <w:t>10</w:t>
      </w:r>
      <w:r>
        <w:fldChar w:fldCharType="end"/>
      </w:r>
      <w:r>
        <w:rPr>
          <w:rFonts w:hint="eastAsia" w:asciiTheme="minorEastAsia" w:hAnsiTheme="minorEastAsia" w:eastAsiaTheme="minorEastAsia" w:cstheme="minorEastAsia"/>
          <w:color w:val="auto"/>
          <w:szCs w:val="21"/>
          <w:highlight w:val="none"/>
        </w:rPr>
        <w:fldChar w:fldCharType="end"/>
      </w:r>
    </w:p>
    <w:p w14:paraId="170F0387">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_Toc21415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2 、招标范围</w:t>
      </w:r>
      <w:r>
        <w:tab/>
      </w:r>
      <w:r>
        <w:fldChar w:fldCharType="begin"/>
      </w:r>
      <w:r>
        <w:instrText xml:space="preserve"> PAGEREF _Toc21415 \h </w:instrText>
      </w:r>
      <w:r>
        <w:fldChar w:fldCharType="separate"/>
      </w:r>
      <w:r>
        <w:t>10</w:t>
      </w:r>
      <w:r>
        <w:fldChar w:fldCharType="end"/>
      </w:r>
      <w:r>
        <w:rPr>
          <w:rFonts w:hint="eastAsia" w:asciiTheme="minorEastAsia" w:hAnsiTheme="minorEastAsia" w:eastAsiaTheme="minorEastAsia" w:cstheme="minorEastAsia"/>
          <w:color w:val="auto"/>
          <w:szCs w:val="21"/>
          <w:highlight w:val="none"/>
        </w:rPr>
        <w:fldChar w:fldCharType="end"/>
      </w:r>
    </w:p>
    <w:p w14:paraId="0A8F3253">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_Toc22605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3、工期</w:t>
      </w:r>
      <w:r>
        <w:tab/>
      </w:r>
      <w:r>
        <w:fldChar w:fldCharType="begin"/>
      </w:r>
      <w:r>
        <w:instrText xml:space="preserve"> PAGEREF _Toc22605 \h </w:instrText>
      </w:r>
      <w:r>
        <w:fldChar w:fldCharType="separate"/>
      </w:r>
      <w:r>
        <w:t>11</w:t>
      </w:r>
      <w:r>
        <w:fldChar w:fldCharType="end"/>
      </w:r>
      <w:r>
        <w:rPr>
          <w:rFonts w:hint="eastAsia" w:asciiTheme="minorEastAsia" w:hAnsiTheme="minorEastAsia" w:eastAsiaTheme="minorEastAsia" w:cstheme="minorEastAsia"/>
          <w:color w:val="auto"/>
          <w:szCs w:val="21"/>
          <w:highlight w:val="none"/>
        </w:rPr>
        <w:fldChar w:fldCharType="end"/>
      </w:r>
    </w:p>
    <w:p w14:paraId="1D206246">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_Toc13884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4 、投标人资质及条件要求</w:t>
      </w:r>
      <w:r>
        <w:tab/>
      </w:r>
      <w:r>
        <w:fldChar w:fldCharType="begin"/>
      </w:r>
      <w:r>
        <w:instrText xml:space="preserve"> PAGEREF _Toc13884 \h </w:instrText>
      </w:r>
      <w:r>
        <w:fldChar w:fldCharType="separate"/>
      </w:r>
      <w:r>
        <w:t>11</w:t>
      </w:r>
      <w:r>
        <w:fldChar w:fldCharType="end"/>
      </w:r>
      <w:r>
        <w:rPr>
          <w:rFonts w:hint="eastAsia" w:asciiTheme="minorEastAsia" w:hAnsiTheme="minorEastAsia" w:eastAsiaTheme="minorEastAsia" w:cstheme="minorEastAsia"/>
          <w:color w:val="auto"/>
          <w:szCs w:val="21"/>
          <w:highlight w:val="none"/>
        </w:rPr>
        <w:fldChar w:fldCharType="end"/>
      </w:r>
    </w:p>
    <w:p w14:paraId="7C749BE9">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_Toc23419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5 、工程招标内容及要求</w:t>
      </w:r>
      <w:r>
        <w:tab/>
      </w:r>
      <w:r>
        <w:fldChar w:fldCharType="begin"/>
      </w:r>
      <w:r>
        <w:instrText xml:space="preserve"> PAGEREF _Toc23419 \h </w:instrText>
      </w:r>
      <w:r>
        <w:fldChar w:fldCharType="separate"/>
      </w:r>
      <w:r>
        <w:t>14</w:t>
      </w:r>
      <w:r>
        <w:fldChar w:fldCharType="end"/>
      </w:r>
      <w:r>
        <w:rPr>
          <w:rFonts w:hint="eastAsia" w:asciiTheme="minorEastAsia" w:hAnsiTheme="minorEastAsia" w:eastAsiaTheme="minorEastAsia" w:cstheme="minorEastAsia"/>
          <w:color w:val="auto"/>
          <w:szCs w:val="21"/>
          <w:highlight w:val="none"/>
        </w:rPr>
        <w:fldChar w:fldCharType="end"/>
      </w:r>
    </w:p>
    <w:p w14:paraId="442B85A1">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_Toc26247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6 、招标工程施工条件及现场踏勘</w:t>
      </w:r>
      <w:r>
        <w:tab/>
      </w:r>
      <w:r>
        <w:fldChar w:fldCharType="begin"/>
      </w:r>
      <w:r>
        <w:instrText xml:space="preserve"> PAGEREF _Toc26247 \h </w:instrText>
      </w:r>
      <w:r>
        <w:fldChar w:fldCharType="separate"/>
      </w:r>
      <w:r>
        <w:t>17</w:t>
      </w:r>
      <w:r>
        <w:fldChar w:fldCharType="end"/>
      </w:r>
      <w:r>
        <w:rPr>
          <w:rFonts w:hint="eastAsia" w:asciiTheme="minorEastAsia" w:hAnsiTheme="minorEastAsia" w:eastAsiaTheme="minorEastAsia" w:cstheme="minorEastAsia"/>
          <w:color w:val="auto"/>
          <w:szCs w:val="21"/>
          <w:highlight w:val="none"/>
        </w:rPr>
        <w:fldChar w:fldCharType="end"/>
      </w:r>
    </w:p>
    <w:p w14:paraId="0A232580">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_Toc22798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7 、其他招标说明</w:t>
      </w:r>
      <w:r>
        <w:tab/>
      </w:r>
      <w:r>
        <w:fldChar w:fldCharType="begin"/>
      </w:r>
      <w:r>
        <w:instrText xml:space="preserve"> PAGEREF _Toc22798 \h </w:instrText>
      </w:r>
      <w:r>
        <w:fldChar w:fldCharType="separate"/>
      </w:r>
      <w:r>
        <w:t>17</w:t>
      </w:r>
      <w:r>
        <w:fldChar w:fldCharType="end"/>
      </w:r>
      <w:r>
        <w:rPr>
          <w:rFonts w:hint="eastAsia" w:asciiTheme="minorEastAsia" w:hAnsiTheme="minorEastAsia" w:eastAsiaTheme="minorEastAsia" w:cstheme="minorEastAsia"/>
          <w:color w:val="auto"/>
          <w:szCs w:val="21"/>
          <w:highlight w:val="none"/>
        </w:rPr>
        <w:fldChar w:fldCharType="end"/>
      </w:r>
    </w:p>
    <w:p w14:paraId="0A964D8D">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_Toc28542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8 、招标答疑</w:t>
      </w:r>
      <w:r>
        <w:tab/>
      </w:r>
      <w:r>
        <w:fldChar w:fldCharType="begin"/>
      </w:r>
      <w:r>
        <w:instrText xml:space="preserve"> PAGEREF _Toc28542 \h </w:instrText>
      </w:r>
      <w:r>
        <w:fldChar w:fldCharType="separate"/>
      </w:r>
      <w:r>
        <w:t>19</w:t>
      </w:r>
      <w:r>
        <w:fldChar w:fldCharType="end"/>
      </w:r>
      <w:r>
        <w:rPr>
          <w:rFonts w:hint="eastAsia" w:asciiTheme="minorEastAsia" w:hAnsiTheme="minorEastAsia" w:eastAsiaTheme="minorEastAsia" w:cstheme="minorEastAsia"/>
          <w:color w:val="auto"/>
          <w:szCs w:val="21"/>
          <w:highlight w:val="none"/>
        </w:rPr>
        <w:fldChar w:fldCharType="end"/>
      </w:r>
    </w:p>
    <w:p w14:paraId="3FFB6893">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_Toc25517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9 、投标报价的编制</w:t>
      </w:r>
      <w:r>
        <w:tab/>
      </w:r>
      <w:r>
        <w:fldChar w:fldCharType="begin"/>
      </w:r>
      <w:r>
        <w:instrText xml:space="preserve"> PAGEREF _Toc25517 \h </w:instrText>
      </w:r>
      <w:r>
        <w:fldChar w:fldCharType="separate"/>
      </w:r>
      <w:r>
        <w:t>20</w:t>
      </w:r>
      <w:r>
        <w:fldChar w:fldCharType="end"/>
      </w:r>
      <w:r>
        <w:rPr>
          <w:rFonts w:hint="eastAsia" w:asciiTheme="minorEastAsia" w:hAnsiTheme="minorEastAsia" w:eastAsiaTheme="minorEastAsia" w:cstheme="minorEastAsia"/>
          <w:color w:val="auto"/>
          <w:szCs w:val="21"/>
          <w:highlight w:val="none"/>
        </w:rPr>
        <w:fldChar w:fldCharType="end"/>
      </w:r>
    </w:p>
    <w:p w14:paraId="05D65F91">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_Toc20371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zCs w:val="24"/>
          <w:highlight w:val="none"/>
        </w:rPr>
        <w:t>10、 最高</w:t>
      </w:r>
      <w:r>
        <w:rPr>
          <w:rFonts w:hint="eastAsia" w:ascii="宋体" w:hAnsi="宋体" w:eastAsia="宋体" w:cs="宋体"/>
          <w:kern w:val="2"/>
          <w:szCs w:val="24"/>
          <w:highlight w:val="none"/>
        </w:rPr>
        <w:t>投标</w:t>
      </w:r>
      <w:r>
        <w:rPr>
          <w:rFonts w:hint="eastAsia" w:ascii="宋体" w:hAnsi="宋体" w:eastAsia="宋体" w:cs="宋体"/>
          <w:szCs w:val="24"/>
          <w:highlight w:val="none"/>
        </w:rPr>
        <w:t>限价的确定</w:t>
      </w:r>
      <w:r>
        <w:rPr>
          <w:rFonts w:hint="eastAsia" w:hAnsi="宋体" w:cs="宋体"/>
          <w:szCs w:val="24"/>
          <w:highlight w:val="none"/>
          <w:lang w:eastAsia="zh-CN"/>
        </w:rPr>
        <w:t>：</w:t>
      </w:r>
      <w:r>
        <w:tab/>
      </w:r>
      <w:r>
        <w:fldChar w:fldCharType="begin"/>
      </w:r>
      <w:r>
        <w:instrText xml:space="preserve"> PAGEREF _Toc20371 \h </w:instrText>
      </w:r>
      <w:r>
        <w:fldChar w:fldCharType="separate"/>
      </w:r>
      <w:r>
        <w:t>22</w:t>
      </w:r>
      <w:r>
        <w:fldChar w:fldCharType="end"/>
      </w:r>
      <w:r>
        <w:rPr>
          <w:rFonts w:hint="eastAsia" w:asciiTheme="minorEastAsia" w:hAnsiTheme="minorEastAsia" w:eastAsiaTheme="minorEastAsia" w:cstheme="minorEastAsia"/>
          <w:color w:val="auto"/>
          <w:szCs w:val="21"/>
          <w:highlight w:val="none"/>
        </w:rPr>
        <w:fldChar w:fldCharType="end"/>
      </w:r>
    </w:p>
    <w:p w14:paraId="6A721E3C">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_Toc911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zCs w:val="24"/>
          <w:highlight w:val="none"/>
        </w:rPr>
        <w:t>11、投标文件的编制要求</w:t>
      </w:r>
      <w:r>
        <w:tab/>
      </w:r>
      <w:r>
        <w:fldChar w:fldCharType="begin"/>
      </w:r>
      <w:r>
        <w:instrText xml:space="preserve"> PAGEREF _Toc911 \h </w:instrText>
      </w:r>
      <w:r>
        <w:fldChar w:fldCharType="separate"/>
      </w:r>
      <w:r>
        <w:t>22</w:t>
      </w:r>
      <w:r>
        <w:fldChar w:fldCharType="end"/>
      </w:r>
      <w:r>
        <w:rPr>
          <w:rFonts w:hint="eastAsia" w:asciiTheme="minorEastAsia" w:hAnsiTheme="minorEastAsia" w:eastAsiaTheme="minorEastAsia" w:cstheme="minorEastAsia"/>
          <w:color w:val="auto"/>
          <w:szCs w:val="21"/>
          <w:highlight w:val="none"/>
        </w:rPr>
        <w:fldChar w:fldCharType="end"/>
      </w:r>
    </w:p>
    <w:p w14:paraId="22642CAE">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_Toc7807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12、 投标有效期及对投标人的其他要求</w:t>
      </w:r>
      <w:r>
        <w:tab/>
      </w:r>
      <w:r>
        <w:fldChar w:fldCharType="begin"/>
      </w:r>
      <w:r>
        <w:instrText xml:space="preserve"> PAGEREF _Toc7807 \h </w:instrText>
      </w:r>
      <w:r>
        <w:fldChar w:fldCharType="separate"/>
      </w:r>
      <w:r>
        <w:t>27</w:t>
      </w:r>
      <w:r>
        <w:fldChar w:fldCharType="end"/>
      </w:r>
      <w:r>
        <w:rPr>
          <w:rFonts w:hint="eastAsia" w:asciiTheme="minorEastAsia" w:hAnsiTheme="minorEastAsia" w:eastAsiaTheme="minorEastAsia" w:cstheme="minorEastAsia"/>
          <w:color w:val="auto"/>
          <w:szCs w:val="21"/>
          <w:highlight w:val="none"/>
        </w:rPr>
        <w:fldChar w:fldCharType="end"/>
      </w:r>
    </w:p>
    <w:p w14:paraId="1E86ACD8">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_Toc3892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13、开标</w:t>
      </w:r>
      <w:r>
        <w:tab/>
      </w:r>
      <w:r>
        <w:fldChar w:fldCharType="begin"/>
      </w:r>
      <w:r>
        <w:instrText xml:space="preserve"> PAGEREF _Toc3892 \h </w:instrText>
      </w:r>
      <w:r>
        <w:fldChar w:fldCharType="separate"/>
      </w:r>
      <w:r>
        <w:t>27</w:t>
      </w:r>
      <w:r>
        <w:fldChar w:fldCharType="end"/>
      </w:r>
      <w:r>
        <w:rPr>
          <w:rFonts w:hint="eastAsia" w:asciiTheme="minorEastAsia" w:hAnsiTheme="minorEastAsia" w:eastAsiaTheme="minorEastAsia" w:cstheme="minorEastAsia"/>
          <w:color w:val="auto"/>
          <w:szCs w:val="21"/>
          <w:highlight w:val="none"/>
        </w:rPr>
        <w:fldChar w:fldCharType="end"/>
      </w:r>
    </w:p>
    <w:p w14:paraId="004CFD91">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_Toc1528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14、评标的方法和标准</w:t>
      </w:r>
      <w:r>
        <w:tab/>
      </w:r>
      <w:r>
        <w:fldChar w:fldCharType="begin"/>
      </w:r>
      <w:r>
        <w:instrText xml:space="preserve"> PAGEREF _Toc1528 \h </w:instrText>
      </w:r>
      <w:r>
        <w:fldChar w:fldCharType="separate"/>
      </w:r>
      <w:r>
        <w:t>28</w:t>
      </w:r>
      <w:r>
        <w:fldChar w:fldCharType="end"/>
      </w:r>
      <w:r>
        <w:rPr>
          <w:rFonts w:hint="eastAsia" w:asciiTheme="minorEastAsia" w:hAnsiTheme="minorEastAsia" w:eastAsiaTheme="minorEastAsia" w:cstheme="minorEastAsia"/>
          <w:color w:val="auto"/>
          <w:szCs w:val="21"/>
          <w:highlight w:val="none"/>
        </w:rPr>
        <w:fldChar w:fldCharType="end"/>
      </w:r>
    </w:p>
    <w:p w14:paraId="6917467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_Toc24245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highlight w:val="none"/>
        </w:rPr>
        <w:t>15、推荐</w:t>
      </w:r>
      <w:r>
        <w:rPr>
          <w:rFonts w:hint="eastAsia" w:ascii="宋体" w:hAnsi="宋体" w:eastAsia="宋体" w:cs="宋体"/>
          <w:kern w:val="2"/>
          <w:highlight w:val="none"/>
          <w:lang w:val="en-US" w:eastAsia="zh-CN"/>
        </w:rPr>
        <w:t>定</w:t>
      </w:r>
      <w:r>
        <w:rPr>
          <w:rFonts w:hint="eastAsia" w:ascii="宋体" w:hAnsi="宋体" w:eastAsia="宋体" w:cs="宋体"/>
          <w:kern w:val="2"/>
          <w:highlight w:val="none"/>
        </w:rPr>
        <w:t>标候选人</w:t>
      </w:r>
      <w:r>
        <w:tab/>
      </w:r>
      <w:r>
        <w:fldChar w:fldCharType="begin"/>
      </w:r>
      <w:r>
        <w:instrText xml:space="preserve"> PAGEREF _Toc24245 \h </w:instrText>
      </w:r>
      <w:r>
        <w:fldChar w:fldCharType="separate"/>
      </w:r>
      <w:r>
        <w:t>38</w:t>
      </w:r>
      <w:r>
        <w:fldChar w:fldCharType="end"/>
      </w:r>
      <w:r>
        <w:rPr>
          <w:rFonts w:hint="eastAsia" w:asciiTheme="minorEastAsia" w:hAnsiTheme="minorEastAsia" w:eastAsiaTheme="minorEastAsia" w:cstheme="minorEastAsia"/>
          <w:color w:val="auto"/>
          <w:szCs w:val="21"/>
          <w:highlight w:val="none"/>
        </w:rPr>
        <w:fldChar w:fldCharType="end"/>
      </w:r>
    </w:p>
    <w:p w14:paraId="0C17BA22">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_Toc5715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highlight w:val="none"/>
          <w:lang w:val="en-US" w:eastAsia="zh-CN"/>
        </w:rPr>
        <w:t>16、定标候选人</w:t>
      </w:r>
      <w:r>
        <w:rPr>
          <w:rFonts w:hint="eastAsia" w:ascii="宋体" w:hAnsi="宋体" w:eastAsia="宋体" w:cs="宋体"/>
          <w:kern w:val="2"/>
          <w:highlight w:val="none"/>
        </w:rPr>
        <w:t>公示</w:t>
      </w:r>
      <w:r>
        <w:tab/>
      </w:r>
      <w:r>
        <w:fldChar w:fldCharType="begin"/>
      </w:r>
      <w:r>
        <w:instrText xml:space="preserve"> PAGEREF _Toc5715 \h </w:instrText>
      </w:r>
      <w:r>
        <w:fldChar w:fldCharType="separate"/>
      </w:r>
      <w:r>
        <w:t>38</w:t>
      </w:r>
      <w:r>
        <w:fldChar w:fldCharType="end"/>
      </w:r>
      <w:r>
        <w:rPr>
          <w:rFonts w:hint="eastAsia" w:asciiTheme="minorEastAsia" w:hAnsiTheme="minorEastAsia" w:eastAsiaTheme="minorEastAsia" w:cstheme="minorEastAsia"/>
          <w:color w:val="auto"/>
          <w:szCs w:val="21"/>
          <w:highlight w:val="none"/>
        </w:rPr>
        <w:fldChar w:fldCharType="end"/>
      </w:r>
    </w:p>
    <w:p w14:paraId="7BFF9B32">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_Toc32557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第二章 拟签订合同的主要条款</w:t>
      </w:r>
      <w:r>
        <w:tab/>
      </w:r>
      <w:r>
        <w:fldChar w:fldCharType="begin"/>
      </w:r>
      <w:r>
        <w:instrText xml:space="preserve"> PAGEREF _Toc32557 \h </w:instrText>
      </w:r>
      <w:r>
        <w:fldChar w:fldCharType="separate"/>
      </w:r>
      <w:r>
        <w:t>47</w:t>
      </w:r>
      <w:r>
        <w:fldChar w:fldCharType="end"/>
      </w:r>
      <w:r>
        <w:rPr>
          <w:rFonts w:hint="eastAsia" w:asciiTheme="minorEastAsia" w:hAnsiTheme="minorEastAsia" w:eastAsiaTheme="minorEastAsia" w:cstheme="minorEastAsia"/>
          <w:color w:val="auto"/>
          <w:szCs w:val="21"/>
          <w:highlight w:val="none"/>
        </w:rPr>
        <w:fldChar w:fldCharType="end"/>
      </w:r>
    </w:p>
    <w:p w14:paraId="6E327940">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_Toc21998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highlight w:val="none"/>
        </w:rPr>
        <w:t>1 工程承包方式</w:t>
      </w:r>
      <w:r>
        <w:tab/>
      </w:r>
      <w:r>
        <w:fldChar w:fldCharType="begin"/>
      </w:r>
      <w:r>
        <w:instrText xml:space="preserve"> PAGEREF _Toc21998 \h </w:instrText>
      </w:r>
      <w:r>
        <w:fldChar w:fldCharType="separate"/>
      </w:r>
      <w:r>
        <w:t>47</w:t>
      </w:r>
      <w:r>
        <w:fldChar w:fldCharType="end"/>
      </w:r>
      <w:r>
        <w:rPr>
          <w:rFonts w:hint="eastAsia" w:asciiTheme="minorEastAsia" w:hAnsiTheme="minorEastAsia" w:eastAsiaTheme="minorEastAsia" w:cstheme="minorEastAsia"/>
          <w:color w:val="auto"/>
          <w:szCs w:val="21"/>
          <w:highlight w:val="none"/>
        </w:rPr>
        <w:fldChar w:fldCharType="end"/>
      </w:r>
    </w:p>
    <w:p w14:paraId="5B8B8F67">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_Toc7276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highlight w:val="none"/>
        </w:rPr>
        <w:t>2 施工图工程量清单预算的编制原则</w:t>
      </w:r>
      <w:r>
        <w:tab/>
      </w:r>
      <w:r>
        <w:fldChar w:fldCharType="begin"/>
      </w:r>
      <w:r>
        <w:instrText xml:space="preserve"> PAGEREF _Toc7276 \h </w:instrText>
      </w:r>
      <w:r>
        <w:fldChar w:fldCharType="separate"/>
      </w:r>
      <w:r>
        <w:t>47</w:t>
      </w:r>
      <w:r>
        <w:fldChar w:fldCharType="end"/>
      </w:r>
      <w:r>
        <w:rPr>
          <w:rFonts w:hint="eastAsia" w:asciiTheme="minorEastAsia" w:hAnsiTheme="minorEastAsia" w:eastAsiaTheme="minorEastAsia" w:cstheme="minorEastAsia"/>
          <w:color w:val="auto"/>
          <w:szCs w:val="21"/>
          <w:highlight w:val="none"/>
        </w:rPr>
        <w:fldChar w:fldCharType="end"/>
      </w:r>
    </w:p>
    <w:p w14:paraId="6675EA3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_Toc11426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3 工程结算原则</w:t>
      </w:r>
      <w:r>
        <w:tab/>
      </w:r>
      <w:r>
        <w:fldChar w:fldCharType="begin"/>
      </w:r>
      <w:r>
        <w:instrText xml:space="preserve"> PAGEREF _Toc11426 \h </w:instrText>
      </w:r>
      <w:r>
        <w:fldChar w:fldCharType="separate"/>
      </w:r>
      <w:r>
        <w:t>48</w:t>
      </w:r>
      <w:r>
        <w:fldChar w:fldCharType="end"/>
      </w:r>
      <w:r>
        <w:rPr>
          <w:rFonts w:hint="eastAsia" w:asciiTheme="minorEastAsia" w:hAnsiTheme="minorEastAsia" w:eastAsiaTheme="minorEastAsia" w:cstheme="minorEastAsia"/>
          <w:color w:val="auto"/>
          <w:szCs w:val="21"/>
          <w:highlight w:val="none"/>
        </w:rPr>
        <w:fldChar w:fldCharType="end"/>
      </w:r>
    </w:p>
    <w:p w14:paraId="1B8B9F8B">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_Toc17697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2"/>
          <w:szCs w:val="24"/>
          <w:highlight w:val="none"/>
        </w:rPr>
        <w:t>4 工程付款办法</w:t>
      </w:r>
      <w:r>
        <w:tab/>
      </w:r>
      <w:r>
        <w:fldChar w:fldCharType="begin"/>
      </w:r>
      <w:r>
        <w:instrText xml:space="preserve"> PAGEREF _Toc17697 \h </w:instrText>
      </w:r>
      <w:r>
        <w:fldChar w:fldCharType="separate"/>
      </w:r>
      <w:r>
        <w:t>51</w:t>
      </w:r>
      <w:r>
        <w:fldChar w:fldCharType="end"/>
      </w:r>
      <w:r>
        <w:rPr>
          <w:rFonts w:hint="eastAsia" w:asciiTheme="minorEastAsia" w:hAnsiTheme="minorEastAsia" w:eastAsiaTheme="minorEastAsia" w:cstheme="minorEastAsia"/>
          <w:color w:val="auto"/>
          <w:szCs w:val="21"/>
          <w:highlight w:val="none"/>
        </w:rPr>
        <w:fldChar w:fldCharType="end"/>
      </w:r>
    </w:p>
    <w:p w14:paraId="7BDD78CA">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_Toc941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第三章 中标人须知</w:t>
      </w:r>
      <w:r>
        <w:tab/>
      </w:r>
      <w:r>
        <w:fldChar w:fldCharType="begin"/>
      </w:r>
      <w:r>
        <w:instrText xml:space="preserve"> PAGEREF _Toc941 \h </w:instrText>
      </w:r>
      <w:r>
        <w:fldChar w:fldCharType="separate"/>
      </w:r>
      <w:r>
        <w:t>75</w:t>
      </w:r>
      <w:r>
        <w:fldChar w:fldCharType="end"/>
      </w:r>
      <w:r>
        <w:rPr>
          <w:rFonts w:hint="eastAsia" w:asciiTheme="minorEastAsia" w:hAnsiTheme="minorEastAsia" w:eastAsiaTheme="minorEastAsia" w:cstheme="minorEastAsia"/>
          <w:color w:val="auto"/>
          <w:szCs w:val="21"/>
          <w:highlight w:val="none"/>
        </w:rPr>
        <w:fldChar w:fldCharType="end"/>
      </w:r>
    </w:p>
    <w:p w14:paraId="3D26C6E4">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_Toc17820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第四章 投标人提交的其他材料</w:t>
      </w:r>
      <w:r>
        <w:tab/>
      </w:r>
      <w:r>
        <w:fldChar w:fldCharType="begin"/>
      </w:r>
      <w:r>
        <w:instrText xml:space="preserve"> PAGEREF _Toc17820 \h </w:instrText>
      </w:r>
      <w:r>
        <w:fldChar w:fldCharType="separate"/>
      </w:r>
      <w:r>
        <w:t>81</w:t>
      </w:r>
      <w:r>
        <w:fldChar w:fldCharType="end"/>
      </w:r>
      <w:r>
        <w:rPr>
          <w:rFonts w:hint="eastAsia" w:asciiTheme="minorEastAsia" w:hAnsiTheme="minorEastAsia" w:eastAsiaTheme="minorEastAsia" w:cstheme="minorEastAsia"/>
          <w:color w:val="auto"/>
          <w:szCs w:val="21"/>
          <w:highlight w:val="none"/>
        </w:rPr>
        <w:fldChar w:fldCharType="end"/>
      </w:r>
    </w:p>
    <w:p w14:paraId="3BE33B18">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_Toc1542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 xml:space="preserve">1 </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投标保证</w:t>
      </w:r>
      <w:r>
        <w:tab/>
      </w:r>
      <w:r>
        <w:fldChar w:fldCharType="begin"/>
      </w:r>
      <w:r>
        <w:instrText xml:space="preserve"> PAGEREF _Toc1542 \h </w:instrText>
      </w:r>
      <w:r>
        <w:fldChar w:fldCharType="separate"/>
      </w:r>
      <w:r>
        <w:t>81</w:t>
      </w:r>
      <w:r>
        <w:fldChar w:fldCharType="end"/>
      </w:r>
      <w:r>
        <w:rPr>
          <w:rFonts w:hint="eastAsia" w:asciiTheme="minorEastAsia" w:hAnsiTheme="minorEastAsia" w:eastAsiaTheme="minorEastAsia" w:cstheme="minorEastAsia"/>
          <w:color w:val="auto"/>
          <w:szCs w:val="21"/>
          <w:highlight w:val="none"/>
        </w:rPr>
        <w:fldChar w:fldCharType="end"/>
      </w:r>
    </w:p>
    <w:p w14:paraId="04B19EDD">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_Toc30036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 xml:space="preserve">2 </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履约保证金</w:t>
      </w:r>
      <w:r>
        <w:tab/>
      </w:r>
      <w:r>
        <w:fldChar w:fldCharType="begin"/>
      </w:r>
      <w:r>
        <w:instrText xml:space="preserve"> PAGEREF _Toc30036 \h </w:instrText>
      </w:r>
      <w:r>
        <w:fldChar w:fldCharType="separate"/>
      </w:r>
      <w:r>
        <w:t>82</w:t>
      </w:r>
      <w:r>
        <w:fldChar w:fldCharType="end"/>
      </w:r>
      <w:r>
        <w:rPr>
          <w:rFonts w:hint="eastAsia" w:asciiTheme="minorEastAsia" w:hAnsiTheme="minorEastAsia" w:eastAsiaTheme="minorEastAsia" w:cstheme="minorEastAsia"/>
          <w:color w:val="auto"/>
          <w:szCs w:val="21"/>
          <w:highlight w:val="none"/>
        </w:rPr>
        <w:fldChar w:fldCharType="end"/>
      </w:r>
    </w:p>
    <w:p w14:paraId="761E5118">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_Toc3129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3</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质量保证</w:t>
      </w:r>
      <w:r>
        <w:tab/>
      </w:r>
      <w:r>
        <w:fldChar w:fldCharType="begin"/>
      </w:r>
      <w:r>
        <w:instrText xml:space="preserve"> PAGEREF _Toc3129 \h </w:instrText>
      </w:r>
      <w:r>
        <w:fldChar w:fldCharType="separate"/>
      </w:r>
      <w:r>
        <w:t>82</w:t>
      </w:r>
      <w:r>
        <w:fldChar w:fldCharType="end"/>
      </w:r>
      <w:r>
        <w:rPr>
          <w:rFonts w:hint="eastAsia" w:asciiTheme="minorEastAsia" w:hAnsiTheme="minorEastAsia" w:eastAsiaTheme="minorEastAsia" w:cstheme="minorEastAsia"/>
          <w:color w:val="auto"/>
          <w:szCs w:val="21"/>
          <w:highlight w:val="none"/>
        </w:rPr>
        <w:fldChar w:fldCharType="end"/>
      </w:r>
    </w:p>
    <w:p w14:paraId="57F3F503">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_Toc30156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第五章 招标工程的技术要求和前期文件</w:t>
      </w:r>
      <w:r>
        <w:tab/>
      </w:r>
      <w:r>
        <w:fldChar w:fldCharType="begin"/>
      </w:r>
      <w:r>
        <w:instrText xml:space="preserve"> PAGEREF _Toc30156 \h </w:instrText>
      </w:r>
      <w:r>
        <w:fldChar w:fldCharType="separate"/>
      </w:r>
      <w:r>
        <w:t>84</w:t>
      </w:r>
      <w:r>
        <w:fldChar w:fldCharType="end"/>
      </w:r>
      <w:r>
        <w:rPr>
          <w:rFonts w:hint="eastAsia" w:asciiTheme="minorEastAsia" w:hAnsiTheme="minorEastAsia" w:eastAsiaTheme="minorEastAsia" w:cstheme="minorEastAsia"/>
          <w:color w:val="auto"/>
          <w:szCs w:val="21"/>
          <w:highlight w:val="none"/>
        </w:rPr>
        <w:fldChar w:fldCharType="end"/>
      </w:r>
    </w:p>
    <w:p w14:paraId="5E1C7A65">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_Toc22589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lang w:val="en-US" w:eastAsia="zh-CN" w:bidi="ar-SA"/>
        </w:rPr>
        <w:t xml:space="preserve">第六章 </w:t>
      </w:r>
      <w:r>
        <w:rPr>
          <w:rFonts w:asciiTheme="minorEastAsia" w:hAnsiTheme="minorEastAsia" w:eastAsiaTheme="minorEastAsia" w:cstheme="minorEastAsia"/>
          <w:kern w:val="44"/>
          <w:szCs w:val="36"/>
          <w:highlight w:val="none"/>
        </w:rPr>
        <w:t>招标文件的附件</w:t>
      </w:r>
      <w:r>
        <w:tab/>
      </w:r>
      <w:r>
        <w:fldChar w:fldCharType="begin"/>
      </w:r>
      <w:r>
        <w:instrText xml:space="preserve"> PAGEREF _Toc22589 \h </w:instrText>
      </w:r>
      <w:r>
        <w:fldChar w:fldCharType="separate"/>
      </w:r>
      <w:r>
        <w:t>86</w:t>
      </w:r>
      <w:r>
        <w:fldChar w:fldCharType="end"/>
      </w:r>
      <w:r>
        <w:rPr>
          <w:rFonts w:hint="eastAsia" w:asciiTheme="minorEastAsia" w:hAnsiTheme="minorEastAsia" w:eastAsiaTheme="minorEastAsia" w:cstheme="minorEastAsia"/>
          <w:color w:val="auto"/>
          <w:szCs w:val="21"/>
          <w:highlight w:val="none"/>
        </w:rPr>
        <w:fldChar w:fldCharType="end"/>
      </w:r>
    </w:p>
    <w:p w14:paraId="13F98F44">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_Toc5530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snapToGrid w:val="0"/>
          <w:szCs w:val="24"/>
          <w:highlight w:val="none"/>
        </w:rPr>
        <w:t>格式一 封面</w:t>
      </w:r>
      <w:r>
        <w:tab/>
      </w:r>
      <w:r>
        <w:fldChar w:fldCharType="begin"/>
      </w:r>
      <w:r>
        <w:instrText xml:space="preserve"> PAGEREF _Toc5530 \h </w:instrText>
      </w:r>
      <w:r>
        <w:fldChar w:fldCharType="separate"/>
      </w:r>
      <w:r>
        <w:t>86</w:t>
      </w:r>
      <w:r>
        <w:fldChar w:fldCharType="end"/>
      </w:r>
      <w:r>
        <w:rPr>
          <w:rFonts w:hint="eastAsia" w:asciiTheme="minorEastAsia" w:hAnsiTheme="minorEastAsia" w:eastAsiaTheme="minorEastAsia" w:cstheme="minorEastAsia"/>
          <w:color w:val="auto"/>
          <w:szCs w:val="21"/>
          <w:highlight w:val="none"/>
        </w:rPr>
        <w:fldChar w:fldCharType="end"/>
      </w:r>
    </w:p>
    <w:p w14:paraId="7A3ACF06">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_Toc10468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格式二 《投标函》及《工程项目总价表》</w:t>
      </w:r>
      <w:r>
        <w:tab/>
      </w:r>
      <w:r>
        <w:fldChar w:fldCharType="begin"/>
      </w:r>
      <w:r>
        <w:instrText xml:space="preserve"> PAGEREF _Toc10468 \h </w:instrText>
      </w:r>
      <w:r>
        <w:fldChar w:fldCharType="separate"/>
      </w:r>
      <w:r>
        <w:t>87</w:t>
      </w:r>
      <w:r>
        <w:fldChar w:fldCharType="end"/>
      </w:r>
      <w:r>
        <w:rPr>
          <w:rFonts w:hint="eastAsia" w:asciiTheme="minorEastAsia" w:hAnsiTheme="minorEastAsia" w:eastAsiaTheme="minorEastAsia" w:cstheme="minorEastAsia"/>
          <w:color w:val="auto"/>
          <w:szCs w:val="21"/>
          <w:highlight w:val="none"/>
        </w:rPr>
        <w:fldChar w:fldCharType="end"/>
      </w:r>
    </w:p>
    <w:p w14:paraId="798BBDFB">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_Toc24723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szCs w:val="24"/>
          <w:highlight w:val="none"/>
        </w:rPr>
        <w:t>格式三 各项</w:t>
      </w:r>
      <w:r>
        <w:rPr>
          <w:rFonts w:asciiTheme="minorEastAsia" w:hAnsiTheme="minorEastAsia" w:eastAsiaTheme="minorEastAsia" w:cstheme="minorEastAsia"/>
          <w:bCs/>
          <w:szCs w:val="24"/>
          <w:highlight w:val="none"/>
        </w:rPr>
        <w:t>承诺</w:t>
      </w:r>
      <w:r>
        <w:rPr>
          <w:rFonts w:asciiTheme="minorEastAsia" w:hAnsiTheme="minorEastAsia" w:eastAsiaTheme="minorEastAsia" w:cstheme="minorEastAsia"/>
          <w:szCs w:val="24"/>
          <w:highlight w:val="none"/>
        </w:rPr>
        <w:t>一览表</w:t>
      </w:r>
      <w:r>
        <w:tab/>
      </w:r>
      <w:r>
        <w:fldChar w:fldCharType="begin"/>
      </w:r>
      <w:r>
        <w:instrText xml:space="preserve"> PAGEREF _Toc24723 \h </w:instrText>
      </w:r>
      <w:r>
        <w:fldChar w:fldCharType="separate"/>
      </w:r>
      <w:r>
        <w:t>89</w:t>
      </w:r>
      <w:r>
        <w:fldChar w:fldCharType="end"/>
      </w:r>
      <w:r>
        <w:rPr>
          <w:rFonts w:hint="eastAsia" w:asciiTheme="minorEastAsia" w:hAnsiTheme="minorEastAsia" w:eastAsiaTheme="minorEastAsia" w:cstheme="minorEastAsia"/>
          <w:color w:val="auto"/>
          <w:szCs w:val="21"/>
          <w:highlight w:val="none"/>
        </w:rPr>
        <w:fldChar w:fldCharType="end"/>
      </w:r>
    </w:p>
    <w:p w14:paraId="14803F0C">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_Toc10703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格式四 授权委托书</w:t>
      </w:r>
      <w:r>
        <w:tab/>
      </w:r>
      <w:r>
        <w:fldChar w:fldCharType="begin"/>
      </w:r>
      <w:r>
        <w:instrText xml:space="preserve"> PAGEREF _Toc10703 \h </w:instrText>
      </w:r>
      <w:r>
        <w:fldChar w:fldCharType="separate"/>
      </w:r>
      <w:r>
        <w:t>94</w:t>
      </w:r>
      <w:r>
        <w:fldChar w:fldCharType="end"/>
      </w:r>
      <w:r>
        <w:rPr>
          <w:rFonts w:hint="eastAsia" w:asciiTheme="minorEastAsia" w:hAnsiTheme="minorEastAsia" w:eastAsiaTheme="minorEastAsia" w:cstheme="minorEastAsia"/>
          <w:color w:val="auto"/>
          <w:szCs w:val="21"/>
          <w:highlight w:val="none"/>
        </w:rPr>
        <w:fldChar w:fldCharType="end"/>
      </w:r>
    </w:p>
    <w:p w14:paraId="2857C93B">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_Toc28268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格式五 法定代表人身份证明</w:t>
      </w:r>
      <w:r>
        <w:tab/>
      </w:r>
      <w:r>
        <w:fldChar w:fldCharType="begin"/>
      </w:r>
      <w:r>
        <w:instrText xml:space="preserve"> PAGEREF _Toc28268 \h </w:instrText>
      </w:r>
      <w:r>
        <w:fldChar w:fldCharType="separate"/>
      </w:r>
      <w:r>
        <w:t>95</w:t>
      </w:r>
      <w:r>
        <w:fldChar w:fldCharType="end"/>
      </w:r>
      <w:r>
        <w:rPr>
          <w:rFonts w:hint="eastAsia" w:asciiTheme="minorEastAsia" w:hAnsiTheme="minorEastAsia" w:eastAsiaTheme="minorEastAsia" w:cstheme="minorEastAsia"/>
          <w:color w:val="auto"/>
          <w:szCs w:val="21"/>
          <w:highlight w:val="none"/>
        </w:rPr>
        <w:fldChar w:fldCharType="end"/>
      </w:r>
    </w:p>
    <w:p w14:paraId="07696F6E">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_Toc11284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格式六 联合体协议书</w:t>
      </w:r>
      <w:r>
        <w:tab/>
      </w:r>
      <w:r>
        <w:fldChar w:fldCharType="begin"/>
      </w:r>
      <w:r>
        <w:instrText xml:space="preserve"> PAGEREF _Toc11284 \h </w:instrText>
      </w:r>
      <w:r>
        <w:fldChar w:fldCharType="separate"/>
      </w:r>
      <w:r>
        <w:t>96</w:t>
      </w:r>
      <w:r>
        <w:fldChar w:fldCharType="end"/>
      </w:r>
      <w:r>
        <w:rPr>
          <w:rFonts w:hint="eastAsia" w:asciiTheme="minorEastAsia" w:hAnsiTheme="minorEastAsia" w:eastAsiaTheme="minorEastAsia" w:cstheme="minorEastAsia"/>
          <w:color w:val="auto"/>
          <w:szCs w:val="21"/>
          <w:highlight w:val="none"/>
        </w:rPr>
        <w:fldChar w:fldCharType="end"/>
      </w:r>
    </w:p>
    <w:p w14:paraId="39561699">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_Toc19280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格式七 投标人基本情况表</w:t>
      </w:r>
      <w:r>
        <w:tab/>
      </w:r>
      <w:r>
        <w:fldChar w:fldCharType="begin"/>
      </w:r>
      <w:r>
        <w:instrText xml:space="preserve"> PAGEREF _Toc19280 \h </w:instrText>
      </w:r>
      <w:r>
        <w:fldChar w:fldCharType="separate"/>
      </w:r>
      <w:r>
        <w:t>98</w:t>
      </w:r>
      <w:r>
        <w:fldChar w:fldCharType="end"/>
      </w:r>
      <w:r>
        <w:rPr>
          <w:rFonts w:hint="eastAsia" w:asciiTheme="minorEastAsia" w:hAnsiTheme="minorEastAsia" w:eastAsiaTheme="minorEastAsia" w:cstheme="minorEastAsia"/>
          <w:color w:val="auto"/>
          <w:szCs w:val="21"/>
          <w:highlight w:val="none"/>
        </w:rPr>
        <w:fldChar w:fldCharType="end"/>
      </w:r>
    </w:p>
    <w:p w14:paraId="3E397FC7">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_Toc13553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格式八 项目经理简历表</w:t>
      </w:r>
      <w:r>
        <w:tab/>
      </w:r>
      <w:r>
        <w:fldChar w:fldCharType="begin"/>
      </w:r>
      <w:r>
        <w:instrText xml:space="preserve"> PAGEREF _Toc13553 \h </w:instrText>
      </w:r>
      <w:r>
        <w:fldChar w:fldCharType="separate"/>
      </w:r>
      <w:r>
        <w:t>99</w:t>
      </w:r>
      <w:r>
        <w:fldChar w:fldCharType="end"/>
      </w:r>
      <w:r>
        <w:rPr>
          <w:rFonts w:hint="eastAsia" w:asciiTheme="minorEastAsia" w:hAnsiTheme="minorEastAsia" w:eastAsiaTheme="minorEastAsia" w:cstheme="minorEastAsia"/>
          <w:color w:val="auto"/>
          <w:szCs w:val="21"/>
          <w:highlight w:val="none"/>
        </w:rPr>
        <w:fldChar w:fldCharType="end"/>
      </w:r>
    </w:p>
    <w:p w14:paraId="17F11ED9">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_Toc29243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格式九 项目经理任职声明</w:t>
      </w:r>
      <w:r>
        <w:tab/>
      </w:r>
      <w:r>
        <w:fldChar w:fldCharType="begin"/>
      </w:r>
      <w:r>
        <w:instrText xml:space="preserve"> PAGEREF _Toc29243 \h </w:instrText>
      </w:r>
      <w:r>
        <w:fldChar w:fldCharType="separate"/>
      </w:r>
      <w:r>
        <w:t>100</w:t>
      </w:r>
      <w:r>
        <w:fldChar w:fldCharType="end"/>
      </w:r>
      <w:r>
        <w:rPr>
          <w:rFonts w:hint="eastAsia" w:asciiTheme="minorEastAsia" w:hAnsiTheme="minorEastAsia" w:eastAsiaTheme="minorEastAsia" w:cstheme="minorEastAsia"/>
          <w:color w:val="auto"/>
          <w:szCs w:val="21"/>
          <w:highlight w:val="none"/>
        </w:rPr>
        <w:fldChar w:fldCharType="end"/>
      </w:r>
    </w:p>
    <w:p w14:paraId="1B62C5F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_Toc6982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格式十 项目技术负责人简历表</w:t>
      </w:r>
      <w:r>
        <w:tab/>
      </w:r>
      <w:r>
        <w:fldChar w:fldCharType="begin"/>
      </w:r>
      <w:r>
        <w:instrText xml:space="preserve"> PAGEREF _Toc6982 \h </w:instrText>
      </w:r>
      <w:r>
        <w:fldChar w:fldCharType="separate"/>
      </w:r>
      <w:r>
        <w:t>101</w:t>
      </w:r>
      <w:r>
        <w:fldChar w:fldCharType="end"/>
      </w:r>
      <w:r>
        <w:rPr>
          <w:rFonts w:hint="eastAsia" w:asciiTheme="minorEastAsia" w:hAnsiTheme="minorEastAsia" w:eastAsiaTheme="minorEastAsia" w:cstheme="minorEastAsia"/>
          <w:color w:val="auto"/>
          <w:szCs w:val="21"/>
          <w:highlight w:val="none"/>
        </w:rPr>
        <w:fldChar w:fldCharType="end"/>
      </w:r>
    </w:p>
    <w:p w14:paraId="05753E1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_Toc20251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格式十一 项目设计负责人简历表</w:t>
      </w:r>
      <w:r>
        <w:tab/>
      </w:r>
      <w:r>
        <w:fldChar w:fldCharType="begin"/>
      </w:r>
      <w:r>
        <w:instrText xml:space="preserve"> PAGEREF _Toc20251 \h </w:instrText>
      </w:r>
      <w:r>
        <w:fldChar w:fldCharType="separate"/>
      </w:r>
      <w:r>
        <w:t>102</w:t>
      </w:r>
      <w:r>
        <w:fldChar w:fldCharType="end"/>
      </w:r>
      <w:r>
        <w:rPr>
          <w:rFonts w:hint="eastAsia" w:asciiTheme="minorEastAsia" w:hAnsiTheme="minorEastAsia" w:eastAsiaTheme="minorEastAsia" w:cstheme="minorEastAsia"/>
          <w:color w:val="auto"/>
          <w:szCs w:val="21"/>
          <w:highlight w:val="none"/>
        </w:rPr>
        <w:fldChar w:fldCharType="end"/>
      </w:r>
    </w:p>
    <w:p w14:paraId="48E135C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_Toc29098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snapToGrid w:val="0"/>
          <w:szCs w:val="24"/>
          <w:highlight w:val="none"/>
        </w:rPr>
        <w:t>格式十二 项目管理机构组成表</w:t>
      </w:r>
      <w:r>
        <w:tab/>
      </w:r>
      <w:r>
        <w:fldChar w:fldCharType="begin"/>
      </w:r>
      <w:r>
        <w:instrText xml:space="preserve"> PAGEREF _Toc29098 \h </w:instrText>
      </w:r>
      <w:r>
        <w:fldChar w:fldCharType="separate"/>
      </w:r>
      <w:r>
        <w:t>103</w:t>
      </w:r>
      <w:r>
        <w:fldChar w:fldCharType="end"/>
      </w:r>
      <w:r>
        <w:rPr>
          <w:rFonts w:hint="eastAsia" w:asciiTheme="minorEastAsia" w:hAnsiTheme="minorEastAsia" w:eastAsiaTheme="minorEastAsia" w:cstheme="minorEastAsia"/>
          <w:color w:val="auto"/>
          <w:szCs w:val="21"/>
          <w:highlight w:val="none"/>
        </w:rPr>
        <w:fldChar w:fldCharType="end"/>
      </w:r>
    </w:p>
    <w:p w14:paraId="226802E7">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_Toc12036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bCs/>
          <w:szCs w:val="24"/>
          <w:highlight w:val="none"/>
        </w:rPr>
        <w:t>格式十三 原件一览表</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lang w:val="en-US" w:eastAsia="zh-CN"/>
        </w:rPr>
        <w:t>须提供原件时适用）</w:t>
      </w:r>
      <w:r>
        <w:tab/>
      </w:r>
      <w:r>
        <w:fldChar w:fldCharType="begin"/>
      </w:r>
      <w:r>
        <w:instrText xml:space="preserve"> PAGEREF _Toc12036 \h </w:instrText>
      </w:r>
      <w:r>
        <w:fldChar w:fldCharType="separate"/>
      </w:r>
      <w:r>
        <w:t>104</w:t>
      </w:r>
      <w:r>
        <w:fldChar w:fldCharType="end"/>
      </w:r>
      <w:r>
        <w:rPr>
          <w:rFonts w:hint="eastAsia" w:asciiTheme="minorEastAsia" w:hAnsiTheme="minorEastAsia" w:eastAsiaTheme="minorEastAsia" w:cstheme="minorEastAsia"/>
          <w:color w:val="auto"/>
          <w:szCs w:val="21"/>
          <w:highlight w:val="none"/>
        </w:rPr>
        <w:fldChar w:fldCharType="end"/>
      </w:r>
    </w:p>
    <w:p w14:paraId="69B13C2A">
      <w:pPr>
        <w:pStyle w:val="19"/>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_Toc10835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lang w:val="en-US" w:eastAsia="zh-CN"/>
        </w:rPr>
        <w:t>格式十四 定标因素评审资料</w:t>
      </w:r>
      <w:r>
        <w:tab/>
      </w:r>
      <w:r>
        <w:fldChar w:fldCharType="begin"/>
      </w:r>
      <w:r>
        <w:instrText xml:space="preserve"> PAGEREF _Toc10835 \h </w:instrText>
      </w:r>
      <w:r>
        <w:fldChar w:fldCharType="separate"/>
      </w:r>
      <w:r>
        <w:t>105</w:t>
      </w:r>
      <w:r>
        <w:fldChar w:fldCharType="end"/>
      </w:r>
      <w:r>
        <w:rPr>
          <w:rFonts w:hint="eastAsia" w:asciiTheme="minorEastAsia" w:hAnsiTheme="minorEastAsia" w:eastAsiaTheme="minorEastAsia" w:cstheme="minorEastAsia"/>
          <w:color w:val="auto"/>
          <w:szCs w:val="21"/>
          <w:highlight w:val="none"/>
        </w:rPr>
        <w:fldChar w:fldCharType="end"/>
      </w:r>
    </w:p>
    <w:p w14:paraId="42B88139">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_Toc30460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kern w:val="44"/>
          <w:szCs w:val="30"/>
          <w:highlight w:val="none"/>
        </w:rPr>
        <w:t>第</w:t>
      </w:r>
      <w:r>
        <w:rPr>
          <w:rFonts w:hint="eastAsia" w:asciiTheme="minorEastAsia" w:hAnsiTheme="minorEastAsia" w:eastAsiaTheme="minorEastAsia" w:cstheme="minorEastAsia"/>
          <w:kern w:val="44"/>
          <w:szCs w:val="30"/>
          <w:highlight w:val="none"/>
          <w:lang w:val="en-US" w:eastAsia="zh-CN"/>
        </w:rPr>
        <w:t>七</w:t>
      </w:r>
      <w:r>
        <w:rPr>
          <w:rFonts w:asciiTheme="minorEastAsia" w:hAnsiTheme="minorEastAsia" w:eastAsiaTheme="minorEastAsia" w:cstheme="minorEastAsia"/>
          <w:kern w:val="44"/>
          <w:szCs w:val="30"/>
          <w:highlight w:val="none"/>
        </w:rPr>
        <w:t>章  廉政合同、履约保函、预付款保函、支付保函</w:t>
      </w:r>
      <w:r>
        <w:tab/>
      </w:r>
      <w:r>
        <w:fldChar w:fldCharType="begin"/>
      </w:r>
      <w:r>
        <w:instrText xml:space="preserve"> PAGEREF _Toc30460 \h </w:instrText>
      </w:r>
      <w:r>
        <w:fldChar w:fldCharType="separate"/>
      </w:r>
      <w:r>
        <w:t>106</w:t>
      </w:r>
      <w:r>
        <w:fldChar w:fldCharType="end"/>
      </w:r>
      <w:r>
        <w:rPr>
          <w:rFonts w:hint="eastAsia" w:asciiTheme="minorEastAsia" w:hAnsiTheme="minorEastAsia" w:eastAsiaTheme="minorEastAsia" w:cstheme="minorEastAsia"/>
          <w:color w:val="auto"/>
          <w:szCs w:val="21"/>
          <w:highlight w:val="none"/>
        </w:rPr>
        <w:fldChar w:fldCharType="end"/>
      </w:r>
    </w:p>
    <w:p w14:paraId="3D7726EE">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_Toc2868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廉政合同</w:t>
      </w:r>
      <w:r>
        <w:tab/>
      </w:r>
      <w:r>
        <w:fldChar w:fldCharType="begin"/>
      </w:r>
      <w:r>
        <w:instrText xml:space="preserve"> PAGEREF _Toc2868 \h </w:instrText>
      </w:r>
      <w:r>
        <w:fldChar w:fldCharType="separate"/>
      </w:r>
      <w:r>
        <w:t>106</w:t>
      </w:r>
      <w:r>
        <w:fldChar w:fldCharType="end"/>
      </w:r>
      <w:r>
        <w:rPr>
          <w:rFonts w:hint="eastAsia" w:asciiTheme="minorEastAsia" w:hAnsiTheme="minorEastAsia" w:eastAsiaTheme="minorEastAsia" w:cstheme="minorEastAsia"/>
          <w:color w:val="auto"/>
          <w:szCs w:val="21"/>
          <w:highlight w:val="none"/>
        </w:rPr>
        <w:fldChar w:fldCharType="end"/>
      </w:r>
    </w:p>
    <w:p w14:paraId="48F0FCBF">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_Toc32293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履约保函</w:t>
      </w:r>
      <w:r>
        <w:tab/>
      </w:r>
      <w:r>
        <w:fldChar w:fldCharType="begin"/>
      </w:r>
      <w:r>
        <w:instrText xml:space="preserve"> PAGEREF _Toc32293 \h </w:instrText>
      </w:r>
      <w:r>
        <w:fldChar w:fldCharType="separate"/>
      </w:r>
      <w:r>
        <w:t>109</w:t>
      </w:r>
      <w:r>
        <w:fldChar w:fldCharType="end"/>
      </w:r>
      <w:r>
        <w:rPr>
          <w:rFonts w:hint="eastAsia" w:asciiTheme="minorEastAsia" w:hAnsiTheme="minorEastAsia" w:eastAsiaTheme="minorEastAsia" w:cstheme="minorEastAsia"/>
          <w:color w:val="auto"/>
          <w:szCs w:val="21"/>
          <w:highlight w:val="none"/>
        </w:rPr>
        <w:fldChar w:fldCharType="end"/>
      </w:r>
    </w:p>
    <w:p w14:paraId="697DB587">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_Toc31730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预付款保函</w:t>
      </w:r>
      <w:r>
        <w:tab/>
      </w:r>
      <w:r>
        <w:fldChar w:fldCharType="begin"/>
      </w:r>
      <w:r>
        <w:instrText xml:space="preserve"> PAGEREF _Toc31730 \h </w:instrText>
      </w:r>
      <w:r>
        <w:fldChar w:fldCharType="separate"/>
      </w:r>
      <w:r>
        <w:t>111</w:t>
      </w:r>
      <w:r>
        <w:fldChar w:fldCharType="end"/>
      </w:r>
      <w:r>
        <w:rPr>
          <w:rFonts w:hint="eastAsia" w:asciiTheme="minorEastAsia" w:hAnsiTheme="minorEastAsia" w:eastAsiaTheme="minorEastAsia" w:cstheme="minorEastAsia"/>
          <w:color w:val="auto"/>
          <w:szCs w:val="21"/>
          <w:highlight w:val="none"/>
        </w:rPr>
        <w:fldChar w:fldCharType="end"/>
      </w:r>
    </w:p>
    <w:p w14:paraId="2C67A397">
      <w:pPr>
        <w:pStyle w:val="10"/>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_Toc3674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支付保函</w:t>
      </w:r>
      <w:r>
        <w:tab/>
      </w:r>
      <w:r>
        <w:fldChar w:fldCharType="begin"/>
      </w:r>
      <w:r>
        <w:instrText xml:space="preserve"> PAGEREF _Toc3674 \h </w:instrText>
      </w:r>
      <w:r>
        <w:fldChar w:fldCharType="separate"/>
      </w:r>
      <w:r>
        <w:t>113</w:t>
      </w:r>
      <w:r>
        <w:fldChar w:fldCharType="end"/>
      </w:r>
      <w:r>
        <w:rPr>
          <w:rFonts w:hint="eastAsia" w:asciiTheme="minorEastAsia" w:hAnsiTheme="minorEastAsia" w:eastAsiaTheme="minorEastAsia" w:cstheme="minorEastAsia"/>
          <w:color w:val="auto"/>
          <w:szCs w:val="21"/>
          <w:highlight w:val="none"/>
        </w:rPr>
        <w:fldChar w:fldCharType="end"/>
      </w:r>
    </w:p>
    <w:p w14:paraId="66F3BB01">
      <w:pPr>
        <w:pStyle w:val="16"/>
        <w:tabs>
          <w:tab w:val="right" w:leader="dot" w:pos="9354"/>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_Toc17573 </w:instrText>
      </w:r>
      <w:r>
        <w:rPr>
          <w:rFonts w:hint="eastAsia" w:asciiTheme="minorEastAsia" w:hAnsiTheme="minorEastAsia" w:eastAsiaTheme="minorEastAsia" w:cstheme="minorEastAsia"/>
          <w:szCs w:val="21"/>
          <w:highlight w:val="none"/>
        </w:rPr>
        <w:fldChar w:fldCharType="separate"/>
      </w:r>
      <w:r>
        <w:rPr>
          <w:rFonts w:asciiTheme="minorEastAsia" w:hAnsiTheme="minorEastAsia" w:eastAsiaTheme="minorEastAsia" w:cstheme="minorEastAsia"/>
          <w:kern w:val="44"/>
          <w:szCs w:val="36"/>
          <w:highlight w:val="none"/>
        </w:rPr>
        <w:t>第</w:t>
      </w:r>
      <w:r>
        <w:rPr>
          <w:rFonts w:hint="eastAsia" w:asciiTheme="minorEastAsia" w:hAnsiTheme="minorEastAsia" w:eastAsiaTheme="minorEastAsia" w:cstheme="minorEastAsia"/>
          <w:kern w:val="44"/>
          <w:szCs w:val="36"/>
          <w:highlight w:val="none"/>
          <w:lang w:val="en-US" w:eastAsia="zh-CN"/>
        </w:rPr>
        <w:t>八</w:t>
      </w:r>
      <w:r>
        <w:rPr>
          <w:rFonts w:asciiTheme="minorEastAsia" w:hAnsiTheme="minorEastAsia" w:eastAsiaTheme="minorEastAsia" w:cstheme="minorEastAsia"/>
          <w:kern w:val="44"/>
          <w:szCs w:val="36"/>
          <w:highlight w:val="none"/>
        </w:rPr>
        <w:t>章  建设工程合同</w:t>
      </w:r>
      <w:r>
        <w:tab/>
      </w:r>
      <w:r>
        <w:fldChar w:fldCharType="begin"/>
      </w:r>
      <w:r>
        <w:instrText xml:space="preserve"> PAGEREF _Toc17573 \h </w:instrText>
      </w:r>
      <w:r>
        <w:fldChar w:fldCharType="separate"/>
      </w:r>
      <w:r>
        <w:t>115</w:t>
      </w:r>
      <w:r>
        <w:fldChar w:fldCharType="end"/>
      </w:r>
      <w:r>
        <w:rPr>
          <w:rFonts w:hint="eastAsia" w:asciiTheme="minorEastAsia" w:hAnsiTheme="minorEastAsia" w:eastAsiaTheme="minorEastAsia" w:cstheme="minorEastAsia"/>
          <w:color w:val="auto"/>
          <w:szCs w:val="21"/>
          <w:highlight w:val="none"/>
        </w:rPr>
        <w:fldChar w:fldCharType="end"/>
      </w:r>
    </w:p>
    <w:p w14:paraId="08F29EB3">
      <w:pPr>
        <w:pStyle w:val="37"/>
        <w:tabs>
          <w:tab w:val="left" w:pos="4935"/>
        </w:tabs>
        <w:jc w:val="center"/>
        <w:rPr>
          <w:rFonts w:asciiTheme="minorEastAsia" w:hAnsiTheme="minorEastAsia" w:eastAsiaTheme="minorEastAsia" w:cstheme="minorEastAsia"/>
          <w:color w:val="auto"/>
          <w:szCs w:val="21"/>
          <w:highlight w:val="none"/>
        </w:rPr>
        <w:sectPr>
          <w:footerReference r:id="rId4"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r>
        <w:rPr>
          <w:rFonts w:hint="eastAsia" w:asciiTheme="minorEastAsia" w:hAnsiTheme="minorEastAsia" w:eastAsiaTheme="minorEastAsia" w:cstheme="minorEastAsia"/>
          <w:color w:val="auto"/>
          <w:szCs w:val="21"/>
          <w:highlight w:val="none"/>
        </w:rPr>
        <w:fldChar w:fldCharType="end"/>
      </w:r>
    </w:p>
    <w:p w14:paraId="6E0D522E">
      <w:pPr>
        <w:pStyle w:val="38"/>
        <w:keepNext/>
        <w:keepLines/>
        <w:jc w:val="center"/>
        <w:rPr>
          <w:rFonts w:asciiTheme="minorEastAsia" w:hAnsiTheme="minorEastAsia" w:eastAsiaTheme="minorEastAsia" w:cstheme="minorEastAsia"/>
          <w:b/>
          <w:color w:val="auto"/>
          <w:kern w:val="44"/>
          <w:sz w:val="36"/>
          <w:szCs w:val="36"/>
          <w:highlight w:val="none"/>
        </w:rPr>
      </w:pPr>
      <w:bookmarkStart w:id="0" w:name="_Toc7639"/>
      <w:bookmarkStart w:id="1" w:name="_Hlt111690251"/>
      <w:r>
        <w:rPr>
          <w:rFonts w:hint="eastAsia" w:asciiTheme="minorEastAsia" w:hAnsiTheme="minorEastAsia" w:eastAsiaTheme="minorEastAsia" w:cstheme="minorEastAsia"/>
          <w:b/>
          <w:color w:val="auto"/>
          <w:kern w:val="44"/>
          <w:sz w:val="36"/>
          <w:szCs w:val="36"/>
          <w:highlight w:val="none"/>
        </w:rPr>
        <w:t>第一章投标须知</w:t>
      </w:r>
      <w:bookmarkEnd w:id="0"/>
    </w:p>
    <w:p w14:paraId="0BE077AC">
      <w:pPr>
        <w:pStyle w:val="39"/>
        <w:keepNext/>
        <w:keepLines/>
        <w:autoSpaceDE/>
        <w:autoSpaceDN/>
        <w:adjustRightInd/>
        <w:spacing w:before="260" w:after="260" w:line="360" w:lineRule="exact"/>
        <w:jc w:val="both"/>
        <w:rPr>
          <w:rFonts w:asciiTheme="minorEastAsia" w:hAnsiTheme="minorEastAsia" w:eastAsiaTheme="minorEastAsia" w:cstheme="minorEastAsia"/>
          <w:b/>
          <w:color w:val="auto"/>
          <w:kern w:val="2"/>
          <w:highlight w:val="none"/>
        </w:rPr>
      </w:pPr>
      <w:bookmarkStart w:id="2" w:name="_Hlt127175444"/>
      <w:bookmarkEnd w:id="2"/>
      <w:bookmarkStart w:id="3" w:name="_Toc28993"/>
      <w:bookmarkStart w:id="4" w:name="_Hlt120077520"/>
      <w:r>
        <w:rPr>
          <w:rFonts w:hint="eastAsia" w:asciiTheme="minorEastAsia" w:hAnsiTheme="minorEastAsia" w:eastAsiaTheme="minorEastAsia" w:cstheme="minorEastAsia"/>
          <w:b/>
          <w:color w:val="auto"/>
          <w:kern w:val="2"/>
          <w:highlight w:val="none"/>
        </w:rPr>
        <w:t>第一节.投标须知前附表</w:t>
      </w:r>
      <w:bookmarkEnd w:id="3"/>
    </w:p>
    <w:tbl>
      <w:tblPr>
        <w:tblStyle w:val="23"/>
        <w:tblW w:w="103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08"/>
        <w:gridCol w:w="1796"/>
        <w:gridCol w:w="7910"/>
      </w:tblGrid>
      <w:tr w14:paraId="7785A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DB8300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796" w:type="dxa"/>
            <w:tcBorders>
              <w:top w:val="single" w:color="auto" w:sz="4" w:space="0"/>
              <w:left w:val="single" w:color="auto" w:sz="4" w:space="0"/>
              <w:bottom w:val="single" w:color="auto" w:sz="4" w:space="0"/>
              <w:right w:val="single" w:color="auto" w:sz="4" w:space="0"/>
            </w:tcBorders>
            <w:vAlign w:val="center"/>
          </w:tcPr>
          <w:p w14:paraId="240ED8F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c>
          <w:tcPr>
            <w:tcW w:w="7910" w:type="dxa"/>
            <w:tcBorders>
              <w:top w:val="single" w:color="auto" w:sz="4" w:space="0"/>
              <w:left w:val="single" w:color="auto" w:sz="4" w:space="0"/>
              <w:bottom w:val="single" w:color="auto" w:sz="4" w:space="0"/>
              <w:right w:val="single" w:color="auto" w:sz="4" w:space="0"/>
            </w:tcBorders>
            <w:vAlign w:val="center"/>
          </w:tcPr>
          <w:p w14:paraId="721A9CA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说明与要求</w:t>
            </w:r>
          </w:p>
        </w:tc>
      </w:tr>
      <w:tr w14:paraId="611EC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25DB109">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63AEDD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7910" w:type="dxa"/>
            <w:tcBorders>
              <w:top w:val="single" w:color="auto" w:sz="4" w:space="0"/>
              <w:left w:val="single" w:color="auto" w:sz="4" w:space="0"/>
              <w:bottom w:val="single" w:color="auto" w:sz="4" w:space="0"/>
              <w:right w:val="single" w:color="auto" w:sz="4" w:space="0"/>
            </w:tcBorders>
          </w:tcPr>
          <w:p w14:paraId="00ABB09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南雄市“银杏染秋”乡村振兴示范带建设项目-澜河镇典型村建设项目设计施工总承包</w:t>
            </w:r>
          </w:p>
        </w:tc>
      </w:tr>
      <w:tr w14:paraId="47190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0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E82BAA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67335F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项目业主</w:t>
            </w:r>
          </w:p>
        </w:tc>
        <w:tc>
          <w:tcPr>
            <w:tcW w:w="7910" w:type="dxa"/>
            <w:tcBorders>
              <w:top w:val="single" w:color="auto" w:sz="4" w:space="0"/>
              <w:left w:val="single" w:color="auto" w:sz="4" w:space="0"/>
              <w:bottom w:val="single" w:color="auto" w:sz="4" w:space="0"/>
              <w:right w:val="single" w:color="auto" w:sz="4" w:space="0"/>
            </w:tcBorders>
            <w:vAlign w:val="center"/>
          </w:tcPr>
          <w:p w14:paraId="49BCEB0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南雄市澜河镇人民政府</w:t>
            </w:r>
          </w:p>
        </w:tc>
      </w:tr>
      <w:tr w14:paraId="6E7061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FFE302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7BDD26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项目批准部门</w:t>
            </w:r>
          </w:p>
        </w:tc>
        <w:tc>
          <w:tcPr>
            <w:tcW w:w="7910" w:type="dxa"/>
            <w:tcBorders>
              <w:top w:val="single" w:color="auto" w:sz="4" w:space="0"/>
              <w:left w:val="single" w:color="auto" w:sz="4" w:space="0"/>
              <w:bottom w:val="single" w:color="auto" w:sz="4" w:space="0"/>
              <w:right w:val="single" w:color="auto" w:sz="4" w:space="0"/>
            </w:tcBorders>
            <w:vAlign w:val="center"/>
          </w:tcPr>
          <w:p w14:paraId="4A9FB0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bookmarkStart w:id="5" w:name="OLE_LINK21"/>
            <w:r>
              <w:rPr>
                <w:rFonts w:hint="eastAsia" w:ascii="宋体" w:hAnsi="宋体" w:eastAsia="宋体" w:cs="宋体"/>
                <w:color w:val="auto"/>
                <w:sz w:val="24"/>
                <w:szCs w:val="24"/>
                <w:highlight w:val="none"/>
              </w:rPr>
              <w:t>南雄市发展和改革局</w:t>
            </w:r>
            <w:bookmarkEnd w:id="5"/>
          </w:p>
        </w:tc>
      </w:tr>
      <w:tr w14:paraId="4184BC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238280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8519FC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项目批准文号</w:t>
            </w:r>
          </w:p>
        </w:tc>
        <w:tc>
          <w:tcPr>
            <w:tcW w:w="7910" w:type="dxa"/>
            <w:tcBorders>
              <w:top w:val="single" w:color="auto" w:sz="4" w:space="0"/>
              <w:left w:val="single" w:color="auto" w:sz="4" w:space="0"/>
              <w:bottom w:val="single" w:color="auto" w:sz="4" w:space="0"/>
              <w:right w:val="single" w:color="auto" w:sz="4" w:space="0"/>
            </w:tcBorders>
            <w:vAlign w:val="center"/>
          </w:tcPr>
          <w:p w14:paraId="53D5D1D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bookmarkStart w:id="6" w:name="OLE_LINK24"/>
            <w:r>
              <w:rPr>
                <w:rFonts w:hint="eastAsia" w:ascii="宋体" w:hAnsi="宋体" w:eastAsia="宋体" w:cs="宋体"/>
                <w:color w:val="auto"/>
                <w:sz w:val="24"/>
                <w:szCs w:val="24"/>
                <w:highlight w:val="none"/>
                <w:lang w:val="en-US" w:eastAsia="zh-CN"/>
              </w:rPr>
              <w:t>雄发改投审〔2024〕106号、雄发改投审〔2026〕95号</w:t>
            </w:r>
            <w:bookmarkEnd w:id="6"/>
          </w:p>
        </w:tc>
      </w:tr>
      <w:tr w14:paraId="4E866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FBD8BC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27B7E6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项目代码</w:t>
            </w:r>
          </w:p>
        </w:tc>
        <w:tc>
          <w:tcPr>
            <w:tcW w:w="7910" w:type="dxa"/>
            <w:tcBorders>
              <w:top w:val="single" w:color="auto" w:sz="4" w:space="0"/>
              <w:left w:val="single" w:color="auto" w:sz="4" w:space="0"/>
              <w:bottom w:val="single" w:color="auto" w:sz="4" w:space="0"/>
              <w:right w:val="single" w:color="auto" w:sz="4" w:space="0"/>
            </w:tcBorders>
            <w:vAlign w:val="center"/>
          </w:tcPr>
          <w:p w14:paraId="0E59EF4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2407-440282-20-01-288869</w:t>
            </w:r>
          </w:p>
        </w:tc>
      </w:tr>
      <w:tr w14:paraId="67F9D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8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24352D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D00018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p w14:paraId="31521F3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及出资比例</w:t>
            </w:r>
          </w:p>
        </w:tc>
        <w:tc>
          <w:tcPr>
            <w:tcW w:w="7910" w:type="dxa"/>
            <w:tcBorders>
              <w:top w:val="single" w:color="auto" w:sz="4" w:space="0"/>
              <w:left w:val="single" w:color="auto" w:sz="4" w:space="0"/>
              <w:bottom w:val="single" w:color="auto" w:sz="4" w:space="0"/>
              <w:right w:val="single" w:color="auto" w:sz="4" w:space="0"/>
            </w:tcBorders>
            <w:vAlign w:val="center"/>
          </w:tcPr>
          <w:p w14:paraId="5895CD3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市财政统筹；100%</w:t>
            </w:r>
          </w:p>
        </w:tc>
      </w:tr>
      <w:tr w14:paraId="744979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CA6A5B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126663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tc>
        <w:tc>
          <w:tcPr>
            <w:tcW w:w="7910" w:type="dxa"/>
            <w:tcBorders>
              <w:top w:val="single" w:color="auto" w:sz="4" w:space="0"/>
              <w:left w:val="single" w:color="auto" w:sz="4" w:space="0"/>
              <w:bottom w:val="single" w:color="auto" w:sz="4" w:space="0"/>
              <w:right w:val="single" w:color="auto" w:sz="4" w:space="0"/>
            </w:tcBorders>
            <w:vAlign w:val="center"/>
          </w:tcPr>
          <w:p w14:paraId="6A3161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南雄市澜河镇人民政府</w:t>
            </w:r>
          </w:p>
        </w:tc>
      </w:tr>
      <w:tr w14:paraId="43011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FD37B7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721AE54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tc>
        <w:tc>
          <w:tcPr>
            <w:tcW w:w="7910" w:type="dxa"/>
            <w:tcBorders>
              <w:top w:val="single" w:color="auto" w:sz="4" w:space="0"/>
              <w:left w:val="single" w:color="auto" w:sz="4" w:space="0"/>
              <w:bottom w:val="single" w:color="auto" w:sz="4" w:space="0"/>
              <w:right w:val="single" w:color="auto" w:sz="4" w:space="0"/>
            </w:tcBorders>
            <w:vAlign w:val="center"/>
          </w:tcPr>
          <w:p w14:paraId="479AFCA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广东省南沣建设管理有限公司</w:t>
            </w:r>
          </w:p>
        </w:tc>
      </w:tr>
      <w:tr w14:paraId="32A5D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5673B45">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F01D69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项目总投资</w:t>
            </w:r>
          </w:p>
        </w:tc>
        <w:tc>
          <w:tcPr>
            <w:tcW w:w="7910" w:type="dxa"/>
            <w:tcBorders>
              <w:top w:val="single" w:color="auto" w:sz="4" w:space="0"/>
              <w:left w:val="single" w:color="auto" w:sz="4" w:space="0"/>
              <w:bottom w:val="single" w:color="auto" w:sz="4" w:space="0"/>
              <w:right w:val="single" w:color="auto" w:sz="4" w:space="0"/>
            </w:tcBorders>
            <w:vAlign w:val="center"/>
          </w:tcPr>
          <w:p w14:paraId="262BDF0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val="en-US" w:eastAsia="zh-CN"/>
              </w:rPr>
              <w:t>项目概算投资261.42万元。其中建安工程费用为224.79万元</w:t>
            </w:r>
            <w:r>
              <w:rPr>
                <w:rFonts w:hint="eastAsia" w:hAnsi="宋体" w:eastAsia="宋体" w:cs="宋体"/>
                <w:color w:val="auto"/>
                <w:sz w:val="24"/>
                <w:szCs w:val="24"/>
                <w:highlight w:val="none"/>
                <w:lang w:eastAsia="zh-CN"/>
              </w:rPr>
              <w:t>。</w:t>
            </w:r>
          </w:p>
        </w:tc>
      </w:tr>
      <w:tr w14:paraId="2D638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9"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EF3A0B3">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4D4863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建设地点</w:t>
            </w:r>
          </w:p>
        </w:tc>
        <w:tc>
          <w:tcPr>
            <w:tcW w:w="7910" w:type="dxa"/>
            <w:tcBorders>
              <w:top w:val="single" w:color="auto" w:sz="4" w:space="0"/>
              <w:left w:val="single" w:color="auto" w:sz="4" w:space="0"/>
              <w:bottom w:val="single" w:color="auto" w:sz="4" w:space="0"/>
              <w:right w:val="single" w:color="auto" w:sz="4" w:space="0"/>
            </w:tcBorders>
            <w:vAlign w:val="center"/>
          </w:tcPr>
          <w:p w14:paraId="2CED17C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南雄市</w:t>
            </w:r>
            <w:r>
              <w:rPr>
                <w:rFonts w:hint="eastAsia" w:ascii="宋体" w:hAnsi="宋体" w:eastAsia="宋体" w:cs="宋体"/>
                <w:color w:val="auto"/>
                <w:sz w:val="24"/>
                <w:szCs w:val="24"/>
                <w:highlight w:val="none"/>
                <w:lang w:val="en-US" w:eastAsia="zh-CN"/>
              </w:rPr>
              <w:t>澜河镇</w:t>
            </w:r>
            <w:r>
              <w:rPr>
                <w:rFonts w:hint="eastAsia" w:hAnsi="宋体" w:eastAsia="宋体" w:cs="宋体"/>
                <w:color w:val="auto"/>
                <w:sz w:val="24"/>
                <w:szCs w:val="24"/>
                <w:highlight w:val="none"/>
                <w:lang w:eastAsia="zh-CN"/>
              </w:rPr>
              <w:t>。</w:t>
            </w:r>
          </w:p>
        </w:tc>
      </w:tr>
      <w:tr w14:paraId="74ED1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0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D6C0005">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900F81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项目建设内容</w:t>
            </w:r>
          </w:p>
          <w:p w14:paraId="551D412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和规模</w:t>
            </w:r>
          </w:p>
        </w:tc>
        <w:tc>
          <w:tcPr>
            <w:tcW w:w="7910" w:type="dxa"/>
            <w:tcBorders>
              <w:top w:val="single" w:color="auto" w:sz="4" w:space="0"/>
              <w:left w:val="single" w:color="auto" w:sz="4" w:space="0"/>
              <w:bottom w:val="single" w:color="auto" w:sz="4" w:space="0"/>
              <w:right w:val="single" w:color="auto" w:sz="4" w:space="0"/>
            </w:tcBorders>
            <w:vAlign w:val="center"/>
          </w:tcPr>
          <w:p w14:paraId="61B26E6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新铺路面约3148平方米，平整场地约2023平方米，建设护栏约281米，挡土墙、景墙约268米，新砌水沟约120米，排水沟加盖盖板约488米，新砌路缘石约338米，铺设透水砖约179平方米，风貌提升改造约1581平方米，建设花池、宣传栏及绿化提升等。</w:t>
            </w:r>
          </w:p>
        </w:tc>
      </w:tr>
      <w:tr w14:paraId="5C823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6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568380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EC5E7A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招标范围</w:t>
            </w:r>
          </w:p>
        </w:tc>
        <w:tc>
          <w:tcPr>
            <w:tcW w:w="7910" w:type="dxa"/>
            <w:tcBorders>
              <w:top w:val="single" w:color="auto" w:sz="4" w:space="0"/>
              <w:left w:val="single" w:color="auto" w:sz="4" w:space="0"/>
              <w:bottom w:val="single" w:color="auto" w:sz="4" w:space="0"/>
              <w:right w:val="single" w:color="auto" w:sz="4" w:space="0"/>
            </w:tcBorders>
            <w:vAlign w:val="center"/>
          </w:tcPr>
          <w:p w14:paraId="58F20D1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本工程所涉及的内容包括但不限于以下（1）～（2）：</w:t>
            </w:r>
          </w:p>
          <w:p w14:paraId="56002C3F">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1</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设计部分：</w:t>
            </w:r>
          </w:p>
          <w:p w14:paraId="5AA9287A">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确保项目顺利实施的报建、报批、施工等所需的所有建安工程等设计文件。包括但不限于：施工图设计、提供项目所需相关检测项的明细表和危险性较大的分部分项工程清单及保障安全相关说明、工地现场服务、验收过程中的设计指导及配合阶段验收及档案整理、协助施工单位编制竣工图及后续设计服务工作。</w:t>
            </w:r>
          </w:p>
          <w:p w14:paraId="5C4282E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注：设计文件深度要求必须满足住房和城乡建设部《建筑工程设计文件编制深度规定（2023版）》的要求，各专业还应该满足各专业工程设计文件编制深度规范或规定的要求。</w:t>
            </w:r>
          </w:p>
          <w:p w14:paraId="592FF10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施工图预算（含工程量清单）</w:t>
            </w:r>
          </w:p>
          <w:p w14:paraId="6A4A2C8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施工部分：设计文件及工程量清单范围内的所有工程及配套工程、设施等的施工（含竣工验收资料编制整理、备案等），完成并配合发包人结算、负责工程缺陷保修以及发包人要求由施工单位完成的其他工作（发包人另行委托其他单位负责实施的工作内容除外，但需提供一系列协调及配合服务）等。</w:t>
            </w:r>
          </w:p>
        </w:tc>
      </w:tr>
      <w:tr w14:paraId="3F2C6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66C5F1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1C064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标段划分</w:t>
            </w:r>
          </w:p>
        </w:tc>
        <w:tc>
          <w:tcPr>
            <w:tcW w:w="7910" w:type="dxa"/>
            <w:tcBorders>
              <w:top w:val="single" w:color="auto" w:sz="4" w:space="0"/>
              <w:left w:val="single" w:color="auto" w:sz="4" w:space="0"/>
              <w:bottom w:val="single" w:color="auto" w:sz="4" w:space="0"/>
              <w:right w:val="single" w:color="auto" w:sz="4" w:space="0"/>
            </w:tcBorders>
            <w:vAlign w:val="center"/>
          </w:tcPr>
          <w:p w14:paraId="638CFEA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本招标项目不划分标段。</w:t>
            </w:r>
          </w:p>
        </w:tc>
      </w:tr>
      <w:tr w14:paraId="23022F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C39DC53">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812A51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7910" w:type="dxa"/>
            <w:tcBorders>
              <w:top w:val="single" w:color="auto" w:sz="4" w:space="0"/>
              <w:left w:val="single" w:color="auto" w:sz="4" w:space="0"/>
              <w:bottom w:val="single" w:color="auto" w:sz="4" w:space="0"/>
              <w:right w:val="single" w:color="auto" w:sz="4" w:space="0"/>
            </w:tcBorders>
            <w:vAlign w:val="center"/>
          </w:tcPr>
          <w:p w14:paraId="64FE9EC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设计、施工总工期</w:t>
            </w:r>
            <w:r>
              <w:rPr>
                <w:rFonts w:hint="eastAsia"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lang w:eastAsia="zh-CN"/>
              </w:rPr>
              <w:t>日历天，其中：设计工期为</w:t>
            </w:r>
            <w:r>
              <w:rPr>
                <w:rFonts w:hint="eastAsia"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日历天；施工工期为</w:t>
            </w:r>
            <w:r>
              <w:rPr>
                <w:rFonts w:hint="eastAsia"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val="en-US" w:eastAsia="zh-CN"/>
              </w:rPr>
              <w:t>个</w:t>
            </w:r>
            <w:r>
              <w:rPr>
                <w:rFonts w:hint="eastAsia" w:ascii="宋体" w:hAnsi="宋体" w:eastAsia="宋体" w:cs="宋体"/>
                <w:color w:val="auto"/>
                <w:sz w:val="24"/>
                <w:szCs w:val="24"/>
                <w:highlight w:val="none"/>
                <w:lang w:eastAsia="zh-CN"/>
              </w:rPr>
              <w:t>日历天。中标人必须在所要求的工期内完成全部招标工程。</w:t>
            </w:r>
          </w:p>
        </w:tc>
      </w:tr>
      <w:tr w14:paraId="63158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8B311E1">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A8FFF8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质量标准</w:t>
            </w:r>
          </w:p>
        </w:tc>
        <w:tc>
          <w:tcPr>
            <w:tcW w:w="7910" w:type="dxa"/>
            <w:tcBorders>
              <w:top w:val="single" w:color="auto" w:sz="4" w:space="0"/>
              <w:left w:val="single" w:color="auto" w:sz="4" w:space="0"/>
              <w:bottom w:val="single" w:color="auto" w:sz="4" w:space="0"/>
              <w:right w:val="single" w:color="auto" w:sz="4" w:space="0"/>
            </w:tcBorders>
            <w:vAlign w:val="center"/>
          </w:tcPr>
          <w:p w14:paraId="2B6E49C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设计要求：符合国家或行业颁布的现行有效的有关设计的规范要求，符合设计任务书的相关要求，并必须通过有关部门的审查及经有资质的审图机构审查合格。</w:t>
            </w:r>
          </w:p>
          <w:p w14:paraId="727B7DE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2）施工</w:t>
            </w:r>
            <w:r>
              <w:rPr>
                <w:rFonts w:hint="eastAsia" w:ascii="宋体" w:hAnsi="宋体" w:eastAsia="宋体" w:cs="宋体"/>
                <w:color w:val="auto"/>
                <w:sz w:val="24"/>
                <w:szCs w:val="24"/>
                <w:highlight w:val="none"/>
              </w:rPr>
              <w:t>要求：施工质量必须达到合格标准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符合现行国家有关工程施工质量验收规范和标准的要求。</w:t>
            </w:r>
          </w:p>
        </w:tc>
      </w:tr>
      <w:tr w14:paraId="75874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5F837C2">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4EFBE7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最高投标限价</w:t>
            </w:r>
          </w:p>
        </w:tc>
        <w:tc>
          <w:tcPr>
            <w:tcW w:w="7910" w:type="dxa"/>
            <w:tcBorders>
              <w:top w:val="single" w:color="auto" w:sz="4" w:space="0"/>
              <w:left w:val="single" w:color="auto" w:sz="4" w:space="0"/>
              <w:bottom w:val="single" w:color="auto" w:sz="4" w:space="0"/>
              <w:right w:val="single" w:color="auto" w:sz="4" w:space="0"/>
            </w:tcBorders>
            <w:vAlign w:val="center"/>
          </w:tcPr>
          <w:p w14:paraId="33B361D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本招标项目最高投标限价为人民币：贰佰叁拾贰万壹仟贰佰肆拾柒元柒角捌分（¥2321247.78元）。其中：设计费73300.00元，建安工程费2247947.78元。</w:t>
            </w:r>
          </w:p>
        </w:tc>
      </w:tr>
      <w:tr w14:paraId="3F676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25AC29C">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F965B4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投标人资格要求</w:t>
            </w:r>
          </w:p>
        </w:tc>
        <w:tc>
          <w:tcPr>
            <w:tcW w:w="7910" w:type="dxa"/>
            <w:tcBorders>
              <w:top w:val="single" w:color="auto" w:sz="4" w:space="0"/>
              <w:left w:val="single" w:color="auto" w:sz="4" w:space="0"/>
              <w:bottom w:val="single" w:color="auto" w:sz="4" w:space="0"/>
              <w:right w:val="single" w:color="auto" w:sz="4" w:space="0"/>
            </w:tcBorders>
            <w:vAlign w:val="center"/>
          </w:tcPr>
          <w:p w14:paraId="65A581C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1．本次招标接受联合体投标，联合体以一个投标人的身份共同投标。</w:t>
            </w:r>
          </w:p>
          <w:p w14:paraId="5E318C4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1.1联合体成员数量不超过</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个。</w:t>
            </w:r>
          </w:p>
          <w:p w14:paraId="10F2EC0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1.2联合体各方应按招标文件提供的格式签订联合体协议书，明确联合体牵头人和各方权利义务，并承诺就中标项目向招标人承担连带责任。《联合体协议书》作为投标文件的组成部分向招标人提交。</w:t>
            </w:r>
          </w:p>
          <w:p w14:paraId="62F66C7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14:paraId="6CDC202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1.4联合体各方不得再以自己名义单独或参加其他联合体在本招标项目中投标，否则各相关投标均无效。</w:t>
            </w:r>
          </w:p>
          <w:p w14:paraId="31A9382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2.资质要求</w:t>
            </w:r>
          </w:p>
          <w:p w14:paraId="3BA5602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2.1投标人须具备独立法人资格，按国家法律经营。</w:t>
            </w:r>
          </w:p>
          <w:p w14:paraId="32C2F69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2.2投标人须持有行政主管部门颁发的企业资质证书。</w:t>
            </w:r>
          </w:p>
          <w:p w14:paraId="03D606B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2.3参加投标的投标人可以是单一独立法人或由不超过</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家独立法人组成的联合体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必须注明其中一家为牵头人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牵头人必须为施工单位</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资质，组成联合体投标的，联合后必须至少具备以下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资质，由同一专业的单位组成的联合体，按照资质等级较低的单位确定资质等级：</w:t>
            </w:r>
          </w:p>
          <w:p w14:paraId="690C32E3">
            <w:pPr>
              <w:pStyle w:val="8"/>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施工资质：</w:t>
            </w:r>
            <w:r>
              <w:rPr>
                <w:rFonts w:hint="eastAsia" w:ascii="宋体" w:hAnsi="宋体" w:eastAsia="宋体" w:cs="宋体"/>
                <w:color w:val="auto"/>
                <w:sz w:val="24"/>
                <w:szCs w:val="24"/>
                <w:highlight w:val="none"/>
                <w:lang w:val="en-US" w:eastAsia="zh-CN"/>
              </w:rPr>
              <w:t>必须同时具备建设行政主管部门颁发的市政公用工程施工总承包三级以上（含三级）资质，并持有有效期内安全生产许可证</w:t>
            </w:r>
            <w:r>
              <w:rPr>
                <w:rFonts w:hint="eastAsia" w:ascii="宋体" w:hAnsi="宋体" w:eastAsia="宋体" w:cs="宋体"/>
                <w:color w:val="auto"/>
                <w:sz w:val="24"/>
                <w:szCs w:val="24"/>
                <w:highlight w:val="none"/>
                <w:lang w:val="zh-CN" w:eastAsia="zh-CN"/>
              </w:rPr>
              <w:t>。</w:t>
            </w:r>
          </w:p>
          <w:p w14:paraId="237EA32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设计资质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必须同时具备建设行政主管部门颁发的以下（①或②）资质：</w:t>
            </w:r>
          </w:p>
          <w:p w14:paraId="18CB304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4"/>
                <w:highlight w:val="none"/>
                <w:lang w:val="en-US" w:eastAsia="zh-CN"/>
              </w:rPr>
              <w:t>①工程设计综合甲级资质；</w:t>
            </w:r>
          </w:p>
          <w:p w14:paraId="665D994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4"/>
                <w:highlight w:val="none"/>
                <w:lang w:val="en-US" w:eastAsia="zh-CN"/>
              </w:rPr>
              <w:t>②须具备工程设计市政资质以下任意一项:</w:t>
            </w:r>
          </w:p>
          <w:p w14:paraId="35C3E46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4"/>
                <w:highlight w:val="none"/>
                <w:lang w:val="en-US" w:eastAsia="zh-CN"/>
              </w:rPr>
              <w:t>a.工程设计市政行业乙级以上（含乙级）资质；</w:t>
            </w:r>
          </w:p>
          <w:p w14:paraId="15C1020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b.工程设计市政行业(燃气工程、轨道交通工程除外)乙级以上（含乙级）资质。</w:t>
            </w:r>
          </w:p>
          <w:p w14:paraId="42EB699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76C7514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3．相关人员要求</w:t>
            </w:r>
          </w:p>
          <w:p w14:paraId="6C30473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3.1拟派项目经理为具有</w:t>
            </w:r>
            <w:r>
              <w:rPr>
                <w:rFonts w:hint="eastAsia" w:ascii="宋体" w:hAnsi="宋体" w:eastAsia="宋体" w:cs="宋体"/>
                <w:color w:val="auto"/>
                <w:sz w:val="24"/>
                <w:szCs w:val="24"/>
                <w:highlight w:val="none"/>
                <w:lang w:val="zh-CN"/>
              </w:rPr>
              <w:t>市政公用工程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p>
          <w:p w14:paraId="38E5EA8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3.2．拟派项目技术负责人须具备</w:t>
            </w:r>
            <w:r>
              <w:rPr>
                <w:rFonts w:hint="eastAsia" w:ascii="宋体" w:hAnsi="宋体" w:eastAsia="宋体" w:cs="宋体"/>
                <w:color w:val="auto"/>
                <w:sz w:val="24"/>
                <w:szCs w:val="24"/>
                <w:highlight w:val="none"/>
                <w:lang w:eastAsia="zh-CN"/>
              </w:rPr>
              <w:t>市政</w:t>
            </w:r>
            <w:r>
              <w:rPr>
                <w:rFonts w:hint="eastAsia" w:ascii="宋体" w:hAnsi="宋体" w:eastAsia="宋体" w:cs="宋体"/>
                <w:color w:val="auto"/>
                <w:sz w:val="24"/>
                <w:szCs w:val="24"/>
                <w:highlight w:val="none"/>
                <w:lang w:val="en-US" w:eastAsia="zh-CN"/>
              </w:rPr>
              <w:t>类</w:t>
            </w:r>
            <w:r>
              <w:rPr>
                <w:rFonts w:hint="eastAsia" w:ascii="宋体" w:hAnsi="宋体" w:eastAsia="宋体" w:cs="宋体"/>
                <w:color w:val="auto"/>
                <w:sz w:val="24"/>
                <w:szCs w:val="24"/>
                <w:highlight w:val="none"/>
              </w:rPr>
              <w:t>相关专业中级或以上技术职称（若组成联合体时，</w:t>
            </w:r>
            <w:r>
              <w:rPr>
                <w:rFonts w:hint="eastAsia" w:ascii="宋体" w:hAnsi="宋体" w:eastAsia="宋体" w:cs="宋体"/>
                <w:color w:val="auto"/>
                <w:sz w:val="24"/>
                <w:szCs w:val="24"/>
                <w:highlight w:val="none"/>
                <w:lang w:val="zh-CN"/>
              </w:rPr>
              <w:t>由联合体</w:t>
            </w:r>
            <w:r>
              <w:rPr>
                <w:rFonts w:hint="eastAsia" w:ascii="宋体" w:hAnsi="宋体" w:eastAsia="宋体" w:cs="宋体"/>
                <w:color w:val="auto"/>
                <w:sz w:val="24"/>
                <w:szCs w:val="24"/>
                <w:highlight w:val="none"/>
                <w:lang w:val="en-US" w:eastAsia="zh-CN"/>
              </w:rPr>
              <w:t>施工方</w:t>
            </w:r>
            <w:r>
              <w:rPr>
                <w:rFonts w:hint="eastAsia" w:ascii="宋体" w:hAnsi="宋体" w:eastAsia="宋体" w:cs="宋体"/>
                <w:color w:val="auto"/>
                <w:sz w:val="24"/>
                <w:szCs w:val="24"/>
                <w:highlight w:val="none"/>
                <w:lang w:val="zh-CN"/>
              </w:rPr>
              <w:t>提供</w:t>
            </w:r>
            <w:r>
              <w:rPr>
                <w:rFonts w:hint="eastAsia" w:ascii="宋体" w:hAnsi="宋体" w:eastAsia="宋体" w:cs="宋体"/>
                <w:color w:val="auto"/>
                <w:sz w:val="24"/>
                <w:szCs w:val="24"/>
                <w:highlight w:val="none"/>
              </w:rPr>
              <w:t>）。</w:t>
            </w:r>
          </w:p>
          <w:p w14:paraId="24521C3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3.3．拟派专职安全生产管理人员须具备有效安全生产考核合格证明（C证，安全生产考核合格证书或广东省建筑施工企业管理人员安全生产考核系统考核合格信息打印页），</w:t>
            </w:r>
            <w:r>
              <w:rPr>
                <w:rFonts w:hint="eastAsia" w:ascii="宋体" w:hAnsi="宋体" w:eastAsia="宋体" w:cs="宋体"/>
                <w:color w:val="auto"/>
                <w:sz w:val="24"/>
                <w:szCs w:val="24"/>
                <w:highlight w:val="none"/>
                <w:lang w:eastAsia="zh-CN"/>
              </w:rPr>
              <w:t>且不少于</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人</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32A86F1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3.4．拟委派担任本工程的设计负责人必须具备</w:t>
            </w:r>
            <w:r>
              <w:rPr>
                <w:rFonts w:hint="eastAsia" w:ascii="宋体" w:hAnsi="宋体" w:eastAsia="宋体" w:cs="宋体"/>
                <w:color w:val="auto"/>
                <w:sz w:val="24"/>
                <w:szCs w:val="24"/>
                <w:highlight w:val="none"/>
                <w:lang w:eastAsia="zh-CN"/>
              </w:rPr>
              <w:t>市政</w:t>
            </w:r>
            <w:r>
              <w:rPr>
                <w:rFonts w:hint="eastAsia" w:ascii="宋体" w:hAnsi="宋体" w:eastAsia="宋体" w:cs="宋体"/>
                <w:color w:val="auto"/>
                <w:sz w:val="24"/>
                <w:szCs w:val="24"/>
                <w:highlight w:val="none"/>
                <w:lang w:val="en-US" w:eastAsia="zh-CN"/>
              </w:rPr>
              <w:t>类相</w:t>
            </w:r>
            <w:r>
              <w:rPr>
                <w:rFonts w:hint="eastAsia" w:ascii="宋体" w:hAnsi="宋体" w:eastAsia="宋体" w:cs="宋体"/>
                <w:color w:val="auto"/>
                <w:sz w:val="24"/>
                <w:szCs w:val="24"/>
                <w:highlight w:val="none"/>
              </w:rPr>
              <w:t>关专业中级以上（含中级）技术职称</w:t>
            </w:r>
            <w:r>
              <w:rPr>
                <w:rFonts w:hint="eastAsia" w:ascii="宋体" w:hAnsi="宋体" w:eastAsia="宋体" w:cs="宋体"/>
                <w:b/>
                <w:bCs/>
                <w:color w:val="auto"/>
                <w:sz w:val="24"/>
                <w:szCs w:val="24"/>
                <w:highlight w:val="none"/>
              </w:rPr>
              <w:t>（若组成联合体时，由联合体设计方提供）。</w:t>
            </w:r>
          </w:p>
          <w:p w14:paraId="6A3E6C6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3.5．投标人（包括组成联合体的所有成员单位）与其拟派往本项目管理机构的所有人员之间必须具备合法、唯一的劳动聘用关系。拟派人员中具备注册执业资格的，其注册单位须与投标人保持一致。</w:t>
            </w:r>
          </w:p>
          <w:p w14:paraId="35B7D73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4．禁止投标条款：</w:t>
            </w:r>
          </w:p>
          <w:p w14:paraId="3AD5097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4.1．投标人不得存在下列情形之一：</w:t>
            </w:r>
          </w:p>
          <w:p w14:paraId="5E17C4E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（1）为招标人不具有独立法人资格的附属机构（单位）；</w:t>
            </w:r>
          </w:p>
          <w:p w14:paraId="619E38C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（2）为本招标项目前期准备提供咨询服务的；</w:t>
            </w:r>
          </w:p>
          <w:p w14:paraId="7D52C68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（3）与本招标项目的其他投标人为同一个单位负责人；</w:t>
            </w:r>
          </w:p>
          <w:p w14:paraId="66AC7A6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（4）与本招标项目的其他投标人存在控股、管理关系；</w:t>
            </w:r>
          </w:p>
          <w:p w14:paraId="34075FA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（5）为本招标项目的监理人；</w:t>
            </w:r>
          </w:p>
          <w:p w14:paraId="0C3719A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（6）为本招标项目的代建人；</w:t>
            </w:r>
          </w:p>
          <w:p w14:paraId="1BEED33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（7）为本招标项目的招标代理机构；</w:t>
            </w:r>
          </w:p>
          <w:p w14:paraId="3A439E8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（8）与本招标项目的监理人或代建人或招标代理机构同为一个法定代表人；</w:t>
            </w:r>
          </w:p>
          <w:p w14:paraId="27B9AFD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（9）与本招标项目的监理人或代建人或招标代理机构存在控股或参股关系；</w:t>
            </w:r>
          </w:p>
          <w:p w14:paraId="17E85A0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（10）与本招标项目的监理人或代建人或招标代理机构存在相互任职或工作关系；</w:t>
            </w:r>
          </w:p>
          <w:p w14:paraId="73FE893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（11）被依法暂停或者取消投标资格；</w:t>
            </w:r>
          </w:p>
          <w:p w14:paraId="18378B0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（12）被责令停产停业、暂扣或者吊销许可证、暂扣或者吊销执照；</w:t>
            </w:r>
          </w:p>
          <w:p w14:paraId="25CF8DF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（13）进入清算程序，或被宣告破产，或其他丧失履约能力的情形；</w:t>
            </w:r>
          </w:p>
          <w:p w14:paraId="1BCCFB6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（14）在最近三年内发生重大工程质量或安全问题（以相关行业主管部门的行政处罚决定或司法机关出具的有关法律文书为准）；</w:t>
            </w:r>
          </w:p>
          <w:p w14:paraId="09668CA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（15）被“信用中国”网站（https://www.creditchina.gov.cn）发布的《法人和非法人组织公共信用信息报告》列入严重失信主体名单的。</w:t>
            </w:r>
          </w:p>
          <w:p w14:paraId="687867A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4.2．招标人拒绝以下名单中的单位参加本次投标：</w:t>
            </w:r>
          </w:p>
          <w:tbl>
            <w:tblPr>
              <w:tblStyle w:val="23"/>
              <w:tblW w:w="7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614"/>
              <w:gridCol w:w="3282"/>
            </w:tblGrid>
            <w:tr w14:paraId="39A4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Align w:val="center"/>
                </w:tcPr>
                <w:p w14:paraId="39828D8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614" w:type="dxa"/>
                  <w:vAlign w:val="center"/>
                </w:tcPr>
                <w:p w14:paraId="6F6EE49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282" w:type="dxa"/>
                  <w:vAlign w:val="center"/>
                </w:tcPr>
                <w:p w14:paraId="05375F8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3C52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Align w:val="center"/>
                </w:tcPr>
                <w:p w14:paraId="1342304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614" w:type="dxa"/>
                  <w:vAlign w:val="center"/>
                </w:tcPr>
                <w:p w14:paraId="5EEB0FB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南雄市澜河镇人民政府</w:t>
                  </w:r>
                </w:p>
              </w:tc>
              <w:tc>
                <w:tcPr>
                  <w:tcW w:w="3282" w:type="dxa"/>
                  <w:vAlign w:val="center"/>
                </w:tcPr>
                <w:p w14:paraId="2C675C0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26D9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shd w:val="clear" w:color="auto" w:fill="auto"/>
                  <w:vAlign w:val="center"/>
                </w:tcPr>
                <w:p w14:paraId="35632C9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w:t>
                  </w:r>
                </w:p>
              </w:tc>
              <w:tc>
                <w:tcPr>
                  <w:tcW w:w="3614" w:type="dxa"/>
                  <w:shd w:val="clear" w:color="auto" w:fill="auto"/>
                  <w:vAlign w:val="center"/>
                </w:tcPr>
                <w:p w14:paraId="32DCFC6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eastAsia="zh-CN"/>
                    </w:rPr>
                    <w:t>广东省南沣建设管理有限公司</w:t>
                  </w:r>
                </w:p>
              </w:tc>
              <w:tc>
                <w:tcPr>
                  <w:tcW w:w="3282" w:type="dxa"/>
                  <w:shd w:val="clear" w:color="auto" w:fill="auto"/>
                  <w:vAlign w:val="center"/>
                </w:tcPr>
                <w:p w14:paraId="3EED151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为本招标项目的招标代理机构</w:t>
                  </w:r>
                </w:p>
              </w:tc>
            </w:tr>
            <w:tr w14:paraId="5DF7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shd w:val="clear" w:color="auto" w:fill="auto"/>
                  <w:vAlign w:val="center"/>
                </w:tcPr>
                <w:p w14:paraId="560E011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3614" w:type="dxa"/>
                  <w:shd w:val="clear" w:color="auto" w:fill="auto"/>
                  <w:vAlign w:val="center"/>
                </w:tcPr>
                <w:p w14:paraId="0CDF950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中咨管理顾问有限责任公司</w:t>
                  </w:r>
                </w:p>
              </w:tc>
              <w:tc>
                <w:tcPr>
                  <w:tcW w:w="3282" w:type="dxa"/>
                  <w:shd w:val="clear" w:color="auto" w:fill="auto"/>
                  <w:vAlign w:val="center"/>
                </w:tcPr>
                <w:p w14:paraId="4D3BE4C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为本项目的可行性研究报告编制单位</w:t>
                  </w:r>
                </w:p>
              </w:tc>
            </w:tr>
            <w:tr w14:paraId="71AB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83" w:type="dxa"/>
                  <w:shd w:val="clear" w:color="auto" w:fill="auto"/>
                  <w:vAlign w:val="center"/>
                </w:tcPr>
                <w:p w14:paraId="0C42004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3614" w:type="dxa"/>
                  <w:vAlign w:val="center"/>
                </w:tcPr>
                <w:p w14:paraId="5F76367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3282" w:type="dxa"/>
                  <w:vAlign w:val="center"/>
                </w:tcPr>
                <w:p w14:paraId="62D9A5F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为本项目的可行性研究报告修编单位</w:t>
                  </w:r>
                </w:p>
              </w:tc>
            </w:tr>
            <w:tr w14:paraId="2FC7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83" w:type="dxa"/>
                  <w:shd w:val="clear" w:color="auto" w:fill="auto"/>
                  <w:vAlign w:val="center"/>
                </w:tcPr>
                <w:p w14:paraId="6D8DFA6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hAnsi="宋体" w:cs="宋体"/>
                      <w:snapToGrid w:val="0"/>
                      <w:color w:val="auto"/>
                      <w:kern w:val="0"/>
                      <w:sz w:val="24"/>
                      <w:szCs w:val="24"/>
                      <w:highlight w:val="none"/>
                      <w:lang w:val="en-US" w:eastAsia="zh-CN"/>
                    </w:rPr>
                    <w:t>5</w:t>
                  </w:r>
                </w:p>
              </w:tc>
              <w:tc>
                <w:tcPr>
                  <w:tcW w:w="3614" w:type="dxa"/>
                  <w:vAlign w:val="center"/>
                </w:tcPr>
                <w:p w14:paraId="27AADA5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中图设计有限公司</w:t>
                  </w:r>
                </w:p>
              </w:tc>
              <w:tc>
                <w:tcPr>
                  <w:tcW w:w="3282" w:type="dxa"/>
                  <w:vAlign w:val="center"/>
                </w:tcPr>
                <w:p w14:paraId="1E8EC81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为本项目的初步设计、概算单位</w:t>
                  </w:r>
                </w:p>
              </w:tc>
            </w:tr>
          </w:tbl>
          <w:p w14:paraId="3318D2D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省外企业（包括组成联合体的所有成员单位）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61F60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1984AF4">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4D9A48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w:t>
            </w:r>
          </w:p>
        </w:tc>
        <w:tc>
          <w:tcPr>
            <w:tcW w:w="7910" w:type="dxa"/>
            <w:tcBorders>
              <w:top w:val="single" w:color="auto" w:sz="4" w:space="0"/>
              <w:left w:val="single" w:color="auto" w:sz="4" w:space="0"/>
              <w:bottom w:val="single" w:color="auto" w:sz="4" w:space="0"/>
              <w:right w:val="single" w:color="auto" w:sz="4" w:space="0"/>
            </w:tcBorders>
            <w:vAlign w:val="center"/>
          </w:tcPr>
          <w:p w14:paraId="20E232C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1．投标人须缴纳金额为人民币</w:t>
            </w:r>
            <w:r>
              <w:rPr>
                <w:rFonts w:hint="eastAsia" w:hAnsi="宋体" w:eastAsia="宋体" w:cs="宋体"/>
                <w:b/>
                <w:bCs/>
                <w:color w:val="auto"/>
                <w:sz w:val="24"/>
                <w:szCs w:val="24"/>
                <w:highlight w:val="none"/>
                <w:u w:val="single"/>
                <w:lang w:val="en-US" w:eastAsia="zh-CN"/>
              </w:rPr>
              <w:t>贰万元整</w:t>
            </w:r>
            <w:r>
              <w:rPr>
                <w:rFonts w:hint="eastAsia" w:ascii="宋体" w:hAnsi="宋体" w:eastAsia="宋体" w:cs="宋体"/>
                <w:color w:val="auto"/>
                <w:sz w:val="24"/>
                <w:szCs w:val="24"/>
                <w:highlight w:val="none"/>
              </w:rPr>
              <w:t>的投标保证。</w:t>
            </w:r>
            <w:r>
              <w:rPr>
                <w:rFonts w:hint="eastAsia" w:ascii="宋体" w:hAnsi="宋体" w:eastAsia="宋体" w:cs="宋体"/>
                <w:b/>
                <w:bCs/>
                <w:color w:val="auto"/>
                <w:sz w:val="24"/>
                <w:szCs w:val="24"/>
                <w:highlight w:val="none"/>
              </w:rPr>
              <w:t>联合体投标的，由联合体牵头人缴纳。</w:t>
            </w:r>
          </w:p>
          <w:p w14:paraId="2BC1D55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2．投标保证的形式包括投标保证金、投标保证担保、投标保证保险三种，由投标人自主选择。</w:t>
            </w:r>
          </w:p>
          <w:p w14:paraId="4A73284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59038B7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4634F31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691029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79429F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D38C67A">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FD36A7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7910" w:type="dxa"/>
            <w:tcBorders>
              <w:top w:val="single" w:color="auto" w:sz="4" w:space="0"/>
              <w:left w:val="single" w:color="auto" w:sz="4" w:space="0"/>
              <w:bottom w:val="single" w:color="auto" w:sz="4" w:space="0"/>
              <w:right w:val="single" w:color="auto" w:sz="4" w:space="0"/>
            </w:tcBorders>
            <w:vAlign w:val="center"/>
          </w:tcPr>
          <w:p w14:paraId="3209206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本次招标的投标有效期为120个日历天。</w:t>
            </w:r>
          </w:p>
        </w:tc>
      </w:tr>
      <w:tr w14:paraId="7CE3E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6EF23D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7475240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val="en-US" w:eastAsia="zh-CN"/>
              </w:rPr>
              <w:t>组成</w:t>
            </w:r>
          </w:p>
        </w:tc>
        <w:tc>
          <w:tcPr>
            <w:tcW w:w="7910" w:type="dxa"/>
            <w:tcBorders>
              <w:top w:val="single" w:color="auto" w:sz="4" w:space="0"/>
              <w:left w:val="single" w:color="auto" w:sz="4" w:space="0"/>
              <w:bottom w:val="single" w:color="auto" w:sz="4" w:space="0"/>
              <w:right w:val="single" w:color="auto" w:sz="4" w:space="0"/>
            </w:tcBorders>
            <w:vAlign w:val="center"/>
          </w:tcPr>
          <w:p w14:paraId="7FE6FC1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投标文件包括</w:t>
            </w:r>
            <w:r>
              <w:rPr>
                <w:rFonts w:hint="eastAsia" w:ascii="宋体" w:hAnsi="宋体" w:eastAsia="宋体" w:cs="宋体"/>
                <w:color w:val="auto"/>
                <w:sz w:val="24"/>
                <w:szCs w:val="24"/>
                <w:highlight w:val="none"/>
              </w:rPr>
              <w:t>投标标书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定标文件两个分册。</w:t>
            </w:r>
          </w:p>
        </w:tc>
      </w:tr>
      <w:tr w14:paraId="47AAAF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6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8608DC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7951257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p>
        </w:tc>
        <w:tc>
          <w:tcPr>
            <w:tcW w:w="7910" w:type="dxa"/>
            <w:tcBorders>
              <w:top w:val="single" w:color="auto" w:sz="4" w:space="0"/>
              <w:left w:val="single" w:color="auto" w:sz="4" w:space="0"/>
              <w:bottom w:val="single" w:color="auto" w:sz="4" w:space="0"/>
              <w:right w:val="single" w:color="auto" w:sz="4" w:space="0"/>
            </w:tcBorders>
            <w:vAlign w:val="center"/>
          </w:tcPr>
          <w:p w14:paraId="58E6512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评标委员会由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0人，专家</w:t>
            </w:r>
            <w:r>
              <w:rPr>
                <w:rFonts w:hint="eastAsia" w:ascii="宋体" w:hAnsi="宋体" w:eastAsia="宋体" w:cs="宋体"/>
                <w:color w:val="auto"/>
                <w:sz w:val="24"/>
                <w:szCs w:val="24"/>
                <w:highlight w:val="none"/>
                <w:lang w:val="en-US" w:eastAsia="zh-CN"/>
              </w:rPr>
              <w:t xml:space="preserve"> 5</w:t>
            </w:r>
            <w:r>
              <w:rPr>
                <w:rFonts w:hint="eastAsia" w:ascii="宋体" w:hAnsi="宋体" w:eastAsia="宋体" w:cs="宋体"/>
                <w:color w:val="auto"/>
                <w:sz w:val="24"/>
                <w:szCs w:val="24"/>
                <w:highlight w:val="none"/>
              </w:rPr>
              <w:t>人。专家从广东省综合评标评审专家库-韶关区域中随机抽取，其中技术类专家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人，经济类专家 2人。</w:t>
            </w:r>
          </w:p>
        </w:tc>
      </w:tr>
      <w:tr w14:paraId="5A0A6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E620773">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06EBFE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评标方法</w:t>
            </w:r>
          </w:p>
        </w:tc>
        <w:tc>
          <w:tcPr>
            <w:tcW w:w="7910" w:type="dxa"/>
            <w:tcBorders>
              <w:top w:val="single" w:color="auto" w:sz="4" w:space="0"/>
              <w:left w:val="single" w:color="auto" w:sz="4" w:space="0"/>
              <w:bottom w:val="single" w:color="auto" w:sz="4" w:space="0"/>
              <w:right w:val="single" w:color="auto" w:sz="4" w:space="0"/>
            </w:tcBorders>
            <w:vAlign w:val="center"/>
          </w:tcPr>
          <w:p w14:paraId="3E67E36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综合评估法</w:t>
            </w:r>
          </w:p>
        </w:tc>
      </w:tr>
      <w:tr w14:paraId="3048C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79C6E6E">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4B2886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安全文明施工</w:t>
            </w:r>
          </w:p>
        </w:tc>
        <w:tc>
          <w:tcPr>
            <w:tcW w:w="7910" w:type="dxa"/>
            <w:tcBorders>
              <w:top w:val="single" w:color="auto" w:sz="4" w:space="0"/>
              <w:left w:val="single" w:color="auto" w:sz="4" w:space="0"/>
              <w:bottom w:val="single" w:color="auto" w:sz="4" w:space="0"/>
              <w:right w:val="single" w:color="auto" w:sz="4" w:space="0"/>
            </w:tcBorders>
            <w:vAlign w:val="center"/>
          </w:tcPr>
          <w:p w14:paraId="7C733C2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达到国家、省、市有关标准</w:t>
            </w:r>
          </w:p>
        </w:tc>
      </w:tr>
      <w:tr w14:paraId="554C2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510DBAD">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26A384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房屋建筑工程</w:t>
            </w:r>
          </w:p>
          <w:p w14:paraId="73C547D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绿色建筑标准</w:t>
            </w:r>
          </w:p>
        </w:tc>
        <w:tc>
          <w:tcPr>
            <w:tcW w:w="7910" w:type="dxa"/>
            <w:tcBorders>
              <w:top w:val="single" w:color="auto" w:sz="4" w:space="0"/>
              <w:left w:val="single" w:color="auto" w:sz="4" w:space="0"/>
              <w:bottom w:val="single" w:color="auto" w:sz="4" w:space="0"/>
              <w:right w:val="single" w:color="auto" w:sz="4" w:space="0"/>
            </w:tcBorders>
            <w:vAlign w:val="center"/>
          </w:tcPr>
          <w:p w14:paraId="0B8F06E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本招标项目不纳入绿色建筑实施范围。</w:t>
            </w:r>
          </w:p>
        </w:tc>
      </w:tr>
      <w:tr w14:paraId="581AA1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03C98D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0D317F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7910" w:type="dxa"/>
            <w:tcBorders>
              <w:top w:val="single" w:color="auto" w:sz="4" w:space="0"/>
              <w:left w:val="single" w:color="auto" w:sz="4" w:space="0"/>
              <w:bottom w:val="single" w:color="auto" w:sz="4" w:space="0"/>
              <w:right w:val="single" w:color="auto" w:sz="4" w:space="0"/>
            </w:tcBorders>
            <w:vAlign w:val="center"/>
          </w:tcPr>
          <w:p w14:paraId="70F0F9E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履约保证金为中标价的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%（在领取中标通知书之日起5个工作日内、签订合同前缴纳，组成联合体时，由联合体牵头人缴纳）。</w:t>
            </w:r>
          </w:p>
          <w:p w14:paraId="04EB35B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履约保证的形式包括履约保证金、</w:t>
            </w:r>
            <w:r>
              <w:rPr>
                <w:rFonts w:hint="eastAsia" w:ascii="宋体" w:hAnsi="宋体" w:eastAsia="宋体" w:cs="宋体"/>
                <w:color w:val="auto"/>
                <w:sz w:val="24"/>
                <w:szCs w:val="24"/>
                <w:highlight w:val="none"/>
                <w:lang w:val="en-US" w:eastAsia="zh-CN"/>
              </w:rPr>
              <w:t>履约</w:t>
            </w:r>
            <w:r>
              <w:rPr>
                <w:rFonts w:hint="eastAsia" w:ascii="宋体" w:hAnsi="宋体" w:eastAsia="宋体" w:cs="宋体"/>
                <w:color w:val="auto"/>
                <w:sz w:val="24"/>
                <w:szCs w:val="24"/>
                <w:highlight w:val="none"/>
              </w:rPr>
              <w:t>保证担保、履约保证保险三种，由中标人自主选择，保函有效期不得少于本工程总工期，如果采用银行转账方式则必须从中标人的法人开户银行的账号划出招标人指定的账户，并详细注明</w:t>
            </w:r>
            <w:r>
              <w:rPr>
                <w:rFonts w:hint="eastAsia" w:ascii="宋体" w:hAnsi="宋体" w:eastAsia="宋体" w:cs="宋体"/>
                <w:color w:val="auto"/>
                <w:sz w:val="24"/>
                <w:szCs w:val="24"/>
                <w:highlight w:val="none"/>
                <w:lang w:eastAsia="zh-CN"/>
              </w:rPr>
              <w:t>项目名称</w:t>
            </w:r>
            <w:r>
              <w:rPr>
                <w:rFonts w:hint="eastAsia" w:ascii="宋体" w:hAnsi="宋体" w:eastAsia="宋体" w:cs="宋体"/>
                <w:color w:val="auto"/>
                <w:sz w:val="24"/>
                <w:szCs w:val="24"/>
                <w:highlight w:val="none"/>
              </w:rPr>
              <w:t>及用途。</w:t>
            </w:r>
          </w:p>
        </w:tc>
      </w:tr>
      <w:tr w14:paraId="7A1DEF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5D92BB6">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EF36E3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工程款支付</w:t>
            </w:r>
          </w:p>
        </w:tc>
        <w:tc>
          <w:tcPr>
            <w:tcW w:w="7910" w:type="dxa"/>
            <w:tcBorders>
              <w:top w:val="single" w:color="auto" w:sz="4" w:space="0"/>
              <w:left w:val="single" w:color="auto" w:sz="4" w:space="0"/>
              <w:bottom w:val="single" w:color="auto" w:sz="4" w:space="0"/>
              <w:right w:val="single" w:color="auto" w:sz="4" w:space="0"/>
            </w:tcBorders>
            <w:vAlign w:val="center"/>
          </w:tcPr>
          <w:p w14:paraId="3410646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详见本招标文件“2-4、工程付款办法”</w:t>
            </w:r>
          </w:p>
        </w:tc>
      </w:tr>
      <w:tr w14:paraId="2CCF1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3CD507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2B6DFB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工程质量保证金</w:t>
            </w:r>
          </w:p>
        </w:tc>
        <w:tc>
          <w:tcPr>
            <w:tcW w:w="7910" w:type="dxa"/>
            <w:tcBorders>
              <w:top w:val="single" w:color="auto" w:sz="4" w:space="0"/>
              <w:left w:val="single" w:color="auto" w:sz="4" w:space="0"/>
              <w:bottom w:val="single" w:color="auto" w:sz="4" w:space="0"/>
              <w:right w:val="single" w:color="auto" w:sz="4" w:space="0"/>
            </w:tcBorders>
            <w:vAlign w:val="center"/>
          </w:tcPr>
          <w:p w14:paraId="330B6DB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工程质量保证金总金额为结算价的3%，从工程竣工验收合格之日起计满</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年。</w:t>
            </w:r>
          </w:p>
        </w:tc>
      </w:tr>
      <w:tr w14:paraId="2B1F1C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752834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1299DE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绿色施工安全防护措施费</w:t>
            </w:r>
          </w:p>
        </w:tc>
        <w:tc>
          <w:tcPr>
            <w:tcW w:w="7910" w:type="dxa"/>
            <w:tcBorders>
              <w:top w:val="single" w:color="auto" w:sz="4" w:space="0"/>
              <w:left w:val="single" w:color="auto" w:sz="4" w:space="0"/>
              <w:bottom w:val="single" w:color="auto" w:sz="4" w:space="0"/>
              <w:right w:val="single" w:color="auto" w:sz="4" w:space="0"/>
            </w:tcBorders>
            <w:vAlign w:val="center"/>
          </w:tcPr>
          <w:p w14:paraId="3E3133E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按《建设工程工程量清单计价规范》（</w:t>
            </w:r>
            <w:r>
              <w:rPr>
                <w:rFonts w:hint="eastAsia" w:ascii="宋体" w:hAnsi="宋体" w:eastAsia="宋体" w:cs="宋体"/>
                <w:color w:val="auto"/>
                <w:sz w:val="24"/>
                <w:szCs w:val="24"/>
                <w:highlight w:val="none"/>
                <w:lang w:eastAsia="zh-CN"/>
              </w:rPr>
              <w:t>GB/T50500～2024</w:t>
            </w:r>
            <w:r>
              <w:rPr>
                <w:rFonts w:hint="eastAsia" w:ascii="宋体" w:hAnsi="宋体" w:eastAsia="宋体" w:cs="宋体"/>
                <w:color w:val="auto"/>
                <w:sz w:val="24"/>
                <w:szCs w:val="24"/>
                <w:highlight w:val="none"/>
              </w:rPr>
              <w:t>）、《广东省建设工程计价依据（2018）》《关于明确建筑工程安全防护、文明施工措施费用具体管理办法的通知》（韶市建【2015】26号）等最新规定执行。</w:t>
            </w:r>
          </w:p>
        </w:tc>
      </w:tr>
      <w:tr w14:paraId="1824FE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5937DEA">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A1C3D6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910" w:type="dxa"/>
            <w:tcBorders>
              <w:top w:val="single" w:color="auto" w:sz="4" w:space="0"/>
              <w:left w:val="single" w:color="auto" w:sz="4" w:space="0"/>
              <w:bottom w:val="single" w:color="auto" w:sz="4" w:space="0"/>
              <w:right w:val="single" w:color="auto" w:sz="4" w:space="0"/>
            </w:tcBorders>
            <w:vAlign w:val="center"/>
          </w:tcPr>
          <w:p w14:paraId="407CC1E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定标委员会</w:t>
            </w:r>
            <w:r>
              <w:rPr>
                <w:rFonts w:hint="eastAsia" w:ascii="宋体" w:hAnsi="宋体" w:eastAsia="宋体" w:cs="宋体"/>
                <w:color w:val="auto"/>
                <w:sz w:val="24"/>
                <w:szCs w:val="24"/>
                <w:highlight w:val="none"/>
                <w:lang w:eastAsia="zh-CN"/>
              </w:rPr>
              <w:t>组成人</w:t>
            </w:r>
            <w:r>
              <w:rPr>
                <w:rFonts w:hint="eastAsia" w:ascii="宋体" w:hAnsi="宋体" w:eastAsia="宋体" w:cs="宋体"/>
                <w:color w:val="auto"/>
                <w:sz w:val="24"/>
                <w:szCs w:val="24"/>
                <w:highlight w:val="none"/>
              </w:rPr>
              <w:t xml:space="preserve">员为 </w:t>
            </w:r>
            <w:r>
              <w:rPr>
                <w:rFonts w:hint="eastAsia" w:ascii="宋体" w:hAnsi="宋体" w:eastAsia="宋体" w:cs="宋体"/>
                <w:color w:val="auto"/>
                <w:sz w:val="24"/>
                <w:szCs w:val="24"/>
                <w:highlight w:val="non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w:t>
            </w:r>
          </w:p>
        </w:tc>
      </w:tr>
      <w:tr w14:paraId="4C5D19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A54A479">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1EBE77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定标办法</w:t>
            </w:r>
          </w:p>
        </w:tc>
        <w:tc>
          <w:tcPr>
            <w:tcW w:w="7910" w:type="dxa"/>
            <w:tcBorders>
              <w:top w:val="single" w:color="auto" w:sz="4" w:space="0"/>
              <w:left w:val="single" w:color="auto" w:sz="4" w:space="0"/>
              <w:bottom w:val="single" w:color="auto" w:sz="4" w:space="0"/>
              <w:right w:val="single" w:color="auto" w:sz="4" w:space="0"/>
            </w:tcBorders>
            <w:vAlign w:val="center"/>
          </w:tcPr>
          <w:p w14:paraId="6867074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采用评定分离的项目，应选定下列定标办法：</w:t>
            </w:r>
          </w:p>
          <w:p w14:paraId="2B43E39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☑票决数量法</w:t>
            </w:r>
          </w:p>
          <w:p w14:paraId="73645A7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□票决计分法</w:t>
            </w:r>
          </w:p>
          <w:p w14:paraId="3AF61B8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□集体议事法</w:t>
            </w:r>
          </w:p>
          <w:p w14:paraId="1915247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□其他方法：</w:t>
            </w:r>
          </w:p>
        </w:tc>
      </w:tr>
      <w:tr w14:paraId="630AF0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1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D206156">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val="en-US"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7F7D936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招标文件要求提交的用于评审的证书、证件、凭证原件</w:t>
            </w: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如有</w:t>
            </w:r>
            <w:r>
              <w:rPr>
                <w:rFonts w:hint="eastAsia" w:hAnsi="宋体" w:eastAsia="宋体" w:cs="宋体"/>
                <w:color w:val="auto"/>
                <w:sz w:val="24"/>
                <w:szCs w:val="24"/>
                <w:highlight w:val="none"/>
                <w:lang w:eastAsia="zh-CN"/>
              </w:rPr>
              <w:t>）</w:t>
            </w:r>
          </w:p>
        </w:tc>
        <w:tc>
          <w:tcPr>
            <w:tcW w:w="7910" w:type="dxa"/>
            <w:tcBorders>
              <w:top w:val="single" w:color="auto" w:sz="4" w:space="0"/>
              <w:left w:val="single" w:color="auto" w:sz="4" w:space="0"/>
              <w:bottom w:val="single" w:color="auto" w:sz="4" w:space="0"/>
              <w:right w:val="single" w:color="auto" w:sz="4" w:space="0"/>
            </w:tcBorders>
            <w:vAlign w:val="center"/>
          </w:tcPr>
          <w:p w14:paraId="0EC8ECA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投标人在递交纸质投标文件时须提交用于评审的证书、证件、证明原件的，投标人应自行将所需原件密封于文件袋（箱）中，并自行准备两张“原件一览表”（详见格式十</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投标人须自行填写，表格可扩展），一张贴于文件袋（箱），一张在递交时由投标人、招标代理人签字。招标代理机构仅代签收，不对文件袋（箱）中资料的数量、内容及真实性负责。评标结束后，招标代理人将退回投标人的原件。若投标人未按要求提交相应证明材料原件或投标文件中证明材料的彩色扫描件与原件不一致，评审时相应证明材料不予认可。</w:t>
            </w:r>
          </w:p>
        </w:tc>
      </w:tr>
      <w:tr w14:paraId="194ED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5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01481F2">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2F07094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p>
        </w:tc>
        <w:tc>
          <w:tcPr>
            <w:tcW w:w="7910" w:type="dxa"/>
            <w:tcBorders>
              <w:top w:val="single" w:color="auto" w:sz="4" w:space="0"/>
              <w:left w:val="single" w:color="auto" w:sz="4" w:space="0"/>
              <w:bottom w:val="single" w:color="auto" w:sz="4" w:space="0"/>
              <w:right w:val="single" w:color="auto" w:sz="4" w:space="0"/>
            </w:tcBorders>
            <w:vAlign w:val="center"/>
          </w:tcPr>
          <w:p w14:paraId="5140012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本项目的招标代理服务费由中标人支付。招标代理服务费参照《招标代理服务收费管理暂行办法》计价格[2002]1980号文计算，</w:t>
            </w:r>
            <w:r>
              <w:rPr>
                <w:rFonts w:hint="eastAsia" w:hAnsi="宋体" w:eastAsia="宋体" w:cs="宋体"/>
                <w:color w:val="auto"/>
                <w:sz w:val="24"/>
                <w:szCs w:val="24"/>
                <w:highlight w:val="none"/>
                <w:lang w:val="en-US" w:eastAsia="zh-CN"/>
              </w:rPr>
              <w:t>以中标价计算</w:t>
            </w:r>
            <w:r>
              <w:rPr>
                <w:rFonts w:hint="eastAsia" w:ascii="宋体" w:hAnsi="宋体" w:eastAsia="宋体" w:cs="宋体"/>
                <w:color w:val="auto"/>
                <w:sz w:val="24"/>
                <w:szCs w:val="24"/>
                <w:highlight w:val="none"/>
                <w:lang w:val="en-US" w:eastAsia="zh-CN"/>
              </w:rPr>
              <w:t>收取</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该费用不再另行报价，由投标人在投标报价时综合考虑在内。中标人在领取中标通知书前须向招标代理机构一次性支付本项目招标代理服务费及评标专家酬劳（评标专家酬劳按双方《建设工程招标代理合同》约定支付）。</w:t>
            </w:r>
          </w:p>
          <w:p w14:paraId="6876802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注：参与投标视为认可该条款。</w:t>
            </w:r>
          </w:p>
        </w:tc>
      </w:tr>
      <w:tr w14:paraId="4D70F9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79B291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484A51A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p w14:paraId="7D0B8B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562470A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单位名称：</w:t>
            </w:r>
            <w:r>
              <w:rPr>
                <w:rFonts w:hint="eastAsia" w:hAnsi="宋体" w:eastAsia="宋体" w:cs="宋体"/>
                <w:color w:val="auto"/>
                <w:sz w:val="24"/>
                <w:szCs w:val="24"/>
                <w:highlight w:val="none"/>
                <w:lang w:val="en-US" w:eastAsia="zh-CN"/>
              </w:rPr>
              <w:t>南雄市澜河镇人民政府</w:t>
            </w:r>
          </w:p>
          <w:p w14:paraId="60ADE7F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办公地址：广东省韶关市‌南雄市澜河镇新街75号</w:t>
            </w:r>
          </w:p>
          <w:p w14:paraId="2BD855D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联系人（部门）：谭工</w:t>
            </w:r>
          </w:p>
          <w:p w14:paraId="2E162D4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szCs w:val="20"/>
                <w:highlight w:val="none"/>
                <w:lang w:val="en-US" w:eastAsia="zh-CN"/>
              </w:rPr>
              <w:t>0751-3532138</w:t>
            </w:r>
          </w:p>
        </w:tc>
      </w:tr>
      <w:tr w14:paraId="01838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3068028">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6377D37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p w14:paraId="0E276AF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6CC7AC5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单位名称：广东省南沣建设管理有限公司</w:t>
            </w:r>
          </w:p>
          <w:p w14:paraId="6A649DA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办公地址：韶关市武江区沐阳东路12号卓越雅苑商住小区5幢10楼1005</w:t>
            </w:r>
          </w:p>
          <w:p w14:paraId="4FC1AE6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联系人（部门）：罗工、梁工</w:t>
            </w:r>
          </w:p>
          <w:p w14:paraId="192E86F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联系电话：0751-8166399</w:t>
            </w:r>
          </w:p>
        </w:tc>
      </w:tr>
      <w:tr w14:paraId="16F567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6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D835DC9">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20C490A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交易场所</w:t>
            </w:r>
          </w:p>
          <w:p w14:paraId="2617725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50C2261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单位名称：韶关市公共资源交易中心</w:t>
            </w:r>
          </w:p>
          <w:p w14:paraId="0495618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办公地址：南雄市雄东路1号(大润发)四楼韶关市公共资源交易中心南雄分中心(南雄市公共服务中心内)</w:t>
            </w:r>
          </w:p>
          <w:p w14:paraId="3D19F3E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联系人（部门）：工程交易部</w:t>
            </w:r>
          </w:p>
          <w:p w14:paraId="07488BA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eastAsia="zh-CN"/>
              </w:rPr>
              <w:t>联系电话：0751-3860729</w:t>
            </w:r>
          </w:p>
        </w:tc>
      </w:tr>
      <w:tr w14:paraId="56A87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7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5ADC6C3">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782D3D9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行政监督部门</w:t>
            </w:r>
          </w:p>
          <w:p w14:paraId="2A50D4D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1AA5353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单位名称：南雄市农业农村局</w:t>
            </w:r>
          </w:p>
          <w:p w14:paraId="394B687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办公地址：南雄市沿江西路 98 号</w:t>
            </w:r>
          </w:p>
          <w:p w14:paraId="034B4BD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联系人（部门）：乡村建设与农村社会事业促进股</w:t>
            </w:r>
          </w:p>
          <w:p w14:paraId="6AA9E54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eastAsia="zh-CN"/>
              </w:rPr>
              <w:t>联系电话：0751-3802620</w:t>
            </w:r>
          </w:p>
        </w:tc>
      </w:tr>
      <w:bookmarkEnd w:id="4"/>
    </w:tbl>
    <w:p w14:paraId="292DB510">
      <w:pPr>
        <w:pStyle w:val="3"/>
        <w:wordWrap w:val="0"/>
        <w:autoSpaceDE/>
        <w:autoSpaceDN/>
        <w:snapToGrid w:val="0"/>
        <w:spacing w:after="260" w:line="440" w:lineRule="exact"/>
        <w:jc w:val="both"/>
        <w:rPr>
          <w:rFonts w:hint="default" w:asciiTheme="minorEastAsia" w:hAnsiTheme="minorEastAsia" w:eastAsiaTheme="minorEastAsia" w:cstheme="minorEastAsia"/>
          <w:b/>
          <w:color w:val="auto"/>
          <w:kern w:val="2"/>
          <w:highlight w:val="none"/>
        </w:rPr>
      </w:pPr>
      <w:bookmarkStart w:id="7" w:name="_Toc122671103"/>
      <w:bookmarkStart w:id="8" w:name="_Toc122859103"/>
      <w:bookmarkStart w:id="9" w:name="_Toc122769943"/>
      <w:r>
        <w:rPr>
          <w:rFonts w:asciiTheme="minorEastAsia" w:hAnsiTheme="minorEastAsia" w:eastAsiaTheme="minorEastAsia" w:cstheme="minorEastAsia"/>
          <w:b/>
          <w:color w:val="auto"/>
          <w:kern w:val="2"/>
          <w:highlight w:val="none"/>
        </w:rPr>
        <w:br w:type="page"/>
      </w:r>
      <w:bookmarkEnd w:id="7"/>
      <w:bookmarkEnd w:id="8"/>
      <w:bookmarkEnd w:id="9"/>
      <w:bookmarkStart w:id="10" w:name="_Toc3357"/>
      <w:r>
        <w:rPr>
          <w:rFonts w:asciiTheme="minorEastAsia" w:hAnsiTheme="minorEastAsia" w:eastAsiaTheme="minorEastAsia" w:cstheme="minorEastAsia"/>
          <w:b/>
          <w:color w:val="auto"/>
          <w:kern w:val="2"/>
          <w:szCs w:val="24"/>
          <w:highlight w:val="none"/>
        </w:rPr>
        <w:t>第二节.重要事项时间地点一览表</w:t>
      </w:r>
      <w:bookmarkEnd w:id="10"/>
    </w:p>
    <w:tbl>
      <w:tblPr>
        <w:tblStyle w:val="23"/>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14:paraId="6DFA99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5528BCC5">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610" w:type="dxa"/>
            <w:tcBorders>
              <w:top w:val="single" w:color="080000" w:sz="4" w:space="0"/>
              <w:left w:val="single" w:color="080000" w:sz="4" w:space="0"/>
              <w:bottom w:val="single" w:color="080000" w:sz="4" w:space="0"/>
              <w:right w:val="single" w:color="080000" w:sz="4" w:space="0"/>
            </w:tcBorders>
            <w:vAlign w:val="center"/>
          </w:tcPr>
          <w:p w14:paraId="210C1E77">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600269CC">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70AAE3F5">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w:t>
            </w:r>
            <w:r>
              <w:rPr>
                <w:rFonts w:hint="eastAsia" w:ascii="宋体" w:hAnsi="宋体" w:cs="宋体"/>
                <w:color w:val="auto"/>
                <w:kern w:val="0"/>
                <w:sz w:val="24"/>
                <w:szCs w:val="24"/>
                <w:highlight w:val="none"/>
                <w:u w:val="none"/>
                <w:lang w:val="en-US" w:eastAsia="zh-CN"/>
              </w:rPr>
              <w:t>9</w:t>
            </w:r>
            <w:r>
              <w:rPr>
                <w:rFonts w:hint="eastAsia" w:ascii="宋体" w:hAnsi="宋体" w:eastAsia="宋体" w:cs="宋体"/>
                <w:color w:val="auto"/>
                <w:kern w:val="0"/>
                <w:sz w:val="24"/>
                <w:szCs w:val="24"/>
                <w:highlight w:val="none"/>
                <w:u w:val="none"/>
              </w:rPr>
              <w:t>月</w:t>
            </w:r>
            <w:r>
              <w:rPr>
                <w:rFonts w:hint="eastAsia" w:ascii="宋体" w:hAnsi="宋体" w:cs="宋体"/>
                <w:color w:val="auto"/>
                <w:kern w:val="0"/>
                <w:sz w:val="24"/>
                <w:szCs w:val="24"/>
                <w:highlight w:val="none"/>
                <w:u w:val="none"/>
                <w:lang w:val="en-US" w:eastAsia="zh-CN"/>
              </w:rPr>
              <w:t>28</w:t>
            </w:r>
            <w:r>
              <w:rPr>
                <w:rFonts w:hint="eastAsia" w:ascii="宋体" w:hAnsi="宋体" w:eastAsia="宋体" w:cs="宋体"/>
                <w:color w:val="auto"/>
                <w:kern w:val="0"/>
                <w:sz w:val="24"/>
                <w:szCs w:val="24"/>
                <w:highlight w:val="none"/>
                <w:u w:val="none"/>
              </w:rPr>
              <w:t>日</w:t>
            </w:r>
            <w:r>
              <w:rPr>
                <w:rFonts w:hint="eastAsia" w:ascii="宋体" w:hAnsi="宋体" w:cs="宋体"/>
                <w:color w:val="auto"/>
                <w:kern w:val="0"/>
                <w:sz w:val="24"/>
                <w:szCs w:val="24"/>
                <w:highlight w:val="none"/>
                <w:u w:val="none"/>
                <w:lang w:val="en-US" w:eastAsia="zh-CN"/>
              </w:rPr>
              <w:t>18</w:t>
            </w:r>
            <w:r>
              <w:rPr>
                <w:rFonts w:hint="eastAsia" w:ascii="宋体" w:hAnsi="宋体" w:eastAsia="宋体" w:cs="宋体"/>
                <w:color w:val="auto"/>
                <w:kern w:val="0"/>
                <w:sz w:val="24"/>
                <w:szCs w:val="24"/>
                <w:highlight w:val="none"/>
                <w:u w:val="none"/>
              </w:rPr>
              <w:t>时</w:t>
            </w:r>
            <w:r>
              <w:rPr>
                <w:rFonts w:hint="eastAsia" w:ascii="宋体" w:hAnsi="宋体" w:cs="宋体"/>
                <w:color w:val="auto"/>
                <w:kern w:val="0"/>
                <w:sz w:val="24"/>
                <w:szCs w:val="24"/>
                <w:highlight w:val="none"/>
                <w:u w:val="none"/>
                <w:lang w:val="en-US" w:eastAsia="zh-CN"/>
              </w:rPr>
              <w:t>00</w:t>
            </w:r>
            <w:r>
              <w:rPr>
                <w:rFonts w:hint="eastAsia" w:ascii="宋体" w:hAnsi="宋体" w:eastAsia="宋体" w:cs="宋体"/>
                <w:color w:val="auto"/>
                <w:kern w:val="0"/>
                <w:sz w:val="24"/>
                <w:szCs w:val="24"/>
                <w:highlight w:val="none"/>
                <w:u w:val="none"/>
              </w:rPr>
              <w:t>分</w:t>
            </w:r>
          </w:p>
        </w:tc>
      </w:tr>
      <w:tr w14:paraId="67F476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6C3785F5">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610" w:type="dxa"/>
            <w:tcBorders>
              <w:top w:val="single" w:color="080000" w:sz="4" w:space="0"/>
              <w:left w:val="single" w:color="080000" w:sz="4" w:space="0"/>
              <w:bottom w:val="single" w:color="080000" w:sz="4" w:space="0"/>
              <w:right w:val="single" w:color="080000" w:sz="4" w:space="0"/>
            </w:tcBorders>
            <w:vAlign w:val="center"/>
          </w:tcPr>
          <w:p w14:paraId="241A46C1">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25611002">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w:t>
            </w:r>
            <w:r>
              <w:rPr>
                <w:rFonts w:hint="eastAsia" w:ascii="宋体" w:hAnsi="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rPr>
              <w:t>月</w:t>
            </w:r>
            <w:r>
              <w:rPr>
                <w:rFonts w:hint="eastAsia" w:ascii="宋体" w:hAnsi="宋体" w:cs="宋体"/>
                <w:color w:val="auto"/>
                <w:kern w:val="0"/>
                <w:sz w:val="24"/>
                <w:szCs w:val="24"/>
                <w:highlight w:val="none"/>
                <w:u w:val="none"/>
                <w:lang w:val="en-US" w:eastAsia="zh-CN"/>
              </w:rPr>
              <w:t>27</w:t>
            </w:r>
            <w:r>
              <w:rPr>
                <w:rFonts w:hint="eastAsia" w:ascii="宋体" w:hAnsi="宋体" w:eastAsia="宋体" w:cs="宋体"/>
                <w:color w:val="auto"/>
                <w:kern w:val="0"/>
                <w:sz w:val="24"/>
                <w:szCs w:val="24"/>
                <w:highlight w:val="none"/>
                <w:u w:val="none"/>
              </w:rPr>
              <w:t>日</w:t>
            </w:r>
            <w:r>
              <w:rPr>
                <w:rFonts w:hint="eastAsia" w:ascii="宋体" w:hAnsi="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rPr>
              <w:t>时</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分</w:t>
            </w:r>
          </w:p>
        </w:tc>
      </w:tr>
      <w:tr w14:paraId="0D0C78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0CD7AA47">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610" w:type="dxa"/>
            <w:tcBorders>
              <w:top w:val="single" w:color="080000" w:sz="4" w:space="0"/>
              <w:left w:val="single" w:color="080000" w:sz="4" w:space="0"/>
              <w:bottom w:val="single" w:color="080000" w:sz="4" w:space="0"/>
              <w:right w:val="single" w:color="080000" w:sz="4" w:space="0"/>
            </w:tcBorders>
            <w:vAlign w:val="center"/>
          </w:tcPr>
          <w:p w14:paraId="42619BEC">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639E5705">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723CE416">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w:t>
            </w:r>
            <w:r>
              <w:rPr>
                <w:rFonts w:hint="eastAsia" w:ascii="宋体" w:hAnsi="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lang w:val="en-US" w:eastAsia="zh-CN"/>
              </w:rPr>
              <w:t>月</w:t>
            </w:r>
            <w:r>
              <w:rPr>
                <w:rFonts w:hint="eastAsia" w:ascii="宋体" w:hAnsi="宋体" w:cs="宋体"/>
                <w:color w:val="auto"/>
                <w:kern w:val="0"/>
                <w:sz w:val="24"/>
                <w:szCs w:val="24"/>
                <w:highlight w:val="none"/>
                <w:u w:val="none"/>
                <w:lang w:val="en-US" w:eastAsia="zh-CN"/>
              </w:rPr>
              <w:t>17</w:t>
            </w:r>
            <w:r>
              <w:rPr>
                <w:rFonts w:hint="eastAsia" w:ascii="宋体" w:hAnsi="宋体" w:eastAsia="宋体" w:cs="宋体"/>
                <w:color w:val="auto"/>
                <w:kern w:val="0"/>
                <w:sz w:val="24"/>
                <w:szCs w:val="24"/>
                <w:highlight w:val="none"/>
                <w:u w:val="none"/>
                <w:lang w:val="en-US" w:eastAsia="zh-CN"/>
              </w:rPr>
              <w:t>日</w:t>
            </w:r>
            <w:r>
              <w:rPr>
                <w:rFonts w:hint="eastAsia" w:ascii="宋体" w:hAnsi="宋体" w:cs="宋体"/>
                <w:color w:val="auto"/>
                <w:kern w:val="0"/>
                <w:sz w:val="24"/>
                <w:szCs w:val="24"/>
                <w:highlight w:val="none"/>
                <w:u w:val="none"/>
                <w:lang w:val="en-US" w:eastAsia="zh-CN"/>
              </w:rPr>
              <w:t>16</w:t>
            </w:r>
            <w:r>
              <w:rPr>
                <w:rFonts w:hint="eastAsia" w:ascii="宋体" w:hAnsi="宋体" w:eastAsia="宋体" w:cs="宋体"/>
                <w:color w:val="auto"/>
                <w:kern w:val="0"/>
                <w:sz w:val="24"/>
                <w:szCs w:val="24"/>
                <w:highlight w:val="none"/>
                <w:u w:val="none"/>
                <w:lang w:val="en-US" w:eastAsia="zh-CN"/>
              </w:rPr>
              <w:t>时</w:t>
            </w:r>
            <w:r>
              <w:rPr>
                <w:rFonts w:hint="eastAsia" w:ascii="宋体" w:hAnsi="宋体" w:cs="宋体"/>
                <w:color w:val="auto"/>
                <w:kern w:val="0"/>
                <w:sz w:val="24"/>
                <w:szCs w:val="24"/>
                <w:highlight w:val="none"/>
                <w:u w:val="none"/>
                <w:lang w:val="en-US" w:eastAsia="zh-CN"/>
              </w:rPr>
              <w:t>00</w:t>
            </w:r>
            <w:r>
              <w:rPr>
                <w:rFonts w:hint="eastAsia" w:ascii="宋体" w:hAnsi="宋体" w:eastAsia="宋体" w:cs="宋体"/>
                <w:color w:val="auto"/>
                <w:kern w:val="0"/>
                <w:sz w:val="24"/>
                <w:szCs w:val="24"/>
                <w:highlight w:val="none"/>
                <w:u w:val="none"/>
                <w:lang w:val="en-US" w:eastAsia="zh-CN"/>
              </w:rPr>
              <w:t>分</w:t>
            </w:r>
          </w:p>
        </w:tc>
      </w:tr>
      <w:tr w14:paraId="0A2738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52F4D822">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610" w:type="dxa"/>
            <w:tcBorders>
              <w:top w:val="single" w:color="080000" w:sz="4" w:space="0"/>
              <w:left w:val="single" w:color="080000" w:sz="4" w:space="0"/>
              <w:bottom w:val="single" w:color="080000" w:sz="4" w:space="0"/>
              <w:right w:val="single" w:color="080000" w:sz="4" w:space="0"/>
            </w:tcBorders>
            <w:vAlign w:val="center"/>
          </w:tcPr>
          <w:p w14:paraId="6E6248EA">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5611C68">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1561AAD2">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2026年10月17日16时</w:t>
            </w:r>
            <w:r>
              <w:rPr>
                <w:rFonts w:hint="eastAsia" w:ascii="宋体" w:hAnsi="宋体" w:cs="宋体"/>
                <w:color w:val="auto"/>
                <w:kern w:val="0"/>
                <w:sz w:val="24"/>
                <w:szCs w:val="24"/>
                <w:highlight w:val="none"/>
                <w:u w:val="none"/>
                <w:lang w:val="en-US" w:eastAsia="zh-CN"/>
              </w:rPr>
              <w:t>3</w:t>
            </w:r>
            <w:r>
              <w:rPr>
                <w:rFonts w:hint="eastAsia" w:ascii="宋体" w:hAnsi="宋体" w:eastAsia="宋体" w:cs="宋体"/>
                <w:color w:val="auto"/>
                <w:kern w:val="0"/>
                <w:sz w:val="24"/>
                <w:szCs w:val="24"/>
                <w:highlight w:val="none"/>
                <w:u w:val="none"/>
                <w:lang w:val="en-US" w:eastAsia="zh-CN"/>
              </w:rPr>
              <w:t>0分</w:t>
            </w:r>
            <w:r>
              <w:rPr>
                <w:rFonts w:hint="eastAsia" w:ascii="宋体" w:hAnsi="宋体" w:eastAsia="宋体" w:cs="宋体"/>
                <w:snapToGrid w:val="0"/>
                <w:color w:val="auto"/>
                <w:kern w:val="0"/>
                <w:sz w:val="24"/>
                <w:szCs w:val="24"/>
                <w:highlight w:val="none"/>
                <w:u w:val="none"/>
              </w:rPr>
              <w:t>至</w:t>
            </w:r>
            <w:r>
              <w:rPr>
                <w:rFonts w:hint="eastAsia" w:ascii="宋体" w:hAnsi="宋体" w:eastAsia="宋体" w:cs="宋体"/>
                <w:color w:val="auto"/>
                <w:kern w:val="0"/>
                <w:sz w:val="24"/>
                <w:szCs w:val="24"/>
                <w:highlight w:val="none"/>
                <w:u w:val="none"/>
                <w:lang w:val="en-US" w:eastAsia="zh-CN"/>
              </w:rPr>
              <w:t>2026年</w:t>
            </w:r>
            <w:r>
              <w:rPr>
                <w:rFonts w:hint="eastAsia" w:ascii="宋体" w:hAnsi="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lang w:val="en-US" w:eastAsia="zh-CN"/>
              </w:rPr>
              <w:t>月</w:t>
            </w:r>
            <w:r>
              <w:rPr>
                <w:rFonts w:hint="eastAsia" w:ascii="宋体" w:hAnsi="宋体" w:cs="宋体"/>
                <w:color w:val="auto"/>
                <w:kern w:val="0"/>
                <w:sz w:val="24"/>
                <w:szCs w:val="24"/>
                <w:highlight w:val="none"/>
                <w:u w:val="none"/>
                <w:lang w:val="en-US" w:eastAsia="zh-CN"/>
              </w:rPr>
              <w:t>20</w:t>
            </w:r>
            <w:r>
              <w:rPr>
                <w:rFonts w:hint="eastAsia" w:ascii="宋体" w:hAnsi="宋体" w:eastAsia="宋体" w:cs="宋体"/>
                <w:color w:val="auto"/>
                <w:kern w:val="0"/>
                <w:sz w:val="24"/>
                <w:szCs w:val="24"/>
                <w:highlight w:val="none"/>
                <w:u w:val="none"/>
                <w:lang w:val="en-US" w:eastAsia="zh-CN"/>
              </w:rPr>
              <w:t>日</w:t>
            </w:r>
            <w:r>
              <w:rPr>
                <w:rFonts w:hint="eastAsia" w:ascii="宋体" w:hAnsi="宋体" w:cs="宋体"/>
                <w:color w:val="auto"/>
                <w:kern w:val="0"/>
                <w:sz w:val="24"/>
                <w:szCs w:val="24"/>
                <w:highlight w:val="none"/>
                <w:u w:val="none"/>
                <w:lang w:val="en-US" w:eastAsia="zh-CN"/>
              </w:rPr>
              <w:t>16</w:t>
            </w:r>
            <w:r>
              <w:rPr>
                <w:rFonts w:hint="eastAsia" w:ascii="宋体" w:hAnsi="宋体" w:eastAsia="宋体" w:cs="宋体"/>
                <w:color w:val="auto"/>
                <w:kern w:val="0"/>
                <w:sz w:val="24"/>
                <w:szCs w:val="24"/>
                <w:highlight w:val="none"/>
                <w:u w:val="none"/>
                <w:lang w:val="en-US" w:eastAsia="zh-CN"/>
              </w:rPr>
              <w:t>时</w:t>
            </w:r>
            <w:r>
              <w:rPr>
                <w:rFonts w:hint="eastAsia" w:ascii="宋体" w:hAnsi="宋体" w:cs="宋体"/>
                <w:color w:val="auto"/>
                <w:kern w:val="0"/>
                <w:sz w:val="24"/>
                <w:szCs w:val="24"/>
                <w:highlight w:val="none"/>
                <w:u w:val="none"/>
                <w:lang w:val="en-US" w:eastAsia="zh-CN"/>
              </w:rPr>
              <w:t>00</w:t>
            </w:r>
            <w:r>
              <w:rPr>
                <w:rFonts w:hint="eastAsia" w:ascii="宋体" w:hAnsi="宋体" w:eastAsia="宋体" w:cs="宋体"/>
                <w:color w:val="auto"/>
                <w:kern w:val="0"/>
                <w:sz w:val="24"/>
                <w:szCs w:val="24"/>
                <w:highlight w:val="none"/>
                <w:u w:val="none"/>
                <w:lang w:val="en-US" w:eastAsia="zh-CN"/>
              </w:rPr>
              <w:t>分</w:t>
            </w:r>
          </w:p>
        </w:tc>
      </w:tr>
      <w:tr w14:paraId="5650B0C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05A05E46">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610" w:type="dxa"/>
            <w:tcBorders>
              <w:top w:val="single" w:color="080000" w:sz="4" w:space="0"/>
              <w:left w:val="single" w:color="080000" w:sz="4" w:space="0"/>
              <w:bottom w:val="single" w:color="080000" w:sz="4" w:space="0"/>
              <w:right w:val="single" w:color="080000" w:sz="4" w:space="0"/>
            </w:tcBorders>
            <w:vAlign w:val="center"/>
          </w:tcPr>
          <w:p w14:paraId="4D31ED54">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0E44C773">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44ADF4DE">
            <w:pPr>
              <w:pStyle w:val="40"/>
              <w:keepNext w:val="0"/>
              <w:keepLines w:val="0"/>
              <w:suppressLineNumbers w:val="0"/>
              <w:wordWrap w:val="0"/>
              <w:adjustRightInd w:val="0"/>
              <w:snapToGrid w:val="0"/>
              <w:spacing w:before="0" w:beforeAutospacing="0" w:after="0" w:afterAutospacing="0" w:line="400" w:lineRule="exact"/>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投标保证金到账截止时间：</w:t>
            </w:r>
            <w:r>
              <w:rPr>
                <w:rFonts w:hint="eastAsia" w:ascii="宋体" w:hAnsi="宋体" w:eastAsia="宋体" w:cs="宋体"/>
                <w:color w:val="auto"/>
                <w:kern w:val="0"/>
                <w:sz w:val="24"/>
                <w:szCs w:val="24"/>
                <w:highlight w:val="none"/>
                <w:u w:val="none"/>
                <w:lang w:val="en-US" w:eastAsia="zh-CN"/>
              </w:rPr>
              <w:t>2026年10月2</w:t>
            </w:r>
            <w:r>
              <w:rPr>
                <w:rFonts w:hint="eastAsia" w:ascii="宋体" w:hAnsi="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lang w:val="en-US" w:eastAsia="zh-CN"/>
              </w:rPr>
              <w:t>日10时30分</w:t>
            </w:r>
            <w:r>
              <w:rPr>
                <w:rFonts w:hint="eastAsia" w:ascii="宋体" w:hAnsi="宋体" w:eastAsia="宋体" w:cs="宋体"/>
                <w:snapToGrid w:val="0"/>
                <w:color w:val="auto"/>
                <w:kern w:val="0"/>
                <w:sz w:val="24"/>
                <w:szCs w:val="24"/>
                <w:highlight w:val="none"/>
                <w:u w:val="none"/>
              </w:rPr>
              <w:t>；</w:t>
            </w:r>
          </w:p>
          <w:p w14:paraId="1248B16A">
            <w:pPr>
              <w:pStyle w:val="40"/>
              <w:keepNext w:val="0"/>
              <w:keepLines w:val="0"/>
              <w:suppressLineNumbers w:val="0"/>
              <w:wordWrap w:val="0"/>
              <w:adjustRightInd w:val="0"/>
              <w:snapToGrid w:val="0"/>
              <w:spacing w:before="0" w:beforeAutospacing="0" w:after="0" w:afterAutospacing="0" w:line="400" w:lineRule="exact"/>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投标保证担保上传截止时间：</w:t>
            </w:r>
            <w:r>
              <w:rPr>
                <w:rFonts w:hint="eastAsia" w:ascii="宋体" w:hAnsi="宋体" w:eastAsia="宋体" w:cs="宋体"/>
                <w:color w:val="auto"/>
                <w:kern w:val="0"/>
                <w:sz w:val="24"/>
                <w:szCs w:val="24"/>
                <w:highlight w:val="none"/>
                <w:u w:val="none"/>
                <w:lang w:val="en-US" w:eastAsia="zh-CN"/>
              </w:rPr>
              <w:t>2026年10月26日10时30</w:t>
            </w:r>
            <w:r>
              <w:rPr>
                <w:rFonts w:hint="eastAsia" w:ascii="宋体" w:hAnsi="宋体" w:eastAsia="宋体" w:cs="宋体"/>
                <w:snapToGrid w:val="0"/>
                <w:color w:val="auto"/>
                <w:kern w:val="0"/>
                <w:sz w:val="24"/>
                <w:szCs w:val="24"/>
                <w:highlight w:val="none"/>
                <w:u w:val="none"/>
              </w:rPr>
              <w:t>；</w:t>
            </w:r>
          </w:p>
          <w:p w14:paraId="07B1C902">
            <w:pPr>
              <w:pStyle w:val="2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投标保证保险投保截止时间：</w:t>
            </w:r>
            <w:r>
              <w:rPr>
                <w:rFonts w:hint="eastAsia" w:ascii="宋体" w:hAnsi="宋体" w:eastAsia="宋体" w:cs="宋体"/>
                <w:color w:val="auto"/>
                <w:kern w:val="0"/>
                <w:sz w:val="24"/>
                <w:szCs w:val="24"/>
                <w:highlight w:val="none"/>
                <w:u w:val="none"/>
                <w:lang w:val="en-US" w:eastAsia="zh-CN"/>
              </w:rPr>
              <w:t>2026年10月26日10时30</w:t>
            </w:r>
            <w:r>
              <w:rPr>
                <w:rFonts w:hint="eastAsia" w:ascii="宋体" w:hAnsi="宋体" w:eastAsia="宋体" w:cs="宋体"/>
                <w:snapToGrid w:val="0"/>
                <w:color w:val="auto"/>
                <w:kern w:val="0"/>
                <w:sz w:val="24"/>
                <w:szCs w:val="24"/>
                <w:highlight w:val="none"/>
                <w:u w:val="none"/>
              </w:rPr>
              <w:t>。</w:t>
            </w:r>
          </w:p>
        </w:tc>
      </w:tr>
      <w:tr w14:paraId="72DA92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65C782F5">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610" w:type="dxa"/>
            <w:tcBorders>
              <w:top w:val="single" w:color="080000" w:sz="4" w:space="0"/>
              <w:left w:val="single" w:color="080000" w:sz="4" w:space="0"/>
              <w:bottom w:val="single" w:color="080000" w:sz="4" w:space="0"/>
              <w:right w:val="single" w:color="080000" w:sz="4" w:space="0"/>
            </w:tcBorders>
            <w:vAlign w:val="center"/>
          </w:tcPr>
          <w:p w14:paraId="1F737BD3">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14:paraId="42A04994">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1C632C8B">
            <w:pPr>
              <w:pStyle w:val="2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w:t>
            </w:r>
            <w:r>
              <w:rPr>
                <w:rFonts w:hint="eastAsia" w:hAnsi="宋体" w:eastAsia="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rPr>
              <w:t>月</w:t>
            </w:r>
            <w:r>
              <w:rPr>
                <w:rFonts w:hint="eastAsia" w:hAnsi="宋体" w:eastAsia="宋体" w:cs="宋体"/>
                <w:color w:val="auto"/>
                <w:kern w:val="0"/>
                <w:sz w:val="24"/>
                <w:szCs w:val="24"/>
                <w:highlight w:val="none"/>
                <w:u w:val="none"/>
                <w:lang w:val="en-US" w:eastAsia="zh-CN"/>
              </w:rPr>
              <w:t>27</w:t>
            </w:r>
            <w:r>
              <w:rPr>
                <w:rFonts w:hint="eastAsia" w:ascii="宋体" w:hAnsi="宋体" w:eastAsia="宋体" w:cs="宋体"/>
                <w:color w:val="auto"/>
                <w:kern w:val="0"/>
                <w:sz w:val="24"/>
                <w:szCs w:val="24"/>
                <w:highlight w:val="none"/>
                <w:u w:val="none"/>
              </w:rPr>
              <w:t>日</w:t>
            </w:r>
            <w:r>
              <w:rPr>
                <w:rFonts w:hint="eastAsia" w:hAnsi="宋体" w:eastAsia="宋体" w:cs="宋体"/>
                <w:color w:val="auto"/>
                <w:kern w:val="0"/>
                <w:sz w:val="24"/>
                <w:szCs w:val="24"/>
                <w:highlight w:val="none"/>
                <w:u w:val="none"/>
                <w:lang w:val="en-US" w:eastAsia="zh-CN"/>
              </w:rPr>
              <w:t>10</w:t>
            </w:r>
            <w:r>
              <w:rPr>
                <w:rFonts w:hint="eastAsia" w:ascii="宋体" w:hAnsi="宋体" w:eastAsia="宋体" w:cs="宋体"/>
                <w:color w:val="auto"/>
                <w:kern w:val="0"/>
                <w:sz w:val="24"/>
                <w:szCs w:val="24"/>
                <w:highlight w:val="none"/>
                <w:u w:val="none"/>
              </w:rPr>
              <w:t>时</w:t>
            </w:r>
            <w:r>
              <w:rPr>
                <w:rFonts w:hint="eastAsia" w:hAnsi="宋体" w:eastAsia="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分</w:t>
            </w:r>
          </w:p>
        </w:tc>
      </w:tr>
      <w:tr w14:paraId="47FA83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33592CC7">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610" w:type="dxa"/>
            <w:tcBorders>
              <w:top w:val="single" w:color="080000" w:sz="4" w:space="0"/>
              <w:left w:val="single" w:color="080000" w:sz="4" w:space="0"/>
              <w:bottom w:val="single" w:color="080000" w:sz="4" w:space="0"/>
              <w:right w:val="single" w:color="080000" w:sz="4" w:space="0"/>
            </w:tcBorders>
            <w:vAlign w:val="center"/>
          </w:tcPr>
          <w:p w14:paraId="570AE1C7">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投标相关资料（如有）递交时间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4CFC1935">
            <w:pPr>
              <w:pStyle w:val="2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2026年10月27日10时</w:t>
            </w:r>
            <w:r>
              <w:rPr>
                <w:rFonts w:hint="eastAsia" w:hAnsi="宋体" w:eastAsia="宋体" w:cs="宋体"/>
                <w:color w:val="auto"/>
                <w:kern w:val="0"/>
                <w:sz w:val="24"/>
                <w:szCs w:val="24"/>
                <w:highlight w:val="none"/>
                <w:u w:val="none"/>
                <w:lang w:val="en-US" w:eastAsia="zh-CN"/>
              </w:rPr>
              <w:t>0</w:t>
            </w:r>
            <w:r>
              <w:rPr>
                <w:rFonts w:hint="eastAsia" w:ascii="宋体" w:hAnsi="宋体" w:eastAsia="宋体" w:cs="宋体"/>
                <w:color w:val="auto"/>
                <w:kern w:val="0"/>
                <w:sz w:val="24"/>
                <w:szCs w:val="24"/>
                <w:highlight w:val="none"/>
                <w:u w:val="none"/>
                <w:lang w:val="en-US" w:eastAsia="zh-CN"/>
              </w:rPr>
              <w:t>0分</w:t>
            </w:r>
            <w:r>
              <w:rPr>
                <w:rFonts w:hint="eastAsia" w:ascii="宋体" w:hAnsi="宋体" w:eastAsia="宋体" w:cs="宋体"/>
                <w:snapToGrid w:val="0"/>
                <w:color w:val="auto"/>
                <w:kern w:val="0"/>
                <w:sz w:val="24"/>
                <w:szCs w:val="24"/>
                <w:highlight w:val="none"/>
                <w:u w:val="none"/>
              </w:rPr>
              <w:t>至</w:t>
            </w:r>
            <w:r>
              <w:rPr>
                <w:rFonts w:hint="eastAsia" w:ascii="宋体" w:hAnsi="宋体" w:eastAsia="宋体" w:cs="宋体"/>
                <w:color w:val="auto"/>
                <w:kern w:val="0"/>
                <w:sz w:val="24"/>
                <w:szCs w:val="24"/>
                <w:highlight w:val="none"/>
                <w:u w:val="none"/>
                <w:lang w:val="en-US" w:eastAsia="zh-CN"/>
              </w:rPr>
              <w:t>2026年10月27日10时30分</w:t>
            </w:r>
          </w:p>
        </w:tc>
      </w:tr>
      <w:tr w14:paraId="0C15C6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09EA0D2">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610" w:type="dxa"/>
            <w:tcBorders>
              <w:top w:val="single" w:color="080000" w:sz="4" w:space="0"/>
              <w:left w:val="single" w:color="080000" w:sz="4" w:space="0"/>
              <w:bottom w:val="single" w:color="080000" w:sz="4" w:space="0"/>
              <w:right w:val="single" w:color="080000" w:sz="4" w:space="0"/>
            </w:tcBorders>
            <w:vAlign w:val="center"/>
          </w:tcPr>
          <w:p w14:paraId="4394613C">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投标相关资料（如有）递交地点</w:t>
            </w:r>
          </w:p>
        </w:tc>
        <w:tc>
          <w:tcPr>
            <w:tcW w:w="7585" w:type="dxa"/>
            <w:tcBorders>
              <w:top w:val="single" w:color="080000" w:sz="4" w:space="0"/>
              <w:left w:val="single" w:color="080000" w:sz="4" w:space="0"/>
              <w:bottom w:val="single" w:color="080000" w:sz="4" w:space="0"/>
              <w:right w:val="single" w:color="080000" w:sz="4" w:space="0"/>
            </w:tcBorders>
            <w:vAlign w:val="center"/>
          </w:tcPr>
          <w:p w14:paraId="04826682">
            <w:pPr>
              <w:keepNext w:val="0"/>
              <w:keepLines w:val="0"/>
              <w:suppressLineNumbers w:val="0"/>
              <w:adjustRightInd w:val="0"/>
              <w:snapToGrid w:val="0"/>
              <w:spacing w:before="0" w:beforeAutospacing="0" w:after="0" w:afterAutospacing="0" w:line="360" w:lineRule="auto"/>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none"/>
              </w:rPr>
              <w:t>韶关市公共资源交易中心南雄分中心</w:t>
            </w:r>
          </w:p>
          <w:p w14:paraId="44AB08E0">
            <w:pPr>
              <w:pStyle w:val="40"/>
              <w:keepNext w:val="0"/>
              <w:keepLines w:val="0"/>
              <w:suppressLineNumbers w:val="0"/>
              <w:wordWrap w:val="0"/>
              <w:adjustRightInd w:val="0"/>
              <w:snapToGrid w:val="0"/>
              <w:spacing w:before="0" w:beforeAutospacing="0" w:after="0" w:afterAutospacing="0" w:line="360" w:lineRule="auto"/>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rPr>
              <w:t>地址：南雄市雄东路1号（大润发）四楼韶关市公共资源交易中心南雄分中心（南雄市公共服务中心内）。</w:t>
            </w:r>
          </w:p>
        </w:tc>
      </w:tr>
      <w:tr w14:paraId="363B8F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7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AA6B680">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610" w:type="dxa"/>
            <w:tcBorders>
              <w:top w:val="single" w:color="080000" w:sz="4" w:space="0"/>
              <w:left w:val="single" w:color="080000" w:sz="4" w:space="0"/>
              <w:bottom w:val="single" w:color="080000" w:sz="4" w:space="0"/>
              <w:right w:val="single" w:color="080000" w:sz="4" w:space="0"/>
            </w:tcBorders>
            <w:vAlign w:val="center"/>
          </w:tcPr>
          <w:p w14:paraId="79A39F4B">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5FD3F454">
            <w:pPr>
              <w:pStyle w:val="2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u w:val="none"/>
                <w:lang w:val="en-US" w:eastAsia="zh-CN"/>
              </w:rPr>
              <w:t>2026年10月27日10时30分</w:t>
            </w:r>
          </w:p>
        </w:tc>
      </w:tr>
      <w:tr w14:paraId="064BE2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4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0B7AE93">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610" w:type="dxa"/>
            <w:tcBorders>
              <w:top w:val="single" w:color="080000" w:sz="4" w:space="0"/>
              <w:left w:val="single" w:color="080000" w:sz="4" w:space="0"/>
              <w:bottom w:val="single" w:color="080000" w:sz="4" w:space="0"/>
              <w:right w:val="single" w:color="080000" w:sz="4" w:space="0"/>
            </w:tcBorders>
            <w:vAlign w:val="center"/>
          </w:tcPr>
          <w:p w14:paraId="35BDE4CB">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vAlign w:val="center"/>
          </w:tcPr>
          <w:p w14:paraId="1EF0CA90">
            <w:pPr>
              <w:pStyle w:val="40"/>
              <w:keepNext w:val="0"/>
              <w:keepLines w:val="0"/>
              <w:suppressLineNumbers w:val="0"/>
              <w:wordWrap w:val="0"/>
              <w:adjustRightInd w:val="0"/>
              <w:snapToGrid w:val="0"/>
              <w:spacing w:before="0" w:beforeAutospacing="0" w:after="0" w:afterAutospacing="0" w:line="360" w:lineRule="auto"/>
              <w:ind w:left="0" w:right="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开标场所：</w:t>
            </w:r>
            <w:r>
              <w:rPr>
                <w:rFonts w:hint="eastAsia" w:ascii="宋体" w:hAnsi="宋体" w:eastAsia="宋体" w:cs="宋体"/>
                <w:snapToGrid w:val="0"/>
                <w:color w:val="auto"/>
                <w:kern w:val="0"/>
                <w:sz w:val="24"/>
                <w:szCs w:val="24"/>
                <w:highlight w:val="none"/>
                <w:u w:val="none"/>
              </w:rPr>
              <w:t>韶关市公共资源交易中心南雄分中心</w:t>
            </w:r>
          </w:p>
          <w:p w14:paraId="3A7F3873">
            <w:pPr>
              <w:pStyle w:val="40"/>
              <w:keepNext w:val="0"/>
              <w:keepLines w:val="0"/>
              <w:suppressLineNumbers w:val="0"/>
              <w:wordWrap w:val="0"/>
              <w:adjustRightInd w:val="0"/>
              <w:snapToGrid w:val="0"/>
              <w:spacing w:before="0" w:beforeAutospacing="0" w:after="0" w:afterAutospacing="0" w:line="360" w:lineRule="auto"/>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rPr>
              <w:t>地址：</w:t>
            </w:r>
            <w:r>
              <w:rPr>
                <w:rFonts w:hint="eastAsia" w:ascii="宋体" w:hAnsi="宋体" w:eastAsia="宋体" w:cs="宋体"/>
                <w:color w:val="auto"/>
                <w:kern w:val="0"/>
                <w:sz w:val="24"/>
                <w:szCs w:val="24"/>
                <w:highlight w:val="none"/>
                <w:u w:val="none"/>
              </w:rPr>
              <w:t>南雄市雄东路1号大润发四楼韶关市公共资源交易中心南雄分中心（南雄市公共服务中心内）</w:t>
            </w:r>
            <w:r>
              <w:rPr>
                <w:rFonts w:hint="eastAsia" w:ascii="宋体" w:hAnsi="宋体" w:eastAsia="宋体" w:cs="宋体"/>
                <w:color w:val="auto"/>
                <w:sz w:val="24"/>
                <w:szCs w:val="24"/>
                <w:highlight w:val="none"/>
                <w:u w:val="none"/>
              </w:rPr>
              <w:t>。</w:t>
            </w:r>
            <w:bookmarkStart w:id="701" w:name="_GoBack"/>
            <w:bookmarkEnd w:id="701"/>
          </w:p>
        </w:tc>
      </w:tr>
      <w:tr w14:paraId="7D6C13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96"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6B377B31">
            <w:pPr>
              <w:pStyle w:val="40"/>
              <w:keepNext w:val="0"/>
              <w:keepLines w:val="0"/>
              <w:widowControl/>
              <w:suppressLineNumbers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1610" w:type="dxa"/>
            <w:tcBorders>
              <w:top w:val="single" w:color="080000" w:sz="4" w:space="0"/>
              <w:left w:val="single" w:color="080000" w:sz="4" w:space="0"/>
              <w:bottom w:val="single" w:color="080000" w:sz="4" w:space="0"/>
              <w:right w:val="single" w:color="080000" w:sz="4" w:space="0"/>
            </w:tcBorders>
            <w:vAlign w:val="center"/>
          </w:tcPr>
          <w:p w14:paraId="0AB9D2D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585" w:type="dxa"/>
            <w:tcBorders>
              <w:top w:val="single" w:color="080000" w:sz="4" w:space="0"/>
              <w:left w:val="single" w:color="080000" w:sz="4" w:space="0"/>
              <w:bottom w:val="single" w:color="080000" w:sz="4" w:space="0"/>
              <w:right w:val="single" w:color="080000" w:sz="4" w:space="0"/>
            </w:tcBorders>
            <w:vAlign w:val="center"/>
          </w:tcPr>
          <w:p w14:paraId="12FEA15F">
            <w:pPr>
              <w:keepNext w:val="0"/>
              <w:keepLines w:val="0"/>
              <w:suppressLineNumbers w:val="0"/>
              <w:adjustRightInd w:val="0"/>
              <w:snapToGrid w:val="0"/>
              <w:spacing w:before="0" w:beforeAutospacing="0" w:after="0" w:afterAutospacing="0" w:line="360" w:lineRule="auto"/>
              <w:ind w:left="0" w:leftChars="0" w:right="0"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14:paraId="731F3546">
      <w:pPr>
        <w:pStyle w:val="38"/>
        <w:keepNext/>
        <w:keepLines/>
        <w:tabs>
          <w:tab w:val="left" w:pos="885"/>
        </w:tabs>
        <w:ind w:left="885" w:hanging="885"/>
        <w:jc w:val="center"/>
        <w:outlineLvl w:val="1"/>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color w:val="auto"/>
          <w:sz w:val="24"/>
          <w:highlight w:val="none"/>
        </w:rPr>
        <w:br w:type="page"/>
      </w:r>
      <w:bookmarkStart w:id="11" w:name="_Hlt69669159"/>
      <w:bookmarkEnd w:id="11"/>
      <w:bookmarkStart w:id="12" w:name="_Toc6318"/>
      <w:bookmarkStart w:id="13" w:name="_Hlt69698754"/>
      <w:bookmarkStart w:id="14" w:name="_Hlt69698705"/>
      <w:r>
        <w:rPr>
          <w:rFonts w:hint="eastAsia" w:asciiTheme="minorEastAsia" w:hAnsiTheme="minorEastAsia" w:eastAsiaTheme="minorEastAsia" w:cstheme="minorEastAsia"/>
          <w:b/>
          <w:color w:val="auto"/>
          <w:sz w:val="36"/>
          <w:szCs w:val="36"/>
          <w:highlight w:val="none"/>
        </w:rPr>
        <w:t>第</w:t>
      </w:r>
      <w:r>
        <w:rPr>
          <w:rFonts w:hint="eastAsia" w:asciiTheme="minorEastAsia" w:hAnsiTheme="minorEastAsia" w:eastAsiaTheme="minorEastAsia" w:cstheme="minorEastAsia"/>
          <w:b/>
          <w:color w:val="auto"/>
          <w:kern w:val="44"/>
          <w:sz w:val="36"/>
          <w:szCs w:val="36"/>
          <w:highlight w:val="none"/>
        </w:rPr>
        <w:t>三节</w:t>
      </w:r>
      <w:bookmarkStart w:id="15" w:name="_Hlt87793819"/>
      <w:bookmarkEnd w:id="15"/>
      <w:r>
        <w:rPr>
          <w:rFonts w:hint="eastAsia" w:asciiTheme="minorEastAsia" w:hAnsiTheme="minorEastAsia" w:eastAsiaTheme="minorEastAsia" w:cstheme="minorEastAsia"/>
          <w:b/>
          <w:color w:val="auto"/>
          <w:kern w:val="44"/>
          <w:sz w:val="36"/>
          <w:szCs w:val="36"/>
          <w:highlight w:val="none"/>
        </w:rPr>
        <w:t xml:space="preserve"> 投标须知正文</w:t>
      </w:r>
      <w:bookmarkEnd w:id="12"/>
    </w:p>
    <w:bookmarkEnd w:id="13"/>
    <w:bookmarkEnd w:id="14"/>
    <w:p w14:paraId="59B40FF1">
      <w:pPr>
        <w:pStyle w:val="7"/>
        <w:spacing w:line="400" w:lineRule="exact"/>
        <w:rPr>
          <w:rFonts w:asciiTheme="minorEastAsia" w:hAnsiTheme="minorEastAsia" w:eastAsiaTheme="minorEastAsia" w:cstheme="minorEastAsia"/>
          <w:color w:val="auto"/>
          <w:sz w:val="24"/>
          <w:szCs w:val="28"/>
          <w:highlight w:val="none"/>
          <w:u w:val="single"/>
        </w:rPr>
      </w:pPr>
    </w:p>
    <w:p w14:paraId="4429FD9F">
      <w:pPr>
        <w:pageBreakBefore w:val="0"/>
        <w:kinsoku/>
        <w:wordWrap w:val="0"/>
        <w:overflowPunct/>
        <w:topLinePunct w:val="0"/>
        <w:bidi w:val="0"/>
        <w:adjustRightInd w:val="0"/>
        <w:snapToGrid w:val="0"/>
        <w:spacing w:line="47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single"/>
          <w:lang w:val="en-US" w:eastAsia="zh-CN"/>
        </w:rPr>
        <w:t>南雄市“银杏染秋”乡村振兴示范带建设项目-澜河镇典型村建设项目设计施工总承包</w:t>
      </w:r>
      <w:r>
        <w:rPr>
          <w:rFonts w:hint="eastAsia" w:ascii="宋体" w:hAnsi="宋体" w:eastAsia="宋体" w:cs="宋体"/>
          <w:snapToGrid w:val="0"/>
          <w:color w:val="auto"/>
          <w:kern w:val="0"/>
          <w:sz w:val="24"/>
          <w:szCs w:val="24"/>
          <w:highlight w:val="none"/>
        </w:rPr>
        <w:t>经</w:t>
      </w:r>
      <w:r>
        <w:rPr>
          <w:rFonts w:hint="eastAsia" w:ascii="宋体" w:hAnsi="宋体" w:eastAsia="宋体" w:cs="宋体"/>
          <w:snapToGrid w:val="0"/>
          <w:color w:val="auto"/>
          <w:kern w:val="0"/>
          <w:sz w:val="24"/>
          <w:szCs w:val="24"/>
          <w:highlight w:val="none"/>
          <w:u w:val="single"/>
        </w:rPr>
        <w:t>南雄市发展和改革局以《</w:t>
      </w:r>
      <w:r>
        <w:rPr>
          <w:rFonts w:hint="eastAsia" w:ascii="宋体" w:hAnsi="宋体" w:eastAsia="宋体" w:cs="宋体"/>
          <w:snapToGrid w:val="0"/>
          <w:color w:val="auto"/>
          <w:kern w:val="0"/>
          <w:sz w:val="24"/>
          <w:szCs w:val="24"/>
          <w:highlight w:val="none"/>
          <w:u w:val="single"/>
          <w:lang w:val="en-US" w:eastAsia="zh-CN"/>
        </w:rPr>
        <w:t>《关于南雄市“银杏染秋”乡村振兴示范带建设项目可行性研究报告的批复》</w:t>
      </w:r>
      <w:r>
        <w:rPr>
          <w:rFonts w:hint="eastAsia" w:hAnsi="宋体" w:eastAsia="宋体" w:cs="宋体"/>
          <w:snapToGrid w:val="0"/>
          <w:color w:val="auto"/>
          <w:kern w:val="0"/>
          <w:sz w:val="24"/>
          <w:szCs w:val="24"/>
          <w:highlight w:val="none"/>
          <w:u w:val="single"/>
          <w:lang w:val="en-US" w:eastAsia="zh-CN"/>
        </w:rPr>
        <w:t>（雄发改投审〔2024〕106号）</w:t>
      </w:r>
      <w:r>
        <w:rPr>
          <w:rFonts w:hint="eastAsia" w:ascii="宋体" w:hAnsi="宋体" w:eastAsia="宋体" w:cs="宋体"/>
          <w:snapToGrid w:val="0"/>
          <w:color w:val="auto"/>
          <w:kern w:val="0"/>
          <w:sz w:val="24"/>
          <w:szCs w:val="24"/>
          <w:highlight w:val="none"/>
          <w:u w:val="single"/>
          <w:lang w:val="en-US" w:eastAsia="zh-CN"/>
        </w:rPr>
        <w:t>、《关于同意调整南雄市“银杏染秋”乡村振兴示范带建设项目可行性研究报告的批复》</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u w:val="single"/>
          <w:lang w:val="en-US" w:eastAsia="zh-CN"/>
        </w:rPr>
        <w:t>雄发改投审〔2026〕95号</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rPr>
        <w:t>批准建设，项目代码为</w:t>
      </w:r>
      <w:r>
        <w:rPr>
          <w:rFonts w:hint="eastAsia" w:ascii="宋体" w:hAnsi="宋体" w:eastAsia="宋体" w:cs="宋体"/>
          <w:color w:val="auto"/>
          <w:sz w:val="24"/>
          <w:szCs w:val="24"/>
          <w:highlight w:val="none"/>
          <w:u w:val="single"/>
          <w:lang w:eastAsia="zh-CN"/>
        </w:rPr>
        <w:t>2407-440282-20-01-288869</w:t>
      </w:r>
      <w:r>
        <w:rPr>
          <w:rFonts w:hint="eastAsia" w:ascii="宋体" w:hAnsi="宋体" w:eastAsia="宋体" w:cs="宋体"/>
          <w:snapToGrid w:val="0"/>
          <w:color w:val="auto"/>
          <w:kern w:val="0"/>
          <w:sz w:val="24"/>
          <w:szCs w:val="24"/>
          <w:highlight w:val="none"/>
        </w:rPr>
        <w:t>。</w:t>
      </w:r>
      <w:r>
        <w:rPr>
          <w:rFonts w:hint="eastAsia" w:ascii="宋体" w:hAnsi="宋体" w:eastAsia="宋体" w:cs="宋体"/>
          <w:color w:val="auto"/>
          <w:sz w:val="24"/>
          <w:szCs w:val="24"/>
          <w:highlight w:val="none"/>
        </w:rPr>
        <w:t>项目</w:t>
      </w:r>
      <w:r>
        <w:rPr>
          <w:rFonts w:hint="eastAsia" w:ascii="宋体" w:hAnsi="宋体" w:eastAsia="宋体" w:cs="宋体"/>
          <w:snapToGrid w:val="0"/>
          <w:color w:val="auto"/>
          <w:kern w:val="0"/>
          <w:sz w:val="24"/>
          <w:szCs w:val="24"/>
          <w:highlight w:val="none"/>
        </w:rPr>
        <w:t>业主为</w:t>
      </w:r>
      <w:r>
        <w:rPr>
          <w:rFonts w:hint="eastAsia" w:hAnsi="宋体" w:eastAsia="宋体" w:cs="宋体"/>
          <w:snapToGrid w:val="0"/>
          <w:color w:val="auto"/>
          <w:kern w:val="0"/>
          <w:sz w:val="24"/>
          <w:szCs w:val="24"/>
          <w:highlight w:val="none"/>
          <w:u w:val="single"/>
          <w:lang w:eastAsia="zh-CN"/>
        </w:rPr>
        <w:t>南雄市澜河镇人民政府</w:t>
      </w:r>
      <w:r>
        <w:rPr>
          <w:rFonts w:hint="eastAsia" w:ascii="宋体" w:hAnsi="宋体" w:eastAsia="宋体" w:cs="宋体"/>
          <w:snapToGrid w:val="0"/>
          <w:color w:val="auto"/>
          <w:kern w:val="0"/>
          <w:sz w:val="24"/>
          <w:szCs w:val="24"/>
          <w:highlight w:val="none"/>
        </w:rPr>
        <w:t>，建设资金来自</w:t>
      </w:r>
      <w:r>
        <w:rPr>
          <w:rFonts w:hint="eastAsia" w:ascii="宋体" w:hAnsi="宋体" w:eastAsia="宋体" w:cs="宋体"/>
          <w:snapToGrid w:val="0"/>
          <w:color w:val="auto"/>
          <w:kern w:val="0"/>
          <w:sz w:val="24"/>
          <w:szCs w:val="24"/>
          <w:highlight w:val="none"/>
          <w:u w:val="single"/>
          <w:lang w:eastAsia="zh-CN"/>
        </w:rPr>
        <w:t>市财政统筹</w:t>
      </w:r>
      <w:r>
        <w:rPr>
          <w:rFonts w:hint="eastAsia" w:ascii="宋体" w:hAnsi="宋体" w:eastAsia="宋体" w:cs="宋体"/>
          <w:snapToGrid w:val="0"/>
          <w:color w:val="auto"/>
          <w:kern w:val="0"/>
          <w:sz w:val="24"/>
          <w:szCs w:val="24"/>
          <w:highlight w:val="none"/>
        </w:rPr>
        <w:t>，出资比例</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，招标人为</w:t>
      </w:r>
      <w:r>
        <w:rPr>
          <w:rFonts w:hint="eastAsia" w:hAnsi="宋体" w:eastAsia="宋体" w:cs="宋体"/>
          <w:snapToGrid w:val="0"/>
          <w:color w:val="auto"/>
          <w:kern w:val="0"/>
          <w:sz w:val="24"/>
          <w:szCs w:val="24"/>
          <w:highlight w:val="none"/>
          <w:u w:val="single"/>
          <w:lang w:eastAsia="zh-CN"/>
        </w:rPr>
        <w:t>南雄市澜河镇人民政府</w:t>
      </w:r>
      <w:r>
        <w:rPr>
          <w:rFonts w:hint="eastAsia" w:ascii="宋体" w:hAnsi="宋体" w:eastAsia="宋体" w:cs="宋体"/>
          <w:snapToGrid w:val="0"/>
          <w:color w:val="auto"/>
          <w:kern w:val="0"/>
          <w:sz w:val="24"/>
          <w:szCs w:val="24"/>
          <w:highlight w:val="none"/>
        </w:rPr>
        <w:t>，招标代理机构为</w:t>
      </w:r>
      <w:r>
        <w:rPr>
          <w:rFonts w:hint="eastAsia" w:hAnsi="宋体" w:eastAsia="宋体" w:cs="宋体"/>
          <w:color w:val="auto"/>
          <w:kern w:val="0"/>
          <w:sz w:val="24"/>
          <w:szCs w:val="24"/>
          <w:highlight w:val="none"/>
          <w:u w:val="single"/>
          <w:lang w:eastAsia="zh-CN"/>
        </w:rPr>
        <w:t>广东省南沣建设管理有限公司</w:t>
      </w:r>
      <w:r>
        <w:rPr>
          <w:rFonts w:hint="eastAsia" w:ascii="宋体" w:hAnsi="宋体" w:eastAsia="宋体" w:cs="宋体"/>
          <w:snapToGrid w:val="0"/>
          <w:color w:val="auto"/>
          <w:kern w:val="0"/>
          <w:sz w:val="24"/>
          <w:szCs w:val="24"/>
          <w:highlight w:val="none"/>
        </w:rPr>
        <w:t>。项目已具备招标条件，现对该项目</w:t>
      </w:r>
      <w:r>
        <w:rPr>
          <w:rFonts w:hint="eastAsia" w:ascii="宋体" w:hAnsi="宋体" w:eastAsia="宋体" w:cs="宋体"/>
          <w:snapToGrid w:val="0"/>
          <w:color w:val="auto"/>
          <w:kern w:val="0"/>
          <w:sz w:val="24"/>
          <w:szCs w:val="24"/>
          <w:highlight w:val="none"/>
          <w:lang w:val="en-US" w:eastAsia="zh-CN"/>
        </w:rPr>
        <w:t>以</w:t>
      </w:r>
      <w:r>
        <w:rPr>
          <w:rFonts w:hint="eastAsia" w:hAnsi="宋体" w:eastAsia="宋体" w:cs="宋体"/>
          <w:snapToGrid w:val="0"/>
          <w:color w:val="auto"/>
          <w:kern w:val="0"/>
          <w:sz w:val="24"/>
          <w:szCs w:val="24"/>
          <w:highlight w:val="none"/>
          <w:u w:val="single"/>
          <w:lang w:val="en-US" w:eastAsia="zh-CN"/>
        </w:rPr>
        <w:t>设计施工总承包</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u w:val="none"/>
          <w:lang w:val="en-US" w:eastAsia="zh-CN"/>
        </w:rPr>
        <w:t>方式</w:t>
      </w:r>
      <w:r>
        <w:rPr>
          <w:rFonts w:hint="eastAsia" w:ascii="宋体" w:hAnsi="宋体" w:eastAsia="宋体" w:cs="宋体"/>
          <w:snapToGrid w:val="0"/>
          <w:color w:val="auto"/>
          <w:kern w:val="0"/>
          <w:sz w:val="24"/>
          <w:szCs w:val="24"/>
          <w:highlight w:val="none"/>
        </w:rPr>
        <w:t>进行公开招标。</w:t>
      </w:r>
    </w:p>
    <w:p w14:paraId="4809BAEE">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bCs/>
          <w:snapToGrid w:val="0"/>
          <w:color w:val="auto"/>
          <w:sz w:val="24"/>
          <w:szCs w:val="24"/>
          <w:highlight w:val="none"/>
        </w:rPr>
      </w:pPr>
      <w:bookmarkStart w:id="16" w:name="_Hlt87948285"/>
      <w:bookmarkEnd w:id="16"/>
      <w:bookmarkStart w:id="17" w:name="_Hlt109358474"/>
      <w:bookmarkEnd w:id="17"/>
      <w:bookmarkStart w:id="18" w:name="_Hlt74474735"/>
      <w:bookmarkEnd w:id="18"/>
      <w:bookmarkStart w:id="19" w:name="_Hlt119991399"/>
      <w:bookmarkEnd w:id="19"/>
      <w:bookmarkStart w:id="20" w:name="_Hlt78795222"/>
      <w:bookmarkEnd w:id="20"/>
      <w:bookmarkStart w:id="21" w:name="_Toc18453"/>
      <w:bookmarkStart w:id="22" w:name="_Toc30732"/>
      <w:bookmarkStart w:id="23" w:name="_Toc13376"/>
      <w:bookmarkStart w:id="24" w:name="_Toc24563"/>
      <w:bookmarkStart w:id="25" w:name="_Toc25252"/>
      <w:bookmarkStart w:id="26" w:name="_Toc31976"/>
      <w:bookmarkStart w:id="27" w:name="_Toc23054"/>
      <w:bookmarkStart w:id="28" w:name="_Toc4081"/>
      <w:bookmarkStart w:id="29" w:name="_Toc574"/>
      <w:r>
        <w:rPr>
          <w:rFonts w:hint="eastAsia" w:ascii="宋体" w:hAnsi="宋体" w:eastAsia="宋体" w:cs="宋体"/>
          <w:b/>
          <w:color w:val="auto"/>
          <w:kern w:val="2"/>
          <w:sz w:val="24"/>
          <w:szCs w:val="24"/>
          <w:highlight w:val="none"/>
        </w:rPr>
        <w:t>1、 工程概况综合说明</w:t>
      </w:r>
      <w:bookmarkEnd w:id="21"/>
      <w:bookmarkEnd w:id="22"/>
      <w:bookmarkEnd w:id="23"/>
      <w:bookmarkEnd w:id="24"/>
      <w:bookmarkEnd w:id="25"/>
      <w:bookmarkEnd w:id="26"/>
      <w:bookmarkEnd w:id="27"/>
      <w:bookmarkEnd w:id="28"/>
      <w:bookmarkEnd w:id="29"/>
    </w:p>
    <w:p w14:paraId="1B075BC8">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color w:val="auto"/>
          <w:sz w:val="24"/>
          <w:szCs w:val="24"/>
          <w:highlight w:val="none"/>
        </w:rPr>
        <w:t xml:space="preserve"> 工程概况</w:t>
      </w:r>
    </w:p>
    <w:p w14:paraId="359B27F5">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b/>
          <w:bCs/>
          <w:color w:val="auto"/>
          <w:sz w:val="24"/>
          <w:szCs w:val="24"/>
          <w:highlight w:val="none"/>
        </w:rPr>
        <w:t>1.1.1</w:t>
      </w:r>
      <w:r>
        <w:rPr>
          <w:rFonts w:hint="eastAsia" w:ascii="宋体" w:hAnsi="宋体" w:eastAsia="宋体" w:cs="宋体"/>
          <w:color w:val="auto"/>
          <w:sz w:val="24"/>
          <w:szCs w:val="24"/>
          <w:highlight w:val="none"/>
        </w:rPr>
        <w:t xml:space="preserve"> 建设地点：</w:t>
      </w:r>
      <w:r>
        <w:rPr>
          <w:rFonts w:hint="eastAsia" w:ascii="宋体" w:hAnsi="宋体" w:eastAsia="宋体" w:cs="宋体"/>
          <w:snapToGrid w:val="0"/>
          <w:color w:val="auto"/>
          <w:kern w:val="0"/>
          <w:sz w:val="24"/>
          <w:szCs w:val="24"/>
          <w:highlight w:val="none"/>
          <w:u w:val="none"/>
          <w:lang w:val="en-US" w:eastAsia="zh-CN"/>
        </w:rPr>
        <w:t>南雄市澜河镇</w:t>
      </w:r>
      <w:r>
        <w:rPr>
          <w:rFonts w:hint="eastAsia" w:ascii="宋体" w:hAnsi="宋体" w:eastAsia="宋体" w:cs="宋体"/>
          <w:snapToGrid w:val="0"/>
          <w:color w:val="auto"/>
          <w:kern w:val="0"/>
          <w:sz w:val="24"/>
          <w:szCs w:val="24"/>
          <w:highlight w:val="none"/>
          <w:u w:val="none"/>
          <w:lang w:eastAsia="zh-CN"/>
        </w:rPr>
        <w:t>。</w:t>
      </w:r>
    </w:p>
    <w:p w14:paraId="64625900">
      <w:pPr>
        <w:pageBreakBefore w:val="0"/>
        <w:widowControl/>
        <w:kinsoku/>
        <w:overflowPunct/>
        <w:topLinePunct w:val="0"/>
        <w:bidi w:val="0"/>
        <w:spacing w:line="470" w:lineRule="exact"/>
        <w:ind w:left="11" w:leftChars="0" w:firstLine="501" w:firstLineChars="208"/>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1.1.2</w:t>
      </w:r>
      <w:r>
        <w:rPr>
          <w:rFonts w:hint="eastAsia" w:ascii="宋体" w:hAnsi="宋体" w:eastAsia="宋体" w:cs="宋体"/>
          <w:color w:val="auto"/>
          <w:sz w:val="24"/>
          <w:szCs w:val="24"/>
          <w:highlight w:val="none"/>
          <w:u w:val="none"/>
        </w:rPr>
        <w:t xml:space="preserve"> 建设内容和规模：</w:t>
      </w:r>
      <w:r>
        <w:rPr>
          <w:rFonts w:hint="eastAsia" w:ascii="宋体" w:hAnsi="宋体" w:eastAsia="宋体" w:cs="宋体"/>
          <w:color w:val="auto"/>
          <w:sz w:val="24"/>
          <w:szCs w:val="24"/>
          <w:highlight w:val="none"/>
          <w:lang w:val="en-US" w:eastAsia="zh-CN"/>
        </w:rPr>
        <w:t>新铺路面约3148平方米，平整场地约2023平方米，建设护栏约281米，挡土墙、景墙约268米，新砌水沟约120米，排水沟加盖盖板约488米，新砌路缘石约338米，铺设透水砖约179平方米，风貌提升改造约1581平方米，建设花池、宣传栏及绿化提升等。</w:t>
      </w:r>
    </w:p>
    <w:p w14:paraId="707EEA86">
      <w:pPr>
        <w:pageBreakBefore w:val="0"/>
        <w:widowControl/>
        <w:kinsoku/>
        <w:overflowPunct/>
        <w:topLinePunct w:val="0"/>
        <w:bidi w:val="0"/>
        <w:spacing w:line="470" w:lineRule="exact"/>
        <w:ind w:left="511" w:leftChars="213"/>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1.1.3</w:t>
      </w:r>
      <w:r>
        <w:rPr>
          <w:rFonts w:hint="eastAsia" w:ascii="宋体" w:hAnsi="宋体" w:eastAsia="宋体" w:cs="宋体"/>
          <w:color w:val="auto"/>
          <w:sz w:val="24"/>
          <w:szCs w:val="24"/>
          <w:highlight w:val="none"/>
          <w:u w:val="none"/>
        </w:rPr>
        <w:t xml:space="preserve"> 项目总投资：</w:t>
      </w:r>
      <w:bookmarkStart w:id="30" w:name="_Toc20999"/>
      <w:r>
        <w:rPr>
          <w:rFonts w:hint="eastAsia" w:ascii="宋体" w:hAnsi="宋体" w:eastAsia="宋体" w:cs="宋体"/>
          <w:color w:val="auto"/>
          <w:sz w:val="24"/>
          <w:szCs w:val="24"/>
          <w:highlight w:val="none"/>
          <w:u w:val="none"/>
          <w:lang w:val="en-US" w:eastAsia="zh-CN"/>
        </w:rPr>
        <w:t>项目概算投资261.42万元。其中建安工程费用为224.79万元</w:t>
      </w:r>
      <w:r>
        <w:rPr>
          <w:rFonts w:hint="eastAsia" w:ascii="宋体" w:hAnsi="宋体" w:eastAsia="宋体" w:cs="宋体"/>
          <w:color w:val="auto"/>
          <w:sz w:val="24"/>
          <w:szCs w:val="24"/>
          <w:highlight w:val="none"/>
          <w:u w:val="none"/>
          <w:lang w:eastAsia="zh-CN"/>
        </w:rPr>
        <w:t>。</w:t>
      </w:r>
    </w:p>
    <w:p w14:paraId="6E0018B3">
      <w:pPr>
        <w:pageBreakBefore w:val="0"/>
        <w:widowControl/>
        <w:kinsoku/>
        <w:overflowPunct/>
        <w:topLinePunct w:val="0"/>
        <w:bidi w:val="0"/>
        <w:spacing w:line="470" w:lineRule="exact"/>
        <w:ind w:left="511" w:leftChars="213"/>
        <w:textAlignment w:val="auto"/>
        <w:rPr>
          <w:rFonts w:hint="eastAsia" w:ascii="宋体" w:hAnsi="宋体" w:eastAsia="宋体" w:cs="宋体"/>
          <w:snapToGrid w:val="0"/>
          <w:color w:val="auto"/>
          <w:kern w:val="0"/>
          <w:sz w:val="24"/>
          <w:szCs w:val="24"/>
          <w:highlight w:val="none"/>
          <w:u w:val="none"/>
        </w:rPr>
      </w:pPr>
      <w:r>
        <w:rPr>
          <w:rFonts w:hint="eastAsia" w:ascii="宋体" w:hAnsi="宋体" w:eastAsia="宋体" w:cs="宋体"/>
          <w:b/>
          <w:bCs/>
          <w:snapToGrid w:val="0"/>
          <w:color w:val="auto"/>
          <w:kern w:val="0"/>
          <w:sz w:val="24"/>
          <w:szCs w:val="24"/>
          <w:highlight w:val="none"/>
          <w:u w:val="none"/>
        </w:rPr>
        <w:t>1.2</w:t>
      </w:r>
      <w:r>
        <w:rPr>
          <w:rFonts w:hint="eastAsia" w:ascii="宋体" w:hAnsi="宋体" w:eastAsia="宋体" w:cs="宋体"/>
          <w:snapToGrid w:val="0"/>
          <w:color w:val="auto"/>
          <w:kern w:val="0"/>
          <w:sz w:val="24"/>
          <w:szCs w:val="24"/>
          <w:highlight w:val="none"/>
          <w:u w:val="none"/>
        </w:rPr>
        <w:t xml:space="preserve"> 标段划分：</w:t>
      </w:r>
      <w:bookmarkEnd w:id="30"/>
      <w:r>
        <w:rPr>
          <w:rFonts w:hint="eastAsia" w:ascii="宋体" w:hAnsi="宋体" w:eastAsia="宋体" w:cs="宋体"/>
          <w:snapToGrid w:val="0"/>
          <w:color w:val="auto"/>
          <w:kern w:val="0"/>
          <w:sz w:val="24"/>
          <w:szCs w:val="24"/>
          <w:highlight w:val="none"/>
          <w:u w:val="none"/>
        </w:rPr>
        <w:t>本招标项目不划分标段。</w:t>
      </w:r>
    </w:p>
    <w:p w14:paraId="518B0B71">
      <w:pPr>
        <w:pStyle w:val="37"/>
        <w:pageBreakBefore w:val="0"/>
        <w:tabs>
          <w:tab w:val="left" w:pos="7020"/>
        </w:tabs>
        <w:kinsoku/>
        <w:overflowPunct/>
        <w:topLinePunct w:val="0"/>
        <w:bidi w:val="0"/>
        <w:spacing w:line="470" w:lineRule="exact"/>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1.3</w:t>
      </w:r>
      <w:r>
        <w:rPr>
          <w:rFonts w:hint="eastAsia" w:ascii="宋体" w:hAnsi="宋体" w:eastAsia="宋体" w:cs="宋体"/>
          <w:color w:val="auto"/>
          <w:sz w:val="24"/>
          <w:szCs w:val="24"/>
          <w:highlight w:val="none"/>
          <w:u w:val="none"/>
        </w:rPr>
        <w:t xml:space="preserve"> 监理单位：待定。</w:t>
      </w:r>
    </w:p>
    <w:p w14:paraId="1F7B7324">
      <w:pPr>
        <w:pStyle w:val="37"/>
        <w:pageBreakBefore w:val="0"/>
        <w:kinsoku/>
        <w:overflowPunct/>
        <w:topLinePunct w:val="0"/>
        <w:bidi w:val="0"/>
        <w:spacing w:line="470" w:lineRule="exact"/>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1.4</w:t>
      </w:r>
      <w:r>
        <w:rPr>
          <w:rFonts w:hint="eastAsia" w:ascii="宋体" w:hAnsi="宋体" w:eastAsia="宋体" w:cs="宋体"/>
          <w:color w:val="auto"/>
          <w:sz w:val="24"/>
          <w:szCs w:val="24"/>
          <w:highlight w:val="none"/>
          <w:u w:val="none"/>
        </w:rPr>
        <w:t xml:space="preserve"> 投标费用：投标人应承担所有准备和参加投标的相关费用，不论投标结果如何，招标人均无义务和责任承担这些费用。</w:t>
      </w:r>
      <w:bookmarkStart w:id="31" w:name="_Toc106184808"/>
    </w:p>
    <w:p w14:paraId="1AD6025E">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color w:val="auto"/>
          <w:kern w:val="2"/>
          <w:sz w:val="24"/>
          <w:szCs w:val="24"/>
          <w:highlight w:val="none"/>
        </w:rPr>
      </w:pPr>
      <w:bookmarkStart w:id="32" w:name="_Toc12190"/>
      <w:bookmarkStart w:id="33" w:name="_Toc17359"/>
      <w:bookmarkStart w:id="34" w:name="_Toc22550"/>
      <w:bookmarkStart w:id="35" w:name="_Toc14958"/>
      <w:bookmarkStart w:id="36" w:name="_Toc121"/>
      <w:bookmarkStart w:id="37" w:name="_Toc32400"/>
      <w:bookmarkStart w:id="38" w:name="_Toc21415"/>
      <w:bookmarkStart w:id="39" w:name="_Toc18851"/>
      <w:bookmarkStart w:id="40" w:name="_Toc7700"/>
      <w:r>
        <w:rPr>
          <w:rFonts w:hint="eastAsia" w:ascii="宋体" w:hAnsi="宋体" w:eastAsia="宋体" w:cs="宋体"/>
          <w:b/>
          <w:color w:val="auto"/>
          <w:kern w:val="2"/>
          <w:sz w:val="24"/>
          <w:szCs w:val="24"/>
          <w:highlight w:val="none"/>
        </w:rPr>
        <w:t>2 、招标范围</w:t>
      </w:r>
      <w:bookmarkEnd w:id="31"/>
      <w:bookmarkEnd w:id="32"/>
      <w:bookmarkEnd w:id="33"/>
      <w:bookmarkEnd w:id="34"/>
      <w:bookmarkEnd w:id="35"/>
      <w:bookmarkEnd w:id="36"/>
      <w:bookmarkEnd w:id="37"/>
      <w:bookmarkEnd w:id="38"/>
      <w:bookmarkEnd w:id="39"/>
      <w:bookmarkEnd w:id="40"/>
    </w:p>
    <w:p w14:paraId="10EC469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2" w:firstLineChars="200"/>
        <w:textAlignment w:val="auto"/>
        <w:rPr>
          <w:rFonts w:hint="eastAsia" w:ascii="宋体" w:hAnsi="宋体" w:eastAsia="宋体" w:cs="宋体"/>
          <w:color w:val="auto"/>
          <w:sz w:val="24"/>
          <w:szCs w:val="24"/>
          <w:highlight w:val="none"/>
        </w:rPr>
      </w:pPr>
      <w:bookmarkStart w:id="41" w:name="_Hlt91408212"/>
      <w:bookmarkEnd w:id="41"/>
      <w:r>
        <w:rPr>
          <w:rFonts w:hint="eastAsia" w:ascii="宋体" w:hAnsi="宋体" w:eastAsia="宋体" w:cs="宋体"/>
          <w:b/>
          <w:bCs/>
          <w:color w:val="auto"/>
          <w:sz w:val="24"/>
          <w:szCs w:val="24"/>
          <w:highlight w:val="none"/>
        </w:rPr>
        <w:t>2.1</w:t>
      </w:r>
      <w:r>
        <w:rPr>
          <w:rFonts w:hint="eastAsia" w:ascii="宋体" w:hAnsi="宋体" w:eastAsia="宋体" w:cs="宋体"/>
          <w:color w:val="auto"/>
          <w:sz w:val="24"/>
          <w:szCs w:val="24"/>
          <w:highlight w:val="none"/>
        </w:rPr>
        <w:t>招标范围：</w:t>
      </w:r>
      <w:bookmarkStart w:id="42" w:name="_Toc1366"/>
      <w:bookmarkStart w:id="43" w:name="_Toc32739"/>
      <w:bookmarkStart w:id="44" w:name="_Toc26845"/>
      <w:bookmarkStart w:id="45" w:name="_Toc27886"/>
      <w:bookmarkStart w:id="46" w:name="_Toc708"/>
      <w:bookmarkStart w:id="47" w:name="_Toc2217"/>
      <w:bookmarkStart w:id="48" w:name="_Toc21803"/>
      <w:bookmarkStart w:id="49" w:name="_Toc2350"/>
      <w:r>
        <w:rPr>
          <w:rFonts w:hint="eastAsia" w:ascii="宋体" w:hAnsi="宋体" w:eastAsia="宋体" w:cs="宋体"/>
          <w:color w:val="auto"/>
          <w:sz w:val="24"/>
          <w:szCs w:val="24"/>
          <w:highlight w:val="none"/>
        </w:rPr>
        <w:t>本工程所涉及的内容包括但不限于以下（1）～（2）：</w:t>
      </w:r>
    </w:p>
    <w:p w14:paraId="112B288F">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1</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设计部分：</w:t>
      </w:r>
    </w:p>
    <w:p w14:paraId="2116D508">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确保项目顺利实施的报建、报批、施工等所需的所有建安工程等设计文件。包括但不限于：施工图设计、提供项目所需相关检测项的明细表和危险性较大的分部分项工程清单及保障安全相关说明、工地现场服务、验收过程中的设计指导及配合阶段验收及档案整理、协助施工单位编制竣工图及后续设计服务工作。</w:t>
      </w:r>
    </w:p>
    <w:p w14:paraId="59568DC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注：设计文件深度要求必须满足住房和城乡建设部《建筑工程设计文件编制深度规定（2023版）》的要求，各专业还应该满足各专业工程设计文件编制深度规范或规定的要求。</w:t>
      </w:r>
    </w:p>
    <w:p w14:paraId="42603D4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施工图预算（含工程量清单）</w:t>
      </w:r>
    </w:p>
    <w:p w14:paraId="0610E5FD">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2）施工部分：设计文件及工程量清单范围内的所有工程及配套工程、设施等的施工（含竣工验收资料编制整理、备案等），完成并配合发包人结算、负责工程缺陷保修以及发包人要求由施工单位完成的其他工作（发包人另行委托其他单位负责实施的工作内容除外，但需提供一系列协调及配合服务）等。</w:t>
      </w:r>
    </w:p>
    <w:p w14:paraId="5404C03E">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50" w:name="_Toc22605"/>
      <w:r>
        <w:rPr>
          <w:rFonts w:hint="eastAsia" w:ascii="宋体" w:hAnsi="宋体" w:eastAsia="宋体" w:cs="宋体"/>
          <w:b/>
          <w:color w:val="auto"/>
          <w:kern w:val="2"/>
          <w:sz w:val="24"/>
          <w:szCs w:val="24"/>
          <w:highlight w:val="none"/>
        </w:rPr>
        <w:t>3</w:t>
      </w:r>
      <w:bookmarkStart w:id="51" w:name="_Hlt66187826"/>
      <w:bookmarkEnd w:id="51"/>
      <w:r>
        <w:rPr>
          <w:rFonts w:hint="eastAsia" w:ascii="宋体" w:hAnsi="宋体" w:eastAsia="宋体" w:cs="宋体"/>
          <w:b/>
          <w:color w:val="auto"/>
          <w:kern w:val="2"/>
          <w:sz w:val="24"/>
          <w:szCs w:val="24"/>
          <w:highlight w:val="none"/>
        </w:rPr>
        <w:t>、工期</w:t>
      </w:r>
      <w:bookmarkEnd w:id="42"/>
      <w:bookmarkEnd w:id="43"/>
      <w:bookmarkEnd w:id="44"/>
      <w:bookmarkEnd w:id="45"/>
      <w:bookmarkEnd w:id="46"/>
      <w:bookmarkEnd w:id="47"/>
      <w:bookmarkEnd w:id="48"/>
      <w:bookmarkEnd w:id="49"/>
      <w:bookmarkEnd w:id="50"/>
    </w:p>
    <w:p w14:paraId="483E44BF">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3.1</w:t>
      </w:r>
      <w:r>
        <w:rPr>
          <w:rFonts w:hint="eastAsia" w:ascii="宋体" w:hAnsi="宋体" w:eastAsia="宋体" w:cs="宋体"/>
          <w:color w:val="auto"/>
          <w:sz w:val="24"/>
          <w:szCs w:val="24"/>
          <w:highlight w:val="none"/>
        </w:rPr>
        <w:t xml:space="preserve"> 本工程工期为：</w:t>
      </w:r>
      <w:r>
        <w:rPr>
          <w:rFonts w:hint="eastAsia" w:ascii="宋体" w:hAnsi="宋体" w:eastAsia="宋体" w:cs="宋体"/>
          <w:color w:val="auto"/>
          <w:kern w:val="0"/>
          <w:sz w:val="24"/>
          <w:szCs w:val="24"/>
          <w:highlight w:val="none"/>
          <w:lang w:eastAsia="zh-CN"/>
        </w:rPr>
        <w:t>设计、施工总工期</w:t>
      </w:r>
      <w:r>
        <w:rPr>
          <w:rFonts w:hint="eastAsia" w:hAnsi="宋体" w:cs="宋体"/>
          <w:color w:val="auto"/>
          <w:kern w:val="0"/>
          <w:sz w:val="24"/>
          <w:szCs w:val="24"/>
          <w:highlight w:val="none"/>
          <w:lang w:val="en-US" w:eastAsia="zh-CN"/>
        </w:rPr>
        <w:t>60</w:t>
      </w:r>
      <w:r>
        <w:rPr>
          <w:rFonts w:hint="eastAsia" w:ascii="宋体" w:hAnsi="宋体" w:eastAsia="宋体" w:cs="宋体"/>
          <w:color w:val="auto"/>
          <w:kern w:val="0"/>
          <w:sz w:val="24"/>
          <w:szCs w:val="24"/>
          <w:highlight w:val="none"/>
          <w:lang w:eastAsia="zh-CN"/>
        </w:rPr>
        <w:t>日历天，其中：设计工期为</w:t>
      </w:r>
      <w:r>
        <w:rPr>
          <w:rFonts w:hint="eastAsia"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lang w:eastAsia="zh-CN"/>
        </w:rPr>
        <w:t>日历天；施工工期为</w:t>
      </w:r>
      <w:r>
        <w:rPr>
          <w:rFonts w:hint="eastAsia" w:hAnsi="宋体" w:cs="宋体"/>
          <w:color w:val="auto"/>
          <w:kern w:val="0"/>
          <w:sz w:val="24"/>
          <w:szCs w:val="24"/>
          <w:highlight w:val="none"/>
          <w:lang w:val="en-US" w:eastAsia="zh-CN"/>
        </w:rPr>
        <w:t>50</w:t>
      </w:r>
      <w:r>
        <w:rPr>
          <w:rFonts w:hint="eastAsia" w:ascii="宋体" w:hAnsi="宋体" w:eastAsia="宋体" w:cs="宋体"/>
          <w:color w:val="auto"/>
          <w:kern w:val="0"/>
          <w:sz w:val="24"/>
          <w:szCs w:val="24"/>
          <w:highlight w:val="none"/>
          <w:lang w:eastAsia="zh-CN"/>
        </w:rPr>
        <w:t>日历天。中标人必须在所要求的工期内完成全部招标工程。</w:t>
      </w:r>
    </w:p>
    <w:p w14:paraId="10AEFFA2">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3.2</w:t>
      </w:r>
      <w:r>
        <w:rPr>
          <w:rFonts w:hint="eastAsia" w:ascii="宋体" w:hAnsi="宋体" w:eastAsia="宋体" w:cs="宋体"/>
          <w:color w:val="auto"/>
          <w:sz w:val="24"/>
          <w:szCs w:val="24"/>
          <w:highlight w:val="none"/>
        </w:rPr>
        <w:t>因中标人原因，没有按期完成设计任务、工程没有按期竣工时，中标人须在逾期第壹天起每天分别按设计、施工合同价款的1.5‰向招标人缴纳逾期违约金，分别累计最高不超过设计、施工合同价款的10%向招标人缴纳逾期违约金。</w:t>
      </w:r>
    </w:p>
    <w:p w14:paraId="2EA4A3FE">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b/>
          <w:color w:val="auto"/>
          <w:kern w:val="44"/>
          <w:sz w:val="24"/>
          <w:szCs w:val="24"/>
          <w:highlight w:val="none"/>
        </w:rPr>
        <w:t>3.3</w:t>
      </w:r>
      <w:r>
        <w:rPr>
          <w:rFonts w:hint="eastAsia" w:ascii="宋体" w:hAnsi="宋体" w:eastAsia="宋体" w:cs="宋体"/>
          <w:color w:val="auto"/>
          <w:sz w:val="24"/>
          <w:szCs w:val="24"/>
          <w:highlight w:val="none"/>
        </w:rPr>
        <w:t>设计工期自中标通知书发出之日起计算，至提交符合招标人及审图机构要求的施工图设计文件以及符合要求的施工图预算之日止（每一步设计工作，必须以招标人及有关部门审核批准后方可实施）</w:t>
      </w:r>
      <w:r>
        <w:rPr>
          <w:rFonts w:hint="eastAsia" w:ascii="宋体" w:hAnsi="宋体" w:eastAsia="宋体" w:cs="宋体"/>
          <w:color w:val="auto"/>
          <w:sz w:val="24"/>
          <w:szCs w:val="24"/>
          <w:highlight w:val="none"/>
          <w:lang w:val="zh-CN"/>
        </w:rPr>
        <w:t>。</w:t>
      </w:r>
    </w:p>
    <w:p w14:paraId="3FEC8AD7">
      <w:pPr>
        <w:pStyle w:val="37"/>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lang w:val="zh-CN"/>
        </w:rPr>
        <w:t xml:space="preserve"> 施工工期从开工令签发之日起计，至竣工验收之日止。</w:t>
      </w:r>
      <w:bookmarkStart w:id="52" w:name="_Toc11872"/>
    </w:p>
    <w:p w14:paraId="3C9207D0">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53" w:name="_Toc30034"/>
      <w:bookmarkStart w:id="54" w:name="_Toc13884"/>
      <w:bookmarkStart w:id="55" w:name="_Toc2499"/>
      <w:bookmarkStart w:id="56" w:name="_Toc1889"/>
      <w:bookmarkStart w:id="57" w:name="_Toc24539"/>
      <w:bookmarkStart w:id="58" w:name="_Toc3312"/>
      <w:bookmarkStart w:id="59" w:name="_Toc19644"/>
      <w:bookmarkStart w:id="60" w:name="_Toc13379"/>
      <w:r>
        <w:rPr>
          <w:rFonts w:hint="eastAsia" w:ascii="宋体" w:hAnsi="宋体" w:eastAsia="宋体" w:cs="宋体"/>
          <w:b/>
          <w:color w:val="auto"/>
          <w:kern w:val="2"/>
          <w:sz w:val="24"/>
          <w:szCs w:val="24"/>
          <w:highlight w:val="none"/>
        </w:rPr>
        <w:t>4 、投标人资质及条件要求</w:t>
      </w:r>
      <w:bookmarkEnd w:id="52"/>
      <w:bookmarkEnd w:id="53"/>
      <w:bookmarkEnd w:id="54"/>
      <w:bookmarkEnd w:id="55"/>
      <w:bookmarkEnd w:id="56"/>
      <w:bookmarkEnd w:id="57"/>
      <w:bookmarkEnd w:id="58"/>
      <w:bookmarkEnd w:id="59"/>
      <w:bookmarkEnd w:id="60"/>
      <w:bookmarkStart w:id="61" w:name="_Hlt74496495"/>
      <w:bookmarkEnd w:id="61"/>
    </w:p>
    <w:p w14:paraId="28D6086F">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w:t>
      </w:r>
      <w:r>
        <w:rPr>
          <w:rFonts w:hint="eastAsia" w:ascii="宋体" w:hAnsi="宋体" w:eastAsia="宋体" w:cs="宋体"/>
          <w:color w:val="auto"/>
          <w:kern w:val="0"/>
          <w:sz w:val="24"/>
          <w:szCs w:val="24"/>
          <w:highlight w:val="none"/>
        </w:rPr>
        <w:t>本次招标接受联合体投标，联合体以一个投标人的身份共同投标。</w:t>
      </w:r>
    </w:p>
    <w:p w14:paraId="5BADD935">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4.1.1</w:t>
      </w:r>
      <w:r>
        <w:rPr>
          <w:rFonts w:hint="eastAsia" w:ascii="宋体" w:hAnsi="宋体" w:eastAsia="宋体" w:cs="宋体"/>
          <w:color w:val="auto"/>
          <w:kern w:val="0"/>
          <w:sz w:val="24"/>
          <w:szCs w:val="24"/>
          <w:highlight w:val="none"/>
        </w:rPr>
        <w:t>联合体成员数量不超过</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个。</w:t>
      </w:r>
    </w:p>
    <w:p w14:paraId="047B801B">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4.1.2</w:t>
      </w:r>
      <w:r>
        <w:rPr>
          <w:rFonts w:hint="eastAsia" w:ascii="宋体" w:hAnsi="宋体" w:eastAsia="宋体" w:cs="宋体"/>
          <w:color w:val="auto"/>
          <w:kern w:val="0"/>
          <w:sz w:val="24"/>
          <w:szCs w:val="24"/>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3085C8D8">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4.1.3</w:t>
      </w:r>
      <w:r>
        <w:rPr>
          <w:rFonts w:hint="eastAsia" w:ascii="宋体" w:hAnsi="宋体" w:eastAsia="宋体" w:cs="宋体"/>
          <w:color w:val="auto"/>
          <w:kern w:val="0"/>
          <w:sz w:val="24"/>
          <w:szCs w:val="24"/>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20B86909">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4.1.4</w:t>
      </w:r>
      <w:r>
        <w:rPr>
          <w:rFonts w:hint="eastAsia" w:ascii="宋体" w:hAnsi="宋体" w:eastAsia="宋体" w:cs="宋体"/>
          <w:color w:val="auto"/>
          <w:kern w:val="0"/>
          <w:sz w:val="24"/>
          <w:szCs w:val="24"/>
          <w:highlight w:val="none"/>
        </w:rPr>
        <w:t>联合体各方不得再以自己名义单独或参加其他联合体在本招标项目中投标，否则各相关投标均无效。</w:t>
      </w:r>
    </w:p>
    <w:p w14:paraId="5393A2E0">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w:t>
      </w:r>
      <w:r>
        <w:rPr>
          <w:rFonts w:hint="eastAsia" w:ascii="宋体" w:hAnsi="宋体" w:eastAsia="宋体" w:cs="宋体"/>
          <w:color w:val="auto"/>
          <w:kern w:val="0"/>
          <w:sz w:val="24"/>
          <w:szCs w:val="24"/>
          <w:highlight w:val="none"/>
        </w:rPr>
        <w:t>资质要求</w:t>
      </w:r>
    </w:p>
    <w:p w14:paraId="7775A7AF">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4.2.1</w:t>
      </w:r>
      <w:r>
        <w:rPr>
          <w:rFonts w:hint="eastAsia" w:ascii="宋体" w:hAnsi="宋体" w:eastAsia="宋体" w:cs="宋体"/>
          <w:color w:val="auto"/>
          <w:kern w:val="0"/>
          <w:sz w:val="24"/>
          <w:szCs w:val="24"/>
          <w:highlight w:val="none"/>
        </w:rPr>
        <w:t>投标人须具备独立法人资格，按国家法律经营。</w:t>
      </w:r>
    </w:p>
    <w:p w14:paraId="15FD1035">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4.2.2</w:t>
      </w:r>
      <w:r>
        <w:rPr>
          <w:rFonts w:hint="eastAsia" w:ascii="宋体" w:hAnsi="宋体" w:eastAsia="宋体" w:cs="宋体"/>
          <w:color w:val="auto"/>
          <w:kern w:val="0"/>
          <w:sz w:val="24"/>
          <w:szCs w:val="24"/>
          <w:highlight w:val="none"/>
        </w:rPr>
        <w:t>投标人须持有行政主管部门颁发的企业资质证书。</w:t>
      </w:r>
    </w:p>
    <w:p w14:paraId="5674ADBC">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4.2.3</w:t>
      </w:r>
      <w:r>
        <w:rPr>
          <w:rFonts w:hint="eastAsia" w:ascii="宋体" w:hAnsi="宋体" w:eastAsia="宋体" w:cs="宋体"/>
          <w:color w:val="auto"/>
          <w:sz w:val="24"/>
          <w:szCs w:val="24"/>
          <w:highlight w:val="none"/>
        </w:rPr>
        <w:t>参加投标的投标人可以是单一独立法人或由不超过</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家独立法人组成的联合体（必须注明其中一家为牵头人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牵头人必须为施工单位），联合体各方不得再以自己的名义单独申请，也不得同时参加两个或两个以上的联合体进行本项目的投标。单一独立法人必须至少同时具备以下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资质，组成联合体投标的，联合后必须至少具备以下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资质，由同一专业的单位组成的联合体，按照资质等级较低的单位确定资质等级：</w:t>
      </w:r>
    </w:p>
    <w:p w14:paraId="405CAC13">
      <w:pPr>
        <w:pStyle w:val="8"/>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施工资质：</w:t>
      </w:r>
      <w:r>
        <w:rPr>
          <w:rFonts w:hint="eastAsia" w:ascii="宋体" w:hAnsi="宋体" w:eastAsia="宋体" w:cs="宋体"/>
          <w:color w:val="auto"/>
          <w:sz w:val="24"/>
          <w:szCs w:val="24"/>
          <w:highlight w:val="none"/>
        </w:rPr>
        <w:t>必须同时具备</w:t>
      </w:r>
      <w:r>
        <w:rPr>
          <w:rFonts w:hint="eastAsia" w:ascii="宋体" w:hAnsi="宋体" w:eastAsia="宋体" w:cs="宋体"/>
          <w:color w:val="auto"/>
          <w:sz w:val="24"/>
          <w:szCs w:val="24"/>
          <w:highlight w:val="none"/>
          <w:lang w:eastAsia="zh-CN"/>
        </w:rPr>
        <w:t>建设行政主管部门颁发的市政公用工程施工总承包三级以上（含三级）资质，</w:t>
      </w:r>
      <w:r>
        <w:rPr>
          <w:rFonts w:hint="eastAsia" w:ascii="宋体" w:hAnsi="宋体" w:eastAsia="宋体" w:cs="宋体"/>
          <w:color w:val="auto"/>
          <w:sz w:val="24"/>
          <w:szCs w:val="24"/>
          <w:highlight w:val="none"/>
          <w:lang w:val="en-US" w:eastAsia="zh-CN"/>
        </w:rPr>
        <w:t>并持有有效期内安全生产许可证</w:t>
      </w:r>
      <w:r>
        <w:rPr>
          <w:rFonts w:hint="eastAsia" w:ascii="宋体" w:hAnsi="宋体" w:eastAsia="宋体" w:cs="宋体"/>
          <w:color w:val="auto"/>
          <w:sz w:val="24"/>
          <w:szCs w:val="24"/>
          <w:highlight w:val="none"/>
          <w:lang w:val="zh-CN"/>
        </w:rPr>
        <w:t>。</w:t>
      </w:r>
    </w:p>
    <w:p w14:paraId="41AF229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设计资质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必须同时</w:t>
      </w:r>
      <w:r>
        <w:rPr>
          <w:rFonts w:hint="eastAsia" w:ascii="宋体" w:hAnsi="宋体" w:eastAsia="宋体" w:cs="宋体"/>
          <w:color w:val="auto"/>
          <w:sz w:val="24"/>
          <w:szCs w:val="24"/>
          <w:highlight w:val="none"/>
          <w:lang w:val="en-US" w:eastAsia="zh-CN"/>
        </w:rPr>
        <w:t>具备</w:t>
      </w:r>
      <w:r>
        <w:rPr>
          <w:rFonts w:hint="eastAsia" w:ascii="宋体" w:hAnsi="宋体" w:eastAsia="宋体" w:cs="宋体"/>
          <w:color w:val="auto"/>
          <w:sz w:val="24"/>
          <w:szCs w:val="24"/>
          <w:highlight w:val="none"/>
          <w:lang w:eastAsia="zh-CN"/>
        </w:rPr>
        <w:t>建设行政主管部门颁发的</w:t>
      </w:r>
      <w:r>
        <w:rPr>
          <w:rFonts w:hint="eastAsia" w:ascii="宋体" w:hAnsi="宋体" w:eastAsia="宋体" w:cs="宋体"/>
          <w:color w:val="auto"/>
          <w:sz w:val="24"/>
          <w:szCs w:val="24"/>
          <w:highlight w:val="none"/>
          <w:lang w:val="en-US" w:eastAsia="zh-CN"/>
        </w:rPr>
        <w:t>以下</w:t>
      </w:r>
      <w:r>
        <w:rPr>
          <w:rFonts w:hint="eastAsia" w:ascii="宋体" w:hAnsi="宋体" w:eastAsia="宋体" w:cs="宋体"/>
          <w:color w:val="auto"/>
          <w:sz w:val="24"/>
          <w:szCs w:val="24"/>
          <w:highlight w:val="none"/>
        </w:rPr>
        <w:t>（①或②）资质：</w:t>
      </w:r>
    </w:p>
    <w:p w14:paraId="14347AE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①工程设计综合甲级资质；</w:t>
      </w:r>
    </w:p>
    <w:p w14:paraId="6A887DD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②须具备工程设计市政资质以下任意一项:</w:t>
      </w:r>
    </w:p>
    <w:p w14:paraId="1BDDE56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a.工程设计市政行业乙级以上（含乙级）资质；</w:t>
      </w:r>
    </w:p>
    <w:p w14:paraId="25CC90B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b.工程设计市政行业(燃气工程、轨道交通工程除外)乙级以上（含乙级）资质；</w:t>
      </w:r>
    </w:p>
    <w:p w14:paraId="056EC96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设计单位仅具备建筑设计事务所资质的，应当自行完成招标范围内的建筑专业设计业务，并在保证整个建筑工程项目完整性的前提下，经招标人同意，将其他专业设计业务发包给具有相应资质的分包方。</w:t>
      </w:r>
    </w:p>
    <w:p w14:paraId="2EBF24B7">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kern w:val="0"/>
          <w:sz w:val="24"/>
          <w:szCs w:val="24"/>
          <w:highlight w:val="none"/>
        </w:rPr>
        <w:t>4.2.4</w:t>
      </w:r>
      <w:r>
        <w:rPr>
          <w:rFonts w:hint="eastAsia" w:ascii="宋体" w:hAnsi="宋体" w:eastAsia="宋体" w:cs="宋体"/>
          <w:color w:val="auto"/>
          <w:sz w:val="24"/>
          <w:szCs w:val="24"/>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0CF6947">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w:t>
      </w:r>
      <w:r>
        <w:rPr>
          <w:rFonts w:hint="eastAsia" w:ascii="宋体" w:hAnsi="宋体" w:eastAsia="宋体" w:cs="宋体"/>
          <w:color w:val="auto"/>
          <w:sz w:val="24"/>
          <w:szCs w:val="24"/>
          <w:highlight w:val="none"/>
        </w:rPr>
        <w:t>相关人员要求</w:t>
      </w:r>
    </w:p>
    <w:p w14:paraId="09B6E12D">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4.3.1</w:t>
      </w:r>
      <w:r>
        <w:rPr>
          <w:rFonts w:hint="eastAsia" w:ascii="宋体" w:hAnsi="宋体" w:eastAsia="宋体" w:cs="宋体"/>
          <w:b w:val="0"/>
          <w:bCs w:val="0"/>
          <w:color w:val="auto"/>
          <w:kern w:val="0"/>
          <w:sz w:val="24"/>
          <w:szCs w:val="24"/>
          <w:highlight w:val="none"/>
        </w:rPr>
        <w:t>拟派项目经理为具有市政公用工程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r>
        <w:rPr>
          <w:rFonts w:hint="eastAsia" w:ascii="宋体" w:hAnsi="宋体" w:eastAsia="宋体" w:cs="宋体"/>
          <w:b/>
          <w:bCs/>
          <w:color w:val="auto"/>
          <w:kern w:val="0"/>
          <w:sz w:val="24"/>
          <w:szCs w:val="24"/>
          <w:highlight w:val="none"/>
        </w:rPr>
        <w:t>（若组成联合体时，由联合体施工方提供）</w:t>
      </w:r>
      <w:r>
        <w:rPr>
          <w:rFonts w:hint="eastAsia" w:ascii="宋体" w:hAnsi="宋体" w:eastAsia="宋体" w:cs="宋体"/>
          <w:color w:val="auto"/>
          <w:sz w:val="24"/>
          <w:szCs w:val="24"/>
          <w:highlight w:val="none"/>
        </w:rPr>
        <w:t>。</w:t>
      </w:r>
    </w:p>
    <w:p w14:paraId="04E1B6D1">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4.3.2</w:t>
      </w:r>
      <w:r>
        <w:rPr>
          <w:rFonts w:hint="eastAsia" w:ascii="宋体" w:hAnsi="宋体" w:eastAsia="宋体" w:cs="宋体"/>
          <w:b/>
          <w:bCs/>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拟派项目技术负责人须具备</w:t>
      </w:r>
      <w:r>
        <w:rPr>
          <w:rFonts w:hint="eastAsia" w:ascii="宋体" w:hAnsi="宋体" w:eastAsia="宋体" w:cs="宋体"/>
          <w:color w:val="auto"/>
          <w:sz w:val="24"/>
          <w:szCs w:val="24"/>
          <w:highlight w:val="none"/>
          <w:lang w:eastAsia="zh-CN"/>
        </w:rPr>
        <w:t>市政</w:t>
      </w:r>
      <w:r>
        <w:rPr>
          <w:rFonts w:hint="eastAsia" w:ascii="宋体" w:hAnsi="宋体" w:eastAsia="宋体" w:cs="宋体"/>
          <w:color w:val="auto"/>
          <w:sz w:val="24"/>
          <w:szCs w:val="24"/>
          <w:highlight w:val="none"/>
          <w:lang w:val="en-US" w:eastAsia="zh-CN"/>
        </w:rPr>
        <w:t>类</w:t>
      </w:r>
      <w:r>
        <w:rPr>
          <w:rFonts w:hint="eastAsia" w:ascii="宋体" w:hAnsi="宋体" w:eastAsia="宋体" w:cs="宋体"/>
          <w:color w:val="auto"/>
          <w:sz w:val="24"/>
          <w:szCs w:val="24"/>
          <w:highlight w:val="none"/>
        </w:rPr>
        <w:t>相关专业中级或以上技术职称</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0A4BDD49">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4.3.3</w:t>
      </w:r>
      <w:r>
        <w:rPr>
          <w:rFonts w:hint="eastAsia" w:ascii="宋体" w:hAnsi="宋体" w:eastAsia="宋体" w:cs="宋体"/>
          <w:b/>
          <w:bCs/>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拟派专职安全生产管理人员须具备有效安全生产考核合格证明（C证，安全生产考核合格证书或广东省建筑施工企业管理人员安全生产考核系统考核合格信息打印页），</w:t>
      </w:r>
      <w:r>
        <w:rPr>
          <w:rFonts w:hint="eastAsia" w:ascii="宋体" w:hAnsi="宋体" w:eastAsia="宋体" w:cs="宋体"/>
          <w:color w:val="auto"/>
          <w:sz w:val="24"/>
          <w:szCs w:val="24"/>
          <w:highlight w:val="none"/>
          <w:lang w:eastAsia="zh-CN"/>
        </w:rPr>
        <w:t>且不少于</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人</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18B486A5">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4.3.4</w:t>
      </w:r>
      <w:r>
        <w:rPr>
          <w:rFonts w:hint="eastAsia" w:ascii="宋体" w:hAnsi="宋体" w:eastAsia="宋体" w:cs="宋体"/>
          <w:b/>
          <w:bCs/>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拟委派担任本工程的设计负责人必须具备</w:t>
      </w:r>
      <w:r>
        <w:rPr>
          <w:rFonts w:hint="eastAsia" w:ascii="宋体" w:hAnsi="宋体" w:eastAsia="宋体" w:cs="宋体"/>
          <w:color w:val="auto"/>
          <w:sz w:val="24"/>
          <w:szCs w:val="24"/>
          <w:highlight w:val="none"/>
          <w:lang w:eastAsia="zh-CN"/>
        </w:rPr>
        <w:t>市政</w:t>
      </w:r>
      <w:r>
        <w:rPr>
          <w:rFonts w:hint="eastAsia" w:ascii="宋体" w:hAnsi="宋体" w:eastAsia="宋体" w:cs="宋体"/>
          <w:color w:val="auto"/>
          <w:sz w:val="24"/>
          <w:szCs w:val="24"/>
          <w:highlight w:val="none"/>
          <w:lang w:val="en-US" w:eastAsia="zh-CN"/>
        </w:rPr>
        <w:t>类相</w:t>
      </w:r>
      <w:r>
        <w:rPr>
          <w:rFonts w:hint="eastAsia" w:ascii="宋体" w:hAnsi="宋体" w:eastAsia="宋体" w:cs="宋体"/>
          <w:color w:val="auto"/>
          <w:sz w:val="24"/>
          <w:szCs w:val="24"/>
          <w:highlight w:val="none"/>
        </w:rPr>
        <w:t>关专业中级以上（含中级）技术职称</w:t>
      </w:r>
      <w:r>
        <w:rPr>
          <w:rFonts w:hint="eastAsia" w:ascii="宋体" w:hAnsi="宋体" w:eastAsia="宋体" w:cs="宋体"/>
          <w:b/>
          <w:bCs/>
          <w:color w:val="auto"/>
          <w:sz w:val="24"/>
          <w:szCs w:val="24"/>
          <w:highlight w:val="none"/>
        </w:rPr>
        <w:t>（若组成联合体时，由联合体设计方提供）</w:t>
      </w:r>
      <w:r>
        <w:rPr>
          <w:rFonts w:hint="eastAsia" w:ascii="宋体" w:hAnsi="宋体" w:eastAsia="宋体" w:cs="宋体"/>
          <w:color w:val="auto"/>
          <w:sz w:val="24"/>
          <w:szCs w:val="24"/>
          <w:highlight w:val="none"/>
        </w:rPr>
        <w:t>。</w:t>
      </w:r>
    </w:p>
    <w:p w14:paraId="2735C5E6">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164F3554">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w:t>
      </w:r>
      <w:r>
        <w:rPr>
          <w:rFonts w:hint="eastAsia" w:ascii="宋体" w:hAnsi="宋体" w:eastAsia="宋体" w:cs="宋体"/>
          <w:snapToGrid w:val="0"/>
          <w:color w:val="auto"/>
          <w:kern w:val="0"/>
          <w:sz w:val="24"/>
          <w:szCs w:val="24"/>
          <w:highlight w:val="none"/>
        </w:rPr>
        <w:t>禁止投标条款：</w:t>
      </w:r>
    </w:p>
    <w:p w14:paraId="7A1409F0">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4.4.1</w:t>
      </w:r>
      <w:r>
        <w:rPr>
          <w:rFonts w:hint="eastAsia" w:ascii="宋体" w:hAnsi="宋体" w:eastAsia="宋体" w:cs="宋体"/>
          <w:snapToGrid w:val="0"/>
          <w:color w:val="auto"/>
          <w:kern w:val="0"/>
          <w:sz w:val="24"/>
          <w:szCs w:val="24"/>
          <w:highlight w:val="none"/>
        </w:rPr>
        <w:t>投标人不得存在下列情形之一：</w:t>
      </w:r>
    </w:p>
    <w:p w14:paraId="5295FB89">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636175FE">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（2）为本招标工程前期准备提供咨询服务的；</w:t>
      </w:r>
    </w:p>
    <w:p w14:paraId="162D0AC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（3）与本招标工程的其他投标人为同一个单位负责人；</w:t>
      </w:r>
    </w:p>
    <w:p w14:paraId="03DF9DCF">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（4）与本招标工程的其他投标人存在控股、管理关系；</w:t>
      </w:r>
    </w:p>
    <w:p w14:paraId="5E97806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（5）为本招标工程的监理人；</w:t>
      </w:r>
    </w:p>
    <w:p w14:paraId="288A953F">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（6）为本招标工程的代建人；</w:t>
      </w:r>
    </w:p>
    <w:p w14:paraId="6F98C5E7">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（7）为本招标工程的招标代理机构；</w:t>
      </w:r>
    </w:p>
    <w:p w14:paraId="33C95129">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（8）与本招标工程的监理人或代建人或招标代理机构同为一个法定代表人；</w:t>
      </w:r>
    </w:p>
    <w:p w14:paraId="48573CE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（9）与本招标工程的监理人或代建人或招标代理机构存在控股或参股关系；</w:t>
      </w:r>
    </w:p>
    <w:p w14:paraId="568B84B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（10）与本招标工程的监理人或代建人或招标代理机构存在相互任职或工作关系；</w:t>
      </w:r>
    </w:p>
    <w:p w14:paraId="7D3F03B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5DC889DE">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10D5D71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18C266F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（14）在最近三年内发生重大工程质量问题或安全问题（以相关行业主管部门的行政处罚决定或司法机关出具的有关法律文书为准）；</w:t>
      </w:r>
    </w:p>
    <w:p w14:paraId="46C6887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（15）被“信用中国”网站（https://www.creditchina.gov.cn）发布的《法人和非法人组织公共信用信息报告》列入严重失信主体名单的。</w:t>
      </w:r>
    </w:p>
    <w:p w14:paraId="20FB10B6">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4.4.2</w:t>
      </w:r>
      <w:r>
        <w:rPr>
          <w:rFonts w:hint="eastAsia" w:ascii="宋体" w:hAnsi="宋体" w:eastAsia="宋体" w:cs="宋体"/>
          <w:snapToGrid w:val="0"/>
          <w:color w:val="auto"/>
          <w:kern w:val="0"/>
          <w:sz w:val="24"/>
          <w:szCs w:val="24"/>
          <w:highlight w:val="none"/>
        </w:rPr>
        <w:t>招标人拒绝以下名单中的单位参加本次投标：</w:t>
      </w:r>
    </w:p>
    <w:tbl>
      <w:tblPr>
        <w:tblStyle w:val="23"/>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3772"/>
        <w:gridCol w:w="4858"/>
      </w:tblGrid>
      <w:tr w14:paraId="35B2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007A380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772" w:type="dxa"/>
            <w:vAlign w:val="center"/>
          </w:tcPr>
          <w:p w14:paraId="16379D2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4858" w:type="dxa"/>
            <w:vAlign w:val="center"/>
          </w:tcPr>
          <w:p w14:paraId="372F687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w:t>
            </w:r>
          </w:p>
        </w:tc>
      </w:tr>
      <w:tr w14:paraId="0351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024EF40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772" w:type="dxa"/>
            <w:vAlign w:val="center"/>
          </w:tcPr>
          <w:p w14:paraId="749ECEC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南雄市澜河镇人民政府</w:t>
            </w:r>
          </w:p>
        </w:tc>
        <w:tc>
          <w:tcPr>
            <w:tcW w:w="4858" w:type="dxa"/>
            <w:vAlign w:val="center"/>
          </w:tcPr>
          <w:p w14:paraId="275614B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2813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663DD56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772" w:type="dxa"/>
            <w:vAlign w:val="center"/>
          </w:tcPr>
          <w:p w14:paraId="4EB756B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eastAsia="zh-CN"/>
              </w:rPr>
              <w:t>广东省南沣建设管理有限公司</w:t>
            </w:r>
          </w:p>
        </w:tc>
        <w:tc>
          <w:tcPr>
            <w:tcW w:w="4858" w:type="dxa"/>
            <w:vAlign w:val="center"/>
          </w:tcPr>
          <w:p w14:paraId="1732934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为本招标项目的招标代理机构</w:t>
            </w:r>
          </w:p>
        </w:tc>
      </w:tr>
      <w:tr w14:paraId="5EA4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5C6583B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3772" w:type="dxa"/>
            <w:vAlign w:val="center"/>
          </w:tcPr>
          <w:p w14:paraId="22902DC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中咨管理顾问有限责任公司</w:t>
            </w:r>
          </w:p>
        </w:tc>
        <w:tc>
          <w:tcPr>
            <w:tcW w:w="4858" w:type="dxa"/>
            <w:vAlign w:val="center"/>
          </w:tcPr>
          <w:p w14:paraId="2193AB1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为本项目的可行性研究报告编制单位</w:t>
            </w:r>
          </w:p>
        </w:tc>
      </w:tr>
      <w:tr w14:paraId="06BB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3380139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3772" w:type="dxa"/>
            <w:vAlign w:val="center"/>
          </w:tcPr>
          <w:p w14:paraId="00BE3BB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4858" w:type="dxa"/>
            <w:vAlign w:val="center"/>
          </w:tcPr>
          <w:p w14:paraId="32D0B9D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为本项目的可行性研究报告修编单位</w:t>
            </w:r>
          </w:p>
        </w:tc>
      </w:tr>
      <w:tr w14:paraId="2552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9" w:type="dxa"/>
            <w:vAlign w:val="center"/>
          </w:tcPr>
          <w:p w14:paraId="124C75A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hAnsi="宋体" w:cs="宋体"/>
                <w:snapToGrid w:val="0"/>
                <w:color w:val="auto"/>
                <w:kern w:val="0"/>
                <w:sz w:val="24"/>
                <w:szCs w:val="24"/>
                <w:highlight w:val="none"/>
                <w:lang w:val="en-US" w:eastAsia="zh-CN"/>
              </w:rPr>
              <w:t>5</w:t>
            </w:r>
          </w:p>
        </w:tc>
        <w:tc>
          <w:tcPr>
            <w:tcW w:w="3772" w:type="dxa"/>
            <w:vAlign w:val="center"/>
          </w:tcPr>
          <w:p w14:paraId="1E90870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中图设计有限公司</w:t>
            </w:r>
          </w:p>
        </w:tc>
        <w:tc>
          <w:tcPr>
            <w:tcW w:w="4858" w:type="dxa"/>
            <w:vAlign w:val="center"/>
          </w:tcPr>
          <w:p w14:paraId="0A38560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为本项目的初步设计、概算单位</w:t>
            </w:r>
          </w:p>
        </w:tc>
      </w:tr>
    </w:tbl>
    <w:p w14:paraId="10CAD2A0">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省外企业（包括组成联合体的所有成员单位）</w:t>
      </w:r>
      <w:r>
        <w:rPr>
          <w:rFonts w:hint="eastAsia" w:ascii="宋体" w:hAnsi="宋体" w:eastAsia="宋体" w:cs="宋体"/>
          <w:color w:val="auto"/>
          <w:sz w:val="24"/>
          <w:szCs w:val="24"/>
          <w:highlight w:val="none"/>
        </w:rPr>
        <w:t>及其拟派往本项目管理机构的所有人员均</w:t>
      </w:r>
      <w:r>
        <w:rPr>
          <w:rFonts w:hint="eastAsia" w:ascii="宋体" w:hAnsi="宋体" w:eastAsia="宋体" w:cs="宋体"/>
          <w:snapToGrid w:val="0"/>
          <w:color w:val="auto"/>
          <w:kern w:val="0"/>
          <w:sz w:val="24"/>
          <w:szCs w:val="24"/>
          <w:highlight w:val="none"/>
        </w:rPr>
        <w:t>须按照《广东省住房和城乡建设厅关于取消省外建筑企业和人员进粤信息备案有关工作的通知》（粤建市﹝2015﹞52号）规定在“进粤企业和人员诚信信息登记平台”录入相关信息并通过数据规范检查。</w:t>
      </w:r>
    </w:p>
    <w:p w14:paraId="2214DD36">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62" w:name="_Toc18979"/>
      <w:bookmarkStart w:id="63" w:name="_Toc17645"/>
      <w:bookmarkStart w:id="64" w:name="_Toc20378"/>
      <w:bookmarkStart w:id="65" w:name="_Toc8294"/>
      <w:bookmarkStart w:id="66" w:name="_Toc3588"/>
      <w:bookmarkStart w:id="67" w:name="_Toc3094"/>
      <w:bookmarkStart w:id="68" w:name="_Toc24391"/>
      <w:bookmarkStart w:id="69" w:name="_Toc23419"/>
      <w:bookmarkStart w:id="70" w:name="_Toc2707"/>
      <w:r>
        <w:rPr>
          <w:rFonts w:hint="eastAsia" w:ascii="宋体" w:hAnsi="宋体" w:eastAsia="宋体" w:cs="宋体"/>
          <w:b/>
          <w:color w:val="auto"/>
          <w:kern w:val="2"/>
          <w:sz w:val="24"/>
          <w:szCs w:val="24"/>
          <w:highlight w:val="none"/>
        </w:rPr>
        <w:t>5 、工程招标内容及要求</w:t>
      </w:r>
      <w:bookmarkEnd w:id="62"/>
      <w:bookmarkEnd w:id="63"/>
      <w:bookmarkEnd w:id="64"/>
      <w:bookmarkEnd w:id="65"/>
      <w:bookmarkEnd w:id="66"/>
      <w:bookmarkEnd w:id="67"/>
      <w:bookmarkEnd w:id="68"/>
      <w:bookmarkEnd w:id="69"/>
      <w:bookmarkEnd w:id="70"/>
    </w:p>
    <w:p w14:paraId="6A5197D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bookmarkStart w:id="71" w:name="_Hlt69699204"/>
      <w:bookmarkEnd w:id="71"/>
      <w:bookmarkStart w:id="72" w:name="_Hlt88974078"/>
      <w:bookmarkEnd w:id="72"/>
      <w:bookmarkStart w:id="73" w:name="_Hlt120502666"/>
      <w:bookmarkEnd w:id="73"/>
      <w:bookmarkStart w:id="74" w:name="_Hlt74493474"/>
      <w:bookmarkEnd w:id="74"/>
      <w:bookmarkStart w:id="75" w:name="_Hlt69356505"/>
      <w:bookmarkEnd w:id="75"/>
      <w:bookmarkStart w:id="76" w:name="_Hlt74496537"/>
      <w:bookmarkEnd w:id="76"/>
      <w:bookmarkStart w:id="77" w:name="_Hlt121563076"/>
      <w:bookmarkEnd w:id="77"/>
      <w:bookmarkStart w:id="78" w:name="_Hlt111690342"/>
      <w:bookmarkEnd w:id="78"/>
      <w:r>
        <w:rPr>
          <w:rFonts w:hint="eastAsia" w:ascii="宋体" w:hAnsi="宋体" w:eastAsia="宋体" w:cs="宋体"/>
          <w:color w:val="auto"/>
          <w:sz w:val="24"/>
          <w:szCs w:val="24"/>
          <w:highlight w:val="none"/>
          <w:lang w:val="en-US" w:eastAsia="zh-CN"/>
        </w:rPr>
        <w:t>5.1</w:t>
      </w:r>
      <w:r>
        <w:rPr>
          <w:rFonts w:hint="eastAsia" w:ascii="宋体" w:hAnsi="宋体" w:eastAsia="宋体" w:cs="宋体"/>
          <w:color w:val="auto"/>
          <w:sz w:val="24"/>
          <w:szCs w:val="24"/>
          <w:highlight w:val="none"/>
        </w:rPr>
        <w:t>本工程所涉及的内容包括但不限于以下（1）～（2）：</w:t>
      </w:r>
    </w:p>
    <w:p w14:paraId="1EE3946E">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1</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设计部分：</w:t>
      </w:r>
    </w:p>
    <w:p w14:paraId="19A9CA9B">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确保项目顺利实施的报建、报批、施工等所需的所有建安工程等设计文件。包括但不限于：施工图设计、提供项目所需相关检测项的明细表和危险性较大的分部分项工程清单及保障安全相关说明、工地现场服务、验收过程中的设计指导及配合阶段验收及档案整理、协助施工单位编制竣工图及后续设计服务工作。</w:t>
      </w:r>
    </w:p>
    <w:p w14:paraId="55D301A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注：设计文件深度要求必须满足住房和城乡建设部《建筑工程设计文件编制深度规定（2023版）》的要求，各专业还应该满足各专业工程设计文件编制深度规范或规定的要求。</w:t>
      </w:r>
    </w:p>
    <w:p w14:paraId="60F1175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施工图预算（含工程量清单）</w:t>
      </w:r>
    </w:p>
    <w:p w14:paraId="59188BB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施工部分：设计文件及工程量清单范围内的所有工程及配套工程、设施等的施工（含竣工验收资料编制整理、备案等），完成并配合发包人结算、负责工程缺陷保修以及发包人要求由施工单位完成的其他工作（发包人另行委托其他单位负责实施的工作内容除外，但需提供一系列协调及配合服务）等。</w:t>
      </w:r>
    </w:p>
    <w:p w14:paraId="135C794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5.2</w:t>
      </w:r>
      <w:r>
        <w:rPr>
          <w:rFonts w:hint="eastAsia" w:ascii="宋体" w:hAnsi="宋体" w:eastAsia="宋体" w:cs="宋体"/>
          <w:color w:val="auto"/>
          <w:sz w:val="24"/>
          <w:szCs w:val="24"/>
          <w:highlight w:val="none"/>
          <w:lang w:val="zh-CN"/>
        </w:rPr>
        <w:t>设计要求：</w:t>
      </w:r>
    </w:p>
    <w:p w14:paraId="4281615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5.2.1设计质量要求：</w:t>
      </w:r>
      <w:r>
        <w:rPr>
          <w:rFonts w:hint="eastAsia" w:ascii="宋体" w:hAnsi="宋体" w:eastAsia="宋体" w:cs="宋体"/>
          <w:color w:val="auto"/>
          <w:sz w:val="24"/>
          <w:szCs w:val="24"/>
          <w:highlight w:val="none"/>
          <w:lang w:val="zh-CN"/>
        </w:rPr>
        <w:t>符合国家或行业颁布的现行有效的有关设计的规范要求，并必须通过有关部门的审查及经有资质的审图机构审查合格。</w:t>
      </w:r>
    </w:p>
    <w:p w14:paraId="191E1B75">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5.2.2</w:t>
      </w:r>
      <w:r>
        <w:rPr>
          <w:rFonts w:hint="eastAsia" w:ascii="宋体" w:hAnsi="宋体" w:eastAsia="宋体" w:cs="宋体"/>
          <w:color w:val="auto"/>
          <w:sz w:val="24"/>
          <w:szCs w:val="24"/>
          <w:highlight w:val="none"/>
          <w:lang w:val="zh-CN"/>
        </w:rPr>
        <w:t>本工程施工图设计必须先经发包人确认才能送审，并经发包人委托的有资质的审图机构审查合格。若发包人或审图机构在审查过程中提出的设计修改或变更，设计单位必须无条件进行修改或优化设计，发包人不再支付由此而增加的设计费用。</w:t>
      </w:r>
    </w:p>
    <w:p w14:paraId="6EEA403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5.2.3关于设计深度的要求</w:t>
      </w:r>
    </w:p>
    <w:p w14:paraId="47A1EE7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按国家及地方现行的设计文件深度规定等有关技术标准、设计规范（标准）要求。</w:t>
      </w:r>
    </w:p>
    <w:p w14:paraId="3930B0E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各专业设计应同步进行，涉及单位应指定总体设计人统筹布局，做好各项设施的协调和衔接、位置预留，不得留待施工中临时变更。</w:t>
      </w:r>
    </w:p>
    <w:p w14:paraId="1E5CA2F3">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对技术复杂或造价、规模较大的主要分项工程应作方案比较。 </w:t>
      </w:r>
    </w:p>
    <w:p w14:paraId="07F116C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施工图设计文件的深度，应当满足设备材料采购，非标准设备制作和施工的需要，并注明建设工程合理使用年限。</w:t>
      </w:r>
    </w:p>
    <w:p w14:paraId="03644E7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相关的配套外部接口方案均需取得政府主管部门或规划部门认可。</w:t>
      </w:r>
    </w:p>
    <w:p w14:paraId="34B4283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施工图设计文件应考虑交通维护、临时施工便道、基坑支护、对周边建筑物的影响等因素，以指导现场施工及过程评审。  </w:t>
      </w:r>
    </w:p>
    <w:p w14:paraId="50C2CBC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5.2.4</w:t>
      </w:r>
      <w:r>
        <w:rPr>
          <w:rFonts w:hint="eastAsia" w:ascii="宋体" w:hAnsi="宋体" w:eastAsia="宋体" w:cs="宋体"/>
          <w:color w:val="auto"/>
          <w:sz w:val="24"/>
          <w:szCs w:val="24"/>
          <w:highlight w:val="none"/>
        </w:rPr>
        <w:t>设计后期配合工作</w:t>
      </w:r>
    </w:p>
    <w:p w14:paraId="4089D9D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施工图设计完成并经有关单位审查后，才能进入施工阶段。</w:t>
      </w:r>
    </w:p>
    <w:p w14:paraId="7FBE421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设计单位配合施工、监理及业主单位的工作内容如下：</w:t>
      </w:r>
    </w:p>
    <w:p w14:paraId="0C961F0B">
      <w:pPr>
        <w:keepNext w:val="0"/>
        <w:keepLines w:val="0"/>
        <w:pageBreakBefore w:val="0"/>
        <w:widowControl w:val="0"/>
        <w:numPr>
          <w:ilvl w:val="0"/>
          <w:numId w:val="2"/>
        </w:numPr>
        <w:tabs>
          <w:tab w:val="left" w:pos="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施工图设计（技术）交底；</w:t>
      </w:r>
    </w:p>
    <w:p w14:paraId="01A8893C">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配合勘察单位现场交桩；</w:t>
      </w:r>
    </w:p>
    <w:p w14:paraId="43B183B6">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变更设计和所有补充设计；</w:t>
      </w:r>
    </w:p>
    <w:p w14:paraId="4E90D885">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会签设计变更审批表；</w:t>
      </w:r>
    </w:p>
    <w:p w14:paraId="78B0321B">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参加处理施工中发生的工程质量和安全事故；</w:t>
      </w:r>
    </w:p>
    <w:p w14:paraId="3943C4CC">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14:paraId="63E560EB">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解决与设计有关的施工问题；</w:t>
      </w:r>
    </w:p>
    <w:p w14:paraId="771F74D7">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配合质量检测；</w:t>
      </w:r>
    </w:p>
    <w:p w14:paraId="11E99D4F">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参加审查施工单位的施工组织设计和专项施工方案；</w:t>
      </w:r>
    </w:p>
    <w:p w14:paraId="11B0647C">
      <w:pPr>
        <w:keepNext w:val="0"/>
        <w:keepLines w:val="0"/>
        <w:pageBreakBefore w:val="0"/>
        <w:widowControl w:val="0"/>
        <w:numPr>
          <w:ilvl w:val="0"/>
          <w:numId w:val="2"/>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参加本项目建设有关会议。</w:t>
      </w:r>
    </w:p>
    <w:p w14:paraId="60148AD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fldChar w:fldCharType="begin"/>
      </w:r>
      <w:r>
        <w:instrText xml:space="preserve"> LINK Word.Document.12 "H:\\公司\\南雄市“银杏染秋”乡村振兴示范带建设项目-澜河镇典型村建设项目\\设计施工总承包\\新建文件夹\\招标文件-古市镇典型村建设项目施工图设计和施工总承包.docx" "OLE_LINK3" \h \a </w:instrText>
      </w:r>
      <w:r>
        <w:rPr>
          <w:rFonts w:hint="eastAsia" w:ascii="宋体" w:hAnsi="宋体" w:eastAsia="宋体" w:cs="宋体"/>
          <w:color w:val="auto"/>
          <w:sz w:val="24"/>
          <w:szCs w:val="24"/>
          <w:highlight w:val="none"/>
          <w:lang w:eastAsia="zh-CN"/>
        </w:rPr>
        <w:fldChar w:fldCharType="separate"/>
      </w:r>
      <w:r>
        <w:rPr>
          <w:rFonts w:hint="eastAsia" w:ascii="宋体" w:hAnsi="宋体" w:eastAsia="宋体" w:cs="宋体"/>
          <w:color w:val="000000"/>
          <w:kern w:val="2"/>
          <w:sz w:val="24"/>
          <w:szCs w:val="24"/>
        </w:rPr>
        <w:t>在监理招标期间配合建设及相关单位解释及完善施工图相关内容。</w:t>
      </w:r>
      <w:r>
        <w:rPr>
          <w:rFonts w:hint="eastAsia" w:ascii="宋体" w:hAnsi="宋体" w:eastAsia="宋体" w:cs="宋体"/>
          <w:color w:val="auto"/>
          <w:sz w:val="24"/>
          <w:szCs w:val="24"/>
          <w:highlight w:val="none"/>
          <w:lang w:eastAsia="zh-CN"/>
        </w:rPr>
        <w:fldChar w:fldCharType="end"/>
      </w:r>
    </w:p>
    <w:p w14:paraId="23B539B1">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（3）设计工作技术总结</w:t>
      </w:r>
    </w:p>
    <w:p w14:paraId="4CFC56FD">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对设计文件及施工过程中发生的补充设计进行检查，并提出设计文件质量检查报告，在竣工验收前交</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。工程完工后，</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应组织设计技术工作人员将全部资料进行整理并撰写工程技术总结，并于竣工后一个月内完成，交</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w:t>
      </w:r>
    </w:p>
    <w:p w14:paraId="35AD9B15">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5.2.5限额设计要求：</w:t>
      </w:r>
    </w:p>
    <w:p w14:paraId="3F83A1D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若</w:t>
      </w:r>
      <w:r>
        <w:rPr>
          <w:rFonts w:hint="eastAsia" w:ascii="宋体" w:hAnsi="宋体" w:eastAsia="宋体" w:cs="宋体"/>
          <w:color w:val="auto"/>
          <w:sz w:val="24"/>
          <w:szCs w:val="24"/>
          <w:highlight w:val="none"/>
          <w:lang w:eastAsia="zh-CN"/>
        </w:rPr>
        <w:t>第三方</w:t>
      </w:r>
      <w:r>
        <w:rPr>
          <w:rFonts w:hint="eastAsia" w:ascii="宋体" w:hAnsi="宋体" w:eastAsia="宋体" w:cs="宋体"/>
          <w:color w:val="auto"/>
          <w:sz w:val="24"/>
          <w:szCs w:val="24"/>
          <w:highlight w:val="none"/>
        </w:rPr>
        <w:t>造价咨询单位按施工图编制或审核的建安工程费高于建安工程费的中标价时，</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必须无条件对施工图进行修改，直至满足限额设计要求，</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不另行增加设计费。由此造成造价咨询单位重复编制或审核施工图预算的费用由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承担，结算时在设计费中扣除。</w:t>
      </w:r>
    </w:p>
    <w:p w14:paraId="608D01FD">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不得为了用完设计限额额度，擅自扩大建设规模、增加建设内容、提高建设标准的行为，因此导致造价增加由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负责及承担费用。</w:t>
      </w:r>
    </w:p>
    <w:p w14:paraId="5D2A04E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5.3.5设计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在设计前，要充分进行市场调查，主要材料、设备在满足设计规范及建设标准的情况下，尽量采用造价管理机构发布的信息价中有相应型号、规格的标准材料，若必须采用非标准材料的，必须经</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同意，否则参照信息价中相近且低于其标准的材料信息价作为该项材料的结算价。</w:t>
      </w:r>
    </w:p>
    <w:p w14:paraId="740A0CD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5.2.6</w:t>
      </w:r>
      <w:r>
        <w:rPr>
          <w:rFonts w:hint="eastAsia" w:ascii="宋体" w:hAnsi="宋体" w:eastAsia="宋体" w:cs="宋体"/>
          <w:color w:val="auto"/>
          <w:sz w:val="24"/>
          <w:szCs w:val="24"/>
          <w:highlight w:val="none"/>
        </w:rPr>
        <w:t>设计时需要考虑与周边地块的开发相结合。</w:t>
      </w:r>
    </w:p>
    <w:p w14:paraId="1A08719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5.2.7设计成果文件要求：</w:t>
      </w:r>
    </w:p>
    <w:p w14:paraId="5313527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（1）设计</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按合同约定、招标文件内容要求、法律法规及国家强制性标准要求提供完整的设计文件</w:t>
      </w:r>
      <w:r>
        <w:rPr>
          <w:rFonts w:hint="eastAsia" w:ascii="宋体" w:hAnsi="宋体" w:eastAsia="宋体" w:cs="宋体"/>
          <w:color w:val="auto"/>
          <w:sz w:val="24"/>
          <w:szCs w:val="24"/>
          <w:highlight w:val="none"/>
          <w:lang w:eastAsia="zh-CN"/>
        </w:rPr>
        <w:t>。</w:t>
      </w:r>
    </w:p>
    <w:p w14:paraId="588E52C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（2）要求提供施工图设计文件12套。提供的所有资料均含电子版（含CAD及PDF文件格式）。</w:t>
      </w:r>
    </w:p>
    <w:p w14:paraId="6CA2CF3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5.3</w:t>
      </w:r>
      <w:r>
        <w:rPr>
          <w:rFonts w:hint="eastAsia" w:ascii="宋体" w:hAnsi="宋体" w:eastAsia="宋体" w:cs="宋体"/>
          <w:color w:val="auto"/>
          <w:sz w:val="24"/>
          <w:szCs w:val="24"/>
          <w:highlight w:val="none"/>
          <w:lang w:val="zh-CN"/>
        </w:rPr>
        <w:t>施工要求：</w:t>
      </w:r>
    </w:p>
    <w:p w14:paraId="596B22B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5.3.1施工质量要求：</w:t>
      </w:r>
      <w:r>
        <w:rPr>
          <w:rFonts w:hint="eastAsia" w:ascii="宋体" w:hAnsi="宋体" w:eastAsia="宋体" w:cs="宋体"/>
          <w:color w:val="auto"/>
          <w:sz w:val="24"/>
          <w:szCs w:val="24"/>
          <w:highlight w:val="none"/>
          <w:lang w:val="zh-CN"/>
        </w:rPr>
        <w:t>施工质量必须达到国家验收合格标准。</w:t>
      </w:r>
    </w:p>
    <w:p w14:paraId="08F7480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5.3.2</w:t>
      </w:r>
      <w:r>
        <w:rPr>
          <w:rFonts w:hint="eastAsia" w:ascii="宋体" w:hAnsi="宋体" w:eastAsia="宋体" w:cs="宋体"/>
          <w:color w:val="auto"/>
          <w:sz w:val="24"/>
          <w:szCs w:val="24"/>
          <w:highlight w:val="none"/>
        </w:rPr>
        <w:t>若因</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原因，</w:t>
      </w:r>
      <w:r>
        <w:rPr>
          <w:rFonts w:hint="eastAsia" w:ascii="宋体" w:hAnsi="宋体" w:eastAsia="宋体" w:cs="宋体"/>
          <w:color w:val="auto"/>
          <w:sz w:val="24"/>
          <w:szCs w:val="24"/>
          <w:highlight w:val="none"/>
          <w:lang w:val="en-US" w:eastAsia="zh-CN"/>
        </w:rPr>
        <w:t>工程在竣工</w:t>
      </w:r>
      <w:r>
        <w:rPr>
          <w:rFonts w:hint="eastAsia" w:ascii="宋体" w:hAnsi="宋体" w:eastAsia="宋体" w:cs="宋体"/>
          <w:color w:val="auto"/>
          <w:sz w:val="24"/>
          <w:szCs w:val="24"/>
          <w:highlight w:val="none"/>
        </w:rPr>
        <w:t>验收时没有达到</w:t>
      </w:r>
      <w:r>
        <w:rPr>
          <w:rFonts w:hint="eastAsia" w:ascii="宋体" w:hAnsi="宋体" w:eastAsia="宋体" w:cs="宋体"/>
          <w:color w:val="auto"/>
          <w:sz w:val="24"/>
          <w:szCs w:val="24"/>
          <w:highlight w:val="none"/>
          <w:lang w:val="zh-CN"/>
        </w:rPr>
        <w:t>国家验收合格标准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按合同价款的1％向</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返纳质量违约金。</w:t>
      </w:r>
    </w:p>
    <w:p w14:paraId="500A306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5.3.3施工单位</w:t>
      </w:r>
      <w:r>
        <w:rPr>
          <w:rFonts w:hint="eastAsia" w:ascii="宋体" w:hAnsi="宋体" w:eastAsia="宋体" w:cs="宋体"/>
          <w:color w:val="auto"/>
          <w:sz w:val="24"/>
          <w:szCs w:val="24"/>
          <w:highlight w:val="none"/>
        </w:rPr>
        <w:t>在施工中如果工程质量不符合设计要求或有关规定，</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或监理单位要求停工和返工的必须立即执行，并承担由此产生的各种费用，工期不予顺延。</w:t>
      </w:r>
    </w:p>
    <w:p w14:paraId="761163F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5.3.4</w:t>
      </w:r>
      <w:r>
        <w:rPr>
          <w:rFonts w:hint="eastAsia" w:ascii="宋体" w:hAnsi="宋体" w:eastAsia="宋体" w:cs="宋体"/>
          <w:color w:val="auto"/>
          <w:sz w:val="24"/>
          <w:szCs w:val="24"/>
          <w:highlight w:val="none"/>
        </w:rPr>
        <w:t>保修期限按中华人民共和国国务院令第279号文《建设工程质量管理条例》规定执行，在保修期内因施工质量问题而造成返修，一切费用由</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负责。</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在向</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提交竣工验收报告时，应当向</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出具质量保修书。质量保修书中应当明确建设工程的保修范围、保修期限和保修责任等。</w:t>
      </w:r>
    </w:p>
    <w:p w14:paraId="3680415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5.3.5</w:t>
      </w:r>
      <w:r>
        <w:rPr>
          <w:rFonts w:hint="eastAsia" w:ascii="宋体" w:hAnsi="宋体" w:eastAsia="宋体" w:cs="宋体"/>
          <w:color w:val="auto"/>
          <w:sz w:val="24"/>
          <w:szCs w:val="24"/>
          <w:highlight w:val="none"/>
        </w:rPr>
        <w:t>项目使用的主要材料质量要求必须符合本项目达到验收合格标准的要求。主要材料必须先提供样板给</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确定其颜色、等级等，并经发包人委托的检测机构检测合格方可使用。</w:t>
      </w:r>
      <w:bookmarkStart w:id="79" w:name="OLE_LINK1"/>
      <w:bookmarkStart w:id="80" w:name="OLE_LINK2"/>
    </w:p>
    <w:p w14:paraId="07F1A65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5.3.6</w:t>
      </w:r>
      <w:r>
        <w:rPr>
          <w:rFonts w:hint="eastAsia" w:ascii="宋体" w:hAnsi="宋体" w:eastAsia="宋体" w:cs="宋体"/>
          <w:color w:val="auto"/>
          <w:sz w:val="24"/>
          <w:szCs w:val="24"/>
          <w:highlight w:val="none"/>
        </w:rPr>
        <w:t>为保证施工现场的环境卫生，</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在本工程施工过程中，所有的车辆必须按</w:t>
      </w:r>
      <w:r>
        <w:rPr>
          <w:rFonts w:hint="eastAsia" w:ascii="宋体" w:hAnsi="宋体" w:eastAsia="宋体" w:cs="宋体"/>
          <w:color w:val="auto"/>
          <w:sz w:val="24"/>
          <w:szCs w:val="24"/>
          <w:highlight w:val="none"/>
          <w:lang w:val="zh-CN"/>
        </w:rPr>
        <w:t>发包人</w:t>
      </w:r>
      <w:r>
        <w:rPr>
          <w:rFonts w:hint="eastAsia" w:ascii="宋体" w:hAnsi="宋体" w:eastAsia="宋体" w:cs="宋体"/>
          <w:color w:val="auto"/>
          <w:sz w:val="24"/>
          <w:szCs w:val="24"/>
          <w:highlight w:val="none"/>
        </w:rPr>
        <w:t>规定的行车路线行驶。并负责施工现场及受施工影响周边道路的卫生。</w:t>
      </w:r>
    </w:p>
    <w:p w14:paraId="7AA284E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5.3.7施工单位</w:t>
      </w:r>
      <w:r>
        <w:rPr>
          <w:rFonts w:hint="eastAsia" w:ascii="宋体" w:hAnsi="宋体" w:eastAsia="宋体" w:cs="宋体"/>
          <w:color w:val="auto"/>
          <w:sz w:val="24"/>
          <w:szCs w:val="24"/>
          <w:highlight w:val="none"/>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ascii="宋体" w:hAnsi="宋体" w:eastAsia="宋体" w:cs="宋体"/>
          <w:color w:val="auto"/>
          <w:sz w:val="24"/>
          <w:szCs w:val="24"/>
          <w:highlight w:val="none"/>
          <w:lang w:val="en-US" w:eastAsia="zh-CN"/>
        </w:rPr>
        <w:t>施工单位</w:t>
      </w:r>
      <w:r>
        <w:rPr>
          <w:rFonts w:hint="eastAsia" w:ascii="宋体" w:hAnsi="宋体" w:eastAsia="宋体" w:cs="宋体"/>
          <w:color w:val="auto"/>
          <w:sz w:val="24"/>
          <w:szCs w:val="24"/>
          <w:highlight w:val="none"/>
        </w:rPr>
        <w:t>承担。</w:t>
      </w:r>
    </w:p>
    <w:p w14:paraId="73231E1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5.3.8施工单位</w:t>
      </w:r>
      <w:r>
        <w:rPr>
          <w:rFonts w:hint="eastAsia" w:ascii="宋体" w:hAnsi="宋体" w:eastAsia="宋体" w:cs="宋体"/>
          <w:color w:val="auto"/>
          <w:sz w:val="24"/>
          <w:szCs w:val="24"/>
          <w:highlight w:val="none"/>
        </w:rPr>
        <w:t>应按安全施工有关规定，采取严格、科学的安全防护措施，确保施工和人员（包括第三者）的安全，承担由于自身安全防护措施不力所造成的安全事故责任和发生的费用。</w:t>
      </w:r>
    </w:p>
    <w:p w14:paraId="550F9165">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5.4</w:t>
      </w:r>
      <w:r>
        <w:rPr>
          <w:rFonts w:hint="eastAsia" w:ascii="宋体" w:hAnsi="宋体" w:eastAsia="宋体" w:cs="宋体"/>
          <w:color w:val="auto"/>
          <w:sz w:val="24"/>
          <w:szCs w:val="24"/>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9"/>
      <w:bookmarkEnd w:id="80"/>
    </w:p>
    <w:p w14:paraId="5EA0747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凡参加本次招标的投标人被视为已充分认识和理解了任何与本工程有关的影响事项和困难等情况。</w:t>
      </w:r>
    </w:p>
    <w:p w14:paraId="2E91065A">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（注：上述招标内容招标人在实施过程中可根据实际情况对工程规模、任务内容等进行合理、适当调整。）</w:t>
      </w:r>
    </w:p>
    <w:p w14:paraId="2AD382F3">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81" w:name="_Toc20827"/>
      <w:bookmarkStart w:id="82" w:name="_Toc17958"/>
      <w:bookmarkStart w:id="83" w:name="_Toc24793"/>
      <w:bookmarkStart w:id="84" w:name="_Toc12891"/>
      <w:bookmarkStart w:id="85" w:name="_Toc26247"/>
      <w:bookmarkStart w:id="86" w:name="_Toc3193"/>
      <w:bookmarkStart w:id="87" w:name="_Toc19911"/>
      <w:bookmarkStart w:id="88" w:name="_Toc16432"/>
      <w:bookmarkStart w:id="89" w:name="_Toc10812"/>
      <w:r>
        <w:rPr>
          <w:rFonts w:hint="eastAsia" w:ascii="宋体" w:hAnsi="宋体" w:eastAsia="宋体" w:cs="宋体"/>
          <w:b/>
          <w:color w:val="auto"/>
          <w:kern w:val="2"/>
          <w:sz w:val="24"/>
          <w:szCs w:val="24"/>
          <w:highlight w:val="none"/>
        </w:rPr>
        <w:t>6 、招标工程施工条件及现场踏勘</w:t>
      </w:r>
      <w:bookmarkEnd w:id="81"/>
      <w:bookmarkEnd w:id="82"/>
      <w:bookmarkEnd w:id="83"/>
      <w:bookmarkEnd w:id="84"/>
      <w:bookmarkEnd w:id="85"/>
      <w:bookmarkEnd w:id="86"/>
      <w:bookmarkEnd w:id="87"/>
      <w:bookmarkEnd w:id="88"/>
      <w:bookmarkEnd w:id="89"/>
    </w:p>
    <w:p w14:paraId="5ECF166D">
      <w:pPr>
        <w:pStyle w:val="46"/>
        <w:pageBreakBefore w:val="0"/>
        <w:kinsoku/>
        <w:overflowPunct/>
        <w:topLinePunct w:val="0"/>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6.1本工程招标人仅在征地红线范围内提供场地，其他一切场地费用由中标人自行负责（含临时道路）。</w:t>
      </w:r>
    </w:p>
    <w:p w14:paraId="2B010E93">
      <w:pPr>
        <w:pageBreakBefore w:val="0"/>
        <w:kinsoku/>
        <w:wordWrap w:val="0"/>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 xml:space="preserve"> 6.2 施工用水：</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施工用水及水源由中标人自行解决，费用含在投标报价中，不另计</w:t>
      </w:r>
      <w:r>
        <w:rPr>
          <w:rFonts w:hint="eastAsia" w:ascii="宋体" w:hAnsi="宋体" w:eastAsia="宋体" w:cs="宋体"/>
          <w:color w:val="auto"/>
          <w:kern w:val="0"/>
          <w:sz w:val="24"/>
          <w:szCs w:val="24"/>
          <w:highlight w:val="none"/>
          <w:u w:val="single"/>
        </w:rPr>
        <w:t>。</w:t>
      </w:r>
    </w:p>
    <w:p w14:paraId="3F230B3D">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6.3 施工用电：</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施工用电及电源由中标人自行解决，费用含在投标报价中，不另计</w:t>
      </w:r>
      <w:r>
        <w:rPr>
          <w:rFonts w:hint="eastAsia" w:ascii="宋体" w:hAnsi="宋体" w:eastAsia="宋体" w:cs="宋体"/>
          <w:color w:val="auto"/>
          <w:kern w:val="0"/>
          <w:sz w:val="24"/>
          <w:szCs w:val="24"/>
          <w:highlight w:val="none"/>
          <w:u w:val="single"/>
        </w:rPr>
        <w:t>。</w:t>
      </w:r>
    </w:p>
    <w:p w14:paraId="510834A0">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6.4施工用水、用电由中标人负责报装并接入施工红线范围，并由中标人负责购置及安装满足施工所需的临时用电变压器、水表、电表，其水、电费按工程所在地</w:t>
      </w:r>
      <w:r>
        <w:rPr>
          <w:rFonts w:hint="eastAsia" w:ascii="宋体" w:hAnsi="宋体" w:eastAsia="宋体" w:cs="宋体"/>
          <w:color w:val="auto"/>
          <w:sz w:val="24"/>
          <w:szCs w:val="24"/>
          <w:highlight w:val="none"/>
          <w:u w:val="single"/>
        </w:rPr>
        <w:t>南雄市</w:t>
      </w:r>
      <w:r>
        <w:rPr>
          <w:rFonts w:hint="eastAsia" w:ascii="宋体" w:hAnsi="宋体" w:eastAsia="宋体" w:cs="宋体"/>
          <w:color w:val="auto"/>
          <w:sz w:val="24"/>
          <w:szCs w:val="24"/>
          <w:highlight w:val="none"/>
        </w:rPr>
        <w:t>基建工程水、电计费标准计算并由中标人缴纳，相关线路、管路费用及安装费用以及购置及安装临时用电变压器的费用由中标人自行承担。</w:t>
      </w:r>
    </w:p>
    <w:p w14:paraId="471F26DB">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45EF4A58">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6.6在现场踏勘过程中，投标人应确保自身安全，投标人如果发生人身伤亡、财物或其他损失，法律法规有规定的按有关规定处理，没有规定的由投标人自行负责。</w:t>
      </w:r>
    </w:p>
    <w:p w14:paraId="2A87714B">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6.7现场踏勘期间的交通、食宿由投标人自行安排，费用自理。</w:t>
      </w:r>
    </w:p>
    <w:p w14:paraId="5AB33986">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bCs/>
          <w:color w:val="auto"/>
          <w:sz w:val="24"/>
          <w:szCs w:val="24"/>
          <w:highlight w:val="none"/>
        </w:rPr>
      </w:pPr>
      <w:bookmarkStart w:id="90" w:name="_Toc22798"/>
      <w:bookmarkStart w:id="91" w:name="_Toc25942"/>
      <w:bookmarkStart w:id="92" w:name="_Toc22484"/>
      <w:bookmarkStart w:id="93" w:name="_Toc27595"/>
      <w:bookmarkStart w:id="94" w:name="_Toc17548"/>
      <w:bookmarkStart w:id="95" w:name="_Toc23962"/>
      <w:bookmarkStart w:id="96" w:name="_Toc3294"/>
      <w:bookmarkStart w:id="97" w:name="_Toc5795"/>
      <w:bookmarkStart w:id="98" w:name="_Toc8518"/>
      <w:r>
        <w:rPr>
          <w:rFonts w:hint="eastAsia" w:ascii="宋体" w:hAnsi="宋体" w:eastAsia="宋体" w:cs="宋体"/>
          <w:b/>
          <w:color w:val="auto"/>
          <w:kern w:val="2"/>
          <w:sz w:val="24"/>
          <w:szCs w:val="24"/>
          <w:highlight w:val="none"/>
        </w:rPr>
        <w:t xml:space="preserve">7 </w:t>
      </w:r>
      <w:bookmarkStart w:id="99" w:name="_Toc488220856"/>
      <w:bookmarkStart w:id="100" w:name="_Toc371968705"/>
      <w:r>
        <w:rPr>
          <w:rFonts w:hint="eastAsia" w:ascii="宋体" w:hAnsi="宋体" w:eastAsia="宋体" w:cs="宋体"/>
          <w:b/>
          <w:color w:val="auto"/>
          <w:kern w:val="2"/>
          <w:sz w:val="24"/>
          <w:szCs w:val="24"/>
          <w:highlight w:val="none"/>
        </w:rPr>
        <w:t>、其他招标说明</w:t>
      </w:r>
      <w:bookmarkEnd w:id="90"/>
      <w:bookmarkEnd w:id="91"/>
      <w:bookmarkEnd w:id="92"/>
      <w:bookmarkEnd w:id="93"/>
      <w:bookmarkEnd w:id="94"/>
      <w:bookmarkEnd w:id="95"/>
      <w:bookmarkEnd w:id="96"/>
      <w:bookmarkEnd w:id="97"/>
      <w:bookmarkEnd w:id="98"/>
      <w:bookmarkEnd w:id="99"/>
    </w:p>
    <w:bookmarkEnd w:id="100"/>
    <w:p w14:paraId="33292900">
      <w:pPr>
        <w:pageBreakBefore w:val="0"/>
        <w:kinsoku/>
        <w:wordWrap w:val="0"/>
        <w:overflowPunct/>
        <w:topLinePunct w:val="0"/>
        <w:bidi w:val="0"/>
        <w:snapToGrid w:val="0"/>
        <w:spacing w:line="440" w:lineRule="exact"/>
        <w:ind w:firstLine="480"/>
        <w:textAlignment w:val="auto"/>
        <w:rPr>
          <w:rFonts w:hint="eastAsia" w:ascii="宋体" w:hAnsi="宋体" w:eastAsia="宋体" w:cs="宋体"/>
          <w:b/>
          <w:snapToGrid w:val="0"/>
          <w:color w:val="auto"/>
          <w:sz w:val="24"/>
          <w:szCs w:val="24"/>
          <w:highlight w:val="none"/>
        </w:rPr>
      </w:pPr>
      <w:bookmarkStart w:id="101" w:name="_Toc28014"/>
      <w:bookmarkStart w:id="102" w:name="_Toc10210"/>
      <w:r>
        <w:rPr>
          <w:rFonts w:hint="eastAsia" w:ascii="宋体" w:hAnsi="宋体" w:eastAsia="宋体" w:cs="宋体"/>
          <w:b/>
          <w:snapToGrid w:val="0"/>
          <w:color w:val="auto"/>
          <w:sz w:val="24"/>
          <w:szCs w:val="24"/>
          <w:highlight w:val="none"/>
        </w:rPr>
        <w:t>7.1．</w:t>
      </w:r>
      <w:r>
        <w:rPr>
          <w:rStyle w:val="25"/>
          <w:rFonts w:hint="eastAsia" w:ascii="宋体" w:hAnsi="宋体" w:eastAsia="宋体" w:cs="宋体"/>
          <w:color w:val="auto"/>
          <w:sz w:val="24"/>
          <w:szCs w:val="24"/>
          <w:highlight w:val="none"/>
          <w:shd w:val="clear" w:color="auto" w:fill="FFFFFF"/>
        </w:rPr>
        <w:t>获取招标文件</w:t>
      </w:r>
      <w:bookmarkEnd w:id="101"/>
      <w:bookmarkEnd w:id="102"/>
    </w:p>
    <w:p w14:paraId="03DC6FD3">
      <w:pPr>
        <w:pStyle w:val="21"/>
        <w:pageBreakBefore w:val="0"/>
        <w:widowControl w:val="0"/>
        <w:kinsoku/>
        <w:wordWrap w:val="0"/>
        <w:overflowPunct/>
        <w:topLinePunct w:val="0"/>
        <w:bidi w:val="0"/>
        <w:adjustRightInd w:val="0"/>
        <w:snapToGrid w:val="0"/>
        <w:spacing w:beforeAutospacing="0" w:afterAutospacing="0" w:line="440" w:lineRule="exact"/>
        <w:ind w:firstLine="482"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b/>
          <w:bCs/>
          <w:snapToGrid w:val="0"/>
          <w:color w:val="auto"/>
          <w:sz w:val="24"/>
          <w:szCs w:val="24"/>
          <w:highlight w:val="none"/>
        </w:rPr>
        <w:t>7.1.1</w:t>
      </w:r>
      <w:r>
        <w:rPr>
          <w:rFonts w:hint="eastAsia" w:ascii="宋体" w:hAnsi="宋体" w:eastAsia="宋体" w:cs="宋体"/>
          <w:snapToGrid w:val="0"/>
          <w:color w:val="auto"/>
          <w:sz w:val="24"/>
          <w:szCs w:val="24"/>
          <w:highlight w:val="none"/>
        </w:rPr>
        <w:t>本次招标实行电子投标。</w:t>
      </w:r>
      <w:r>
        <w:rPr>
          <w:rFonts w:hint="eastAsia" w:ascii="宋体" w:hAnsi="宋体" w:eastAsia="宋体" w:cs="宋体"/>
          <w:color w:val="auto"/>
          <w:sz w:val="24"/>
          <w:szCs w:val="24"/>
          <w:highlight w:val="none"/>
          <w:shd w:val="clear" w:color="auto" w:fill="FFFFFF"/>
        </w:rPr>
        <w:t>本项目招标文件随招标公告一并在</w:t>
      </w:r>
      <w:r>
        <w:rPr>
          <w:rFonts w:hint="eastAsia" w:ascii="宋体" w:hAnsi="宋体" w:eastAsia="宋体" w:cs="宋体"/>
          <w:bCs/>
          <w:snapToGrid w:val="0"/>
          <w:color w:val="auto"/>
          <w:sz w:val="24"/>
          <w:szCs w:val="24"/>
          <w:highlight w:val="none"/>
        </w:rPr>
        <w:t>广东省招标投标监管网http://zbtb.gd.gov.cn、</w:t>
      </w:r>
      <w:r>
        <w:rPr>
          <w:rFonts w:hint="eastAsia" w:ascii="宋体" w:hAnsi="宋体" w:eastAsia="宋体" w:cs="宋体"/>
          <w:color w:val="auto"/>
          <w:sz w:val="24"/>
          <w:szCs w:val="24"/>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宋体" w:hAnsi="宋体" w:eastAsia="宋体" w:cs="宋体"/>
          <w:snapToGrid w:val="0"/>
          <w:color w:val="auto"/>
          <w:sz w:val="24"/>
          <w:szCs w:val="24"/>
          <w:highlight w:val="none"/>
        </w:rPr>
        <w:t>期间</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snapToGrid w:val="0"/>
          <w:color w:val="auto"/>
          <w:sz w:val="24"/>
          <w:szCs w:val="24"/>
          <w:highlight w:val="none"/>
        </w:rPr>
        <w:t>见本章第二节“重要事项时间地点一览表”，招标文件获取期间与招标公告发布时间一致</w:t>
      </w:r>
      <w:r>
        <w:rPr>
          <w:rFonts w:hint="eastAsia" w:ascii="宋体" w:hAnsi="宋体" w:eastAsia="宋体" w:cs="宋体"/>
          <w:color w:val="auto"/>
          <w:sz w:val="24"/>
          <w:szCs w:val="24"/>
          <w:highlight w:val="none"/>
          <w:shd w:val="clear" w:color="auto" w:fill="FFFFFF"/>
        </w:rPr>
        <w:t>），投标人须登录全国公共资源交易平台（广东省·韶关市）（https://ygp.gdzwfw.gov.cn/ggzy-portal/#/440200/index）</w:t>
      </w:r>
      <w:r>
        <w:rPr>
          <w:rFonts w:hint="eastAsia" w:ascii="宋体" w:hAnsi="宋体" w:eastAsia="宋体" w:cs="宋体"/>
          <w:snapToGrid w:val="0"/>
          <w:color w:val="auto"/>
          <w:sz w:val="24"/>
          <w:szCs w:val="24"/>
          <w:highlight w:val="none"/>
        </w:rPr>
        <w:t>下载</w:t>
      </w:r>
      <w:r>
        <w:rPr>
          <w:rFonts w:hint="eastAsia" w:ascii="宋体" w:hAnsi="宋体" w:eastAsia="宋体" w:cs="宋体"/>
          <w:color w:val="auto"/>
          <w:sz w:val="24"/>
          <w:szCs w:val="24"/>
          <w:highlight w:val="none"/>
          <w:shd w:val="clear" w:color="auto" w:fill="FFFFFF"/>
        </w:rPr>
        <w:t>招标文件及相关附件，并于电子投标截止时间（</w:t>
      </w:r>
      <w:r>
        <w:rPr>
          <w:rFonts w:hint="eastAsia" w:ascii="宋体" w:hAnsi="宋体" w:eastAsia="宋体" w:cs="宋体"/>
          <w:snapToGrid w:val="0"/>
          <w:color w:val="auto"/>
          <w:sz w:val="24"/>
          <w:szCs w:val="24"/>
          <w:highlight w:val="none"/>
        </w:rPr>
        <w:t>见本章第二节“重要事项时间地点一览表”</w:t>
      </w:r>
      <w:r>
        <w:rPr>
          <w:rFonts w:hint="eastAsia" w:ascii="宋体" w:hAnsi="宋体" w:eastAsia="宋体" w:cs="宋体"/>
          <w:color w:val="auto"/>
          <w:sz w:val="24"/>
          <w:szCs w:val="24"/>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5B5570FB">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b/>
          <w:bCs/>
          <w:snapToGrid w:val="0"/>
          <w:color w:val="auto"/>
          <w:kern w:val="0"/>
          <w:sz w:val="24"/>
          <w:szCs w:val="24"/>
          <w:highlight w:val="none"/>
        </w:rPr>
        <w:t xml:space="preserve">7.1.2 </w:t>
      </w:r>
      <w:r>
        <w:rPr>
          <w:rFonts w:hint="eastAsia" w:ascii="宋体" w:hAnsi="宋体" w:eastAsia="宋体" w:cs="宋体"/>
          <w:color w:val="auto"/>
          <w:sz w:val="24"/>
          <w:szCs w:val="24"/>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28659A5A">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54410194">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2FAC4A53">
      <w:pPr>
        <w:pageBreakBefore w:val="0"/>
        <w:tabs>
          <w:tab w:val="left" w:pos="7020"/>
        </w:tabs>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snapToGrid w:val="0"/>
          <w:color w:val="auto"/>
          <w:sz w:val="24"/>
          <w:szCs w:val="24"/>
          <w:highlight w:val="none"/>
        </w:rPr>
        <w:t>。</w:t>
      </w:r>
    </w:p>
    <w:p w14:paraId="2E6FFE4B">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1A9D54ED">
      <w:pPr>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7.3 </w:t>
      </w:r>
      <w:r>
        <w:rPr>
          <w:rFonts w:hint="eastAsia" w:ascii="宋体" w:hAnsi="宋体" w:eastAsia="宋体" w:cs="宋体"/>
          <w:b/>
          <w:bCs/>
          <w:color w:val="auto"/>
          <w:sz w:val="24"/>
          <w:szCs w:val="24"/>
          <w:highlight w:val="none"/>
        </w:rPr>
        <w:t>纪律与保密要求：</w:t>
      </w:r>
    </w:p>
    <w:p w14:paraId="2C94A632">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w:t>
      </w:r>
      <w:r>
        <w:rPr>
          <w:rFonts w:hint="eastAsia" w:ascii="宋体" w:hAnsi="宋体" w:eastAsia="宋体" w:cs="宋体"/>
          <w:b/>
          <w:color w:val="auto"/>
          <w:sz w:val="24"/>
          <w:szCs w:val="24"/>
          <w:highlight w:val="none"/>
        </w:rPr>
        <w:t>对招标人的纪律要求</w:t>
      </w:r>
      <w:r>
        <w:rPr>
          <w:rFonts w:hint="eastAsia" w:ascii="宋体" w:hAnsi="宋体" w:eastAsia="宋体" w:cs="宋体"/>
          <w:color w:val="auto"/>
          <w:sz w:val="24"/>
          <w:szCs w:val="24"/>
          <w:highlight w:val="none"/>
        </w:rPr>
        <w:t>：招标人不得泄露招标投标活动中应当保密的情况和资料，不得与投标人串通损害国家利益、社会公共利益或者他人合法权益。</w:t>
      </w:r>
    </w:p>
    <w:p w14:paraId="5359BD06">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7.3.2 </w:t>
      </w:r>
      <w:r>
        <w:rPr>
          <w:rFonts w:hint="eastAsia" w:ascii="宋体" w:hAnsi="宋体" w:eastAsia="宋体" w:cs="宋体"/>
          <w:b/>
          <w:color w:val="auto"/>
          <w:sz w:val="24"/>
          <w:szCs w:val="24"/>
          <w:highlight w:val="none"/>
        </w:rPr>
        <w:t>对投标人的纪律要求</w:t>
      </w:r>
      <w:r>
        <w:rPr>
          <w:rFonts w:hint="eastAsia" w:ascii="宋体" w:hAnsi="宋体" w:eastAsia="宋体" w:cs="宋体"/>
          <w:color w:val="auto"/>
          <w:sz w:val="24"/>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5CBC986">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7.3.3 </w:t>
      </w:r>
      <w:r>
        <w:rPr>
          <w:rFonts w:hint="eastAsia" w:ascii="宋体" w:hAnsi="宋体" w:eastAsia="宋体" w:cs="宋体"/>
          <w:color w:val="auto"/>
          <w:spacing w:val="8"/>
          <w:sz w:val="24"/>
          <w:szCs w:val="24"/>
          <w:highlight w:val="none"/>
        </w:rPr>
        <w:t>参与招</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投标活</w:t>
      </w:r>
      <w:r>
        <w:rPr>
          <w:rFonts w:hint="eastAsia" w:ascii="宋体" w:hAnsi="宋体" w:eastAsia="宋体" w:cs="宋体"/>
          <w:color w:val="auto"/>
          <w:sz w:val="24"/>
          <w:szCs w:val="24"/>
          <w:highlight w:val="none"/>
        </w:rPr>
        <w:t>动</w:t>
      </w:r>
      <w:r>
        <w:rPr>
          <w:rFonts w:hint="eastAsia" w:ascii="宋体" w:hAnsi="宋体" w:eastAsia="宋体" w:cs="宋体"/>
          <w:color w:val="auto"/>
          <w:spacing w:val="8"/>
          <w:sz w:val="24"/>
          <w:szCs w:val="24"/>
          <w:highlight w:val="none"/>
        </w:rPr>
        <w:t>的各方</w:t>
      </w:r>
      <w:r>
        <w:rPr>
          <w:rFonts w:hint="eastAsia" w:ascii="宋体" w:hAnsi="宋体" w:eastAsia="宋体" w:cs="宋体"/>
          <w:color w:val="auto"/>
          <w:sz w:val="24"/>
          <w:szCs w:val="24"/>
          <w:highlight w:val="none"/>
        </w:rPr>
        <w:t>应</w:t>
      </w:r>
      <w:r>
        <w:rPr>
          <w:rFonts w:hint="eastAsia" w:ascii="宋体" w:hAnsi="宋体" w:eastAsia="宋体" w:cs="宋体"/>
          <w:color w:val="auto"/>
          <w:spacing w:val="8"/>
          <w:sz w:val="24"/>
          <w:szCs w:val="24"/>
          <w:highlight w:val="none"/>
        </w:rPr>
        <w:t>对招标</w:t>
      </w:r>
      <w:r>
        <w:rPr>
          <w:rFonts w:hint="eastAsia" w:ascii="宋体" w:hAnsi="宋体" w:eastAsia="宋体" w:cs="宋体"/>
          <w:color w:val="auto"/>
          <w:sz w:val="24"/>
          <w:szCs w:val="24"/>
          <w:highlight w:val="none"/>
        </w:rPr>
        <w:t>文</w:t>
      </w:r>
      <w:r>
        <w:rPr>
          <w:rFonts w:hint="eastAsia" w:ascii="宋体" w:hAnsi="宋体" w:eastAsia="宋体" w:cs="宋体"/>
          <w:color w:val="auto"/>
          <w:spacing w:val="8"/>
          <w:sz w:val="24"/>
          <w:szCs w:val="24"/>
          <w:highlight w:val="none"/>
        </w:rPr>
        <w:t>件和投</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文件中</w:t>
      </w:r>
      <w:r>
        <w:rPr>
          <w:rFonts w:hint="eastAsia" w:ascii="宋体" w:hAnsi="宋体" w:eastAsia="宋体" w:cs="宋体"/>
          <w:color w:val="auto"/>
          <w:sz w:val="24"/>
          <w:szCs w:val="24"/>
          <w:highlight w:val="none"/>
        </w:rPr>
        <w:t>的</w:t>
      </w:r>
      <w:r>
        <w:rPr>
          <w:rFonts w:hint="eastAsia" w:ascii="宋体" w:hAnsi="宋体" w:eastAsia="宋体" w:cs="宋体"/>
          <w:color w:val="auto"/>
          <w:spacing w:val="8"/>
          <w:sz w:val="24"/>
          <w:szCs w:val="24"/>
          <w:highlight w:val="none"/>
        </w:rPr>
        <w:t>商业和</w:t>
      </w:r>
      <w:r>
        <w:rPr>
          <w:rFonts w:hint="eastAsia" w:ascii="宋体" w:hAnsi="宋体" w:eastAsia="宋体" w:cs="宋体"/>
          <w:color w:val="auto"/>
          <w:sz w:val="24"/>
          <w:szCs w:val="24"/>
          <w:highlight w:val="none"/>
        </w:rPr>
        <w:t>技</w:t>
      </w:r>
      <w:r>
        <w:rPr>
          <w:rFonts w:hint="eastAsia" w:ascii="宋体" w:hAnsi="宋体" w:eastAsia="宋体" w:cs="宋体"/>
          <w:color w:val="auto"/>
          <w:spacing w:val="8"/>
          <w:sz w:val="24"/>
          <w:szCs w:val="24"/>
          <w:highlight w:val="none"/>
        </w:rPr>
        <w:t>术等秘密</w:t>
      </w:r>
      <w:r>
        <w:rPr>
          <w:rFonts w:hint="eastAsia" w:ascii="宋体" w:hAnsi="宋体" w:eastAsia="宋体" w:cs="宋体"/>
          <w:color w:val="auto"/>
          <w:sz w:val="24"/>
          <w:szCs w:val="24"/>
          <w:highlight w:val="none"/>
        </w:rPr>
        <w:t>保密，违者应对由此造成的后果承担法律责任。</w:t>
      </w:r>
      <w:bookmarkStart w:id="103" w:name="_Toc371968706"/>
    </w:p>
    <w:p w14:paraId="2B58F46F">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w:t>
      </w:r>
      <w:bookmarkStart w:id="104" w:name="_Toc143766459"/>
      <w:bookmarkStart w:id="105" w:name="_Toc353462300"/>
      <w:bookmarkStart w:id="106" w:name="_Toc353462191"/>
      <w:r>
        <w:rPr>
          <w:rFonts w:hint="eastAsia" w:ascii="宋体" w:hAnsi="宋体" w:eastAsia="宋体" w:cs="宋体"/>
          <w:color w:val="auto"/>
          <w:sz w:val="24"/>
          <w:szCs w:val="24"/>
          <w:highlight w:val="none"/>
        </w:rPr>
        <w:t xml:space="preserve">4 </w:t>
      </w:r>
      <w:r>
        <w:rPr>
          <w:rFonts w:hint="eastAsia" w:ascii="宋体" w:hAnsi="宋体" w:eastAsia="宋体" w:cs="宋体"/>
          <w:b/>
          <w:bCs/>
          <w:color w:val="auto"/>
          <w:sz w:val="24"/>
          <w:szCs w:val="24"/>
          <w:highlight w:val="none"/>
        </w:rPr>
        <w:t>语言、计量及投标费用</w:t>
      </w:r>
      <w:bookmarkEnd w:id="103"/>
      <w:bookmarkEnd w:id="104"/>
      <w:bookmarkEnd w:id="105"/>
      <w:bookmarkEnd w:id="106"/>
      <w:r>
        <w:rPr>
          <w:rFonts w:hint="eastAsia" w:ascii="宋体" w:hAnsi="宋体" w:eastAsia="宋体" w:cs="宋体"/>
          <w:b/>
          <w:bCs/>
          <w:color w:val="auto"/>
          <w:sz w:val="24"/>
          <w:szCs w:val="24"/>
          <w:highlight w:val="none"/>
        </w:rPr>
        <w:t>：</w:t>
      </w:r>
    </w:p>
    <w:p w14:paraId="402C533F">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7.4.1 除专用术语外</w:t>
      </w:r>
      <w:r>
        <w:rPr>
          <w:rFonts w:hint="eastAsia" w:ascii="宋体" w:hAnsi="宋体" w:eastAsia="宋体" w:cs="宋体"/>
          <w:color w:val="auto"/>
          <w:spacing w:val="-80"/>
          <w:sz w:val="24"/>
          <w:szCs w:val="24"/>
          <w:highlight w:val="none"/>
        </w:rPr>
        <w:t>，</w:t>
      </w:r>
      <w:r>
        <w:rPr>
          <w:rFonts w:hint="eastAsia" w:ascii="宋体" w:hAnsi="宋体" w:eastAsia="宋体" w:cs="宋体"/>
          <w:color w:val="auto"/>
          <w:sz w:val="24"/>
          <w:szCs w:val="24"/>
          <w:highlight w:val="none"/>
        </w:rPr>
        <w:t>与招标投标有关的语言均使用中文</w:t>
      </w:r>
      <w:r>
        <w:rPr>
          <w:rFonts w:hint="eastAsia" w:ascii="宋体" w:hAnsi="宋体" w:eastAsia="宋体" w:cs="宋体"/>
          <w:color w:val="auto"/>
          <w:spacing w:val="-80"/>
          <w:sz w:val="24"/>
          <w:szCs w:val="24"/>
          <w:highlight w:val="none"/>
        </w:rPr>
        <w:t>。</w:t>
      </w:r>
    </w:p>
    <w:p w14:paraId="5744362C">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7.4.2 所有计量均采用中华人民共和国法定计量单位。</w:t>
      </w:r>
    </w:p>
    <w:p w14:paraId="2A2EB494">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7.4.3 招标文件、投标文件中所指的币种均为人民币。</w:t>
      </w:r>
    </w:p>
    <w:p w14:paraId="78B390C9">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7.4.4 投标人准备和参加投标活动发生的所有费用自理。</w:t>
      </w:r>
      <w:bookmarkStart w:id="107" w:name="_Toc371968707"/>
    </w:p>
    <w:p w14:paraId="33F416FE">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7.5</w:t>
      </w:r>
      <w:r>
        <w:rPr>
          <w:rFonts w:hint="eastAsia" w:ascii="宋体" w:hAnsi="宋体" w:eastAsia="宋体" w:cs="宋体"/>
          <w:b/>
          <w:bCs/>
          <w:color w:val="auto"/>
          <w:sz w:val="24"/>
          <w:szCs w:val="24"/>
          <w:highlight w:val="none"/>
        </w:rPr>
        <w:t>知识产权和专利权</w:t>
      </w:r>
      <w:bookmarkEnd w:id="107"/>
      <w:r>
        <w:rPr>
          <w:rFonts w:hint="eastAsia" w:ascii="宋体" w:hAnsi="宋体" w:eastAsia="宋体" w:cs="宋体"/>
          <w:b/>
          <w:bCs/>
          <w:color w:val="auto"/>
          <w:sz w:val="24"/>
          <w:szCs w:val="24"/>
          <w:highlight w:val="none"/>
        </w:rPr>
        <w:t>：</w:t>
      </w:r>
    </w:p>
    <w:p w14:paraId="7B35AA6A">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7.5.1 投标人保证投标文件及资料均未侵犯他人的知识产权，否则必须承担全部责任。若投标人使用了他人的专利、专有技术，涉及的费用由投标人负责。投标价应包括所有应支付的对专利权和版权、设计和其他知识产权而需要向其他方支付的版税。</w:t>
      </w:r>
    </w:p>
    <w:p w14:paraId="072DC45F">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7.5.2 中标人应保证招标人在本项目建设过程中使用其设计文件和设计文件的任何一部分时，招标人免受第三方提出侵犯其专利权、商标权或其他知识产权的起诉。</w:t>
      </w:r>
    </w:p>
    <w:p w14:paraId="084FD566">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7.5.3 中标人提交给招标人的设计文件，其著作权、版权、专利权和使用权归招标人所有（署名权除外）。</w:t>
      </w:r>
    </w:p>
    <w:p w14:paraId="1025B5BE">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bookmarkStart w:id="108" w:name="_Toc371968708"/>
      <w:r>
        <w:rPr>
          <w:rFonts w:hint="eastAsia" w:ascii="宋体" w:hAnsi="宋体" w:eastAsia="宋体" w:cs="宋体"/>
          <w:color w:val="auto"/>
          <w:sz w:val="24"/>
          <w:szCs w:val="24"/>
          <w:highlight w:val="none"/>
        </w:rPr>
        <w:t>7.</w:t>
      </w:r>
      <w:bookmarkEnd w:id="108"/>
      <w:r>
        <w:rPr>
          <w:rFonts w:hint="eastAsia" w:ascii="宋体" w:hAnsi="宋体" w:eastAsia="宋体" w:cs="宋体"/>
          <w:color w:val="auto"/>
          <w:sz w:val="24"/>
          <w:szCs w:val="24"/>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73397E17">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09" w:name="_Toc30148"/>
      <w:bookmarkStart w:id="110" w:name="_Toc28542"/>
      <w:r>
        <w:rPr>
          <w:rFonts w:hint="eastAsia" w:ascii="宋体" w:hAnsi="宋体" w:eastAsia="宋体" w:cs="宋体"/>
          <w:b/>
          <w:color w:val="auto"/>
          <w:kern w:val="2"/>
          <w:sz w:val="24"/>
          <w:szCs w:val="24"/>
          <w:highlight w:val="none"/>
        </w:rPr>
        <w:t>8 、招标答疑</w:t>
      </w:r>
      <w:bookmarkEnd w:id="109"/>
      <w:bookmarkEnd w:id="110"/>
      <w:bookmarkStart w:id="111" w:name="_Hlt74496410"/>
      <w:bookmarkEnd w:id="111"/>
    </w:p>
    <w:p w14:paraId="19A2C8F2">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8.1招标人不集中组织答疑，实行网上答疑。</w:t>
      </w:r>
      <w:r>
        <w:rPr>
          <w:rFonts w:hint="eastAsia" w:ascii="宋体" w:hAnsi="宋体" w:eastAsia="宋体" w:cs="宋体"/>
          <w:snapToGrid w:val="0"/>
          <w:color w:val="auto"/>
          <w:kern w:val="0"/>
          <w:sz w:val="24"/>
          <w:szCs w:val="24"/>
          <w:highlight w:val="none"/>
        </w:rPr>
        <w:t>投标人若对招标文件有疑问</w:t>
      </w:r>
      <w:r>
        <w:rPr>
          <w:rFonts w:hint="eastAsia" w:ascii="宋体" w:hAnsi="宋体" w:eastAsia="宋体" w:cs="宋体"/>
          <w:color w:val="auto"/>
          <w:sz w:val="24"/>
          <w:szCs w:val="24"/>
          <w:highlight w:val="none"/>
        </w:rPr>
        <w:t>应在提问截止时间（</w:t>
      </w:r>
      <w:r>
        <w:rPr>
          <w:rFonts w:hint="eastAsia" w:ascii="宋体" w:hAnsi="宋体" w:eastAsia="宋体" w:cs="宋体"/>
          <w:snapToGrid w:val="0"/>
          <w:color w:val="auto"/>
          <w:kern w:val="0"/>
          <w:sz w:val="24"/>
          <w:szCs w:val="24"/>
          <w:highlight w:val="none"/>
        </w:rPr>
        <w:t>见本章第二节“重要事项时间地点一览表”</w:t>
      </w:r>
      <w:r>
        <w:rPr>
          <w:rFonts w:hint="eastAsia" w:ascii="宋体" w:hAnsi="宋体" w:eastAsia="宋体" w:cs="宋体"/>
          <w:color w:val="auto"/>
          <w:sz w:val="24"/>
          <w:szCs w:val="24"/>
          <w:highlight w:val="none"/>
        </w:rPr>
        <w:t>）前在交易平台提出问题。未在指定时间前、未采用指定方式提出的，招标人不予受理。</w:t>
      </w:r>
    </w:p>
    <w:p w14:paraId="0000C742">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09A225D2">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）对招标文件的修改或补充内容作为招标文件的组成部分，具有约束作用。招标文件的澄清、修改、补充等内容均以答疑书（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）中明确的内容为准。当招标文件、招标文件的澄清、修改、补充等文件在同一内容的表述上不一致时，以最后发出的答疑书（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）为准。</w:t>
      </w:r>
    </w:p>
    <w:p w14:paraId="4C342C40">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30472B44">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5215D598">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12" w:name="_Hlt92513711"/>
      <w:bookmarkEnd w:id="112"/>
      <w:bookmarkStart w:id="113" w:name="_Hlt92513715"/>
      <w:bookmarkEnd w:id="113"/>
      <w:bookmarkStart w:id="114" w:name="_Hlt69699188"/>
      <w:bookmarkEnd w:id="114"/>
      <w:bookmarkStart w:id="115" w:name="_Toc25517"/>
      <w:bookmarkStart w:id="116" w:name="_Toc30627"/>
      <w:bookmarkStart w:id="117" w:name="_Toc31064"/>
      <w:bookmarkStart w:id="118" w:name="_Toc11301"/>
      <w:bookmarkStart w:id="119" w:name="_Toc20643"/>
      <w:bookmarkStart w:id="120" w:name="_Toc15195"/>
      <w:bookmarkStart w:id="121" w:name="_Toc8032"/>
      <w:bookmarkStart w:id="122" w:name="_Toc28777"/>
      <w:bookmarkStart w:id="123" w:name="_Toc25532"/>
      <w:r>
        <w:rPr>
          <w:rFonts w:hint="eastAsia" w:ascii="宋体" w:hAnsi="宋体" w:eastAsia="宋体" w:cs="宋体"/>
          <w:b/>
          <w:color w:val="auto"/>
          <w:kern w:val="2"/>
          <w:sz w:val="24"/>
          <w:szCs w:val="24"/>
          <w:highlight w:val="none"/>
        </w:rPr>
        <w:t>9 、投标报价的编制</w:t>
      </w:r>
      <w:bookmarkEnd w:id="115"/>
      <w:bookmarkEnd w:id="116"/>
      <w:bookmarkEnd w:id="117"/>
      <w:bookmarkEnd w:id="118"/>
      <w:bookmarkEnd w:id="119"/>
      <w:bookmarkEnd w:id="120"/>
      <w:bookmarkEnd w:id="121"/>
      <w:bookmarkEnd w:id="122"/>
      <w:bookmarkEnd w:id="123"/>
      <w:bookmarkStart w:id="124" w:name="_Hlt74498519"/>
      <w:bookmarkEnd w:id="124"/>
    </w:p>
    <w:p w14:paraId="4D20785A">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本工程计价依据为：</w:t>
      </w:r>
    </w:p>
    <w:p w14:paraId="341FC5BC">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bookmarkStart w:id="125" w:name="_Hlt69335755"/>
      <w:bookmarkEnd w:id="125"/>
      <w:r>
        <w:rPr>
          <w:rFonts w:hint="eastAsia" w:ascii="宋体" w:hAnsi="宋体" w:eastAsia="宋体" w:cs="宋体"/>
          <w:color w:val="auto"/>
          <w:sz w:val="24"/>
          <w:szCs w:val="24"/>
          <w:highlight w:val="none"/>
        </w:rPr>
        <w:t>（1）《工程勘察设计收费管理规定》（计价格[2002]10号）、《工程勘察设计收费导则（第二版）》（粤勘设协〔2021〕2号）；</w:t>
      </w:r>
    </w:p>
    <w:p w14:paraId="2867E0DA">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（2）《建设工程工程量清单计价规范》（GB50500—2013）；</w:t>
      </w:r>
    </w:p>
    <w:p w14:paraId="2AD8388D">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866524A">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（4）招标文件及其答疑（或修改）公告；</w:t>
      </w:r>
    </w:p>
    <w:p w14:paraId="79812561">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（5）施工现场情况、工程特点及常规施工方案；</w:t>
      </w:r>
    </w:p>
    <w:p w14:paraId="7AA5B0AD">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（6）项目所在地工程造价管理机构发布的工程造价信息，工程造价信息缺项的，参照市场价格；</w:t>
      </w:r>
    </w:p>
    <w:p w14:paraId="78358E68">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（7）与建设项目相关的标准、规范、技术资料。</w:t>
      </w:r>
    </w:p>
    <w:p w14:paraId="36672C2A">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6" w:name="_Hlt66509056"/>
      <w:bookmarkEnd w:id="126"/>
      <w:r>
        <w:rPr>
          <w:rFonts w:hint="eastAsia" w:ascii="宋体" w:hAnsi="宋体" w:eastAsia="宋体" w:cs="宋体"/>
          <w:color w:val="auto"/>
          <w:sz w:val="24"/>
          <w:szCs w:val="24"/>
          <w:highlight w:val="none"/>
        </w:rPr>
        <w:t>接资料。投标人应针对现场情况编制施工组织设计，并在写投标报价时考虑现场情况的影响。</w:t>
      </w:r>
    </w:p>
    <w:p w14:paraId="0E24265E">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bookmarkStart w:id="127" w:name="_Hlt88974322"/>
      <w:r>
        <w:rPr>
          <w:rFonts w:hint="eastAsia" w:ascii="宋体" w:hAnsi="宋体" w:eastAsia="宋体" w:cs="宋体"/>
          <w:color w:val="auto"/>
          <w:sz w:val="24"/>
          <w:szCs w:val="24"/>
          <w:highlight w:val="none"/>
        </w:rPr>
        <w:t>3 现场踏勘费以及其它施工措施项目费，由投标人在投标报价中综合考虑，一次包定。无论投标人是否列出费用，招标人将一律视为已确认所有现场条件和可能发生的异常情况。</w:t>
      </w:r>
    </w:p>
    <w:bookmarkEnd w:id="127"/>
    <w:p w14:paraId="3484B9E6">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 招标人向投标人提供的有关现场的数据和资料，是招标人现有的能被投标人利用的资料，招标人对投标人做出的任何推论、理解和结论均不负责任。</w:t>
      </w:r>
    </w:p>
    <w:p w14:paraId="786CE8F2">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投标人负责协调处理因项目实施与周边企业和村民等关系并承担相关费用。</w:t>
      </w:r>
    </w:p>
    <w:p w14:paraId="360D95C7">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投标人应采取设计优化的方式，通过土方平衡方法解决弃土问题，若仍有弃土，按实结算。</w:t>
      </w:r>
    </w:p>
    <w:p w14:paraId="5A5F1E6C">
      <w:pPr>
        <w:pageBreakBefore w:val="0"/>
        <w:kinsoku/>
        <w:overflowPunct/>
        <w:topLinePunct w:val="0"/>
        <w:bidi w:val="0"/>
        <w:spacing w:line="440" w:lineRule="exact"/>
        <w:ind w:firstLine="588" w:firstLineChars="245"/>
        <w:textAlignment w:val="auto"/>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4"/>
          <w:szCs w:val="24"/>
          <w:highlight w:val="none"/>
        </w:rPr>
        <w:t>9</w:t>
      </w:r>
      <w:r>
        <w:rPr>
          <w:rFonts w:hint="eastAsia" w:ascii="宋体" w:hAnsi="宋体" w:eastAsia="宋体" w:cs="宋体"/>
          <w:b w:val="0"/>
          <w:bCs w:val="0"/>
          <w:color w:val="auto"/>
          <w:sz w:val="24"/>
          <w:szCs w:val="24"/>
          <w:highlight w:val="none"/>
          <w:lang w:val="zh-CN"/>
        </w:rPr>
        <w:t>.</w:t>
      </w:r>
      <w:bookmarkStart w:id="128" w:name="_Toc319917951"/>
      <w:r>
        <w:rPr>
          <w:rFonts w:hint="eastAsia" w:ascii="宋体" w:hAnsi="宋体" w:eastAsia="宋体" w:cs="宋体"/>
          <w:b w:val="0"/>
          <w:bCs w:val="0"/>
          <w:color w:val="auto"/>
          <w:sz w:val="24"/>
          <w:szCs w:val="24"/>
          <w:highlight w:val="none"/>
        </w:rPr>
        <w:t>7</w:t>
      </w:r>
      <w:r>
        <w:rPr>
          <w:rFonts w:hint="eastAsia" w:ascii="宋体" w:hAnsi="宋体" w:eastAsia="宋体" w:cs="宋体"/>
          <w:b/>
          <w:bCs/>
          <w:color w:val="auto"/>
          <w:sz w:val="24"/>
          <w:szCs w:val="24"/>
          <w:highlight w:val="none"/>
        </w:rPr>
        <w:t>投标人的投标报价不得超过招标人公布的最高投标限价。本项目为限额设计，工程结算总造价不得超过中标价。</w:t>
      </w:r>
    </w:p>
    <w:p w14:paraId="7C7FC1E5">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9.8</w:t>
      </w:r>
      <w:r>
        <w:rPr>
          <w:rFonts w:hint="eastAsia" w:ascii="宋体" w:hAnsi="宋体" w:eastAsia="宋体" w:cs="宋体"/>
          <w:b/>
          <w:bCs/>
          <w:color w:val="auto"/>
          <w:sz w:val="24"/>
          <w:szCs w:val="24"/>
          <w:highlight w:val="none"/>
          <w:lang w:val="zh-CN"/>
        </w:rPr>
        <w:t>投标单位应充分考虑本招标文件“第二章 拟签订合同的主要条款”所列的结算原则进行投标及报价。</w:t>
      </w:r>
      <w:bookmarkEnd w:id="128"/>
    </w:p>
    <w:p w14:paraId="2C6E0D20">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投标人的投标总报价应考虑完成招标文件中招标规模、内容及设计任务书所规定的所有工程及设备的费用，并承担结算原则中规定的一切风险，还应考虑报建和施工时应由施工单位承担的一切费用。各项费用的主要内容及其报价方式：</w:t>
      </w:r>
      <w:bookmarkStart w:id="129" w:name="_Toc32012"/>
      <w:bookmarkStart w:id="130" w:name="_Toc29402"/>
      <w:bookmarkStart w:id="131" w:name="_Toc13707"/>
      <w:bookmarkStart w:id="132" w:name="_Toc18903"/>
      <w:bookmarkStart w:id="133" w:name="_Toc11568"/>
      <w:bookmarkStart w:id="134" w:name="_Toc39136339"/>
      <w:bookmarkStart w:id="135" w:name="_Toc20815"/>
      <w:bookmarkStart w:id="136" w:name="_Toc17803"/>
      <w:bookmarkStart w:id="137" w:name="_Toc57"/>
      <w:bookmarkStart w:id="138" w:name="_Toc15059"/>
      <w:bookmarkStart w:id="139" w:name="_Toc3872"/>
      <w:bookmarkStart w:id="140" w:name="_Toc11863"/>
      <w:r>
        <w:rPr>
          <w:rFonts w:hint="eastAsia" w:ascii="宋体" w:hAnsi="宋体" w:eastAsia="宋体" w:cs="宋体"/>
          <w:b/>
          <w:bCs/>
          <w:color w:val="auto"/>
          <w:sz w:val="24"/>
          <w:szCs w:val="24"/>
          <w:highlight w:val="none"/>
          <w:lang w:val="zh-CN"/>
        </w:rPr>
        <w:t>投标人投标报价=设计</w:t>
      </w:r>
      <w:r>
        <w:rPr>
          <w:rFonts w:hint="eastAsia" w:ascii="宋体" w:hAnsi="宋体" w:eastAsia="宋体" w:cs="宋体"/>
          <w:b/>
          <w:bCs/>
          <w:color w:val="auto"/>
          <w:sz w:val="24"/>
          <w:szCs w:val="24"/>
          <w:highlight w:val="none"/>
          <w:lang w:val="zh-CN" w:eastAsia="zh-CN"/>
        </w:rPr>
        <w:t>费投标报价+</w:t>
      </w:r>
      <w:r>
        <w:rPr>
          <w:rFonts w:hint="eastAsia" w:ascii="宋体" w:hAnsi="宋体" w:eastAsia="宋体" w:cs="宋体"/>
          <w:b/>
          <w:bCs/>
          <w:color w:val="auto"/>
          <w:sz w:val="24"/>
          <w:szCs w:val="24"/>
          <w:highlight w:val="none"/>
          <w:lang w:val="zh-CN"/>
        </w:rPr>
        <w:t>建安工程费投标报价</w:t>
      </w:r>
      <w:bookmarkEnd w:id="129"/>
      <w:bookmarkEnd w:id="130"/>
      <w:bookmarkEnd w:id="131"/>
      <w:bookmarkEnd w:id="132"/>
      <w:bookmarkEnd w:id="133"/>
      <w:bookmarkEnd w:id="134"/>
      <w:bookmarkEnd w:id="135"/>
      <w:bookmarkEnd w:id="136"/>
      <w:bookmarkEnd w:id="137"/>
      <w:bookmarkEnd w:id="138"/>
      <w:bookmarkEnd w:id="139"/>
      <w:bookmarkEnd w:id="140"/>
    </w:p>
    <w:p w14:paraId="3D0CF618">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lang w:val="zh-CN"/>
        </w:rPr>
        <w:t>费投标报价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在最高投标限价范围内，投标人自行报总价</w:t>
      </w:r>
      <w:r>
        <w:rPr>
          <w:rFonts w:hint="eastAsia" w:ascii="宋体" w:hAnsi="宋体" w:eastAsia="宋体" w:cs="宋体"/>
          <w:color w:val="auto"/>
          <w:sz w:val="24"/>
          <w:szCs w:val="24"/>
          <w:highlight w:val="none"/>
          <w:lang w:val="zh-CN" w:eastAsia="zh-CN"/>
        </w:rPr>
        <w:t>及投标费率</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设计费</w:t>
      </w:r>
      <w:r>
        <w:rPr>
          <w:rFonts w:hint="eastAsia" w:ascii="宋体" w:hAnsi="宋体" w:eastAsia="宋体" w:cs="宋体"/>
          <w:color w:val="auto"/>
          <w:sz w:val="24"/>
          <w:szCs w:val="24"/>
          <w:highlight w:val="none"/>
          <w:lang w:val="zh-CN" w:eastAsia="zh-CN"/>
        </w:rPr>
        <w:t>报价应包含各</w:t>
      </w:r>
      <w:r>
        <w:rPr>
          <w:rFonts w:hint="eastAsia" w:ascii="宋体" w:hAnsi="宋体" w:eastAsia="宋体" w:cs="宋体"/>
          <w:color w:val="auto"/>
          <w:sz w:val="24"/>
          <w:szCs w:val="24"/>
          <w:highlight w:val="none"/>
          <w:lang w:val="zh-CN"/>
        </w:rPr>
        <w:t>个不同专业的</w:t>
      </w:r>
      <w:r>
        <w:rPr>
          <w:rFonts w:hint="eastAsia" w:ascii="宋体" w:hAnsi="宋体" w:eastAsia="宋体" w:cs="宋体"/>
          <w:color w:val="auto"/>
          <w:sz w:val="24"/>
          <w:szCs w:val="24"/>
          <w:highlight w:val="none"/>
          <w:lang w:val="en-US" w:eastAsia="zh-CN"/>
        </w:rPr>
        <w:t>施工图</w:t>
      </w:r>
      <w:r>
        <w:rPr>
          <w:rFonts w:hint="eastAsia" w:ascii="宋体" w:hAnsi="宋体" w:eastAsia="宋体" w:cs="宋体"/>
          <w:color w:val="auto"/>
          <w:sz w:val="24"/>
          <w:szCs w:val="24"/>
          <w:highlight w:val="none"/>
          <w:lang w:val="zh-CN"/>
        </w:rPr>
        <w:t>设计费用、进行优化设计或修改设计所增加的设计费用、各项专家评审的专家费用</w:t>
      </w:r>
      <w:r>
        <w:rPr>
          <w:rFonts w:hint="eastAsia" w:hAnsi="宋体" w:eastAsia="宋体" w:cs="宋体"/>
          <w:color w:val="auto"/>
          <w:sz w:val="24"/>
          <w:szCs w:val="24"/>
          <w:highlight w:val="none"/>
          <w:lang w:val="zh-CN"/>
        </w:rPr>
        <w:t>、</w:t>
      </w:r>
      <w:r>
        <w:rPr>
          <w:rFonts w:hint="eastAsia" w:ascii="宋体" w:hAnsi="宋体" w:eastAsia="宋体" w:cs="宋体"/>
          <w:color w:val="auto"/>
          <w:sz w:val="24"/>
          <w:szCs w:val="24"/>
          <w:highlight w:val="none"/>
        </w:rPr>
        <w:t>施工图预算（含工程量清单）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rPr>
        <w:t>若中标单位不具备专业设计资质的，需经招标人同意后，委托有相应资质的单位进行设计，所产生的费用由投标人承担。</w:t>
      </w:r>
    </w:p>
    <w:p w14:paraId="1242A399">
      <w:pPr>
        <w:pageBreakBefore w:val="0"/>
        <w:kinsoku/>
        <w:overflowPunct/>
        <w:topLinePunct w:val="0"/>
        <w:bidi w:val="0"/>
        <w:spacing w:line="440" w:lineRule="exact"/>
        <w:ind w:firstLine="590" w:firstLineChars="245"/>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b/>
          <w:bCs/>
          <w:color w:val="auto"/>
          <w:sz w:val="24"/>
          <w:szCs w:val="24"/>
          <w:highlight w:val="none"/>
          <w:lang w:val="zh-CN" w:eastAsia="zh-CN"/>
        </w:rPr>
        <w:t>设计</w:t>
      </w:r>
      <w:r>
        <w:rPr>
          <w:rFonts w:hint="eastAsia" w:ascii="宋体" w:hAnsi="宋体" w:eastAsia="宋体" w:cs="宋体"/>
          <w:b/>
          <w:bCs/>
          <w:color w:val="auto"/>
          <w:sz w:val="24"/>
          <w:szCs w:val="24"/>
          <w:highlight w:val="none"/>
          <w:lang w:val="zh-CN"/>
        </w:rPr>
        <w:t>费投标报价</w:t>
      </w:r>
      <w:r>
        <w:rPr>
          <w:rFonts w:hint="eastAsia" w:ascii="宋体" w:hAnsi="宋体" w:eastAsia="宋体" w:cs="宋体"/>
          <w:b/>
          <w:bCs/>
          <w:color w:val="auto"/>
          <w:sz w:val="24"/>
          <w:szCs w:val="24"/>
          <w:highlight w:val="none"/>
          <w:lang w:val="en-US" w:eastAsia="zh-CN"/>
        </w:rPr>
        <w:t>=报价基数</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投标费率</w:t>
      </w:r>
    </w:p>
    <w:p w14:paraId="6FDC1A09">
      <w:pPr>
        <w:pageBreakBefore w:val="0"/>
        <w:kinsoku/>
        <w:overflowPunct/>
        <w:topLinePunct w:val="0"/>
        <w:bidi w:val="0"/>
        <w:spacing w:line="440" w:lineRule="exact"/>
        <w:ind w:firstLine="590"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本项目在实施过程中可能出现设计成果已通过确认，仍需进行设计变更、修改、调整等情况，不另行增加设计费。</w:t>
      </w:r>
    </w:p>
    <w:p w14:paraId="5AE51D14">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9.9.</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建安工程费用：采用</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lang w:val="zh-CN"/>
        </w:rPr>
        <w:t>下浮率</w:t>
      </w:r>
      <w:r>
        <w:rPr>
          <w:rFonts w:hint="eastAsia" w:ascii="宋体" w:hAnsi="宋体" w:eastAsia="宋体" w:cs="宋体"/>
          <w:color w:val="auto"/>
          <w:sz w:val="24"/>
          <w:szCs w:val="24"/>
          <w:highlight w:val="none"/>
          <w:lang w:val="en-US" w:eastAsia="zh-CN"/>
        </w:rPr>
        <w:t>和投标报价</w:t>
      </w:r>
      <w:r>
        <w:rPr>
          <w:rFonts w:hint="eastAsia" w:ascii="宋体" w:hAnsi="宋体" w:eastAsia="宋体" w:cs="宋体"/>
          <w:color w:val="auto"/>
          <w:sz w:val="24"/>
          <w:szCs w:val="24"/>
          <w:highlight w:val="none"/>
          <w:lang w:val="zh-CN"/>
        </w:rPr>
        <w:t>的方式进行报价，结算时按招标文件有关结算原则计算后再按建安工程费</w:t>
      </w:r>
      <w:r>
        <w:rPr>
          <w:rFonts w:hint="eastAsia" w:ascii="宋体" w:hAnsi="宋体" w:eastAsia="宋体" w:cs="宋体"/>
          <w:color w:val="auto"/>
          <w:sz w:val="24"/>
          <w:szCs w:val="24"/>
          <w:highlight w:val="none"/>
          <w:lang w:val="en-US" w:eastAsia="zh-CN"/>
        </w:rPr>
        <w:t>投</w:t>
      </w:r>
      <w:r>
        <w:rPr>
          <w:rFonts w:hint="eastAsia" w:ascii="宋体" w:hAnsi="宋体" w:eastAsia="宋体" w:cs="宋体"/>
          <w:color w:val="auto"/>
          <w:sz w:val="24"/>
          <w:szCs w:val="24"/>
          <w:highlight w:val="none"/>
          <w:lang w:val="zh-CN"/>
        </w:rPr>
        <w:t>标下浮率下浮。</w:t>
      </w:r>
    </w:p>
    <w:p w14:paraId="180EDFD9">
      <w:pPr>
        <w:pageBreakBefore w:val="0"/>
        <w:kinsoku/>
        <w:overflowPunct/>
        <w:topLinePunct w:val="0"/>
        <w:bidi w:val="0"/>
        <w:spacing w:line="440" w:lineRule="exact"/>
        <w:ind w:firstLine="590" w:firstLineChars="245"/>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b/>
          <w:bCs/>
          <w:color w:val="auto"/>
          <w:sz w:val="24"/>
          <w:szCs w:val="24"/>
          <w:highlight w:val="none"/>
          <w:lang w:val="zh-CN" w:eastAsia="zh-CN"/>
        </w:rPr>
        <w:t>建安工程费投标报价=报价基数×（1-投标下浮率）</w:t>
      </w:r>
    </w:p>
    <w:p w14:paraId="6D16298B">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39957064">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建安工程费用的报价应考虑完成招标文件中招标规模、内容及可行性研究报告所规定的所有工程及设备的费用</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zh-CN"/>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478A4D64">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9.9.3投标人在投标报价时，自行考虑高温补贴费、施工视频监控系统费用，专业分包的总包服务及配合费等，并承担相应风险，结算时不另行计取。</w:t>
      </w:r>
    </w:p>
    <w:p w14:paraId="0E7E363B">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14:paraId="1BCFF7B7">
      <w:pPr>
        <w:pStyle w:val="39"/>
        <w:keepNext/>
        <w:keepLines/>
        <w:pageBreakBefore w:val="0"/>
        <w:kinsoku/>
        <w:overflowPunct/>
        <w:topLinePunct w:val="0"/>
        <w:bidi w:val="0"/>
        <w:spacing w:line="440" w:lineRule="exact"/>
        <w:ind w:firstLine="480"/>
        <w:jc w:val="both"/>
        <w:textAlignment w:val="auto"/>
        <w:rPr>
          <w:rFonts w:hint="eastAsia" w:hAnsi="宋体" w:cs="宋体"/>
          <w:b/>
          <w:color w:val="auto"/>
          <w:sz w:val="24"/>
          <w:szCs w:val="24"/>
          <w:highlight w:val="none"/>
          <w:lang w:eastAsia="zh-CN"/>
        </w:rPr>
      </w:pPr>
      <w:bookmarkStart w:id="141" w:name="_Toc20371"/>
      <w:r>
        <w:rPr>
          <w:rFonts w:hint="eastAsia" w:ascii="宋体" w:hAnsi="宋体" w:eastAsia="宋体" w:cs="宋体"/>
          <w:b/>
          <w:color w:val="auto"/>
          <w:sz w:val="24"/>
          <w:szCs w:val="24"/>
          <w:highlight w:val="none"/>
        </w:rPr>
        <w:t>10、 最高</w:t>
      </w:r>
      <w:r>
        <w:rPr>
          <w:rFonts w:hint="eastAsia" w:ascii="宋体" w:hAnsi="宋体" w:eastAsia="宋体" w:cs="宋体"/>
          <w:b/>
          <w:color w:val="auto"/>
          <w:kern w:val="2"/>
          <w:sz w:val="24"/>
          <w:szCs w:val="24"/>
          <w:highlight w:val="none"/>
        </w:rPr>
        <w:t>投标</w:t>
      </w:r>
      <w:r>
        <w:rPr>
          <w:rFonts w:hint="eastAsia" w:ascii="宋体" w:hAnsi="宋体" w:eastAsia="宋体" w:cs="宋体"/>
          <w:b/>
          <w:color w:val="auto"/>
          <w:sz w:val="24"/>
          <w:szCs w:val="24"/>
          <w:highlight w:val="none"/>
        </w:rPr>
        <w:t>限价的确定</w:t>
      </w:r>
      <w:bookmarkStart w:id="142" w:name="_Hlt69335617"/>
      <w:bookmarkStart w:id="143" w:name="_Hlt121629839"/>
      <w:r>
        <w:rPr>
          <w:rFonts w:hint="eastAsia" w:hAnsi="宋体" w:cs="宋体"/>
          <w:b/>
          <w:color w:val="auto"/>
          <w:sz w:val="24"/>
          <w:szCs w:val="24"/>
          <w:highlight w:val="none"/>
          <w:lang w:eastAsia="zh-CN"/>
        </w:rPr>
        <w:t>：</w:t>
      </w:r>
      <w:bookmarkEnd w:id="141"/>
    </w:p>
    <w:p w14:paraId="422872A5">
      <w:pPr>
        <w:pageBreakBefore w:val="0"/>
        <w:kinsoku/>
        <w:overflowPunct/>
        <w:topLinePunct w:val="0"/>
        <w:bidi w:val="0"/>
        <w:spacing w:line="440" w:lineRule="exact"/>
        <w:ind w:firstLine="590" w:firstLineChars="245"/>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本招标项目最高投标限价为人民币：</w:t>
      </w:r>
      <w:r>
        <w:rPr>
          <w:rFonts w:hint="eastAsia" w:hAnsi="宋体" w:eastAsia="宋体" w:cs="宋体"/>
          <w:b/>
          <w:bCs/>
          <w:color w:val="auto"/>
          <w:sz w:val="24"/>
          <w:szCs w:val="24"/>
          <w:highlight w:val="none"/>
          <w:lang w:val="en-US" w:eastAsia="zh-CN"/>
        </w:rPr>
        <w:t>贰佰叁拾贰万壹仟贰佰肆拾柒元柒角捌分</w:t>
      </w:r>
      <w:r>
        <w:rPr>
          <w:rFonts w:hint="eastAsia" w:ascii="宋体" w:hAnsi="宋体" w:eastAsia="宋体" w:cs="宋体"/>
          <w:b/>
          <w:bCs/>
          <w:color w:val="auto"/>
          <w:sz w:val="24"/>
          <w:szCs w:val="24"/>
          <w:highlight w:val="none"/>
          <w:lang w:val="en-US" w:eastAsia="zh-CN"/>
        </w:rPr>
        <w:t>（¥</w:t>
      </w:r>
      <w:r>
        <w:rPr>
          <w:rFonts w:hint="eastAsia" w:hAnsi="宋体" w:eastAsia="宋体" w:cs="宋体"/>
          <w:b/>
          <w:bCs/>
          <w:color w:val="auto"/>
          <w:sz w:val="24"/>
          <w:szCs w:val="24"/>
          <w:highlight w:val="none"/>
          <w:lang w:val="en-US" w:eastAsia="zh-CN"/>
        </w:rPr>
        <w:t>2321247.78</w:t>
      </w:r>
      <w:r>
        <w:rPr>
          <w:rFonts w:hint="eastAsia" w:ascii="宋体" w:hAnsi="宋体" w:eastAsia="宋体" w:cs="宋体"/>
          <w:b/>
          <w:bCs/>
          <w:color w:val="auto"/>
          <w:sz w:val="24"/>
          <w:szCs w:val="24"/>
          <w:highlight w:val="none"/>
          <w:lang w:val="en-US" w:eastAsia="zh-CN"/>
        </w:rPr>
        <w:t>元）。其中：设计费73300.00元，建安工程费2247947.78元。</w:t>
      </w:r>
    </w:p>
    <w:tbl>
      <w:tblPr>
        <w:tblStyle w:val="23"/>
        <w:tblW w:w="93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6"/>
        <w:gridCol w:w="1268"/>
        <w:gridCol w:w="1787"/>
        <w:gridCol w:w="1254"/>
        <w:gridCol w:w="4362"/>
      </w:tblGrid>
      <w:tr w14:paraId="0573A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7" w:hRule="atLeast"/>
          <w:jc w:val="center"/>
        </w:trPr>
        <w:tc>
          <w:tcPr>
            <w:tcW w:w="686" w:type="dxa"/>
            <w:vAlign w:val="center"/>
          </w:tcPr>
          <w:p w14:paraId="011BED31">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bookmarkStart w:id="144" w:name="_Toc24510"/>
            <w:bookmarkStart w:id="145" w:name="_Toc13350"/>
            <w:bookmarkStart w:id="146" w:name="_Toc15152"/>
            <w:bookmarkStart w:id="147" w:name="_Toc5483"/>
            <w:bookmarkStart w:id="148" w:name="_Toc29734"/>
            <w:bookmarkStart w:id="149" w:name="_Toc7307"/>
            <w:bookmarkStart w:id="150" w:name="_Toc4604"/>
            <w:bookmarkStart w:id="151" w:name="_Toc32578"/>
            <w:r>
              <w:rPr>
                <w:rFonts w:hint="eastAsia" w:ascii="宋体" w:hAnsi="宋体" w:eastAsia="宋体" w:cs="宋体"/>
                <w:b w:val="0"/>
                <w:bCs/>
                <w:color w:val="auto"/>
                <w:sz w:val="24"/>
                <w:szCs w:val="24"/>
                <w:highlight w:val="none"/>
                <w:lang w:eastAsia="zh-CN"/>
              </w:rPr>
              <w:t>序号</w:t>
            </w:r>
          </w:p>
        </w:tc>
        <w:tc>
          <w:tcPr>
            <w:tcW w:w="1268" w:type="dxa"/>
            <w:vAlign w:val="center"/>
          </w:tcPr>
          <w:p w14:paraId="068B3F36">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项目名称</w:t>
            </w:r>
          </w:p>
        </w:tc>
        <w:tc>
          <w:tcPr>
            <w:tcW w:w="1787" w:type="dxa"/>
            <w:vAlign w:val="center"/>
          </w:tcPr>
          <w:p w14:paraId="3504DE6E">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最高投标限价（元）</w:t>
            </w:r>
          </w:p>
        </w:tc>
        <w:tc>
          <w:tcPr>
            <w:tcW w:w="1254" w:type="dxa"/>
            <w:vAlign w:val="center"/>
          </w:tcPr>
          <w:p w14:paraId="21E69919">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投标</w:t>
            </w:r>
            <w:r>
              <w:rPr>
                <w:rFonts w:hint="eastAsia" w:ascii="宋体" w:hAnsi="宋体" w:eastAsia="宋体" w:cs="宋体"/>
                <w:b w:val="0"/>
                <w:bCs/>
                <w:color w:val="auto"/>
                <w:sz w:val="24"/>
                <w:szCs w:val="24"/>
                <w:highlight w:val="none"/>
                <w:lang w:val="zh-CN" w:eastAsia="zh-CN"/>
              </w:rPr>
              <w:t>下</w:t>
            </w:r>
            <w:r>
              <w:rPr>
                <w:rFonts w:hint="eastAsia" w:ascii="宋体" w:hAnsi="宋体" w:eastAsia="宋体" w:cs="宋体"/>
                <w:b w:val="0"/>
                <w:bCs/>
                <w:color w:val="auto"/>
                <w:sz w:val="24"/>
                <w:szCs w:val="24"/>
                <w:highlight w:val="none"/>
                <w:lang w:eastAsia="zh-CN"/>
              </w:rPr>
              <w:t>浮率</w:t>
            </w:r>
          </w:p>
        </w:tc>
        <w:tc>
          <w:tcPr>
            <w:tcW w:w="4362" w:type="dxa"/>
            <w:vAlign w:val="center"/>
          </w:tcPr>
          <w:p w14:paraId="26229997">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报价要求</w:t>
            </w:r>
          </w:p>
        </w:tc>
      </w:tr>
      <w:tr w14:paraId="594D7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4" w:hRule="atLeast"/>
          <w:jc w:val="center"/>
        </w:trPr>
        <w:tc>
          <w:tcPr>
            <w:tcW w:w="686" w:type="dxa"/>
            <w:vAlign w:val="center"/>
          </w:tcPr>
          <w:p w14:paraId="070EE29A">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1</w:t>
            </w:r>
          </w:p>
        </w:tc>
        <w:tc>
          <w:tcPr>
            <w:tcW w:w="1268" w:type="dxa"/>
            <w:vAlign w:val="center"/>
          </w:tcPr>
          <w:p w14:paraId="1F745EFD">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设计费</w:t>
            </w:r>
          </w:p>
        </w:tc>
        <w:tc>
          <w:tcPr>
            <w:tcW w:w="1787" w:type="dxa"/>
            <w:vAlign w:val="center"/>
          </w:tcPr>
          <w:p w14:paraId="06606C46">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73300.00</w:t>
            </w:r>
          </w:p>
        </w:tc>
        <w:tc>
          <w:tcPr>
            <w:tcW w:w="1254" w:type="dxa"/>
            <w:vAlign w:val="center"/>
          </w:tcPr>
          <w:p w14:paraId="7976FC26">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≧0.00 %</w:t>
            </w:r>
          </w:p>
        </w:tc>
        <w:tc>
          <w:tcPr>
            <w:tcW w:w="4362" w:type="dxa"/>
            <w:vAlign w:val="center"/>
          </w:tcPr>
          <w:p w14:paraId="121BB9C2">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设计费自行报价，结算按设计费的中标价包干不作任何调整。设计费的报价应包含各个不同专业的设计费用、进行优化设计或修改设计所增加的设计费用、各项专家评审的专家费用、预算编制费等（不含第三方施工图审查费）。</w:t>
            </w:r>
          </w:p>
        </w:tc>
      </w:tr>
      <w:tr w14:paraId="40E9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7" w:hRule="atLeast"/>
          <w:jc w:val="center"/>
        </w:trPr>
        <w:tc>
          <w:tcPr>
            <w:tcW w:w="686" w:type="dxa"/>
            <w:vAlign w:val="center"/>
          </w:tcPr>
          <w:p w14:paraId="60E94FFE">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2</w:t>
            </w:r>
          </w:p>
        </w:tc>
        <w:tc>
          <w:tcPr>
            <w:tcW w:w="1268" w:type="dxa"/>
            <w:vAlign w:val="center"/>
          </w:tcPr>
          <w:p w14:paraId="7D4DB975">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建安工程费</w:t>
            </w:r>
          </w:p>
        </w:tc>
        <w:tc>
          <w:tcPr>
            <w:tcW w:w="1787" w:type="dxa"/>
            <w:vAlign w:val="center"/>
          </w:tcPr>
          <w:p w14:paraId="49424636">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2247947.78</w:t>
            </w:r>
          </w:p>
        </w:tc>
        <w:tc>
          <w:tcPr>
            <w:tcW w:w="1254" w:type="dxa"/>
            <w:vAlign w:val="center"/>
          </w:tcPr>
          <w:p w14:paraId="3838EA89">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≧0.00 %</w:t>
            </w:r>
          </w:p>
        </w:tc>
        <w:tc>
          <w:tcPr>
            <w:tcW w:w="4362" w:type="dxa"/>
            <w:vAlign w:val="center"/>
          </w:tcPr>
          <w:p w14:paraId="4B0379FB">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val="zh-CN" w:eastAsia="zh-CN"/>
              </w:rPr>
            </w:pPr>
            <w:r>
              <w:rPr>
                <w:rFonts w:hint="eastAsia" w:ascii="宋体" w:hAnsi="宋体" w:eastAsia="宋体" w:cs="宋体"/>
                <w:b w:val="0"/>
                <w:bCs/>
                <w:color w:val="auto"/>
                <w:sz w:val="24"/>
                <w:szCs w:val="24"/>
                <w:highlight w:val="none"/>
                <w:lang w:eastAsia="zh-CN"/>
              </w:rPr>
              <w:t>建安工程费下浮率≥</w:t>
            </w:r>
            <w:r>
              <w:rPr>
                <w:rFonts w:hint="eastAsia" w:ascii="宋体" w:hAnsi="宋体" w:eastAsia="宋体" w:cs="宋体"/>
                <w:b w:val="0"/>
                <w:bCs/>
                <w:color w:val="auto"/>
                <w:sz w:val="24"/>
                <w:szCs w:val="24"/>
                <w:highlight w:val="none"/>
                <w:lang w:val="en-US" w:eastAsia="zh-CN"/>
              </w:rPr>
              <w:t>0</w:t>
            </w:r>
            <w:r>
              <w:rPr>
                <w:rFonts w:hint="eastAsia" w:ascii="宋体" w:hAnsi="宋体" w:eastAsia="宋体" w:cs="宋体"/>
                <w:b w:val="0"/>
                <w:bCs/>
                <w:color w:val="auto"/>
                <w:sz w:val="24"/>
                <w:szCs w:val="24"/>
                <w:highlight w:val="none"/>
                <w:lang w:eastAsia="zh-CN"/>
              </w:rPr>
              <w:t>%。</w:t>
            </w:r>
          </w:p>
        </w:tc>
      </w:tr>
      <w:tr w14:paraId="21A05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 w:hRule="atLeast"/>
          <w:jc w:val="center"/>
        </w:trPr>
        <w:tc>
          <w:tcPr>
            <w:tcW w:w="1954" w:type="dxa"/>
            <w:gridSpan w:val="2"/>
            <w:vAlign w:val="center"/>
          </w:tcPr>
          <w:p w14:paraId="3B950F38">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合计（1+</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eastAsia="zh-CN"/>
              </w:rPr>
              <w:t>）</w:t>
            </w:r>
          </w:p>
        </w:tc>
        <w:tc>
          <w:tcPr>
            <w:tcW w:w="1787" w:type="dxa"/>
            <w:vAlign w:val="center"/>
          </w:tcPr>
          <w:p w14:paraId="5E4F773E">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2321247.78</w:t>
            </w:r>
          </w:p>
        </w:tc>
        <w:tc>
          <w:tcPr>
            <w:tcW w:w="1254" w:type="dxa"/>
            <w:vAlign w:val="center"/>
          </w:tcPr>
          <w:p w14:paraId="7FE6F952">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p>
        </w:tc>
        <w:tc>
          <w:tcPr>
            <w:tcW w:w="4362" w:type="dxa"/>
            <w:vAlign w:val="center"/>
          </w:tcPr>
          <w:p w14:paraId="5846F057">
            <w:pPr>
              <w:pStyle w:val="32"/>
              <w:keepNext w:val="0"/>
              <w:keepLines w:val="0"/>
              <w:pageBreakBefore w:val="0"/>
              <w:suppressLineNumbers w:val="0"/>
              <w:kinsoku/>
              <w:overflowPunct/>
              <w:topLinePunct w:val="0"/>
              <w:bidi w:val="0"/>
              <w:spacing w:before="0" w:beforeAutospacing="0" w:after="0" w:afterAutospacing="0" w:line="440" w:lineRule="exact"/>
              <w:ind w:left="0" w:right="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p>
        </w:tc>
      </w:tr>
    </w:tbl>
    <w:p w14:paraId="2F438F93">
      <w:pPr>
        <w:pStyle w:val="32"/>
        <w:pageBreakBefore w:val="0"/>
        <w:kinsoku/>
        <w:overflowPunct/>
        <w:topLinePunct w:val="0"/>
        <w:bidi w:val="0"/>
        <w:spacing w:line="440" w:lineRule="exact"/>
        <w:ind w:firstLine="482"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注：投标报价及投标费率均按“四舍五入”原则精确到两位小数，建安工程费投标报价=计算基数×（1-下浮率）。</w:t>
      </w:r>
    </w:p>
    <w:p w14:paraId="06EEB8A2">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sz w:val="24"/>
          <w:szCs w:val="24"/>
          <w:highlight w:val="none"/>
        </w:rPr>
      </w:pPr>
      <w:bookmarkStart w:id="152" w:name="_Toc911"/>
      <w:r>
        <w:rPr>
          <w:rFonts w:hint="eastAsia" w:ascii="宋体" w:hAnsi="宋体" w:eastAsia="宋体" w:cs="宋体"/>
          <w:b/>
          <w:color w:val="auto"/>
          <w:sz w:val="24"/>
          <w:szCs w:val="24"/>
          <w:highlight w:val="none"/>
        </w:rPr>
        <w:t>11、投标文件的编制</w:t>
      </w:r>
      <w:bookmarkStart w:id="153" w:name="_Hlt69208262"/>
      <w:bookmarkEnd w:id="153"/>
      <w:bookmarkStart w:id="154" w:name="_Hlt69332370"/>
      <w:bookmarkEnd w:id="154"/>
      <w:r>
        <w:rPr>
          <w:rFonts w:hint="eastAsia" w:ascii="宋体" w:hAnsi="宋体" w:eastAsia="宋体" w:cs="宋体"/>
          <w:b/>
          <w:color w:val="auto"/>
          <w:sz w:val="24"/>
          <w:szCs w:val="24"/>
          <w:highlight w:val="none"/>
        </w:rPr>
        <w:t>要求</w:t>
      </w:r>
      <w:bookmarkEnd w:id="144"/>
      <w:bookmarkEnd w:id="145"/>
      <w:bookmarkEnd w:id="146"/>
      <w:bookmarkEnd w:id="147"/>
      <w:bookmarkEnd w:id="148"/>
      <w:bookmarkEnd w:id="149"/>
      <w:bookmarkEnd w:id="150"/>
      <w:bookmarkEnd w:id="151"/>
      <w:bookmarkEnd w:id="152"/>
    </w:p>
    <w:p w14:paraId="77497424">
      <w:pPr>
        <w:pStyle w:val="51"/>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bookmarkStart w:id="155" w:name="_Hlt74495594"/>
      <w:bookmarkEnd w:id="155"/>
      <w:bookmarkStart w:id="156" w:name="_Hlt78768224"/>
      <w:bookmarkEnd w:id="156"/>
      <w:bookmarkStart w:id="157" w:name="_Hlt74497202"/>
      <w:bookmarkEnd w:id="157"/>
      <w:bookmarkStart w:id="158" w:name="_Toc17330"/>
      <w:bookmarkStart w:id="159" w:name="_Toc12050"/>
      <w:bookmarkStart w:id="160" w:name="_Toc6695"/>
      <w:bookmarkStart w:id="161" w:name="_Toc20091"/>
      <w:bookmarkStart w:id="162" w:name="_Toc20541"/>
      <w:bookmarkStart w:id="163" w:name="_Toc32061"/>
      <w:bookmarkStart w:id="164" w:name="_Toc10996"/>
      <w:bookmarkStart w:id="165" w:name="_Toc29847"/>
      <w:bookmarkStart w:id="166" w:name="_Toc5812"/>
      <w:bookmarkStart w:id="167" w:name="_Toc437"/>
      <w:bookmarkStart w:id="168" w:name="_Toc13676"/>
      <w:bookmarkStart w:id="169" w:name="_Toc2841"/>
      <w:bookmarkStart w:id="170" w:name="_Toc25295"/>
      <w:bookmarkStart w:id="171" w:name="_Toc9696"/>
      <w:bookmarkStart w:id="172" w:name="_Toc13462"/>
      <w:bookmarkStart w:id="173" w:name="_Toc31856"/>
      <w:r>
        <w:rPr>
          <w:rFonts w:hint="eastAsia" w:ascii="宋体" w:hAnsi="宋体" w:eastAsia="宋体" w:cs="宋体"/>
          <w:b/>
          <w:color w:val="auto"/>
          <w:sz w:val="24"/>
          <w:szCs w:val="24"/>
          <w:highlight w:val="none"/>
        </w:rPr>
        <w:t>11.1 一般要求</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095051FF">
      <w:pPr>
        <w:pStyle w:val="46"/>
        <w:pageBreakBefore w:val="0"/>
        <w:kinsoku/>
        <w:overflowPunct/>
        <w:topLinePunct w:val="0"/>
        <w:bidi w:val="0"/>
        <w:spacing w:line="440" w:lineRule="exact"/>
        <w:ind w:firstLineChars="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投标文件应按第七章投标文件格式规定的内容，投标人提交的投标文件应当使用招标文件所提供的投标文件全部格式。</w:t>
      </w:r>
    </w:p>
    <w:p w14:paraId="70046B91">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11.1.1</w:t>
      </w:r>
      <w:r>
        <w:rPr>
          <w:rFonts w:hint="eastAsia" w:ascii="宋体" w:hAnsi="宋体" w:eastAsia="宋体" w:cs="宋体"/>
          <w:snapToGrid w:val="0"/>
          <w:color w:val="auto"/>
          <w:kern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0E8D402B">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w:t>
      </w:r>
      <w:r>
        <w:rPr>
          <w:rFonts w:hint="eastAsia" w:ascii="宋体" w:hAnsi="宋体" w:eastAsia="宋体" w:cs="宋体"/>
          <w:snapToGrid w:val="0"/>
          <w:color w:val="auto"/>
          <w:kern w:val="0"/>
          <w:sz w:val="24"/>
          <w:szCs w:val="24"/>
          <w:highlight w:val="none"/>
        </w:rPr>
        <w:t>投标文件包含投标标书</w:t>
      </w:r>
      <w:r>
        <w:rPr>
          <w:rFonts w:hint="eastAsia" w:ascii="宋体" w:hAnsi="宋体" w:eastAsia="宋体" w:cs="宋体"/>
          <w:snapToGrid w:val="0"/>
          <w:color w:val="auto"/>
          <w:kern w:val="0"/>
          <w:sz w:val="24"/>
          <w:szCs w:val="24"/>
          <w:highlight w:val="none"/>
          <w:lang w:val="en-US" w:eastAsia="zh-CN"/>
        </w:rPr>
        <w:t>、定标文件两个分</w:t>
      </w:r>
      <w:r>
        <w:rPr>
          <w:rFonts w:hint="eastAsia" w:ascii="宋体" w:hAnsi="宋体" w:eastAsia="宋体" w:cs="宋体"/>
          <w:snapToGrid w:val="0"/>
          <w:color w:val="auto"/>
          <w:kern w:val="0"/>
          <w:sz w:val="24"/>
          <w:szCs w:val="24"/>
          <w:highlight w:val="none"/>
        </w:rPr>
        <w:t>册。投标文件在电子投标时全部采用电子文档（中标人自中标通知书发出之日起五个工作日内再提供正本1份、副本</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 韶关市）（https://ygp.gdzwfw.gov.cn/ggzy-portal/#/440200/index）交易指引。</w:t>
      </w:r>
      <w:r>
        <w:rPr>
          <w:rFonts w:hint="eastAsia" w:ascii="宋体" w:hAnsi="宋体" w:eastAsia="宋体" w:cs="宋体"/>
          <w:color w:val="auto"/>
          <w:sz w:val="24"/>
          <w:szCs w:val="24"/>
          <w:highlight w:val="none"/>
        </w:rPr>
        <w:t>（注：组成联合体时，只须加盖联合体牵头人的公章，联合体其它成员可不盖章）。</w:t>
      </w:r>
    </w:p>
    <w:p w14:paraId="79181415">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 投标文件需按以下要求签字、盖章：</w:t>
      </w:r>
    </w:p>
    <w:p w14:paraId="5C83FE04">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电子投标文件：</w:t>
      </w:r>
    </w:p>
    <w:p w14:paraId="18D55391">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4D86BFC2">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11.1.3.2 投标文件封套、封面、组成内容中凡要求录入投标人名称且注明“盖单位章”处盖单位法人公章（电子印章）</w:t>
      </w:r>
    </w:p>
    <w:p w14:paraId="65C770CF">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11.1.3.3 投标文件的签字均为签字人本人亲笔署名或签章（电子印章），其余部分的彩色扫描件无须另行签字、盖章。</w:t>
      </w:r>
    </w:p>
    <w:p w14:paraId="1BBBA660">
      <w:pPr>
        <w:pStyle w:val="37"/>
        <w:pageBreakBefore w:val="0"/>
        <w:kinsoku/>
        <w:overflowPunct/>
        <w:topLinePunct w:val="0"/>
        <w:bidi w:val="0"/>
        <w:spacing w:line="440" w:lineRule="exact"/>
        <w:ind w:firstLine="560"/>
        <w:textAlignment w:val="auto"/>
        <w:rPr>
          <w:rFonts w:hint="eastAsia" w:ascii="宋体" w:hAnsi="宋体" w:eastAsia="宋体" w:cs="宋体"/>
          <w:b/>
          <w:color w:val="auto"/>
          <w:sz w:val="24"/>
          <w:szCs w:val="24"/>
          <w:highlight w:val="none"/>
        </w:rPr>
      </w:pPr>
      <w:r>
        <w:rPr>
          <w:rFonts w:hint="eastAsia" w:ascii="宋体" w:hAnsi="宋体" w:eastAsia="宋体" w:cs="宋体"/>
          <w:snapToGrid w:val="0"/>
          <w:color w:val="auto"/>
          <w:kern w:val="0"/>
          <w:sz w:val="24"/>
          <w:szCs w:val="24"/>
          <w:highlight w:val="none"/>
        </w:rPr>
        <w:t>11.1.3.4 联合体投标的，除《联合体协议书》外，由联合体牵头人按以上要求签字（电子印章）、盖章（电子印章）即可。</w:t>
      </w:r>
      <w:bookmarkStart w:id="174" w:name="_Toc274313880"/>
      <w:bookmarkStart w:id="175" w:name="_Toc257031159"/>
    </w:p>
    <w:p w14:paraId="1BB9F739">
      <w:pPr>
        <w:pStyle w:val="51"/>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bookmarkStart w:id="176" w:name="_Toc27606"/>
      <w:bookmarkStart w:id="177" w:name="_Toc26859"/>
      <w:bookmarkStart w:id="178" w:name="_Toc38"/>
      <w:bookmarkStart w:id="179" w:name="_Toc27670"/>
      <w:bookmarkStart w:id="180" w:name="_Toc16107"/>
      <w:bookmarkStart w:id="181" w:name="_Toc8355"/>
      <w:bookmarkStart w:id="182" w:name="_Toc6622"/>
      <w:bookmarkStart w:id="183" w:name="_Toc18076"/>
      <w:bookmarkStart w:id="184" w:name="_Toc26289"/>
      <w:bookmarkStart w:id="185" w:name="_Toc18670"/>
      <w:bookmarkStart w:id="186" w:name="_Toc17946"/>
      <w:bookmarkStart w:id="187" w:name="_Toc4699"/>
      <w:bookmarkStart w:id="188" w:name="_Toc29894"/>
      <w:bookmarkStart w:id="189" w:name="_Toc23484"/>
      <w:bookmarkStart w:id="190" w:name="_Toc15270"/>
      <w:bookmarkStart w:id="191" w:name="_Toc7654"/>
      <w:r>
        <w:rPr>
          <w:rFonts w:hint="eastAsia" w:ascii="宋体" w:hAnsi="宋体" w:eastAsia="宋体" w:cs="宋体"/>
          <w:b/>
          <w:color w:val="auto"/>
          <w:sz w:val="24"/>
          <w:szCs w:val="24"/>
          <w:highlight w:val="none"/>
        </w:rPr>
        <w:t xml:space="preserve">11.2 </w:t>
      </w:r>
      <w:bookmarkEnd w:id="174"/>
      <w:bookmarkEnd w:id="175"/>
      <w:bookmarkEnd w:id="176"/>
      <w:bookmarkEnd w:id="177"/>
      <w:bookmarkEnd w:id="178"/>
      <w:bookmarkEnd w:id="179"/>
      <w:bookmarkEnd w:id="180"/>
      <w:bookmarkEnd w:id="181"/>
      <w:bookmarkEnd w:id="182"/>
      <w:bookmarkEnd w:id="183"/>
      <w:r>
        <w:rPr>
          <w:rFonts w:hint="eastAsia" w:ascii="宋体" w:hAnsi="宋体" w:eastAsia="宋体" w:cs="宋体"/>
          <w:b/>
          <w:color w:val="auto"/>
          <w:sz w:val="24"/>
          <w:szCs w:val="24"/>
          <w:highlight w:val="none"/>
        </w:rPr>
        <w:t>投标标书的编制要求</w:t>
      </w:r>
      <w:bookmarkEnd w:id="184"/>
      <w:bookmarkEnd w:id="185"/>
      <w:bookmarkEnd w:id="186"/>
      <w:bookmarkEnd w:id="187"/>
      <w:bookmarkEnd w:id="188"/>
      <w:bookmarkEnd w:id="189"/>
      <w:bookmarkEnd w:id="190"/>
      <w:bookmarkEnd w:id="191"/>
    </w:p>
    <w:p w14:paraId="62ED3096">
      <w:pPr>
        <w:pStyle w:val="37"/>
        <w:pageBreakBefore w:val="0"/>
        <w:kinsoku/>
        <w:overflowPunct/>
        <w:topLinePunct w:val="0"/>
        <w:bidi w:val="0"/>
        <w:spacing w:line="440" w:lineRule="exact"/>
        <w:ind w:firstLine="561"/>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11.2.1 投标标书包括但不限于以下内容：</w:t>
      </w:r>
    </w:p>
    <w:p w14:paraId="5814400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5C7BF05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54825FB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（3）《投标函》及《工程项目总价表》（格式二）；</w:t>
      </w:r>
    </w:p>
    <w:p w14:paraId="3F1C8B71">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2ACD8EA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08BF94E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4FF4AD6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5DFFA4D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z w:val="24"/>
          <w:szCs w:val="24"/>
          <w:highlight w:val="none"/>
        </w:rPr>
        <w:t>《韶关市公共资源交易一体化平台保证金缴纳信息》</w:t>
      </w:r>
      <w:r>
        <w:rPr>
          <w:rFonts w:hint="eastAsia" w:ascii="宋体" w:hAnsi="宋体" w:eastAsia="宋体" w:cs="宋体"/>
          <w:b/>
          <w:bCs/>
          <w:snapToGrid w:val="0"/>
          <w:color w:val="auto"/>
          <w:kern w:val="0"/>
          <w:sz w:val="24"/>
          <w:szCs w:val="24"/>
          <w:highlight w:val="none"/>
        </w:rPr>
        <w:t>页面截图</w:t>
      </w:r>
      <w:r>
        <w:rPr>
          <w:rFonts w:hint="eastAsia" w:ascii="宋体" w:hAnsi="宋体" w:eastAsia="宋体" w:cs="宋体"/>
          <w:snapToGrid w:val="0"/>
          <w:color w:val="auto"/>
          <w:kern w:val="0"/>
          <w:sz w:val="24"/>
          <w:szCs w:val="24"/>
          <w:highlight w:val="none"/>
        </w:rPr>
        <w:t>）。</w:t>
      </w:r>
    </w:p>
    <w:p w14:paraId="1DCF7E7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7CDD3BA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0A683489">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22073E2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757BCE9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（13）《项目设计负责人简历表》（格式十一）及所附资料；</w:t>
      </w:r>
    </w:p>
    <w:p w14:paraId="142D12E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（14）《项目管理机构组成表》（格式十二）及所附资料；</w:t>
      </w:r>
    </w:p>
    <w:p w14:paraId="1181074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（15）本章第14.2目“评标方法”要求提供的评审资料（如有）；</w:t>
      </w:r>
    </w:p>
    <w:p w14:paraId="1DAAFC8E">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16）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关于投标总价下浮率超过15%的书面说明和佐证材料）。</w:t>
      </w:r>
    </w:p>
    <w:p w14:paraId="0658EC3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2 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目中所列出的投标标书组成内容中，第（1）至第（15）项所有投标人均应提供，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2DF55627">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3 投标标书的组成内容按本章第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目规定的顺序整理、编排后，逐页连续标记页码。</w:t>
      </w:r>
    </w:p>
    <w:p w14:paraId="26AC3CE6">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特别说明：</w:t>
      </w:r>
    </w:p>
    <w:p w14:paraId="1E95B2C1">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320C6557">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 xml:space="preserve">2、本次招标投标时不要求按编制工程量清单计价模式进行投标报价。投标人若中标后依据经审图合格后的设计施工图编制施工图预算，该施工图预算必须达到办理合同备案及开工手续的要求；中标人须向招标人提供一式伍份完整的预算资料（含工程量计算表、施工图预算书及电子版）。 </w:t>
      </w:r>
      <w:bookmarkStart w:id="192" w:name="_Toc11926"/>
      <w:bookmarkStart w:id="193" w:name="_Toc1583"/>
      <w:bookmarkStart w:id="194" w:name="_Toc11313"/>
      <w:bookmarkStart w:id="195" w:name="_Toc27175"/>
      <w:bookmarkStart w:id="196" w:name="_Toc17459"/>
      <w:bookmarkStart w:id="197" w:name="_Toc17812"/>
      <w:bookmarkStart w:id="198" w:name="_Toc14130"/>
      <w:bookmarkStart w:id="199" w:name="_Toc13003"/>
    </w:p>
    <w:p w14:paraId="4AC40EAF">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p>
    <w:p w14:paraId="16927E09">
      <w:pPr>
        <w:pStyle w:val="51"/>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bookmarkStart w:id="200" w:name="_Toc17579"/>
      <w:bookmarkStart w:id="201" w:name="_Toc9889"/>
      <w:r>
        <w:rPr>
          <w:rFonts w:hint="eastAsia" w:ascii="宋体" w:hAnsi="宋体" w:eastAsia="宋体" w:cs="宋体"/>
          <w:b/>
          <w:color w:val="auto"/>
          <w:sz w:val="24"/>
          <w:szCs w:val="24"/>
          <w:highlight w:val="none"/>
        </w:rPr>
        <w:t>11.</w:t>
      </w:r>
      <w:r>
        <w:rPr>
          <w:rFonts w:hint="eastAsia" w:ascii="宋体" w:hAnsi="宋体" w:eastAsia="宋体" w:cs="宋体"/>
          <w:b/>
          <w:color w:val="auto"/>
          <w:sz w:val="24"/>
          <w:szCs w:val="24"/>
          <w:highlight w:val="none"/>
          <w:lang w:val="en-US" w:eastAsia="zh-CN"/>
        </w:rPr>
        <w:t>3定标</w:t>
      </w:r>
      <w:r>
        <w:rPr>
          <w:rFonts w:hint="eastAsia" w:ascii="宋体" w:hAnsi="宋体" w:eastAsia="宋体" w:cs="宋体"/>
          <w:b/>
          <w:color w:val="auto"/>
          <w:sz w:val="24"/>
          <w:szCs w:val="24"/>
          <w:highlight w:val="none"/>
        </w:rPr>
        <w:t>的编制要求</w:t>
      </w:r>
      <w:bookmarkEnd w:id="200"/>
      <w:bookmarkEnd w:id="201"/>
    </w:p>
    <w:p w14:paraId="1CC63384">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1.3</w:t>
      </w:r>
      <w:r>
        <w:rPr>
          <w:rFonts w:hint="eastAsia" w:ascii="宋体" w:hAnsi="宋体" w:eastAsia="宋体" w:cs="宋体"/>
          <w:bCs/>
          <w:color w:val="auto"/>
          <w:sz w:val="24"/>
          <w:szCs w:val="24"/>
          <w:highlight w:val="none"/>
        </w:rPr>
        <w:t xml:space="preserve">.1 </w:t>
      </w:r>
      <w:r>
        <w:rPr>
          <w:rFonts w:hint="eastAsia" w:ascii="宋体" w:hAnsi="宋体" w:eastAsia="宋体" w:cs="宋体"/>
          <w:bCs/>
          <w:color w:val="auto"/>
          <w:sz w:val="24"/>
          <w:szCs w:val="24"/>
          <w:highlight w:val="none"/>
          <w:lang w:val="en-US" w:eastAsia="zh-CN"/>
        </w:rPr>
        <w:t>定标文件</w:t>
      </w:r>
      <w:r>
        <w:rPr>
          <w:rFonts w:hint="eastAsia" w:ascii="宋体" w:hAnsi="宋体" w:eastAsia="宋体" w:cs="宋体"/>
          <w:bCs/>
          <w:color w:val="auto"/>
          <w:sz w:val="24"/>
          <w:szCs w:val="24"/>
          <w:highlight w:val="none"/>
        </w:rPr>
        <w:t>包括以下内容：</w:t>
      </w:r>
    </w:p>
    <w:p w14:paraId="03B2E4D4">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（1）封面（格式一）</w:t>
      </w:r>
    </w:p>
    <w:p w14:paraId="67155F36">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（2）目录（格式自拟）；</w:t>
      </w:r>
    </w:p>
    <w:p w14:paraId="7F3406B4">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（3）定标因素评审资料（格式十四）。</w:t>
      </w:r>
    </w:p>
    <w:p w14:paraId="1EAA3BE6">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1.3</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 xml:space="preserve"> 本节第1</w:t>
      </w:r>
      <w:r>
        <w:rPr>
          <w:rFonts w:hint="eastAsia" w:ascii="宋体" w:hAnsi="宋体" w:eastAsia="宋体" w:cs="宋体"/>
          <w:bCs/>
          <w:color w:val="auto"/>
          <w:sz w:val="24"/>
          <w:szCs w:val="24"/>
          <w:highlight w:val="none"/>
          <w:lang w:val="en-US" w:eastAsia="zh-CN"/>
        </w:rPr>
        <w:t>1.3</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目中所列出的组成内容中，第</w:t>
      </w:r>
      <w:r>
        <w:rPr>
          <w:rFonts w:hint="eastAsia" w:ascii="宋体" w:hAnsi="宋体" w:eastAsia="宋体" w:cs="宋体"/>
          <w:bCs/>
          <w:color w:val="auto"/>
          <w:sz w:val="24"/>
          <w:szCs w:val="24"/>
          <w:highlight w:val="none"/>
          <w:lang w:val="en-US" w:eastAsia="zh-CN"/>
        </w:rPr>
        <w:t>（1）至</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）项所有投标人均应提供。</w:t>
      </w:r>
    </w:p>
    <w:p w14:paraId="4581076A">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p>
    <w:p w14:paraId="3B52C6C9">
      <w:pPr>
        <w:pStyle w:val="51"/>
        <w:pageBreakBefore w:val="0"/>
        <w:kinsoku/>
        <w:overflowPunct/>
        <w:topLinePunct w:val="0"/>
        <w:bidi w:val="0"/>
        <w:spacing w:line="440" w:lineRule="exact"/>
        <w:ind w:firstLine="482" w:firstLineChars="200"/>
        <w:textAlignment w:val="auto"/>
        <w:rPr>
          <w:rFonts w:hint="eastAsia" w:ascii="宋体" w:hAnsi="宋体" w:eastAsia="宋体" w:cs="宋体"/>
          <w:b/>
          <w:snapToGrid w:val="0"/>
          <w:color w:val="auto"/>
          <w:sz w:val="24"/>
          <w:szCs w:val="24"/>
          <w:highlight w:val="none"/>
        </w:rPr>
      </w:pPr>
      <w:r>
        <w:rPr>
          <w:rFonts w:hint="eastAsia" w:ascii="宋体" w:hAnsi="宋体" w:eastAsia="宋体" w:cs="宋体"/>
          <w:b/>
          <w:color w:val="auto"/>
          <w:sz w:val="24"/>
          <w:szCs w:val="24"/>
          <w:highlight w:val="none"/>
        </w:rPr>
        <w:t>11.</w:t>
      </w:r>
      <w:bookmarkEnd w:id="192"/>
      <w:bookmarkEnd w:id="193"/>
      <w:bookmarkEnd w:id="194"/>
      <w:bookmarkEnd w:id="195"/>
      <w:bookmarkEnd w:id="196"/>
      <w:bookmarkEnd w:id="197"/>
      <w:bookmarkEnd w:id="198"/>
      <w:bookmarkEnd w:id="199"/>
      <w:r>
        <w:rPr>
          <w:rFonts w:hint="eastAsia" w:ascii="宋体" w:hAnsi="宋体" w:eastAsia="宋体" w:cs="宋体"/>
          <w:b/>
          <w:color w:val="auto"/>
          <w:sz w:val="24"/>
          <w:szCs w:val="24"/>
          <w:highlight w:val="none"/>
          <w:lang w:val="en-US" w:eastAsia="zh-CN"/>
        </w:rPr>
        <w:t>4</w:t>
      </w:r>
      <w:r>
        <w:rPr>
          <w:rFonts w:hint="eastAsia" w:ascii="宋体" w:hAnsi="宋体" w:eastAsia="宋体" w:cs="宋体"/>
          <w:b/>
          <w:snapToGrid w:val="0"/>
          <w:color w:val="auto"/>
          <w:sz w:val="24"/>
          <w:szCs w:val="24"/>
          <w:highlight w:val="none"/>
        </w:rPr>
        <w:t>电子投标</w:t>
      </w:r>
      <w:bookmarkStart w:id="202" w:name="_Hlt66200498"/>
      <w:bookmarkEnd w:id="202"/>
      <w:bookmarkStart w:id="203" w:name="_Hlt66511038"/>
      <w:bookmarkEnd w:id="203"/>
      <w:bookmarkStart w:id="204" w:name="_Hlt88627590"/>
      <w:bookmarkEnd w:id="204"/>
      <w:bookmarkStart w:id="205" w:name="_Toc27961"/>
    </w:p>
    <w:p w14:paraId="76F902C6">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781123FF">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4224EEB">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投标文件完成上传后，投标人应使用 CA 数字证书对投标文件进行文件加密，形成加密的投标文件并提交标书。</w:t>
      </w:r>
    </w:p>
    <w:p w14:paraId="2493B2DF">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2F88142B">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.3电子投标及投标解密失败及突发情况的补救方案</w:t>
      </w:r>
    </w:p>
    <w:p w14:paraId="4E9D524B">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.3.1按照交易平台关于全流程电子化项目的相关指南进行操作。详见：全国公共资源交易平台（广东省·韶关市）发布的最新版操作指南。</w:t>
      </w:r>
    </w:p>
    <w:p w14:paraId="43520F85">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.3.2补救方案</w:t>
      </w:r>
    </w:p>
    <w:p w14:paraId="22854DD1">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投标文件解密失败的补救方案：</w:t>
      </w:r>
      <w:bookmarkStart w:id="206" w:name="_Toc28927"/>
    </w:p>
    <w:p w14:paraId="417D3F2C">
      <w:pPr>
        <w:pStyle w:val="51"/>
        <w:pageBreakBefore w:val="0"/>
        <w:kinsoku/>
        <w:overflowPunct/>
        <w:topLinePunct w:val="0"/>
        <w:bidi w:val="0"/>
        <w:spacing w:line="440" w:lineRule="exact"/>
        <w:ind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06"/>
      <w:bookmarkStart w:id="207" w:name="_Toc9612"/>
    </w:p>
    <w:p w14:paraId="2B9E9A87">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评标时突发情况的补救方案</w:t>
      </w:r>
      <w:bookmarkEnd w:id="207"/>
      <w:bookmarkStart w:id="208" w:name="_Toc6314"/>
      <w:r>
        <w:rPr>
          <w:rFonts w:hint="eastAsia" w:ascii="宋体" w:hAnsi="宋体" w:eastAsia="宋体" w:cs="宋体"/>
          <w:bCs/>
          <w:color w:val="auto"/>
          <w:sz w:val="24"/>
          <w:szCs w:val="24"/>
          <w:highlight w:val="none"/>
        </w:rPr>
        <w:t>：</w:t>
      </w:r>
    </w:p>
    <w:p w14:paraId="14E6183A">
      <w:pPr>
        <w:pStyle w:val="51"/>
        <w:pageBreakBefore w:val="0"/>
        <w:kinsoku/>
        <w:overflowPunct/>
        <w:topLinePunct w:val="0"/>
        <w:bidi w:val="0"/>
        <w:spacing w:line="440" w:lineRule="exact"/>
        <w:ind w:firstLine="960" w:firstLineChars="4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08"/>
      <w:bookmarkStart w:id="209" w:name="_Toc10157"/>
    </w:p>
    <w:p w14:paraId="44ACAE13">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除发生上述情况外，开标评标均以投标人通过交易平台网上递交的电子投标文件为准。</w:t>
      </w:r>
      <w:bookmarkEnd w:id="209"/>
      <w:bookmarkStart w:id="210" w:name="_Toc12675"/>
    </w:p>
    <w:p w14:paraId="61F86A93">
      <w:pPr>
        <w:pStyle w:val="51"/>
        <w:pageBreakBefore w:val="0"/>
        <w:kinsoku/>
        <w:overflowPunct/>
        <w:topLinePunct w:val="0"/>
        <w:bidi w:val="0"/>
        <w:spacing w:line="440" w:lineRule="exact"/>
        <w:ind w:left="480" w:left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 xml:space="preserve"> 投标文件的提交、修改和撤回</w:t>
      </w:r>
      <w:bookmarkEnd w:id="205"/>
      <w:bookmarkEnd w:id="210"/>
      <w:bookmarkStart w:id="211" w:name="_Hlt75685366"/>
      <w:bookmarkEnd w:id="211"/>
      <w:bookmarkStart w:id="212" w:name="_Hlt69699424"/>
      <w:bookmarkEnd w:id="212"/>
      <w:bookmarkStart w:id="213" w:name="_Hlt74494779"/>
      <w:bookmarkEnd w:id="213"/>
      <w:bookmarkStart w:id="214" w:name="_Hlt92512875"/>
      <w:bookmarkEnd w:id="214"/>
      <w:bookmarkStart w:id="215" w:name="_Hlt66608380"/>
      <w:bookmarkEnd w:id="215"/>
      <w:bookmarkStart w:id="216" w:name="_Toc24469"/>
      <w:bookmarkStart w:id="217" w:name="_Toc3050"/>
      <w:bookmarkStart w:id="218" w:name="_Toc24322"/>
      <w:bookmarkStart w:id="219" w:name="_Toc28454"/>
      <w:bookmarkStart w:id="220" w:name="_Toc106418820"/>
      <w:bookmarkStart w:id="221" w:name="_Toc104711075"/>
      <w:bookmarkStart w:id="222" w:name="_Toc30635"/>
      <w:bookmarkStart w:id="223" w:name="_Toc9838"/>
      <w:bookmarkStart w:id="224" w:name="_Toc22741"/>
      <w:bookmarkStart w:id="225" w:name="_Toc4483"/>
      <w:bookmarkStart w:id="226" w:name="_Toc7631"/>
    </w:p>
    <w:p w14:paraId="180EBD64">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.1在投标文件提交截止时间前，投标人通过交易平台提交已加密投标文件。逾期提交的电子投标文件，交易平台将予以拒收。</w:t>
      </w:r>
      <w:bookmarkEnd w:id="216"/>
      <w:bookmarkStart w:id="227" w:name="_Toc25103"/>
    </w:p>
    <w:p w14:paraId="683F0BA4">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.2提交时间：见本章第二节“重要事项时间地点一览表”。</w:t>
      </w:r>
      <w:bookmarkEnd w:id="227"/>
      <w:bookmarkStart w:id="228" w:name="_Toc9791"/>
    </w:p>
    <w:p w14:paraId="6A839D4E">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28"/>
      <w:bookmarkStart w:id="229" w:name="_Toc25029"/>
    </w:p>
    <w:p w14:paraId="60E9F834">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.4 递交时间和地点：见本章第二节“重要事项时间地点一览表”。</w:t>
      </w:r>
      <w:bookmarkEnd w:id="229"/>
      <w:bookmarkStart w:id="230" w:name="_Toc5665"/>
    </w:p>
    <w:p w14:paraId="0CD87C22">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.5 投标人代表到达现场后，应出示以下身份证明材料：</w:t>
      </w:r>
      <w:bookmarkEnd w:id="230"/>
      <w:bookmarkStart w:id="231" w:name="_Toc1714"/>
    </w:p>
    <w:p w14:paraId="3DCFEFAF">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（1）本人有效的第二代居民身份证；</w:t>
      </w:r>
      <w:bookmarkEnd w:id="231"/>
      <w:bookmarkStart w:id="232" w:name="_Toc22519"/>
      <w:bookmarkStart w:id="233" w:name="_Toc1212"/>
      <w:bookmarkStart w:id="234" w:name="_Toc30210"/>
    </w:p>
    <w:p w14:paraId="623AE2C3">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（2）法定代表人到场的，出示《法定代表人身份证明》（格式五）；委托代理人到场的，应同时出示《授权委托书》（格式四）和《法定代表人身份证明》。</w:t>
      </w:r>
      <w:bookmarkEnd w:id="232"/>
      <w:bookmarkEnd w:id="233"/>
      <w:bookmarkEnd w:id="234"/>
      <w:bookmarkStart w:id="235" w:name="_Toc3014"/>
      <w:bookmarkStart w:id="236" w:name="_Toc8927"/>
      <w:bookmarkStart w:id="237" w:name="_Toc29016"/>
    </w:p>
    <w:p w14:paraId="78425985">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.6联合体投标的，由联合体牵头人按以上要求递交投标相关资料。</w:t>
      </w:r>
      <w:bookmarkEnd w:id="235"/>
      <w:bookmarkEnd w:id="236"/>
      <w:bookmarkEnd w:id="237"/>
      <w:bookmarkStart w:id="238" w:name="_Toc13703"/>
      <w:bookmarkStart w:id="239" w:name="_Toc13697"/>
      <w:bookmarkStart w:id="240" w:name="_Toc16539"/>
    </w:p>
    <w:p w14:paraId="50FB6405">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.7招标人或其授权的招标代理机构核对、接收投标人递交的投标相关资料后，应并妥善保管。</w:t>
      </w:r>
      <w:bookmarkEnd w:id="238"/>
      <w:bookmarkEnd w:id="239"/>
      <w:bookmarkEnd w:id="240"/>
      <w:bookmarkStart w:id="241" w:name="_Toc20579"/>
      <w:bookmarkStart w:id="242" w:name="_Toc5287"/>
      <w:bookmarkStart w:id="243" w:name="_Toc6708"/>
    </w:p>
    <w:p w14:paraId="3EA1C204">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.8 投标人发生以下情形的，其投标相关资料招标人不予接收：</w:t>
      </w:r>
      <w:bookmarkEnd w:id="241"/>
      <w:bookmarkEnd w:id="242"/>
      <w:bookmarkEnd w:id="243"/>
      <w:bookmarkStart w:id="244" w:name="_Toc31045"/>
      <w:bookmarkStart w:id="245" w:name="_Toc32603"/>
      <w:bookmarkStart w:id="246" w:name="_Toc18916"/>
    </w:p>
    <w:p w14:paraId="3019C8BE">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（1）未在指定的时间和地点递交的；</w:t>
      </w:r>
      <w:bookmarkEnd w:id="244"/>
      <w:bookmarkEnd w:id="245"/>
      <w:bookmarkEnd w:id="246"/>
      <w:bookmarkStart w:id="247" w:name="_Toc15124"/>
      <w:bookmarkStart w:id="248" w:name="_Toc17194"/>
      <w:bookmarkStart w:id="249" w:name="_Toc15823"/>
    </w:p>
    <w:p w14:paraId="55C28EA1">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（2）到场人员未出示身份证明材料的。</w:t>
      </w:r>
      <w:bookmarkEnd w:id="247"/>
      <w:bookmarkEnd w:id="248"/>
      <w:bookmarkEnd w:id="249"/>
      <w:bookmarkStart w:id="250" w:name="_Toc23037"/>
      <w:bookmarkStart w:id="251" w:name="_Toc2022"/>
      <w:bookmarkStart w:id="252" w:name="_Toc17679"/>
    </w:p>
    <w:p w14:paraId="43A2B683">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.9出现下述情形之一，属于未成功提交投标文件，按无效投标处理：</w:t>
      </w:r>
      <w:bookmarkEnd w:id="250"/>
      <w:bookmarkEnd w:id="251"/>
      <w:bookmarkEnd w:id="252"/>
      <w:bookmarkStart w:id="253" w:name="_Toc22805"/>
      <w:bookmarkStart w:id="254" w:name="_Toc27579"/>
      <w:bookmarkStart w:id="255" w:name="_Toc30279"/>
    </w:p>
    <w:p w14:paraId="51DD42DF">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（1）至提交投标文件截止时，投标文件未完整上传或未提交投标；</w:t>
      </w:r>
      <w:bookmarkEnd w:id="253"/>
      <w:bookmarkEnd w:id="254"/>
      <w:bookmarkEnd w:id="255"/>
      <w:bookmarkStart w:id="256" w:name="_Toc17052"/>
      <w:bookmarkStart w:id="257" w:name="_Toc1293"/>
      <w:bookmarkStart w:id="258" w:name="_Toc26257"/>
    </w:p>
    <w:p w14:paraId="71A14D03">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（2）投标文件未按投标格式中注明需签字盖章的要求进行签名（含电子签名）和加盖电子印章，或签名（含电子签名）或电子印章不完整的；</w:t>
      </w:r>
      <w:bookmarkEnd w:id="256"/>
      <w:bookmarkEnd w:id="257"/>
      <w:bookmarkEnd w:id="258"/>
    </w:p>
    <w:p w14:paraId="515BDB35">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bookmarkStart w:id="259" w:name="_Toc23907"/>
      <w:bookmarkStart w:id="260" w:name="_Toc29359"/>
      <w:bookmarkStart w:id="261" w:name="_Toc30827"/>
      <w:bookmarkStart w:id="262" w:name="_Toc17587"/>
      <w:bookmarkStart w:id="263" w:name="_Toc7367"/>
      <w:bookmarkStart w:id="264" w:name="_Toc444"/>
      <w:r>
        <w:rPr>
          <w:rFonts w:hint="eastAsia" w:ascii="宋体" w:hAnsi="宋体" w:eastAsia="宋体" w:cs="宋体"/>
          <w:bCs/>
          <w:color w:val="auto"/>
          <w:sz w:val="24"/>
          <w:szCs w:val="24"/>
          <w:highlight w:val="none"/>
        </w:rPr>
        <w:t>（3）解密失败且在规定时间内未重新提交投标文件的；</w:t>
      </w:r>
      <w:bookmarkEnd w:id="259"/>
      <w:bookmarkEnd w:id="260"/>
      <w:bookmarkEnd w:id="261"/>
      <w:bookmarkEnd w:id="262"/>
      <w:bookmarkEnd w:id="263"/>
      <w:bookmarkEnd w:id="264"/>
    </w:p>
    <w:p w14:paraId="57B75848">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bookmarkStart w:id="265" w:name="_Toc26444"/>
      <w:bookmarkStart w:id="266" w:name="_Toc21719"/>
      <w:bookmarkStart w:id="267" w:name="_Toc30936"/>
      <w:bookmarkStart w:id="268" w:name="_Toc13"/>
      <w:bookmarkStart w:id="269" w:name="_Toc19725"/>
      <w:bookmarkStart w:id="270" w:name="_Toc1851"/>
      <w:r>
        <w:rPr>
          <w:rFonts w:hint="eastAsia" w:ascii="宋体" w:hAnsi="宋体" w:eastAsia="宋体" w:cs="宋体"/>
          <w:bCs/>
          <w:color w:val="auto"/>
          <w:sz w:val="24"/>
          <w:szCs w:val="24"/>
          <w:highlight w:val="none"/>
        </w:rPr>
        <w:t>（4）投标文件损坏或格式不正确的。</w:t>
      </w:r>
      <w:bookmarkEnd w:id="265"/>
      <w:bookmarkEnd w:id="266"/>
      <w:bookmarkEnd w:id="267"/>
      <w:bookmarkEnd w:id="268"/>
      <w:bookmarkEnd w:id="269"/>
      <w:bookmarkEnd w:id="270"/>
    </w:p>
    <w:p w14:paraId="63C7B2E7">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71" w:name="_Toc7807"/>
      <w:bookmarkStart w:id="272" w:name="_Toc23010"/>
      <w:r>
        <w:rPr>
          <w:rFonts w:hint="eastAsia" w:ascii="宋体" w:hAnsi="宋体" w:eastAsia="宋体" w:cs="宋体"/>
          <w:b/>
          <w:color w:val="auto"/>
          <w:kern w:val="2"/>
          <w:sz w:val="24"/>
          <w:szCs w:val="24"/>
          <w:highlight w:val="none"/>
        </w:rPr>
        <w:t>12、 投标有效期及对投标人的其他要求</w:t>
      </w:r>
      <w:bookmarkEnd w:id="217"/>
      <w:bookmarkEnd w:id="218"/>
      <w:bookmarkEnd w:id="219"/>
      <w:bookmarkEnd w:id="220"/>
      <w:bookmarkEnd w:id="221"/>
      <w:bookmarkEnd w:id="222"/>
      <w:bookmarkEnd w:id="223"/>
      <w:bookmarkEnd w:id="224"/>
      <w:bookmarkEnd w:id="225"/>
      <w:bookmarkEnd w:id="226"/>
      <w:bookmarkEnd w:id="271"/>
      <w:bookmarkEnd w:id="272"/>
    </w:p>
    <w:p w14:paraId="3F081CE2">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本次招标投标有效期为</w:t>
      </w:r>
      <w:r>
        <w:rPr>
          <w:rFonts w:hint="eastAsia" w:ascii="宋体" w:hAnsi="宋体" w:eastAsia="宋体" w:cs="宋体"/>
          <w:snapToGrid w:val="0"/>
          <w:color w:val="auto"/>
          <w:kern w:val="0"/>
          <w:sz w:val="24"/>
          <w:szCs w:val="24"/>
          <w:highlight w:val="none"/>
          <w:u w:val="single"/>
        </w:rPr>
        <w:t xml:space="preserve"> 120 </w:t>
      </w:r>
      <w:r>
        <w:rPr>
          <w:rFonts w:hint="eastAsia" w:ascii="宋体" w:hAnsi="宋体" w:eastAsia="宋体" w:cs="宋体"/>
          <w:snapToGrid w:val="0"/>
          <w:color w:val="auto"/>
          <w:kern w:val="0"/>
          <w:sz w:val="24"/>
          <w:szCs w:val="24"/>
          <w:highlight w:val="none"/>
        </w:rPr>
        <w:t>个日历天，投标有效期从提交投标文件的截止之日起计算。在此期间，投标人不得撤销或修改其投标文件，否则其投标保证不予退还。</w:t>
      </w:r>
    </w:p>
    <w:bookmarkEnd w:id="142"/>
    <w:p w14:paraId="3F970CC1">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73" w:name="_Hlt111081624"/>
      <w:bookmarkEnd w:id="273"/>
      <w:bookmarkStart w:id="274" w:name="_Toc3892"/>
      <w:r>
        <w:rPr>
          <w:rFonts w:hint="eastAsia" w:ascii="宋体" w:hAnsi="宋体" w:eastAsia="宋体" w:cs="宋体"/>
          <w:b/>
          <w:color w:val="auto"/>
          <w:kern w:val="2"/>
          <w:sz w:val="24"/>
          <w:szCs w:val="24"/>
          <w:highlight w:val="none"/>
        </w:rPr>
        <w:t>13、开标</w:t>
      </w:r>
      <w:bookmarkEnd w:id="274"/>
    </w:p>
    <w:p w14:paraId="7FDB378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49E9EAD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13.1.1 开标时间和地点：见本章第二节“重要事项时间地点一览表”。</w:t>
      </w:r>
    </w:p>
    <w:p w14:paraId="523823F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36DA9F3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32E33B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13.2 开标程序</w:t>
      </w:r>
    </w:p>
    <w:p w14:paraId="308E8B0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（1）主持人（招标人代表或招标人授权的招标代理机构人员）宣读开标纪律。</w:t>
      </w:r>
    </w:p>
    <w:p w14:paraId="29D5099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（2）主持人宣布唱标人、记录人、见证人、监督人等有关人员姓名。</w:t>
      </w:r>
    </w:p>
    <w:p w14:paraId="540E1C2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（3）唱标人公布在投标截止时间前进行投标文件的投标人数量和名称</w:t>
      </w:r>
    </w:p>
    <w:p w14:paraId="25C6862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（4）招标代理机构会同交易场所工作人员对投标人的电子投标信息进行解密，建设工程交易系统自动生成《投标保证缴纳情况表》和《开标一览表》。</w:t>
      </w:r>
    </w:p>
    <w:p w14:paraId="47ED6D0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6EA1080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2909B75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13D71BDA">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13.4 招标代理机构将资料原件（若有）、《开标一览表》以及其他有关资料移交评标委员会。</w:t>
      </w:r>
    </w:p>
    <w:p w14:paraId="68DD17EE">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75" w:name="_Toc1528"/>
      <w:bookmarkStart w:id="276" w:name="_Toc21041"/>
      <w:r>
        <w:rPr>
          <w:rFonts w:hint="eastAsia" w:ascii="宋体" w:hAnsi="宋体" w:eastAsia="宋体" w:cs="宋体"/>
          <w:b/>
          <w:color w:val="auto"/>
          <w:kern w:val="2"/>
          <w:sz w:val="24"/>
          <w:szCs w:val="24"/>
          <w:highlight w:val="none"/>
        </w:rPr>
        <w:t>14</w:t>
      </w:r>
      <w:bookmarkStart w:id="277" w:name="_Hlt127093805"/>
      <w:bookmarkEnd w:id="277"/>
      <w:r>
        <w:rPr>
          <w:rFonts w:hint="eastAsia" w:ascii="宋体" w:hAnsi="宋体" w:eastAsia="宋体" w:cs="宋体"/>
          <w:b/>
          <w:color w:val="auto"/>
          <w:kern w:val="2"/>
          <w:sz w:val="24"/>
          <w:szCs w:val="24"/>
          <w:highlight w:val="none"/>
        </w:rPr>
        <w:t>、评标的方法和标准</w:t>
      </w:r>
      <w:bookmarkEnd w:id="275"/>
      <w:bookmarkEnd w:id="276"/>
    </w:p>
    <w:p w14:paraId="1495E65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已明确的定标候选人数量（不标明排序），并向招标人提交由全体评标委员会成员签字的评标报告。</w:t>
      </w:r>
    </w:p>
    <w:p w14:paraId="59844AB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78" w:name="_Toc32313"/>
      <w:bookmarkStart w:id="279" w:name="_Toc23778"/>
      <w:bookmarkStart w:id="280" w:name="_Toc13469"/>
      <w:r>
        <w:rPr>
          <w:rFonts w:hint="eastAsia" w:ascii="宋体" w:hAnsi="宋体" w:eastAsia="宋体" w:cs="宋体"/>
          <w:bCs/>
          <w:color w:val="auto"/>
          <w:sz w:val="24"/>
          <w:szCs w:val="24"/>
          <w:highlight w:val="none"/>
        </w:rPr>
        <w:t>14.1 评标</w:t>
      </w:r>
      <w:bookmarkStart w:id="281" w:name="_Hlt69208274"/>
      <w:bookmarkEnd w:id="281"/>
      <w:r>
        <w:rPr>
          <w:rFonts w:hint="eastAsia" w:ascii="宋体" w:hAnsi="宋体" w:eastAsia="宋体" w:cs="宋体"/>
          <w:bCs/>
          <w:color w:val="auto"/>
          <w:sz w:val="24"/>
          <w:szCs w:val="24"/>
          <w:highlight w:val="none"/>
        </w:rPr>
        <w:t>委员会</w:t>
      </w:r>
      <w:bookmarkEnd w:id="278"/>
      <w:bookmarkEnd w:id="279"/>
      <w:bookmarkEnd w:id="280"/>
      <w:bookmarkStart w:id="282" w:name="_Hlt69338169"/>
      <w:bookmarkEnd w:id="282"/>
    </w:p>
    <w:p w14:paraId="4C1CAE7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14.1.1 评标委员会由5人组成。专家从广东省综合评标评审专家库-韶关区域中随机抽取，其中技术类专家3人，经济类专家2人。评标委员会的负责人在评委中民主选出，负责人的权力与评委成员相等。</w:t>
      </w:r>
    </w:p>
    <w:p w14:paraId="6ACA743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 评标委员会应认真、公正、诚实、廉洁地履行职责。有下列情形之一的，不得担任评标委员会成员：</w:t>
      </w:r>
    </w:p>
    <w:p w14:paraId="1DD309C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14.1.2.1 投标人或者投标人主要负责人的近亲属；</w:t>
      </w:r>
    </w:p>
    <w:p w14:paraId="30F3A28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14.1.2.2 项目主管部门或者行政监督部门的人员；</w:t>
      </w:r>
    </w:p>
    <w:p w14:paraId="36313E4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14.1.2.3 与投标人有经济利益关系，可能影响对投标公正评审的；</w:t>
      </w:r>
    </w:p>
    <w:p w14:paraId="45C5BD1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14.1.2.4 曾因在</w:t>
      </w:r>
      <w:bookmarkStart w:id="283" w:name="_Hlt69700387"/>
      <w:bookmarkEnd w:id="283"/>
      <w:r>
        <w:rPr>
          <w:rFonts w:hint="eastAsia" w:ascii="宋体" w:hAnsi="宋体" w:eastAsia="宋体" w:cs="宋体"/>
          <w:bCs/>
          <w:color w:val="auto"/>
          <w:sz w:val="24"/>
          <w:szCs w:val="24"/>
          <w:highlight w:val="none"/>
        </w:rPr>
        <w:t>招标、评标以及其他与招标投标有关活动中从事违法行为而受过行政处罚或刑事处罚的。</w:t>
      </w:r>
    </w:p>
    <w:p w14:paraId="28A0034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14.1.3 评标委员会成员有前款规定情形之一的，应主动提出回避。</w:t>
      </w:r>
    </w:p>
    <w:p w14:paraId="1FD7329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14.1.4 评标全过程实行封闭式管理，在中标结果公布前，禁止评标委员会成员以任何方式私下接触投标人。</w:t>
      </w:r>
    </w:p>
    <w:p w14:paraId="2CC7BFE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4EDD6B1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2A4387FA">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p>
    <w:p w14:paraId="47CDFE7A">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84" w:name="_Toc106418823"/>
      <w:bookmarkStart w:id="285" w:name="_Toc104711078"/>
      <w:bookmarkStart w:id="286" w:name="_Toc22205"/>
      <w:bookmarkStart w:id="287" w:name="_Toc17385"/>
      <w:bookmarkStart w:id="288" w:name="_Toc17742"/>
      <w:r>
        <w:rPr>
          <w:rFonts w:hint="eastAsia" w:ascii="宋体" w:hAnsi="宋体" w:eastAsia="宋体" w:cs="宋体"/>
          <w:bCs/>
          <w:color w:val="auto"/>
          <w:sz w:val="24"/>
          <w:szCs w:val="24"/>
          <w:highlight w:val="none"/>
        </w:rPr>
        <w:t>14.2</w:t>
      </w:r>
      <w:bookmarkEnd w:id="284"/>
      <w:bookmarkEnd w:id="285"/>
      <w:r>
        <w:rPr>
          <w:rFonts w:hint="eastAsia" w:ascii="宋体" w:hAnsi="宋体" w:eastAsia="宋体" w:cs="宋体"/>
          <w:bCs/>
          <w:color w:val="auto"/>
          <w:sz w:val="24"/>
          <w:szCs w:val="24"/>
          <w:highlight w:val="none"/>
        </w:rPr>
        <w:t>评标方法</w:t>
      </w:r>
      <w:bookmarkEnd w:id="286"/>
      <w:bookmarkEnd w:id="287"/>
      <w:bookmarkEnd w:id="288"/>
    </w:p>
    <w:p w14:paraId="743CC02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89" w:name="_Hlt66591657"/>
      <w:bookmarkEnd w:id="289"/>
      <w:r>
        <w:rPr>
          <w:rFonts w:hint="eastAsia" w:ascii="宋体" w:hAnsi="宋体" w:eastAsia="宋体" w:cs="宋体"/>
          <w:bCs/>
          <w:color w:val="auto"/>
          <w:sz w:val="24"/>
          <w:szCs w:val="24"/>
          <w:highlight w:val="none"/>
        </w:rPr>
        <w:t>根据有关法律、法规的相关规定，结合本招标项目资金来源和规模特点，本次招标采用综合评估法进行评标。</w:t>
      </w:r>
    </w:p>
    <w:p w14:paraId="524C815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14.2.1评审范围：评标委员会应对所有投标人的投标文件进行评审。</w:t>
      </w:r>
    </w:p>
    <w:p w14:paraId="364B161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14.2.2 初步评审阶段</w:t>
      </w:r>
    </w:p>
    <w:p w14:paraId="243604C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初步评审阶段分为资格评审、形式评审和响应性评审三个环节。</w:t>
      </w:r>
    </w:p>
    <w:p w14:paraId="301A1FE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14.2.3资格评审环节</w:t>
      </w:r>
    </w:p>
    <w:p w14:paraId="7830342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90" w:name="OLE_LINK5"/>
      <w:r>
        <w:rPr>
          <w:rFonts w:hint="eastAsia" w:ascii="宋体" w:hAnsi="宋体" w:eastAsia="宋体" w:cs="宋体"/>
          <w:bCs/>
          <w:color w:val="auto"/>
          <w:sz w:val="24"/>
          <w:szCs w:val="24"/>
          <w:highlight w:val="none"/>
        </w:rPr>
        <w:t>资格评审</w:t>
      </w:r>
      <w:bookmarkEnd w:id="290"/>
      <w:r>
        <w:rPr>
          <w:rFonts w:hint="eastAsia" w:ascii="宋体" w:hAnsi="宋体" w:eastAsia="宋体" w:cs="宋体"/>
          <w:bCs/>
          <w:color w:val="auto"/>
          <w:sz w:val="24"/>
          <w:szCs w:val="24"/>
          <w:highlight w:val="none"/>
        </w:rPr>
        <w:t>事项包括：</w:t>
      </w:r>
    </w:p>
    <w:p w14:paraId="6B4D3C7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91" w:name="OLE_LINK6"/>
      <w:r>
        <w:rPr>
          <w:rFonts w:hint="eastAsia" w:ascii="宋体" w:hAnsi="宋体" w:eastAsia="宋体" w:cs="宋体"/>
          <w:bCs/>
          <w:color w:val="auto"/>
          <w:sz w:val="24"/>
          <w:szCs w:val="24"/>
          <w:highlight w:val="none"/>
        </w:rPr>
        <w:t>投标人是否符合本章第三节第 4.4条“禁止投标条款”规定。</w:t>
      </w:r>
      <w:bookmarkEnd w:id="291"/>
    </w:p>
    <w:p w14:paraId="31CC99B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92" w:name="OLE_LINK7"/>
      <w:r>
        <w:rPr>
          <w:rFonts w:hint="eastAsia" w:ascii="宋体" w:hAnsi="宋体" w:eastAsia="宋体" w:cs="宋体"/>
          <w:bCs/>
          <w:color w:val="auto"/>
          <w:sz w:val="24"/>
          <w:szCs w:val="24"/>
          <w:highlight w:val="none"/>
        </w:rPr>
        <w:t>投标人名称是否与营业执照、资质证书、安全生产许可证一致。</w:t>
      </w:r>
      <w:bookmarkEnd w:id="292"/>
    </w:p>
    <w:p w14:paraId="7D418BC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bookmarkStart w:id="293" w:name="OLE_LINK8"/>
      <w:r>
        <w:rPr>
          <w:rFonts w:hint="eastAsia" w:ascii="宋体" w:hAnsi="宋体" w:eastAsia="宋体" w:cs="宋体"/>
          <w:bCs/>
          <w:color w:val="auto"/>
          <w:sz w:val="24"/>
          <w:szCs w:val="24"/>
          <w:highlight w:val="none"/>
        </w:rPr>
        <w:t>投标人的资质是否符合招标文件规定；其营业执照、资质证书、安全生产许可证是否合法、有效、准确。</w:t>
      </w:r>
      <w:bookmarkEnd w:id="293"/>
    </w:p>
    <w:p w14:paraId="3249C4B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bookmarkStart w:id="294" w:name="OLE_LINK9"/>
      <w:r>
        <w:rPr>
          <w:rFonts w:hint="eastAsia" w:ascii="宋体" w:hAnsi="宋体" w:eastAsia="宋体" w:cs="宋体"/>
          <w:bCs/>
          <w:color w:val="auto"/>
          <w:sz w:val="24"/>
          <w:szCs w:val="24"/>
          <w:highlight w:val="none"/>
        </w:rPr>
        <w:t>《项目经理简历表》中拟派项目经理是否与《开标一览表》一致。</w:t>
      </w:r>
      <w:bookmarkEnd w:id="294"/>
    </w:p>
    <w:p w14:paraId="516FD2A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bookmarkStart w:id="295" w:name="OLE_LINK10"/>
      <w:r>
        <w:rPr>
          <w:rFonts w:hint="eastAsia" w:ascii="宋体" w:hAnsi="宋体" w:eastAsia="宋体" w:cs="宋体"/>
          <w:bCs/>
          <w:color w:val="auto"/>
          <w:sz w:val="24"/>
          <w:szCs w:val="24"/>
          <w:highlight w:val="none"/>
        </w:rPr>
        <w:t>拟派项目经理、项目技术负责人、专职安全员、设计负责人的条件是否符合招标文件规定；项目管理机构组成人员的各类证书、证件、证明是否合法、有效、准确；是否擅自修改、遗漏《项目经理任职声明》的实质性内容。</w:t>
      </w:r>
      <w:bookmarkEnd w:id="295"/>
    </w:p>
    <w:p w14:paraId="26927F4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w:t>
      </w:r>
      <w:bookmarkStart w:id="296" w:name="OLE_LINK11"/>
      <w:r>
        <w:rPr>
          <w:rFonts w:hint="eastAsia" w:ascii="宋体" w:hAnsi="宋体" w:eastAsia="宋体" w:cs="宋体"/>
          <w:bCs/>
          <w:color w:val="auto"/>
          <w:sz w:val="24"/>
          <w:szCs w:val="24"/>
          <w:highlight w:val="none"/>
        </w:rPr>
        <w:t>联合体投标的，是否提交《联合体协议书》；是否擅自修改、遗漏《联合体协议书》的实质性内容；联合体成员的数量、资质是否符合招标文件规定；联合体成员是否以自己名义单独或者参加其他联合体参与本招标工程投标。</w:t>
      </w:r>
      <w:bookmarkEnd w:id="296"/>
    </w:p>
    <w:p w14:paraId="21FB59F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w:t>
      </w:r>
      <w:bookmarkStart w:id="297" w:name="OLE_LINK12"/>
      <w:r>
        <w:rPr>
          <w:rFonts w:hint="eastAsia" w:ascii="宋体" w:hAnsi="宋体" w:eastAsia="宋体" w:cs="宋体"/>
          <w:bCs/>
          <w:color w:val="auto"/>
          <w:sz w:val="24"/>
          <w:szCs w:val="24"/>
          <w:highlight w:val="none"/>
        </w:rPr>
        <w:t>投标人为外省建筑企业的，是否按规定在“进粤企业和人员诚信信息登记平台”录入企业及其拟派人员有关信息并通过数据规范检查。</w:t>
      </w:r>
    </w:p>
    <w:p w14:paraId="27E85E5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如果“禁止投标条款”包括失信惩戒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bookmarkEnd w:id="297"/>
    </w:p>
    <w:p w14:paraId="38ED53A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14.2.4 形式评审环节</w:t>
      </w:r>
    </w:p>
    <w:p w14:paraId="6C3CAC87">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形式评审事项包括：</w:t>
      </w:r>
    </w:p>
    <w:p w14:paraId="7BEAC912">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）投标文件是否按招标文件规定加盖电子印章。</w:t>
      </w:r>
    </w:p>
    <w:p w14:paraId="6D7C21F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lang w:eastAsia="zh-CN"/>
        </w:rPr>
        <w:t>）本节第11.2.2目中规定的“所有投标人均应提供”的组成内容（包括该组成内容的所附资料）是否完整、齐全。</w:t>
      </w:r>
    </w:p>
    <w:p w14:paraId="71071153">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w:t>
      </w:r>
      <w:bookmarkStart w:id="298" w:name="OLE_LINK16"/>
      <w:r>
        <w:rPr>
          <w:rFonts w:hint="eastAsia" w:ascii="宋体" w:hAnsi="宋体" w:eastAsia="宋体" w:cs="宋体"/>
          <w:snapToGrid w:val="0"/>
          <w:color w:val="auto"/>
          <w:kern w:val="0"/>
          <w:sz w:val="24"/>
          <w:szCs w:val="24"/>
          <w:highlight w:val="none"/>
        </w:rPr>
        <w:t>投标文件是否按招标文件规定签字、盖章</w:t>
      </w:r>
      <w:r>
        <w:rPr>
          <w:rFonts w:hint="eastAsia" w:ascii="宋体" w:hAnsi="宋体" w:eastAsia="宋体" w:cs="宋体"/>
          <w:snapToGrid w:val="0"/>
          <w:color w:val="auto"/>
          <w:kern w:val="0"/>
          <w:sz w:val="24"/>
          <w:szCs w:val="24"/>
          <w:highlight w:val="none"/>
          <w:lang w:eastAsia="zh-CN"/>
        </w:rPr>
        <w:t>。</w:t>
      </w:r>
      <w:bookmarkEnd w:id="298"/>
    </w:p>
    <w:p w14:paraId="6758C07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14.2.5 响应性评审环节</w:t>
      </w:r>
    </w:p>
    <w:p w14:paraId="04AA01EC">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响应性评审事项包括：</w:t>
      </w:r>
    </w:p>
    <w:p w14:paraId="69D85776">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99" w:name="OLE_LINK17"/>
      <w:r>
        <w:rPr>
          <w:rFonts w:hint="eastAsia" w:ascii="宋体" w:hAnsi="宋体" w:eastAsia="宋体" w:cs="宋体"/>
          <w:bCs/>
          <w:color w:val="auto"/>
          <w:sz w:val="24"/>
          <w:szCs w:val="24"/>
          <w:highlight w:val="none"/>
        </w:rPr>
        <w:t>投标有效期、质量标准、工期等是否响应招标文件实质性要求；是否擅自修改、遗漏《投标函》《各项承诺一览表》的实质性内容。</w:t>
      </w:r>
      <w:bookmarkEnd w:id="299"/>
    </w:p>
    <w:p w14:paraId="53E62F89">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300" w:name="OLE_LINK18"/>
      <w:r>
        <w:rPr>
          <w:rFonts w:hint="eastAsia" w:ascii="宋体" w:hAnsi="宋体" w:eastAsia="宋体" w:cs="宋体"/>
          <w:bCs/>
          <w:color w:val="auto"/>
          <w:sz w:val="24"/>
          <w:szCs w:val="24"/>
          <w:highlight w:val="none"/>
        </w:rPr>
        <w:t>编投标总价是否唯一；投标总价是否超出最高投标限价；投标人是否以低于成本的价格竞标。</w:t>
      </w:r>
    </w:p>
    <w:p w14:paraId="658F6A2B">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注：如果某投标人的投标总价下浮率（投标总价下浮率＝100%－投标总价÷</w:t>
      </w:r>
      <w:r>
        <w:rPr>
          <w:rFonts w:hint="eastAsia" w:ascii="宋体" w:hAnsi="宋体" w:eastAsia="宋体" w:cs="宋体"/>
          <w:bCs/>
          <w:strike w:val="0"/>
          <w:dstrike w:val="0"/>
          <w:color w:val="auto"/>
          <w:sz w:val="24"/>
          <w:szCs w:val="24"/>
          <w:highlight w:val="none"/>
          <w:lang w:eastAsia="zh-CN"/>
        </w:rPr>
        <w:t>最高投标限价</w:t>
      </w:r>
      <w:r>
        <w:rPr>
          <w:rFonts w:hint="eastAsia" w:ascii="宋体" w:hAnsi="宋体" w:eastAsia="宋体" w:cs="宋体"/>
          <w:bCs/>
          <w:color w:val="auto"/>
          <w:sz w:val="24"/>
          <w:szCs w:val="24"/>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bookmarkEnd w:id="300"/>
    <w:p w14:paraId="11B97CD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14.2.6 否决投标说明</w:t>
      </w:r>
    </w:p>
    <w:p w14:paraId="7F0761B5">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lang w:val="en-US" w:eastAsia="zh-CN"/>
        </w:rPr>
      </w:pPr>
      <w:bookmarkStart w:id="301" w:name="_Toc18413"/>
      <w:bookmarkStart w:id="302" w:name="_Toc15098"/>
      <w:bookmarkStart w:id="303" w:name="_Toc27709"/>
      <w:r>
        <w:rPr>
          <w:rFonts w:hint="eastAsia" w:ascii="宋体" w:hAnsi="宋体" w:eastAsia="宋体" w:cs="宋体"/>
          <w:bCs/>
          <w:color w:val="auto"/>
          <w:sz w:val="24"/>
          <w:szCs w:val="24"/>
          <w:highlight w:val="none"/>
          <w:lang w:val="en-US" w:eastAsia="zh-CN"/>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评标委员会经评审，认为所有投标都不符合招标文件要求的，可否决所有投标，项目的所有投标被否决的，招标人应依法重新组织招标。</w:t>
      </w:r>
    </w:p>
    <w:p w14:paraId="1785A914">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14.3 详细评审阶段</w:t>
      </w:r>
      <w:bookmarkEnd w:id="301"/>
      <w:bookmarkEnd w:id="302"/>
      <w:bookmarkEnd w:id="303"/>
    </w:p>
    <w:p w14:paraId="678A232D">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14.3.1 “综合评估法”评审程序</w:t>
      </w:r>
    </w:p>
    <w:p w14:paraId="56756D02">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评审内容分为商务部分和经济部分两大部分，实行分项计分，以100分为满分。具体分值详见《综合评分表》。</w:t>
      </w:r>
    </w:p>
    <w:p w14:paraId="090D04BD">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除特别注明外，综合得分以及商务部分得分、经济部分得分的中间过程计算值和最终值，均按“四舍五入”原则精确到两位小数。</w:t>
      </w:r>
    </w:p>
    <w:p w14:paraId="017E23C5">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（1）商务部分得分</w:t>
      </w:r>
    </w:p>
    <w:p w14:paraId="3A7E476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①评标委员会各成员独立按照《综合评分表》商务部分指定的评分标准对各评分因素进行打分。各评分因素得分之和即为某投标人的商务部分得分。</w:t>
      </w:r>
    </w:p>
    <w:p w14:paraId="45E938E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②全体评委对该投标人的商务部分总评分取平均值，按“四舍五入”原则精确到两位小数即为该投标人商务部分的最终得分。</w:t>
      </w:r>
    </w:p>
    <w:p w14:paraId="7F64AB7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（2）经济部分得分</w:t>
      </w:r>
    </w:p>
    <w:p w14:paraId="2E47A02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经济部分评分方法详见《综合评分表》。</w:t>
      </w:r>
    </w:p>
    <w:p w14:paraId="41B7836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（3）综合得分</w:t>
      </w:r>
    </w:p>
    <w:p w14:paraId="035D0D2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综合得分=商务部分得分+经济部分得分</w:t>
      </w:r>
    </w:p>
    <w:p w14:paraId="412B1FAA">
      <w:pPr>
        <w:spacing w:line="440" w:lineRule="exact"/>
        <w:rPr>
          <w:rFonts w:asciiTheme="minorEastAsia" w:hAnsiTheme="minorEastAsia" w:eastAsiaTheme="minorEastAsia" w:cstheme="minorEastAsia"/>
          <w:bCs/>
          <w:color w:val="auto"/>
          <w:highlight w:val="none"/>
        </w:rPr>
      </w:pPr>
    </w:p>
    <w:p w14:paraId="68EC941B">
      <w:pPr>
        <w:spacing w:line="240" w:lineRule="auto"/>
        <w:rPr>
          <w:rFonts w:asciiTheme="minorEastAsia" w:hAnsiTheme="minorEastAsia" w:eastAsiaTheme="minorEastAsia" w:cstheme="minorEastAsia"/>
          <w:bCs/>
          <w:color w:val="auto"/>
          <w:highlight w:val="none"/>
        </w:rPr>
      </w:pPr>
      <w:r>
        <w:rPr>
          <w:rFonts w:asciiTheme="minorEastAsia" w:hAnsiTheme="minorEastAsia" w:eastAsiaTheme="minorEastAsia" w:cstheme="minorEastAsia"/>
          <w:bCs/>
          <w:color w:val="auto"/>
          <w:highlight w:val="none"/>
        </w:rPr>
        <w:br w:type="page"/>
      </w:r>
    </w:p>
    <w:p w14:paraId="5740E770">
      <w:pPr>
        <w:pStyle w:val="32"/>
        <w:rPr>
          <w:color w:val="auto"/>
          <w:highlight w:val="none"/>
        </w:rPr>
      </w:pPr>
    </w:p>
    <w:bookmarkEnd w:id="143"/>
    <w:p w14:paraId="0C0A3477">
      <w:pPr>
        <w:autoSpaceDE w:val="0"/>
        <w:autoSpaceDN w:val="0"/>
        <w:adjustRightInd w:val="0"/>
        <w:spacing w:line="360" w:lineRule="auto"/>
        <w:ind w:firstLine="562" w:firstLineChars="200"/>
        <w:jc w:val="center"/>
        <w:rPr>
          <w:rFonts w:hint="default" w:hAnsi="宋体" w:eastAsia="宋体" w:cs="宋体"/>
          <w:b/>
          <w:color w:val="auto"/>
          <w:sz w:val="28"/>
          <w:szCs w:val="28"/>
          <w:highlight w:val="none"/>
        </w:rPr>
      </w:pPr>
      <w:r>
        <w:rPr>
          <w:rFonts w:hAnsi="宋体" w:eastAsia="宋体" w:cs="宋体"/>
          <w:b/>
          <w:color w:val="auto"/>
          <w:sz w:val="28"/>
          <w:szCs w:val="28"/>
          <w:highlight w:val="none"/>
        </w:rPr>
        <w:t>综合评分表</w:t>
      </w:r>
    </w:p>
    <w:tbl>
      <w:tblPr>
        <w:tblStyle w:val="23"/>
        <w:tblW w:w="10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846"/>
        <w:gridCol w:w="763"/>
        <w:gridCol w:w="3785"/>
        <w:gridCol w:w="4552"/>
      </w:tblGrid>
      <w:tr w14:paraId="78F9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482"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E3C8CF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评标内容</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0859189C">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说    明</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6C4D9AD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备注</w:t>
            </w:r>
          </w:p>
        </w:tc>
      </w:tr>
      <w:tr w14:paraId="100F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5" w:hRule="atLeast"/>
          <w:jc w:val="center"/>
        </w:trPr>
        <w:tc>
          <w:tcPr>
            <w:tcW w:w="87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321CCB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商务</w:t>
            </w:r>
            <w:r>
              <w:rPr>
                <w:rFonts w:hint="eastAsia" w:ascii="宋体" w:hAnsi="宋体" w:eastAsia="宋体" w:cs="宋体"/>
                <w:color w:val="auto"/>
                <w:kern w:val="0"/>
                <w:sz w:val="24"/>
                <w:szCs w:val="24"/>
                <w:highlight w:val="none"/>
                <w:lang w:val="en-US" w:eastAsia="zh-CN"/>
              </w:rPr>
              <w:t>部分</w:t>
            </w:r>
            <w:r>
              <w:rPr>
                <w:rFonts w:hint="eastAsia" w:ascii="宋体" w:hAnsi="宋体" w:eastAsia="宋体" w:cs="宋体"/>
                <w:color w:val="auto"/>
                <w:kern w:val="0"/>
                <w:sz w:val="24"/>
                <w:szCs w:val="24"/>
                <w:highlight w:val="none"/>
              </w:rPr>
              <w:t>得分</w:t>
            </w:r>
            <w:r>
              <w:rPr>
                <w:rFonts w:hint="eastAsia" w:hAnsi="宋体" w:eastAsia="宋体" w:cs="宋体"/>
                <w:color w:val="auto"/>
                <w:kern w:val="0"/>
                <w:sz w:val="24"/>
                <w:szCs w:val="24"/>
                <w:highlight w:val="none"/>
                <w:lang w:eastAsia="zh-CN"/>
              </w:rPr>
              <w:t>（</w:t>
            </w:r>
            <w:r>
              <w:rPr>
                <w:rFonts w:hint="eastAsia" w:hAnsi="宋体" w:eastAsia="宋体" w:cs="宋体"/>
                <w:color w:val="auto"/>
                <w:kern w:val="0"/>
                <w:sz w:val="24"/>
                <w:szCs w:val="24"/>
                <w:highlight w:val="none"/>
                <w:lang w:val="en-US" w:eastAsia="zh-CN"/>
              </w:rPr>
              <w:t xml:space="preserve"> 60</w:t>
            </w:r>
            <w:r>
              <w:rPr>
                <w:rFonts w:hint="eastAsia" w:ascii="宋体" w:hAnsi="宋体" w:eastAsia="宋体" w:cs="宋体"/>
                <w:color w:val="auto"/>
                <w:kern w:val="0"/>
                <w:sz w:val="24"/>
                <w:szCs w:val="24"/>
                <w:highlight w:val="none"/>
              </w:rPr>
              <w:t>分）</w:t>
            </w:r>
          </w:p>
          <w:p w14:paraId="4273E25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p>
          <w:p w14:paraId="7E7CCF7B">
            <w:pPr>
              <w:pStyle w:val="5"/>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p>
        </w:tc>
        <w:tc>
          <w:tcPr>
            <w:tcW w:w="846"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A2BC61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施工企业</w:t>
            </w:r>
          </w:p>
          <w:p w14:paraId="275967E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hAnsi="宋体" w:eastAsia="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rPr>
              <w:t>分）</w:t>
            </w: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703E1FA1">
            <w:pPr>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企业奖项</w:t>
            </w:r>
          </w:p>
          <w:p w14:paraId="3CDCA40E">
            <w:pPr>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454678E5">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企业</w:t>
            </w:r>
            <w:r>
              <w:rPr>
                <w:rFonts w:hint="eastAsia" w:ascii="宋体" w:hAnsi="宋体" w:eastAsia="宋体" w:cs="宋体"/>
                <w:snapToGrid w:val="0"/>
                <w:color w:val="auto"/>
                <w:kern w:val="0"/>
                <w:sz w:val="24"/>
                <w:szCs w:val="24"/>
                <w:highlight w:val="none"/>
              </w:rPr>
              <w:t>近年来（</w:t>
            </w:r>
            <w:r>
              <w:rPr>
                <w:rFonts w:hint="eastAsia" w:ascii="宋体" w:hAnsi="宋体" w:eastAsia="宋体" w:cs="宋体"/>
                <w:snapToGrid w:val="0"/>
                <w:color w:val="auto"/>
                <w:kern w:val="0"/>
                <w:sz w:val="24"/>
                <w:szCs w:val="24"/>
                <w:highlight w:val="none"/>
                <w:lang w:val="en-US" w:eastAsia="zh-CN"/>
              </w:rPr>
              <w:t>202</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年1月1日至今）获得</w:t>
            </w:r>
            <w:r>
              <w:rPr>
                <w:rFonts w:hint="eastAsia" w:ascii="宋体" w:hAnsi="宋体" w:eastAsia="宋体" w:cs="宋体"/>
                <w:snapToGrid w:val="0"/>
                <w:color w:val="auto"/>
                <w:kern w:val="0"/>
                <w:sz w:val="24"/>
                <w:szCs w:val="24"/>
                <w:highlight w:val="none"/>
                <w:u w:val="single"/>
              </w:rPr>
              <w:t xml:space="preserve"> 市政</w:t>
            </w:r>
            <w:r>
              <w:rPr>
                <w:rFonts w:hint="eastAsia" w:hAnsi="宋体" w:eastAsia="宋体" w:cs="宋体"/>
                <w:snapToGrid w:val="0"/>
                <w:color w:val="auto"/>
                <w:kern w:val="0"/>
                <w:sz w:val="24"/>
                <w:szCs w:val="24"/>
                <w:highlight w:val="none"/>
                <w:u w:val="single"/>
                <w:lang w:val="en-US" w:eastAsia="zh-CN"/>
              </w:rPr>
              <w:t>公用工程</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类奖项情况：</w:t>
            </w:r>
          </w:p>
          <w:p w14:paraId="5967E366">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w:t>
            </w:r>
            <w:r>
              <w:rPr>
                <w:rFonts w:hint="eastAsia"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获得国家级奖项的，每个得</w:t>
            </w:r>
            <w:r>
              <w:rPr>
                <w:rFonts w:hint="eastAsia" w:hAnsi="宋体" w:eastAsia="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lang w:val="en-US" w:eastAsia="zh-CN"/>
              </w:rPr>
              <w:t>分。</w:t>
            </w:r>
          </w:p>
          <w:p w14:paraId="107E583F">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w:t>
            </w:r>
            <w:r>
              <w:rPr>
                <w:rFonts w:hint="eastAsia"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获得省级奖项的，每个得</w:t>
            </w:r>
            <w:r>
              <w:rPr>
                <w:rFonts w:hint="eastAsia"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lang w:val="en-US" w:eastAsia="zh-CN"/>
              </w:rPr>
              <w:t>分。</w:t>
            </w:r>
          </w:p>
          <w:p w14:paraId="5687453A">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r>
              <w:rPr>
                <w:rFonts w:hint="eastAsia"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获得地市级奖项的，每个得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lang w:val="en-US" w:eastAsia="zh-CN"/>
              </w:rPr>
              <w:t>分。</w:t>
            </w:r>
          </w:p>
          <w:p w14:paraId="770B2EEF">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w:t>
            </w:r>
            <w:r>
              <w:rPr>
                <w:rFonts w:hint="eastAsia"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以上奖项均未获得的，不予计分。</w:t>
            </w:r>
          </w:p>
          <w:p w14:paraId="7C721E06">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说明：本项最高得</w:t>
            </w:r>
            <w:r>
              <w:rPr>
                <w:rFonts w:hint="eastAsia"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lang w:val="en-US" w:eastAsia="zh-CN"/>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2243A376">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1．允许投标人提交多个业绩，但同一业绩只按最高级别奖项计分一次。</w:t>
            </w:r>
          </w:p>
          <w:p w14:paraId="59B53301">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2．需附有关奖项证明扫描件或网上公示证明发文材料彩色扫描件。</w:t>
            </w:r>
          </w:p>
          <w:p w14:paraId="3F23425F">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3．颁发机构限定以下范围：</w:t>
            </w:r>
          </w:p>
          <w:p w14:paraId="42BAB620">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①国家级奖项：国务院、住建部、国家级行业协会；（相关协会需经民政部门备案）</w:t>
            </w:r>
          </w:p>
          <w:p w14:paraId="26399036">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②省级奖项：省级人民政府、省级住建部门、省级行业协会；（相关协会需经民政部门备案）</w:t>
            </w:r>
          </w:p>
          <w:p w14:paraId="23711A0B">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③地市级奖项：地市级人民政府、地市级住建部门、市级行业协会。（相关协会需经民政部门备案）</w:t>
            </w:r>
          </w:p>
          <w:p w14:paraId="19EC05C5">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4．获奖时间以奖项证明的落款日期为准。</w:t>
            </w:r>
          </w:p>
          <w:p w14:paraId="3CD765DE">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5．任一奖项有以下情形之一的，该奖项视为无效，不予计分：</w:t>
            </w:r>
          </w:p>
          <w:p w14:paraId="0A8FF5B8">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①奖项不属于指定类别的；</w:t>
            </w:r>
          </w:p>
          <w:p w14:paraId="33DDEC7B">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②颁发机构不符合要求的；</w:t>
            </w:r>
          </w:p>
          <w:p w14:paraId="4E93BF84">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b/>
                <w:color w:val="auto"/>
                <w:sz w:val="24"/>
                <w:szCs w:val="24"/>
                <w:highlight w:val="none"/>
              </w:rPr>
            </w:pPr>
            <w:r>
              <w:rPr>
                <w:rFonts w:hint="eastAsia" w:ascii="宋体" w:hAnsi="宋体" w:eastAsia="宋体" w:cs="宋体"/>
                <w:snapToGrid w:val="0"/>
                <w:color w:val="auto"/>
                <w:kern w:val="0"/>
                <w:sz w:val="24"/>
                <w:szCs w:val="24"/>
                <w:highlight w:val="none"/>
                <w:lang w:val="en-US" w:eastAsia="zh-CN"/>
              </w:rPr>
              <w:t>③获奖时间不符合要求的；</w:t>
            </w:r>
          </w:p>
        </w:tc>
      </w:tr>
      <w:tr w14:paraId="0AA6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8"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0F9322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FD00F9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61960632">
            <w:pPr>
              <w:keepNext/>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企业业绩（</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0823BEC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企业近年来（2021年1月1日至今）业绩情况：</w:t>
            </w:r>
          </w:p>
          <w:p w14:paraId="20309A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u w:val="single"/>
                <w:lang w:val="en-US" w:eastAsia="zh-CN" w:bidi="ar-SA"/>
              </w:rPr>
              <w:t xml:space="preserve"> 承接</w:t>
            </w:r>
            <w:r>
              <w:rPr>
                <w:rFonts w:hint="eastAsia" w:ascii="宋体" w:hAnsi="宋体" w:eastAsia="宋体" w:cs="宋体"/>
                <w:snapToGrid w:val="0"/>
                <w:color w:val="auto"/>
                <w:kern w:val="0"/>
                <w:sz w:val="24"/>
                <w:szCs w:val="24"/>
                <w:highlight w:val="none"/>
                <w:lang w:val="en-US" w:eastAsia="zh-CN" w:bidi="ar-SA"/>
              </w:rPr>
              <w:t>过类似工程的，每个得</w:t>
            </w:r>
            <w:r>
              <w:rPr>
                <w:rFonts w:hint="eastAsia" w:hAnsi="宋体" w:eastAsia="宋体" w:cs="宋体"/>
                <w:snapToGrid w:val="0"/>
                <w:color w:val="auto"/>
                <w:kern w:val="0"/>
                <w:sz w:val="24"/>
                <w:szCs w:val="24"/>
                <w:highlight w:val="none"/>
                <w:u w:val="single"/>
                <w:lang w:val="en-US" w:eastAsia="zh-CN" w:bidi="ar-SA"/>
              </w:rPr>
              <w:t>2.5</w:t>
            </w:r>
            <w:r>
              <w:rPr>
                <w:rFonts w:hint="eastAsia" w:ascii="宋体" w:hAnsi="宋体" w:eastAsia="宋体" w:cs="宋体"/>
                <w:snapToGrid w:val="0"/>
                <w:color w:val="auto"/>
                <w:kern w:val="0"/>
                <w:sz w:val="24"/>
                <w:szCs w:val="24"/>
                <w:highlight w:val="none"/>
                <w:lang w:val="en-US" w:eastAsia="zh-CN" w:bidi="ar-SA"/>
              </w:rPr>
              <w:t>分。</w:t>
            </w:r>
          </w:p>
          <w:p w14:paraId="3F7886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2．未</w:t>
            </w:r>
            <w:r>
              <w:rPr>
                <w:rFonts w:hint="eastAsia" w:ascii="宋体" w:hAnsi="宋体" w:eastAsia="宋体" w:cs="宋体"/>
                <w:snapToGrid w:val="0"/>
                <w:color w:val="auto"/>
                <w:kern w:val="0"/>
                <w:sz w:val="24"/>
                <w:szCs w:val="24"/>
                <w:highlight w:val="none"/>
                <w:u w:val="single"/>
                <w:lang w:val="en-US" w:eastAsia="zh-CN" w:bidi="ar-SA"/>
              </w:rPr>
              <w:t xml:space="preserve"> 承接 </w:t>
            </w:r>
            <w:r>
              <w:rPr>
                <w:rFonts w:hint="eastAsia" w:ascii="宋体" w:hAnsi="宋体" w:eastAsia="宋体" w:cs="宋体"/>
                <w:snapToGrid w:val="0"/>
                <w:color w:val="auto"/>
                <w:kern w:val="0"/>
                <w:sz w:val="24"/>
                <w:szCs w:val="24"/>
                <w:highlight w:val="none"/>
                <w:lang w:val="en-US" w:eastAsia="zh-CN" w:bidi="ar-SA"/>
              </w:rPr>
              <w:t>过类似工程的，不予计分。</w:t>
            </w:r>
          </w:p>
          <w:p w14:paraId="07A54568">
            <w:pPr>
              <w:keepNext/>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lang w:val="en-US" w:eastAsia="zh-CN"/>
              </w:rPr>
              <w:t>说明：本项最高得</w:t>
            </w:r>
            <w:r>
              <w:rPr>
                <w:rFonts w:hint="eastAsia" w:hAnsi="宋体" w:eastAsia="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lang w:val="en-US" w:eastAsia="zh-CN"/>
              </w:rPr>
              <w:t>分。</w:t>
            </w:r>
            <w:r>
              <w:rPr>
                <w:rFonts w:hint="eastAsia" w:ascii="宋体" w:hAnsi="宋体" w:eastAsia="宋体" w:cs="宋体"/>
                <w:snapToGrid w:val="0"/>
                <w:color w:val="auto"/>
                <w:kern w:val="0"/>
                <w:sz w:val="24"/>
                <w:szCs w:val="24"/>
                <w:highlight w:val="none"/>
                <w:lang w:val="en-US" w:eastAsia="zh-CN" w:bidi="ar-SA"/>
              </w:rPr>
              <w:t xml:space="preserve"> </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66372B72">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w:t>
            </w:r>
            <w:r>
              <w:rPr>
                <w:rFonts w:hint="eastAsia" w:ascii="宋体" w:hAnsi="宋体" w:eastAsia="宋体" w:cs="宋体"/>
                <w:snapToGrid w:val="0"/>
                <w:color w:val="auto"/>
                <w:kern w:val="0"/>
                <w:sz w:val="24"/>
                <w:szCs w:val="24"/>
                <w:highlight w:val="none"/>
                <w:lang w:val="en-US" w:eastAsia="zh-CN"/>
              </w:rPr>
              <w:t>建安工程费≥500万元的</w:t>
            </w:r>
            <w:r>
              <w:rPr>
                <w:rFonts w:hint="eastAsia" w:ascii="宋体" w:hAnsi="宋体" w:eastAsia="宋体" w:cs="宋体"/>
                <w:color w:val="auto"/>
                <w:sz w:val="24"/>
                <w:szCs w:val="24"/>
                <w:highlight w:val="none"/>
                <w:u w:val="none"/>
                <w:lang w:val="en-US" w:eastAsia="zh-CN"/>
              </w:rPr>
              <w:t>市政公用</w:t>
            </w:r>
            <w:r>
              <w:rPr>
                <w:rFonts w:hint="eastAsia" w:ascii="宋体" w:hAnsi="宋体" w:eastAsia="宋体" w:cs="宋体"/>
                <w:color w:val="auto"/>
                <w:sz w:val="24"/>
                <w:szCs w:val="24"/>
                <w:highlight w:val="none"/>
                <w:u w:val="none"/>
              </w:rPr>
              <w:t>工程</w:t>
            </w:r>
            <w:r>
              <w:rPr>
                <w:rFonts w:hint="eastAsia" w:ascii="宋体" w:hAnsi="宋体" w:eastAsia="宋体" w:cs="宋体"/>
                <w:color w:val="auto"/>
                <w:sz w:val="24"/>
                <w:szCs w:val="24"/>
                <w:highlight w:val="none"/>
                <w:u w:val="none"/>
                <w:lang w:val="en-US" w:eastAsia="zh-CN"/>
              </w:rPr>
              <w:t>类</w:t>
            </w:r>
            <w:r>
              <w:rPr>
                <w:rFonts w:hint="eastAsia" w:ascii="宋体" w:hAnsi="宋体" w:eastAsia="宋体" w:cs="宋体"/>
                <w:snapToGrid w:val="0"/>
                <w:color w:val="auto"/>
                <w:kern w:val="0"/>
                <w:sz w:val="24"/>
                <w:szCs w:val="24"/>
                <w:highlight w:val="none"/>
              </w:rPr>
              <w:t>。</w:t>
            </w:r>
          </w:p>
          <w:p w14:paraId="487ED2E4">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i/>
                <w:i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2．需附有关业绩（仅限于以</w:t>
            </w:r>
            <w:r>
              <w:rPr>
                <w:rFonts w:hint="eastAsia" w:ascii="宋体" w:hAnsi="宋体" w:eastAsia="宋体" w:cs="宋体"/>
                <w:snapToGrid w:val="0"/>
                <w:color w:val="auto"/>
                <w:kern w:val="0"/>
                <w:sz w:val="24"/>
                <w:szCs w:val="24"/>
                <w:highlight w:val="none"/>
                <w:u w:val="single"/>
              </w:rPr>
              <w:t>施工总承包单位</w:t>
            </w:r>
            <w:r>
              <w:rPr>
                <w:rFonts w:hint="eastAsia" w:ascii="宋体" w:hAnsi="宋体" w:eastAsia="宋体" w:cs="宋体"/>
                <w:snapToGrid w:val="0"/>
                <w:color w:val="auto"/>
                <w:kern w:val="0"/>
                <w:sz w:val="24"/>
                <w:szCs w:val="24"/>
                <w:highlight w:val="none"/>
                <w:u w:val="single"/>
                <w:lang w:val="en-US" w:eastAsia="zh-CN"/>
              </w:rPr>
              <w:t>或</w:t>
            </w:r>
            <w:r>
              <w:rPr>
                <w:rFonts w:hint="eastAsia" w:ascii="宋体" w:hAnsi="宋体" w:eastAsia="宋体" w:cs="宋体"/>
                <w:snapToGrid w:val="0"/>
                <w:color w:val="auto"/>
                <w:kern w:val="0"/>
                <w:sz w:val="24"/>
                <w:szCs w:val="24"/>
                <w:highlight w:val="none"/>
                <w:u w:val="single"/>
              </w:rPr>
              <w:t>专业承包单位</w:t>
            </w:r>
            <w:r>
              <w:rPr>
                <w:rFonts w:hint="eastAsia" w:ascii="宋体" w:hAnsi="宋体" w:eastAsia="宋体" w:cs="宋体"/>
                <w:snapToGrid w:val="0"/>
                <w:color w:val="auto"/>
                <w:kern w:val="0"/>
                <w:sz w:val="24"/>
                <w:szCs w:val="24"/>
                <w:highlight w:val="none"/>
              </w:rPr>
              <w:t>身份参建的项目）合同协议书的彩色扫描件（或复印件或打印件）。</w:t>
            </w:r>
          </w:p>
          <w:p w14:paraId="4CE582BF">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trike w:val="0"/>
                <w:dstrike w:val="0"/>
                <w:snapToGrid w:val="0"/>
                <w:color w:val="auto"/>
                <w:kern w:val="0"/>
                <w:sz w:val="24"/>
                <w:szCs w:val="24"/>
                <w:highlight w:val="none"/>
              </w:rPr>
            </w:pPr>
            <w:r>
              <w:rPr>
                <w:rFonts w:hint="eastAsia" w:ascii="宋体" w:hAnsi="宋体" w:eastAsia="宋体" w:cs="宋体"/>
                <w:strike w:val="0"/>
                <w:dstrike w:val="0"/>
                <w:snapToGrid w:val="0"/>
                <w:color w:val="auto"/>
                <w:kern w:val="0"/>
                <w:sz w:val="24"/>
                <w:szCs w:val="24"/>
                <w:highlight w:val="none"/>
              </w:rPr>
              <w:t>3．业绩时间以</w:t>
            </w:r>
            <w:r>
              <w:rPr>
                <w:rFonts w:hint="eastAsia" w:ascii="宋体" w:hAnsi="宋体" w:eastAsia="宋体" w:cs="宋体"/>
                <w:strike w:val="0"/>
                <w:dstrike w:val="0"/>
                <w:snapToGrid w:val="0"/>
                <w:color w:val="auto"/>
                <w:kern w:val="0"/>
                <w:sz w:val="24"/>
                <w:szCs w:val="24"/>
                <w:highlight w:val="none"/>
                <w:lang w:val="en-US" w:eastAsia="zh-CN"/>
              </w:rPr>
              <w:t>合同协议书</w:t>
            </w:r>
            <w:r>
              <w:rPr>
                <w:rFonts w:hint="eastAsia" w:ascii="宋体" w:hAnsi="宋体" w:eastAsia="宋体" w:cs="宋体"/>
                <w:strike w:val="0"/>
                <w:dstrike w:val="0"/>
                <w:snapToGrid w:val="0"/>
                <w:color w:val="auto"/>
                <w:kern w:val="0"/>
                <w:sz w:val="24"/>
                <w:szCs w:val="24"/>
                <w:highlight w:val="none"/>
              </w:rPr>
              <w:t>日期为准。</w:t>
            </w:r>
          </w:p>
          <w:p w14:paraId="7A6FAA91">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4．任一业绩有以下情形之一的，该业绩视为无效，不予计分：</w:t>
            </w:r>
          </w:p>
          <w:p w14:paraId="45E093C9">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4567521B">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②不是以指定身份参建的；</w:t>
            </w:r>
          </w:p>
          <w:p w14:paraId="5058C11A">
            <w:pPr>
              <w:keepNext/>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③业绩时间不符合要求的</w:t>
            </w:r>
            <w:r>
              <w:rPr>
                <w:rFonts w:hint="eastAsia" w:ascii="宋体" w:hAnsi="宋体" w:eastAsia="宋体" w:cs="宋体"/>
                <w:snapToGrid w:val="0"/>
                <w:color w:val="auto"/>
                <w:kern w:val="0"/>
                <w:sz w:val="24"/>
                <w:szCs w:val="24"/>
                <w:highlight w:val="none"/>
                <w:lang w:eastAsia="zh-CN"/>
              </w:rPr>
              <w:t>。</w:t>
            </w:r>
          </w:p>
        </w:tc>
      </w:tr>
      <w:tr w14:paraId="2520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26FF8A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064C92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5A3300FF">
            <w:pPr>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企业管理体系认证</w:t>
            </w:r>
          </w:p>
          <w:p w14:paraId="55720D39">
            <w:pPr>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78FE2A49">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企业</w:t>
            </w:r>
            <w:r>
              <w:rPr>
                <w:rFonts w:hint="eastAsia" w:ascii="宋体" w:hAnsi="宋体" w:eastAsia="宋体" w:cs="宋体"/>
                <w:color w:val="auto"/>
                <w:kern w:val="0"/>
                <w:sz w:val="24"/>
                <w:szCs w:val="24"/>
                <w:highlight w:val="none"/>
              </w:rPr>
              <w:t>获得质量管理体系认证、职业健康安全管理体系认证、环境管理体系认证</w:t>
            </w:r>
            <w:r>
              <w:rPr>
                <w:rFonts w:hint="eastAsia" w:ascii="宋体" w:hAnsi="宋体" w:eastAsia="宋体" w:cs="宋体"/>
                <w:color w:val="auto"/>
                <w:kern w:val="0"/>
                <w:sz w:val="24"/>
                <w:szCs w:val="24"/>
                <w:highlight w:val="none"/>
                <w:lang w:eastAsia="zh-CN"/>
              </w:rPr>
              <w:t>：</w:t>
            </w:r>
          </w:p>
          <w:p w14:paraId="41974D02">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1.同时获得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个认证的</w:t>
            </w:r>
            <w:r>
              <w:rPr>
                <w:rFonts w:hint="eastAsia"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p w14:paraId="538DD755">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2.获得其中</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个的</w:t>
            </w:r>
            <w:r>
              <w:rPr>
                <w:rFonts w:hint="eastAsia"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p w14:paraId="5EFCEA71">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获得其中1个的</w:t>
            </w:r>
            <w:r>
              <w:rPr>
                <w:rFonts w:hint="eastAsia"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得1分；</w:t>
            </w:r>
          </w:p>
          <w:p w14:paraId="5C9B8A47">
            <w:pPr>
              <w:keepNext w:val="0"/>
              <w:keepLines w:val="0"/>
              <w:suppressLineNumbers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.未获得以上认证的，不予计分。</w:t>
            </w:r>
          </w:p>
          <w:p w14:paraId="5B59E0F0">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注：本项最高得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755FF2F5">
            <w:pPr>
              <w:pStyle w:val="8"/>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需附在有效期内的认证证书彩色扫描件（或打印件）。同时需提供国家认证认可监督管理委员会官网查询截图，否则不得分</w:t>
            </w:r>
            <w:r>
              <w:rPr>
                <w:rFonts w:hint="eastAsia" w:ascii="宋体" w:hAnsi="宋体" w:eastAsia="宋体" w:cs="宋体"/>
                <w:color w:val="auto"/>
                <w:kern w:val="0"/>
                <w:sz w:val="24"/>
                <w:szCs w:val="24"/>
                <w:highlight w:val="none"/>
              </w:rPr>
              <w:t>。</w:t>
            </w:r>
          </w:p>
          <w:p w14:paraId="17094A81">
            <w:pPr>
              <w:pStyle w:val="8"/>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证书有效性在国家认证认可监督管理委员会官网（http://www.cnca.gov.cn/)可查。</w:t>
            </w:r>
          </w:p>
          <w:p w14:paraId="16B002B3">
            <w:pPr>
              <w:pStyle w:val="8"/>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.认证证书有以下情形之一的，该认证证书视为无效，不予计分：</w:t>
            </w:r>
          </w:p>
          <w:p w14:paraId="545EC8D0">
            <w:pPr>
              <w:pStyle w:val="8"/>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①未提供认证证书彩色扫描件和国家认证认可监督管理委员会官网查询截图的；</w:t>
            </w:r>
          </w:p>
          <w:p w14:paraId="648BAD3D">
            <w:pPr>
              <w:pStyle w:val="8"/>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②认证证书不在有效期内的；</w:t>
            </w:r>
          </w:p>
          <w:p w14:paraId="178D5971">
            <w:pPr>
              <w:pStyle w:val="8"/>
              <w:keepNext w:val="0"/>
              <w:keepLines w:val="0"/>
              <w:widowControl/>
              <w:suppressLineNumbers w:val="0"/>
              <w:wordWrap w:val="0"/>
              <w:adjustRightInd w:val="0"/>
              <w:snapToGrid w:val="0"/>
              <w:spacing w:before="0" w:beforeAutospacing="0" w:after="0" w:afterLines="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③获证时间不符合要求的。</w:t>
            </w:r>
          </w:p>
        </w:tc>
      </w:tr>
      <w:tr w14:paraId="4F1A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0"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21A3C6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0B03C7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211FB03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企业银行资信评级</w:t>
            </w:r>
          </w:p>
          <w:p w14:paraId="0103A0D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w:t>
            </w:r>
            <w:r>
              <w:rPr>
                <w:rFonts w:hint="eastAsia"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7541DAE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r>
              <w:rPr>
                <w:rFonts w:hint="eastAsia"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连续6年及以上获得银行资信评级AAA的，得</w:t>
            </w:r>
            <w:r>
              <w:rPr>
                <w:rFonts w:hint="eastAsia" w:hAnsi="宋体" w:eastAsia="宋体" w:cs="宋体"/>
                <w:snapToGrid w:val="0"/>
                <w:color w:val="auto"/>
                <w:kern w:val="0"/>
                <w:sz w:val="24"/>
                <w:szCs w:val="24"/>
                <w:highlight w:val="none"/>
                <w:u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p w14:paraId="54201D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r>
              <w:rPr>
                <w:rFonts w:hint="eastAsia"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连续3年</w:t>
            </w:r>
            <w:r>
              <w:rPr>
                <w:rFonts w:hint="eastAsia"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5年获得银行资信评级AAA的，得</w:t>
            </w:r>
            <w:r>
              <w:rPr>
                <w:rFonts w:hint="eastAsia" w:hAnsi="宋体" w:eastAsia="宋体" w:cs="宋体"/>
                <w:snapToGrid w:val="0"/>
                <w:color w:val="auto"/>
                <w:kern w:val="0"/>
                <w:sz w:val="24"/>
                <w:szCs w:val="24"/>
                <w:highlight w:val="none"/>
                <w:u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hAnsi="宋体" w:eastAsia="宋体" w:cs="宋体"/>
                <w:snapToGrid w:val="0"/>
                <w:color w:val="auto"/>
                <w:kern w:val="0"/>
                <w:sz w:val="24"/>
                <w:szCs w:val="24"/>
                <w:highlight w:val="none"/>
                <w:lang w:val="en-US" w:eastAsia="zh-CN" w:bidi="ar-SA"/>
              </w:rPr>
              <w:t xml:space="preserve">  </w:t>
            </w:r>
          </w:p>
          <w:p w14:paraId="1649E76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3．连续</w:t>
            </w:r>
            <w:r>
              <w:rPr>
                <w:rFonts w:hint="eastAsia"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3年获得银行资信评级AAA的，得</w:t>
            </w:r>
            <w:r>
              <w:rPr>
                <w:rFonts w:hint="eastAsia" w:hAnsi="宋体" w:eastAsia="宋体" w:cs="宋体"/>
                <w:snapToGrid w:val="0"/>
                <w:color w:val="auto"/>
                <w:kern w:val="0"/>
                <w:sz w:val="24"/>
                <w:szCs w:val="24"/>
                <w:highlight w:val="none"/>
                <w:u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p>
          <w:p w14:paraId="32D79BB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r>
              <w:rPr>
                <w:rFonts w:hint="eastAsia"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未获得过以上评级的，或评级证书无效的，不予计分。</w:t>
            </w:r>
          </w:p>
          <w:p w14:paraId="23CFF42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szCs w:val="20"/>
              </w:rPr>
            </w:pPr>
            <w:r>
              <w:rPr>
                <w:rFonts w:hint="eastAsia" w:ascii="宋体" w:hAnsi="宋体" w:eastAsia="宋体" w:cs="宋体"/>
                <w:snapToGrid w:val="0"/>
                <w:color w:val="auto"/>
                <w:kern w:val="0"/>
                <w:sz w:val="24"/>
                <w:szCs w:val="24"/>
                <w:highlight w:val="none"/>
                <w:lang w:val="en-US" w:eastAsia="zh-CN" w:bidi="ar-SA"/>
              </w:rPr>
              <w:t>说明：本项最高得5分。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7969E7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1．需附在有效期内的资信评级证书（证明）扫描件</w:t>
            </w:r>
          </w:p>
          <w:p w14:paraId="0781644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2．评级证书（证明）须由</w:t>
            </w:r>
            <w:r>
              <w:rPr>
                <w:rFonts w:hint="eastAsia" w:ascii="宋体" w:hAnsi="宋体" w:eastAsia="宋体" w:cs="宋体"/>
                <w:snapToGrid w:val="0"/>
                <w:color w:val="auto"/>
                <w:kern w:val="0"/>
                <w:sz w:val="24"/>
                <w:szCs w:val="24"/>
                <w:highlight w:val="none"/>
                <w:u w:val="single"/>
                <w:lang w:val="en-US" w:eastAsia="zh-CN" w:bidi="ar-SA"/>
              </w:rPr>
              <w:t xml:space="preserve"> 企业基本账户开户银行</w:t>
            </w:r>
            <w:r>
              <w:rPr>
                <w:rFonts w:hint="eastAsia" w:hAnsi="宋体" w:eastAsia="宋体" w:cs="宋体"/>
                <w:snapToGrid w:val="0"/>
                <w:color w:val="auto"/>
                <w:kern w:val="0"/>
                <w:sz w:val="24"/>
                <w:szCs w:val="24"/>
                <w:highlight w:val="none"/>
                <w:u w:val="single"/>
                <w:lang w:val="en-US" w:eastAsia="zh-CN" w:bidi="ar-SA"/>
              </w:rPr>
              <w:t>或其上级银行</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snapToGrid w:val="0"/>
                <w:color w:val="auto"/>
                <w:kern w:val="0"/>
                <w:sz w:val="24"/>
                <w:szCs w:val="24"/>
                <w:highlight w:val="none"/>
                <w:lang w:val="en-US" w:eastAsia="zh-CN" w:bidi="ar-SA"/>
              </w:rPr>
              <w:t>出具。</w:t>
            </w:r>
          </w:p>
          <w:p w14:paraId="0739F65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3．评级证书（证明）有以下情形之一的，视为无效：</w:t>
            </w:r>
          </w:p>
          <w:p w14:paraId="5D3B048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①出具机构不符合要求的。</w:t>
            </w:r>
          </w:p>
        </w:tc>
      </w:tr>
      <w:tr w14:paraId="7D2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EB95D2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A0B052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1B41F4ED">
            <w:pPr>
              <w:keepNext/>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纳税信用</w:t>
            </w:r>
          </w:p>
          <w:p w14:paraId="0490AF17">
            <w:pPr>
              <w:keepNext/>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w:t>
            </w:r>
            <w:r>
              <w:rPr>
                <w:rFonts w:hint="eastAsia" w:hAnsi="宋体" w:eastAsia="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2AEB5F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企业获得纳税信用A级状况：</w:t>
            </w:r>
          </w:p>
          <w:p w14:paraId="5D1C68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1.连续</w:t>
            </w:r>
            <w:r>
              <w:rPr>
                <w:rFonts w:hint="eastAsia" w:hAnsi="宋体" w:eastAsia="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个年度或以上获得纳税信用A级的得</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分；（其中必须有2025年度）</w:t>
            </w:r>
          </w:p>
          <w:p w14:paraId="291B88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2.连续</w:t>
            </w:r>
            <w:r>
              <w:rPr>
                <w:rFonts w:hint="eastAsia" w:hAnsi="宋体" w:eastAsia="宋体" w:cs="宋体"/>
                <w:color w:val="auto"/>
                <w:kern w:val="2"/>
                <w:sz w:val="24"/>
                <w:szCs w:val="24"/>
                <w:highlight w:val="none"/>
                <w:lang w:val="en-US" w:eastAsia="zh-CN" w:bidi="ar-SA"/>
              </w:rPr>
              <w:t>4-6</w:t>
            </w:r>
            <w:r>
              <w:rPr>
                <w:rFonts w:hint="eastAsia" w:ascii="宋体" w:hAnsi="宋体" w:eastAsia="宋体" w:cs="宋体"/>
                <w:color w:val="auto"/>
                <w:kern w:val="2"/>
                <w:sz w:val="24"/>
                <w:szCs w:val="24"/>
                <w:highlight w:val="none"/>
                <w:lang w:val="en-US" w:eastAsia="zh-CN" w:bidi="ar-SA"/>
              </w:rPr>
              <w:t>个年度或以上获得纳税信用A级的得</w:t>
            </w: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分；（其中必须有2025年度）</w:t>
            </w:r>
          </w:p>
          <w:p w14:paraId="377DAB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3.连续1-3个年度或以上获得纳税信用A级的得1分；（其中必须有2025年度）</w:t>
            </w:r>
          </w:p>
          <w:p w14:paraId="3604E9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4.其他情形的，不予计分。</w:t>
            </w:r>
          </w:p>
          <w:p w14:paraId="448FBE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94E81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1.必须提供企业纳税信用A级纳税人证明材料（或证书）彩色扫描件及国家税务总局网上查询截图，否则不得分。</w:t>
            </w:r>
          </w:p>
          <w:p w14:paraId="253759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2.只计算投标人自身（不计算投标人的分公司、子公司及分支机构）。</w:t>
            </w:r>
          </w:p>
          <w:p w14:paraId="0AFF0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p>
        </w:tc>
      </w:tr>
      <w:tr w14:paraId="7409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EBDAB7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DB0CD47">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vMerge w:val="restart"/>
            <w:tcBorders>
              <w:top w:val="single" w:color="auto" w:sz="4" w:space="0"/>
              <w:left w:val="single" w:color="auto" w:sz="4" w:space="0"/>
              <w:right w:val="single" w:color="auto" w:sz="4" w:space="0"/>
              <w:tl2br w:val="nil"/>
              <w:tr2bl w:val="nil"/>
            </w:tcBorders>
            <w:vAlign w:val="center"/>
          </w:tcPr>
          <w:p w14:paraId="228D014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企业财务状况</w:t>
            </w:r>
          </w:p>
          <w:p w14:paraId="59DA2AF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（5分）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0258BB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1.提供不少于</w:t>
            </w: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00万元银行授信（或融资）证明的，得2分；</w:t>
            </w:r>
          </w:p>
          <w:p w14:paraId="097482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2.未提供不得分。</w:t>
            </w:r>
          </w:p>
          <w:p w14:paraId="7422CB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6310D2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1.需附在有效期内的有关证明彩色扫描件。</w:t>
            </w:r>
          </w:p>
          <w:p w14:paraId="072CD8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2.银行授信（或融资）证明有以下情形之一的，视为无效，不予计分：</w:t>
            </w:r>
          </w:p>
          <w:p w14:paraId="103AAA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①授信（或融资）证明不在有效期内的；</w:t>
            </w:r>
          </w:p>
          <w:p w14:paraId="47D202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②授信（或融资）额度不符合要求的。</w:t>
            </w:r>
          </w:p>
        </w:tc>
      </w:tr>
      <w:tr w14:paraId="1C7D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67ED6E7">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03ED62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vMerge w:val="continue"/>
            <w:tcBorders>
              <w:left w:val="single" w:color="auto" w:sz="4" w:space="0"/>
              <w:bottom w:val="single" w:color="auto" w:sz="4" w:space="0"/>
              <w:right w:val="single" w:color="auto" w:sz="4" w:space="0"/>
              <w:tl2br w:val="nil"/>
              <w:tr2bl w:val="nil"/>
            </w:tcBorders>
            <w:vAlign w:val="center"/>
          </w:tcPr>
          <w:p w14:paraId="79BB071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5D9660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1.提供投标人基本账户在本项目招标公告发布之日起至投标截止时间期间出现过至少连续3日不少于</w:t>
            </w: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00万元存款余额资金流水证明的，得3分；</w:t>
            </w:r>
          </w:p>
          <w:p w14:paraId="224176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2.未提供证明的，不予计分。</w:t>
            </w:r>
          </w:p>
          <w:p w14:paraId="31111B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53ABD2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1.需附①基本账户开户许可证或基本存款账户开户银行出具的《基本存款账户信息》彩色扫描件；②存款余额资金流水证明彩色扫描件。</w:t>
            </w:r>
          </w:p>
          <w:p w14:paraId="30C1EF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2.存款余额资金流水证明有以下情形之一的，视为无效，不予计分；</w:t>
            </w:r>
          </w:p>
          <w:p w14:paraId="24BFEA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①存款账户不是基本账户的；</w:t>
            </w:r>
          </w:p>
          <w:p w14:paraId="28AF05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②存款时间不符合要求的；</w:t>
            </w:r>
          </w:p>
          <w:p w14:paraId="2E99A4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③存款额度不符合要求的。</w:t>
            </w:r>
          </w:p>
        </w:tc>
      </w:tr>
      <w:tr w14:paraId="75BF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662675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EB2FF9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vMerge w:val="restart"/>
            <w:tcBorders>
              <w:top w:val="single" w:color="auto" w:sz="4" w:space="0"/>
              <w:left w:val="single" w:color="auto" w:sz="4" w:space="0"/>
              <w:right w:val="single" w:color="auto" w:sz="4" w:space="0"/>
              <w:tl2br w:val="nil"/>
              <w:tr2bl w:val="nil"/>
            </w:tcBorders>
            <w:vAlign w:val="center"/>
          </w:tcPr>
          <w:p w14:paraId="7D5F701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企业荣誉</w:t>
            </w:r>
          </w:p>
          <w:p w14:paraId="22C3D2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w:t>
            </w:r>
            <w:r>
              <w:rPr>
                <w:rFonts w:hint="eastAsia"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46FEAA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1.企业2024年1月1日至今获得过中国市政工程协会颁发的企业信用等级AAA级证书的</w:t>
            </w: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得</w:t>
            </w:r>
            <w:r>
              <w:rPr>
                <w:rFonts w:hint="eastAsia" w:hAnsi="宋体" w:eastAsia="宋体" w:cs="宋体"/>
                <w:color w:val="auto"/>
                <w:kern w:val="2"/>
                <w:sz w:val="24"/>
                <w:szCs w:val="24"/>
                <w:highlight w:val="none"/>
                <w:lang w:val="en-US" w:eastAsia="zh-CN" w:bidi="ar-SA"/>
              </w:rPr>
              <w:t>2.5</w:t>
            </w:r>
            <w:r>
              <w:rPr>
                <w:rFonts w:hint="eastAsia" w:ascii="宋体" w:hAnsi="宋体" w:eastAsia="宋体" w:cs="宋体"/>
                <w:color w:val="auto"/>
                <w:kern w:val="2"/>
                <w:sz w:val="24"/>
                <w:szCs w:val="24"/>
                <w:highlight w:val="none"/>
                <w:lang w:val="en-US" w:eastAsia="zh-CN" w:bidi="ar-SA"/>
              </w:rPr>
              <w:t>分；</w:t>
            </w:r>
          </w:p>
          <w:p w14:paraId="1EA713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2.其他情形的，不予计分。</w:t>
            </w:r>
          </w:p>
          <w:p w14:paraId="42F1F5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2.5</w:t>
            </w:r>
            <w:r>
              <w:rPr>
                <w:rFonts w:hint="eastAsia" w:ascii="宋体" w:hAnsi="宋体" w:eastAsia="宋体" w:cs="宋体"/>
                <w:color w:val="auto"/>
                <w:kern w:val="2"/>
                <w:sz w:val="24"/>
                <w:szCs w:val="24"/>
                <w:highlight w:val="none"/>
                <w:lang w:val="en-US" w:eastAsia="zh-CN" w:bidi="ar-SA"/>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23B1EC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1.证书由“中国市政工程协会”颁发，须提供有关证书彩色扫描件。</w:t>
            </w:r>
          </w:p>
          <w:p w14:paraId="61819A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2.颁发机构不符合要求的，按第2项标准处理。</w:t>
            </w:r>
          </w:p>
        </w:tc>
      </w:tr>
      <w:tr w14:paraId="59DA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81CEBAA">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D68F206">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vMerge w:val="continue"/>
            <w:tcBorders>
              <w:left w:val="single" w:color="auto" w:sz="4" w:space="0"/>
              <w:bottom w:val="single" w:color="auto" w:sz="4" w:space="0"/>
              <w:right w:val="single" w:color="auto" w:sz="4" w:space="0"/>
              <w:tl2br w:val="nil"/>
              <w:tr2bl w:val="nil"/>
            </w:tcBorders>
            <w:vAlign w:val="center"/>
          </w:tcPr>
          <w:p w14:paraId="3300C6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492A8C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企业2024年度获得中国建筑业协会中小企业分会或中国建筑业协会中小企业与供应链分会颁发的企业信用等级AAA级证书的</w:t>
            </w: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 xml:space="preserve">得  </w:t>
            </w:r>
            <w:r>
              <w:rPr>
                <w:rFonts w:hint="eastAsia" w:hAnsi="宋体" w:eastAsia="宋体" w:cs="宋体"/>
                <w:color w:val="auto"/>
                <w:kern w:val="2"/>
                <w:sz w:val="24"/>
                <w:szCs w:val="24"/>
                <w:highlight w:val="none"/>
                <w:lang w:val="en-US" w:eastAsia="zh-CN" w:bidi="ar-SA"/>
              </w:rPr>
              <w:t>2.5</w:t>
            </w:r>
            <w:r>
              <w:rPr>
                <w:rFonts w:hint="eastAsia" w:ascii="宋体" w:hAnsi="宋体" w:eastAsia="宋体" w:cs="宋体"/>
                <w:color w:val="auto"/>
                <w:kern w:val="2"/>
                <w:sz w:val="24"/>
                <w:szCs w:val="24"/>
                <w:highlight w:val="none"/>
                <w:lang w:val="en-US" w:eastAsia="zh-CN" w:bidi="ar-SA"/>
              </w:rPr>
              <w:t>分；</w:t>
            </w:r>
          </w:p>
          <w:p w14:paraId="56DE92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其他情形的，不予计分。</w:t>
            </w:r>
          </w:p>
          <w:p w14:paraId="0E1FFE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2.5</w:t>
            </w:r>
            <w:r>
              <w:rPr>
                <w:rFonts w:hint="eastAsia" w:ascii="宋体" w:hAnsi="宋体" w:eastAsia="宋体" w:cs="宋体"/>
                <w:color w:val="auto"/>
                <w:kern w:val="2"/>
                <w:sz w:val="24"/>
                <w:szCs w:val="24"/>
                <w:highlight w:val="none"/>
                <w:lang w:val="en-US" w:eastAsia="zh-CN" w:bidi="ar-SA"/>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54FB0D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1.证书由“中国市政工程协会”颁发，须提供有关证书彩色扫描件。</w:t>
            </w:r>
          </w:p>
          <w:p w14:paraId="1BE2A5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val="en-US" w:eastAsia="zh-CN" w:bidi="ar-SA"/>
              </w:rPr>
              <w:t>2.颁发机构不符合要求的，按第2项标准处理。</w:t>
            </w:r>
          </w:p>
        </w:tc>
      </w:tr>
      <w:tr w14:paraId="15F7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7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C62095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725D180A">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设计企业（20分）</w:t>
            </w:r>
          </w:p>
          <w:p w14:paraId="1CB94A1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联合体投标的，指联合体设计单位</w:t>
            </w: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4E17D3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企业业绩</w:t>
            </w:r>
          </w:p>
          <w:p w14:paraId="557B02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5分）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199730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投标人近 5 年来（2021年1月1日至今）承接过市政类业绩的：</w:t>
            </w:r>
          </w:p>
          <w:p w14:paraId="7EE847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承接过类似工程的，每个得 2.5分。</w:t>
            </w:r>
          </w:p>
          <w:p w14:paraId="15E59B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未承接过类似工程的，不予计分。</w:t>
            </w:r>
          </w:p>
          <w:p w14:paraId="0792BF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说明：本项最高得5分。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4004A9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1．类似工程指：市政公用工程类。</w:t>
            </w:r>
          </w:p>
          <w:p w14:paraId="0CC2E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需附有关业绩合同协议书关键页或中标通知书彩色扫描件。</w:t>
            </w:r>
          </w:p>
          <w:p w14:paraId="7CD8BE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3．业绩时间以合同协议书日期或中标通知书时间为准。</w:t>
            </w:r>
          </w:p>
          <w:p w14:paraId="239629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4．任一业绩有以下情形之一的，该业绩视为无效，不予计分：</w:t>
            </w:r>
          </w:p>
          <w:p w14:paraId="405E1F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①业绩不属于类似工程的；</w:t>
            </w:r>
          </w:p>
          <w:p w14:paraId="260D45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②业绩时间不符合要求的。</w:t>
            </w:r>
          </w:p>
        </w:tc>
      </w:tr>
      <w:tr w14:paraId="73F0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23BAD501">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26DC911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681089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设计负责人综合能力（5分）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407CDF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1.设计负责人同时具备高级工程师或以上职称的得5分；</w:t>
            </w:r>
          </w:p>
          <w:p w14:paraId="178313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2.具备工程师职称的得3分。</w:t>
            </w:r>
          </w:p>
          <w:p w14:paraId="2B583C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说明：本项最高得5分。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92BB6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1.须提供相关证书彩色扫描件及近三个月《其中必须要有 2026 年8月)的社保证明；</w:t>
            </w:r>
          </w:p>
          <w:p w14:paraId="35877A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2.不符合评分标准和备注规定的，不予计分。</w:t>
            </w:r>
          </w:p>
        </w:tc>
      </w:tr>
      <w:tr w14:paraId="6EA1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001779D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61B7246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7CA2E6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设计单位拟派人员情况</w:t>
            </w:r>
          </w:p>
          <w:p w14:paraId="0AF726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743684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各专业负责人或设计人员：</w:t>
            </w:r>
          </w:p>
          <w:p w14:paraId="146136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建筑专业负责人同时具有一级注册建筑工程师、高级工程师；</w:t>
            </w:r>
          </w:p>
          <w:p w14:paraId="6DB9F5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结构专业负责人同时具有一级注册结构工程师、高级工程师的；</w:t>
            </w:r>
          </w:p>
          <w:p w14:paraId="43F89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给排水专业负责人具有注册公用设备（给水排水）、高级工程师；</w:t>
            </w:r>
          </w:p>
          <w:p w14:paraId="6DE6FD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风景园林专业负责人具有高级工程师的；</w:t>
            </w:r>
          </w:p>
          <w:p w14:paraId="26D468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造价专业负责人具有注册造价工程师；</w:t>
            </w:r>
          </w:p>
          <w:p w14:paraId="6D6962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注：具备以上各类人员的</w:t>
            </w:r>
            <w:r>
              <w:rPr>
                <w:rFonts w:hint="eastAsia"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得5分，以上人员不得为同一人，每缺一人扣1分</w:t>
            </w:r>
            <w:r>
              <w:rPr>
                <w:rFonts w:hint="eastAsia" w:hAnsi="宋体" w:eastAsia="宋体" w:cs="宋体"/>
                <w:color w:val="auto"/>
                <w:kern w:val="2"/>
                <w:sz w:val="24"/>
                <w:szCs w:val="24"/>
                <w:highlight w:val="none"/>
                <w:lang w:val="en-US" w:eastAsia="zh-CN" w:bidi="ar-SA"/>
              </w:rPr>
              <w:t>。</w:t>
            </w:r>
          </w:p>
          <w:p w14:paraId="29A62E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说明：本项最高得5分。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07E380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注:须提供以上人员证书复印件，同时提供近三个月《其中必须要有2026年8月)的社保证明。</w:t>
            </w:r>
          </w:p>
        </w:tc>
      </w:tr>
      <w:tr w14:paraId="4A77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3D8BB03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46"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1295143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763" w:type="dxa"/>
            <w:tcBorders>
              <w:top w:val="single" w:color="auto" w:sz="4" w:space="0"/>
              <w:left w:val="single" w:color="auto" w:sz="4" w:space="0"/>
              <w:bottom w:val="single" w:color="auto" w:sz="4" w:space="0"/>
              <w:right w:val="single" w:color="auto" w:sz="4" w:space="0"/>
              <w:tl2br w:val="nil"/>
              <w:tr2bl w:val="nil"/>
            </w:tcBorders>
            <w:vAlign w:val="center"/>
          </w:tcPr>
          <w:p w14:paraId="68DDAE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企业管理体系认证</w:t>
            </w:r>
          </w:p>
          <w:p w14:paraId="02D8EB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42DAEA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企业获得质量管理体系认证、职业健康安全管理体系认证、环境管理体系认证：</w:t>
            </w:r>
          </w:p>
          <w:p w14:paraId="45F5A9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1.同时获得3个认证的得5分；</w:t>
            </w:r>
          </w:p>
          <w:p w14:paraId="58D434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2.获得其中2个的得3分；</w:t>
            </w:r>
          </w:p>
          <w:p w14:paraId="2DEE6C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3.获得其中1个的得1分；</w:t>
            </w:r>
          </w:p>
          <w:p w14:paraId="2EA226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4.未获得以上认证的，不予计分。</w:t>
            </w:r>
          </w:p>
          <w:p w14:paraId="18E066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089D5B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须提供证书彩色扫描件并加盖公章，否则不得分。</w:t>
            </w:r>
          </w:p>
        </w:tc>
      </w:tr>
      <w:tr w14:paraId="34E4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7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AF1C879">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经济部分得分（</w:t>
            </w:r>
            <w:r>
              <w:rPr>
                <w:rFonts w:hint="eastAsia"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0分）</w:t>
            </w:r>
          </w:p>
        </w:tc>
        <w:tc>
          <w:tcPr>
            <w:tcW w:w="160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9A7F267">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评标基准价D</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66AB72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3"/>
              <w:tblW w:w="78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5"/>
              <w:gridCol w:w="1263"/>
              <w:gridCol w:w="811"/>
              <w:gridCol w:w="938"/>
              <w:gridCol w:w="887"/>
              <w:gridCol w:w="1033"/>
              <w:gridCol w:w="975"/>
              <w:gridCol w:w="803"/>
            </w:tblGrid>
            <w:tr w14:paraId="4242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9EBA87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15F7B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EA2C0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ED2DF7">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94511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6855D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7A877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85A89A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r>
            <w:tr w14:paraId="24039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D5A262">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DFE5EF">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.0</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46FFE0E">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.1</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C5D524D">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.2</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4B058B">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.3</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42927CA">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.4</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58ABE34">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.5</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2C8F4FE">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.6</w:t>
                  </w:r>
                </w:p>
              </w:tc>
            </w:tr>
            <w:tr w14:paraId="24A0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E98D07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7CA87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EA3643">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1CD2AE">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97365CE">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BDC3CE2">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287590">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03293A">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r>
            <w:tr w14:paraId="5CF2A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89AD4B3">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610DC6">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.7</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E610DB">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.8</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4BF4F4">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.9</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5013D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.0</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EE1C1F">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.1</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AAEC7E">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.2</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22B039">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.3</w:t>
                  </w:r>
                </w:p>
              </w:tc>
            </w:tr>
            <w:tr w14:paraId="3E877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145F3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AC669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7475DA">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E512B4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C53652D">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18AEE2">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E714AE">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6E0BCBD">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r>
            <w:tr w14:paraId="4C96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D6566C">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A04E73">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.4</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0EFFBC2">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.5</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B23E0E4">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.6</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8BDCB21">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.7</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E7EADF">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.8</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DE8BD65">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.9</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983B0A">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.0</w:t>
                  </w:r>
                </w:p>
              </w:tc>
            </w:tr>
          </w:tbl>
          <w:p w14:paraId="37848F65">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（2）评标基准价D＝招标控制价×（1－n）</w:t>
            </w:r>
          </w:p>
        </w:tc>
      </w:tr>
      <w:tr w14:paraId="5EED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2CF408DA">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60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76EEDCE">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投标报价得分N</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C2FBA11">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采用内插法计算某投标人的投标报价得分N，即当投标人的投标总价等于评标基准价时得</w:t>
            </w:r>
            <w:r>
              <w:rPr>
                <w:rFonts w:hint="eastAsia"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0分，每高于评标基准价一个百分点扣1分,每低于评标基准价一个百分点扣0.5分，扣完为止。公式如下：</w:t>
            </w:r>
          </w:p>
          <w:p w14:paraId="36929396">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N＝50－（|Di－D|÷D）×100×E</w:t>
            </w:r>
          </w:p>
          <w:p w14:paraId="004256D5">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式中：D为评标基准价；Di为某投标人的投标总价；E为扣分因子，当Di＞D时，E＝1；当Di＜D时，E＝0.5。</w:t>
            </w:r>
          </w:p>
        </w:tc>
      </w:tr>
      <w:tr w14:paraId="76E2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7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3D94EE6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60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D9F7274">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7FA0F1D">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综合得分=商务部分得分+经济部分得分</w:t>
            </w:r>
          </w:p>
        </w:tc>
      </w:tr>
    </w:tbl>
    <w:p w14:paraId="5EEB33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pacing w:val="10"/>
          <w:kern w:val="0"/>
          <w:sz w:val="24"/>
          <w:szCs w:val="24"/>
          <w:highlight w:val="none"/>
        </w:rPr>
      </w:pPr>
      <w:r>
        <w:rPr>
          <w:rFonts w:hint="eastAsia" w:ascii="宋体" w:hAnsi="宋体" w:eastAsia="宋体" w:cs="宋体"/>
          <w:color w:val="auto"/>
          <w:spacing w:val="10"/>
          <w:kern w:val="0"/>
          <w:sz w:val="24"/>
          <w:szCs w:val="24"/>
          <w:highlight w:val="none"/>
        </w:rPr>
        <w:t>备注：</w:t>
      </w:r>
    </w:p>
    <w:p w14:paraId="6B7BA5E9">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u w:val="doubl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u w:val="double"/>
        </w:rPr>
        <w:t>综合评分表中注明“扫描件”为原件扫描件</w:t>
      </w:r>
      <w:r>
        <w:rPr>
          <w:rFonts w:hint="eastAsia" w:ascii="宋体" w:hAnsi="宋体" w:eastAsia="宋体" w:cs="宋体"/>
          <w:b/>
          <w:bCs/>
          <w:color w:val="auto"/>
          <w:sz w:val="24"/>
          <w:szCs w:val="24"/>
          <w:highlight w:val="none"/>
          <w:u w:val="double"/>
          <w:lang w:eastAsia="zh-CN"/>
        </w:rPr>
        <w:t>。</w:t>
      </w:r>
    </w:p>
    <w:p w14:paraId="3D1E95FF">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u w:val="doubl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u w:val="double"/>
        </w:rPr>
        <w:t>评分如出现小数点，则保留小数点后两位，第三位四舍五入。</w:t>
      </w:r>
    </w:p>
    <w:p w14:paraId="1C7877D8">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r>
        <w:rPr>
          <w:rFonts w:hint="eastAsia" w:ascii="宋体" w:hAnsi="宋体" w:eastAsia="宋体" w:cs="宋体"/>
          <w:b/>
          <w:bCs/>
          <w:color w:val="auto"/>
          <w:sz w:val="21"/>
          <w:szCs w:val="21"/>
          <w:highlight w:val="none"/>
          <w:u w:val="double"/>
        </w:rPr>
        <w:t>。</w:t>
      </w:r>
    </w:p>
    <w:p w14:paraId="70F718D6">
      <w:pPr>
        <w:pStyle w:val="6"/>
        <w:pageBreakBefore w:val="0"/>
        <w:kinsoku/>
        <w:overflowPunct/>
        <w:topLinePunct w:val="0"/>
        <w:autoSpaceDE/>
        <w:autoSpaceDN/>
        <w:bidi w:val="0"/>
        <w:spacing w:line="460" w:lineRule="exact"/>
        <w:textAlignment w:val="auto"/>
        <w:rPr>
          <w:rFonts w:hint="eastAsia" w:ascii="宋体" w:hAnsi="宋体" w:eastAsia="宋体" w:cs="宋体"/>
          <w:b/>
          <w:bCs/>
          <w:color w:val="auto"/>
          <w:sz w:val="24"/>
          <w:szCs w:val="24"/>
          <w:highlight w:val="none"/>
          <w:u w:val="double"/>
        </w:rPr>
      </w:pPr>
    </w:p>
    <w:p w14:paraId="31811CA2">
      <w:pPr>
        <w:pageBreakBefore w:val="0"/>
        <w:kinsoku/>
        <w:wordWrap w:val="0"/>
        <w:overflowPunct/>
        <w:topLinePunct w:val="0"/>
        <w:autoSpaceDE/>
        <w:autoSpaceDN/>
        <w:bidi w:val="0"/>
        <w:adjustRightInd w:val="0"/>
        <w:snapToGrid w:val="0"/>
        <w:spacing w:line="440" w:lineRule="exact"/>
        <w:ind w:firstLine="52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pacing w:val="10"/>
          <w:kern w:val="0"/>
          <w:sz w:val="24"/>
          <w:szCs w:val="24"/>
          <w:highlight w:val="none"/>
        </w:rPr>
        <w:t>14.3.2</w:t>
      </w:r>
      <w:r>
        <w:rPr>
          <w:rFonts w:hint="eastAsia" w:ascii="宋体" w:hAnsi="宋体" w:eastAsia="宋体" w:cs="宋体"/>
          <w:snapToGrid w:val="0"/>
          <w:color w:val="auto"/>
          <w:kern w:val="0"/>
          <w:sz w:val="24"/>
          <w:szCs w:val="24"/>
          <w:highlight w:val="none"/>
        </w:rPr>
        <w:t>否决投标说明</w:t>
      </w:r>
    </w:p>
    <w:p w14:paraId="79FEE534">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详细评审阶段否决投标的全部条件，在本章第四节“否决投标条件”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5511D7FC">
      <w:pPr>
        <w:pStyle w:val="37"/>
        <w:pageBreakBefore w:val="0"/>
        <w:kinsoku/>
        <w:overflowPunct/>
        <w:topLinePunct w:val="0"/>
        <w:bidi w:val="0"/>
        <w:spacing w:line="440" w:lineRule="exact"/>
        <w:textAlignment w:val="auto"/>
        <w:rPr>
          <w:rFonts w:hint="eastAsia" w:ascii="宋体" w:hAnsi="宋体" w:eastAsia="宋体" w:cs="宋体"/>
          <w:b/>
          <w:color w:val="auto"/>
          <w:sz w:val="24"/>
          <w:szCs w:val="24"/>
          <w:highlight w:val="none"/>
        </w:rPr>
      </w:pPr>
      <w:r>
        <w:rPr>
          <w:rFonts w:hint="eastAsia" w:ascii="宋体" w:hAnsi="宋体" w:eastAsia="宋体" w:cs="宋体"/>
          <w:b/>
          <w:bCs/>
          <w:snapToGrid w:val="0"/>
          <w:color w:val="auto"/>
          <w:kern w:val="0"/>
          <w:sz w:val="24"/>
          <w:szCs w:val="24"/>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57FC0807">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304" w:name="_Toc24245"/>
      <w:bookmarkStart w:id="305" w:name="_Toc32481"/>
      <w:r>
        <w:rPr>
          <w:rFonts w:hint="eastAsia" w:ascii="宋体" w:hAnsi="宋体" w:eastAsia="宋体" w:cs="宋体"/>
          <w:b/>
          <w:color w:val="auto"/>
          <w:kern w:val="2"/>
          <w:highlight w:val="none"/>
        </w:rPr>
        <w:t>15、</w:t>
      </w:r>
      <w:bookmarkStart w:id="306" w:name="_Toc2452"/>
      <w:bookmarkStart w:id="307" w:name="_Toc18966"/>
      <w:r>
        <w:rPr>
          <w:rFonts w:hint="eastAsia" w:ascii="宋体" w:hAnsi="宋体" w:eastAsia="宋体" w:cs="宋体"/>
          <w:b/>
          <w:color w:val="auto"/>
          <w:kern w:val="2"/>
          <w:highlight w:val="none"/>
        </w:rPr>
        <w:t>推荐</w:t>
      </w:r>
      <w:r>
        <w:rPr>
          <w:rFonts w:hint="eastAsia" w:ascii="宋体" w:hAnsi="宋体" w:eastAsia="宋体" w:cs="宋体"/>
          <w:b/>
          <w:color w:val="auto"/>
          <w:kern w:val="2"/>
          <w:highlight w:val="none"/>
          <w:lang w:val="en-US" w:eastAsia="zh-CN"/>
        </w:rPr>
        <w:t>定</w:t>
      </w:r>
      <w:r>
        <w:rPr>
          <w:rFonts w:hint="eastAsia" w:ascii="宋体" w:hAnsi="宋体" w:eastAsia="宋体" w:cs="宋体"/>
          <w:b/>
          <w:color w:val="auto"/>
          <w:kern w:val="2"/>
          <w:highlight w:val="none"/>
        </w:rPr>
        <w:t>标候选人</w:t>
      </w:r>
      <w:bookmarkEnd w:id="304"/>
      <w:bookmarkEnd w:id="306"/>
      <w:bookmarkEnd w:id="307"/>
    </w:p>
    <w:p w14:paraId="57B85250">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15</w:t>
      </w: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推荐方法</w:t>
      </w:r>
    </w:p>
    <w:p w14:paraId="4CF16C67">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评标委员会根据招标文件规定的评分细则，对招标文件中的各评审因素进行评审、比较、打分，将得分前5名不排序（按企业统一社会信用代码后4位大小排位</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其中：</w:t>
      </w:r>
      <w:r>
        <w:rPr>
          <w:rFonts w:hint="eastAsia" w:ascii="宋体" w:hAnsi="宋体" w:eastAsia="宋体" w:cs="宋体"/>
          <w:color w:val="auto"/>
          <w:kern w:val="0"/>
          <w:sz w:val="24"/>
          <w:szCs w:val="24"/>
          <w:highlight w:val="none"/>
          <w:lang w:eastAsia="zh-CN"/>
        </w:rPr>
        <w:t>数字＜字母、字母按A→Z顺序</w:t>
      </w:r>
      <w:r>
        <w:rPr>
          <w:rFonts w:hint="eastAsia" w:ascii="宋体" w:hAnsi="宋体" w:eastAsia="宋体" w:cs="宋体"/>
          <w:color w:val="auto"/>
          <w:kern w:val="0"/>
          <w:sz w:val="24"/>
          <w:szCs w:val="24"/>
          <w:highlight w:val="none"/>
        </w:rPr>
        <w:t>）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11F5143B">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 xml:space="preserve">.1.2 </w:t>
      </w:r>
      <w:r>
        <w:rPr>
          <w:rFonts w:hint="eastAsia" w:ascii="宋体" w:hAnsi="宋体" w:eastAsia="宋体" w:cs="宋体"/>
          <w:color w:val="auto"/>
          <w:kern w:val="0"/>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1CE775D9">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308" w:name="_Toc5715"/>
      <w:r>
        <w:rPr>
          <w:rFonts w:hint="eastAsia" w:ascii="宋体" w:hAnsi="宋体" w:eastAsia="宋体" w:cs="宋体"/>
          <w:b/>
          <w:color w:val="auto"/>
          <w:kern w:val="2"/>
          <w:highlight w:val="none"/>
          <w:lang w:val="en-US" w:eastAsia="zh-CN"/>
        </w:rPr>
        <w:t>16、定标候选人</w:t>
      </w:r>
      <w:r>
        <w:rPr>
          <w:rFonts w:hint="eastAsia" w:ascii="宋体" w:hAnsi="宋体" w:eastAsia="宋体" w:cs="宋体"/>
          <w:b/>
          <w:color w:val="auto"/>
          <w:kern w:val="2"/>
          <w:highlight w:val="none"/>
        </w:rPr>
        <w:t>公示</w:t>
      </w:r>
      <w:bookmarkEnd w:id="305"/>
      <w:bookmarkEnd w:id="308"/>
    </w:p>
    <w:p w14:paraId="7A2782D7">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bookmarkStart w:id="309" w:name="_Toc18607"/>
      <w:bookmarkStart w:id="310" w:name="_Toc6253"/>
      <w:r>
        <w:rPr>
          <w:rFonts w:hint="eastAsia" w:ascii="宋体" w:hAnsi="宋体" w:eastAsia="宋体" w:cs="宋体"/>
          <w:snapToGrid w:val="0"/>
          <w:color w:val="auto"/>
          <w:kern w:val="0"/>
          <w:sz w:val="24"/>
          <w:szCs w:val="24"/>
          <w:highlight w:val="none"/>
          <w:lang w:val="en-US" w:eastAsia="zh-CN"/>
        </w:rPr>
        <w:t>16.1评标委员会按照投标人评审综合总得分由高到低的原则,向招标人推荐已明确的定标候选人数量（不标明排序）。招标人应在收到评标报告后3日内将定标候选人和评标情况在广东省招标投标监管网和全国公共资源交易平台（广东省·韶关市）网上公示，公示期不少于3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bookmarkEnd w:id="309"/>
      <w:bookmarkEnd w:id="310"/>
    </w:p>
    <w:p w14:paraId="158FE7EC">
      <w:pPr>
        <w:rPr>
          <w:rFonts w:hint="eastAsia"/>
          <w:lang w:val="en-US" w:eastAsia="zh-CN"/>
        </w:rPr>
      </w:pPr>
      <w:r>
        <w:rPr>
          <w:rFonts w:hint="eastAsia"/>
          <w:lang w:val="en-US" w:eastAsia="zh-CN"/>
        </w:rPr>
        <w:br w:type="page"/>
      </w:r>
    </w:p>
    <w:p w14:paraId="6420FB6D">
      <w:pPr>
        <w:rPr>
          <w:rFonts w:hint="eastAsia"/>
          <w:lang w:val="en-US" w:eastAsia="zh-CN"/>
        </w:rPr>
      </w:pPr>
    </w:p>
    <w:p w14:paraId="5BA5C667">
      <w:pPr>
        <w:wordWrap w:val="0"/>
        <w:adjustRightInd w:val="0"/>
        <w:snapToGrid w:val="0"/>
        <w:spacing w:line="440" w:lineRule="exact"/>
        <w:jc w:val="center"/>
        <w:outlineLvl w:val="1"/>
        <w:rPr>
          <w:rFonts w:hint="default" w:asciiTheme="minorEastAsia" w:hAnsiTheme="minorEastAsia" w:eastAsiaTheme="minorEastAsia" w:cstheme="minorEastAsia"/>
          <w:snapToGrid w:val="0"/>
          <w:color w:val="auto"/>
          <w:kern w:val="0"/>
          <w:sz w:val="28"/>
          <w:szCs w:val="28"/>
          <w:highlight w:val="none"/>
        </w:rPr>
      </w:pPr>
      <w:bookmarkStart w:id="311" w:name="_Hlt112206772"/>
      <w:bookmarkEnd w:id="311"/>
      <w:bookmarkStart w:id="312" w:name="_Hlt69669771"/>
      <w:bookmarkEnd w:id="312"/>
      <w:bookmarkStart w:id="313" w:name="_Toc16203"/>
      <w:bookmarkStart w:id="314" w:name="_Toc11519"/>
      <w:bookmarkStart w:id="315" w:name="_Toc9083"/>
      <w:bookmarkStart w:id="316" w:name="_Toc16300"/>
      <w:bookmarkStart w:id="317" w:name="_Toc24184"/>
      <w:bookmarkStart w:id="318" w:name="_Toc16649"/>
      <w:bookmarkStart w:id="319" w:name="_Toc21045"/>
      <w:bookmarkStart w:id="320" w:name="_Toc13416"/>
      <w:bookmarkStart w:id="321" w:name="_Hlt69698765"/>
      <w:bookmarkStart w:id="322" w:name="_Hlt69698713"/>
      <w:r>
        <w:rPr>
          <w:rFonts w:asciiTheme="minorEastAsia" w:hAnsiTheme="minorEastAsia" w:eastAsiaTheme="minorEastAsia" w:cstheme="minorEastAsia"/>
          <w:b/>
          <w:bCs/>
          <w:snapToGrid w:val="0"/>
          <w:color w:val="auto"/>
          <w:kern w:val="0"/>
          <w:sz w:val="28"/>
          <w:szCs w:val="28"/>
          <w:highlight w:val="none"/>
        </w:rPr>
        <w:t>第四节 否决投标条件</w:t>
      </w:r>
    </w:p>
    <w:p w14:paraId="474AE79F">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asciiTheme="minorEastAsia" w:hAnsiTheme="minorEastAsia" w:eastAsiaTheme="minorEastAsia" w:cstheme="minorEastAsia"/>
          <w:snapToGrid w:val="0"/>
          <w:color w:val="auto"/>
          <w:kern w:val="0"/>
          <w:highlight w:val="none"/>
        </w:rPr>
        <w:t>　　</w:t>
      </w:r>
      <w:r>
        <w:rPr>
          <w:rFonts w:hint="eastAsia" w:ascii="宋体" w:hAnsi="宋体" w:eastAsia="宋体" w:cs="宋体"/>
          <w:snapToGrid w:val="0"/>
          <w:color w:val="auto"/>
          <w:kern w:val="0"/>
          <w:sz w:val="24"/>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0F4A3081">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3" w:name="_Toc25868"/>
      <w:r>
        <w:rPr>
          <w:rFonts w:hint="eastAsia" w:ascii="宋体" w:hAnsi="宋体" w:eastAsia="宋体" w:cs="宋体"/>
          <w:b/>
          <w:bCs/>
          <w:snapToGrid w:val="0"/>
          <w:color w:val="auto"/>
          <w:kern w:val="0"/>
          <w:sz w:val="24"/>
          <w:szCs w:val="24"/>
          <w:highlight w:val="none"/>
        </w:rPr>
        <w:t>1．资格评审环节</w:t>
      </w:r>
      <w:bookmarkEnd w:id="323"/>
    </w:p>
    <w:p w14:paraId="00546F78">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投标人有下列情形之一的，评标委员会应否决其投标。被否决的投标人，不进入形式评审环节。</w:t>
      </w:r>
    </w:p>
    <w:p w14:paraId="65F4DBDC">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（1）有本章第三节第4.4条“禁止投标条款”规定的任何一种情形；</w:t>
      </w:r>
    </w:p>
    <w:p w14:paraId="4E842350">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（2）投标人资质不符合规定的；</w:t>
      </w:r>
    </w:p>
    <w:p w14:paraId="781104F1">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（3）投标人名称与营业执照、资质证书、安全生产许可证上的企业名称相互不一致的；其资质证书、安全生产许可证</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安全生产许可证只需施工单位提供</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不是由住房城乡建设主管部门颁发的；营业执照、资质证书、安全生产许可证被吊销、暂扣或不在有效期内的；</w:t>
      </w:r>
    </w:p>
    <w:p w14:paraId="6B38652C">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0E925F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4CED18B2">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（4）拟派项目经理、项目技术负责人、专职安全员、设计负责人的条件不符合规定的；拟派专职安全员数量不符合规定的；</w:t>
      </w:r>
    </w:p>
    <w:p w14:paraId="04DDBE9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项目经理简历表》中拟派项目经理与《开标一览表》不一致的；建造师的注册证书不是住建部门颁发的；建造师的注册单位与投标人不一致的；项目管理班子组成人员的各类证书、证件、证明不在有效期内的（建造师注册证书不在使用有效期内的）；擅自修改、遗漏《项目经理任职声明》实质性内容的；</w:t>
      </w:r>
    </w:p>
    <w:p w14:paraId="1E0C3CD2">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温馨提示：建造师打印电子证书后，应在个人签名处手写本人签名，未手写签名或与签名图像笔迹不一致的，该电子证书无效。</w:t>
      </w:r>
    </w:p>
    <w:p w14:paraId="4482FA27">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注：投标人已经工商变更，但其员工执业资格注册证书的注册单位名称未完成变更的，不得否决其投标。</w:t>
      </w:r>
    </w:p>
    <w:p w14:paraId="14A710BA">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2876301A">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（7）投标人为外省建筑企业，但未提供“进粤企业和人员诚信信息登记平台”企业和拟派人员信息情况打印页或网页截图的。</w:t>
      </w:r>
    </w:p>
    <w:p w14:paraId="1E3ADDA1">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4" w:name="_Toc16862"/>
      <w:r>
        <w:rPr>
          <w:rFonts w:hint="eastAsia" w:ascii="宋体" w:hAnsi="宋体" w:eastAsia="宋体" w:cs="宋体"/>
          <w:b/>
          <w:bCs/>
          <w:snapToGrid w:val="0"/>
          <w:color w:val="auto"/>
          <w:kern w:val="0"/>
          <w:sz w:val="24"/>
          <w:szCs w:val="24"/>
          <w:highlight w:val="none"/>
        </w:rPr>
        <w:t>2．形式评审环节</w:t>
      </w:r>
      <w:bookmarkEnd w:id="324"/>
    </w:p>
    <w:p w14:paraId="398084B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投标人有下列情形之一的，评标委员会应否决其投标。被否决的投标人，不进入响应性评审环节。</w:t>
      </w:r>
    </w:p>
    <w:p w14:paraId="3D62695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（8）本章第三节第11.2.2目中规定的“所有投标人均应提供”的组成内容（包括该组成内容的所附资料）中，任何一项有缺漏的；</w:t>
      </w:r>
    </w:p>
    <w:p w14:paraId="005EDCA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11B2E73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（10）投标文件未按规定签字、盖章的；</w:t>
      </w:r>
    </w:p>
    <w:p w14:paraId="66212AB5">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5" w:name="_Toc11607"/>
      <w:r>
        <w:rPr>
          <w:rFonts w:hint="eastAsia" w:ascii="宋体" w:hAnsi="宋体" w:eastAsia="宋体" w:cs="宋体"/>
          <w:b/>
          <w:bCs/>
          <w:snapToGrid w:val="0"/>
          <w:color w:val="auto"/>
          <w:kern w:val="0"/>
          <w:sz w:val="24"/>
          <w:szCs w:val="24"/>
          <w:highlight w:val="none"/>
        </w:rPr>
        <w:t>3．响应性评审环节</w:t>
      </w:r>
      <w:bookmarkEnd w:id="325"/>
    </w:p>
    <w:p w14:paraId="3D33F87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投标人有下列情形之一的，评标委员会应否决其投标。被否决的投标人，不进入详细评审阶段。</w:t>
      </w:r>
    </w:p>
    <w:p w14:paraId="05ECC3F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（11）承诺的投标有效期短于规定的；工期超出规定的；擅自修改、遗漏《投标函》《各项承诺一览表》实质性内容的；</w:t>
      </w:r>
    </w:p>
    <w:p w14:paraId="28CE410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两个或两个以上投标总价的（同一个投标总价大、小写不一致的除外）；投标总价超出出现最高投标限价的；投标总价下浮率超过15%，又未提供相应书面说明和佐证材料或提供的书面说明和佐证材料不能令人信服，被评标委员会认定以低于成本报价竞标的；</w:t>
      </w:r>
    </w:p>
    <w:p w14:paraId="327FDDCB">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6" w:name="_Toc29578"/>
      <w:r>
        <w:rPr>
          <w:rFonts w:hint="eastAsia" w:ascii="宋体" w:hAnsi="宋体" w:eastAsia="宋体" w:cs="宋体"/>
          <w:b/>
          <w:bCs/>
          <w:snapToGrid w:val="0"/>
          <w:color w:val="auto"/>
          <w:kern w:val="0"/>
          <w:sz w:val="24"/>
          <w:szCs w:val="24"/>
          <w:highlight w:val="none"/>
        </w:rPr>
        <w:t>4．其他</w:t>
      </w:r>
      <w:bookmarkEnd w:id="326"/>
    </w:p>
    <w:p w14:paraId="4DF7A37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在任何评标环节（或阶段），投标人有下列情形之一的，评标委员会应否决其投标。被否决的投标人，不进入下一环节（或阶段）。</w:t>
      </w:r>
    </w:p>
    <w:p w14:paraId="14F65D9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（14）不按评标委员会要求澄清、说明或补正的；</w:t>
      </w:r>
    </w:p>
    <w:p w14:paraId="62D0D35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（15）有下列情形之一，被评标委员会认定属于串通投标的：</w:t>
      </w:r>
    </w:p>
    <w:p w14:paraId="0F290FE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①不同投标人的投标文件两处以上（含两处）错、漏一致；</w:t>
      </w:r>
    </w:p>
    <w:p w14:paraId="7A6C81A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2004C80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③不同投标人的投标各项报价存在异常一致或者呈规律性变化；</w:t>
      </w:r>
    </w:p>
    <w:p w14:paraId="6868AF2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④不同投标人的投标文件由同一单位或者同一个人编制</w:t>
      </w:r>
      <w:r>
        <w:rPr>
          <w:rStyle w:val="53"/>
          <w:rFonts w:hint="eastAsia" w:ascii="宋体" w:hAnsi="宋体" w:eastAsia="宋体" w:cs="宋体"/>
          <w:color w:val="auto"/>
          <w:kern w:val="0"/>
          <w:sz w:val="24"/>
          <w:szCs w:val="24"/>
          <w:highlight w:val="none"/>
          <w:lang w:val="en-US" w:eastAsia="zh-CN"/>
        </w:rPr>
        <w:t>或不同投标人通过同一IP地址上传投标文件的</w:t>
      </w:r>
      <w:r>
        <w:rPr>
          <w:rFonts w:hint="eastAsia" w:ascii="宋体" w:hAnsi="宋体" w:eastAsia="宋体" w:cs="宋体"/>
          <w:snapToGrid w:val="0"/>
          <w:color w:val="auto"/>
          <w:kern w:val="0"/>
          <w:sz w:val="24"/>
          <w:szCs w:val="24"/>
          <w:highlight w:val="none"/>
        </w:rPr>
        <w:t>；</w:t>
      </w:r>
    </w:p>
    <w:p w14:paraId="3C70DB8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⑤不同投标人的投标文件中投标资料（包括电子资料）相互混装或项目班子成员出现同一人；</w:t>
      </w:r>
    </w:p>
    <w:p w14:paraId="3647838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⑥不同投标人的投标文件由同一电脑编制或同一台附属设备打印，或投标报价用同一个预算编制软件密码锁制作或出自同一电子文档；</w:t>
      </w:r>
    </w:p>
    <w:p w14:paraId="147A645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⑦不同投标人的投标保证由同一企业或同一账户资金缴纳；</w:t>
      </w:r>
    </w:p>
    <w:p w14:paraId="7907C0C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⑧不同投标人委托同一个人或注册在同一家企业的注册人员或同一家企业为其投标提供投标咨询、商务报价、技术咨询（招标工程本身要求采用专有技术的除外）等服务。</w:t>
      </w:r>
    </w:p>
    <w:p w14:paraId="401E30C7">
      <w:pPr>
        <w:keepNext w:val="0"/>
        <w:keepLines w:val="0"/>
        <w:pageBreakBefore w:val="0"/>
        <w:widowControl w:val="0"/>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napToGrid w:val="0"/>
          <w:color w:val="auto"/>
          <w:kern w:val="0"/>
          <w:sz w:val="24"/>
          <w:szCs w:val="24"/>
          <w:highlight w:val="none"/>
        </w:rPr>
      </w:pPr>
    </w:p>
    <w:p w14:paraId="3457E5E4">
      <w:pPr>
        <w:keepNext w:val="0"/>
        <w:keepLines w:val="0"/>
        <w:pageBreakBefore w:val="0"/>
        <w:widowControl w:val="0"/>
        <w:kinsoku/>
        <w:wordWrap w:val="0"/>
        <w:overflowPunct/>
        <w:topLinePunct w:val="0"/>
        <w:autoSpaceDE/>
        <w:autoSpaceDN/>
        <w:bidi w:val="0"/>
        <w:snapToGrid w:val="0"/>
        <w:spacing w:beforeAutospacing="0" w:afterAutospacing="0" w:line="460" w:lineRule="exact"/>
        <w:ind w:firstLine="0"/>
        <w:textAlignment w:val="auto"/>
        <w:rPr>
          <w:rFonts w:hint="eastAsia" w:ascii="宋体" w:hAnsi="宋体" w:eastAsia="宋体" w:cs="宋体"/>
          <w:color w:val="auto"/>
          <w:kern w:val="0"/>
          <w:sz w:val="24"/>
          <w:szCs w:val="24"/>
          <w:highlight w:val="none"/>
        </w:rPr>
        <w:sectPr>
          <w:footerReference r:id="rId5"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start="1"/>
          <w:cols w:space="0" w:num="1"/>
          <w:rtlGutter w:val="0"/>
          <w:docGrid w:linePitch="327" w:charSpace="0"/>
        </w:sectPr>
      </w:pPr>
    </w:p>
    <w:p w14:paraId="6B53F862">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rPr>
      </w:pPr>
      <w:bookmarkStart w:id="327" w:name="_Toc22323"/>
      <w:bookmarkStart w:id="328" w:name="_Toc9056"/>
      <w:bookmarkStart w:id="329" w:name="_Toc17522"/>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五</w:t>
      </w:r>
      <w:r>
        <w:rPr>
          <w:rFonts w:hint="eastAsia" w:asciiTheme="minorEastAsia" w:hAnsiTheme="minorEastAsia" w:eastAsiaTheme="minorEastAsia" w:cstheme="minorEastAsia"/>
          <w:b/>
          <w:bCs/>
          <w:snapToGrid w:val="0"/>
          <w:color w:val="auto"/>
          <w:kern w:val="0"/>
          <w:sz w:val="28"/>
          <w:szCs w:val="28"/>
          <w:highlight w:val="none"/>
        </w:rPr>
        <w:t>节 定标</w:t>
      </w:r>
      <w:r>
        <w:rPr>
          <w:rFonts w:hint="eastAsia" w:asciiTheme="minorEastAsia" w:hAnsiTheme="minorEastAsia" w:eastAsiaTheme="minorEastAsia" w:cstheme="minorEastAsia"/>
          <w:b/>
          <w:bCs/>
          <w:snapToGrid w:val="0"/>
          <w:color w:val="auto"/>
          <w:kern w:val="0"/>
          <w:sz w:val="28"/>
          <w:szCs w:val="28"/>
          <w:highlight w:val="none"/>
          <w:lang w:eastAsia="zh-CN"/>
        </w:rPr>
        <w:t>规定</w:t>
      </w:r>
      <w:r>
        <w:rPr>
          <w:rFonts w:hint="eastAsia" w:asciiTheme="minorEastAsia" w:hAnsiTheme="minorEastAsia" w:eastAsiaTheme="minorEastAsia" w:cstheme="minorEastAsia"/>
          <w:b/>
          <w:bCs/>
          <w:snapToGrid w:val="0"/>
          <w:color w:val="auto"/>
          <w:kern w:val="0"/>
          <w:sz w:val="28"/>
          <w:szCs w:val="28"/>
          <w:highlight w:val="none"/>
          <w:lang w:val="en-US" w:eastAsia="zh-CN"/>
        </w:rPr>
        <w:t>及定标办法（本项目采用票决数量法定标）</w:t>
      </w:r>
      <w:bookmarkEnd w:id="327"/>
      <w:bookmarkEnd w:id="328"/>
      <w:bookmarkEnd w:id="329"/>
    </w:p>
    <w:p w14:paraId="2B8187EC">
      <w:pPr>
        <w:keepNext w:val="0"/>
        <w:keepLines w:val="0"/>
        <w:pageBreakBefore w:val="0"/>
        <w:kinsoku/>
        <w:overflowPunct/>
        <w:topLinePunct w:val="0"/>
        <w:autoSpaceDE/>
        <w:autoSpaceDN/>
        <w:bidi w:val="0"/>
        <w:spacing w:line="460" w:lineRule="exact"/>
        <w:ind w:firstLine="422" w:firstLineChars="200"/>
        <w:textAlignment w:val="auto"/>
        <w:rPr>
          <w:rStyle w:val="53"/>
          <w:rFonts w:hint="eastAsia" w:ascii="宋体" w:hAnsi="宋体" w:eastAsia="宋体" w:cs="宋体"/>
          <w:b/>
          <w:bCs/>
          <w:color w:val="auto"/>
          <w:kern w:val="0"/>
          <w:sz w:val="21"/>
          <w:szCs w:val="21"/>
          <w:highlight w:val="none"/>
          <w:lang w:val="en-US" w:eastAsia="zh-CN"/>
        </w:rPr>
      </w:pPr>
    </w:p>
    <w:p w14:paraId="18F03F3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 定标规定</w:t>
      </w:r>
    </w:p>
    <w:p w14:paraId="381F67AA">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lang w:val="en-US" w:eastAsia="zh-CN"/>
        </w:rPr>
        <w:t>1.1 确定定</w:t>
      </w:r>
      <w:r>
        <w:rPr>
          <w:rFonts w:hint="eastAsia" w:ascii="宋体" w:hAnsi="宋体" w:eastAsia="宋体" w:cs="宋体"/>
          <w:b/>
          <w:bCs/>
          <w:color w:val="auto"/>
          <w:sz w:val="24"/>
          <w:szCs w:val="24"/>
          <w:highlight w:val="none"/>
          <w:u w:val="none"/>
        </w:rPr>
        <w:t>标时间</w:t>
      </w:r>
    </w:p>
    <w:p w14:paraId="5B8C2E8A">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招标人</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自</w:t>
      </w:r>
      <w:r>
        <w:rPr>
          <w:rFonts w:hint="eastAsia" w:ascii="宋体" w:hAnsi="宋体" w:eastAsia="宋体" w:cs="宋体"/>
          <w:color w:val="auto"/>
          <w:sz w:val="24"/>
          <w:szCs w:val="24"/>
          <w:highlight w:val="none"/>
          <w:u w:val="none"/>
          <w:lang w:val="en-US" w:eastAsia="zh-CN"/>
        </w:rPr>
        <w:t>定标候选人</w:t>
      </w:r>
      <w:r>
        <w:rPr>
          <w:rFonts w:hint="eastAsia" w:ascii="宋体" w:hAnsi="宋体" w:eastAsia="宋体" w:cs="宋体"/>
          <w:color w:val="auto"/>
          <w:sz w:val="24"/>
          <w:szCs w:val="24"/>
          <w:highlight w:val="none"/>
          <w:u w:val="none"/>
        </w:rPr>
        <w:t>公示期满后</w:t>
      </w: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个工作日内进入公共资源交易平台（与评标阶段公共资源交易平台相同）进行定标。定标会议全过程录音录像。</w:t>
      </w:r>
      <w:r>
        <w:rPr>
          <w:rFonts w:hint="eastAsia" w:hAnsi="宋体" w:eastAsia="宋体" w:cs="宋体"/>
          <w:color w:val="auto"/>
          <w:sz w:val="24"/>
          <w:szCs w:val="24"/>
          <w:highlight w:val="none"/>
          <w:u w:val="none"/>
          <w:lang w:val="en-US" w:eastAsia="zh-CN"/>
        </w:rPr>
        <w:t>如</w:t>
      </w:r>
      <w:r>
        <w:rPr>
          <w:rFonts w:hint="eastAsia" w:hAnsi="宋体" w:eastAsia="宋体" w:cs="宋体"/>
          <w:color w:val="auto"/>
          <w:szCs w:val="24"/>
          <w:highlight w:val="none"/>
          <w:u w:val="none"/>
        </w:rPr>
        <w:t>无法按时开展定标的，应当通过广东省招标投标监管网和相关公共资源交易网公告延期原因及最终定标时间。</w:t>
      </w:r>
    </w:p>
    <w:p w14:paraId="1B4C7179">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
          <w:snapToGrid w:val="0"/>
          <w:color w:val="auto"/>
          <w:kern w:val="0"/>
          <w:sz w:val="24"/>
          <w:szCs w:val="24"/>
          <w:highlight w:val="none"/>
        </w:rPr>
      </w:pPr>
      <w:r>
        <w:rPr>
          <w:rFonts w:hint="eastAsia" w:ascii="宋体" w:hAnsi="宋体" w:eastAsia="宋体" w:cs="宋体"/>
          <w:color w:val="auto"/>
          <w:sz w:val="24"/>
          <w:szCs w:val="24"/>
          <w:highlight w:val="none"/>
          <w:u w:val="none"/>
        </w:rPr>
        <w:t>招标人需要延期定标的，</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通过公共资源交易平台公布延期原因和定标时间。</w:t>
      </w:r>
    </w:p>
    <w:p w14:paraId="650C7C70">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1.2 </w:t>
      </w:r>
      <w:r>
        <w:rPr>
          <w:rFonts w:hint="eastAsia" w:ascii="宋体" w:hAnsi="宋体" w:eastAsia="宋体" w:cs="宋体"/>
          <w:b/>
          <w:color w:val="auto"/>
          <w:sz w:val="24"/>
          <w:szCs w:val="24"/>
          <w:highlight w:val="none"/>
          <w:lang w:eastAsia="zh-CN"/>
        </w:rPr>
        <w:t>定标委员会</w:t>
      </w:r>
    </w:p>
    <w:p w14:paraId="3D5A3568">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1.2.1</w:t>
      </w:r>
      <w:r>
        <w:rPr>
          <w:rFonts w:hint="eastAsia" w:hAnsi="宋体" w:eastAsia="宋体" w:cs="宋体"/>
          <w:color w:val="auto"/>
          <w:szCs w:val="24"/>
          <w:highlight w:val="none"/>
          <w:u w:val="none"/>
        </w:rPr>
        <w:t>由招标人组建和管理，招标人的法人或主要负责人任组长。</w:t>
      </w:r>
      <w:r>
        <w:rPr>
          <w:rFonts w:hint="eastAsia" w:ascii="宋体" w:hAnsi="宋体" w:eastAsia="宋体" w:cs="宋体"/>
          <w:color w:val="auto"/>
          <w:sz w:val="24"/>
          <w:szCs w:val="24"/>
          <w:highlight w:val="none"/>
          <w:u w:val="none"/>
          <w:lang w:val="en-US" w:eastAsia="zh-CN"/>
        </w:rPr>
        <w:t>定标委员会的组成方式和人员由招标人按相关规定自行确定。招标项目对技术、商务等有特别要求的可从广东省综合评标评审专家库（韶关区域）抽取专家(外部人员）</w:t>
      </w:r>
      <w:r>
        <w:rPr>
          <w:rFonts w:hint="eastAsia" w:hAnsi="宋体" w:eastAsia="宋体" w:cs="宋体"/>
          <w:color w:val="auto"/>
          <w:sz w:val="24"/>
          <w:szCs w:val="24"/>
          <w:highlight w:val="none"/>
          <w:u w:val="none"/>
          <w:lang w:val="en-US" w:eastAsia="zh-CN"/>
        </w:rPr>
        <w:t>参与</w:t>
      </w:r>
      <w:r>
        <w:rPr>
          <w:rFonts w:hint="eastAsia" w:ascii="宋体" w:hAnsi="宋体" w:eastAsia="宋体" w:cs="宋体"/>
          <w:color w:val="auto"/>
          <w:sz w:val="24"/>
          <w:szCs w:val="24"/>
          <w:highlight w:val="none"/>
          <w:u w:val="none"/>
          <w:lang w:val="en-US" w:eastAsia="zh-CN"/>
        </w:rPr>
        <w:t>，成员数量为7人及以上单数，成员数量应在招标文件中明确。专家人数原则上不超过2人。定标委员会成员数量在投标人须知前附表约定。</w:t>
      </w:r>
    </w:p>
    <w:p w14:paraId="33A5D0F6">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1.2.2定标委员会应当</w:t>
      </w:r>
      <w:r>
        <w:rPr>
          <w:rFonts w:hint="eastAsia" w:ascii="宋体" w:hAnsi="宋体" w:eastAsia="宋体" w:cs="宋体"/>
          <w:b w:val="0"/>
          <w:bCs w:val="0"/>
          <w:color w:val="auto"/>
          <w:spacing w:val="0"/>
          <w:sz w:val="24"/>
          <w:szCs w:val="24"/>
          <w:highlight w:val="none"/>
          <w:u w:val="none"/>
          <w:lang w:val="en-US" w:eastAsia="zh-CN"/>
        </w:rPr>
        <w:t>依据定标方案开展定标工作</w:t>
      </w:r>
      <w:r>
        <w:rPr>
          <w:rFonts w:hint="eastAsia" w:hAnsi="宋体" w:eastAsia="宋体" w:cs="宋体"/>
          <w:b w:val="0"/>
          <w:bCs w:val="0"/>
          <w:color w:val="auto"/>
          <w:spacing w:val="0"/>
          <w:sz w:val="24"/>
          <w:szCs w:val="24"/>
          <w:highlight w:val="none"/>
          <w:u w:val="none"/>
          <w:lang w:val="en-US" w:eastAsia="zh-CN"/>
        </w:rPr>
        <w:t>，</w:t>
      </w:r>
      <w:r>
        <w:rPr>
          <w:rFonts w:hint="eastAsia" w:ascii="宋体" w:hAnsi="宋体" w:eastAsia="宋体" w:cs="宋体"/>
          <w:color w:val="auto"/>
          <w:sz w:val="24"/>
          <w:szCs w:val="24"/>
          <w:highlight w:val="none"/>
          <w:u w:val="none"/>
          <w:lang w:val="en-US" w:eastAsia="zh-CN"/>
        </w:rPr>
        <w:t>根据招标文件规定的定标</w:t>
      </w:r>
      <w:r>
        <w:rPr>
          <w:rFonts w:hint="eastAsia" w:hAnsi="宋体" w:eastAsia="宋体" w:cs="宋体"/>
          <w:color w:val="auto"/>
          <w:sz w:val="24"/>
          <w:szCs w:val="24"/>
          <w:highlight w:val="none"/>
          <w:u w:val="none"/>
          <w:lang w:val="en-US" w:eastAsia="zh-CN"/>
        </w:rPr>
        <w:t>规定及定标办法</w:t>
      </w:r>
      <w:r>
        <w:rPr>
          <w:rFonts w:hint="eastAsia" w:ascii="宋体" w:hAnsi="宋体" w:eastAsia="宋体" w:cs="宋体"/>
          <w:color w:val="auto"/>
          <w:sz w:val="24"/>
          <w:szCs w:val="24"/>
          <w:highlight w:val="none"/>
          <w:u w:val="none"/>
          <w:lang w:val="en-US" w:eastAsia="zh-CN"/>
        </w:rPr>
        <w:t>，对定标候选人进行系统地评审和比较。招标文件中没有规定的定标方法和细则不得作为定标的依据。定标委员会成员应依照招标文件规定的定标方法和</w:t>
      </w:r>
      <w:r>
        <w:rPr>
          <w:rFonts w:hint="eastAsia" w:hAnsi="宋体" w:eastAsia="宋体" w:cs="宋体"/>
          <w:color w:val="auto"/>
          <w:sz w:val="24"/>
          <w:szCs w:val="24"/>
          <w:highlight w:val="none"/>
          <w:u w:val="none"/>
          <w:lang w:val="en-US" w:eastAsia="zh-CN"/>
        </w:rPr>
        <w:t>定标因素</w:t>
      </w:r>
      <w:r>
        <w:rPr>
          <w:rFonts w:hint="eastAsia" w:ascii="宋体" w:hAnsi="宋体" w:eastAsia="宋体" w:cs="宋体"/>
          <w:color w:val="auto"/>
          <w:sz w:val="24"/>
          <w:szCs w:val="24"/>
          <w:highlight w:val="none"/>
          <w:u w:val="none"/>
          <w:lang w:val="en-US" w:eastAsia="zh-CN"/>
        </w:rPr>
        <w:t>，独立完成对定标候选人的评审，对定标结果签字确认，对各定标委员会成员的定标结果进行汇总</w:t>
      </w:r>
      <w:r>
        <w:rPr>
          <w:rFonts w:hint="eastAsia" w:hAnsi="宋体" w:eastAsia="宋体" w:cs="宋体"/>
          <w:color w:val="auto"/>
          <w:sz w:val="24"/>
          <w:szCs w:val="24"/>
          <w:highlight w:val="none"/>
          <w:u w:val="none"/>
          <w:lang w:val="en-US" w:eastAsia="zh-CN"/>
        </w:rPr>
        <w:t>并向招标人提交书面定标报告</w:t>
      </w:r>
      <w:r>
        <w:rPr>
          <w:rFonts w:hint="eastAsia" w:ascii="宋体" w:hAnsi="宋体" w:eastAsia="宋体" w:cs="宋体"/>
          <w:color w:val="auto"/>
          <w:sz w:val="24"/>
          <w:szCs w:val="24"/>
          <w:highlight w:val="none"/>
          <w:u w:val="none"/>
          <w:lang w:val="en-US" w:eastAsia="zh-CN"/>
        </w:rPr>
        <w:t>。</w:t>
      </w:r>
    </w:p>
    <w:p w14:paraId="15AE308B">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3E1E4B75">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440" w:lineRule="exact"/>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p>
    <w:p w14:paraId="766D73D2">
      <w:pPr>
        <w:pStyle w:val="7"/>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2"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w:t>
      </w:r>
      <w:r>
        <w:rPr>
          <w:rFonts w:hint="eastAsia" w:ascii="宋体" w:hAnsi="宋体" w:eastAsia="宋体" w:cs="宋体"/>
          <w:b/>
          <w:bCs/>
          <w:strike w:val="0"/>
          <w:dstrike w:val="0"/>
          <w:color w:val="auto"/>
          <w:kern w:val="2"/>
          <w:sz w:val="24"/>
          <w:szCs w:val="24"/>
          <w:highlight w:val="none"/>
          <w:u w:val="none"/>
          <w:lang w:val="en-US" w:eastAsia="zh-CN"/>
        </w:rPr>
        <w:t>组建招标监督小组</w:t>
      </w:r>
    </w:p>
    <w:p w14:paraId="3E9E08A8">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122F274A">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p>
    <w:p w14:paraId="0D482F24">
      <w:pPr>
        <w:keepNext w:val="0"/>
        <w:keepLines w:val="0"/>
        <w:pageBreakBefore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定标办法</w:t>
      </w:r>
    </w:p>
    <w:p w14:paraId="65EB5B4F">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hAnsi="宋体" w:eastAsia="宋体" w:cs="宋体"/>
          <w:color w:val="auto"/>
          <w:sz w:val="24"/>
          <w:szCs w:val="24"/>
          <w:highlight w:val="none"/>
          <w:u w:val="none"/>
          <w:lang w:val="en-US" w:eastAsia="zh-CN"/>
        </w:rPr>
        <w:t>本项目</w:t>
      </w:r>
      <w:r>
        <w:rPr>
          <w:rFonts w:hint="eastAsia" w:ascii="宋体" w:hAnsi="宋体" w:eastAsia="宋体" w:cs="宋体"/>
          <w:color w:val="auto"/>
          <w:sz w:val="24"/>
          <w:szCs w:val="24"/>
          <w:highlight w:val="none"/>
          <w:u w:val="none"/>
          <w:lang w:val="en-US" w:eastAsia="zh-CN"/>
        </w:rPr>
        <w:t>定标办法由招标人按投标人须知前附表的规定确定（只能选定其中一种定标办法）。</w:t>
      </w:r>
    </w:p>
    <w:p w14:paraId="67DC2213">
      <w:pPr>
        <w:keepNext w:val="0"/>
        <w:keepLines w:val="0"/>
        <w:pageBreakBefore w:val="0"/>
        <w:kinsoku/>
        <w:overflowPunct/>
        <w:topLinePunct w:val="0"/>
        <w:autoSpaceDE/>
        <w:autoSpaceDN/>
        <w:bidi w:val="0"/>
        <w:spacing w:line="46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本项目采用票决数量法定标。</w:t>
      </w:r>
    </w:p>
    <w:p w14:paraId="5539FD3C">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.1票决数量法程序</w:t>
      </w:r>
    </w:p>
    <w:p w14:paraId="318E1F78">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根据定标因素对定标候选人进行评审比较后，每名定标委员会成员有且仅有投出1票的权利，1票只能投1名定标候选人，进行票决排名确定排序的中标候选人。即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w:t>
      </w:r>
      <w:r>
        <w:rPr>
          <w:rFonts w:hint="eastAsia" w:hAnsi="宋体" w:eastAsia="宋体" w:cs="宋体"/>
          <w:color w:val="auto"/>
          <w:sz w:val="24"/>
          <w:szCs w:val="24"/>
          <w:highlight w:val="none"/>
          <w:u w:val="none"/>
          <w:lang w:val="en-US" w:eastAsia="zh-CN"/>
        </w:rPr>
        <w:t>若</w:t>
      </w:r>
      <w:r>
        <w:rPr>
          <w:rFonts w:hint="eastAsia" w:hAnsi="宋体" w:eastAsia="宋体" w:cs="宋体"/>
          <w:color w:val="auto"/>
          <w:szCs w:val="24"/>
          <w:highlight w:val="none"/>
          <w:u w:val="none"/>
        </w:rPr>
        <w:t>有效定标候选人不少于3家的，确定带排序的前3名中标候选人；有效定标候选人仅为2家且满足法定要求的，确定带排序的前2名中标候选人</w:t>
      </w:r>
      <w:r>
        <w:rPr>
          <w:rFonts w:hint="eastAsia" w:ascii="宋体" w:hAnsi="宋体" w:eastAsia="宋体" w:cs="宋体"/>
          <w:color w:val="auto"/>
          <w:sz w:val="24"/>
          <w:szCs w:val="24"/>
          <w:highlight w:val="none"/>
          <w:u w:val="none"/>
          <w:lang w:val="en-US" w:eastAsia="zh-CN"/>
        </w:rPr>
        <w:t>。票决采用记名方式并注明投票理由。</w:t>
      </w:r>
    </w:p>
    <w:p w14:paraId="75896CB4">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.1.1.</w:t>
      </w:r>
      <w:r>
        <w:rPr>
          <w:rFonts w:hint="eastAsia" w:ascii="宋体" w:hAnsi="宋体" w:eastAsia="宋体" w:cs="宋体"/>
          <w:b/>
          <w:bCs/>
          <w:color w:val="auto"/>
          <w:sz w:val="24"/>
          <w:szCs w:val="24"/>
          <w:highlight w:val="none"/>
          <w:u w:val="none"/>
          <w:shd w:val="clear" w:color="auto" w:fill="FFFFFF"/>
        </w:rPr>
        <w:t>项目情况介绍</w:t>
      </w:r>
    </w:p>
    <w:p w14:paraId="7C02D017">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招标人代表介绍项目的概况及招标要求，以及定标方法与定标工作规则，不得发表具有倾向性的言论。</w:t>
      </w:r>
    </w:p>
    <w:p w14:paraId="67988A7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.1.2.</w:t>
      </w:r>
      <w:r>
        <w:rPr>
          <w:rFonts w:hint="eastAsia" w:ascii="宋体" w:hAnsi="宋体" w:eastAsia="宋体" w:cs="宋体"/>
          <w:b/>
          <w:bCs/>
          <w:color w:val="auto"/>
          <w:sz w:val="24"/>
          <w:szCs w:val="24"/>
          <w:highlight w:val="none"/>
          <w:u w:val="none"/>
          <w:shd w:val="clear" w:color="auto" w:fill="FFFFFF"/>
        </w:rPr>
        <w:t>审阅定标资料</w:t>
      </w:r>
    </w:p>
    <w:p w14:paraId="386A53F1">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定标委员会成员对各定标候选人的投标文件进行审阅，审阅内容主要是定标工作规则所规定的定标因素，聚焦于项目需求与候选人能力的匹配度。</w:t>
      </w:r>
    </w:p>
    <w:p w14:paraId="359B067E">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.1.3.</w:t>
      </w:r>
      <w:r>
        <w:rPr>
          <w:rFonts w:hint="eastAsia" w:ascii="宋体" w:hAnsi="宋体" w:eastAsia="宋体" w:cs="宋体"/>
          <w:b/>
          <w:bCs/>
          <w:color w:val="auto"/>
          <w:sz w:val="24"/>
          <w:szCs w:val="24"/>
          <w:highlight w:val="none"/>
          <w:u w:val="none"/>
          <w:shd w:val="clear" w:color="auto" w:fill="FFFFFF"/>
        </w:rPr>
        <w:t>疑问澄清</w:t>
      </w:r>
    </w:p>
    <w:p w14:paraId="731D176B">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24D95D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hAnsi="宋体" w:eastAsia="宋体" w:cs="宋体"/>
          <w:b/>
          <w:bCs/>
          <w:color w:val="auto"/>
          <w:kern w:val="0"/>
          <w:sz w:val="24"/>
          <w:szCs w:val="24"/>
          <w:highlight w:val="none"/>
          <w:u w:val="none"/>
          <w:shd w:val="clear" w:color="auto" w:fill="FFFFFF"/>
          <w:lang w:val="en-US" w:eastAsia="zh-CN" w:bidi="ar-SA"/>
        </w:rPr>
        <w:t>2</w:t>
      </w:r>
      <w:r>
        <w:rPr>
          <w:rFonts w:hint="eastAsia" w:ascii="宋体" w:hAnsi="宋体" w:eastAsia="宋体" w:cs="宋体"/>
          <w:b/>
          <w:bCs/>
          <w:color w:val="auto"/>
          <w:kern w:val="0"/>
          <w:sz w:val="24"/>
          <w:szCs w:val="24"/>
          <w:highlight w:val="none"/>
          <w:u w:val="none"/>
          <w:shd w:val="clear" w:color="auto" w:fill="FFFFFF"/>
          <w:lang w:val="en-US" w:eastAsia="zh-CN" w:bidi="ar-SA"/>
        </w:rPr>
        <w:t>.1.4.投票，收票，点票和汇总</w:t>
      </w:r>
    </w:p>
    <w:p w14:paraId="7D57571A">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6DF7C757">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hAnsi="宋体" w:eastAsia="宋体" w:cs="宋体"/>
          <w:b/>
          <w:bCs/>
          <w:color w:val="auto"/>
          <w:kern w:val="0"/>
          <w:sz w:val="24"/>
          <w:szCs w:val="24"/>
          <w:highlight w:val="none"/>
          <w:u w:val="none"/>
          <w:shd w:val="clear" w:color="auto" w:fill="FFFFFF"/>
          <w:lang w:val="en-US" w:eastAsia="zh-CN" w:bidi="ar-SA"/>
        </w:rPr>
        <w:t>2</w:t>
      </w:r>
      <w:r>
        <w:rPr>
          <w:rFonts w:hint="eastAsia" w:ascii="宋体" w:hAnsi="宋体" w:eastAsia="宋体" w:cs="宋体"/>
          <w:b/>
          <w:bCs/>
          <w:color w:val="auto"/>
          <w:kern w:val="0"/>
          <w:sz w:val="24"/>
          <w:szCs w:val="24"/>
          <w:highlight w:val="none"/>
          <w:u w:val="none"/>
          <w:shd w:val="clear" w:color="auto" w:fill="FFFFFF"/>
          <w:lang w:val="en-US" w:eastAsia="zh-CN" w:bidi="ar-SA"/>
        </w:rPr>
        <w:t>.1.5.公布结果和出具定标报告</w:t>
      </w:r>
    </w:p>
    <w:p w14:paraId="59B0A126">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0EFA3946">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.1.6.</w:t>
      </w:r>
      <w:r>
        <w:rPr>
          <w:rFonts w:hint="eastAsia" w:ascii="宋体" w:hAnsi="宋体" w:eastAsia="宋体" w:cs="宋体"/>
          <w:b/>
          <w:bCs/>
          <w:color w:val="auto"/>
          <w:sz w:val="24"/>
          <w:szCs w:val="24"/>
          <w:highlight w:val="none"/>
          <w:u w:val="none"/>
          <w:shd w:val="clear" w:color="auto" w:fill="FFFFFF"/>
        </w:rPr>
        <w:t>全程监督</w:t>
      </w:r>
    </w:p>
    <w:p w14:paraId="727B837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3633CF5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.2定标因素</w:t>
      </w:r>
    </w:p>
    <w:p w14:paraId="5013163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363ACB10">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left="480" w:leftChars="200" w:right="0" w:rightChars="0" w:firstLine="0" w:firstLineChars="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hAnsi="宋体" w:eastAsia="宋体" w:cs="宋体"/>
          <w:b/>
          <w:bCs/>
          <w:color w:val="auto"/>
          <w:kern w:val="0"/>
          <w:sz w:val="24"/>
          <w:szCs w:val="24"/>
          <w:highlight w:val="none"/>
          <w:u w:val="none"/>
          <w:shd w:val="clear" w:color="auto" w:fill="FFFFFF"/>
          <w:lang w:eastAsia="zh-CN"/>
        </w:rPr>
        <w:t>（</w:t>
      </w:r>
      <w:r>
        <w:rPr>
          <w:rFonts w:hint="eastAsia" w:hAnsi="宋体" w:eastAsia="宋体" w:cs="宋体"/>
          <w:b/>
          <w:bCs/>
          <w:color w:val="auto"/>
          <w:kern w:val="0"/>
          <w:sz w:val="24"/>
          <w:szCs w:val="24"/>
          <w:highlight w:val="none"/>
          <w:u w:val="none"/>
          <w:shd w:val="clear" w:color="auto" w:fill="FFFFFF"/>
          <w:lang w:val="en-US" w:eastAsia="zh-CN"/>
        </w:rPr>
        <w:t>1</w:t>
      </w:r>
      <w:r>
        <w:rPr>
          <w:rFonts w:hint="eastAsia"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rPr>
        <w:t>拟派团队管理能力与水平(履约能力)</w:t>
      </w:r>
    </w:p>
    <w:p w14:paraId="28C09D2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相对标准:拟派团队管理能力与水平(履约能力)强的定标候选人优于拟派团队管理能力与水平(履约能力)一般的定标候选人。</w:t>
      </w:r>
    </w:p>
    <w:p w14:paraId="37230E9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lang w:val="en-US" w:eastAsia="zh-CN"/>
        </w:rPr>
        <w:t>2）</w:t>
      </w:r>
      <w:r>
        <w:rPr>
          <w:rFonts w:hint="eastAsia" w:ascii="宋体" w:hAnsi="宋体" w:eastAsia="宋体" w:cs="宋体"/>
          <w:b/>
          <w:bCs/>
          <w:color w:val="auto"/>
          <w:kern w:val="0"/>
          <w:sz w:val="24"/>
          <w:szCs w:val="24"/>
          <w:highlight w:val="none"/>
          <w:u w:val="none"/>
          <w:shd w:val="clear" w:color="auto" w:fill="FFFFFF"/>
        </w:rPr>
        <w:t>企业信誉</w:t>
      </w:r>
    </w:p>
    <w:p w14:paraId="2560B605">
      <w:pPr>
        <w:keepNext w:val="0"/>
        <w:keepLines w:val="0"/>
        <w:pageBreakBefore w:val="0"/>
        <w:widowControl w:val="0"/>
        <w:kinsoku/>
        <w:overflowPunct/>
        <w:topLinePunct w:val="0"/>
        <w:autoSpaceDE/>
        <w:autoSpaceDN/>
        <w:bidi w:val="0"/>
        <w:spacing w:line="44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rPr>
        <w:t>相对标准:企业信誉评价好的定标候选人优于企业信誉评价一般的定标候选人。</w:t>
      </w:r>
    </w:p>
    <w:p w14:paraId="0EC026E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jc w:val="both"/>
        <w:textAlignment w:val="auto"/>
        <w:outlineLvl w:val="9"/>
        <w:rPr>
          <w:rFonts w:hint="eastAsia"/>
          <w:color w:val="auto"/>
          <w:highlight w:val="none"/>
        </w:rPr>
      </w:pPr>
      <w:r>
        <w:rPr>
          <w:rFonts w:hint="eastAsia" w:hAnsi="宋体" w:eastAsia="宋体" w:cs="宋体"/>
          <w:b/>
          <w:bCs/>
          <w:color w:val="auto"/>
          <w:kern w:val="0"/>
          <w:sz w:val="24"/>
          <w:szCs w:val="24"/>
          <w:highlight w:val="none"/>
          <w:u w:val="none"/>
          <w:shd w:val="clear" w:color="auto" w:fill="FFFFFF"/>
          <w:lang w:eastAsia="zh-CN"/>
        </w:rPr>
        <w:t>（</w:t>
      </w:r>
      <w:r>
        <w:rPr>
          <w:rFonts w:hint="eastAsia" w:hAnsi="宋体" w:eastAsia="宋体" w:cs="宋体"/>
          <w:b/>
          <w:bCs/>
          <w:color w:val="auto"/>
          <w:kern w:val="0"/>
          <w:sz w:val="24"/>
          <w:szCs w:val="24"/>
          <w:highlight w:val="none"/>
          <w:u w:val="none"/>
          <w:shd w:val="clear" w:color="auto" w:fill="FFFFFF"/>
          <w:lang w:val="en-US" w:eastAsia="zh-CN"/>
        </w:rPr>
        <w:t>3</w:t>
      </w:r>
      <w:r>
        <w:rPr>
          <w:rFonts w:hint="eastAsia"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rPr>
        <w:t>企业实力</w:t>
      </w:r>
    </w:p>
    <w:p w14:paraId="2E33904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相对标准：企业实力好的定标候选人优于企业实力一般的定标候选人。以企业资质等级、承接过类似业绩、财务状况等情况综合比较。</w:t>
      </w:r>
    </w:p>
    <w:p w14:paraId="3B230D5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目实际需求、合理可行性强的定标候选人优于响应能力一般的定标候选人。</w:t>
      </w:r>
    </w:p>
    <w:p w14:paraId="6850850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rPr>
        <w:t>(4)评标报告</w:t>
      </w:r>
    </w:p>
    <w:p w14:paraId="3DF4E7E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149ED55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rPr>
        <w:t>(5)农民工工资保障情况</w:t>
      </w:r>
    </w:p>
    <w:p w14:paraId="58279B6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rPr>
        <w:t>相对标准:农民工工资保障情况好的定标候选人优于农民工工资保障情况差的定标候选人(结合定标候选人提交的证明材料和招标人查询的材料进行评审)。</w:t>
      </w:r>
    </w:p>
    <w:p w14:paraId="6F41F60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hAnsi="宋体" w:eastAsia="宋体" w:cs="宋体"/>
          <w:b/>
          <w:bCs/>
          <w:color w:val="auto"/>
          <w:kern w:val="0"/>
          <w:sz w:val="24"/>
          <w:szCs w:val="24"/>
          <w:highlight w:val="none"/>
          <w:u w:val="none"/>
          <w:shd w:val="clear" w:color="auto" w:fill="FFFFFF"/>
          <w:lang w:val="en-US" w:eastAsia="zh-CN" w:bidi="ar-SA"/>
        </w:rPr>
        <w:t>4.</w:t>
      </w:r>
      <w:r>
        <w:rPr>
          <w:rFonts w:hint="eastAsia" w:ascii="宋体" w:hAnsi="宋体" w:eastAsia="宋体" w:cs="宋体"/>
          <w:b/>
          <w:bCs/>
          <w:color w:val="auto"/>
          <w:kern w:val="0"/>
          <w:sz w:val="24"/>
          <w:szCs w:val="24"/>
          <w:highlight w:val="none"/>
          <w:u w:val="none"/>
          <w:shd w:val="clear" w:color="auto" w:fill="FFFFFF"/>
          <w:lang w:val="en-US" w:eastAsia="zh-CN" w:bidi="ar-SA"/>
        </w:rPr>
        <w:t>定标结果公示</w:t>
      </w:r>
    </w:p>
    <w:p w14:paraId="33534AE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Style w:val="53"/>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53"/>
          <w:rFonts w:hint="eastAsia" w:ascii="宋体" w:hAnsi="宋体" w:eastAsia="宋体" w:cs="宋体"/>
          <w:b w:val="0"/>
          <w:bCs w:val="0"/>
          <w:color w:val="auto"/>
          <w:kern w:val="0"/>
          <w:sz w:val="24"/>
          <w:szCs w:val="24"/>
          <w:highlight w:val="none"/>
          <w:lang w:val="en-US" w:eastAsia="zh-CN"/>
        </w:rPr>
        <w:t>后</w:t>
      </w:r>
      <w:r>
        <w:rPr>
          <w:rStyle w:val="53"/>
          <w:rFonts w:hint="eastAsia" w:ascii="宋体" w:hAnsi="宋体" w:eastAsia="宋体" w:cs="宋体"/>
          <w:color w:val="auto"/>
          <w:kern w:val="0"/>
          <w:sz w:val="24"/>
          <w:szCs w:val="24"/>
          <w:highlight w:val="none"/>
          <w:lang w:val="en-US" w:eastAsia="zh-CN"/>
        </w:rPr>
        <w:t>，招标人应</w:t>
      </w:r>
      <w:r>
        <w:rPr>
          <w:rStyle w:val="53"/>
          <w:rFonts w:hint="eastAsia" w:hAnsi="宋体" w:eastAsia="宋体" w:cs="宋体"/>
          <w:color w:val="auto"/>
          <w:kern w:val="0"/>
          <w:sz w:val="24"/>
          <w:szCs w:val="24"/>
          <w:highlight w:val="none"/>
          <w:lang w:val="en-US" w:eastAsia="zh-CN"/>
        </w:rPr>
        <w:t>当自收到定标报告之日起</w:t>
      </w:r>
      <w:r>
        <w:rPr>
          <w:rStyle w:val="53"/>
          <w:rFonts w:hint="eastAsia" w:ascii="宋体" w:hAnsi="宋体" w:eastAsia="宋体" w:cs="宋体"/>
          <w:color w:val="auto"/>
          <w:kern w:val="0"/>
          <w:sz w:val="24"/>
          <w:szCs w:val="24"/>
          <w:highlight w:val="none"/>
          <w:lang w:val="en-US" w:eastAsia="zh-CN"/>
        </w:rPr>
        <w:t>3日内</w:t>
      </w:r>
      <w:r>
        <w:rPr>
          <w:rStyle w:val="53"/>
          <w:rFonts w:hint="eastAsia" w:hAnsi="宋体" w:eastAsia="宋体" w:cs="宋体"/>
          <w:color w:val="auto"/>
          <w:kern w:val="0"/>
          <w:sz w:val="24"/>
          <w:szCs w:val="24"/>
          <w:highlight w:val="none"/>
          <w:lang w:val="en-US" w:eastAsia="zh-CN"/>
        </w:rPr>
        <w:t>，</w:t>
      </w:r>
      <w:r>
        <w:rPr>
          <w:rStyle w:val="53"/>
          <w:rFonts w:hint="eastAsia" w:ascii="宋体" w:hAnsi="宋体" w:eastAsia="宋体" w:cs="宋体"/>
          <w:color w:val="auto"/>
          <w:kern w:val="0"/>
          <w:sz w:val="24"/>
          <w:szCs w:val="24"/>
          <w:highlight w:val="none"/>
          <w:lang w:val="en-US" w:eastAsia="zh-CN"/>
        </w:rPr>
        <w:t>将中标候选人和定标情况在广东省招标投标监管网和韶关市公共资源交易中心工程交易系统上公示，公示</w:t>
      </w:r>
      <w:r>
        <w:rPr>
          <w:rStyle w:val="53"/>
          <w:rFonts w:hint="eastAsia" w:hAnsi="宋体" w:eastAsia="宋体" w:cs="宋体"/>
          <w:color w:val="auto"/>
          <w:kern w:val="0"/>
          <w:sz w:val="24"/>
          <w:szCs w:val="24"/>
          <w:highlight w:val="none"/>
          <w:lang w:val="en-US" w:eastAsia="zh-CN"/>
        </w:rPr>
        <w:t>期</w:t>
      </w:r>
      <w:r>
        <w:rPr>
          <w:rStyle w:val="53"/>
          <w:rFonts w:hint="eastAsia" w:ascii="宋体" w:hAnsi="宋体" w:eastAsia="宋体" w:cs="宋体"/>
          <w:color w:val="auto"/>
          <w:kern w:val="0"/>
          <w:sz w:val="24"/>
          <w:szCs w:val="24"/>
          <w:highlight w:val="none"/>
          <w:lang w:val="en-US" w:eastAsia="zh-CN"/>
        </w:rPr>
        <w:t>不少于3日。公示主要内容包括：定标报告（定标成员信息除外）、中标</w:t>
      </w:r>
      <w:r>
        <w:rPr>
          <w:rStyle w:val="53"/>
          <w:rFonts w:hint="eastAsia" w:hAnsi="宋体" w:eastAsia="宋体" w:cs="宋体"/>
          <w:color w:val="auto"/>
          <w:kern w:val="0"/>
          <w:sz w:val="24"/>
          <w:szCs w:val="24"/>
          <w:highlight w:val="none"/>
          <w:lang w:val="en-US" w:eastAsia="zh-CN"/>
        </w:rPr>
        <w:t>候选人</w:t>
      </w:r>
      <w:r>
        <w:rPr>
          <w:rStyle w:val="53"/>
          <w:rFonts w:hint="eastAsia" w:ascii="宋体" w:hAnsi="宋体" w:eastAsia="宋体" w:cs="宋体"/>
          <w:color w:val="auto"/>
          <w:kern w:val="0"/>
          <w:sz w:val="24"/>
          <w:szCs w:val="24"/>
          <w:highlight w:val="none"/>
          <w:lang w:val="en-US" w:eastAsia="zh-CN"/>
        </w:rPr>
        <w:t>、中标价和拟投入本项目的项目负责人、技术负责人及各专业负责人（如有）等内容。</w:t>
      </w:r>
    </w:p>
    <w:p w14:paraId="09E6D16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Style w:val="53"/>
          <w:rFonts w:hint="eastAsia" w:ascii="宋体" w:hAnsi="宋体" w:eastAsia="宋体" w:cs="宋体"/>
          <w:color w:val="auto"/>
          <w:kern w:val="0"/>
          <w:sz w:val="21"/>
          <w:szCs w:val="21"/>
          <w:highlight w:val="none"/>
          <w:lang w:val="en-US" w:eastAsia="zh-CN"/>
        </w:rPr>
      </w:pPr>
      <w:r>
        <w:rPr>
          <w:rStyle w:val="53"/>
          <w:rFonts w:hint="eastAsia" w:ascii="宋体" w:hAnsi="宋体" w:eastAsia="宋体" w:cs="宋体"/>
          <w:color w:val="auto"/>
          <w:kern w:val="0"/>
          <w:sz w:val="21"/>
          <w:szCs w:val="21"/>
          <w:highlight w:val="none"/>
          <w:lang w:val="en-US" w:eastAsia="zh-CN"/>
        </w:rPr>
        <w:br w:type="page"/>
      </w:r>
    </w:p>
    <w:p w14:paraId="01E7BAFE">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eastAsia="zh-CN"/>
        </w:rPr>
      </w:pPr>
      <w:bookmarkStart w:id="330" w:name="_Toc21815"/>
      <w:bookmarkStart w:id="331" w:name="_Toc226"/>
      <w:bookmarkStart w:id="332" w:name="_Toc7606"/>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六</w:t>
      </w:r>
      <w:r>
        <w:rPr>
          <w:rFonts w:hint="eastAsia" w:asciiTheme="minorEastAsia" w:hAnsiTheme="minorEastAsia" w:eastAsiaTheme="minorEastAsia" w:cstheme="minorEastAsia"/>
          <w:b/>
          <w:bCs/>
          <w:snapToGrid w:val="0"/>
          <w:color w:val="auto"/>
          <w:kern w:val="0"/>
          <w:sz w:val="28"/>
          <w:szCs w:val="28"/>
          <w:highlight w:val="none"/>
        </w:rPr>
        <w:t>节 中标确认</w:t>
      </w:r>
      <w:bookmarkEnd w:id="330"/>
      <w:bookmarkEnd w:id="331"/>
      <w:bookmarkEnd w:id="332"/>
    </w:p>
    <w:p w14:paraId="2376933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5559561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 xml:space="preserve">1.1 </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w:t>
      </w:r>
      <w:r>
        <w:rPr>
          <w:rFonts w:hint="eastAsia" w:hAnsi="宋体" w:eastAsia="宋体" w:cs="宋体"/>
          <w:b w:val="0"/>
          <w:bCs w:val="0"/>
          <w:color w:val="auto"/>
          <w:kern w:val="0"/>
          <w:sz w:val="24"/>
          <w:szCs w:val="24"/>
          <w:highlight w:val="none"/>
          <w:u w:val="none"/>
          <w:shd w:val="clear" w:color="auto" w:fill="FFFFFF"/>
          <w:lang w:val="en-US" w:eastAsia="zh-CN" w:bidi="ar-SA"/>
        </w:rPr>
        <w:t>候选人</w:t>
      </w:r>
      <w:r>
        <w:rPr>
          <w:rFonts w:hint="eastAsia" w:ascii="宋体" w:hAnsi="宋体" w:eastAsia="宋体" w:cs="宋体"/>
          <w:b w:val="0"/>
          <w:bCs w:val="0"/>
          <w:color w:val="auto"/>
          <w:kern w:val="0"/>
          <w:sz w:val="24"/>
          <w:szCs w:val="24"/>
          <w:highlight w:val="none"/>
          <w:u w:val="none"/>
          <w:shd w:val="clear" w:color="auto" w:fill="FFFFFF"/>
          <w:lang w:val="en-US" w:eastAsia="zh-CN" w:bidi="ar-SA"/>
        </w:rPr>
        <w:t>公示期满</w:t>
      </w:r>
      <w:r>
        <w:rPr>
          <w:rFonts w:hint="eastAsia" w:hAnsi="宋体" w:eastAsia="宋体" w:cs="宋体"/>
          <w:b w:val="0"/>
          <w:bCs w:val="0"/>
          <w:color w:val="auto"/>
          <w:kern w:val="0"/>
          <w:sz w:val="24"/>
          <w:szCs w:val="24"/>
          <w:highlight w:val="none"/>
          <w:u w:val="none"/>
          <w:shd w:val="clear" w:color="auto" w:fill="FFFFFF"/>
          <w:lang w:val="en-US" w:eastAsia="zh-CN" w:bidi="ar-SA"/>
        </w:rPr>
        <w:t>且</w:t>
      </w:r>
      <w:r>
        <w:rPr>
          <w:rFonts w:hint="eastAsia" w:ascii="宋体" w:hAnsi="宋体" w:eastAsia="宋体" w:cs="宋体"/>
          <w:b w:val="0"/>
          <w:bCs w:val="0"/>
          <w:color w:val="auto"/>
          <w:kern w:val="0"/>
          <w:sz w:val="24"/>
          <w:szCs w:val="24"/>
          <w:highlight w:val="none"/>
          <w:u w:val="none"/>
          <w:shd w:val="clear" w:color="auto" w:fill="FFFFFF"/>
          <w:lang w:val="en-US" w:eastAsia="zh-CN" w:bidi="ar-SA"/>
        </w:rPr>
        <w:t>无异议的，招标人确认排名第一的中标候选人为中标人</w:t>
      </w:r>
      <w:r>
        <w:rPr>
          <w:rFonts w:hint="eastAsia" w:hAnsi="宋体" w:eastAsia="宋体" w:cs="宋体"/>
          <w:b w:val="0"/>
          <w:bCs w:val="0"/>
          <w:color w:val="auto"/>
          <w:kern w:val="0"/>
          <w:sz w:val="24"/>
          <w:szCs w:val="24"/>
          <w:highlight w:val="none"/>
          <w:u w:val="none"/>
          <w:shd w:val="clear" w:color="auto" w:fill="FFFFFF"/>
          <w:lang w:val="en-US" w:eastAsia="zh-CN" w:bidi="ar-SA"/>
        </w:rPr>
        <w:t>并在招标公告发布媒介发布中标结果公示</w:t>
      </w:r>
      <w:r>
        <w:rPr>
          <w:rFonts w:hint="eastAsia" w:ascii="宋体" w:hAnsi="宋体" w:eastAsia="宋体" w:cs="宋体"/>
          <w:b w:val="0"/>
          <w:bCs w:val="0"/>
          <w:color w:val="auto"/>
          <w:kern w:val="0"/>
          <w:sz w:val="24"/>
          <w:szCs w:val="24"/>
          <w:highlight w:val="none"/>
          <w:u w:val="none"/>
          <w:shd w:val="clear" w:color="auto" w:fill="FFFFFF"/>
          <w:lang w:val="en-US" w:eastAsia="zh-CN" w:bidi="ar-SA"/>
        </w:rPr>
        <w:t>。</w:t>
      </w:r>
    </w:p>
    <w:p w14:paraId="01FCA75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5C9B248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0156777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0DC6361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标结果有异议的，应当在定标候选人和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10440A0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0F2BD24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5D07E1A0">
      <w:pPr>
        <w:pStyle w:val="2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40" w:lineRule="exact"/>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333" w:name="_Toc236550039"/>
      <w:r>
        <w:rPr>
          <w:rStyle w:val="27"/>
          <w:rFonts w:hint="eastAsia" w:ascii="宋体" w:hAnsi="宋体" w:eastAsia="宋体" w:cs="宋体"/>
          <w:b/>
          <w:bCs/>
          <w:i w:val="0"/>
          <w:color w:val="auto"/>
          <w:sz w:val="24"/>
          <w:szCs w:val="24"/>
          <w:highlight w:val="none"/>
          <w:lang w:val="en-US" w:eastAsia="zh-CN"/>
        </w:rPr>
        <w:t>3</w:t>
      </w:r>
      <w:r>
        <w:rPr>
          <w:rStyle w:val="27"/>
          <w:rFonts w:hint="eastAsia" w:ascii="宋体" w:hAnsi="宋体" w:eastAsia="宋体" w:cs="宋体"/>
          <w:b/>
          <w:bCs/>
          <w:i w:val="0"/>
          <w:color w:val="auto"/>
          <w:sz w:val="24"/>
          <w:szCs w:val="24"/>
          <w:highlight w:val="none"/>
        </w:rPr>
        <w:t>．废除授标</w:t>
      </w:r>
      <w:bookmarkEnd w:id="333"/>
      <w:r>
        <w:rPr>
          <w:rStyle w:val="27"/>
          <w:rFonts w:hint="eastAsia" w:ascii="宋体" w:hAnsi="宋体" w:eastAsia="宋体" w:cs="宋体"/>
          <w:b/>
          <w:bCs/>
          <w:i w:val="0"/>
          <w:color w:val="auto"/>
          <w:sz w:val="24"/>
          <w:szCs w:val="24"/>
          <w:highlight w:val="none"/>
        </w:rPr>
        <w:t>及授标</w:t>
      </w:r>
    </w:p>
    <w:p w14:paraId="2E71641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72F374B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3E2D0E0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31333EC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034DAF5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6587AD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57129E1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6C28214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0A9316A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364A37C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440064F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w:t>
      </w:r>
      <w:r>
        <w:rPr>
          <w:rFonts w:hint="eastAsia" w:hAnsi="宋体" w:eastAsia="宋体" w:cs="宋体"/>
          <w:b w:val="0"/>
          <w:bCs w:val="0"/>
          <w:color w:val="auto"/>
          <w:kern w:val="0"/>
          <w:sz w:val="24"/>
          <w:szCs w:val="24"/>
          <w:highlight w:val="none"/>
          <w:u w:val="none"/>
          <w:shd w:val="clear" w:color="auto" w:fill="FFFFFF"/>
          <w:lang w:val="en-US" w:eastAsia="zh-CN" w:bidi="ar-SA"/>
        </w:rPr>
        <w:t>法律法规或</w:t>
      </w:r>
      <w:r>
        <w:rPr>
          <w:rFonts w:hint="eastAsia" w:ascii="宋体" w:hAnsi="宋体" w:eastAsia="宋体" w:cs="宋体"/>
          <w:b w:val="0"/>
          <w:bCs w:val="0"/>
          <w:color w:val="auto"/>
          <w:kern w:val="0"/>
          <w:sz w:val="24"/>
          <w:szCs w:val="24"/>
          <w:highlight w:val="none"/>
          <w:u w:val="none"/>
          <w:shd w:val="clear" w:color="auto" w:fill="FFFFFF"/>
          <w:lang w:val="en-US" w:eastAsia="zh-CN" w:bidi="ar-SA"/>
        </w:rPr>
        <w:t>招标文件明确规定可以废除授标的其他情形。</w:t>
      </w:r>
    </w:p>
    <w:p w14:paraId="131DDCC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1667A30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p>
    <w:p w14:paraId="3509FD04">
      <w:pPr>
        <w:keepNext w:val="0"/>
        <w:keepLines w:val="0"/>
        <w:pageBreakBefore w:val="0"/>
        <w:widowControl w:val="0"/>
        <w:kinsoku/>
        <w:wordWrap/>
        <w:overflowPunct/>
        <w:topLinePunct w:val="0"/>
        <w:bidi w:val="0"/>
        <w:adjustRightInd/>
        <w:spacing w:line="460" w:lineRule="exact"/>
        <w:textAlignment w:val="auto"/>
        <w:rPr>
          <w:rFonts w:hint="eastAsia"/>
          <w:color w:val="auto"/>
          <w:sz w:val="24"/>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567116AF">
      <w:pPr>
        <w:pStyle w:val="38"/>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334" w:name="_Toc32557"/>
      <w:r>
        <w:rPr>
          <w:rFonts w:hint="eastAsia" w:asciiTheme="minorEastAsia" w:hAnsiTheme="minorEastAsia" w:eastAsiaTheme="minorEastAsia" w:cstheme="minorEastAsia"/>
          <w:b/>
          <w:color w:val="auto"/>
          <w:kern w:val="44"/>
          <w:sz w:val="36"/>
          <w:szCs w:val="36"/>
          <w:highlight w:val="none"/>
        </w:rPr>
        <w:t>第二章</w:t>
      </w:r>
      <w:bookmarkStart w:id="335" w:name="_Hlt87793831"/>
      <w:bookmarkEnd w:id="335"/>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313"/>
      <w:bookmarkEnd w:id="314"/>
      <w:bookmarkEnd w:id="315"/>
      <w:bookmarkEnd w:id="316"/>
      <w:bookmarkEnd w:id="317"/>
      <w:bookmarkEnd w:id="318"/>
      <w:bookmarkEnd w:id="319"/>
      <w:bookmarkEnd w:id="320"/>
      <w:bookmarkEnd w:id="334"/>
    </w:p>
    <w:p w14:paraId="232783B8">
      <w:pPr>
        <w:pStyle w:val="37"/>
        <w:rPr>
          <w:rFonts w:asciiTheme="minorEastAsia" w:hAnsiTheme="minorEastAsia" w:eastAsiaTheme="minorEastAsia" w:cstheme="minorEastAsia"/>
          <w:color w:val="auto"/>
          <w:highlight w:val="none"/>
        </w:rPr>
      </w:pPr>
    </w:p>
    <w:bookmarkEnd w:id="321"/>
    <w:bookmarkEnd w:id="322"/>
    <w:p w14:paraId="7D6C61DB">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336" w:name="_Toc26552"/>
      <w:bookmarkStart w:id="337" w:name="_Toc21998"/>
      <w:bookmarkStart w:id="338" w:name="_Toc18454"/>
      <w:bookmarkStart w:id="339" w:name="_Toc8407"/>
      <w:bookmarkStart w:id="340" w:name="_Toc7347"/>
      <w:bookmarkStart w:id="341" w:name="_Toc21667"/>
      <w:bookmarkStart w:id="342" w:name="_Toc19931"/>
      <w:bookmarkStart w:id="343" w:name="_Toc326916629"/>
      <w:bookmarkStart w:id="344" w:name="_Toc22879"/>
      <w:bookmarkStart w:id="345" w:name="_Toc322793288"/>
      <w:bookmarkStart w:id="346" w:name="_Toc28378"/>
      <w:bookmarkStart w:id="347" w:name="_Toc12651"/>
      <w:bookmarkStart w:id="348" w:name="_Hlt69698769"/>
      <w:bookmarkStart w:id="349" w:name="_Hlt69698722"/>
      <w:bookmarkStart w:id="350" w:name="_Hlt69698741"/>
      <w:r>
        <w:rPr>
          <w:rFonts w:hint="eastAsia" w:ascii="宋体" w:hAnsi="宋体" w:eastAsia="宋体" w:cs="宋体"/>
          <w:b/>
          <w:color w:val="auto"/>
          <w:kern w:val="2"/>
          <w:highlight w:val="none"/>
        </w:rPr>
        <w:t>1 工程承包方式</w:t>
      </w:r>
      <w:bookmarkEnd w:id="336"/>
      <w:bookmarkEnd w:id="337"/>
      <w:bookmarkEnd w:id="338"/>
      <w:bookmarkEnd w:id="339"/>
      <w:bookmarkEnd w:id="340"/>
      <w:bookmarkEnd w:id="341"/>
      <w:bookmarkEnd w:id="342"/>
      <w:bookmarkEnd w:id="343"/>
      <w:bookmarkEnd w:id="344"/>
      <w:bookmarkEnd w:id="345"/>
      <w:bookmarkEnd w:id="346"/>
      <w:bookmarkEnd w:id="347"/>
    </w:p>
    <w:p w14:paraId="4B4B40E1">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1.1承包人按中标价以总承包方式在规定的期限内对设计、施工（包工</w:t>
      </w:r>
      <w:bookmarkStart w:id="351" w:name="_Hlt87948212"/>
      <w:bookmarkEnd w:id="351"/>
      <w:r>
        <w:rPr>
          <w:rFonts w:hint="eastAsia" w:ascii="宋体" w:hAnsi="宋体" w:eastAsia="宋体" w:cs="宋体"/>
          <w:color w:val="auto"/>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7BFFADD1">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1.1.1 包工包料：材料符合招标文件要求</w:t>
      </w:r>
      <w:r>
        <w:rPr>
          <w:rFonts w:hint="eastAsia" w:ascii="宋体" w:hAnsi="宋体" w:eastAsia="宋体" w:cs="宋体"/>
          <w:snapToGrid w:val="0"/>
          <w:color w:val="auto"/>
          <w:kern w:val="0"/>
          <w:highlight w:val="none"/>
        </w:rPr>
        <w:t>及合同的相关约定</w:t>
      </w:r>
      <w:r>
        <w:rPr>
          <w:rFonts w:hint="eastAsia" w:ascii="宋体" w:hAnsi="宋体" w:eastAsia="宋体" w:cs="宋体"/>
          <w:color w:val="auto"/>
          <w:highlight w:val="none"/>
        </w:rPr>
        <w:t>，报验使用；办理用工保险。</w:t>
      </w:r>
    </w:p>
    <w:p w14:paraId="6E7BC03D">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1.1.2 包质量：符合招标文件要求</w:t>
      </w:r>
      <w:r>
        <w:rPr>
          <w:rFonts w:hint="eastAsia" w:ascii="宋体" w:hAnsi="宋体" w:eastAsia="宋体" w:cs="宋体"/>
          <w:color w:val="auto"/>
          <w:szCs w:val="24"/>
          <w:highlight w:val="none"/>
        </w:rPr>
        <w:t>及合同有关质量的相关约定</w:t>
      </w:r>
      <w:r>
        <w:rPr>
          <w:rFonts w:hint="eastAsia" w:ascii="宋体" w:hAnsi="宋体" w:eastAsia="宋体" w:cs="宋体"/>
          <w:color w:val="auto"/>
          <w:highlight w:val="none"/>
        </w:rPr>
        <w:t>。</w:t>
      </w:r>
    </w:p>
    <w:p w14:paraId="204DC70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1.1.3 包安全包文明施工：符合国家及省、市的相关规定及招标文件、合同的相关约定要求。</w:t>
      </w:r>
    </w:p>
    <w:p w14:paraId="3DF05AA2">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1.1.4 包工期：本工程项目施工必须在规定的期限内完成。</w:t>
      </w:r>
    </w:p>
    <w:p w14:paraId="778C951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2"/>
          <w:highlight w:val="none"/>
        </w:rPr>
        <w:t xml:space="preserve">1.2 </w:t>
      </w:r>
      <w:r>
        <w:rPr>
          <w:rFonts w:hint="eastAsia" w:ascii="宋体" w:hAnsi="宋体" w:eastAsia="宋体" w:cs="宋体"/>
          <w:color w:val="auto"/>
          <w:szCs w:val="24"/>
          <w:highlight w:val="none"/>
        </w:rPr>
        <w:t>限额设计要求：</w:t>
      </w:r>
    </w:p>
    <w:p w14:paraId="5D491D0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1.2.1施工图预算中的建安工程费不得超过初步设计概算中的建安工程费且不得超过建安工程费的中标价。</w:t>
      </w:r>
    </w:p>
    <w:p w14:paraId="0F1F327A">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1.2.2 承包人在提交设计施工图时必须同时提交施工图预算。施工图预算作为承包人自我核算是否符合限额设计要求的依据。若造价咨询单位按施工图编制或审核的建安工程费高于前条1.2.1条规定时，承包人必须无条件对施工图进行修改，直至满足限额设计要求，不另行增加设计费，且由此造成发包人委托的造价咨询单位重复编制或审核施工图预算的费用由承包人承担，结算时在设计费中扣除。</w:t>
      </w:r>
    </w:p>
    <w:p w14:paraId="0217C6B9">
      <w:pPr>
        <w:pStyle w:val="54"/>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highlight w:val="none"/>
        </w:rPr>
      </w:pPr>
      <w:bookmarkStart w:id="352" w:name="_Toc20951"/>
      <w:bookmarkStart w:id="353" w:name="_Toc27815"/>
      <w:bookmarkStart w:id="354" w:name="_Toc1359"/>
      <w:bookmarkStart w:id="355" w:name="_Toc10533"/>
      <w:bookmarkStart w:id="356" w:name="_Toc467587699"/>
      <w:bookmarkStart w:id="357" w:name="_Toc16000"/>
      <w:bookmarkStart w:id="358" w:name="_Toc16582"/>
      <w:bookmarkStart w:id="359" w:name="_Toc3936"/>
      <w:bookmarkStart w:id="360" w:name="_Toc7276"/>
      <w:bookmarkStart w:id="361" w:name="_Toc469940920"/>
      <w:bookmarkStart w:id="362" w:name="_Toc4817"/>
      <w:bookmarkStart w:id="363" w:name="_Toc13383"/>
      <w:r>
        <w:rPr>
          <w:rFonts w:hint="eastAsia" w:ascii="宋体" w:hAnsi="宋体" w:eastAsia="宋体" w:cs="宋体"/>
          <w:b/>
          <w:color w:val="auto"/>
          <w:highlight w:val="none"/>
        </w:rPr>
        <w:t>2 施工图工程量清单预算的编制原则</w:t>
      </w:r>
      <w:bookmarkEnd w:id="352"/>
      <w:bookmarkEnd w:id="353"/>
      <w:bookmarkEnd w:id="354"/>
      <w:bookmarkEnd w:id="355"/>
      <w:bookmarkEnd w:id="356"/>
      <w:bookmarkEnd w:id="357"/>
      <w:bookmarkEnd w:id="358"/>
      <w:bookmarkEnd w:id="359"/>
      <w:bookmarkEnd w:id="360"/>
      <w:bookmarkEnd w:id="361"/>
      <w:bookmarkEnd w:id="362"/>
      <w:bookmarkEnd w:id="363"/>
    </w:p>
    <w:p w14:paraId="537E84C4">
      <w:pPr>
        <w:pStyle w:val="55"/>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2.1 施工图设计必须符合本项目限额设计要求。本项目的建安工程费预算价不得超过已批复概算中相应的建安工程费</w:t>
      </w:r>
      <w:r>
        <w:rPr>
          <w:rFonts w:hint="eastAsia" w:ascii="宋体" w:hAnsi="宋体" w:eastAsia="宋体" w:cs="宋体"/>
          <w:color w:val="auto"/>
          <w:szCs w:val="24"/>
          <w:highlight w:val="none"/>
        </w:rPr>
        <w:t>且不得超过建安工程费的中标价</w:t>
      </w:r>
      <w:r>
        <w:rPr>
          <w:rFonts w:hint="eastAsia" w:ascii="宋体" w:hAnsi="宋体" w:eastAsia="宋体" w:cs="宋体"/>
          <w:color w:val="auto"/>
          <w:kern w:val="0"/>
          <w:highlight w:val="none"/>
        </w:rPr>
        <w:t>。否则，承包人必须进行调整，直至符合限额设计要求为止。</w:t>
      </w:r>
    </w:p>
    <w:p w14:paraId="2A2AD026">
      <w:pPr>
        <w:pageBreakBefore w:val="0"/>
        <w:kinsoku/>
        <w:overflowPunct/>
        <w:topLinePunct w:val="0"/>
        <w:bidi w:val="0"/>
        <w:spacing w:line="440" w:lineRule="exact"/>
        <w:ind w:firstLine="480" w:firstLineChars="200"/>
        <w:jc w:val="left"/>
        <w:textAlignment w:val="auto"/>
        <w:rPr>
          <w:rFonts w:hint="eastAsia" w:ascii="宋体" w:hAnsi="宋体" w:eastAsia="宋体" w:cs="宋体"/>
          <w:i/>
          <w:strike/>
          <w:color w:val="auto"/>
          <w:szCs w:val="24"/>
          <w:highlight w:val="none"/>
        </w:rPr>
      </w:pPr>
      <w:r>
        <w:rPr>
          <w:rFonts w:hint="eastAsia" w:ascii="宋体" w:hAnsi="宋体" w:eastAsia="宋体" w:cs="宋体"/>
          <w:color w:val="auto"/>
          <w:kern w:val="0"/>
          <w:highlight w:val="none"/>
        </w:rPr>
        <w:t>2.2</w:t>
      </w:r>
      <w:r>
        <w:rPr>
          <w:rFonts w:hint="eastAsia" w:ascii="宋体" w:hAnsi="宋体" w:eastAsia="宋体" w:cs="宋体"/>
          <w:color w:val="auto"/>
          <w:szCs w:val="24"/>
          <w:highlight w:val="none"/>
        </w:rPr>
        <w:t xml:space="preserve"> 施工图工程量清单预算价的编制：承包人根据招标文件及设计任务书（或可行性研究报告）、初步设计等相关的文件完成本项目的设计工作，承包人设计的施工图经发包人确认后由发包人委托有资质的审图公司审查，施工图经审查合格后，由承包人编制的施工图工程量清单预算</w:t>
      </w:r>
      <w:r>
        <w:rPr>
          <w:rFonts w:hint="eastAsia" w:ascii="宋体" w:hAnsi="宋体" w:eastAsia="宋体" w:cs="宋体"/>
          <w:color w:val="auto"/>
          <w:kern w:val="0"/>
          <w:szCs w:val="24"/>
          <w:highlight w:val="none"/>
        </w:rPr>
        <w:t>需经过发包人委托的第三方</w:t>
      </w:r>
      <w:r>
        <w:rPr>
          <w:rFonts w:hint="eastAsia" w:ascii="宋体" w:hAnsi="宋体" w:eastAsia="宋体" w:cs="宋体"/>
          <w:color w:val="auto"/>
          <w:szCs w:val="24"/>
          <w:highlight w:val="none"/>
        </w:rPr>
        <w:t>造价咨询单位审核</w:t>
      </w:r>
      <w:r>
        <w:rPr>
          <w:rFonts w:hint="eastAsia" w:ascii="宋体" w:hAnsi="宋体" w:eastAsia="宋体" w:cs="宋体"/>
          <w:color w:val="auto"/>
          <w:kern w:val="0"/>
          <w:szCs w:val="24"/>
          <w:highlight w:val="none"/>
        </w:rPr>
        <w:t>通过后，并报</w:t>
      </w:r>
      <w:r>
        <w:rPr>
          <w:rFonts w:hint="eastAsia" w:ascii="宋体" w:hAnsi="宋体" w:eastAsia="宋体" w:cs="宋体"/>
          <w:color w:val="auto"/>
          <w:szCs w:val="24"/>
          <w:highlight w:val="none"/>
        </w:rPr>
        <w:t>南雄市财政局投资评审中心</w:t>
      </w:r>
      <w:r>
        <w:rPr>
          <w:rFonts w:hint="eastAsia" w:ascii="宋体" w:hAnsi="宋体" w:eastAsia="宋体" w:cs="宋体"/>
          <w:color w:val="auto"/>
          <w:kern w:val="0"/>
          <w:szCs w:val="24"/>
          <w:highlight w:val="none"/>
        </w:rPr>
        <w:t>审核</w:t>
      </w:r>
      <w:r>
        <w:rPr>
          <w:rFonts w:hint="eastAsia" w:ascii="宋体" w:hAnsi="宋体" w:eastAsia="宋体" w:cs="宋体"/>
          <w:color w:val="auto"/>
          <w:szCs w:val="24"/>
          <w:highlight w:val="none"/>
        </w:rPr>
        <w:t>。施工图工程量清单预算的编制依据为：</w:t>
      </w:r>
      <w:r>
        <w:rPr>
          <w:rFonts w:hint="eastAsia" w:ascii="宋体" w:hAnsi="宋体" w:eastAsia="宋体" w:cs="宋体"/>
          <w:color w:val="auto"/>
          <w:kern w:val="0"/>
          <w:highlight w:val="none"/>
        </w:rPr>
        <w:t>（1）2024版清单计价计算标准</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《建设工程工程量清单计价标准》（GB/T 50500-2024）</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kern w:val="0"/>
          <w:highlight w:val="none"/>
          <w:lang w:val="en-US" w:eastAsia="zh-CN"/>
        </w:rPr>
        <w:t>等</w:t>
      </w:r>
      <w:r>
        <w:rPr>
          <w:rFonts w:hint="eastAsia" w:ascii="宋体" w:hAnsi="宋体" w:eastAsia="宋体" w:cs="宋体"/>
          <w:color w:val="auto"/>
          <w:kern w:val="0"/>
          <w:highlight w:val="none"/>
        </w:rPr>
        <w:t>，</w:t>
      </w:r>
      <w:r>
        <w:rPr>
          <w:rFonts w:hint="eastAsia" w:ascii="宋体" w:hAnsi="宋体" w:eastAsia="宋体" w:cs="宋体"/>
          <w:color w:val="auto"/>
          <w:highlight w:val="none"/>
        </w:rPr>
        <w:t>（2）</w:t>
      </w:r>
      <w:r>
        <w:rPr>
          <w:rFonts w:hint="eastAsia" w:ascii="宋体" w:hAnsi="宋体" w:eastAsia="宋体" w:cs="宋体"/>
          <w:color w:val="auto"/>
          <w:szCs w:val="24"/>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zCs w:val="24"/>
          <w:highlight w:val="none"/>
          <w:lang w:eastAsia="zh-CN"/>
        </w:rPr>
        <w:t>。</w:t>
      </w:r>
      <w:r>
        <w:rPr>
          <w:rFonts w:hint="eastAsia" w:ascii="宋体" w:hAnsi="宋体" w:eastAsia="宋体" w:cs="宋体"/>
          <w:color w:val="auto"/>
          <w:kern w:val="0"/>
          <w:szCs w:val="24"/>
          <w:highlight w:val="none"/>
        </w:rPr>
        <w:t>工程量按施工图计算，主要材料价格按预算编制时（招标文件所规定的设计预算编制工期内）当季南雄市工程造价管理机构发布的人工、材料、机械台班综合单价（若南雄市未发布信息则依次参照广东省韶关市、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704A3CD4">
      <w:pPr>
        <w:pStyle w:val="3"/>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64" w:name="_Toc3958"/>
      <w:bookmarkStart w:id="365" w:name="_Toc30405"/>
      <w:bookmarkStart w:id="366" w:name="_Toc13437"/>
      <w:bookmarkStart w:id="367" w:name="_Toc6675"/>
      <w:bookmarkStart w:id="368" w:name="_Toc755"/>
      <w:bookmarkStart w:id="369" w:name="_Toc2286"/>
      <w:bookmarkStart w:id="370" w:name="_Toc11307"/>
      <w:bookmarkStart w:id="371" w:name="_Toc25565"/>
      <w:bookmarkStart w:id="372" w:name="_Toc466640604"/>
      <w:bookmarkStart w:id="373" w:name="_Toc28537"/>
      <w:bookmarkStart w:id="374" w:name="_Toc11426"/>
      <w:bookmarkStart w:id="375" w:name="_Hlt87948447"/>
      <w:bookmarkStart w:id="376" w:name="_Hlt87948449"/>
      <w:r>
        <w:rPr>
          <w:rFonts w:hint="eastAsia" w:ascii="宋体" w:hAnsi="宋体" w:eastAsia="宋体" w:cs="宋体"/>
          <w:b/>
          <w:color w:val="auto"/>
          <w:kern w:val="2"/>
          <w:szCs w:val="24"/>
          <w:highlight w:val="none"/>
        </w:rPr>
        <w:t>3 工程结算原则</w:t>
      </w:r>
      <w:bookmarkEnd w:id="364"/>
      <w:bookmarkEnd w:id="365"/>
      <w:bookmarkEnd w:id="366"/>
      <w:bookmarkEnd w:id="367"/>
      <w:bookmarkEnd w:id="368"/>
      <w:bookmarkEnd w:id="369"/>
      <w:bookmarkEnd w:id="370"/>
      <w:bookmarkEnd w:id="371"/>
      <w:bookmarkEnd w:id="372"/>
      <w:bookmarkEnd w:id="373"/>
      <w:bookmarkEnd w:id="374"/>
    </w:p>
    <w:p w14:paraId="51B9C3FD">
      <w:pPr>
        <w:pageBreakBefore w:val="0"/>
        <w:kinsoku/>
        <w:overflowPunct/>
        <w:topLinePunct w:val="0"/>
        <w:bidi w:val="0"/>
        <w:spacing w:line="440" w:lineRule="exact"/>
        <w:ind w:firstLine="480" w:firstLineChars="200"/>
        <w:jc w:val="left"/>
        <w:textAlignment w:val="auto"/>
        <w:rPr>
          <w:rFonts w:asciiTheme="minorEastAsia" w:hAnsiTheme="minorEastAsia" w:eastAsiaTheme="minorEastAsia" w:cstheme="minorEastAsia"/>
          <w:color w:val="auto"/>
          <w:kern w:val="1"/>
          <w:szCs w:val="24"/>
          <w:highlight w:val="none"/>
        </w:rPr>
      </w:pPr>
      <w:r>
        <w:rPr>
          <w:rFonts w:hint="eastAsia" w:ascii="宋体" w:hAnsi="宋体" w:eastAsia="宋体" w:cs="宋体"/>
          <w:color w:val="auto"/>
          <w:szCs w:val="24"/>
          <w:highlight w:val="none"/>
        </w:rPr>
        <w:t>3.1设计费结算原则：</w:t>
      </w:r>
      <w:r>
        <w:rPr>
          <w:rFonts w:asciiTheme="minorEastAsia" w:hAnsiTheme="minorEastAsia" w:eastAsiaTheme="minorEastAsia" w:cstheme="minorEastAsia"/>
          <w:color w:val="auto"/>
          <w:szCs w:val="24"/>
          <w:highlight w:val="none"/>
        </w:rPr>
        <w:t>设计费按中标价包干，结算时不作任何调整</w:t>
      </w:r>
      <w:r>
        <w:rPr>
          <w:rFonts w:asciiTheme="minorEastAsia" w:hAnsiTheme="minorEastAsia" w:eastAsiaTheme="minorEastAsia" w:cstheme="minorEastAsia"/>
          <w:color w:val="auto"/>
          <w:kern w:val="1"/>
          <w:szCs w:val="24"/>
          <w:highlight w:val="none"/>
        </w:rPr>
        <w:t>。</w:t>
      </w:r>
    </w:p>
    <w:p w14:paraId="7DA4F1A9">
      <w:pPr>
        <w:pageBreakBefore w:val="0"/>
        <w:kinsoku/>
        <w:overflowPunct/>
        <w:topLinePunct w:val="0"/>
        <w:bidi w:val="0"/>
        <w:spacing w:line="440" w:lineRule="exact"/>
        <w:ind w:firstLine="480" w:firstLineChars="200"/>
        <w:jc w:val="lef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3.2工程费用结算基准价的确定：以第2</w:t>
      </w:r>
      <w:r>
        <w:rPr>
          <w:rFonts w:hint="eastAsia" w:ascii="宋体" w:hAnsi="宋体" w:eastAsia="宋体" w:cs="宋体"/>
          <w:b/>
          <w:color w:val="auto"/>
          <w:highlight w:val="none"/>
        </w:rPr>
        <w:t>～</w:t>
      </w:r>
      <w:r>
        <w:rPr>
          <w:rFonts w:hint="eastAsia" w:ascii="宋体" w:hAnsi="宋体" w:eastAsia="宋体" w:cs="宋体"/>
          <w:color w:val="auto"/>
          <w:szCs w:val="24"/>
          <w:highlight w:val="none"/>
        </w:rPr>
        <w:t>2条工程预算价编制原则编制的经审核后的预算价乘以（1－承包人中标下浮率）作为此工程项目的建安工程结算基准价（不含预备费）。</w:t>
      </w:r>
    </w:p>
    <w:p w14:paraId="6B886677">
      <w:pPr>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3.3</w:t>
      </w:r>
      <w:r>
        <w:rPr>
          <w:rFonts w:hint="eastAsia" w:ascii="宋体" w:hAnsi="宋体" w:eastAsia="宋体" w:cs="宋体"/>
          <w:color w:val="auto"/>
          <w:szCs w:val="24"/>
          <w:highlight w:val="none"/>
        </w:rPr>
        <w:t>工程</w:t>
      </w:r>
      <w:r>
        <w:rPr>
          <w:rFonts w:hint="eastAsia" w:ascii="宋体" w:hAnsi="宋体" w:eastAsia="宋体" w:cs="宋体"/>
          <w:color w:val="auto"/>
          <w:kern w:val="0"/>
          <w:szCs w:val="24"/>
          <w:highlight w:val="none"/>
        </w:rPr>
        <w:t>费用结算原则：发包人在不增减建设规模的情况下，结算价即为</w:t>
      </w:r>
      <w:r>
        <w:rPr>
          <w:rFonts w:hint="eastAsia" w:ascii="宋体" w:hAnsi="宋体" w:eastAsia="宋体" w:cs="宋体"/>
          <w:color w:val="auto"/>
          <w:szCs w:val="24"/>
          <w:highlight w:val="none"/>
        </w:rPr>
        <w:t>结算基准价</w:t>
      </w:r>
      <w:r>
        <w:rPr>
          <w:rFonts w:hint="eastAsia" w:ascii="宋体" w:hAnsi="宋体" w:eastAsia="宋体" w:cs="宋体"/>
          <w:color w:val="auto"/>
          <w:kern w:val="0"/>
          <w:szCs w:val="24"/>
          <w:highlight w:val="none"/>
        </w:rPr>
        <w:t>，但下列情形除外：</w:t>
      </w:r>
    </w:p>
    <w:p w14:paraId="14E3CF9C">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3.3.1 国家政策性人工价差调整：</w:t>
      </w:r>
      <w:r>
        <w:rPr>
          <w:rFonts w:hint="eastAsia" w:ascii="宋体" w:hAnsi="宋体" w:eastAsia="宋体" w:cs="宋体"/>
          <w:color w:val="auto"/>
          <w:kern w:val="0"/>
          <w:szCs w:val="24"/>
          <w:highlight w:val="none"/>
        </w:rPr>
        <w:t>调整方式按省、市有关规定调整。</w:t>
      </w:r>
    </w:p>
    <w:p w14:paraId="550FF623">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3.3.2 当后继相关法律、法规、规章和政策引起安全文明施工费发生变化时，应当按照省建设行政主管部门或省、韶关市、南雄市工程造价管理机构据此发布的规定调整；</w:t>
      </w:r>
    </w:p>
    <w:p w14:paraId="03CCE05B">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3.3.3 当后继相关法律、法规、规章和政策引起规费、税金等发生变化时，应当按照省政府或省、韶关市、南雄市有关主管部门据此发布的规定调整；</w:t>
      </w:r>
    </w:p>
    <w:p w14:paraId="7C1CD2E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宋体" w:hAnsi="宋体" w:eastAsia="宋体" w:cs="宋体"/>
          <w:color w:val="auto"/>
          <w:kern w:val="0"/>
          <w:szCs w:val="24"/>
          <w:highlight w:val="none"/>
        </w:rPr>
        <w:t>人工费</w:t>
      </w:r>
      <w:r>
        <w:rPr>
          <w:rFonts w:hint="eastAsia" w:ascii="宋体" w:hAnsi="宋体" w:eastAsia="宋体" w:cs="宋体"/>
          <w:color w:val="auto"/>
          <w:szCs w:val="24"/>
          <w:highlight w:val="none"/>
        </w:rPr>
        <w:t>根据国家政策按实调整；机械费浮动超过±10%，双方同意调整10％以外部分价差。其工、料、机消耗量以发包人确认的</w:t>
      </w:r>
      <w:r>
        <w:rPr>
          <w:rFonts w:hint="eastAsia" w:ascii="宋体" w:hAnsi="宋体" w:eastAsia="宋体" w:cs="宋体"/>
          <w:color w:val="auto"/>
          <w:kern w:val="0"/>
          <w:szCs w:val="24"/>
          <w:highlight w:val="none"/>
        </w:rPr>
        <w:t>施工图工程量清单预算</w:t>
      </w:r>
      <w:r>
        <w:rPr>
          <w:rFonts w:hint="eastAsia" w:ascii="宋体" w:hAnsi="宋体" w:eastAsia="宋体" w:cs="宋体"/>
          <w:color w:val="auto"/>
          <w:szCs w:val="24"/>
          <w:highlight w:val="none"/>
        </w:rPr>
        <w:t>及进度中的消耗量为准。</w:t>
      </w:r>
    </w:p>
    <w:p w14:paraId="39DFCCCA">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kern w:val="0"/>
          <w:szCs w:val="24"/>
          <w:highlight w:val="none"/>
          <w:u w:val="single"/>
        </w:rPr>
      </w:pPr>
      <w:r>
        <w:rPr>
          <w:rFonts w:hint="eastAsia" w:ascii="宋体" w:hAnsi="宋体" w:eastAsia="宋体" w:cs="宋体"/>
          <w:b/>
          <w:bCs/>
          <w:color w:val="auto"/>
          <w:kern w:val="0"/>
          <w:szCs w:val="24"/>
          <w:highlight w:val="none"/>
          <w:u w:val="single"/>
        </w:rPr>
        <w:t>注：人工费、材料单价、机械台班的价差调整基数是以施工当季《南雄建筑工程造价信息》</w:t>
      </w:r>
      <w:r>
        <w:rPr>
          <w:rFonts w:hint="eastAsia" w:ascii="宋体" w:hAnsi="宋体" w:eastAsia="宋体" w:cs="宋体"/>
          <w:b/>
          <w:bCs/>
          <w:color w:val="auto"/>
          <w:szCs w:val="24"/>
          <w:highlight w:val="none"/>
          <w:u w:val="single"/>
        </w:rPr>
        <w:t>（如信息价没有时参考施工当月&lt;韶关建筑工程造价信息&gt;）</w:t>
      </w:r>
      <w:r>
        <w:rPr>
          <w:rFonts w:hint="eastAsia" w:ascii="宋体" w:hAnsi="宋体" w:eastAsia="宋体" w:cs="宋体"/>
          <w:b/>
          <w:bCs/>
          <w:color w:val="auto"/>
          <w:kern w:val="0"/>
          <w:szCs w:val="24"/>
          <w:highlight w:val="none"/>
          <w:u w:val="single"/>
        </w:rPr>
        <w:t>公布的信息价（包括人工费、材料单价、机械台班）为F1与编制施工图工程量清单预算当季</w:t>
      </w:r>
      <w:r>
        <w:rPr>
          <w:rFonts w:hint="eastAsia" w:ascii="宋体" w:hAnsi="宋体" w:eastAsia="宋体" w:cs="宋体"/>
          <w:b/>
          <w:color w:val="auto"/>
          <w:kern w:val="0"/>
          <w:szCs w:val="24"/>
          <w:highlight w:val="none"/>
          <w:u w:val="single"/>
        </w:rPr>
        <w:t>（招标文件所规定的设计预算编制工期内）</w:t>
      </w:r>
      <w:r>
        <w:rPr>
          <w:rFonts w:hint="eastAsia" w:ascii="宋体" w:hAnsi="宋体" w:eastAsia="宋体" w:cs="宋体"/>
          <w:b/>
          <w:bCs/>
          <w:color w:val="auto"/>
          <w:kern w:val="0"/>
          <w:szCs w:val="24"/>
          <w:highlight w:val="none"/>
          <w:u w:val="single"/>
        </w:rPr>
        <w:t>《南雄建筑工程造价信息》</w:t>
      </w:r>
      <w:r>
        <w:rPr>
          <w:rFonts w:hint="eastAsia" w:ascii="宋体" w:hAnsi="宋体" w:eastAsia="宋体" w:cs="宋体"/>
          <w:b/>
          <w:bCs/>
          <w:color w:val="auto"/>
          <w:szCs w:val="24"/>
          <w:highlight w:val="none"/>
          <w:u w:val="single"/>
        </w:rPr>
        <w:t>（如信息价没有时参考预算编制当月</w:t>
      </w:r>
      <w:r>
        <w:rPr>
          <w:rFonts w:hint="eastAsia" w:ascii="宋体" w:hAnsi="宋体" w:eastAsia="宋体" w:cs="宋体"/>
          <w:b/>
          <w:color w:val="auto"/>
          <w:kern w:val="0"/>
          <w:szCs w:val="24"/>
          <w:highlight w:val="none"/>
          <w:u w:val="single"/>
        </w:rPr>
        <w:t>（招标文件所规定的设计预算编制工期内）</w:t>
      </w:r>
      <w:r>
        <w:rPr>
          <w:rFonts w:hint="eastAsia" w:ascii="宋体" w:hAnsi="宋体" w:eastAsia="宋体" w:cs="宋体"/>
          <w:b/>
          <w:bCs/>
          <w:color w:val="auto"/>
          <w:szCs w:val="24"/>
          <w:highlight w:val="none"/>
          <w:u w:val="single"/>
        </w:rPr>
        <w:t>&lt;韶关建筑工程造价信息&gt;）</w:t>
      </w:r>
      <w:r>
        <w:rPr>
          <w:rFonts w:hint="eastAsia" w:ascii="宋体" w:hAnsi="宋体" w:eastAsia="宋体" w:cs="宋体"/>
          <w:b/>
          <w:bCs/>
          <w:color w:val="auto"/>
          <w:kern w:val="0"/>
          <w:szCs w:val="24"/>
          <w:highlight w:val="none"/>
          <w:u w:val="single"/>
        </w:rPr>
        <w:t>公布的信息价（包括人工费、材料单价、机械台班）F0比较。</w:t>
      </w:r>
    </w:p>
    <w:p w14:paraId="100E5D6F">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1）人工费调整方式：按省、市有关规定调整。</w:t>
      </w:r>
    </w:p>
    <w:p w14:paraId="2328F333">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2）材料补差方式：</w:t>
      </w:r>
    </w:p>
    <w:p w14:paraId="143DD0DA">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3F34D7CB">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当材料涨价时，材料补差= F0×（A-5%），当材料跌价时，材料补差= F0×（A+5%），材料补差只计算相应的规费和税金。</w:t>
      </w:r>
    </w:p>
    <w:p w14:paraId="009124F1">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3）施工机械使用费补差方式：</w:t>
      </w:r>
    </w:p>
    <w:p w14:paraId="12A13C22">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34417A62">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当施工机械台班费涨价时，机械台班补差= F0×（A-10%），当施工机械台班费跌价时，机械台班补差= F0×（A+10%）， 施工机械使用费补差只计算相应的规费和税金。</w:t>
      </w:r>
    </w:p>
    <w:p w14:paraId="7435469B">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4）若项目规模、建设标准等发生变化，因变化而发生的措施项目费结算时进行相应增减。</w:t>
      </w:r>
    </w:p>
    <w:p w14:paraId="78776976">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施工合同履行期间，由于非承包人原因导致工程变更的，发、承包双方应当按照2024版清单计价计算标准和省的有关规定，依据实际变更项目调整工程价款。工程变更引起工程量发生变化，出现本合同价款调整方式第3.3.5款情形的，应当按照其规定调整；其他情形的，按照以下规定调整：</w:t>
      </w:r>
    </w:p>
    <w:p w14:paraId="40FDAB36">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①结算基准价中有适用于变更工程项目的，按照该项目的单价或合价调整；</w:t>
      </w:r>
    </w:p>
    <w:p w14:paraId="4783BA43">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②结算基准价中没有适用、只有类似于变更工程项目的，可在合理范围内参照类似项目的单价或合价调整；</w:t>
      </w:r>
    </w:p>
    <w:p w14:paraId="5C348F38">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6CC0D034">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50B3AF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0920FB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 xml:space="preserve">    6）建设工程完工后，发、承包双方和受其委托具有相应资质的工程造价咨询企业必须按照2024版清单计价计算标准和省的有关规定办理竣工结算。</w:t>
      </w:r>
    </w:p>
    <w:p w14:paraId="6F4D31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3.3.5 工程造价调整项目若是结算基准价中没有的项目，其造价调整如下：</w:t>
      </w:r>
    </w:p>
    <w:p w14:paraId="1D0D6B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按</w:t>
      </w:r>
      <w:r>
        <w:rPr>
          <w:rFonts w:hint="eastAsia" w:ascii="宋体" w:hAnsi="宋体" w:eastAsia="宋体" w:cs="宋体"/>
          <w:color w:val="auto"/>
          <w:sz w:val="24"/>
          <w:szCs w:val="24"/>
          <w:highlight w:val="none"/>
        </w:rPr>
        <w:t>（1）2024版清单计价计算标准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Cs w:val="24"/>
          <w:highlight w:val="none"/>
        </w:rPr>
        <w:t>（2）2018年广东省建设工程计价依据（包括2018年《广东省市政工程综合定额》、2018年《广东省房屋建筑与装饰工程综合定额》、2018年《广东省通用安装工程综合定额》、2018年《广东省园林绿化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2018年《广东省建设工程施工机具台班费用编制规则》）</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63E67A5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清单项目如只单独调整人工、材料、机械台班价差的，其人工、材料、机械台班消耗量均以审定施工图预算中的该清单项目的人工、材料、机械台班消耗量为准。</w:t>
      </w:r>
    </w:p>
    <w:p w14:paraId="35004B4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rPr>
        <w:t>中标人</w:t>
      </w:r>
      <w:r>
        <w:rPr>
          <w:rFonts w:hint="eastAsia" w:ascii="宋体" w:hAnsi="宋体" w:eastAsia="宋体" w:cs="宋体"/>
          <w:color w:val="auto"/>
          <w:szCs w:val="24"/>
          <w:highlight w:val="none"/>
        </w:rPr>
        <w:t>不得以不完全了解现场情况为理由，提出额外付款或延长工期等要求。对此类要求，</w:t>
      </w:r>
      <w:r>
        <w:rPr>
          <w:rFonts w:hint="eastAsia" w:ascii="宋体" w:hAnsi="宋体" w:eastAsia="宋体" w:cs="宋体"/>
          <w:color w:val="auto"/>
          <w:sz w:val="24"/>
          <w:szCs w:val="24"/>
          <w:highlight w:val="none"/>
        </w:rPr>
        <w:t>招标人</w:t>
      </w:r>
      <w:r>
        <w:rPr>
          <w:rFonts w:hint="eastAsia" w:ascii="宋体" w:hAnsi="宋体" w:eastAsia="宋体" w:cs="宋体"/>
          <w:color w:val="auto"/>
          <w:szCs w:val="24"/>
          <w:highlight w:val="none"/>
        </w:rPr>
        <w:t>不作任何考虑及答复。</w:t>
      </w:r>
    </w:p>
    <w:p w14:paraId="2276330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合同履行期间，由于设计人原因导致发生设计变更或现场签证的，由此增加的工程造价费用，由承包人自行承担，发包人不予以考虑和补偿，同时按相关违约条款处罚。</w:t>
      </w:r>
    </w:p>
    <w:p w14:paraId="5CD482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    3.4 如发包人减少建设规模，则</w:t>
      </w:r>
      <w:r>
        <w:rPr>
          <w:rFonts w:hint="eastAsia" w:ascii="宋体" w:hAnsi="宋体" w:eastAsia="宋体" w:cs="宋体"/>
          <w:color w:val="auto"/>
          <w:szCs w:val="24"/>
          <w:highlight w:val="none"/>
        </w:rPr>
        <w:t>根据</w:t>
      </w:r>
      <w:r>
        <w:rPr>
          <w:rFonts w:hint="eastAsia" w:ascii="宋体" w:hAnsi="宋体" w:eastAsia="宋体" w:cs="宋体"/>
          <w:color w:val="auto"/>
          <w:kern w:val="0"/>
          <w:szCs w:val="24"/>
          <w:highlight w:val="none"/>
        </w:rPr>
        <w:t>经发包人确认的预算书</w:t>
      </w:r>
      <w:r>
        <w:rPr>
          <w:rFonts w:hint="eastAsia" w:ascii="宋体" w:hAnsi="宋体" w:eastAsia="宋体" w:cs="宋体"/>
          <w:color w:val="auto"/>
          <w:szCs w:val="24"/>
          <w:highlight w:val="none"/>
        </w:rPr>
        <w:t>扣减减少</w:t>
      </w:r>
      <w:r>
        <w:rPr>
          <w:rFonts w:hint="eastAsia" w:ascii="宋体" w:hAnsi="宋体" w:eastAsia="宋体" w:cs="宋体"/>
          <w:color w:val="auto"/>
          <w:kern w:val="0"/>
          <w:szCs w:val="24"/>
          <w:highlight w:val="none"/>
        </w:rPr>
        <w:t xml:space="preserve">部分工程造价。 </w:t>
      </w:r>
    </w:p>
    <w:p w14:paraId="3FA6B2F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 xml:space="preserve">    3.5 预备费：</w:t>
      </w:r>
      <w:r>
        <w:rPr>
          <w:rFonts w:hint="eastAsia" w:ascii="宋体" w:hAnsi="宋体" w:eastAsia="宋体" w:cs="宋体"/>
          <w:b/>
          <w:color w:val="auto"/>
          <w:szCs w:val="24"/>
          <w:highlight w:val="none"/>
        </w:rPr>
        <w:t>由发包人掌握使用，不发生时不计入结算总价。使用范围用于以下情形：</w:t>
      </w:r>
    </w:p>
    <w:p w14:paraId="5E59243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宋体" w:hAnsi="宋体" w:eastAsia="宋体" w:cs="宋体"/>
          <w:b/>
          <w:color w:val="auto"/>
          <w:szCs w:val="24"/>
          <w:highlight w:val="none"/>
        </w:rPr>
        <w:t>不发生时不计入结算总价</w:t>
      </w:r>
      <w:r>
        <w:rPr>
          <w:rFonts w:hint="eastAsia" w:ascii="宋体" w:hAnsi="宋体" w:eastAsia="宋体" w:cs="宋体"/>
          <w:color w:val="auto"/>
          <w:szCs w:val="24"/>
          <w:highlight w:val="none"/>
        </w:rPr>
        <w:t>。</w:t>
      </w:r>
    </w:p>
    <w:p w14:paraId="7E0F2A80">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（2）国家政策变化导致的调整。</w:t>
      </w:r>
    </w:p>
    <w:p w14:paraId="41BB4C37">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（3）施工期间市场物价涨落，引起工程所在地工程造价管理机构发布的价格信息中材料价格变化，主要建筑材料（具体参照第3.3.4条款）价格浮动超过+5%的。</w:t>
      </w:r>
    </w:p>
    <w:p w14:paraId="21FCDDA9">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（4）施工合同签订时尚未确定或者不可预见的所需材料、设备、服务的采购。结算时按实际发生根据本招标文件的工程结算原则第3.3.5款进行结算。</w:t>
      </w:r>
    </w:p>
    <w:p w14:paraId="51DB7198">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（5）因不可预见的原因施工局部调整或施工技术工艺调整或应急工作需要发生的工程量。</w:t>
      </w:r>
    </w:p>
    <w:p w14:paraId="5A03829E">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（6）土石方工程等相应的投资概算范围之外的及因地质情况引起的基础变更的工程价款调整：其工程量按实调整，结算时按实际施工工作量及招标文件、合同约定进行结算。</w:t>
      </w:r>
    </w:p>
    <w:p w14:paraId="16FC76EB">
      <w:pPr>
        <w:pageBreakBefore w:val="0"/>
        <w:kinsoku/>
        <w:overflowPunct/>
        <w:topLinePunct w:val="0"/>
        <w:bidi w:val="0"/>
        <w:spacing w:line="440" w:lineRule="exact"/>
        <w:ind w:firstLine="48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3.6 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相关规定</w:t>
      </w:r>
      <w:r>
        <w:rPr>
          <w:rFonts w:hint="eastAsia" w:ascii="宋体" w:hAnsi="宋体" w:eastAsia="宋体" w:cs="宋体"/>
          <w:b/>
          <w:bCs/>
          <w:color w:val="auto"/>
          <w:szCs w:val="24"/>
          <w:highlight w:val="none"/>
          <w:lang w:eastAsia="zh-CN"/>
        </w:rPr>
        <w:t>。</w:t>
      </w:r>
    </w:p>
    <w:p w14:paraId="41B4A626">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3.7本工程结算不另行计取高温补贴费用、预算编制费、专业分包总包服务及配合费、设计优化及修改增加的费用。</w:t>
      </w:r>
    </w:p>
    <w:p w14:paraId="700C78C8">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3.8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14:paraId="0A073E11">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3.9 因本项目为</w:t>
      </w:r>
      <w:r>
        <w:rPr>
          <w:rFonts w:hint="eastAsia" w:hAnsi="宋体" w:eastAsia="宋体" w:cs="宋体"/>
          <w:color w:val="auto"/>
          <w:szCs w:val="24"/>
          <w:highlight w:val="none"/>
          <w:lang w:val="en-US" w:eastAsia="zh-CN"/>
        </w:rPr>
        <w:t>EPC</w:t>
      </w:r>
      <w:r>
        <w:rPr>
          <w:rFonts w:hint="eastAsia" w:ascii="宋体" w:hAnsi="宋体" w:eastAsia="宋体" w:cs="宋体"/>
          <w:color w:val="auto"/>
          <w:szCs w:val="24"/>
          <w:highlight w:val="none"/>
        </w:rPr>
        <w:t>总承包，如果设计图纸、施工图预算由于设计深度原因导致的设计变更，不另行增加费用。</w:t>
      </w:r>
    </w:p>
    <w:p w14:paraId="2566481D">
      <w:pPr>
        <w:rPr>
          <w:rFonts w:hint="eastAsia"/>
          <w:lang w:val="en-US" w:eastAsia="zh-CN"/>
        </w:rPr>
      </w:pPr>
    </w:p>
    <w:bookmarkEnd w:id="375"/>
    <w:bookmarkEnd w:id="376"/>
    <w:p w14:paraId="7C9A9B47">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77" w:name="_Hlt112206782"/>
      <w:bookmarkEnd w:id="377"/>
      <w:bookmarkStart w:id="378" w:name="_Toc322793290"/>
      <w:bookmarkStart w:id="379" w:name="_Toc16793"/>
      <w:bookmarkStart w:id="380" w:name="_Toc24211"/>
      <w:bookmarkStart w:id="381" w:name="_Toc2973"/>
      <w:bookmarkStart w:id="382" w:name="_Toc20983"/>
      <w:bookmarkStart w:id="383" w:name="_Toc15300"/>
      <w:bookmarkStart w:id="384" w:name="_Toc29998"/>
      <w:bookmarkStart w:id="385" w:name="_Toc326916631"/>
      <w:bookmarkStart w:id="386" w:name="_Toc17697"/>
      <w:bookmarkStart w:id="387" w:name="_Toc23408"/>
      <w:bookmarkStart w:id="388" w:name="_Toc30894"/>
      <w:bookmarkStart w:id="389" w:name="_Toc11208"/>
      <w:bookmarkStart w:id="390" w:name="_Hlt87951777"/>
      <w:r>
        <w:rPr>
          <w:rFonts w:hint="eastAsia" w:ascii="宋体" w:hAnsi="宋体" w:eastAsia="宋体" w:cs="宋体"/>
          <w:b/>
          <w:color w:val="auto"/>
          <w:kern w:val="2"/>
          <w:szCs w:val="24"/>
          <w:highlight w:val="none"/>
        </w:rPr>
        <w:t>4 工程付款办法</w:t>
      </w:r>
      <w:bookmarkEnd w:id="378"/>
      <w:bookmarkEnd w:id="379"/>
      <w:bookmarkEnd w:id="380"/>
      <w:bookmarkEnd w:id="381"/>
      <w:bookmarkEnd w:id="382"/>
      <w:bookmarkEnd w:id="383"/>
      <w:bookmarkEnd w:id="384"/>
      <w:bookmarkEnd w:id="385"/>
      <w:bookmarkEnd w:id="386"/>
      <w:bookmarkEnd w:id="387"/>
      <w:bookmarkEnd w:id="388"/>
      <w:bookmarkEnd w:id="389"/>
    </w:p>
    <w:bookmarkEnd w:id="390"/>
    <w:p w14:paraId="0BCE9911">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2"/>
          <w:highlight w:val="none"/>
        </w:rPr>
      </w:pPr>
      <w:bookmarkStart w:id="391" w:name="_Hlt70150985"/>
      <w:bookmarkEnd w:id="391"/>
      <w:bookmarkStart w:id="392" w:name="_Hlt66591689"/>
      <w:bookmarkEnd w:id="392"/>
      <w:bookmarkStart w:id="393" w:name="_Hlt66593437"/>
      <w:bookmarkEnd w:id="393"/>
      <w:bookmarkStart w:id="394" w:name="_Hlt69114106"/>
      <w:bookmarkEnd w:id="394"/>
      <w:bookmarkStart w:id="395" w:name="_Hlt88976467"/>
      <w:bookmarkEnd w:id="395"/>
      <w:bookmarkStart w:id="396" w:name="_Hlt66608388"/>
      <w:bookmarkEnd w:id="396"/>
      <w:bookmarkStart w:id="397" w:name="_Hlt69700007"/>
      <w:bookmarkEnd w:id="397"/>
      <w:bookmarkStart w:id="398" w:name="_Hlt69669774"/>
      <w:bookmarkEnd w:id="398"/>
      <w:r>
        <w:rPr>
          <w:rFonts w:hint="eastAsia" w:ascii="宋体" w:hAnsi="宋体" w:eastAsia="宋体" w:cs="宋体"/>
          <w:b/>
          <w:bCs/>
          <w:color w:val="auto"/>
          <w:szCs w:val="22"/>
          <w:highlight w:val="none"/>
        </w:rPr>
        <w:t>4.1</w:t>
      </w:r>
      <w:r>
        <w:rPr>
          <w:rFonts w:hint="eastAsia" w:ascii="宋体" w:hAnsi="宋体" w:eastAsia="宋体" w:cs="宋体"/>
          <w:b/>
          <w:bCs/>
          <w:color w:val="auto"/>
          <w:szCs w:val="21"/>
          <w:highlight w:val="none"/>
        </w:rPr>
        <w:t>设计费的支付</w:t>
      </w:r>
      <w:r>
        <w:rPr>
          <w:rFonts w:hint="eastAsia" w:ascii="宋体" w:hAnsi="宋体" w:eastAsia="宋体" w:cs="宋体"/>
          <w:color w:val="auto"/>
          <w:szCs w:val="22"/>
          <w:highlight w:val="none"/>
        </w:rPr>
        <w:t>：</w:t>
      </w:r>
    </w:p>
    <w:p w14:paraId="47C2E34C">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4.1.1完成本项目工程施工图设计并提交符合要求的完整送审施工图设计文件后，相关请款资料经南雄市财政局审批后10个工作日内，支付至设计费合同价款的30%。</w:t>
      </w:r>
    </w:p>
    <w:p w14:paraId="0A892160">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4.1.2本项目工程施工图设计经发包人委托具有资质的第三方审图机构审查合格并提交合格的完整施工图设计成果文件后，相关请款资料经南雄市财政局审批后10个工作日内，支付至设计费合同价款的50%。</w:t>
      </w:r>
    </w:p>
    <w:p w14:paraId="4BC9251A">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4.1.3完成本项目工程施工图预算并经南雄市财政局投资评审中心审定后，相关请款资料经南雄市财政局审批后10个工作日内，支付至设计费合同价款的70%。</w:t>
      </w:r>
    </w:p>
    <w:p w14:paraId="2784A8A0">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4.1.4工程竣工验收合格后，相关请款资料经南雄市财政局审批后10个工作日内支付剩余的设计费余额。</w:t>
      </w:r>
    </w:p>
    <w:p w14:paraId="1DDAF391">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hAnsi="宋体" w:cs="宋体"/>
          <w:color w:val="auto"/>
          <w:highlight w:val="none"/>
          <w:lang w:val="en-US" w:eastAsia="zh-CN"/>
        </w:rPr>
        <w:t>4.1.5</w:t>
      </w:r>
      <w:r>
        <w:rPr>
          <w:rFonts w:hint="eastAsia" w:ascii="宋体" w:hAnsi="宋体" w:eastAsia="宋体" w:cs="宋体"/>
          <w:color w:val="auto"/>
          <w:highlight w:val="none"/>
        </w:rPr>
        <w:t>本项目为政府全额投资，所有支付手续经发包人审批后，还须报政府财政部门审批完毕方可支付，如经发包人审批后已及时履行了向财政部门申报审批手续，则发包人不支付延期付</w:t>
      </w:r>
      <w:r>
        <w:rPr>
          <w:rFonts w:hint="eastAsia" w:ascii="宋体" w:hAnsi="宋体" w:eastAsia="宋体" w:cs="宋体"/>
          <w:color w:val="auto"/>
          <w:szCs w:val="22"/>
          <w:highlight w:val="none"/>
        </w:rPr>
        <w:t>款的利息，承包人也不得因政府财政部门履行审批程序所造成的延期付款而暂停施工和相关服务。</w:t>
      </w:r>
    </w:p>
    <w:p w14:paraId="0753AA66">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t xml:space="preserve">4.2 </w:t>
      </w:r>
      <w:r>
        <w:rPr>
          <w:rFonts w:hint="eastAsia" w:ascii="宋体" w:hAnsi="宋体" w:eastAsia="宋体" w:cs="宋体"/>
          <w:b/>
          <w:bCs/>
          <w:color w:val="auto"/>
          <w:szCs w:val="21"/>
          <w:highlight w:val="none"/>
        </w:rPr>
        <w:t>建安工程款的支付</w:t>
      </w:r>
      <w:r>
        <w:rPr>
          <w:rFonts w:hint="eastAsia" w:ascii="宋体" w:hAnsi="宋体" w:eastAsia="宋体" w:cs="宋体"/>
          <w:color w:val="auto"/>
          <w:szCs w:val="22"/>
          <w:highlight w:val="none"/>
        </w:rPr>
        <w:t>：</w:t>
      </w:r>
    </w:p>
    <w:p w14:paraId="0CE6A2FF">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4.2.1 本工程</w:t>
      </w:r>
      <w:r>
        <w:rPr>
          <w:rFonts w:hint="eastAsia" w:ascii="宋体" w:hAnsi="宋体" w:eastAsia="宋体" w:cs="宋体"/>
          <w:color w:val="auto"/>
          <w:highlight w:val="none"/>
          <w:u w:val="single"/>
        </w:rPr>
        <w:t>支付</w:t>
      </w:r>
      <w:r>
        <w:rPr>
          <w:rFonts w:hint="eastAsia" w:ascii="宋体" w:hAnsi="宋体" w:eastAsia="宋体" w:cs="宋体"/>
          <w:color w:val="auto"/>
          <w:highlight w:val="none"/>
        </w:rPr>
        <w:t>施工预付款。</w:t>
      </w:r>
    </w:p>
    <w:p w14:paraId="3F90F08D">
      <w:pPr>
        <w:pStyle w:val="37"/>
        <w:pageBreakBefore w:val="0"/>
        <w:kinsoku/>
        <w:overflowPunct/>
        <w:topLinePunct w:val="0"/>
        <w:bidi w:val="0"/>
        <w:spacing w:line="440" w:lineRule="exact"/>
        <w:ind w:firstLine="480"/>
        <w:textAlignment w:val="auto"/>
        <w:rPr>
          <w:rFonts w:hint="eastAsia" w:ascii="宋体" w:hAnsi="宋体" w:eastAsia="宋体" w:cs="宋体"/>
          <w:i/>
          <w:snapToGrid w:val="0"/>
          <w:color w:val="auto"/>
          <w:kern w:val="0"/>
          <w:highlight w:val="none"/>
        </w:rPr>
      </w:pPr>
      <w:r>
        <w:rPr>
          <w:rFonts w:hint="eastAsia" w:ascii="宋体" w:hAnsi="宋体" w:eastAsia="宋体" w:cs="宋体"/>
          <w:color w:val="auto"/>
          <w:highlight w:val="none"/>
        </w:rPr>
        <w:t xml:space="preserve">4.2.2 </w:t>
      </w:r>
      <w:r>
        <w:rPr>
          <w:rFonts w:hint="eastAsia" w:ascii="宋体" w:hAnsi="宋体" w:eastAsia="宋体" w:cs="宋体"/>
          <w:snapToGrid w:val="0"/>
          <w:color w:val="auto"/>
          <w:kern w:val="0"/>
          <w:highlight w:val="none"/>
        </w:rPr>
        <w:t>施工预付款必须专用于合同工程，并按以下原则支付和抵扣：</w:t>
      </w:r>
    </w:p>
    <w:p w14:paraId="12B21D29">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 施工预付款支付比例为：按施工合同价（预备费除外）的</w:t>
      </w:r>
      <w:r>
        <w:rPr>
          <w:rFonts w:hint="eastAsia" w:ascii="宋体" w:hAnsi="宋体" w:eastAsia="宋体" w:cs="宋体"/>
          <w:snapToGrid w:val="0"/>
          <w:color w:val="auto"/>
          <w:kern w:val="0"/>
          <w:szCs w:val="24"/>
          <w:highlight w:val="none"/>
          <w:u w:val="single"/>
        </w:rPr>
        <w:t>30%</w:t>
      </w:r>
      <w:r>
        <w:rPr>
          <w:rFonts w:hint="eastAsia" w:ascii="宋体" w:hAnsi="宋体" w:eastAsia="宋体" w:cs="宋体"/>
          <w:snapToGrid w:val="0"/>
          <w:color w:val="auto"/>
          <w:kern w:val="0"/>
          <w:szCs w:val="24"/>
          <w:highlight w:val="none"/>
        </w:rPr>
        <w:t>支付，施工预付款中包含工人工资预付款，其中工人工资预付款比例为施工合同价（预备费除外）的1%。</w:t>
      </w:r>
    </w:p>
    <w:p w14:paraId="2FF904F1">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snapToGrid w:val="0"/>
          <w:color w:val="auto"/>
          <w:kern w:val="0"/>
          <w:szCs w:val="24"/>
          <w:highlight w:val="none"/>
        </w:rPr>
        <w:t>（2）本工程要求承包人提供与预付款等额的预付款银行保函（</w:t>
      </w:r>
      <w:r>
        <w:rPr>
          <w:rFonts w:hint="eastAsia" w:ascii="宋体" w:hAnsi="宋体" w:eastAsia="宋体" w:cs="宋体"/>
          <w:snapToGrid w:val="0"/>
          <w:color w:val="auto"/>
          <w:kern w:val="0"/>
          <w:szCs w:val="22"/>
          <w:highlight w:val="none"/>
        </w:rPr>
        <w:t>预付款银行保函按发包人提供的格式，详见招标文件第八章：预付款保函</w:t>
      </w:r>
      <w:r>
        <w:rPr>
          <w:rFonts w:hint="eastAsia" w:ascii="宋体" w:hAnsi="宋体" w:eastAsia="宋体" w:cs="宋体"/>
          <w:snapToGrid w:val="0"/>
          <w:color w:val="auto"/>
          <w:kern w:val="0"/>
          <w:szCs w:val="24"/>
          <w:highlight w:val="none"/>
        </w:rPr>
        <w:t>），</w:t>
      </w:r>
      <w:r>
        <w:rPr>
          <w:rFonts w:hint="eastAsia" w:ascii="宋体" w:hAnsi="宋体" w:eastAsia="宋体" w:cs="宋体"/>
          <w:b/>
          <w:snapToGrid w:val="0"/>
          <w:color w:val="auto"/>
          <w:kern w:val="0"/>
          <w:szCs w:val="24"/>
          <w:highlight w:val="none"/>
        </w:rPr>
        <w:t>且本工程预付款保函期限原则上不少于</w:t>
      </w:r>
      <w:r>
        <w:rPr>
          <w:rFonts w:hint="eastAsia" w:hAnsi="宋体" w:eastAsia="宋体" w:cs="宋体"/>
          <w:b/>
          <w:snapToGrid w:val="0"/>
          <w:color w:val="auto"/>
          <w:kern w:val="0"/>
          <w:szCs w:val="24"/>
          <w:highlight w:val="none"/>
          <w:lang w:val="en-US" w:eastAsia="zh-CN"/>
        </w:rPr>
        <w:t>15</w:t>
      </w:r>
      <w:r>
        <w:rPr>
          <w:rFonts w:hint="eastAsia" w:ascii="宋体" w:hAnsi="宋体" w:eastAsia="宋体" w:cs="宋体"/>
          <w:b/>
          <w:snapToGrid w:val="0"/>
          <w:color w:val="auto"/>
          <w:kern w:val="0"/>
          <w:szCs w:val="24"/>
          <w:highlight w:val="none"/>
        </w:rPr>
        <w:t>个月，承包人的预付款保函有效期应保证在扣回预付款前有效，未扣回预付款但保函过期的，承包人应重新开具预付款保函。</w:t>
      </w:r>
    </w:p>
    <w:p w14:paraId="5BE9E6DA">
      <w:pPr>
        <w:pStyle w:val="37"/>
        <w:pageBreakBefore w:val="0"/>
        <w:kinsoku/>
        <w:overflowPunct/>
        <w:topLinePunct w:val="0"/>
        <w:bidi w:val="0"/>
        <w:spacing w:line="44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14:paraId="7C21D26D">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发包人在收到支付申请的7天内进行核实后，按程序向财政部门申请一次性支付预付款（工人工资预付款单独支付至工人工资专用账户）。</w:t>
      </w:r>
      <w:r>
        <w:rPr>
          <w:rFonts w:hint="eastAsia" w:ascii="宋体" w:hAnsi="宋体" w:eastAsia="宋体" w:cs="宋体"/>
          <w:b/>
          <w:snapToGrid w:val="0"/>
          <w:color w:val="auto"/>
          <w:kern w:val="0"/>
          <w:highlight w:val="none"/>
        </w:rPr>
        <w:t>凡未签订合同、未提供预付款保函或不具备施工条件的工程，发包人不预付工程款。</w:t>
      </w:r>
    </w:p>
    <w:p w14:paraId="3F9F3DB6">
      <w:pPr>
        <w:pStyle w:val="37"/>
        <w:pageBreakBefore w:val="0"/>
        <w:kinsoku/>
        <w:overflowPunct/>
        <w:topLinePunct w:val="0"/>
        <w:bidi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（4）预付款应从每支付期应支付给承包人的工程进度款中扣回，扣回比例为每支付期的工程进度款的50%，直到扣回的金额达到合同约定的预付款金额为止。</w:t>
      </w:r>
    </w:p>
    <w:p w14:paraId="566CBD85">
      <w:pPr>
        <w:pStyle w:val="37"/>
        <w:pageBreakBefore w:val="0"/>
        <w:kinsoku/>
        <w:overflowPunct/>
        <w:topLinePunct w:val="0"/>
        <w:bidi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color w:val="auto"/>
          <w:highlight w:val="none"/>
        </w:rPr>
        <w:t xml:space="preserve"> 4.2.3工程进度款支付条件：承包人必须提供完整的施工图预算（加盖承包人公章及注册造价工程师注册章）报发包人审核后方可支付工程进度款。</w:t>
      </w:r>
    </w:p>
    <w:p w14:paraId="2A9C701D">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rPr>
      </w:pPr>
      <w:r>
        <w:rPr>
          <w:rFonts w:hint="eastAsia" w:ascii="宋体" w:hAnsi="宋体" w:eastAsia="宋体" w:cs="宋体"/>
          <w:color w:val="auto"/>
          <w:szCs w:val="24"/>
          <w:highlight w:val="none"/>
        </w:rPr>
        <w:t xml:space="preserve"> 4.2.4</w:t>
      </w:r>
      <w:r>
        <w:rPr>
          <w:rFonts w:hint="eastAsia" w:ascii="宋体" w:hAnsi="宋体" w:eastAsia="宋体" w:cs="宋体"/>
          <w:color w:val="auto"/>
          <w:highlight w:val="none"/>
        </w:rPr>
        <w:t xml:space="preserve"> 施工过程中按月支付工程进度款：承包人每月按</w:t>
      </w:r>
      <w:r>
        <w:rPr>
          <w:rFonts w:hint="eastAsia" w:ascii="宋体" w:hAnsi="宋体" w:eastAsia="宋体" w:cs="宋体"/>
          <w:color w:val="auto"/>
          <w:szCs w:val="22"/>
          <w:highlight w:val="none"/>
        </w:rPr>
        <w:t>工程形象进度申</w:t>
      </w:r>
      <w:r>
        <w:rPr>
          <w:rFonts w:hint="eastAsia" w:ascii="宋体" w:hAnsi="宋体" w:eastAsia="宋体" w:cs="宋体"/>
          <w:color w:val="auto"/>
          <w:highlight w:val="none"/>
        </w:rPr>
        <w:t>报，截止日为当月26日，形象进度和</w:t>
      </w:r>
      <w:r>
        <w:rPr>
          <w:rFonts w:hint="eastAsia" w:ascii="宋体" w:hAnsi="宋体" w:eastAsia="宋体" w:cs="宋体"/>
          <w:snapToGrid w:val="0"/>
          <w:color w:val="auto"/>
          <w:kern w:val="0"/>
          <w:highlight w:val="none"/>
        </w:rPr>
        <w:t>《工程付款申请书》</w:t>
      </w:r>
      <w:r>
        <w:rPr>
          <w:rFonts w:hint="eastAsia" w:ascii="宋体" w:hAnsi="宋体" w:eastAsia="宋体" w:cs="宋体"/>
          <w:color w:val="auto"/>
          <w:highlight w:val="none"/>
        </w:rPr>
        <w:t>由监理单位核实确认，经</w:t>
      </w:r>
      <w:r>
        <w:rPr>
          <w:rFonts w:hint="eastAsia" w:ascii="宋体" w:hAnsi="宋体" w:eastAsia="宋体" w:cs="宋体"/>
          <w:snapToGrid w:val="0"/>
          <w:color w:val="auto"/>
          <w:kern w:val="0"/>
          <w:highlight w:val="none"/>
        </w:rPr>
        <w:t>造价咨询单位（如有造价单位）审核，</w:t>
      </w:r>
      <w:r>
        <w:rPr>
          <w:rFonts w:hint="eastAsia" w:ascii="宋体" w:hAnsi="宋体" w:eastAsia="宋体" w:cs="宋体"/>
          <w:color w:val="auto"/>
          <w:highlight w:val="none"/>
        </w:rPr>
        <w:t>再经发包人审核确认后于申报工程进度款的次月支付。</w:t>
      </w:r>
    </w:p>
    <w:p w14:paraId="5268201F">
      <w:pPr>
        <w:pageBreakBefore w:val="0"/>
        <w:kinsoku/>
        <w:overflowPunct/>
        <w:topLinePunct w:val="0"/>
        <w:bidi w:val="0"/>
        <w:spacing w:line="440" w:lineRule="exac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 xml:space="preserve">     4.2.5</w:t>
      </w:r>
      <w:r>
        <w:rPr>
          <w:rFonts w:hint="eastAsia" w:ascii="宋体" w:hAnsi="宋体" w:eastAsia="宋体" w:cs="宋体"/>
          <w:snapToGrid w:val="0"/>
          <w:color w:val="auto"/>
          <w:kern w:val="0"/>
          <w:highlight w:val="none"/>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14:paraId="7F195144">
      <w:pPr>
        <w:pStyle w:val="37"/>
        <w:pageBreakBefore w:val="0"/>
        <w:kinsoku/>
        <w:overflowPunct/>
        <w:topLinePunct w:val="0"/>
        <w:bidi w:val="0"/>
        <w:spacing w:line="440" w:lineRule="exact"/>
        <w:ind w:firstLine="480" w:firstLineChars="200"/>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4.3</w:t>
      </w:r>
      <w:r>
        <w:rPr>
          <w:rFonts w:hint="eastAsia" w:ascii="宋体" w:hAnsi="宋体" w:eastAsia="宋体" w:cs="宋体"/>
          <w:snapToGrid w:val="0"/>
          <w:color w:val="auto"/>
          <w:kern w:val="0"/>
          <w:szCs w:val="24"/>
          <w:highlight w:val="none"/>
        </w:rPr>
        <w:t>措施项目费中的“绿色施工安全防护措施费”拨付按照《广东省建设工程计价依据（2018）》执行，按照</w:t>
      </w:r>
      <w:r>
        <w:rPr>
          <w:rFonts w:hint="eastAsia" w:ascii="宋体" w:hAnsi="宋体" w:eastAsia="宋体" w:cs="宋体"/>
          <w:color w:val="auto"/>
          <w:szCs w:val="24"/>
          <w:highlight w:val="none"/>
        </w:rPr>
        <w:t>韶关市住房和城乡建设管理局《关于明确建筑工程安全防护、文明施工措施费用具体管理办法的通知》韶市建字〔2015〕26号文的</w:t>
      </w:r>
      <w:r>
        <w:rPr>
          <w:rFonts w:hint="eastAsia" w:ascii="宋体" w:hAnsi="宋体" w:eastAsia="宋体" w:cs="宋体"/>
          <w:snapToGrid w:val="0"/>
          <w:color w:val="auto"/>
          <w:kern w:val="0"/>
          <w:szCs w:val="24"/>
          <w:highlight w:val="none"/>
        </w:rPr>
        <w:t>有关规定支付。发生一般事故及以上等级重大安全事故的，发包人可扣除承包人金额相当于所有“绿色施工安全防护措施费”的工程管理费。</w:t>
      </w:r>
    </w:p>
    <w:p w14:paraId="2C8E7EC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trike/>
          <w:color w:val="auto"/>
          <w:highlight w:val="none"/>
        </w:rPr>
      </w:pPr>
      <w:r>
        <w:rPr>
          <w:rFonts w:hint="eastAsia" w:ascii="宋体" w:hAnsi="宋体" w:eastAsia="宋体" w:cs="宋体"/>
          <w:color w:val="auto"/>
          <w:szCs w:val="24"/>
          <w:highlight w:val="none"/>
        </w:rPr>
        <w:t>4.4</w:t>
      </w:r>
      <w:r>
        <w:rPr>
          <w:rFonts w:hint="eastAsia" w:ascii="宋体" w:hAnsi="宋体" w:eastAsia="宋体" w:cs="宋体"/>
          <w:snapToGrid w:val="0"/>
          <w:color w:val="auto"/>
          <w:kern w:val="0"/>
          <w:szCs w:val="24"/>
          <w:highlight w:val="none"/>
        </w:rPr>
        <w:t>变更工程造价必须经监理单位核实及造价咨询单位（如有造价单位）审核，并经发包人核定后方可支付。</w:t>
      </w:r>
    </w:p>
    <w:p w14:paraId="24E60EA6">
      <w:pPr>
        <w:pStyle w:val="37"/>
        <w:pageBreakBefore w:val="0"/>
        <w:kinsoku/>
        <w:overflowPunct/>
        <w:topLinePunct w:val="0"/>
        <w:bidi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4.5 结算审核完成后，于次月支付至审定总造价的97%。</w:t>
      </w:r>
      <w:r>
        <w:rPr>
          <w:rFonts w:hint="eastAsia" w:ascii="宋体" w:hAnsi="宋体" w:eastAsia="宋体" w:cs="宋体"/>
          <w:b w:val="0"/>
          <w:bCs/>
          <w:color w:val="auto"/>
          <w:sz w:val="24"/>
          <w:szCs w:val="24"/>
          <w:highlight w:val="none"/>
          <w:lang w:val="en-US" w:eastAsia="zh-CN"/>
        </w:rPr>
        <w:t>根据</w:t>
      </w:r>
      <w:r>
        <w:rPr>
          <w:rFonts w:hint="eastAsia" w:ascii="宋体" w:hAnsi="宋体" w:eastAsia="宋体" w:cs="宋体"/>
          <w:b w:val="0"/>
          <w:bCs/>
          <w:color w:val="auto"/>
          <w:sz w:val="24"/>
          <w:szCs w:val="24"/>
          <w:highlight w:val="none"/>
        </w:rPr>
        <w:t>南雄市人民政府办公室《关于加强市本级政府投资项目财政投资评审监督管理的实施意见》</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雄府办函[2023]5号</w:t>
      </w:r>
      <w:r>
        <w:rPr>
          <w:rFonts w:hint="eastAsia" w:ascii="宋体" w:hAnsi="宋体" w:eastAsia="宋体" w:cs="宋体"/>
          <w:b w:val="0"/>
          <w:bCs/>
          <w:color w:val="auto"/>
          <w:sz w:val="24"/>
          <w:szCs w:val="24"/>
          <w:highlight w:val="none"/>
          <w:lang w:eastAsia="zh-CN"/>
        </w:rPr>
        <w:t>）、《关于进一步加强政府投资项目财政投资评审监督管理的通知》的相关规定，</w:t>
      </w:r>
      <w:r>
        <w:rPr>
          <w:rFonts w:hint="eastAsia" w:ascii="宋体" w:hAnsi="宋体" w:eastAsia="宋体" w:cs="宋体"/>
          <w:b w:val="0"/>
          <w:bCs/>
          <w:color w:val="auto"/>
          <w:sz w:val="24"/>
          <w:szCs w:val="24"/>
          <w:highlight w:val="none"/>
        </w:rPr>
        <w:t>项目工程费用</w:t>
      </w:r>
      <w:r>
        <w:rPr>
          <w:rFonts w:hint="eastAsia" w:ascii="宋体" w:hAnsi="宋体" w:eastAsia="宋体" w:cs="宋体"/>
          <w:b w:val="0"/>
          <w:bCs/>
          <w:color w:val="auto"/>
          <w:sz w:val="24"/>
          <w:szCs w:val="24"/>
          <w:highlight w:val="none"/>
          <w:lang w:eastAsia="zh-CN"/>
        </w:rPr>
        <w:t>结算后，项目工程结算金额若超出</w:t>
      </w:r>
      <w:r>
        <w:rPr>
          <w:rFonts w:hint="eastAsia" w:ascii="宋体" w:hAnsi="宋体" w:eastAsia="宋体" w:cs="宋体"/>
          <w:b w:val="0"/>
          <w:bCs/>
          <w:color w:val="auto"/>
          <w:sz w:val="24"/>
          <w:szCs w:val="24"/>
          <w:highlight w:val="none"/>
          <w:lang w:val="en-US"/>
        </w:rPr>
        <w:t>南雄市财政局投资评审中心</w:t>
      </w:r>
      <w:r>
        <w:rPr>
          <w:rFonts w:hint="eastAsia" w:ascii="宋体" w:hAnsi="宋体" w:eastAsia="宋体" w:cs="宋体"/>
          <w:b w:val="0"/>
          <w:bCs/>
          <w:color w:val="auto"/>
          <w:sz w:val="24"/>
          <w:szCs w:val="24"/>
          <w:highlight w:val="none"/>
          <w:lang w:val="en-US" w:eastAsia="zh-CN"/>
        </w:rPr>
        <w:t>复核的结算金额，承包人必须无条件在30日内按规定返还超付的工程款。</w:t>
      </w:r>
    </w:p>
    <w:p w14:paraId="1F13FEC1">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 xml:space="preserve">    4.6 剩余3%为工程质量保证金，从工程竣工验收合格之日起满</w:t>
      </w:r>
      <w:r>
        <w:rPr>
          <w:rFonts w:hint="eastAsia" w:ascii="宋体" w:hAnsi="宋体" w:eastAsia="宋体" w:cs="宋体"/>
          <w:color w:val="auto"/>
          <w:highlight w:val="none"/>
          <w:u w:val="single"/>
        </w:rPr>
        <w:t>2</w:t>
      </w:r>
      <w:r>
        <w:rPr>
          <w:rFonts w:hint="eastAsia" w:ascii="宋体" w:hAnsi="宋体" w:eastAsia="宋体" w:cs="宋体"/>
          <w:color w:val="auto"/>
          <w:highlight w:val="none"/>
        </w:rPr>
        <w:t>年，</w:t>
      </w:r>
      <w:r>
        <w:rPr>
          <w:rFonts w:hint="eastAsia" w:ascii="宋体" w:hAnsi="宋体" w:eastAsia="宋体" w:cs="宋体"/>
          <w:snapToGrid w:val="0"/>
          <w:color w:val="auto"/>
          <w:kern w:val="0"/>
          <w:highlight w:val="none"/>
        </w:rPr>
        <w:t>若未发现质量问题，</w:t>
      </w:r>
      <w:r>
        <w:rPr>
          <w:rFonts w:hint="eastAsia" w:ascii="宋体" w:hAnsi="宋体" w:eastAsia="宋体" w:cs="宋体"/>
          <w:bCs/>
          <w:snapToGrid w:val="0"/>
          <w:color w:val="auto"/>
          <w:kern w:val="0"/>
          <w:highlight w:val="none"/>
        </w:rPr>
        <w:t>承包人向发包人申请退还质量保证（或保证金），发包人按照《建设工程质量保证金管理办法》及合同的有关规定和约定将质量保证（或保证金）</w:t>
      </w:r>
      <w:r>
        <w:rPr>
          <w:rFonts w:hint="eastAsia" w:ascii="宋体" w:hAnsi="宋体" w:eastAsia="宋体" w:cs="宋体"/>
          <w:bCs/>
          <w:color w:val="auto"/>
          <w:kern w:val="0"/>
          <w:highlight w:val="none"/>
        </w:rPr>
        <w:t>于次月</w:t>
      </w:r>
      <w:r>
        <w:rPr>
          <w:rFonts w:hint="eastAsia" w:ascii="宋体" w:hAnsi="宋体" w:eastAsia="宋体" w:cs="宋体"/>
          <w:bCs/>
          <w:snapToGrid w:val="0"/>
          <w:color w:val="auto"/>
          <w:kern w:val="0"/>
          <w:highlight w:val="none"/>
        </w:rPr>
        <w:t>退还给承包人</w:t>
      </w:r>
      <w:r>
        <w:rPr>
          <w:rFonts w:hint="eastAsia" w:ascii="宋体" w:hAnsi="宋体" w:eastAsia="宋体" w:cs="宋体"/>
          <w:bCs/>
          <w:color w:val="auto"/>
          <w:kern w:val="0"/>
          <w:highlight w:val="none"/>
        </w:rPr>
        <w:t>（不计息）。</w:t>
      </w:r>
    </w:p>
    <w:p w14:paraId="5837812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 xml:space="preserve"> 4.7承包人提供的工程款发票必须按照发包人要求提供相应增值税发票给发包人，发包人收到符合要求的发票后方可支付工程款。</w:t>
      </w:r>
      <w:r>
        <w:rPr>
          <w:rFonts w:hint="eastAsia" w:ascii="宋体" w:hAnsi="宋体" w:eastAsia="宋体" w:cs="宋体"/>
          <w:snapToGrid w:val="0"/>
          <w:color w:val="auto"/>
          <w:kern w:val="0"/>
          <w:szCs w:val="24"/>
          <w:highlight w:val="none"/>
        </w:rPr>
        <w:t>如果承包人无法提供符合要求的发票，由此造成的相应损失由承包人承担。</w:t>
      </w:r>
    </w:p>
    <w:p w14:paraId="3EE3F700">
      <w:pPr>
        <w:pStyle w:val="37"/>
        <w:pageBreakBefore w:val="0"/>
        <w:kinsoku/>
        <w:overflowPunct/>
        <w:topLinePunct w:val="0"/>
        <w:bidi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4.8本项目为政府全额投资，所有支付手续经发包人审批后，还须报政府财政部门审批完毕方可支付，如经发包人审批后已及时履行了向财政部门申报审批手续，则发包人不支付延期付</w:t>
      </w:r>
      <w:r>
        <w:rPr>
          <w:rFonts w:hint="eastAsia" w:ascii="宋体" w:hAnsi="宋体" w:eastAsia="宋体" w:cs="宋体"/>
          <w:color w:val="auto"/>
          <w:szCs w:val="22"/>
          <w:highlight w:val="none"/>
        </w:rPr>
        <w:t>款的利息，承包人也不得因政府财政部门履行审批程序所造成的延期付款而暂停施工和相关服务。</w:t>
      </w:r>
    </w:p>
    <w:p w14:paraId="7BC39483">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u w:val="single"/>
        </w:rPr>
      </w:pPr>
      <w:r>
        <w:rPr>
          <w:rFonts w:hint="eastAsia" w:ascii="宋体" w:hAnsi="宋体" w:eastAsia="宋体" w:cs="宋体"/>
          <w:b/>
          <w:bCs/>
          <w:color w:val="auto"/>
          <w:szCs w:val="24"/>
          <w:highlight w:val="none"/>
        </w:rPr>
        <w:t>4.9</w:t>
      </w:r>
      <w:r>
        <w:rPr>
          <w:rFonts w:hint="eastAsia" w:ascii="宋体" w:hAnsi="宋体" w:eastAsia="宋体" w:cs="宋体"/>
          <w:color w:val="auto"/>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0A177C49">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color w:val="auto"/>
          <w:szCs w:val="24"/>
          <w:highlight w:val="none"/>
        </w:rPr>
        <w:t>4.10</w:t>
      </w:r>
      <w:r>
        <w:rPr>
          <w:rFonts w:hint="eastAsia" w:ascii="宋体" w:hAnsi="宋体" w:eastAsia="宋体" w:cs="宋体"/>
          <w:color w:val="auto"/>
          <w:szCs w:val="24"/>
          <w:highlight w:val="none"/>
        </w:rPr>
        <w:t>本工程按政府有关要求或资金安排情况、合同有关约定，经双方协商可调整建安费支付办法。</w:t>
      </w:r>
    </w:p>
    <w:p w14:paraId="3FA1B236">
      <w:pPr>
        <w:pStyle w:val="37"/>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补充条款：</w:t>
      </w:r>
    </w:p>
    <w:p w14:paraId="4B3A4F5D">
      <w:pPr>
        <w:pStyle w:val="37"/>
        <w:pageBreakBefore w:val="0"/>
        <w:numPr>
          <w:ilvl w:val="0"/>
          <w:numId w:val="4"/>
        </w:numPr>
        <w:kinsoku/>
        <w:overflowPunct/>
        <w:topLinePunct w:val="0"/>
        <w:bidi w:val="0"/>
        <w:spacing w:line="440" w:lineRule="exact"/>
        <w:ind w:firstLine="361" w:firstLineChars="15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施工部分</w:t>
      </w:r>
    </w:p>
    <w:p w14:paraId="16C1F6F9">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rPr>
        <w:t>5.1</w:t>
      </w:r>
      <w:r>
        <w:rPr>
          <w:rFonts w:hint="eastAsia" w:ascii="宋体" w:hAnsi="宋体" w:eastAsia="宋体" w:cs="宋体"/>
          <w:b/>
          <w:bCs/>
          <w:color w:val="auto"/>
          <w:highlight w:val="none"/>
          <w:lang w:val="zh-CN"/>
        </w:rPr>
        <w:t>项目管理</w:t>
      </w:r>
    </w:p>
    <w:p w14:paraId="1ACEDC24">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5.1.1项目经理要求：</w:t>
      </w:r>
    </w:p>
    <w:p w14:paraId="721C045F">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项目经理与投标文件承诺不一致或未及时到位，发包人将按照下列方式对承包人进行处罚：</w:t>
      </w:r>
    </w:p>
    <w:p w14:paraId="6BC3CC1E">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w:t>
      </w:r>
      <w:r>
        <w:rPr>
          <w:rFonts w:hint="eastAsia" w:ascii="宋体" w:hAnsi="宋体" w:cs="宋体"/>
          <w:color w:val="auto"/>
          <w:highlight w:val="none"/>
          <w:u w:val="single"/>
          <w:lang w:eastAsia="zh-CN"/>
        </w:rPr>
        <w:t>。</w:t>
      </w:r>
      <w:r>
        <w:rPr>
          <w:rFonts w:hint="eastAsia" w:ascii="宋体" w:hAnsi="宋体" w:eastAsia="宋体" w:cs="宋体"/>
          <w:snapToGrid w:val="0"/>
          <w:color w:val="auto"/>
          <w:kern w:val="0"/>
          <w:szCs w:val="24"/>
          <w:highlight w:val="none"/>
          <w:u w:val="single"/>
        </w:rPr>
        <w:t>擅自更换本工程项目经理的，</w:t>
      </w:r>
      <w:r>
        <w:rPr>
          <w:rFonts w:hint="eastAsia" w:ascii="宋体" w:hAnsi="宋体" w:eastAsia="宋体" w:cs="宋体"/>
          <w:color w:val="auto"/>
          <w:highlight w:val="none"/>
          <w:u w:val="single"/>
        </w:rPr>
        <w:t>即使发包人</w:t>
      </w:r>
      <w:r>
        <w:rPr>
          <w:rFonts w:hint="eastAsia" w:ascii="宋体" w:hAnsi="宋体" w:eastAsia="宋体" w:cs="宋体"/>
          <w:snapToGrid w:val="0"/>
          <w:color w:val="auto"/>
          <w:kern w:val="0"/>
          <w:szCs w:val="24"/>
          <w:highlight w:val="none"/>
          <w:u w:val="single"/>
        </w:rPr>
        <w:t>事后</w:t>
      </w:r>
      <w:r>
        <w:rPr>
          <w:rFonts w:hint="eastAsia" w:ascii="宋体" w:hAnsi="宋体" w:eastAsia="宋体" w:cs="宋体"/>
          <w:color w:val="auto"/>
          <w:highlight w:val="none"/>
          <w:u w:val="single"/>
        </w:rPr>
        <w:t>批准同意更换，承包人仍需支付每换一次15万元的违约金（仅被羁押或判处刑罚、身亡可免责）。</w:t>
      </w:r>
    </w:p>
    <w:p w14:paraId="4C42FFCC">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项目经理每延迟到位一天承包人应向发包人支付违约金5万元/天，超过10天（含10天）发包人有权单方解除合同，并要求承包人承担由此造成的一切损失。</w:t>
      </w:r>
    </w:p>
    <w:p w14:paraId="7F078703">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16F77DB9">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4BCD444D">
      <w:pPr>
        <w:pStyle w:val="56"/>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1F1DB529">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上述违约金由承包人直接向发包人支付，未付清之前，发包人有权暂停支付工程款。</w:t>
      </w:r>
    </w:p>
    <w:p w14:paraId="1AB1BE9B">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5.1.2承包人必须遵守国家相关法律法规、政府相关规定及</w:t>
      </w:r>
      <w:r>
        <w:rPr>
          <w:rFonts w:hint="eastAsia" w:ascii="宋体" w:hAnsi="宋体" w:cs="宋体"/>
          <w:color w:val="auto"/>
          <w:highlight w:val="none"/>
          <w:lang w:eastAsia="zh-CN"/>
        </w:rPr>
        <w:t>南雄市澜河镇人民政府</w:t>
      </w:r>
      <w:r>
        <w:rPr>
          <w:rFonts w:hint="eastAsia" w:ascii="宋体" w:hAnsi="宋体" w:eastAsia="宋体" w:cs="宋体"/>
          <w:color w:val="auto"/>
          <w:highlight w:val="none"/>
        </w:rPr>
        <w:t>的工程管理制度。</w:t>
      </w:r>
    </w:p>
    <w:p w14:paraId="6D3E0D7A">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5.1.3承包人应根据工程实际需要，配备满足进度要求的施工机械，自备发电机保证供电稳定，所有费用已包含在合同价中。</w:t>
      </w:r>
    </w:p>
    <w:p w14:paraId="14C80FC1">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13E99AB3">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5.1.5在合同履行中如发包人、承包人双方发生争议，承包人不得以争议未解决为由擅自停工，否则将视为违约，由此产生工期的延误不予顺延。</w:t>
      </w:r>
    </w:p>
    <w:p w14:paraId="6A446AEB">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10E6D341">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50C60E53">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承包人未及时通知监理人到场检查，私自将隐蔽部位覆盖，监理人有权指示承包人采用钻孔探测揭开进行检查，由此增加的费用和工期延误责任由承包人承担。</w:t>
      </w:r>
    </w:p>
    <w:p w14:paraId="636C2783">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5.1.7承包人必须编制合理的交通维护方案并负责实施，保证施工期间的交通组织符合南雄公安交通管理的有关规定，确保施工安全，其费用包含在合同价中。</w:t>
      </w:r>
    </w:p>
    <w:p w14:paraId="2EC38939">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5.1.8发生</w:t>
      </w:r>
      <w:r>
        <w:rPr>
          <w:rFonts w:hint="eastAsia" w:ascii="宋体" w:hAnsi="宋体" w:cs="宋体"/>
          <w:color w:val="auto"/>
          <w:szCs w:val="24"/>
          <w:highlight w:val="none"/>
          <w:lang w:eastAsia="zh-CN"/>
        </w:rPr>
        <w:t>安全</w:t>
      </w:r>
      <w:r>
        <w:rPr>
          <w:rFonts w:hint="eastAsia" w:ascii="宋体" w:hAnsi="宋体" w:eastAsia="宋体" w:cs="宋体"/>
          <w:color w:val="auto"/>
          <w:szCs w:val="24"/>
          <w:highlight w:val="none"/>
        </w:rPr>
        <w:t>事故，承包人应在第一时间通知发包人，并按规定立即上报有关部门，同时按法律、法规及相关规定的要求及时处理，</w:t>
      </w:r>
      <w:r>
        <w:rPr>
          <w:rFonts w:hint="eastAsia" w:ascii="宋体" w:hAnsi="宋体" w:cs="宋体"/>
          <w:color w:val="auto"/>
          <w:szCs w:val="24"/>
          <w:highlight w:val="none"/>
          <w:lang w:val="en-US" w:eastAsia="zh-CN"/>
        </w:rPr>
        <w:t>并记</w:t>
      </w:r>
      <w:r>
        <w:rPr>
          <w:rFonts w:hint="eastAsia" w:ascii="宋体" w:hAnsi="宋体" w:eastAsia="宋体" w:cs="宋体"/>
          <w:color w:val="auto"/>
          <w:szCs w:val="24"/>
          <w:highlight w:val="none"/>
        </w:rPr>
        <w:t>承包人严重违约责任一次。</w:t>
      </w:r>
    </w:p>
    <w:p w14:paraId="2695DB6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因承包人原因，承包人施工现场发生</w:t>
      </w:r>
      <w:r>
        <w:rPr>
          <w:rFonts w:hint="eastAsia" w:hAnsi="宋体" w:eastAsia="宋体" w:cs="宋体"/>
          <w:color w:val="auto"/>
          <w:szCs w:val="24"/>
          <w:highlight w:val="none"/>
          <w:lang w:val="en-US" w:eastAsia="zh-CN"/>
        </w:rPr>
        <w:t>安全事故</w:t>
      </w:r>
      <w:r>
        <w:rPr>
          <w:rFonts w:hint="eastAsia" w:ascii="宋体" w:hAnsi="宋体" w:eastAsia="宋体" w:cs="宋体"/>
          <w:color w:val="auto"/>
          <w:szCs w:val="24"/>
          <w:highlight w:val="none"/>
        </w:rPr>
        <w:t>或其他责任事故的，除按相关法律法规依法接受</w:t>
      </w:r>
      <w:r>
        <w:rPr>
          <w:rFonts w:hint="eastAsia" w:ascii="宋体" w:hAnsi="宋体" w:eastAsia="宋体" w:cs="宋体"/>
          <w:color w:val="auto"/>
          <w:szCs w:val="24"/>
          <w:highlight w:val="none"/>
          <w:lang w:val="en-US" w:eastAsia="zh-CN"/>
        </w:rPr>
        <w:t>相关行政部门的处罚和承担事故处理的所有费用外</w:t>
      </w:r>
      <w:r>
        <w:rPr>
          <w:rFonts w:hint="eastAsia" w:ascii="宋体" w:hAnsi="宋体" w:eastAsia="宋体" w:cs="宋体"/>
          <w:color w:val="auto"/>
          <w:szCs w:val="24"/>
          <w:highlight w:val="none"/>
        </w:rPr>
        <w:t>，承包人还须按下列标准向发包人支付惩罚性违约金：</w:t>
      </w:r>
    </w:p>
    <w:p w14:paraId="5FC2D77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（1）一次事故死亡3人及以上：</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专职安全员及项目相关负责人，并向发包人支付50万元的惩罚性违约金。</w:t>
      </w:r>
    </w:p>
    <w:p w14:paraId="44A1775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（2）一次事故死亡2人：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专职安全员及项目相关负责人，并向发包人支付20万元的惩罚性违约金。</w:t>
      </w:r>
    </w:p>
    <w:p w14:paraId="06C605B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（3）</w:t>
      </w:r>
      <w:r>
        <w:rPr>
          <w:rFonts w:hint="eastAsia" w:hAnsi="宋体" w:eastAsia="宋体" w:cs="宋体"/>
          <w:color w:val="auto"/>
          <w:szCs w:val="24"/>
          <w:highlight w:val="none"/>
          <w:lang w:val="en-US" w:eastAsia="zh-CN"/>
        </w:rPr>
        <w:t>一次事故</w:t>
      </w:r>
      <w:r>
        <w:rPr>
          <w:rFonts w:hint="eastAsia" w:ascii="宋体" w:hAnsi="宋体" w:eastAsia="宋体" w:cs="宋体"/>
          <w:color w:val="auto"/>
          <w:szCs w:val="24"/>
          <w:highlight w:val="none"/>
        </w:rPr>
        <w:t>死亡1人：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专职安全员及项目相关负责人，并向发包人支付10万元的惩罚性违约金。</w:t>
      </w:r>
    </w:p>
    <w:p w14:paraId="742DA30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（4）</w:t>
      </w:r>
      <w:r>
        <w:rPr>
          <w:rFonts w:hint="eastAsia" w:ascii="宋体" w:hAnsi="宋体" w:eastAsia="宋体" w:cs="宋体"/>
          <w:color w:val="auto"/>
          <w:szCs w:val="24"/>
          <w:highlight w:val="none"/>
          <w:lang w:val="en-US" w:eastAsia="zh-CN"/>
        </w:rPr>
        <w:t>一次重伤事故或造成5人及以上集体住院，依法由承包人承担责任，且承包人必须撤换专职安全员及项目相关负责人，并向发包人支付5万元的惩罚性违约金。</w:t>
      </w:r>
    </w:p>
    <w:p w14:paraId="44AAE666">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（5）因施工造成的道路交通中断、通讯中断、管线漏水漏气等全部责任事故，依法由承包人承担责任，且承包人必须撤换专职安全员及项目相关负责人，并向发包人支付2万元的惩罚性违约金。</w:t>
      </w:r>
    </w:p>
    <w:p w14:paraId="6521D735">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7E1C9750">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5.1.10 工程竣工验收合格后30天内，承包人必须及时</w:t>
      </w:r>
      <w:r>
        <w:rPr>
          <w:rFonts w:hint="eastAsia" w:ascii="宋体" w:hAnsi="宋体" w:eastAsia="宋体" w:cs="宋体"/>
          <w:snapToGrid w:val="0"/>
          <w:color w:val="auto"/>
          <w:kern w:val="0"/>
          <w:szCs w:val="24"/>
          <w:highlight w:val="none"/>
        </w:rPr>
        <w:t>按</w:t>
      </w:r>
      <w:r>
        <w:rPr>
          <w:rFonts w:hint="eastAsia" w:ascii="宋体" w:hAnsi="宋体" w:eastAsia="宋体" w:cs="宋体"/>
          <w:color w:val="auto"/>
          <w:szCs w:val="24"/>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722F03AB">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371C1EF9">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5.1.12 承包人全体现场施工人员佩戴安全帽，全部施工人员佩戴工作牌。</w:t>
      </w:r>
    </w:p>
    <w:p w14:paraId="43620E24">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5.1.13 未经发包人书面许可，承包人不得在施工现场布置任何与本项目工程无关的商业广告，否则发包人有权要求承包人予以拆除，承包人并向发包人每次支付违约金10000元。</w:t>
      </w:r>
    </w:p>
    <w:p w14:paraId="6FB15B12">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1A61B046">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（1）发包人确认无法胜任工作者，包括：对分部分项工程施工进度及施工质量达不到合同要求负有责任的施工人员、不熟悉本专业的施工人员、工作责任心不强的施工人员等；</w:t>
      </w:r>
    </w:p>
    <w:p w14:paraId="4DCC034F">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（2）不积极配合发包人、监理工程师正常工作人员；</w:t>
      </w:r>
    </w:p>
    <w:p w14:paraId="58497A60">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（3）违反承包人或发包人工地现场管理规定的人员；</w:t>
      </w:r>
    </w:p>
    <w:p w14:paraId="7D40B3B3">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（4）无证上岗人员（适用于按规定必须有上岗证的）；</w:t>
      </w:r>
    </w:p>
    <w:p w14:paraId="17F1A560">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（5）与本工程施工无关的人员。</w:t>
      </w:r>
    </w:p>
    <w:p w14:paraId="3BD494ED">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4CFE4203">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5.2 用工和劳务</w:t>
      </w:r>
    </w:p>
    <w:p w14:paraId="45DB7EA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5.2.1承包人不得从为发包人或工程师服务的人员中招雇任何人员。</w:t>
      </w:r>
    </w:p>
    <w:p w14:paraId="320F96F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12EC36A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6DCF177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5160A61E">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5.3施工准备工作</w:t>
      </w:r>
    </w:p>
    <w:p w14:paraId="4AC96FF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5.3.1承包人应充分认识到本工程的特殊性和复杂性，施工前应切实做好各项准备工作，包括但不限于以下（1）、（2）、（3）的内容：</w:t>
      </w:r>
    </w:p>
    <w:p w14:paraId="054312C5">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（1）必须按要求完成临时设施建设和现场指挥部建设。</w:t>
      </w:r>
    </w:p>
    <w:p w14:paraId="680C7293">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（2）按照相关规定及发包人要求做好现场申报、宣传、走访、排查和解释工作。</w:t>
      </w:r>
    </w:p>
    <w:p w14:paraId="071F4426">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（3）根据现场实际环境，做好防火、防盗、防坠落等各项措施，排除安全隐患，确保施工期间施工的安全。</w:t>
      </w:r>
    </w:p>
    <w:p w14:paraId="4C6829D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5.3.2存在设计图纸疑问，必须在施工前30日提出，不得在施工时临时提出，也不得以此手段要求任何索赔，由此造成的一切损失由承包人承担。</w:t>
      </w:r>
    </w:p>
    <w:p w14:paraId="08751D60">
      <w:pPr>
        <w:pageBreakBefore w:val="0"/>
        <w:kinsoku/>
        <w:overflowPunct/>
        <w:topLinePunct w:val="0"/>
        <w:bidi w:val="0"/>
        <w:spacing w:line="440" w:lineRule="exact"/>
        <w:ind w:left="480" w:leftChars="200"/>
        <w:textAlignment w:val="auto"/>
        <w:rPr>
          <w:rFonts w:hint="eastAsia" w:ascii="宋体" w:hAnsi="宋体" w:eastAsia="宋体" w:cs="宋体"/>
          <w:strike/>
          <w:color w:val="auto"/>
          <w:szCs w:val="24"/>
          <w:highlight w:val="none"/>
        </w:rPr>
      </w:pPr>
      <w:r>
        <w:rPr>
          <w:rFonts w:hint="eastAsia" w:ascii="宋体" w:hAnsi="宋体" w:eastAsia="宋体" w:cs="宋体"/>
          <w:b/>
          <w:bCs/>
          <w:color w:val="auto"/>
          <w:szCs w:val="24"/>
          <w:highlight w:val="none"/>
        </w:rPr>
        <w:t>5.4工程变更</w:t>
      </w:r>
    </w:p>
    <w:p w14:paraId="1A63175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4CDAC5B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046B744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5.4.3承包人应按南雄市人民政府办公室《关于加强市本级政府投资项目财政投资评审监督管理的实施意见》雄府办函[2023]5号的规定及时申报办理工程变更审批手续，并于申请当期工程款之前或一并申报完整的工程变更资料予以备案；凡不符合实施意见要求的变更均为无效变更。</w:t>
      </w:r>
    </w:p>
    <w:p w14:paraId="1756D608">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5.5工程量计量的约定：</w:t>
      </w:r>
    </w:p>
    <w:p w14:paraId="263A70E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①承包人不得自行取消施工图或清单中的任何项目，发包人根据需要取消的未施工项目，经监理工程师核实后予以扣减，相应的措施费用予以扣减。</w:t>
      </w:r>
    </w:p>
    <w:p w14:paraId="4030CB8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②承包人自身原因造成的返工工程量，不予计量。</w:t>
      </w:r>
    </w:p>
    <w:p w14:paraId="3F3BDEC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③凡超出图纸范围又未经变更审批的工程量，不予计量。</w:t>
      </w:r>
    </w:p>
    <w:p w14:paraId="58F4AD1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④不符合工程质量标准的工程量，不予计量。</w:t>
      </w:r>
    </w:p>
    <w:p w14:paraId="1D7660A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⑤发包人书面通知承包人取消的工程量，不予计量。</w:t>
      </w:r>
    </w:p>
    <w:p w14:paraId="3C7BF19D">
      <w:pPr>
        <w:pStyle w:val="32"/>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b w:val="0"/>
          <w:bCs/>
          <w:snapToGrid w:val="0"/>
          <w:color w:val="auto"/>
          <w:kern w:val="0"/>
          <w:sz w:val="24"/>
          <w:highlight w:val="none"/>
        </w:rPr>
      </w:pPr>
      <w:r>
        <w:rPr>
          <w:rFonts w:hint="eastAsia" w:ascii="宋体" w:hAnsi="宋体" w:eastAsia="宋体" w:cs="宋体"/>
          <w:b w:val="0"/>
          <w:bCs/>
          <w:snapToGrid w:val="0"/>
          <w:color w:val="auto"/>
          <w:kern w:val="0"/>
          <w:sz w:val="24"/>
          <w:highlight w:val="none"/>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14:paraId="7C6D3C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b w:val="0"/>
          <w:bCs/>
          <w:snapToGrid w:val="0"/>
          <w:color w:val="auto"/>
          <w:kern w:val="0"/>
          <w:sz w:val="24"/>
          <w:highlight w:val="none"/>
          <w:lang w:val="en-US" w:eastAsia="zh-CN"/>
        </w:rPr>
        <w:t xml:space="preserve">    </w:t>
      </w:r>
      <w:r>
        <w:rPr>
          <w:rFonts w:hint="eastAsia" w:ascii="宋体" w:hAnsi="宋体" w:eastAsia="宋体" w:cs="宋体"/>
          <w:b/>
          <w:bCs w:val="0"/>
          <w:color w:val="auto"/>
          <w:sz w:val="24"/>
          <w:szCs w:val="24"/>
          <w:highlight w:val="none"/>
          <w:lang w:val="en-US" w:eastAsia="zh-CN"/>
        </w:rPr>
        <w:t>根据</w:t>
      </w:r>
      <w:r>
        <w:rPr>
          <w:rFonts w:hint="eastAsia" w:ascii="宋体" w:hAnsi="宋体" w:eastAsia="宋体" w:cs="宋体"/>
          <w:b/>
          <w:bCs w:val="0"/>
          <w:color w:val="auto"/>
          <w:sz w:val="24"/>
          <w:szCs w:val="24"/>
          <w:highlight w:val="none"/>
        </w:rPr>
        <w:t>南雄市人民政府办公室</w:t>
      </w:r>
      <w:r>
        <w:rPr>
          <w:rFonts w:hint="eastAsia" w:ascii="宋体" w:hAnsi="宋体" w:eastAsia="宋体" w:cs="宋体"/>
          <w:b/>
          <w:bCs w:val="0"/>
          <w:color w:val="auto"/>
          <w:sz w:val="24"/>
          <w:szCs w:val="24"/>
          <w:highlight w:val="none"/>
          <w:lang w:eastAsia="zh-CN"/>
        </w:rPr>
        <w:t>《关于进一步加强政府投资项目财政投资评审监督管理的通知》的相关规定，承包人编制的工程结算文件，结算文件质量偏差率不得超过5%（编制结算造价工程质量文件偏差率=(承包人编制的结算送审金额-经发包人位委托的造价咨询单位审核金额)/发包人委托的造价咨询单位审核金额*100%）。</w:t>
      </w:r>
    </w:p>
    <w:p w14:paraId="657D10C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Cs w:val="24"/>
          <w:highlight w:val="none"/>
          <w:u w:val="single"/>
        </w:rPr>
      </w:pPr>
      <w:r>
        <w:rPr>
          <w:rFonts w:hint="eastAsia" w:ascii="宋体" w:hAnsi="宋体" w:eastAsia="宋体" w:cs="宋体"/>
          <w:b/>
          <w:bCs/>
          <w:color w:val="auto"/>
          <w:szCs w:val="24"/>
          <w:highlight w:val="none"/>
        </w:rPr>
        <w:t>5.6承包人对专业分包的总要求</w:t>
      </w:r>
    </w:p>
    <w:p w14:paraId="5757E53A">
      <w:pPr>
        <w:pageBreakBefore w:val="0"/>
        <w:kinsoku/>
        <w:overflowPunct/>
        <w:topLinePunct w:val="0"/>
        <w:bidi w:val="0"/>
        <w:adjustRightInd w:val="0"/>
        <w:snapToGrid w:val="0"/>
        <w:spacing w:beforeLines="50"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4C651C6B">
      <w:pPr>
        <w:pageBreakBefore w:val="0"/>
        <w:kinsoku/>
        <w:overflowPunct/>
        <w:topLinePunct w:val="0"/>
        <w:bidi w:val="0"/>
        <w:spacing w:line="440" w:lineRule="exact"/>
        <w:ind w:firstLine="495"/>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4DD3CF2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46C925F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0314B3A1">
      <w:pPr>
        <w:pageBreakBefore w:val="0"/>
        <w:kinsoku/>
        <w:overflowPunct/>
        <w:topLinePunct w:val="0"/>
        <w:bidi w:val="0"/>
        <w:adjustRightInd w:val="0"/>
        <w:snapToGrid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次。发包人有权提请建设行政主管部门对其作不良行为记录，有权给予承包人履约评价为不合格，同时发包人有权拒绝承包人3年内参加发包人其它工程的投标。 </w:t>
      </w:r>
    </w:p>
    <w:p w14:paraId="361D2DA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5.7 措施项目</w:t>
      </w:r>
    </w:p>
    <w:p w14:paraId="70DAA86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5.7.1现场安全文明设计必须满足国家、省市相关的要求，除此之外，尚应满足如下要求：</w:t>
      </w:r>
    </w:p>
    <w:p w14:paraId="1D4F2DF1">
      <w:pPr>
        <w:pageBreakBefore w:val="0"/>
        <w:numPr>
          <w:ilvl w:val="0"/>
          <w:numId w:val="6"/>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安全、文明、临时设施要求：①主要管理人员与投标文件内填写的应一致；</w:t>
      </w:r>
    </w:p>
    <w:p w14:paraId="0BD097F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②施工现场应封闭施工。进出口要设大门、门卫和门卫制度。主进出口门头设企业标志，两侧要挂“七牌一图”，标牌应规范、整齐；</w:t>
      </w:r>
    </w:p>
    <w:p w14:paraId="491DB4F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66FD68B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施工期间，承包人应随时根据现场情况对围挡进行维修和保护，确保施工界面达到韶关市、南雄市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32C7D27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⑤施工场内，建筑材料、构件和料具要按施工现场平面图的布置要求堆放整齐，并挂物料名称，品种，规格等标牌，施工现场渣土和垃圾清运应当采取喷淋压尘装载；</w:t>
      </w:r>
    </w:p>
    <w:p w14:paraId="1B0F91D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0B13DF7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⑦施工现场的施工区、 办公区、生活区应当分开设置，实行区划管理，临时办公和生活用房应采用轻钢板房，并要具有抗强台风的措施，确保安全；</w:t>
      </w:r>
    </w:p>
    <w:p w14:paraId="0312BEC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⑧工地内要配备经培训的急救人员、保健医药箱、安全急救措施和急救器材，要开展卫生、防病自救、互救宣传教育；</w:t>
      </w:r>
    </w:p>
    <w:p w14:paraId="018C973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⑨要建立治安保卫制度，责任要分解到人。承包人在施工过程中的施工人员应配备必要的劳动、安全保护用品并佩戴工作证，以及满足招标文件中其他相关规定。</w:t>
      </w:r>
    </w:p>
    <w:p w14:paraId="5031BB0E">
      <w:pPr>
        <w:pageBreakBefore w:val="0"/>
        <w:numPr>
          <w:ilvl w:val="0"/>
          <w:numId w:val="6"/>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1B4730F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33DFC54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②大气污染防治措施：采用洒水湿法抑尘；重点时段防护如：对</w:t>
      </w:r>
      <w:r>
        <w:rPr>
          <w:rFonts w:hint="eastAsia" w:ascii="宋体" w:hAnsi="宋体" w:eastAsia="宋体" w:cs="宋体"/>
          <w:snapToGrid w:val="0"/>
          <w:color w:val="auto"/>
          <w:kern w:val="0"/>
          <w:szCs w:val="24"/>
          <w:highlight w:val="none"/>
        </w:rPr>
        <w:t>工地进出运输</w:t>
      </w:r>
      <w:r>
        <w:rPr>
          <w:rFonts w:hint="eastAsia" w:ascii="宋体" w:hAnsi="宋体" w:eastAsia="宋体" w:cs="宋体"/>
          <w:color w:val="auto"/>
          <w:szCs w:val="24"/>
          <w:highlight w:val="none"/>
        </w:rPr>
        <w:t>车辆进行冲洗；运送散装物料的机动车、存放散装物料的堆放场地必须用棚布遮盖，拌和设备尽量封闭；</w:t>
      </w:r>
    </w:p>
    <w:p w14:paraId="36899C2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15D224C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4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④</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针对固体废物可能产生的多种环境影响，须采取必要的措施分类收集，运至指定地点和按规定进行处理；</w:t>
      </w:r>
    </w:p>
    <w:p w14:paraId="4843ADE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5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⑤</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制定建筑废弃物管理计划，达到绿色安全文明施工的要求；</w:t>
      </w:r>
    </w:p>
    <w:p w14:paraId="117B432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6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⑥</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红线范围内必须落实雨污分流，生活污水须经过化粪池处理后接入市政管网排放。</w:t>
      </w:r>
    </w:p>
    <w:p w14:paraId="56066E9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由于承包人原因导致的投诉、索赔、指控，由承包人承担全部责任，同时造成工期延误的，发包人将按照合同条款相关约定进行索赔。</w:t>
      </w:r>
    </w:p>
    <w:p w14:paraId="6840B9A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以上须采取的所有措施费用及相关的费用已含在合同价中。</w:t>
      </w:r>
    </w:p>
    <w:p w14:paraId="42D3FD8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2878305F">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5.7.2已完工程及设备保护费</w:t>
      </w:r>
    </w:p>
    <w:p w14:paraId="07EE9E33">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①承包人应充分考虑本工程的</w:t>
      </w:r>
      <w:r>
        <w:rPr>
          <w:rFonts w:hint="eastAsia" w:ascii="宋体" w:hAnsi="宋体" w:eastAsia="宋体" w:cs="宋体"/>
          <w:color w:val="auto"/>
          <w:kern w:val="0"/>
          <w:szCs w:val="24"/>
          <w:highlight w:val="none"/>
        </w:rPr>
        <w:t>已完工程及设备保护，其费用已包含在合同价内，结算不再调整；</w:t>
      </w:r>
    </w:p>
    <w:p w14:paraId="4C4282D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②承包人应充分考虑施工影响范围内的地上、地下设施，建筑物的临时保护等措施，</w:t>
      </w:r>
      <w:r>
        <w:rPr>
          <w:rFonts w:hint="eastAsia" w:ascii="宋体" w:hAnsi="宋体" w:eastAsia="宋体" w:cs="宋体"/>
          <w:color w:val="auto"/>
          <w:kern w:val="0"/>
          <w:szCs w:val="24"/>
          <w:highlight w:val="none"/>
        </w:rPr>
        <w:t>以及</w:t>
      </w:r>
      <w:r>
        <w:rPr>
          <w:rFonts w:hint="eastAsia" w:ascii="宋体" w:hAnsi="宋体" w:eastAsia="宋体" w:cs="宋体"/>
          <w:color w:val="auto"/>
          <w:szCs w:val="24"/>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2844010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5.7.3施工降排水</w:t>
      </w:r>
    </w:p>
    <w:p w14:paraId="435E4B40">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宋体" w:hAnsi="宋体" w:eastAsia="宋体" w:cs="宋体"/>
          <w:color w:val="auto"/>
          <w:kern w:val="0"/>
          <w:szCs w:val="24"/>
          <w:highlight w:val="none"/>
        </w:rPr>
        <w:t>保证护栏的安全性。</w:t>
      </w:r>
    </w:p>
    <w:p w14:paraId="37F96C28">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0FE39709">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承包人应综合考虑施工期间除不可抗力原因外的气候条件造成的现场工程量的增加及其它风险（如发包人提供的地质报告等相关资料可能存在与实际不符）。</w:t>
      </w:r>
    </w:p>
    <w:p w14:paraId="403D4F6B">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雨季施工随时与气象部门保持联系，在大雨、台风到来之前按有关主管部门规定的防洪防汛应急措施等。</w:t>
      </w:r>
    </w:p>
    <w:p w14:paraId="1299C433">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以上有关费用已含在合同价中，结算不作调整。</w:t>
      </w:r>
    </w:p>
    <w:p w14:paraId="6D9C881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5.7.4水土保持</w:t>
      </w:r>
    </w:p>
    <w:p w14:paraId="4D463D4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464A455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5.7.5施工用水、用电等</w:t>
      </w:r>
    </w:p>
    <w:p w14:paraId="38D3A39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（1）承包人根据现场条件和工程情况，接通生活和生产区场内外的给水、排水、施工用电、通讯等工作，</w:t>
      </w:r>
      <w:r>
        <w:rPr>
          <w:rFonts w:hint="eastAsia" w:ascii="宋体" w:hAnsi="宋体" w:eastAsia="宋体" w:cs="宋体"/>
          <w:snapToGrid w:val="0"/>
          <w:color w:val="auto"/>
          <w:kern w:val="0"/>
          <w:szCs w:val="24"/>
          <w:highlight w:val="none"/>
        </w:rPr>
        <w:t>同时承包人应自备充足的发电机，确保施工过程中的水、电安全稳定供应，结算费用不作调整。</w:t>
      </w:r>
    </w:p>
    <w:p w14:paraId="7C81F2E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（2）所有施工范围内涉及的清理、外运全部拆除物与垃圾，以及场地平整。</w:t>
      </w:r>
    </w:p>
    <w:p w14:paraId="259C526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（3）为建设单位、监理单位提供施工现场临时办公用房和办公必须品，并开通通讯线路。</w:t>
      </w:r>
    </w:p>
    <w:p w14:paraId="322897F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（4）合同工期和顺延工期内临时用地（含占道）、房屋租赁的手续费和租金。</w:t>
      </w:r>
    </w:p>
    <w:p w14:paraId="5C37031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承包人在投标报价时应充分考虑施工场地现状与地形图不符的风险，谨慎报价，该部分报价为包干费用，承包人不得以任何理由提出增加费用。</w:t>
      </w:r>
    </w:p>
    <w:p w14:paraId="223BD2A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5.7.6与其他工程的衔接、管理与配合费</w:t>
      </w:r>
    </w:p>
    <w:p w14:paraId="6BA45F9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7972AD3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5.7.7因承包人原因而引起的罚款、索赔和指控等责任由承包人自行承担。</w:t>
      </w:r>
    </w:p>
    <w:p w14:paraId="29E913F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5.7.8工程完工后需要恢复的建筑物、构筑物，承包人必须及时恢复，并使监理工程师和发包人满意，满足政府管理部门的规定和要求。</w:t>
      </w:r>
    </w:p>
    <w:p w14:paraId="05C97C7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05BC1C51">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312B1FED">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6E1F6D9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5.7.12根据广东省、韶关市、南雄市建设主管部门的相关文件规定，承包人须在工程施工现场安装使用视频监控系统、工人实名制系统并接入至南雄市住建主管部门建筑工地视频监控专网及发包人视频监控系统。</w:t>
      </w:r>
    </w:p>
    <w:p w14:paraId="3C736C56">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以上措施项目有关费用已含在合同价中，结算不作调整。</w:t>
      </w:r>
    </w:p>
    <w:p w14:paraId="16492BD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5.8 解除合同后续工程的补充约定</w:t>
      </w:r>
    </w:p>
    <w:p w14:paraId="5182862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29AEFD9D">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1E4B75D8">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3953F88D">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承包人没有正当合理的理由中途退场，除扣除合同价款20％作为履约违约金外，承包人还须承当因其无故中途退场所造成的全部损失责任。</w:t>
      </w:r>
    </w:p>
    <w:p w14:paraId="1E623CB4">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429BA84F">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3E5B6B6A">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5.8.4承包人的已完工程结算时间由发包人确定。按本合同结算条款约定办理结算，同时必须按合同约定扣除违约金、赔偿金。</w:t>
      </w:r>
    </w:p>
    <w:p w14:paraId="444CB0D7">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5.8.5因承包人原因导致解除合同，发包人所遭受的一切损失，由承包人承担全部赔偿责任。</w:t>
      </w:r>
    </w:p>
    <w:p w14:paraId="6A38ECA4">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5.9承包人违约责任追究补充细则</w:t>
      </w:r>
    </w:p>
    <w:p w14:paraId="77E41F9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5.9.1工程质量达不到合同约定的质量标准承包人违约责任：如未达到合格标准，除则按合同价款的</w:t>
      </w:r>
      <w:r>
        <w:rPr>
          <w:rFonts w:hint="eastAsia" w:ascii="宋体" w:hAnsi="宋体" w:eastAsia="宋体" w:cs="宋体"/>
          <w:color w:val="auto"/>
          <w:szCs w:val="24"/>
          <w:highlight w:val="none"/>
          <w:u w:val="single"/>
        </w:rPr>
        <w:t xml:space="preserve"> 1 </w:t>
      </w:r>
      <w:r>
        <w:rPr>
          <w:rFonts w:hint="eastAsia" w:ascii="宋体" w:hAnsi="宋体" w:eastAsia="宋体" w:cs="宋体"/>
          <w:color w:val="auto"/>
          <w:szCs w:val="24"/>
          <w:highlight w:val="none"/>
        </w:rPr>
        <w:t>%向发包人返纳质量违约金外，发包人有权利选择以下方式返工或修复，承包人不得异议：</w:t>
      </w:r>
    </w:p>
    <w:p w14:paraId="78B4B9D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（1）发包人要求承包人在监理工程师和发包人要求的合理时间内，完成质量不合格工程的返工或修复工作，直至合同约定的质量标准，由此造成的工期延误和所有费用，全部由承包人承担；</w:t>
      </w:r>
    </w:p>
    <w:p w14:paraId="070A6F7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（2）发包人直接委托其它承包人完成质量不合格部分工程的返工或修复工作，由此造成的工期延误和所有费用，全部由承包人承担。</w:t>
      </w:r>
    </w:p>
    <w:p w14:paraId="6A2BEB8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（3）无论采取以上何种方式返工或修复，发包人均有权提请建设行政主管部门对其作不良行为记录，有权给予承包人履约评价为不合格。</w:t>
      </w:r>
    </w:p>
    <w:p w14:paraId="348E573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5.9.2承包人违反本合同的约定，应当按约定向发包人承担相应的违约责任。本合同违约责任形式按以下情况分类：</w:t>
      </w:r>
    </w:p>
    <w:p w14:paraId="0AD5B394">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2F09032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（2）一般违约责任。承包人按本合同约定应当承担一般违约责任时，在发包人提出书面警告或通知后扣除违约金人民币伍仟元（￥5000）/次。合同另有约定的除外。</w:t>
      </w:r>
    </w:p>
    <w:p w14:paraId="3271CDFB">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（3）严重违约责任。承包人按本合同约定应当承担严重违约责任时，在发包人提出书面警告或通知后扣除违约金伍万元（￥50000）/次。合同另有约定的除外。</w:t>
      </w:r>
    </w:p>
    <w:p w14:paraId="4969B09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（4）部分解除合同。三次受到发包人书面警告，发包人有权直接解除合同或部分解除合同，按承包人违约解除合同的条款执行。</w:t>
      </w:r>
    </w:p>
    <w:p w14:paraId="0115E8D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1C45DD77">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5.9.4承包人未按合同要求建立组织架构、派驻项目管理人员和投入设备，承包人必须按发包人要求限期整改，并承担相应违约责任。具体约定为：</w:t>
      </w:r>
    </w:p>
    <w:p w14:paraId="743BBAE0">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06332AE7">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509F63E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1A5F384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3CE8D5F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5.9.7承包人项目经理和主要管理人员的考勤实行实名制打卡，承包人项目经理和主要管理人员的考勤若发现有弄虚作假行为，发现一次，承包人应承担一般违约责任1次。</w:t>
      </w:r>
    </w:p>
    <w:p w14:paraId="51AF7487">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5.9.8对于难以胜任工作的承包人管理人员和主要操作技术人员，发包人有权要求承包人进行更换，直至发包人满意为止，且更换人员应在接到书面通知后的3天内到位。</w:t>
      </w:r>
    </w:p>
    <w:p w14:paraId="7B5F0A03">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5CBEC1E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5.9.10承包人未按合同及投标书所作的承诺投入机械、设备、材料等，被监理工程师或发包人发现后，承包人除必须限期改正外，应承担限期改正责任1次。</w:t>
      </w:r>
    </w:p>
    <w:p w14:paraId="611A044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3710232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143C446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0EE9396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5.9.14因承包人原因造成工程投资增加的，承包人应赔偿发包人由此遭受的实际损失，情况严重时发包人有权单方解除本施工合同。</w:t>
      </w:r>
    </w:p>
    <w:p w14:paraId="7CEC80F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4C5388E7">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4AEF1B7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（3）承包人未经监理工程师、发包人同意擅自改变施工技术方案和工艺，造成投资增加的，应承担严重违约责任1次，由此造成的投资增加由承包人负责。</w:t>
      </w:r>
    </w:p>
    <w:p w14:paraId="15EC540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357765D5">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（5）承包人提供虚假情况或制造现场假象造成设计变更及投资增加时，经监理公司、发包人发现，承包人应承担严重违约责任1次，造成的投资增加由承包人承担。 </w:t>
      </w:r>
    </w:p>
    <w:p w14:paraId="625700F8">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5.10、</w:t>
      </w:r>
      <w:r>
        <w:rPr>
          <w:rFonts w:hint="eastAsia" w:ascii="宋体" w:hAnsi="宋体" w:eastAsia="宋体" w:cs="宋体"/>
          <w:color w:val="auto"/>
          <w:szCs w:val="24"/>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有权报请建设行政主管部门对其作不良行为记录。</w:t>
      </w:r>
    </w:p>
    <w:p w14:paraId="62FDB270">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 5.11 承包人提供竣工资料的约定：</w:t>
      </w:r>
    </w:p>
    <w:p w14:paraId="6B66A3D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16F8C95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550314FC">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5.12工程移交及档案管理</w:t>
      </w:r>
    </w:p>
    <w:p w14:paraId="281E35C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5.12.1工程完工后，承包人必须及时按城建相关档案管理规定整理及移交竣工档案，承包人办理工程结算需提交相关工程档案移交签字单，否则结算不予办理。</w:t>
      </w:r>
    </w:p>
    <w:p w14:paraId="23869A2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5.12.2工程竣工验收合格后承包人必须将成品移交给发包人指定的接管单位。在移交工作完成前，现场所有安全及成品保护责任和费用由承包人承担。</w:t>
      </w:r>
    </w:p>
    <w:p w14:paraId="6C7356B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5.12.3在向发包人指定的接管单位移交钥匙的同时提供下列清单：</w:t>
      </w:r>
    </w:p>
    <w:p w14:paraId="6163823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①办理钥匙移交清单（如有）；</w:t>
      </w:r>
    </w:p>
    <w:p w14:paraId="13CADFB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②双方抄好水表电表底数；</w:t>
      </w:r>
    </w:p>
    <w:p w14:paraId="6F93FFD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③列出详细的设备、物件移交清单，标明名称、数量、外观、状态等基本资料</w:t>
      </w:r>
    </w:p>
    <w:p w14:paraId="5811A77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5.12.4按国家、省市和建设主管部门的相关规定应当移交的其他资料。</w:t>
      </w:r>
    </w:p>
    <w:p w14:paraId="139DCC0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7A00916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5.14在工程质量缺陷保修期内，承包人的违约责任。</w:t>
      </w:r>
    </w:p>
    <w:p w14:paraId="14930B7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1315E05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638C9B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684EB1A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01F201B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5.14.5若承包人按照发包人的要求及时履行了保修义务，并能提供证据说明质量缺陷非承包人的责任，保修费用及相关损失由缺陷责任方承担。</w:t>
      </w:r>
    </w:p>
    <w:p w14:paraId="53BDF808">
      <w:pPr>
        <w:pStyle w:val="58"/>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0A8438A2">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5.15发包人有权根据有关管理制度对承包人的履约情况纳入履约信用评价和</w:t>
      </w:r>
      <w:r>
        <w:rPr>
          <w:rFonts w:hint="eastAsia" w:ascii="宋体" w:hAnsi="宋体" w:eastAsia="宋体" w:cs="宋体"/>
          <w:b/>
          <w:color w:val="auto"/>
          <w:szCs w:val="24"/>
          <w:highlight w:val="none"/>
        </w:rPr>
        <w:t>第三方质量安全评估</w:t>
      </w:r>
      <w:r>
        <w:rPr>
          <w:rFonts w:hint="eastAsia" w:ascii="宋体" w:hAnsi="宋体" w:eastAsia="宋体" w:cs="宋体"/>
          <w:b/>
          <w:bCs/>
          <w:color w:val="auto"/>
          <w:szCs w:val="24"/>
          <w:highlight w:val="none"/>
        </w:rPr>
        <w:t>体系进行履约信用评价和</w:t>
      </w:r>
      <w:r>
        <w:rPr>
          <w:rFonts w:hint="eastAsia" w:ascii="宋体" w:hAnsi="宋体" w:eastAsia="宋体" w:cs="宋体"/>
          <w:b/>
          <w:color w:val="auto"/>
          <w:szCs w:val="24"/>
          <w:highlight w:val="none"/>
        </w:rPr>
        <w:t>质量安全</w:t>
      </w:r>
      <w:r>
        <w:rPr>
          <w:rFonts w:hint="eastAsia" w:ascii="宋体" w:hAnsi="宋体" w:eastAsia="宋体" w:cs="宋体"/>
          <w:b/>
          <w:bCs/>
          <w:color w:val="auto"/>
          <w:szCs w:val="24"/>
          <w:highlight w:val="none"/>
        </w:rPr>
        <w:t>评估，并将评价结果和评估结果报送给有关监管部门。</w:t>
      </w:r>
    </w:p>
    <w:p w14:paraId="466E33EF">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履约信用评价</w:t>
      </w:r>
      <w:r>
        <w:rPr>
          <w:rFonts w:hint="eastAsia" w:ascii="宋体" w:hAnsi="宋体" w:eastAsia="宋体" w:cs="宋体"/>
          <w:bCs/>
          <w:color w:val="auto"/>
          <w:szCs w:val="24"/>
          <w:highlight w:val="none"/>
        </w:rPr>
        <w:t>和</w:t>
      </w:r>
      <w:r>
        <w:rPr>
          <w:rFonts w:hint="eastAsia" w:ascii="宋体" w:hAnsi="宋体" w:eastAsia="宋体" w:cs="宋体"/>
          <w:color w:val="auto"/>
          <w:szCs w:val="24"/>
          <w:highlight w:val="none"/>
        </w:rPr>
        <w:t>第三方质量安全评估按发包人履约信用评价</w:t>
      </w:r>
      <w:r>
        <w:rPr>
          <w:rFonts w:hint="eastAsia" w:ascii="宋体" w:hAnsi="宋体" w:eastAsia="宋体" w:cs="宋体"/>
          <w:bCs/>
          <w:color w:val="auto"/>
          <w:szCs w:val="24"/>
          <w:highlight w:val="none"/>
        </w:rPr>
        <w:t>、</w:t>
      </w:r>
      <w:r>
        <w:rPr>
          <w:rFonts w:hint="eastAsia" w:ascii="宋体" w:hAnsi="宋体" w:eastAsia="宋体" w:cs="宋体"/>
          <w:color w:val="auto"/>
          <w:szCs w:val="24"/>
          <w:highlight w:val="none"/>
        </w:rPr>
        <w:t>质量安全</w:t>
      </w:r>
      <w:r>
        <w:rPr>
          <w:rFonts w:hint="eastAsia" w:ascii="宋体" w:hAnsi="宋体" w:eastAsia="宋体" w:cs="宋体"/>
          <w:bCs/>
          <w:color w:val="auto"/>
          <w:szCs w:val="24"/>
          <w:highlight w:val="none"/>
        </w:rPr>
        <w:t>评估</w:t>
      </w:r>
      <w:r>
        <w:rPr>
          <w:rFonts w:hint="eastAsia" w:ascii="宋体" w:hAnsi="宋体" w:eastAsia="宋体" w:cs="宋体"/>
          <w:color w:val="auto"/>
          <w:szCs w:val="24"/>
          <w:highlight w:val="none"/>
        </w:rPr>
        <w:t>管理规定执行，评价内容包含人员到位情况、服务配合程度、工程质量、安全、项目后期服务及信用评价结果、评估结果的运用等。</w:t>
      </w:r>
    </w:p>
    <w:p w14:paraId="218E51F1">
      <w:pPr>
        <w:pageBreakBefore w:val="0"/>
        <w:tabs>
          <w:tab w:val="left" w:pos="1260"/>
        </w:tabs>
        <w:kinsoku/>
        <w:overflowPunct/>
        <w:topLinePunct w:val="0"/>
        <w:bidi w:val="0"/>
        <w:snapToGrid w:val="0"/>
        <w:spacing w:line="440" w:lineRule="exact"/>
        <w:ind w:firstLine="442" w:firstLineChars="200"/>
        <w:textAlignment w:val="auto"/>
        <w:rPr>
          <w:rFonts w:hint="eastAsia" w:ascii="宋体" w:hAnsi="宋体" w:eastAsia="宋体" w:cs="宋体"/>
          <w:b/>
          <w:bCs/>
          <w:color w:val="auto"/>
          <w:spacing w:val="-10"/>
          <w:szCs w:val="24"/>
          <w:highlight w:val="none"/>
        </w:rPr>
      </w:pPr>
      <w:r>
        <w:rPr>
          <w:rFonts w:hint="eastAsia" w:ascii="宋体" w:hAnsi="宋体" w:eastAsia="宋体" w:cs="宋体"/>
          <w:b/>
          <w:bCs/>
          <w:color w:val="auto"/>
          <w:spacing w:val="-10"/>
          <w:szCs w:val="24"/>
          <w:highlight w:val="none"/>
        </w:rPr>
        <w:t>6.设计部分：</w:t>
      </w:r>
    </w:p>
    <w:p w14:paraId="7A7063E4">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pacing w:val="-10"/>
          <w:szCs w:val="24"/>
          <w:highlight w:val="none"/>
        </w:rPr>
      </w:pPr>
      <w:r>
        <w:rPr>
          <w:rFonts w:hint="eastAsia" w:ascii="宋体" w:hAnsi="宋体" w:eastAsia="宋体" w:cs="宋体"/>
          <w:color w:val="auto"/>
          <w:spacing w:val="-10"/>
          <w:szCs w:val="24"/>
          <w:highlight w:val="none"/>
        </w:rPr>
        <w:t>6.1 本合同设计总价包括所有设计事务工作收费、技术工作收费、税金和完成合同约定的所有与工程设计有关的全部费用。</w:t>
      </w:r>
    </w:p>
    <w:p w14:paraId="74B8C614">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pacing w:val="-10"/>
          <w:szCs w:val="24"/>
          <w:highlight w:val="none"/>
        </w:rPr>
        <w:t>6.2 承包人必须严格按有关设计规范设</w:t>
      </w:r>
      <w:r>
        <w:rPr>
          <w:rFonts w:hint="eastAsia" w:ascii="宋体" w:hAnsi="宋体" w:eastAsia="宋体" w:cs="宋体"/>
          <w:color w:val="auto"/>
          <w:szCs w:val="24"/>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64DC2755">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6.3 </w:t>
      </w:r>
      <w:r>
        <w:rPr>
          <w:rFonts w:hint="eastAsia" w:ascii="宋体" w:hAnsi="宋体" w:eastAsia="宋体" w:cs="宋体"/>
          <w:color w:val="auto"/>
          <w:szCs w:val="24"/>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1725D06D">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bookmarkStart w:id="399" w:name="_Toc390613831"/>
      <w:r>
        <w:rPr>
          <w:rFonts w:hint="eastAsia" w:ascii="宋体" w:hAnsi="宋体" w:eastAsia="宋体" w:cs="宋体"/>
          <w:color w:val="auto"/>
          <w:szCs w:val="24"/>
          <w:highlight w:val="none"/>
        </w:rPr>
        <w:t>6.4.知识产权和专利权</w:t>
      </w:r>
      <w:bookmarkEnd w:id="399"/>
    </w:p>
    <w:p w14:paraId="76ECBCE2">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2A9472B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4C7D57BF">
      <w:pPr>
        <w:pageBreakBefore w:val="0"/>
        <w:kinsoku/>
        <w:overflowPunct/>
        <w:topLinePunct w:val="0"/>
        <w:bidi w:val="0"/>
        <w:spacing w:beforeLines="50" w:line="440" w:lineRule="exact"/>
        <w:ind w:firstLine="472" w:firstLineChars="197"/>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6.4.3承包人应保证发包人在本项目建设过程中使用其设计文件和设计文件的任何一部分时，发包人免受第三方提出侵犯其专利权、商标权或其他知识产权的起诉。</w:t>
      </w:r>
    </w:p>
    <w:p w14:paraId="54AC32C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承包人保证发包人使用承包人设计成果将不会对任何第三方构成侵权，如因此引起任何第三方向发包人提出侵权之诉讼或索赔，均由承包人承担处理、应诉和赔偿责任。</w:t>
      </w:r>
    </w:p>
    <w:p w14:paraId="62EC01A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6.4.4承包人提交给发包人的设计文件，其著作权、版权、专利权和使用权归发包人所有（署名权除外）。   </w:t>
      </w:r>
    </w:p>
    <w:p w14:paraId="06E08496">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6.5.</w:t>
      </w:r>
      <w:r>
        <w:rPr>
          <w:rFonts w:hint="eastAsia" w:ascii="宋体" w:hAnsi="宋体" w:eastAsia="宋体" w:cs="宋体"/>
          <w:color w:val="auto"/>
          <w:szCs w:val="24"/>
          <w:highlight w:val="none"/>
        </w:rPr>
        <w:t xml:space="preserve"> 承包人在合同有效期内，应当履行合同约定的义务，如因承包人的原因产生设计质量事故、工期延误或设计缺陷，造成损失的应承担赔偿责任。</w:t>
      </w:r>
    </w:p>
    <w:p w14:paraId="0B8F2A4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（1）因设计错误而造成一般质量事故的，承包人除应免收受损失部分的设计费外，还应无偿修改和完善设计，并承担给发包人造成的直接损失。</w:t>
      </w:r>
    </w:p>
    <w:p w14:paraId="4854E50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（2）因设计错误而造成重大质量事故的，承包人承担给发包人造成的直接损失，发包人有权解除设计合同，并报请有关主管部门视事故造成的损失情况给予其他处罚。</w:t>
      </w:r>
    </w:p>
    <w:p w14:paraId="73093687">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6.6.</w:t>
      </w:r>
      <w:r>
        <w:rPr>
          <w:rFonts w:hint="eastAsia" w:ascii="宋体" w:hAnsi="宋体" w:eastAsia="宋体" w:cs="宋体"/>
          <w:color w:val="auto"/>
          <w:szCs w:val="24"/>
          <w:highlight w:val="none"/>
        </w:rPr>
        <w:t xml:space="preserve"> 若因承包人原因导致提交的设计成果文件无法通过发包人组织的设计审查，发包人有权发出如下任何指令，承包人必须遵照执行。</w:t>
      </w:r>
    </w:p>
    <w:p w14:paraId="2535D0A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7D757DF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73AB141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6DB6CEFF">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6.7. </w:t>
      </w:r>
      <w:r>
        <w:rPr>
          <w:rFonts w:hint="eastAsia" w:ascii="宋体" w:hAnsi="宋体" w:eastAsia="宋体" w:cs="宋体"/>
          <w:color w:val="auto"/>
          <w:szCs w:val="24"/>
          <w:highlight w:val="none"/>
        </w:rPr>
        <w:t>承包人应赔偿因设计质量或设计图纸不完善带来的设计变更所引发的工程费增加、施工返工费、误工费等，处理原则如下：</w:t>
      </w:r>
    </w:p>
    <w:p w14:paraId="5EE2F5B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（1）由于设计质量或设计图纸不完善引起的施工返工，承包人应及时处理，并每次扣减设计合同价的2%作为违约金。</w:t>
      </w:r>
    </w:p>
    <w:p w14:paraId="3CFD1A5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2F8BD79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27CF024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2CD510DC">
      <w:pPr>
        <w:pStyle w:val="71"/>
        <w:pageBreakBefore w:val="0"/>
        <w:kinsoku/>
        <w:overflowPunct/>
        <w:topLinePunct w:val="0"/>
        <w:bidi w:val="0"/>
        <w:spacing w:line="440" w:lineRule="exact"/>
        <w:ind w:firstLine="602" w:firstLineChars="25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6.7.1</w:t>
      </w:r>
      <w:r>
        <w:rPr>
          <w:rFonts w:hint="eastAsia" w:ascii="宋体" w:hAnsi="宋体" w:eastAsia="宋体" w:cs="宋体"/>
          <w:color w:val="auto"/>
          <w:szCs w:val="24"/>
          <w:highlight w:val="none"/>
        </w:rPr>
        <w:t>工程变更的程序和管理按《关于加强市本级政府投资项目财政投资评审监督管理的实施意见》（雄府办函﹝2023﹞5号）执行，凡不符合该实施意见要求的变更均为无效变更。如因设计人的责任引起变更造成投资规模增加，按如下规定追究设计人的违约责任：</w:t>
      </w:r>
    </w:p>
    <w:p w14:paraId="153550BF">
      <w:pPr>
        <w:pStyle w:val="71"/>
        <w:pageBreakBefore w:val="0"/>
        <w:kinsoku/>
        <w:overflowPunct/>
        <w:topLinePunct w:val="0"/>
        <w:bidi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（1）因设计人责任引起变更造成投资规模增加10%以上的，扣减设计人设计合同价20%的违约金；</w:t>
      </w:r>
    </w:p>
    <w:p w14:paraId="31CC6208">
      <w:pPr>
        <w:pStyle w:val="71"/>
        <w:pageBreakBefore w:val="0"/>
        <w:kinsoku/>
        <w:overflowPunct/>
        <w:topLinePunct w:val="0"/>
        <w:bidi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（2）因设计人责任引起变更造成投资规模增加15%以上的，扣减设计人设计合同价30%的违约金；</w:t>
      </w:r>
    </w:p>
    <w:p w14:paraId="76F70808">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（3）因设计人责任引起变更造成投资规模增加20%以上的，扣减设计人设计合同价40%的违约金。</w:t>
      </w:r>
    </w:p>
    <w:p w14:paraId="47D3E27A">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6.8</w:t>
      </w:r>
      <w:r>
        <w:rPr>
          <w:rFonts w:hint="eastAsia" w:ascii="宋体" w:hAnsi="宋体" w:eastAsia="宋体" w:cs="宋体"/>
          <w:color w:val="auto"/>
          <w:szCs w:val="24"/>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52CEE858">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6.9</w:t>
      </w:r>
      <w:r>
        <w:rPr>
          <w:rFonts w:hint="eastAsia" w:ascii="宋体" w:hAnsi="宋体" w:eastAsia="宋体" w:cs="宋体"/>
          <w:color w:val="auto"/>
          <w:szCs w:val="24"/>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3A85B0B5">
      <w:pPr>
        <w:pStyle w:val="8"/>
        <w:pageBreakBefore w:val="0"/>
        <w:kinsoku/>
        <w:overflowPunct/>
        <w:topLinePunct w:val="0"/>
        <w:bidi w:val="0"/>
        <w:snapToGrid w:val="0"/>
        <w:spacing w:line="440" w:lineRule="exact"/>
        <w:ind w:left="63" w:right="63" w:firstLine="482" w:firstLineChars="200"/>
        <w:jc w:val="left"/>
        <w:textAlignment w:val="auto"/>
        <w:rPr>
          <w:rFonts w:hint="eastAsia" w:ascii="宋体" w:hAnsi="宋体" w:eastAsia="宋体" w:cs="宋体"/>
          <w:b/>
          <w:color w:val="auto"/>
          <w:kern w:val="0"/>
          <w:szCs w:val="24"/>
          <w:highlight w:val="none"/>
        </w:rPr>
      </w:pPr>
      <w:r>
        <w:rPr>
          <w:rFonts w:hint="eastAsia" w:ascii="宋体" w:hAnsi="宋体" w:eastAsia="宋体" w:cs="宋体"/>
          <w:b/>
          <w:color w:val="auto"/>
          <w:kern w:val="0"/>
          <w:szCs w:val="24"/>
          <w:highlight w:val="none"/>
        </w:rPr>
        <w:t>6.10 除招标文件规定的服务内容外，承包人还须完成以下各阶段服务内容：</w:t>
      </w:r>
    </w:p>
    <w:p w14:paraId="14138078">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6.10.1 施工图设计阶段</w:t>
      </w:r>
    </w:p>
    <w:p w14:paraId="3F543077">
      <w:pPr>
        <w:pStyle w:val="37"/>
        <w:pageBreakBefore w:val="0"/>
        <w:kinsoku/>
        <w:overflowPunct/>
        <w:topLinePunct w:val="0"/>
        <w:bidi w:val="0"/>
        <w:spacing w:line="440" w:lineRule="exact"/>
        <w:ind w:firstLine="480" w:firstLineChars="200"/>
        <w:jc w:val="lef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（1）负责完成并制作总图及设计说明书、主要设备及材料以及建筑、结构、建筑装饰装修、给排水、电气、照明、</w:t>
      </w:r>
      <w:r>
        <w:rPr>
          <w:rFonts w:hint="eastAsia" w:ascii="宋体" w:hAnsi="宋体" w:eastAsia="宋体" w:cs="宋体"/>
          <w:color w:val="auto"/>
          <w:szCs w:val="24"/>
          <w:highlight w:val="none"/>
          <w:lang w:eastAsia="zh-CN"/>
        </w:rPr>
        <w:t>消防、节能、无障碍设计、安防及智能系统、充电桩、雨污分流、道路、综合管网</w:t>
      </w:r>
      <w:r>
        <w:rPr>
          <w:rFonts w:hint="eastAsia" w:ascii="宋体" w:hAnsi="宋体" w:eastAsia="宋体" w:cs="宋体"/>
          <w:color w:val="auto"/>
          <w:szCs w:val="24"/>
          <w:highlight w:val="none"/>
        </w:rPr>
        <w:t>等所有专项设计及红线范围内的所有工程及相关附属工程、设施等本项目涉及的所有建安工程的施工图设计文件</w:t>
      </w:r>
      <w:r>
        <w:rPr>
          <w:rFonts w:hint="eastAsia" w:ascii="宋体" w:hAnsi="宋体" w:eastAsia="宋体" w:cs="宋体"/>
          <w:snapToGrid w:val="0"/>
          <w:color w:val="auto"/>
          <w:kern w:val="0"/>
          <w:highlight w:val="none"/>
        </w:rPr>
        <w:t>；</w:t>
      </w:r>
    </w:p>
    <w:p w14:paraId="370C607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（2）对发包人的审核修改意见进行修改、完善，保证其设计意图的最终实现； </w:t>
      </w:r>
    </w:p>
    <w:p w14:paraId="0EE3F0E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164B885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（4）协助发包人进行工程招标答疑。</w:t>
      </w:r>
    </w:p>
    <w:p w14:paraId="3DE8AB3C">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6.10.2 施工配合阶段</w:t>
      </w:r>
    </w:p>
    <w:p w14:paraId="42F5713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（1）负责工程设计交底，解答施工过程中施工承包人有关施工图的问题，项目负责人及各专业设计负责人，及时对施工中与设计有关的问题做出回应，保证设计满足施工要求； </w:t>
      </w:r>
    </w:p>
    <w:p w14:paraId="68E8B0B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（2）根据发包人要求，及时参加与设计有关的专题会，现场解决技术问题； </w:t>
      </w:r>
    </w:p>
    <w:p w14:paraId="0A3DA8C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（3）协助发包人处理工程洽商和设计变更，负责有关设计修改，及时办理相关手续； </w:t>
      </w:r>
    </w:p>
    <w:p w14:paraId="0C5DE9C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（4）参与与承包人相关的必要的验收以及项目竣工验收工作，并及时办理相关手续； </w:t>
      </w:r>
    </w:p>
    <w:p w14:paraId="56E748E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（5）提供产品选型、设备加工订货、建筑材料选择以及分包商考察等技术咨询工作； </w:t>
      </w:r>
    </w:p>
    <w:p w14:paraId="0DF49B1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（6）应发包人要求协助审核各分包商的设计文件是否满足接口条件并签署意见，以保证其与总体设计协调一致，并满足工程要求。</w:t>
      </w:r>
    </w:p>
    <w:p w14:paraId="65B4EE6B">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 xml:space="preserve">6.11 </w:t>
      </w:r>
      <w:r>
        <w:rPr>
          <w:rFonts w:hint="eastAsia" w:ascii="宋体" w:hAnsi="宋体" w:eastAsia="宋体" w:cs="宋体"/>
          <w:b/>
          <w:color w:val="auto"/>
          <w:szCs w:val="24"/>
          <w:highlight w:val="none"/>
        </w:rPr>
        <w:t>承包人义务及违约责任</w:t>
      </w:r>
    </w:p>
    <w:p w14:paraId="4FB23494">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6.11.1 承包人义务</w:t>
      </w:r>
    </w:p>
    <w:p w14:paraId="1D485134">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1970E5D2">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（2）合同生效后，承包人要求终止或解除合同视为承包人违约。</w:t>
      </w:r>
    </w:p>
    <w:p w14:paraId="5A2FF859">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14:paraId="0989E5C5">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（4）承包人应对发包人提供的文件、资料进行认真研究，对本项目的特点和不确定因素进行认真考虑，并提出合理建议和评价，对影响设计稳定的重大问题要进行多方案比较选择。</w:t>
      </w:r>
    </w:p>
    <w:p w14:paraId="689F558D">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（5）设计应尽可能减少施工难度，为施工创造方便合理的施工条件；应尽量减少施工对城市交通、市民生活以及水利、通航的干扰，并尽可能减少对施工期的影响。</w:t>
      </w:r>
    </w:p>
    <w:p w14:paraId="06533A04">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（6）未经发包人书面同意，承包人不得对已批准的设计和勘探点布置方案作重大修改、增减或删除。</w:t>
      </w:r>
    </w:p>
    <w:p w14:paraId="4801FEF7">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（7）承包人提交的全部设计文件应考虑地质因素、正常施工中可能出现的各种因素，对设计文件出现的遗漏或错误负责修改或补充。</w:t>
      </w:r>
    </w:p>
    <w:p w14:paraId="1B175996">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（8）承包人承诺在交付项目的部分或全部设计文件后，如有更好的新工艺、新技术、新材料、新设备等适用于本项目，应及时向发包人推荐并提供科学的评估和来源证明。</w:t>
      </w:r>
    </w:p>
    <w:p w14:paraId="06D8A7CB">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（9）承包人驻南雄办公的项目负责人（即投标文件所拟派的项目负责人）必须负责本项目设计全过程（包括施工图设计审查、施工图设计修编、图纸会审和技术交底）。</w:t>
      </w:r>
    </w:p>
    <w:p w14:paraId="625586A1">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（10）承包人应委派1名参与并熟悉本项目设计任务，有现场处理经验的设计代表常驻项目现场。承包人应为派驻现场的设计工作人员提供工作、生活及交通等方面的便利条件及准备必要的劳动保护装备。</w:t>
      </w:r>
    </w:p>
    <w:p w14:paraId="283C1BB6">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（11）承包人要按照批准的设计任务书，按照批准的总概算控制施工图设计，即限额设计。承包人要无条件对设计文件出现的遗漏或错误负责修改或补充，直到满足要求。</w:t>
      </w:r>
    </w:p>
    <w:p w14:paraId="063B4F1C">
      <w:pPr>
        <w:pageBreakBefore w:val="0"/>
        <w:kinsoku/>
        <w:overflowPunct/>
        <w:topLinePunct w:val="0"/>
        <w:bidi w:val="0"/>
        <w:adjustRightInd w:val="0"/>
        <w:snapToGrid w:val="0"/>
        <w:spacing w:line="440" w:lineRule="exact"/>
        <w:ind w:firstLine="244"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pacing w:val="2"/>
          <w:szCs w:val="24"/>
          <w:highlight w:val="none"/>
        </w:rPr>
        <w:t xml:space="preserve"> （12）发包人及咨询</w:t>
      </w:r>
      <w:r>
        <w:rPr>
          <w:rFonts w:hint="eastAsia" w:ascii="宋体" w:hAnsi="宋体" w:eastAsia="宋体" w:cs="宋体"/>
          <w:color w:val="auto"/>
          <w:spacing w:val="1"/>
          <w:szCs w:val="24"/>
          <w:highlight w:val="none"/>
        </w:rPr>
        <w:t>单</w:t>
      </w:r>
      <w:r>
        <w:rPr>
          <w:rFonts w:hint="eastAsia" w:ascii="宋体" w:hAnsi="宋体" w:eastAsia="宋体" w:cs="宋体"/>
          <w:color w:val="auto"/>
          <w:spacing w:val="2"/>
          <w:szCs w:val="24"/>
          <w:highlight w:val="none"/>
        </w:rPr>
        <w:t>位、上级</w:t>
      </w:r>
      <w:r>
        <w:rPr>
          <w:rFonts w:hint="eastAsia" w:ascii="宋体" w:hAnsi="宋体" w:eastAsia="宋体" w:cs="宋体"/>
          <w:color w:val="auto"/>
          <w:spacing w:val="1"/>
          <w:szCs w:val="24"/>
          <w:highlight w:val="none"/>
        </w:rPr>
        <w:t>主</w:t>
      </w:r>
      <w:r>
        <w:rPr>
          <w:rFonts w:hint="eastAsia" w:ascii="宋体" w:hAnsi="宋体" w:eastAsia="宋体" w:cs="宋体"/>
          <w:color w:val="auto"/>
          <w:spacing w:val="2"/>
          <w:szCs w:val="24"/>
          <w:highlight w:val="none"/>
        </w:rPr>
        <w:t>管部门对设计</w:t>
      </w:r>
      <w:r>
        <w:rPr>
          <w:rFonts w:hint="eastAsia" w:ascii="宋体" w:hAnsi="宋体" w:eastAsia="宋体" w:cs="宋体"/>
          <w:color w:val="auto"/>
          <w:szCs w:val="24"/>
          <w:highlight w:val="none"/>
        </w:rPr>
        <w:t>文件的审查并不免除承包人的责任。</w:t>
      </w:r>
    </w:p>
    <w:p w14:paraId="700BE1EC">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color w:val="auto"/>
          <w:szCs w:val="24"/>
          <w:highlight w:val="none"/>
        </w:rPr>
        <w:t>（13）中标通知书发出后三天内，中标单位法定代表人及主要负责人、项目经理、设计负责人应积极主动与发包人接洽工作，迅速有效推动工程前期工作顺利开展，逾期未履行，作违约处理。</w:t>
      </w:r>
    </w:p>
    <w:p w14:paraId="323A3FE3">
      <w:pPr>
        <w:pageBreakBefore w:val="0"/>
        <w:kinsoku/>
        <w:overflowPunct/>
        <w:topLinePunct w:val="0"/>
        <w:bidi w:val="0"/>
        <w:adjustRightInd w:val="0"/>
        <w:snapToGrid w:val="0"/>
        <w:spacing w:line="440" w:lineRule="exact"/>
        <w:ind w:firstLine="120" w:firstLineChars="5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color w:val="auto"/>
          <w:szCs w:val="24"/>
          <w:highlight w:val="none"/>
        </w:rPr>
        <w:t xml:space="preserve">   6.11.2 </w:t>
      </w:r>
      <w:r>
        <w:rPr>
          <w:rFonts w:hint="eastAsia" w:ascii="宋体" w:hAnsi="宋体" w:eastAsia="宋体" w:cs="宋体"/>
          <w:b/>
          <w:snapToGrid w:val="0"/>
          <w:color w:val="auto"/>
          <w:kern w:val="0"/>
          <w:szCs w:val="24"/>
          <w:highlight w:val="none"/>
        </w:rPr>
        <w:t>承包人违约的处理</w:t>
      </w:r>
    </w:p>
    <w:p w14:paraId="66D2F464">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（1）承包人发生合同约定的违约情况时，无论发包人是否解除合同，发包人均有权按相关规定</w:t>
      </w:r>
      <w:r>
        <w:rPr>
          <w:rFonts w:hint="eastAsia" w:ascii="宋体" w:hAnsi="宋体" w:eastAsia="宋体" w:cs="宋体"/>
          <w:strike w:val="0"/>
          <w:dstrike w:val="0"/>
          <w:color w:val="auto"/>
          <w:szCs w:val="24"/>
          <w:highlight w:val="none"/>
          <w:lang w:eastAsia="zh-CN"/>
        </w:rPr>
        <w:t>要求承包人支付违约金</w:t>
      </w:r>
      <w:r>
        <w:rPr>
          <w:rFonts w:hint="eastAsia" w:ascii="宋体" w:hAnsi="宋体" w:eastAsia="宋体" w:cs="宋体"/>
          <w:color w:val="auto"/>
          <w:szCs w:val="24"/>
          <w:highlight w:val="none"/>
        </w:rPr>
        <w:t>，并由发包人将其违约行为记录在合同履约评价报告中，作为合同履约综合评价的依据。同时，发包人将</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的违约行为</w:t>
      </w:r>
      <w:r>
        <w:rPr>
          <w:rFonts w:hint="eastAsia" w:ascii="宋体" w:hAnsi="宋体" w:eastAsia="宋体" w:cs="宋体"/>
          <w:snapToGrid w:val="0"/>
          <w:color w:val="auto"/>
          <w:kern w:val="0"/>
          <w:szCs w:val="24"/>
          <w:highlight w:val="none"/>
        </w:rPr>
        <w:t>上报建设行政主管部门。</w:t>
      </w:r>
    </w:p>
    <w:p w14:paraId="27CB9397">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开出的任何违约金，除合同另有规定外，均从发包人应向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支付的</w:t>
      </w:r>
      <w:r>
        <w:rPr>
          <w:rFonts w:hint="eastAsia" w:ascii="宋体" w:hAnsi="宋体" w:eastAsia="宋体" w:cs="宋体"/>
          <w:strike w:val="0"/>
          <w:dstrike w:val="0"/>
          <w:color w:val="auto"/>
          <w:highlight w:val="none"/>
          <w:lang w:eastAsia="zh-CN"/>
        </w:rPr>
        <w:t>款项</w:t>
      </w:r>
      <w:r>
        <w:rPr>
          <w:rFonts w:hint="eastAsia" w:ascii="宋体" w:hAnsi="宋体" w:eastAsia="宋体" w:cs="宋体"/>
          <w:color w:val="auto"/>
          <w:szCs w:val="24"/>
          <w:highlight w:val="none"/>
        </w:rPr>
        <w:t>中直接扣除。除非合同另有规定，发包人向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开出的任何违约金将导致承包人最终的应得结算价款相应地减少。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必须完全接受上述条款。</w:t>
      </w:r>
    </w:p>
    <w:p w14:paraId="6C753368">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开出的任何违约金的扣除时间，可以在发包人认为合适的任何一个期中支付月份中扣除。发包人扣除违约金时间的延迟或滞后并不代表对</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当时各种行为的认可或默认。</w:t>
      </w:r>
    </w:p>
    <w:p w14:paraId="3463DEFC">
      <w:pPr>
        <w:pageBreakBefore w:val="0"/>
        <w:kinsoku/>
        <w:overflowPunct/>
        <w:topLinePunct w:val="0"/>
        <w:bidi w:val="0"/>
        <w:spacing w:line="440" w:lineRule="exact"/>
        <w:ind w:firstLine="360" w:firstLineChars="15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（4）</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的违约金由发包人掌握使用。</w:t>
      </w:r>
    </w:p>
    <w:p w14:paraId="2E537A34">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6.12</w:t>
      </w:r>
      <w:r>
        <w:rPr>
          <w:rFonts w:hint="eastAsia" w:ascii="宋体" w:hAnsi="宋体" w:eastAsia="宋体" w:cs="宋体"/>
          <w:b/>
          <w:bCs/>
          <w:color w:val="auto"/>
          <w:szCs w:val="24"/>
          <w:highlight w:val="none"/>
        </w:rPr>
        <w:t>发包人有权根据有关管理制度对承包人的履约情况纳入履约信用评价体系进行履约信用评价，并将评价结果报送给有关监管部门。</w:t>
      </w:r>
    </w:p>
    <w:p w14:paraId="0CAC103B">
      <w:pPr>
        <w:pStyle w:val="7"/>
        <w:pageBreakBefore w:val="0"/>
        <w:kinsoku/>
        <w:overflowPunct/>
        <w:topLinePunct w:val="0"/>
        <w:bidi w:val="0"/>
        <w:spacing w:line="440" w:lineRule="exact"/>
        <w:textAlignment w:val="auto"/>
        <w:rPr>
          <w:rFonts w:asciiTheme="minorEastAsia" w:hAnsiTheme="minorEastAsia" w:eastAsiaTheme="minorEastAsia" w:cstheme="minorEastAsia"/>
          <w:color w:val="auto"/>
          <w:highlight w:val="none"/>
        </w:rPr>
      </w:pPr>
      <w:r>
        <w:rPr>
          <w:rFonts w:hint="eastAsia" w:ascii="宋体" w:hAnsi="宋体" w:eastAsia="宋体" w:cs="宋体"/>
          <w:color w:val="auto"/>
          <w:sz w:val="24"/>
          <w:szCs w:val="24"/>
          <w:highlight w:val="none"/>
        </w:rPr>
        <w:t>履约信用评价按发包人履约信用评价管理规定执行，评价内容包含人员到位情况、服务配合程度、服务成果质量、项目后期服务及履约信用评价结果的运用等。</w:t>
      </w:r>
    </w:p>
    <w:p w14:paraId="7A5CB751">
      <w:pPr>
        <w:pStyle w:val="38"/>
        <w:keepNext/>
        <w:keepLines/>
        <w:tabs>
          <w:tab w:val="left" w:pos="885"/>
        </w:tabs>
        <w:spacing w:line="400" w:lineRule="exact"/>
        <w:jc w:val="center"/>
        <w:rPr>
          <w:rFonts w:asciiTheme="minorEastAsia" w:hAnsiTheme="minorEastAsia" w:eastAsiaTheme="minorEastAsia" w:cstheme="minorEastAsia"/>
          <w:b/>
          <w:color w:val="auto"/>
          <w:kern w:val="44"/>
          <w:sz w:val="24"/>
          <w:highlight w:val="none"/>
        </w:rPr>
      </w:pPr>
      <w:bookmarkStart w:id="400" w:name="_Toc11306"/>
      <w:r>
        <w:rPr>
          <w:rFonts w:hint="eastAsia" w:asciiTheme="minorEastAsia" w:hAnsiTheme="minorEastAsia" w:eastAsiaTheme="minorEastAsia" w:cstheme="minorEastAsia"/>
          <w:b/>
          <w:color w:val="auto"/>
          <w:kern w:val="44"/>
          <w:sz w:val="24"/>
          <w:highlight w:val="none"/>
        </w:rPr>
        <w:br w:type="page"/>
      </w:r>
      <w:bookmarkStart w:id="401" w:name="_Toc16036"/>
      <w:bookmarkStart w:id="402" w:name="_Toc941"/>
      <w:bookmarkStart w:id="403" w:name="_Toc10003"/>
      <w:bookmarkStart w:id="404" w:name="_Toc15865"/>
      <w:bookmarkStart w:id="405" w:name="_Toc18208"/>
      <w:bookmarkStart w:id="406" w:name="_Toc28950"/>
      <w:bookmarkStart w:id="407" w:name="_Toc5081"/>
      <w:bookmarkStart w:id="408" w:name="_Toc31905"/>
      <w:r>
        <w:rPr>
          <w:rFonts w:hint="eastAsia" w:asciiTheme="minorEastAsia" w:hAnsiTheme="minorEastAsia" w:eastAsiaTheme="minorEastAsia" w:cstheme="minorEastAsia"/>
          <w:b/>
          <w:color w:val="auto"/>
          <w:kern w:val="44"/>
          <w:sz w:val="36"/>
          <w:szCs w:val="36"/>
          <w:highlight w:val="none"/>
        </w:rPr>
        <w:t>第三</w:t>
      </w:r>
      <w:bookmarkStart w:id="409" w:name="_Hlt69669171"/>
      <w:bookmarkEnd w:id="409"/>
      <w:r>
        <w:rPr>
          <w:rFonts w:hint="eastAsia" w:asciiTheme="minorEastAsia" w:hAnsiTheme="minorEastAsia" w:eastAsiaTheme="minorEastAsia" w:cstheme="minorEastAsia"/>
          <w:b/>
          <w:color w:val="auto"/>
          <w:kern w:val="44"/>
          <w:sz w:val="36"/>
          <w:szCs w:val="36"/>
          <w:highlight w:val="none"/>
        </w:rPr>
        <w:t>章</w:t>
      </w:r>
      <w:bookmarkStart w:id="410" w:name="_Hlt87793839"/>
      <w:bookmarkEnd w:id="410"/>
      <w:r>
        <w:rPr>
          <w:rFonts w:hint="eastAsia" w:asciiTheme="minorEastAsia" w:hAnsiTheme="minorEastAsia" w:eastAsiaTheme="minorEastAsia" w:cstheme="minorEastAsia"/>
          <w:b/>
          <w:color w:val="auto"/>
          <w:kern w:val="44"/>
          <w:sz w:val="36"/>
          <w:szCs w:val="36"/>
          <w:highlight w:val="none"/>
        </w:rPr>
        <w:t xml:space="preserve"> 中标人须知</w:t>
      </w:r>
      <w:bookmarkEnd w:id="400"/>
      <w:bookmarkEnd w:id="401"/>
      <w:bookmarkEnd w:id="402"/>
      <w:bookmarkEnd w:id="403"/>
      <w:bookmarkEnd w:id="404"/>
      <w:bookmarkEnd w:id="405"/>
      <w:bookmarkEnd w:id="406"/>
      <w:bookmarkEnd w:id="407"/>
      <w:bookmarkEnd w:id="408"/>
    </w:p>
    <w:p w14:paraId="37F82391">
      <w:pPr>
        <w:pStyle w:val="37"/>
        <w:rPr>
          <w:rFonts w:asciiTheme="minorEastAsia" w:hAnsiTheme="minorEastAsia" w:eastAsiaTheme="minorEastAsia" w:cstheme="minorEastAsia"/>
          <w:color w:val="auto"/>
          <w:highlight w:val="none"/>
        </w:rPr>
      </w:pPr>
    </w:p>
    <w:bookmarkEnd w:id="348"/>
    <w:bookmarkEnd w:id="349"/>
    <w:bookmarkEnd w:id="350"/>
    <w:p w14:paraId="38BBCF20">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Theme="minorEastAsia" w:hAnsiTheme="minorEastAsia" w:eastAsiaTheme="minorEastAsia" w:cstheme="minorEastAsia"/>
          <w:b/>
          <w:color w:val="auto"/>
          <w:szCs w:val="24"/>
          <w:highlight w:val="none"/>
        </w:rPr>
        <w:t xml:space="preserve">  </w:t>
      </w:r>
      <w:r>
        <w:rPr>
          <w:rFonts w:ascii="宋体" w:hAnsi="宋体" w:eastAsia="宋体" w:cs="宋体"/>
          <w:b/>
          <w:color w:val="auto"/>
          <w:szCs w:val="24"/>
          <w:highlight w:val="none"/>
        </w:rPr>
        <w:t xml:space="preserve">  3.1  </w:t>
      </w:r>
      <w:r>
        <w:rPr>
          <w:rFonts w:ascii="宋体" w:hAnsi="宋体" w:eastAsia="宋体" w:cs="宋体"/>
          <w:color w:val="auto"/>
          <w:szCs w:val="24"/>
          <w:highlight w:val="none"/>
        </w:rPr>
        <w:t>招标人向中标人发出的《中标通知书》对招标人和中标人均具有法律约束力。中标通知书发出后，招标人改变中标结果和中标人放弃中标的，应当承担法律责任。</w:t>
      </w:r>
    </w:p>
    <w:p w14:paraId="5F2D9B2D">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3.2  </w:t>
      </w:r>
      <w:r>
        <w:rPr>
          <w:rFonts w:ascii="宋体" w:hAnsi="宋体" w:eastAsia="宋体" w:cs="宋体"/>
          <w:color w:val="auto"/>
          <w:szCs w:val="24"/>
          <w:highlight w:val="none"/>
        </w:rPr>
        <w:t>中标人不与招标人签订合同，招标人可以取消其中标人资格。给招标人造成经济损失的，招标人可以向中标人索赔。</w:t>
      </w:r>
    </w:p>
    <w:p w14:paraId="1272667B">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3.3  </w:t>
      </w:r>
      <w:r>
        <w:rPr>
          <w:rFonts w:ascii="宋体" w:hAnsi="宋体" w:eastAsia="宋体" w:cs="宋体"/>
          <w:color w:val="auto"/>
          <w:szCs w:val="24"/>
          <w:highlight w:val="none"/>
        </w:rPr>
        <w:t>中标人在施工期间应严格遵守国家、省、市有关防火、爆破和施工安全以及文明施工、深夜施工、环卫城管等规定，建立规章制度和防护措施。否则，由此造成的经济损失和法律责任，均由中标人负责。</w:t>
      </w:r>
    </w:p>
    <w:p w14:paraId="0F64845C">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中标人必须做好施工场地地下地上管线和邻近建筑物、构筑物（包括文物保护建筑）、名树名木（如有）的保护工作。</w:t>
      </w:r>
    </w:p>
    <w:p w14:paraId="6EC49FD9">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3.4  </w:t>
      </w:r>
      <w:r>
        <w:rPr>
          <w:rFonts w:ascii="宋体" w:hAnsi="宋体" w:eastAsia="宋体" w:cs="宋体"/>
          <w:color w:val="auto"/>
          <w:szCs w:val="24"/>
          <w:highlight w:val="none"/>
        </w:rPr>
        <w:t>中标人应按安全施工的要求，采取严格科学的安全措施，确保施工安全和第三者的安全，承担由于自身安全措施不力所造成的事故责任和发生的费用。</w:t>
      </w:r>
    </w:p>
    <w:p w14:paraId="73DF200B">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bookmarkStart w:id="411" w:name="_Hlt93117969"/>
      <w:r>
        <w:rPr>
          <w:rFonts w:ascii="宋体" w:hAnsi="宋体" w:eastAsia="宋体" w:cs="宋体"/>
          <w:b/>
          <w:color w:val="auto"/>
          <w:szCs w:val="24"/>
          <w:highlight w:val="none"/>
        </w:rPr>
        <w:t xml:space="preserve">    3.5  </w:t>
      </w:r>
      <w:r>
        <w:rPr>
          <w:rFonts w:ascii="宋体" w:hAnsi="宋体" w:eastAsia="宋体" w:cs="宋体"/>
          <w:color w:val="auto"/>
          <w:szCs w:val="24"/>
          <w:highlight w:val="none"/>
        </w:rPr>
        <w:t>为保证施工现场的环境卫生，中标人在本项目施工过程中，所有的车辆必须按招标人规定的行车路线行驶。</w:t>
      </w:r>
    </w:p>
    <w:bookmarkEnd w:id="411"/>
    <w:p w14:paraId="5B9CA7D9">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3.6  </w:t>
      </w:r>
      <w:r>
        <w:rPr>
          <w:rFonts w:ascii="宋体" w:hAnsi="宋体" w:eastAsia="宋体" w:cs="宋体"/>
          <w:color w:val="auto"/>
          <w:szCs w:val="24"/>
          <w:highlight w:val="none"/>
        </w:rPr>
        <w:t>中标人的投标书所报的项目管理班子人员（项目经理、技术负责人、施工员、质量员、安全员等）必须是</w:t>
      </w:r>
      <w:bookmarkStart w:id="412" w:name="_Hlt66261069"/>
      <w:bookmarkEnd w:id="412"/>
      <w:r>
        <w:rPr>
          <w:rFonts w:ascii="宋体" w:hAnsi="宋体" w:eastAsia="宋体" w:cs="宋体"/>
          <w:color w:val="auto"/>
          <w:szCs w:val="24"/>
          <w:highlight w:val="none"/>
        </w:rPr>
        <w:t>中标后实际的项目管理班子人员，否则招标人有权终止合同。</w:t>
      </w:r>
    </w:p>
    <w:p w14:paraId="35C1FE2D">
      <w:pPr>
        <w:pStyle w:val="7"/>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根据项目实施进度情况，招标人有权要求中标人增派项目管理人员，以满足项目的现场管理工作要求。</w:t>
      </w:r>
    </w:p>
    <w:p w14:paraId="767DF120">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3.7  </w:t>
      </w:r>
      <w:r>
        <w:rPr>
          <w:rFonts w:ascii="宋体" w:hAnsi="宋体" w:eastAsia="宋体" w:cs="宋体"/>
          <w:color w:val="auto"/>
          <w:szCs w:val="24"/>
          <w:highlight w:val="none"/>
        </w:rPr>
        <w:t>项目竣工验收合格后三十个工作日内必须向招标人提供一式八份符合韶关市及南雄市城市建设档案馆要求的工程竣工档案（含纸质、声像及电子等形式的档案），声像及电子档案的制作费用由中标人承担。</w:t>
      </w:r>
    </w:p>
    <w:p w14:paraId="2D8731F6">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3.8  </w:t>
      </w:r>
      <w:r>
        <w:rPr>
          <w:rFonts w:ascii="宋体" w:hAnsi="宋体" w:eastAsia="宋体" w:cs="宋体"/>
          <w:color w:val="auto"/>
          <w:szCs w:val="24"/>
          <w:highlight w:val="none"/>
        </w:rPr>
        <w:t>合同范围内的工程项目未经招标人同意一律不得分包，一经发现，取消中标人的承包资格，中标人承担由此引起的一切责任和经济损失。</w:t>
      </w:r>
    </w:p>
    <w:p w14:paraId="798BDC14">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3.9  </w:t>
      </w:r>
      <w:r>
        <w:rPr>
          <w:rFonts w:ascii="宋体" w:hAnsi="宋体" w:eastAsia="宋体" w:cs="宋体"/>
          <w:color w:val="auto"/>
          <w:szCs w:val="24"/>
          <w:highlight w:val="none"/>
        </w:rPr>
        <w:t>现场应自设检验实验室，用于对建筑材料、构件和建筑物进行一般性鉴定、检查等。</w:t>
      </w:r>
    </w:p>
    <w:p w14:paraId="1ABBB9F5">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3.10  </w:t>
      </w:r>
      <w:r>
        <w:rPr>
          <w:rFonts w:ascii="宋体" w:hAnsi="宋体" w:eastAsia="宋体" w:cs="宋体"/>
          <w:color w:val="auto"/>
          <w:szCs w:val="24"/>
          <w:highlight w:val="none"/>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3EE150D5">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3.11  </w:t>
      </w:r>
      <w:r>
        <w:rPr>
          <w:rFonts w:ascii="宋体" w:hAnsi="宋体" w:eastAsia="宋体" w:cs="宋体"/>
          <w:color w:val="auto"/>
          <w:szCs w:val="24"/>
          <w:highlight w:val="none"/>
        </w:rPr>
        <w:t>招标文件、招标答疑书、投标文件和中标通知书是招标人与中标人双方签订的施工合同的主要组成部分，并与合同一样，具有相同的法律效力。</w:t>
      </w:r>
      <w:bookmarkStart w:id="413" w:name="_Hlt66508904"/>
      <w:bookmarkEnd w:id="413"/>
      <w:r>
        <w:rPr>
          <w:rFonts w:ascii="宋体" w:hAnsi="宋体" w:eastAsia="宋体" w:cs="宋体"/>
          <w:color w:val="auto"/>
          <w:szCs w:val="24"/>
          <w:highlight w:val="none"/>
        </w:rPr>
        <w:t>如中标通知书发出后，发现中标人的投标文件中有与招标文件所述内容及要求不符的，按招标文件执行。</w:t>
      </w:r>
    </w:p>
    <w:p w14:paraId="792817DD">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3.12  </w:t>
      </w:r>
      <w:r>
        <w:rPr>
          <w:rFonts w:ascii="宋体" w:hAnsi="宋体" w:eastAsia="宋体" w:cs="宋体"/>
          <w:color w:val="auto"/>
          <w:szCs w:val="24"/>
          <w:highlight w:val="none"/>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3AABADD9">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3.13  </w:t>
      </w:r>
      <w:r>
        <w:rPr>
          <w:rFonts w:ascii="宋体" w:hAnsi="宋体" w:eastAsia="宋体" w:cs="宋体"/>
          <w:color w:val="auto"/>
          <w:szCs w:val="24"/>
          <w:highlight w:val="none"/>
        </w:rPr>
        <w:t>若设计超过了限额标准，中标人必须无条件优化，直至达到限额要求为止，设计及施工工期不予以顺延，招标人不再支付由此而增加的设计费。</w:t>
      </w:r>
    </w:p>
    <w:p w14:paraId="4F0A4AA6">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3.14  </w:t>
      </w:r>
      <w:r>
        <w:rPr>
          <w:rFonts w:ascii="宋体" w:hAnsi="宋体" w:eastAsia="宋体" w:cs="宋体"/>
          <w:color w:val="auto"/>
          <w:szCs w:val="24"/>
          <w:highlight w:val="none"/>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65F90924">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3.15 </w:t>
      </w:r>
      <w:r>
        <w:rPr>
          <w:rFonts w:ascii="宋体" w:hAnsi="宋体" w:eastAsia="宋体" w:cs="宋体"/>
          <w:color w:val="auto"/>
          <w:szCs w:val="24"/>
          <w:highlight w:val="none"/>
        </w:rPr>
        <w:t>增加工程造价在施工14天前中标人必须提供详细的报价书（含工程项目名称、变更部位、理由、预计造价等）给监理单位核实并报招标人或有关审核部门核定后，方可施工。</w:t>
      </w:r>
    </w:p>
    <w:p w14:paraId="225C0A1F">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3.16 </w:t>
      </w:r>
      <w:r>
        <w:rPr>
          <w:rFonts w:ascii="宋体" w:hAnsi="宋体" w:eastAsia="宋体" w:cs="宋体"/>
          <w:color w:val="auto"/>
          <w:szCs w:val="24"/>
          <w:highlight w:val="none"/>
        </w:rPr>
        <w:t xml:space="preserve"> 中标人中标后，必须按规定到韶关市公共资源交易中心办理相关手续方可领取中标通知书。</w:t>
      </w:r>
    </w:p>
    <w:p w14:paraId="6D6A5611">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3.17 </w:t>
      </w:r>
      <w:r>
        <w:rPr>
          <w:rFonts w:ascii="宋体" w:hAnsi="宋体" w:eastAsia="宋体" w:cs="宋体"/>
          <w:color w:val="auto"/>
          <w:szCs w:val="24"/>
          <w:highlight w:val="none"/>
        </w:rPr>
        <w:t>中标人中标后必须按招标人的要求采购材料及设备。</w:t>
      </w:r>
    </w:p>
    <w:p w14:paraId="41F599A1">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b/>
          <w:bCs/>
          <w:color w:val="auto"/>
          <w:szCs w:val="24"/>
          <w:highlight w:val="none"/>
        </w:rPr>
      </w:pPr>
      <w:r>
        <w:rPr>
          <w:rFonts w:ascii="宋体" w:hAnsi="宋体" w:eastAsia="宋体" w:cs="宋体"/>
          <w:b/>
          <w:color w:val="auto"/>
          <w:szCs w:val="24"/>
          <w:highlight w:val="none"/>
        </w:rPr>
        <w:t xml:space="preserve"> 3.18 </w:t>
      </w:r>
      <w:r>
        <w:rPr>
          <w:rFonts w:ascii="宋体" w:hAnsi="宋体" w:eastAsia="宋体" w:cs="宋体"/>
          <w:b/>
          <w:bCs/>
          <w:color w:val="auto"/>
          <w:szCs w:val="24"/>
          <w:highlight w:val="none"/>
        </w:rPr>
        <w:t>中标通知书发出后，中标方应在30个日历天内缴工人工资保证金、意外伤害险等。</w:t>
      </w:r>
    </w:p>
    <w:p w14:paraId="4EF41F66">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Cs w:val="24"/>
          <w:highlight w:val="none"/>
        </w:rPr>
      </w:pPr>
      <w:r>
        <w:rPr>
          <w:rFonts w:ascii="宋体" w:hAnsi="宋体" w:eastAsia="宋体" w:cs="宋体"/>
          <w:b/>
          <w:bCs/>
          <w:snapToGrid w:val="0"/>
          <w:color w:val="auto"/>
          <w:kern w:val="0"/>
          <w:szCs w:val="24"/>
          <w:highlight w:val="none"/>
        </w:rPr>
        <w:t>中标人必须在项目开工前，在项目所在地银行</w:t>
      </w:r>
      <w:r>
        <w:rPr>
          <w:rFonts w:ascii="宋体" w:hAnsi="宋体" w:eastAsia="宋体" w:cs="宋体"/>
          <w:b/>
          <w:bCs/>
          <w:color w:val="auto"/>
          <w:szCs w:val="24"/>
          <w:highlight w:val="none"/>
        </w:rPr>
        <w:t>设立工人工资支付专用账户和安全文明施工措施费专用帐户</w:t>
      </w:r>
      <w:r>
        <w:rPr>
          <w:rFonts w:ascii="宋体" w:hAnsi="宋体" w:eastAsia="宋体" w:cs="宋体"/>
          <w:b/>
          <w:bCs/>
          <w:snapToGrid w:val="0"/>
          <w:color w:val="auto"/>
          <w:kern w:val="0"/>
          <w:szCs w:val="24"/>
          <w:highlight w:val="none"/>
        </w:rPr>
        <w:t>，中标人应在工资专户开立后2个工作日内，将开户银行及其账号、开户协议等资料提交给招标人。</w:t>
      </w:r>
    </w:p>
    <w:p w14:paraId="3AFD6F46">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b/>
          <w:bCs/>
          <w:color w:val="auto"/>
          <w:szCs w:val="24"/>
          <w:highlight w:val="none"/>
        </w:rPr>
      </w:pPr>
      <w:r>
        <w:rPr>
          <w:rFonts w:ascii="宋体" w:hAnsi="宋体" w:eastAsia="宋体" w:cs="宋体"/>
          <w:b/>
          <w:bCs/>
          <w:color w:val="auto"/>
          <w:szCs w:val="24"/>
          <w:highlight w:val="none"/>
        </w:rPr>
        <w:t>中标人应建立劳动用工管理台账，并按月将工人工资支付明细表报招标人备案。若中标人拖延按工期延误处理，拖延一天，则计算工期延误一天。</w:t>
      </w:r>
    </w:p>
    <w:p w14:paraId="00DCD1E3">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Cs w:val="24"/>
          <w:highlight w:val="none"/>
        </w:rPr>
      </w:pPr>
      <w:r>
        <w:rPr>
          <w:rFonts w:ascii="宋体" w:hAnsi="宋体" w:eastAsia="宋体" w:cs="宋体"/>
          <w:b/>
          <w:bCs/>
          <w:snapToGrid w:val="0"/>
          <w:color w:val="auto"/>
          <w:kern w:val="0"/>
          <w:szCs w:val="24"/>
          <w:highlight w:val="none"/>
        </w:rPr>
        <w:t>中标人必须按相关规定做好用工实名制管理，建立考勤机制，并实施实名信息化管理。</w:t>
      </w:r>
    </w:p>
    <w:p w14:paraId="5134442F">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3.19</w:t>
      </w:r>
      <w:r>
        <w:rPr>
          <w:rFonts w:ascii="宋体" w:hAnsi="宋体" w:eastAsia="宋体" w:cs="宋体"/>
          <w:color w:val="auto"/>
          <w:szCs w:val="24"/>
          <w:highlight w:val="none"/>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14:paraId="60F387AF">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3.20 </w:t>
      </w:r>
      <w:r>
        <w:rPr>
          <w:rFonts w:ascii="宋体" w:hAnsi="宋体" w:eastAsia="宋体" w:cs="宋体"/>
          <w:b/>
          <w:color w:val="auto"/>
          <w:szCs w:val="24"/>
          <w:highlight w:val="none"/>
        </w:rPr>
        <w:t>若中标人自中标通知书发出之日起20个工作日内仍未提供履约担保的，视同中标单位自动放弃中标资格，招标人通报建设行政主管部门后有权另行选择中标人。</w:t>
      </w:r>
    </w:p>
    <w:p w14:paraId="05247BE9">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3.21 </w:t>
      </w:r>
      <w:r>
        <w:rPr>
          <w:rFonts w:ascii="宋体" w:hAnsi="宋体" w:eastAsia="宋体" w:cs="宋体"/>
          <w:b/>
          <w:color w:val="auto"/>
          <w:szCs w:val="24"/>
          <w:highlight w:val="none"/>
        </w:rPr>
        <w:t>若中标人自中标通知书发出之日起30天内仍未签订合同，视同中标人自动放弃中标权利，招标人通报建设行政主管部门后有权另行选择中标人。</w:t>
      </w:r>
    </w:p>
    <w:p w14:paraId="3CDEBE55">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292CFB3B">
      <w:pPr>
        <w:keepNext w:val="0"/>
        <w:keepLines w:val="0"/>
        <w:pageBreakBefore w:val="0"/>
        <w:kinsoku/>
        <w:overflowPunct/>
        <w:topLinePunct w:val="0"/>
        <w:autoSpaceDE/>
        <w:autoSpaceDN/>
        <w:bidi w:val="0"/>
        <w:snapToGrid w:val="0"/>
        <w:spacing w:line="440" w:lineRule="exact"/>
        <w:ind w:firstLine="472" w:firstLineChars="196"/>
        <w:textAlignment w:val="auto"/>
        <w:rPr>
          <w:rFonts w:hint="eastAsia" w:ascii="宋体" w:hAnsi="宋体" w:eastAsia="宋体" w:cs="宋体"/>
          <w:b/>
          <w:color w:val="auto"/>
          <w:szCs w:val="24"/>
          <w:highlight w:val="none"/>
        </w:rPr>
      </w:pPr>
      <w:r>
        <w:rPr>
          <w:rFonts w:ascii="宋体" w:hAnsi="宋体" w:eastAsia="宋体" w:cs="宋体"/>
          <w:b/>
          <w:color w:val="auto"/>
          <w:szCs w:val="24"/>
          <w:highlight w:val="none"/>
        </w:rPr>
        <w:t xml:space="preserve"> 3.23 根据《</w:t>
      </w:r>
      <w:r>
        <w:rPr>
          <w:rFonts w:ascii="宋体" w:hAnsi="宋体" w:eastAsia="宋体" w:cs="宋体"/>
          <w:b/>
          <w:bCs/>
          <w:color w:val="auto"/>
          <w:szCs w:val="24"/>
          <w:highlight w:val="none"/>
        </w:rPr>
        <w:t>印发〈广东省住房和城乡建设厅 广东省发展改革委关于房屋建筑和市政基础设施工程建设项目招标投标全过程信息公开的管理规定〉的通知</w:t>
      </w:r>
      <w:r>
        <w:rPr>
          <w:rFonts w:ascii="宋体" w:hAnsi="宋体" w:eastAsia="宋体" w:cs="宋体"/>
          <w:b/>
          <w:color w:val="auto"/>
          <w:szCs w:val="24"/>
          <w:highlight w:val="none"/>
        </w:rPr>
        <w:t>》（粤建规范〔2018〕6号）文件精神，产生中标候选人后，招标人应将中标候选人投标文件商务部分除涉及商业秘密的其他资料在广东省招标投标监管网</w:t>
      </w:r>
      <w:r>
        <w:rPr>
          <w:rFonts w:ascii="宋体" w:hAnsi="宋体" w:eastAsia="宋体" w:cs="宋体"/>
          <w:b/>
          <w:bCs/>
          <w:color w:val="auto"/>
          <w:kern w:val="0"/>
          <w:szCs w:val="24"/>
          <w:highlight w:val="none"/>
        </w:rPr>
        <w:t>、广东省公共资源交易平台（韶关市）</w:t>
      </w:r>
      <w:r>
        <w:rPr>
          <w:rFonts w:ascii="宋体" w:hAnsi="宋体" w:eastAsia="宋体" w:cs="宋体"/>
          <w:b/>
          <w:color w:val="auto"/>
          <w:szCs w:val="24"/>
          <w:highlight w:val="none"/>
        </w:rPr>
        <w:t>公示，公示期不得少于3日。</w:t>
      </w:r>
    </w:p>
    <w:p w14:paraId="288ACC05">
      <w:pPr>
        <w:keepNext w:val="0"/>
        <w:keepLines w:val="0"/>
        <w:pageBreakBefore w:val="0"/>
        <w:kinsoku/>
        <w:overflowPunct/>
        <w:topLinePunct w:val="0"/>
        <w:autoSpaceDE/>
        <w:autoSpaceDN/>
        <w:bidi w:val="0"/>
        <w:snapToGrid w:val="0"/>
        <w:spacing w:line="440" w:lineRule="exact"/>
        <w:ind w:firstLine="560"/>
        <w:textAlignment w:val="auto"/>
        <w:rPr>
          <w:rFonts w:hint="eastAsia" w:ascii="宋体" w:hAnsi="宋体" w:eastAsia="宋体" w:cs="宋体"/>
          <w:b/>
          <w:color w:val="auto"/>
          <w:szCs w:val="24"/>
          <w:highlight w:val="none"/>
        </w:rPr>
      </w:pPr>
      <w:r>
        <w:rPr>
          <w:rFonts w:ascii="宋体" w:hAnsi="宋体" w:eastAsia="宋体" w:cs="宋体"/>
          <w:b/>
          <w:color w:val="auto"/>
          <w:szCs w:val="24"/>
          <w:highlight w:val="none"/>
        </w:rPr>
        <w:t>招标人应当在发出中标通知书15日内，将中标结果依法在广东省招标投标监管网、</w:t>
      </w:r>
      <w:r>
        <w:rPr>
          <w:rFonts w:ascii="宋体" w:hAnsi="宋体" w:eastAsia="宋体" w:cs="宋体"/>
          <w:b/>
          <w:bCs/>
          <w:color w:val="auto"/>
          <w:kern w:val="0"/>
          <w:szCs w:val="24"/>
          <w:highlight w:val="none"/>
        </w:rPr>
        <w:t>广东省公共资源交易平台（韶关市）</w:t>
      </w:r>
      <w:r>
        <w:rPr>
          <w:rFonts w:ascii="宋体" w:hAnsi="宋体" w:eastAsia="宋体" w:cs="宋体"/>
          <w:b/>
          <w:color w:val="auto"/>
          <w:szCs w:val="24"/>
          <w:highlight w:val="none"/>
        </w:rPr>
        <w:t>公示。</w:t>
      </w:r>
    </w:p>
    <w:p w14:paraId="429903F1">
      <w:pPr>
        <w:pStyle w:val="37"/>
        <w:keepNext w:val="0"/>
        <w:keepLines w:val="0"/>
        <w:pageBreakBefore w:val="0"/>
        <w:kinsoku/>
        <w:overflowPunct/>
        <w:topLinePunct w:val="0"/>
        <w:autoSpaceDE/>
        <w:autoSpaceDN/>
        <w:bidi w:val="0"/>
        <w:spacing w:line="440" w:lineRule="exact"/>
        <w:ind w:firstLine="590" w:firstLineChars="245"/>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 xml:space="preserve">如果其他投标人或其他利害关系人对公示内容有异议，一经查实有虚假内容等违法违规情况的，将取消其中标候选人资格，并由招投标监管部门按有关规定处理。 </w:t>
      </w:r>
    </w:p>
    <w:p w14:paraId="09FD1674">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3.24中标人须按韶关市、南雄市关于建筑垃圾运输、建筑渣土管理和扬尘治理等有关规定执行。</w:t>
      </w:r>
    </w:p>
    <w:p w14:paraId="3997FB0C">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3.25中标人须按相关规定要求，设置本工程符合相关要求的永久性标牌及规划公示牌，投标人在投标报价时综合考虑在报价内，招标人不另行支付该部分费用。</w:t>
      </w:r>
    </w:p>
    <w:p w14:paraId="44DC8282">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3.26中标人须服从招标人的项目管理方式；中标人须无条件组织施工班组按招标人提供的管理软件（如有）及管理流程进行施工管理。</w:t>
      </w:r>
    </w:p>
    <w:p w14:paraId="0FECA39B">
      <w:pPr>
        <w:pStyle w:val="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人应根据施工任务做好工期分析工作，按工期节点要求进行人料机的安排，及时根据计划的实施情况调整人料机的投入。</w:t>
      </w: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人作为总承包单位，应合理安排施工工作，统筹各专业单位（如有）的工作界面，不得影响施工进度。</w:t>
      </w: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人应根据工作面的变化情况及工程进度要求，合理增配人员及施工机械设备。</w:t>
      </w:r>
    </w:p>
    <w:p w14:paraId="25B50697">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3.27施工视频监控系统必须符合韶市建字〔2014〕163号文件规定，并在投标报价中综合考虑，招标人及项目业主不再另行支付该部分费用。</w:t>
      </w:r>
    </w:p>
    <w:p w14:paraId="24BFD230">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3.28</w:t>
      </w:r>
      <w:r>
        <w:rPr>
          <w:rFonts w:ascii="宋体" w:hAnsi="宋体" w:eastAsia="宋体" w:cs="宋体"/>
          <w:color w:val="auto"/>
          <w:szCs w:val="24"/>
          <w:highlight w:val="none"/>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2DDC9F9B">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如因招标人原因（自然灾害等不可抗力因素除外），工程不能按期开工，或开工后全部停滞，工期按相关规定予以顺延。停工发生后，若可复工时，中标人应在收到招标人发出的复工通知书后3日内开始复工。</w:t>
      </w:r>
    </w:p>
    <w:p w14:paraId="10ABA8A0">
      <w:pPr>
        <w:keepNext w:val="0"/>
        <w:keepLines w:val="0"/>
        <w:pageBreakBefore w:val="0"/>
        <w:kinsoku/>
        <w:overflowPunct/>
        <w:topLinePunct w:val="0"/>
        <w:autoSpaceDE/>
        <w:autoSpaceDN/>
        <w:bidi w:val="0"/>
        <w:spacing w:line="440" w:lineRule="exact"/>
        <w:ind w:firstLine="56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3.29</w:t>
      </w:r>
      <w:r>
        <w:rPr>
          <w:rFonts w:ascii="宋体" w:hAnsi="宋体" w:eastAsia="宋体" w:cs="宋体"/>
          <w:b/>
          <w:color w:val="auto"/>
          <w:szCs w:val="24"/>
          <w:highlight w:val="none"/>
        </w:rPr>
        <w:t>中标人必须严格按有关设计规范设计图纸，中标人须秉承合理、经济、环保、适用等原则进行施工图设计，招标人有权委托第三方对中标人每阶段的设计成果文件（含节能、结构计算模型等）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14:paraId="583FF611">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bCs/>
          <w:color w:val="auto"/>
          <w:szCs w:val="24"/>
          <w:highlight w:val="none"/>
        </w:rPr>
        <w:t xml:space="preserve">    3.30</w:t>
      </w:r>
      <w:r>
        <w:rPr>
          <w:rFonts w:ascii="宋体" w:hAnsi="宋体" w:eastAsia="宋体" w:cs="宋体"/>
          <w:b/>
          <w:color w:val="auto"/>
          <w:szCs w:val="24"/>
          <w:highlight w:val="none"/>
        </w:rPr>
        <w:t>中标人须在收到初步设计文件之日起三天内无条件对初步设计文件进行审核，如发现遗漏或错误，须向招标人提出书面报告。</w:t>
      </w:r>
    </w:p>
    <w:p w14:paraId="0BB54C65">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    3.31</w:t>
      </w:r>
      <w:r>
        <w:rPr>
          <w:rFonts w:ascii="宋体" w:hAnsi="宋体" w:eastAsia="宋体" w:cs="宋体"/>
          <w:b/>
          <w:color w:val="auto"/>
          <w:szCs w:val="24"/>
          <w:highlight w:val="none"/>
        </w:rPr>
        <w:t>中标人须在收到中标通知书之日十天内向招标人提交各阶段详细的工期计划承诺书。</w:t>
      </w:r>
    </w:p>
    <w:p w14:paraId="54770AAD">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24E7EC6E">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4ACC7442">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若中标单位有下列行为之一的，除依照有关法律、法规进行处罚外，将通过市建设与房地产信息网站予以及时曝光，并作为今后该单位参与投标的评分扣分依据直至取消投标资格。</w:t>
      </w:r>
    </w:p>
    <w:p w14:paraId="558EA13C">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1.建设单位违反规定指定分包单位的；</w:t>
      </w:r>
    </w:p>
    <w:p w14:paraId="1B3891FC">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2.施工单位转包、违法分包或违反投标承诺分包工程的；   </w:t>
      </w:r>
    </w:p>
    <w:p w14:paraId="40D8CF47">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3.非原参加投标中标的项目经理负责组织施工或在实施过程违反粤建市〔2009〕8号第九条规定更换项目经理的、项目的其他主要管理人员与中标文件确定的人员不相符的；</w:t>
      </w:r>
    </w:p>
    <w:p w14:paraId="4B13FC05">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4.投标文件确定的大型机械设备没有进入施工现场的；</w:t>
      </w:r>
    </w:p>
    <w:p w14:paraId="62631C44">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5.建设、监理、施工等单位串通，签认虚假工程量或工程造价的；</w:t>
      </w:r>
    </w:p>
    <w:p w14:paraId="5DB65982">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6.施工现场管理不到位的；</w:t>
      </w:r>
    </w:p>
    <w:p w14:paraId="1B73A5E7">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7.非本人资格证书登记所在的单位从事工程项目施工管理的；</w:t>
      </w:r>
    </w:p>
    <w:p w14:paraId="6128E843">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8.项目经理同时承担超过一项工程项目的；</w:t>
      </w:r>
    </w:p>
    <w:p w14:paraId="0049C54D">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9.违反有关法律、法规、规章规定的其它行为。</w:t>
      </w:r>
    </w:p>
    <w:p w14:paraId="0B07DCC4">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3.33依据《关于印发&lt;广东省建筑工程领域工人工资支付专用账户管理办法&gt;的通知》（粤人社规[2018]14号）文件精神，中标人必须设立工人工资支付专用账户，专门用于发放作业工人工资。</w:t>
      </w:r>
      <w:bookmarkStart w:id="414" w:name="_Hlt69698776"/>
    </w:p>
    <w:p w14:paraId="0ECF01AB">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Cs/>
          <w:color w:val="auto"/>
          <w:szCs w:val="24"/>
          <w:highlight w:val="none"/>
        </w:rPr>
      </w:pPr>
      <w:r>
        <w:rPr>
          <w:rFonts w:hint="eastAsia" w:ascii="宋体" w:hAnsi="宋体" w:eastAsia="宋体" w:cs="宋体"/>
          <w:bCs/>
          <w:color w:val="auto"/>
          <w:szCs w:val="24"/>
          <w:highlight w:val="none"/>
        </w:rPr>
        <w:t>按韶关市人力资源和社会保障局　韶关市住房和城乡建设管理局 韶关市交通运输局 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号）规定执行。中标人在签订工程施工承包合同后一个月内必须办妥该事项，并将办妥回执交发包人。</w:t>
      </w:r>
    </w:p>
    <w:p w14:paraId="33E4C7CA">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
          <w:color w:val="auto"/>
          <w:szCs w:val="24"/>
          <w:highlight w:val="none"/>
        </w:rPr>
      </w:pPr>
      <w:r>
        <w:rPr>
          <w:rFonts w:hint="eastAsia" w:ascii="宋体" w:hAnsi="宋体" w:eastAsia="宋体" w:cs="宋体"/>
          <w:bCs/>
          <w:color w:val="auto"/>
          <w:szCs w:val="24"/>
          <w:highlight w:val="none"/>
        </w:rPr>
        <w:t>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2B278083">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color w:val="auto"/>
          <w:szCs w:val="24"/>
          <w:highlight w:val="none"/>
        </w:rPr>
        <w:t>3.34</w:t>
      </w:r>
      <w:r>
        <w:rPr>
          <w:rFonts w:hint="eastAsia" w:ascii="宋体" w:hAnsi="宋体" w:eastAsia="宋体" w:cs="宋体"/>
          <w:color w:val="auto"/>
          <w:szCs w:val="24"/>
          <w:highlight w:val="none"/>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宋体" w:hAnsi="宋体" w:eastAsia="宋体" w:cs="宋体"/>
          <w:color w:val="auto"/>
          <w:sz w:val="24"/>
          <w:szCs w:val="24"/>
          <w:highlight w:val="none"/>
        </w:rPr>
        <w:t>，</w:t>
      </w:r>
      <w:r>
        <w:rPr>
          <w:rFonts w:hint="eastAsia" w:ascii="宋体" w:hAnsi="宋体" w:eastAsia="宋体" w:cs="宋体"/>
          <w:color w:val="auto"/>
          <w:szCs w:val="24"/>
          <w:highlight w:val="none"/>
        </w:rPr>
        <w:t>必须经招标人同意，否则参照信息价中相近且低于其标准的材料信息价作为该项材料的结算价。</w:t>
      </w:r>
    </w:p>
    <w:p w14:paraId="1ECD46C6">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3.35</w:t>
      </w:r>
      <w:r>
        <w:rPr>
          <w:rFonts w:hint="eastAsia" w:ascii="宋体" w:hAnsi="宋体" w:eastAsia="宋体" w:cs="宋体"/>
          <w:color w:val="auto"/>
          <w:szCs w:val="24"/>
          <w:highlight w:val="none"/>
        </w:rPr>
        <w:t>中标人应按招标人提供的场地出平图先行进行场地平整。</w:t>
      </w:r>
    </w:p>
    <w:p w14:paraId="56E5F38B">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3.36</w:t>
      </w:r>
      <w:r>
        <w:rPr>
          <w:rFonts w:hint="eastAsia" w:ascii="宋体" w:hAnsi="宋体" w:eastAsia="宋体" w:cs="宋体"/>
          <w:color w:val="auto"/>
          <w:szCs w:val="24"/>
          <w:highlight w:val="none"/>
        </w:rPr>
        <w:t>中标人必须根据设计施工图及现场编制施工组织设计及专项施工方案报有关部门审批。</w:t>
      </w:r>
    </w:p>
    <w:p w14:paraId="33059F86">
      <w:pPr>
        <w:pStyle w:val="58"/>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3.37危险性较大的分部分项工程安全管理约定</w:t>
      </w:r>
    </w:p>
    <w:p w14:paraId="0EE07D57">
      <w:pPr>
        <w:pStyle w:val="58"/>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7E5D6BE8">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shd w:val="clear" w:color="auto" w:fill="FFFFFF"/>
        </w:rPr>
      </w:pPr>
      <w:r>
        <w:rPr>
          <w:rFonts w:hint="eastAsia" w:ascii="宋体" w:hAnsi="宋体" w:eastAsia="宋体" w:cs="宋体"/>
          <w:b/>
          <w:color w:val="auto"/>
          <w:szCs w:val="24"/>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1BC8DA1B">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3.38</w:t>
      </w:r>
      <w:r>
        <w:rPr>
          <w:rFonts w:hint="eastAsia" w:ascii="宋体" w:hAnsi="宋体" w:eastAsia="宋体" w:cs="宋体"/>
          <w:color w:val="auto"/>
          <w:szCs w:val="24"/>
          <w:highlight w:val="none"/>
        </w:rPr>
        <w:t>中标人项目经理和主要管理人员的考勤实行实名制打卡，中标人项目经理和主要管理人员的考勤若发现有弄虚作假行为，发现一次，中标人应承担一般违约责任1次。</w:t>
      </w:r>
    </w:p>
    <w:p w14:paraId="7D16D89C">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 xml:space="preserve">3.39 </w:t>
      </w:r>
      <w:r>
        <w:rPr>
          <w:rFonts w:hint="eastAsia" w:ascii="宋体" w:hAnsi="宋体" w:eastAsia="宋体" w:cs="宋体"/>
          <w:b/>
          <w:bCs/>
          <w:color w:val="auto"/>
          <w:szCs w:val="24"/>
          <w:highlight w:val="none"/>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7F30A8AF">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lang w:val="en-US" w:eastAsia="zh-CN"/>
        </w:rPr>
        <w:t>3.40为落实省委、省政府关于实施“百县千镇万村高质量发展工程”（以下简称“百千万工程”）工作部署以及省“百千万工程”指挥部关于建筑业企业“微利＋公益”参与“百千万工程”建设方式和《广东省“百县千镇万村高质量发展工程”指挥部城镇建设专班办公室印发关于推动建筑业央企助力“百千万工程”工作指引的通知》（粤城镇建设〔2024〕11号）等工作要求，中标单位中标后须按照市百千万工程关于配建或捐建一定比例公益项目的政策文件要求落实相关公益配建或捐建工作。</w:t>
      </w:r>
    </w:p>
    <w:p w14:paraId="4A38B597">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3.4</w:t>
      </w:r>
      <w:r>
        <w:rPr>
          <w:rFonts w:hint="eastAsia" w:ascii="宋体" w:hAnsi="宋体" w:eastAsia="宋体" w:cs="宋体"/>
          <w:b/>
          <w:color w:val="auto"/>
          <w:szCs w:val="24"/>
          <w:highlight w:val="none"/>
          <w:shd w:val="clear" w:color="auto" w:fill="FFFFFF"/>
          <w:lang w:val="en-US" w:eastAsia="zh-CN"/>
        </w:rPr>
        <w:t>1</w:t>
      </w:r>
      <w:r>
        <w:rPr>
          <w:rFonts w:hint="eastAsia" w:ascii="宋体" w:hAnsi="宋体" w:eastAsia="宋体" w:cs="宋体"/>
          <w:b/>
          <w:bCs/>
          <w:color w:val="auto"/>
          <w:szCs w:val="24"/>
          <w:highlight w:val="none"/>
        </w:rPr>
        <w:t>其他事项</w:t>
      </w:r>
    </w:p>
    <w:p w14:paraId="3F1DBFBD">
      <w:pPr>
        <w:keepNext w:val="0"/>
        <w:keepLines w:val="0"/>
        <w:pageBreakBefore w:val="0"/>
        <w:kinsoku/>
        <w:overflowPunct/>
        <w:topLinePunct w:val="0"/>
        <w:autoSpaceDE/>
        <w:autoSpaceDN/>
        <w:bidi w:val="0"/>
        <w:spacing w:line="440" w:lineRule="exact"/>
        <w:ind w:firstLine="542" w:firstLineChars="225"/>
        <w:textAlignment w:val="auto"/>
        <w:rPr>
          <w:rFonts w:hint="eastAsia" w:ascii="宋体" w:hAnsi="宋体" w:eastAsia="宋体" w:cs="宋体"/>
          <w:snapToGrid w:val="0"/>
          <w:color w:val="auto"/>
          <w:kern w:val="0"/>
          <w:szCs w:val="24"/>
          <w:highlight w:val="none"/>
        </w:rPr>
      </w:pPr>
      <w:r>
        <w:rPr>
          <w:rFonts w:ascii="宋体" w:hAnsi="宋体" w:eastAsia="宋体" w:cs="宋体"/>
          <w:b/>
          <w:color w:val="auto"/>
          <w:szCs w:val="24"/>
          <w:highlight w:val="none"/>
          <w:shd w:val="clear" w:color="auto" w:fill="FFFFFF"/>
        </w:rPr>
        <w:t>3.4</w:t>
      </w:r>
      <w:r>
        <w:rPr>
          <w:rFonts w:hint="eastAsia" w:ascii="宋体" w:hAnsi="宋体" w:eastAsia="宋体" w:cs="宋体"/>
          <w:b/>
          <w:color w:val="auto"/>
          <w:szCs w:val="24"/>
          <w:highlight w:val="none"/>
          <w:shd w:val="clear" w:color="auto" w:fill="FFFFFF"/>
          <w:lang w:val="en-US" w:eastAsia="zh-CN"/>
        </w:rPr>
        <w:t>1</w:t>
      </w:r>
      <w:r>
        <w:rPr>
          <w:rFonts w:ascii="宋体" w:hAnsi="宋体" w:eastAsia="宋体" w:cs="宋体"/>
          <w:b/>
          <w:color w:val="auto"/>
          <w:szCs w:val="24"/>
          <w:highlight w:val="none"/>
          <w:shd w:val="clear" w:color="auto" w:fill="FFFFFF"/>
        </w:rPr>
        <w:t xml:space="preserve">.1 </w:t>
      </w:r>
      <w:r>
        <w:rPr>
          <w:rFonts w:ascii="宋体" w:hAnsi="宋体" w:eastAsia="宋体" w:cs="宋体"/>
          <w:snapToGrid w:val="0"/>
          <w:color w:val="auto"/>
          <w:kern w:val="0"/>
          <w:szCs w:val="24"/>
          <w:highlight w:val="none"/>
        </w:rPr>
        <w:t>招标文件中涉及的合同实质性内容以及拟签合同的主要条款内容、中标须知、相关附件、格式内容等为中标后拟签合同实质性内容，在订立合同时不得擅自进行更改。</w:t>
      </w:r>
    </w:p>
    <w:p w14:paraId="1517DAAC">
      <w:pPr>
        <w:pStyle w:val="32"/>
        <w:keepNext w:val="0"/>
        <w:keepLines w:val="0"/>
        <w:pageBreakBefore w:val="0"/>
        <w:kinsoku/>
        <w:overflowPunct/>
        <w:topLinePunct w:val="0"/>
        <w:autoSpaceDE/>
        <w:autoSpaceDN/>
        <w:bidi w:val="0"/>
        <w:spacing w:line="440" w:lineRule="exact"/>
        <w:ind w:firstLine="480"/>
        <w:jc w:val="left"/>
        <w:textAlignment w:val="auto"/>
        <w:rPr>
          <w:rFonts w:hint="eastAsia" w:ascii="宋体" w:hAnsi="宋体" w:eastAsia="宋体" w:cs="宋体"/>
          <w:b w:val="0"/>
          <w:snapToGrid w:val="0"/>
          <w:color w:val="auto"/>
          <w:kern w:val="0"/>
          <w:sz w:val="24"/>
          <w:highlight w:val="none"/>
        </w:rPr>
      </w:pPr>
      <w:r>
        <w:rPr>
          <w:rFonts w:hint="eastAsia" w:ascii="宋体" w:hAnsi="宋体" w:eastAsia="宋体" w:cs="宋体"/>
          <w:color w:val="auto"/>
          <w:sz w:val="24"/>
          <w:highlight w:val="none"/>
          <w:shd w:val="clear" w:color="auto" w:fill="FFFFFF"/>
        </w:rPr>
        <w:t>3.4</w:t>
      </w:r>
      <w:r>
        <w:rPr>
          <w:rFonts w:hint="eastAsia" w:ascii="宋体" w:hAnsi="宋体" w:eastAsia="宋体" w:cs="宋体"/>
          <w:color w:val="auto"/>
          <w:sz w:val="24"/>
          <w:highlight w:val="none"/>
          <w:shd w:val="clear" w:color="auto" w:fill="FFFFFF"/>
          <w:lang w:val="en-US" w:eastAsia="zh-CN"/>
        </w:rPr>
        <w:t>1</w:t>
      </w:r>
      <w:r>
        <w:rPr>
          <w:rFonts w:hint="eastAsia" w:ascii="宋体" w:hAnsi="宋体" w:eastAsia="宋体" w:cs="宋体"/>
          <w:color w:val="auto"/>
          <w:sz w:val="24"/>
          <w:highlight w:val="none"/>
          <w:shd w:val="clear" w:color="auto" w:fill="FFFFFF"/>
        </w:rPr>
        <w:t>.2</w:t>
      </w:r>
      <w:r>
        <w:rPr>
          <w:rFonts w:hint="eastAsia" w:ascii="宋体" w:hAnsi="宋体" w:eastAsia="宋体" w:cs="宋体"/>
          <w:b w:val="0"/>
          <w:snapToGrid w:val="0"/>
          <w:color w:val="auto"/>
          <w:kern w:val="0"/>
          <w:sz w:val="24"/>
          <w:highlight w:val="none"/>
        </w:rPr>
        <w:t>中标人应按《关于印发&lt;南雄市安全生产责任保险实施方案（2020-2021）年&gt;的通知》文件办理安全生产责任保险。</w:t>
      </w:r>
    </w:p>
    <w:p w14:paraId="2E9D75BD">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415" w:name="_Toc17820"/>
      <w:bookmarkStart w:id="416" w:name="_Toc29153"/>
      <w:bookmarkStart w:id="417" w:name="_Toc25756"/>
      <w:bookmarkStart w:id="418" w:name="_Toc21424"/>
      <w:bookmarkStart w:id="419" w:name="_Toc27728"/>
      <w:bookmarkStart w:id="420" w:name="_Toc28287"/>
      <w:bookmarkStart w:id="421" w:name="_Toc18638"/>
      <w:bookmarkStart w:id="422" w:name="_Toc24187"/>
      <w:bookmarkStart w:id="423" w:name="_Toc20219"/>
      <w:r>
        <w:rPr>
          <w:rFonts w:hint="eastAsia" w:asciiTheme="minorEastAsia" w:hAnsiTheme="minorEastAsia" w:eastAsiaTheme="minorEastAsia" w:cstheme="minorEastAsia"/>
          <w:b/>
          <w:color w:val="auto"/>
          <w:kern w:val="44"/>
          <w:sz w:val="36"/>
          <w:szCs w:val="36"/>
          <w:highlight w:val="none"/>
        </w:rPr>
        <w:t>第四</w:t>
      </w:r>
      <w:bookmarkStart w:id="424" w:name="_Hlt69669176"/>
      <w:bookmarkEnd w:id="424"/>
      <w:r>
        <w:rPr>
          <w:rFonts w:hint="eastAsia" w:asciiTheme="minorEastAsia" w:hAnsiTheme="minorEastAsia" w:eastAsiaTheme="minorEastAsia" w:cstheme="minorEastAsia"/>
          <w:b/>
          <w:color w:val="auto"/>
          <w:kern w:val="44"/>
          <w:sz w:val="36"/>
          <w:szCs w:val="36"/>
          <w:highlight w:val="none"/>
        </w:rPr>
        <w:t>章</w:t>
      </w:r>
      <w:bookmarkStart w:id="425" w:name="_Hlt87793847"/>
      <w:bookmarkEnd w:id="425"/>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415"/>
      <w:bookmarkEnd w:id="416"/>
      <w:bookmarkEnd w:id="417"/>
      <w:bookmarkEnd w:id="418"/>
      <w:bookmarkEnd w:id="419"/>
      <w:bookmarkEnd w:id="420"/>
      <w:bookmarkEnd w:id="421"/>
      <w:bookmarkEnd w:id="422"/>
      <w:bookmarkEnd w:id="423"/>
    </w:p>
    <w:p w14:paraId="593649FC">
      <w:pPr>
        <w:pStyle w:val="37"/>
        <w:rPr>
          <w:rFonts w:asciiTheme="minorEastAsia" w:hAnsiTheme="minorEastAsia" w:eastAsiaTheme="minorEastAsia" w:cstheme="minorEastAsia"/>
          <w:color w:val="auto"/>
          <w:highlight w:val="none"/>
        </w:rPr>
      </w:pPr>
    </w:p>
    <w:bookmarkEnd w:id="414"/>
    <w:p w14:paraId="217879A5">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426" w:name="_Hlt66531751"/>
      <w:bookmarkEnd w:id="426"/>
      <w:bookmarkStart w:id="427" w:name="_Hlt66104911"/>
      <w:bookmarkEnd w:id="427"/>
      <w:bookmarkStart w:id="428" w:name="_Toc18673"/>
      <w:bookmarkStart w:id="429" w:name="_Toc5994"/>
      <w:bookmarkStart w:id="430" w:name="_Toc5733"/>
      <w:bookmarkStart w:id="431" w:name="_Toc1542"/>
      <w:bookmarkStart w:id="432" w:name="_Toc21505"/>
      <w:bookmarkStart w:id="433" w:name="_Toc19932"/>
      <w:bookmarkStart w:id="434" w:name="_Toc31172"/>
      <w:bookmarkStart w:id="435" w:name="_Toc28975"/>
      <w:bookmarkStart w:id="436" w:name="_Toc1109"/>
      <w:r>
        <w:rPr>
          <w:rFonts w:hint="eastAsia" w:asciiTheme="minorEastAsia" w:hAnsiTheme="minorEastAsia" w:eastAsiaTheme="minorEastAsia" w:cstheme="minorEastAsia"/>
          <w:b/>
          <w:color w:val="auto"/>
          <w:kern w:val="2"/>
          <w:highlight w:val="none"/>
        </w:rPr>
        <w:t>1</w:t>
      </w:r>
      <w:bookmarkStart w:id="437" w:name="_Hlt69356768"/>
      <w:bookmarkEnd w:id="437"/>
      <w:bookmarkStart w:id="438" w:name="_Hlt66677316"/>
      <w:r>
        <w:rPr>
          <w:rFonts w:hint="eastAsia" w:asciiTheme="minorEastAsia" w:hAnsiTheme="minorEastAsia" w:eastAsiaTheme="minorEastAsia" w:cstheme="minorEastAsia"/>
          <w:b/>
          <w:color w:val="auto"/>
          <w:kern w:val="2"/>
          <w:highlight w:val="none"/>
        </w:rPr>
        <w:t xml:space="preserve"> </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投标保证</w:t>
      </w:r>
      <w:bookmarkEnd w:id="428"/>
      <w:bookmarkEnd w:id="429"/>
      <w:bookmarkEnd w:id="430"/>
      <w:bookmarkEnd w:id="431"/>
      <w:bookmarkEnd w:id="432"/>
      <w:bookmarkEnd w:id="433"/>
      <w:bookmarkEnd w:id="434"/>
      <w:bookmarkEnd w:id="435"/>
      <w:bookmarkEnd w:id="436"/>
      <w:bookmarkEnd w:id="438"/>
    </w:p>
    <w:p w14:paraId="6DA25D37">
      <w:pPr>
        <w:pageBreakBefore w:val="0"/>
        <w:kinsoku/>
        <w:overflowPunct/>
        <w:topLinePunct w:val="0"/>
        <w:autoSpaceDE/>
        <w:autoSpaceDN/>
        <w:bidi w:val="0"/>
        <w:snapToGrid w:val="0"/>
        <w:spacing w:beforeLines="50" w:line="440" w:lineRule="exact"/>
        <w:ind w:firstLine="482" w:firstLineChars="200"/>
        <w:textAlignment w:val="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bCs/>
          <w:color w:val="auto"/>
          <w:szCs w:val="24"/>
          <w:highlight w:val="none"/>
        </w:rPr>
        <w:t>1.1</w:t>
      </w:r>
      <w:r>
        <w:rPr>
          <w:rFonts w:asciiTheme="minorEastAsia" w:hAnsiTheme="minorEastAsia" w:eastAsiaTheme="minorEastAsia" w:cstheme="minorEastAsia"/>
          <w:color w:val="auto"/>
          <w:szCs w:val="24"/>
          <w:highlight w:val="none"/>
        </w:rPr>
        <w:t xml:space="preserve"> 投标保证的形式包括投标保证金、投标保证担保、投标保证保险三种，由投标人自主选择。</w:t>
      </w:r>
    </w:p>
    <w:p w14:paraId="181A7AC8">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65D01F68">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32C13049">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65A95CAF">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698FB04B">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1.2</w:t>
      </w:r>
      <w:r>
        <w:rPr>
          <w:rFonts w:hint="eastAsia" w:asciiTheme="minorEastAsia" w:hAnsiTheme="minorEastAsia" w:eastAsiaTheme="minorEastAsia" w:cstheme="minorEastAsia"/>
          <w:color w:val="auto"/>
          <w:highlight w:val="none"/>
        </w:rPr>
        <w:t>投标人撤回已提交的投标文件，应当在投标截止时间前书面通知招标人。投标截止后投标人撤销投标文件的，招标人可以不退还投标保证。</w:t>
      </w:r>
    </w:p>
    <w:p w14:paraId="0F97BA1E">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1.3</w:t>
      </w:r>
      <w:r>
        <w:rPr>
          <w:rFonts w:hint="eastAsia" w:asciiTheme="minorEastAsia" w:hAnsiTheme="minorEastAsia" w:eastAsiaTheme="minorEastAsia" w:cstheme="minorEastAsia"/>
          <w:color w:val="auto"/>
          <w:highlight w:val="none"/>
        </w:rPr>
        <w:t>投标保证的退还方式：</w:t>
      </w:r>
    </w:p>
    <w:p w14:paraId="4FBCA1BC">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0F4CB926">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27E53301">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1.4</w:t>
      </w:r>
      <w:r>
        <w:rPr>
          <w:rFonts w:hint="eastAsia" w:asciiTheme="minorEastAsia" w:hAnsiTheme="minorEastAsia" w:eastAsiaTheme="minorEastAsia" w:cstheme="minorEastAsia"/>
          <w:color w:val="auto"/>
          <w:highlight w:val="none"/>
        </w:rPr>
        <w:t xml:space="preserve"> 投标人中标后不与招标人依据招标文件要求签订工程合同的，由建设行政主管部门按规定处理其投标保证。</w:t>
      </w:r>
    </w:p>
    <w:p w14:paraId="364AF5F1">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1.5</w:t>
      </w:r>
      <w:r>
        <w:rPr>
          <w:rFonts w:hint="eastAsia" w:asciiTheme="minorEastAsia" w:hAnsiTheme="minorEastAsia" w:eastAsiaTheme="minorEastAsia" w:cstheme="minorEastAsia"/>
          <w:color w:val="auto"/>
          <w:highlight w:val="none"/>
        </w:rPr>
        <w:t xml:space="preserve"> 组成联合体时由联合体牵头人缴纳投标保证。</w:t>
      </w:r>
    </w:p>
    <w:p w14:paraId="6F860D6E">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439" w:name="_Hlt87793359"/>
      <w:bookmarkEnd w:id="439"/>
      <w:bookmarkStart w:id="440" w:name="_Hlt87792499"/>
      <w:bookmarkEnd w:id="440"/>
      <w:bookmarkStart w:id="441" w:name="_Toc10164"/>
      <w:bookmarkStart w:id="442" w:name="_Toc22441"/>
      <w:bookmarkStart w:id="443" w:name="_Toc3054"/>
      <w:bookmarkStart w:id="444" w:name="_Toc985"/>
      <w:bookmarkStart w:id="445" w:name="_Toc30036"/>
      <w:bookmarkStart w:id="446" w:name="_Toc20998"/>
      <w:bookmarkStart w:id="447" w:name="_Toc19536"/>
      <w:bookmarkStart w:id="448" w:name="_Toc23304"/>
      <w:bookmarkStart w:id="449" w:name="_Toc3284"/>
      <w:r>
        <w:rPr>
          <w:rFonts w:hint="eastAsia" w:asciiTheme="minorEastAsia" w:hAnsiTheme="minorEastAsia" w:eastAsiaTheme="minorEastAsia" w:cstheme="minorEastAsia"/>
          <w:b/>
          <w:color w:val="auto"/>
          <w:kern w:val="2"/>
          <w:highlight w:val="none"/>
        </w:rPr>
        <w:t xml:space="preserve">2 </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履约保证金</w:t>
      </w:r>
      <w:bookmarkEnd w:id="441"/>
      <w:bookmarkEnd w:id="442"/>
      <w:bookmarkEnd w:id="443"/>
      <w:bookmarkEnd w:id="444"/>
      <w:bookmarkEnd w:id="445"/>
      <w:bookmarkEnd w:id="446"/>
      <w:bookmarkEnd w:id="447"/>
      <w:bookmarkEnd w:id="448"/>
      <w:bookmarkEnd w:id="449"/>
    </w:p>
    <w:bookmarkEnd w:id="1"/>
    <w:p w14:paraId="09B1C97C">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bookmarkStart w:id="450" w:name="_Toc466640610"/>
      <w:r>
        <w:rPr>
          <w:rFonts w:hint="default" w:asciiTheme="minorEastAsia" w:hAnsiTheme="minorEastAsia" w:eastAsiaTheme="minorEastAsia" w:cstheme="minorEastAsia"/>
          <w:snapToGrid w:val="0"/>
          <w:color w:val="auto"/>
          <w:kern w:val="0"/>
          <w:szCs w:val="24"/>
          <w:highlight w:val="none"/>
        </w:rPr>
        <w:t>2.1 中标人须在领取中标通知书之日起 5 个工作日内、签订合同前向招标人提交金额为中标价</w:t>
      </w:r>
      <w:r>
        <w:rPr>
          <w:rFonts w:hint="default" w:asciiTheme="minorEastAsia" w:hAnsiTheme="minorEastAsia" w:eastAsiaTheme="minorEastAsia" w:cstheme="minorEastAsia"/>
          <w:snapToGrid w:val="0"/>
          <w:color w:val="auto"/>
          <w:kern w:val="0"/>
          <w:szCs w:val="24"/>
          <w:highlight w:val="none"/>
          <w:u w:val="single"/>
        </w:rPr>
        <w:t xml:space="preserve"> </w:t>
      </w:r>
      <w:r>
        <w:rPr>
          <w:rFonts w:hint="default" w:asciiTheme="minorEastAsia" w:hAnsiTheme="minorEastAsia" w:eastAsiaTheme="minorEastAsia" w:cstheme="minorEastAsia"/>
          <w:snapToGrid w:val="0"/>
          <w:color w:val="auto"/>
          <w:kern w:val="0"/>
          <w:szCs w:val="24"/>
          <w:highlight w:val="none"/>
          <w:u w:val="single"/>
          <w:lang w:val="en-US" w:eastAsia="zh-CN"/>
        </w:rPr>
        <w:t>3</w:t>
      </w:r>
      <w:r>
        <w:rPr>
          <w:rFonts w:hint="default" w:asciiTheme="minorEastAsia" w:hAnsiTheme="minorEastAsia" w:eastAsiaTheme="minorEastAsia" w:cstheme="minorEastAsia"/>
          <w:snapToGrid w:val="0"/>
          <w:color w:val="auto"/>
          <w:kern w:val="0"/>
          <w:szCs w:val="24"/>
          <w:highlight w:val="none"/>
          <w:u w:val="single"/>
        </w:rPr>
        <w:t xml:space="preserve">% </w:t>
      </w:r>
      <w:r>
        <w:rPr>
          <w:rFonts w:hint="default" w:asciiTheme="minorEastAsia" w:hAnsiTheme="minorEastAsia" w:eastAsiaTheme="minorEastAsia" w:cstheme="minorEastAsia"/>
          <w:snapToGrid w:val="0"/>
          <w:color w:val="auto"/>
          <w:kern w:val="0"/>
          <w:szCs w:val="24"/>
          <w:highlight w:val="none"/>
        </w:rPr>
        <w:t>的履约保证。联合体中标的，由联合体牵头人提交。同时招标人向中标人提供合同价</w:t>
      </w:r>
      <w:r>
        <w:rPr>
          <w:rFonts w:hint="default" w:asciiTheme="minorEastAsia" w:hAnsiTheme="minorEastAsia" w:eastAsiaTheme="minorEastAsia" w:cstheme="minorEastAsia"/>
          <w:snapToGrid w:val="0"/>
          <w:color w:val="auto"/>
          <w:kern w:val="0"/>
          <w:szCs w:val="24"/>
          <w:highlight w:val="none"/>
          <w:lang w:val="en-US" w:eastAsia="zh-CN"/>
        </w:rPr>
        <w:t>3</w:t>
      </w:r>
      <w:r>
        <w:rPr>
          <w:rFonts w:hint="default" w:asciiTheme="minorEastAsia" w:hAnsiTheme="minorEastAsia" w:eastAsiaTheme="minorEastAsia" w:cstheme="minorEastAsia"/>
          <w:snapToGrid w:val="0"/>
          <w:color w:val="auto"/>
          <w:kern w:val="0"/>
          <w:szCs w:val="24"/>
          <w:highlight w:val="none"/>
        </w:rPr>
        <w:t>%的支付担保，并将工程款支付担保文书作为建设工程合同的组成部分(担保期限届至招标人支付除工程质量保修金以外的全部工程结算款项之日后30天)。</w:t>
      </w:r>
    </w:p>
    <w:p w14:paraId="40EF1503">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lang w:val="en-US" w:eastAsia="zh-CN"/>
        </w:rPr>
        <w:t>注：根据《保障农民工工资支付条例》，发包人必须落实工程款支付担保制度， 需有项目预付款。 2017 年 2 月，国务院出台《关于促进建筑业持续健康发展的意见》， 要求“严格执行工程预付款制度，及时按合同约定足额向承包单位支付预付款。通过工 程款支付担保等经济、法律手段约束建设单位履约行为，预防拖欠工程款。”</w:t>
      </w:r>
    </w:p>
    <w:p w14:paraId="5F780F0D">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rPr>
        <w:t>2.2 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28天止。</w:t>
      </w:r>
    </w:p>
    <w:p w14:paraId="3B5602AD">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rPr>
        <w:t>2.3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2B9EA1EE">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rPr>
        <w:t>2.4 在工程实施过程中，如果中标人（即招标阶段的中标人，下同）由于自身的资金、技术、质量、非不可抗力等原因给招标人（即招标阶段的招标人，下同）造成经济损失，扣除相应履约保证。</w:t>
      </w:r>
    </w:p>
    <w:p w14:paraId="3660CF16">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rPr>
        <w:t>2.5 项目通过竣工验收之日后28天内，招标人将履约保证或全部履约保证金（不计算利息）退还给中标人。</w:t>
      </w:r>
    </w:p>
    <w:p w14:paraId="7252A2D2">
      <w:pPr>
        <w:pStyle w:val="48"/>
        <w:pageBreakBefore w:val="0"/>
        <w:kinsoku/>
        <w:overflowPunct/>
        <w:topLinePunct w:val="0"/>
        <w:autoSpaceDE/>
        <w:autoSpaceDN/>
        <w:bidi w:val="0"/>
        <w:spacing w:line="440" w:lineRule="exact"/>
        <w:ind w:firstLine="0"/>
        <w:jc w:val="both"/>
        <w:textAlignment w:val="auto"/>
        <w:outlineLvl w:val="1"/>
        <w:rPr>
          <w:rFonts w:hint="eastAsia" w:asciiTheme="minorEastAsia" w:hAnsiTheme="minorEastAsia" w:eastAsiaTheme="minorEastAsia" w:cstheme="minorEastAsia"/>
          <w:b/>
          <w:color w:val="auto"/>
          <w:kern w:val="2"/>
          <w:highlight w:val="none"/>
        </w:rPr>
      </w:pPr>
      <w:bookmarkStart w:id="451" w:name="_Toc3129"/>
      <w:r>
        <w:rPr>
          <w:rFonts w:hint="eastAsia" w:asciiTheme="minorEastAsia" w:hAnsiTheme="minorEastAsia" w:eastAsiaTheme="minorEastAsia" w:cstheme="minorEastAsia"/>
          <w:b/>
          <w:color w:val="auto"/>
          <w:kern w:val="2"/>
          <w:highlight w:val="none"/>
        </w:rPr>
        <w:t>3</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质量保证</w:t>
      </w:r>
      <w:bookmarkEnd w:id="451"/>
    </w:p>
    <w:p w14:paraId="2F4DE8D5">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3.1</w:t>
      </w:r>
      <w:r>
        <w:rPr>
          <w:rFonts w:asciiTheme="minorEastAsia" w:hAnsiTheme="minorEastAsia" w:eastAsiaTheme="minorEastAsia" w:cstheme="minorEastAsia"/>
          <w:bCs/>
          <w:snapToGrid w:val="0"/>
          <w:color w:val="auto"/>
          <w:kern w:val="0"/>
          <w:szCs w:val="24"/>
          <w:highlight w:val="none"/>
        </w:rPr>
        <w:t xml:space="preserve"> 本工程缺陷责任期为</w:t>
      </w:r>
      <w:r>
        <w:rPr>
          <w:rFonts w:hint="eastAsia" w:asciiTheme="minorEastAsia" w:hAnsiTheme="minorEastAsia" w:eastAsiaTheme="minorEastAsia" w:cstheme="minorEastAsia"/>
          <w:bCs/>
          <w:snapToGrid w:val="0"/>
          <w:color w:val="auto"/>
          <w:kern w:val="0"/>
          <w:szCs w:val="24"/>
          <w:highlight w:val="none"/>
          <w:u w:val="single"/>
          <w:lang w:val="en-US" w:eastAsia="zh-CN"/>
        </w:rPr>
        <w:t>1</w:t>
      </w:r>
      <w:r>
        <w:rPr>
          <w:rFonts w:asciiTheme="minorEastAsia" w:hAnsiTheme="minorEastAsia" w:eastAsiaTheme="minorEastAsia" w:cstheme="minorEastAsia"/>
          <w:bCs/>
          <w:snapToGrid w:val="0"/>
          <w:color w:val="auto"/>
          <w:kern w:val="0"/>
          <w:szCs w:val="24"/>
          <w:highlight w:val="none"/>
        </w:rPr>
        <w:t>年（自通过竣工验收之日起计），在此期间预留金额为结算价</w:t>
      </w:r>
      <w:r>
        <w:rPr>
          <w:rFonts w:asciiTheme="minorEastAsia" w:hAnsiTheme="minorEastAsia" w:eastAsiaTheme="minorEastAsia" w:cstheme="minorEastAsia"/>
          <w:bCs/>
          <w:snapToGrid w:val="0"/>
          <w:color w:val="auto"/>
          <w:kern w:val="0"/>
          <w:szCs w:val="24"/>
          <w:highlight w:val="none"/>
          <w:u w:val="single"/>
        </w:rPr>
        <w:t>3%</w:t>
      </w:r>
      <w:r>
        <w:rPr>
          <w:rFonts w:asciiTheme="minorEastAsia" w:hAnsiTheme="minorEastAsia" w:eastAsiaTheme="minorEastAsia" w:cstheme="minorEastAsia"/>
          <w:bCs/>
          <w:snapToGrid w:val="0"/>
          <w:color w:val="auto"/>
          <w:kern w:val="0"/>
          <w:szCs w:val="24"/>
          <w:highlight w:val="none"/>
        </w:rPr>
        <w:t>的质量保证。</w:t>
      </w:r>
    </w:p>
    <w:p w14:paraId="26C48A2B">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3.2</w:t>
      </w:r>
      <w:r>
        <w:rPr>
          <w:rFonts w:asciiTheme="minorEastAsia" w:hAnsiTheme="minorEastAsia" w:eastAsiaTheme="minorEastAsia" w:cstheme="minorEastAsia"/>
          <w:bCs/>
          <w:snapToGrid w:val="0"/>
          <w:color w:val="auto"/>
          <w:kern w:val="0"/>
          <w:szCs w:val="24"/>
          <w:highlight w:val="none"/>
        </w:rPr>
        <w:t xml:space="preserve"> 质量保证的形式包括质量保证金、质量保证担保、质量保证保险三种，由中标人自主选择。</w:t>
      </w:r>
    </w:p>
    <w:p w14:paraId="50D3756A">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（1）采用质量保证金形式的，在结清审定总造价时一次性扣留相应金额作为质量保证金。</w:t>
      </w:r>
    </w:p>
    <w:p w14:paraId="76EBA6A8">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5597A8AA">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3.3</w:t>
      </w:r>
      <w:r>
        <w:rPr>
          <w:rFonts w:asciiTheme="minorEastAsia" w:hAnsiTheme="minorEastAsia" w:eastAsiaTheme="minorEastAsia" w:cstheme="minorEastAsia"/>
          <w:bCs/>
          <w:snapToGrid w:val="0"/>
          <w:color w:val="auto"/>
          <w:kern w:val="0"/>
          <w:szCs w:val="24"/>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018920BA">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由他人原因造成的缺陷，招标人负责组织维修，中标人不承担费用，且招标人不得从质量保证中扣除费用。</w:t>
      </w:r>
    </w:p>
    <w:p w14:paraId="4FEE593B">
      <w:pPr>
        <w:pageBreakBefore w:val="0"/>
        <w:kinsoku/>
        <w:wordWrap w:val="0"/>
        <w:overflowPunct/>
        <w:topLinePunct w:val="0"/>
        <w:autoSpaceDE/>
        <w:autoSpaceDN/>
        <w:bidi w:val="0"/>
        <w:adjustRightInd w:val="0"/>
        <w:snapToGrid w:val="0"/>
        <w:spacing w:line="440" w:lineRule="exact"/>
        <w:ind w:firstLine="561"/>
        <w:textAlignment w:val="auto"/>
        <w:rPr>
          <w:rFonts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3.4</w:t>
      </w:r>
      <w:r>
        <w:rPr>
          <w:rFonts w:asciiTheme="minorEastAsia" w:hAnsiTheme="minorEastAsia" w:eastAsiaTheme="minorEastAsia" w:cstheme="minorEastAsia"/>
          <w:bCs/>
          <w:snapToGrid w:val="0"/>
          <w:color w:val="auto"/>
          <w:kern w:val="0"/>
          <w:szCs w:val="24"/>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10F68BE9"/>
    <w:p w14:paraId="64D234DF">
      <w:pPr>
        <w:rPr>
          <w:rFonts w:asciiTheme="minorEastAsia" w:hAnsiTheme="minorEastAsia" w:eastAsiaTheme="minorEastAsia" w:cstheme="minorEastAsia"/>
          <w:bCs/>
          <w:snapToGrid w:val="0"/>
          <w:color w:val="auto"/>
          <w:kern w:val="0"/>
          <w:szCs w:val="24"/>
          <w:highlight w:val="none"/>
        </w:rPr>
      </w:pPr>
    </w:p>
    <w:p w14:paraId="4E4A36C1">
      <w:pPr>
        <w:bidi w:val="0"/>
        <w:rPr>
          <w:rFonts w:hint="eastAsia"/>
          <w:color w:val="auto"/>
          <w:highlight w:val="none"/>
        </w:rPr>
      </w:pPr>
      <w:bookmarkStart w:id="452" w:name="_Toc29236"/>
      <w:bookmarkStart w:id="453" w:name="_Toc12936"/>
      <w:bookmarkStart w:id="454" w:name="_Toc16873"/>
      <w:bookmarkStart w:id="455" w:name="_Toc17661"/>
      <w:bookmarkStart w:id="456" w:name="_Toc4262"/>
      <w:bookmarkStart w:id="457" w:name="_Toc22105"/>
      <w:bookmarkStart w:id="458" w:name="_Toc25046"/>
      <w:bookmarkStart w:id="459" w:name="_Toc26916"/>
    </w:p>
    <w:p w14:paraId="1962293E">
      <w:pPr>
        <w:bidi w:val="0"/>
        <w:rPr>
          <w:rFonts w:hint="eastAsia"/>
          <w:color w:val="auto"/>
          <w:highlight w:val="none"/>
        </w:rPr>
      </w:pPr>
    </w:p>
    <w:p w14:paraId="7F0F9876">
      <w:pPr>
        <w:bidi w:val="0"/>
        <w:rPr>
          <w:rFonts w:hint="eastAsia"/>
          <w:color w:val="auto"/>
          <w:highlight w:val="none"/>
        </w:rPr>
      </w:pPr>
    </w:p>
    <w:p w14:paraId="0CD49773">
      <w:pPr>
        <w:bidi w:val="0"/>
        <w:rPr>
          <w:rFonts w:hint="eastAsia"/>
          <w:color w:val="auto"/>
          <w:highlight w:val="none"/>
        </w:rPr>
      </w:pPr>
    </w:p>
    <w:p w14:paraId="0B07E28C">
      <w:pPr>
        <w:bidi w:val="0"/>
        <w:rPr>
          <w:rFonts w:hint="eastAsia"/>
          <w:color w:val="auto"/>
          <w:highlight w:val="none"/>
        </w:rPr>
      </w:pPr>
    </w:p>
    <w:p w14:paraId="350A43D3">
      <w:pPr>
        <w:rPr>
          <w:rFonts w:hint="eastAsia"/>
          <w:color w:val="auto"/>
          <w:highlight w:val="none"/>
        </w:rPr>
      </w:pPr>
      <w:r>
        <w:rPr>
          <w:rFonts w:hint="eastAsia"/>
          <w:color w:val="auto"/>
          <w:highlight w:val="none"/>
        </w:rPr>
        <w:br w:type="page"/>
      </w:r>
    </w:p>
    <w:p w14:paraId="06D64028">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bookmarkStart w:id="460" w:name="_Toc30156"/>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50"/>
      <w:bookmarkEnd w:id="452"/>
      <w:bookmarkEnd w:id="453"/>
      <w:bookmarkEnd w:id="454"/>
      <w:bookmarkEnd w:id="455"/>
      <w:bookmarkEnd w:id="456"/>
      <w:bookmarkEnd w:id="457"/>
      <w:bookmarkEnd w:id="458"/>
      <w:bookmarkEnd w:id="459"/>
      <w:bookmarkEnd w:id="460"/>
    </w:p>
    <w:p w14:paraId="645956F8">
      <w:pPr>
        <w:spacing w:line="400" w:lineRule="exact"/>
        <w:ind w:left="480"/>
        <w:rPr>
          <w:rFonts w:hint="default" w:asciiTheme="minorEastAsia" w:hAnsiTheme="minorEastAsia" w:eastAsiaTheme="minorEastAsia" w:cstheme="minorEastAsia"/>
          <w:color w:val="auto"/>
          <w:szCs w:val="24"/>
          <w:highlight w:val="none"/>
        </w:rPr>
      </w:pPr>
      <w:bookmarkStart w:id="461" w:name="_Hlt87793370"/>
      <w:bookmarkEnd w:id="461"/>
      <w:bookmarkStart w:id="462" w:name="_Hlt69358207"/>
      <w:bookmarkEnd w:id="462"/>
      <w:bookmarkStart w:id="463" w:name="_Hlt69359335"/>
      <w:bookmarkEnd w:id="463"/>
      <w:bookmarkStart w:id="464" w:name="_Hlt75685840"/>
      <w:bookmarkEnd w:id="464"/>
      <w:bookmarkStart w:id="465" w:name="_Hlt69357851"/>
      <w:bookmarkEnd w:id="465"/>
      <w:bookmarkStart w:id="466" w:name="_Hlt80411122"/>
      <w:bookmarkEnd w:id="466"/>
      <w:bookmarkStart w:id="467" w:name="_Hlt66104926"/>
      <w:bookmarkEnd w:id="467"/>
      <w:bookmarkStart w:id="468" w:name="_Hlt69116854"/>
      <w:bookmarkEnd w:id="468"/>
      <w:bookmarkStart w:id="469" w:name="_Hlt87793346"/>
      <w:bookmarkEnd w:id="469"/>
      <w:bookmarkStart w:id="470" w:name="_Hlt69265216"/>
      <w:bookmarkEnd w:id="470"/>
      <w:bookmarkStart w:id="471" w:name="_Hlt68774758"/>
      <w:bookmarkEnd w:id="471"/>
      <w:bookmarkStart w:id="472" w:name="_Toc466640611"/>
    </w:p>
    <w:bookmarkEnd w:id="472"/>
    <w:p w14:paraId="4F95664F">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1．房屋建筑工程建设项目</w:t>
      </w:r>
    </w:p>
    <w:p w14:paraId="148BB093">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73" w:name="_Hlt69359243"/>
      <w:bookmarkEnd w:id="473"/>
      <w:bookmarkStart w:id="474" w:name="_Hlt69358458"/>
      <w:bookmarkEnd w:id="474"/>
      <w:bookmarkStart w:id="475" w:name="_Hlt69635252"/>
      <w:bookmarkEnd w:id="475"/>
      <w:bookmarkStart w:id="476" w:name="_Hlt69359086"/>
      <w:bookmarkEnd w:id="476"/>
      <w:bookmarkStart w:id="477" w:name="_Hlt69116858"/>
      <w:bookmarkEnd w:id="477"/>
      <w:bookmarkStart w:id="478" w:name="_Hlt78709799"/>
      <w:bookmarkEnd w:id="478"/>
      <w:bookmarkStart w:id="479" w:name="_Hlt69359245"/>
      <w:bookmarkEnd w:id="479"/>
      <w:r>
        <w:rPr>
          <w:rFonts w:hint="eastAsia" w:ascii="宋体" w:hAnsi="宋体" w:eastAsia="宋体" w:cs="宋体"/>
          <w:bCs/>
          <w:snapToGrid w:val="0"/>
          <w:color w:val="auto"/>
          <w:kern w:val="0"/>
          <w:sz w:val="24"/>
          <w:szCs w:val="24"/>
          <w:highlight w:val="none"/>
        </w:rPr>
        <w:t>房屋建筑工程建设项目必须执行的现行技术规范，包括且不限于：</w:t>
      </w:r>
    </w:p>
    <w:p w14:paraId="36258605">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w:t>
      </w:r>
      <w:r>
        <w:rPr>
          <w:rFonts w:hint="eastAsia" w:ascii="宋体" w:hAnsi="宋体" w:eastAsia="宋体" w:cs="宋体"/>
          <w:bCs/>
          <w:snapToGrid w:val="0"/>
          <w:color w:val="auto"/>
          <w:kern w:val="0"/>
          <w:sz w:val="24"/>
          <w:szCs w:val="24"/>
          <w:highlight w:val="none"/>
        </w:rPr>
        <w:t>《建筑工程施工质量验收统一标准》；</w:t>
      </w:r>
    </w:p>
    <w:p w14:paraId="44C8A8B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lang w:val="en-US" w:eastAsia="zh-CN"/>
        </w:rPr>
      </w:pPr>
      <w:r>
        <w:rPr>
          <w:rFonts w:hint="default" w:ascii="宋体" w:hAnsi="宋体" w:eastAsia="宋体" w:cs="宋体"/>
          <w:bCs/>
          <w:snapToGrid w:val="0"/>
          <w:color w:val="auto"/>
          <w:kern w:val="0"/>
          <w:sz w:val="24"/>
          <w:szCs w:val="24"/>
          <w:highlight w:val="none"/>
          <w:lang w:val="en-US" w:eastAsia="zh-CN" w:bidi="ar-SA"/>
        </w:rPr>
        <w:t>(2)</w:t>
      </w:r>
      <w:r>
        <w:rPr>
          <w:rFonts w:hint="eastAsia" w:ascii="宋体" w:hAnsi="宋体" w:eastAsia="宋体" w:cs="宋体"/>
          <w:bCs/>
          <w:snapToGrid w:val="0"/>
          <w:color w:val="auto"/>
          <w:kern w:val="0"/>
          <w:sz w:val="24"/>
          <w:szCs w:val="24"/>
          <w:highlight w:val="none"/>
        </w:rPr>
        <w:t>《建筑与市政工程施工质量控制通用规范》</w:t>
      </w:r>
      <w:r>
        <w:rPr>
          <w:rFonts w:hint="eastAsia" w:ascii="宋体" w:hAnsi="宋体" w:eastAsia="宋体" w:cs="宋体"/>
          <w:bCs/>
          <w:snapToGrid w:val="0"/>
          <w:color w:val="auto"/>
          <w:kern w:val="0"/>
          <w:sz w:val="24"/>
          <w:szCs w:val="24"/>
          <w:highlight w:val="none"/>
          <w:lang w:val="en-US" w:eastAsia="zh-CN"/>
        </w:rPr>
        <w:t>;</w:t>
      </w:r>
    </w:p>
    <w:p w14:paraId="2721CB4A">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(3)</w:t>
      </w:r>
      <w:r>
        <w:rPr>
          <w:rFonts w:hint="eastAsia" w:ascii="宋体" w:hAnsi="宋体" w:eastAsia="宋体" w:cs="宋体"/>
          <w:bCs/>
          <w:snapToGrid w:val="0"/>
          <w:color w:val="auto"/>
          <w:kern w:val="0"/>
          <w:sz w:val="24"/>
          <w:szCs w:val="24"/>
          <w:highlight w:val="none"/>
        </w:rPr>
        <w:t>《建筑地基基础工程施工质量验收规范》；</w:t>
      </w:r>
    </w:p>
    <w:p w14:paraId="3397BE01">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(4)</w:t>
      </w:r>
      <w:r>
        <w:rPr>
          <w:rFonts w:hint="eastAsia" w:ascii="宋体" w:hAnsi="宋体" w:eastAsia="宋体" w:cs="宋体"/>
          <w:bCs/>
          <w:snapToGrid w:val="0"/>
          <w:color w:val="auto"/>
          <w:kern w:val="0"/>
          <w:sz w:val="24"/>
          <w:szCs w:val="24"/>
          <w:highlight w:val="none"/>
        </w:rPr>
        <w:t>《砌体工程施工质量验收规范》；</w:t>
      </w:r>
    </w:p>
    <w:p w14:paraId="6469D8CD">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(5)</w:t>
      </w:r>
      <w:r>
        <w:rPr>
          <w:rFonts w:hint="eastAsia" w:ascii="宋体" w:hAnsi="宋体" w:eastAsia="宋体" w:cs="宋体"/>
          <w:bCs/>
          <w:snapToGrid w:val="0"/>
          <w:color w:val="auto"/>
          <w:kern w:val="0"/>
          <w:sz w:val="24"/>
          <w:szCs w:val="24"/>
          <w:highlight w:val="none"/>
        </w:rPr>
        <w:t>《混凝土结构工程施工质量验收规范》；</w:t>
      </w:r>
    </w:p>
    <w:p w14:paraId="1D9DEDF6">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(6)</w:t>
      </w:r>
      <w:r>
        <w:rPr>
          <w:rFonts w:hint="eastAsia" w:ascii="宋体" w:hAnsi="宋体" w:eastAsia="宋体" w:cs="宋体"/>
          <w:bCs/>
          <w:snapToGrid w:val="0"/>
          <w:color w:val="auto"/>
          <w:kern w:val="0"/>
          <w:sz w:val="24"/>
          <w:szCs w:val="24"/>
          <w:highlight w:val="none"/>
        </w:rPr>
        <w:t>《屋面工程质量验收规范》；</w:t>
      </w:r>
    </w:p>
    <w:p w14:paraId="71D6358A">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(7)</w:t>
      </w:r>
      <w:r>
        <w:rPr>
          <w:rFonts w:hint="eastAsia" w:ascii="宋体" w:hAnsi="宋体" w:eastAsia="宋体" w:cs="宋体"/>
          <w:bCs/>
          <w:snapToGrid w:val="0"/>
          <w:color w:val="auto"/>
          <w:kern w:val="0"/>
          <w:sz w:val="24"/>
          <w:szCs w:val="24"/>
          <w:highlight w:val="none"/>
        </w:rPr>
        <w:t>《地下防水工程质量验收规范》；</w:t>
      </w:r>
    </w:p>
    <w:p w14:paraId="5469DCCA">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bookmarkStart w:id="480" w:name="_Hlt78795211"/>
      <w:bookmarkEnd w:id="480"/>
      <w:r>
        <w:rPr>
          <w:rFonts w:hint="default" w:ascii="宋体" w:hAnsi="宋体" w:eastAsia="宋体" w:cs="宋体"/>
          <w:bCs/>
          <w:snapToGrid w:val="0"/>
          <w:color w:val="auto"/>
          <w:kern w:val="0"/>
          <w:sz w:val="24"/>
          <w:szCs w:val="24"/>
          <w:highlight w:val="none"/>
          <w:lang w:val="en-US" w:eastAsia="zh-CN" w:bidi="ar-SA"/>
        </w:rPr>
        <w:t>(8)</w:t>
      </w:r>
      <w:r>
        <w:rPr>
          <w:rFonts w:hint="eastAsia" w:ascii="宋体" w:hAnsi="宋体" w:eastAsia="宋体" w:cs="宋体"/>
          <w:bCs/>
          <w:snapToGrid w:val="0"/>
          <w:color w:val="auto"/>
          <w:kern w:val="0"/>
          <w:sz w:val="24"/>
          <w:szCs w:val="24"/>
          <w:highlight w:val="none"/>
        </w:rPr>
        <w:t>《建筑地面工程施工质量验收规范》；</w:t>
      </w:r>
    </w:p>
    <w:p w14:paraId="556D3E70">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(9)</w:t>
      </w:r>
      <w:r>
        <w:rPr>
          <w:rFonts w:hint="eastAsia" w:ascii="宋体" w:hAnsi="宋体" w:eastAsia="宋体" w:cs="宋体"/>
          <w:bCs/>
          <w:snapToGrid w:val="0"/>
          <w:color w:val="auto"/>
          <w:kern w:val="0"/>
          <w:sz w:val="24"/>
          <w:szCs w:val="24"/>
          <w:highlight w:val="none"/>
        </w:rPr>
        <w:t>《建筑装饰装修工程施工质量验收规范》；</w:t>
      </w:r>
    </w:p>
    <w:p w14:paraId="7F41C08D">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(10)</w:t>
      </w:r>
      <w:r>
        <w:rPr>
          <w:rFonts w:hint="eastAsia" w:ascii="宋体" w:hAnsi="宋体" w:eastAsia="宋体" w:cs="宋体"/>
          <w:bCs/>
          <w:snapToGrid w:val="0"/>
          <w:color w:val="auto"/>
          <w:kern w:val="0"/>
          <w:sz w:val="24"/>
          <w:szCs w:val="24"/>
          <w:highlight w:val="none"/>
        </w:rPr>
        <w:t>《建筑给排水及采暖工程施工质量验收规范》；</w:t>
      </w:r>
    </w:p>
    <w:p w14:paraId="3829C2AD">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(11)</w:t>
      </w:r>
      <w:r>
        <w:rPr>
          <w:rFonts w:hint="eastAsia" w:ascii="宋体" w:hAnsi="宋体" w:eastAsia="宋体" w:cs="宋体"/>
          <w:bCs/>
          <w:snapToGrid w:val="0"/>
          <w:color w:val="auto"/>
          <w:kern w:val="0"/>
          <w:sz w:val="24"/>
          <w:szCs w:val="24"/>
          <w:highlight w:val="none"/>
        </w:rPr>
        <w:t>《建筑电气工程施工质量验收规范》；</w:t>
      </w:r>
    </w:p>
    <w:p w14:paraId="63F6319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(12)</w:t>
      </w:r>
      <w:r>
        <w:rPr>
          <w:rFonts w:hint="eastAsia" w:ascii="宋体" w:hAnsi="宋体" w:eastAsia="宋体" w:cs="宋体"/>
          <w:bCs/>
          <w:snapToGrid w:val="0"/>
          <w:color w:val="auto"/>
          <w:kern w:val="0"/>
          <w:sz w:val="24"/>
          <w:szCs w:val="24"/>
          <w:highlight w:val="none"/>
        </w:rPr>
        <w:t>《住建部绿色建筑评价标准》；</w:t>
      </w:r>
    </w:p>
    <w:p w14:paraId="17AF058F">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(13)</w:t>
      </w:r>
      <w:r>
        <w:rPr>
          <w:rFonts w:hint="eastAsia" w:ascii="宋体" w:hAnsi="宋体" w:eastAsia="宋体" w:cs="宋体"/>
          <w:bCs/>
          <w:snapToGrid w:val="0"/>
          <w:color w:val="auto"/>
          <w:kern w:val="0"/>
          <w:sz w:val="24"/>
          <w:szCs w:val="24"/>
          <w:highlight w:val="none"/>
        </w:rPr>
        <w:t>《建筑节能与可再生能源利用通用规范》；</w:t>
      </w:r>
    </w:p>
    <w:p w14:paraId="1852F781">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(14)</w:t>
      </w:r>
      <w:r>
        <w:rPr>
          <w:rFonts w:hint="eastAsia" w:ascii="宋体" w:hAnsi="宋体" w:eastAsia="宋体" w:cs="宋体"/>
          <w:bCs/>
          <w:snapToGrid w:val="0"/>
          <w:color w:val="auto"/>
          <w:kern w:val="0"/>
          <w:sz w:val="24"/>
          <w:szCs w:val="24"/>
          <w:highlight w:val="none"/>
        </w:rPr>
        <w:t>《建筑环境通用规范》；</w:t>
      </w:r>
    </w:p>
    <w:p w14:paraId="7ED06604">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(15)</w:t>
      </w:r>
      <w:r>
        <w:rPr>
          <w:rFonts w:hint="eastAsia" w:ascii="宋体" w:hAnsi="宋体" w:eastAsia="宋体" w:cs="宋体"/>
          <w:bCs/>
          <w:snapToGrid w:val="0"/>
          <w:color w:val="auto"/>
          <w:kern w:val="0"/>
          <w:sz w:val="24"/>
          <w:szCs w:val="24"/>
          <w:highlight w:val="none"/>
        </w:rPr>
        <w:t>《广东省住房和城乡建设厅绿色施工导则》；</w:t>
      </w:r>
    </w:p>
    <w:p w14:paraId="20DB5991">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(16)</w:t>
      </w:r>
      <w:r>
        <w:rPr>
          <w:rFonts w:hint="eastAsia" w:ascii="宋体" w:hAnsi="宋体" w:eastAsia="宋体" w:cs="宋体"/>
          <w:bCs/>
          <w:snapToGrid w:val="0"/>
          <w:color w:val="auto"/>
          <w:kern w:val="0"/>
          <w:sz w:val="24"/>
          <w:szCs w:val="24"/>
          <w:highlight w:val="none"/>
        </w:rPr>
        <w:t>《广东省建筑工程绿色施工评价标准》；</w:t>
      </w:r>
    </w:p>
    <w:p w14:paraId="33CE29A1">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(17)</w:t>
      </w:r>
      <w:r>
        <w:rPr>
          <w:rFonts w:hint="eastAsia" w:ascii="宋体" w:hAnsi="宋体" w:eastAsia="宋体" w:cs="宋体"/>
          <w:bCs/>
          <w:snapToGrid w:val="0"/>
          <w:color w:val="auto"/>
          <w:kern w:val="0"/>
          <w:sz w:val="24"/>
          <w:szCs w:val="24"/>
          <w:highlight w:val="none"/>
        </w:rPr>
        <w:t>《广东省建筑节能与绿色建筑工程施工质量验收规范》</w:t>
      </w:r>
    </w:p>
    <w:p w14:paraId="54E77BA2">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(18)</w:t>
      </w:r>
      <w:r>
        <w:rPr>
          <w:rFonts w:hint="eastAsia" w:ascii="宋体" w:hAnsi="宋体" w:eastAsia="宋体" w:cs="宋体"/>
          <w:bCs/>
          <w:snapToGrid w:val="0"/>
          <w:color w:val="auto"/>
          <w:kern w:val="0"/>
          <w:sz w:val="24"/>
          <w:szCs w:val="24"/>
          <w:highlight w:val="none"/>
        </w:rPr>
        <w:t>其他现行国家、广东省关于房建工程的施工及验收规范、定额、规程、标准。</w:t>
      </w:r>
    </w:p>
    <w:p w14:paraId="79FEFA54">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2．市政基础设施工程建设项目</w:t>
      </w:r>
    </w:p>
    <w:p w14:paraId="40E1DF5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市政基础设施工程建设项目必须执行的现行技术规范，包括且不限于：</w:t>
      </w:r>
    </w:p>
    <w:p w14:paraId="2C37901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（1）《公路路基施工技术规范》；</w:t>
      </w:r>
    </w:p>
    <w:p w14:paraId="3114FBF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（2）《市政道路工程质量检验评定标准》；</w:t>
      </w:r>
    </w:p>
    <w:p w14:paraId="0C363EEF">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（3）《市政排水管渠工程质量检验评定标准》；</w:t>
      </w:r>
    </w:p>
    <w:p w14:paraId="7CBFDF54">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（4）《给水排水管道工程施工及验收规范》；</w:t>
      </w:r>
    </w:p>
    <w:p w14:paraId="52C42AED">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（5）《城市道路路基工程施工及验收规范》；</w:t>
      </w:r>
    </w:p>
    <w:p w14:paraId="0B6D39D1">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（6）《水泥砼路面施工及验收规范》；</w:t>
      </w:r>
    </w:p>
    <w:p w14:paraId="4BA75B3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（7）《公路水泥砼路面施工技术规范》；</w:t>
      </w:r>
    </w:p>
    <w:p w14:paraId="0CAEB72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（8）《埋地硬聚氯乙烯排水管道工程技术规程》；</w:t>
      </w:r>
    </w:p>
    <w:p w14:paraId="2BA5F214">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（9）《沥青路面施工及验收规范》；</w:t>
      </w:r>
    </w:p>
    <w:p w14:paraId="6BE0273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（10）《广东省市政工程施工质量技术资料统一用表》。</w:t>
      </w:r>
    </w:p>
    <w:p w14:paraId="535F57A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81" w:name="_Toc3736"/>
      <w:bookmarkStart w:id="482" w:name="_Toc15315"/>
      <w:bookmarkStart w:id="483" w:name="_Toc31614"/>
      <w:r>
        <w:rPr>
          <w:rFonts w:hint="eastAsia" w:ascii="宋体" w:hAnsi="宋体" w:eastAsia="宋体" w:cs="宋体"/>
          <w:bCs/>
          <w:snapToGrid w:val="0"/>
          <w:color w:val="auto"/>
          <w:kern w:val="0"/>
          <w:sz w:val="24"/>
          <w:szCs w:val="24"/>
          <w:highlight w:val="none"/>
        </w:rPr>
        <w:t>（11）《城市道路照明设计标准》（CJJ45-2015）；</w:t>
      </w:r>
      <w:bookmarkEnd w:id="481"/>
      <w:bookmarkEnd w:id="482"/>
      <w:bookmarkEnd w:id="483"/>
    </w:p>
    <w:p w14:paraId="4B70F3A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84" w:name="_Toc27202"/>
      <w:bookmarkStart w:id="485" w:name="_Toc5347"/>
      <w:bookmarkStart w:id="486" w:name="_Toc20893"/>
      <w:r>
        <w:rPr>
          <w:rFonts w:hint="eastAsia" w:ascii="宋体" w:hAnsi="宋体" w:eastAsia="宋体" w:cs="宋体"/>
          <w:bCs/>
          <w:snapToGrid w:val="0"/>
          <w:color w:val="auto"/>
          <w:kern w:val="0"/>
          <w:sz w:val="24"/>
          <w:szCs w:val="24"/>
          <w:highlight w:val="none"/>
        </w:rPr>
        <w:t>（12）《低压配电设计规范》（GB50054-2011）；</w:t>
      </w:r>
      <w:bookmarkEnd w:id="484"/>
      <w:bookmarkEnd w:id="485"/>
      <w:bookmarkEnd w:id="486"/>
    </w:p>
    <w:p w14:paraId="07B557A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87" w:name="_Toc11722"/>
      <w:bookmarkStart w:id="488" w:name="_Toc9733"/>
      <w:bookmarkStart w:id="489" w:name="_Toc5827"/>
      <w:r>
        <w:rPr>
          <w:rFonts w:hint="eastAsia" w:ascii="宋体" w:hAnsi="宋体" w:eastAsia="宋体" w:cs="宋体"/>
          <w:bCs/>
          <w:snapToGrid w:val="0"/>
          <w:color w:val="auto"/>
          <w:kern w:val="0"/>
          <w:sz w:val="24"/>
          <w:szCs w:val="24"/>
          <w:highlight w:val="none"/>
        </w:rPr>
        <w:t>（13）《城市道路照明工程施工及验收规程》（CJJ89-2012）；</w:t>
      </w:r>
      <w:bookmarkEnd w:id="487"/>
      <w:bookmarkEnd w:id="488"/>
      <w:bookmarkEnd w:id="489"/>
    </w:p>
    <w:p w14:paraId="55E1EA0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90" w:name="_Toc10913"/>
      <w:bookmarkStart w:id="491" w:name="_Toc23156"/>
      <w:bookmarkStart w:id="492" w:name="_Toc3289"/>
      <w:r>
        <w:rPr>
          <w:rFonts w:hint="eastAsia" w:ascii="宋体" w:hAnsi="宋体" w:eastAsia="宋体" w:cs="宋体"/>
          <w:bCs/>
          <w:snapToGrid w:val="0"/>
          <w:color w:val="auto"/>
          <w:kern w:val="0"/>
          <w:sz w:val="24"/>
          <w:szCs w:val="24"/>
          <w:highlight w:val="none"/>
        </w:rPr>
        <w:t>（14）《LED道路照明工程技术规范》（DB44/T 1898-2016）；</w:t>
      </w:r>
      <w:bookmarkEnd w:id="490"/>
      <w:bookmarkEnd w:id="491"/>
      <w:bookmarkEnd w:id="492"/>
    </w:p>
    <w:p w14:paraId="799FF5D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93" w:name="_Toc31777"/>
      <w:bookmarkStart w:id="494" w:name="_Toc23729"/>
      <w:bookmarkStart w:id="495" w:name="_Toc20060"/>
      <w:r>
        <w:rPr>
          <w:rFonts w:hint="eastAsia" w:ascii="宋体" w:hAnsi="宋体" w:eastAsia="宋体" w:cs="宋体"/>
          <w:bCs/>
          <w:snapToGrid w:val="0"/>
          <w:color w:val="auto"/>
          <w:kern w:val="0"/>
          <w:sz w:val="24"/>
          <w:szCs w:val="24"/>
          <w:highlight w:val="none"/>
        </w:rPr>
        <w:t>（15）《灯具第1部分：一般要求与试验》（GB7000.1-2015）；</w:t>
      </w:r>
      <w:bookmarkEnd w:id="493"/>
      <w:bookmarkEnd w:id="494"/>
      <w:bookmarkEnd w:id="495"/>
    </w:p>
    <w:p w14:paraId="27FFE2F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96" w:name="_Toc11185"/>
      <w:bookmarkStart w:id="497" w:name="_Toc4568"/>
      <w:bookmarkStart w:id="498" w:name="_Toc13117"/>
      <w:r>
        <w:rPr>
          <w:rFonts w:hint="eastAsia" w:ascii="宋体" w:hAnsi="宋体" w:eastAsia="宋体" w:cs="宋体"/>
          <w:bCs/>
          <w:snapToGrid w:val="0"/>
          <w:color w:val="auto"/>
          <w:kern w:val="0"/>
          <w:sz w:val="24"/>
          <w:szCs w:val="24"/>
          <w:highlight w:val="none"/>
        </w:rPr>
        <w:t>（16）《电缆工程电缆设计标准》（GB50217-2018）；</w:t>
      </w:r>
      <w:bookmarkEnd w:id="496"/>
      <w:bookmarkEnd w:id="497"/>
      <w:bookmarkEnd w:id="498"/>
    </w:p>
    <w:p w14:paraId="5DD3350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（17）其他现行国家、广东省关于市政工程的技术及验收规范、定额、规程、标准。</w:t>
      </w:r>
    </w:p>
    <w:p w14:paraId="5CC40EC5">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3.设计规范</w:t>
      </w:r>
    </w:p>
    <w:p w14:paraId="400BDB6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（1）《市政公用工程设计文件编制深度规定》—中华人民共和国建设部 2013 年版；</w:t>
      </w:r>
    </w:p>
    <w:p w14:paraId="242A6824">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（2）《城市居住区规划设计规范》GB50180-93（2016 年）；</w:t>
      </w:r>
    </w:p>
    <w:p w14:paraId="33279A8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（3）《城市道路工程设计规》（CJJ37-2012）；</w:t>
      </w:r>
    </w:p>
    <w:p w14:paraId="17D98D0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（4）《城市道路路线设计规范》（CJJ 193-2012）；</w:t>
      </w:r>
    </w:p>
    <w:p w14:paraId="76FBB691">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（5）《城市道路路基设计规范》（CJJ194-2013）；</w:t>
      </w:r>
    </w:p>
    <w:p w14:paraId="559FB89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（6）《城镇道路路面设计规范》（CJJ169-2012）；</w:t>
      </w:r>
    </w:p>
    <w:p w14:paraId="2EC5BA4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（7）《城市道路交通规划与设计规范》（GB0220-95）；</w:t>
      </w:r>
    </w:p>
    <w:p w14:paraId="6FCDE45D">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（8）《无障碍设计规范》（GB 50763-2012）；</w:t>
      </w:r>
    </w:p>
    <w:p w14:paraId="6A4D6C9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（9）《混凝土结构设计规范》（GB50010-2010）；</w:t>
      </w:r>
    </w:p>
    <w:p w14:paraId="50CD637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（10）《城市防洪工程设计规范》（GB/T 50805-2012）；</w:t>
      </w:r>
    </w:p>
    <w:p w14:paraId="6E19819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（11）《室外排水设计规范（2016 年版）》（GB50014-2006）；</w:t>
      </w:r>
    </w:p>
    <w:p w14:paraId="79CC758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（12）《给水排水工程结构设计规范》（GB 500069－2002）；</w:t>
      </w:r>
    </w:p>
    <w:p w14:paraId="4704F2B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（13）《居住小区给水排水设计规范》（CECS57：94）；</w:t>
      </w:r>
    </w:p>
    <w:p w14:paraId="061A812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（14）《建筑给水排水设计规范》（GB50015-2003）2009 年版；</w:t>
      </w:r>
    </w:p>
    <w:p w14:paraId="5A269BB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（15）《建筑设计防火规范》（GB50016-2014）；</w:t>
      </w:r>
    </w:p>
    <w:p w14:paraId="5C3CD1F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（16）《灌溉与排水工程设计规范》（GB50288-99）；</w:t>
      </w:r>
    </w:p>
    <w:p w14:paraId="0EA309D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（17）《城市道路绿化规划与设计规范》（CJJ75-97）；</w:t>
      </w:r>
    </w:p>
    <w:p w14:paraId="3B76DEA9">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（18）《电力工程电力设计规范》（GB50217-2007）；</w:t>
      </w:r>
    </w:p>
    <w:p w14:paraId="60E3BCD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（19）《砌体结构设计规范》（GB50003-2001）；</w:t>
      </w:r>
    </w:p>
    <w:p w14:paraId="679837C2">
      <w:pPr>
        <w:keepNext w:val="0"/>
        <w:keepLines w:val="0"/>
        <w:pageBreakBefore w:val="0"/>
        <w:kinsoku/>
        <w:overflowPunct/>
        <w:topLinePunct w:val="0"/>
        <w:bidi w:val="0"/>
        <w:spacing w:line="40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注：以上规范或规定如有更新，则以更新后的规范及规定为准。</w:t>
      </w:r>
    </w:p>
    <w:p w14:paraId="6E083FCB">
      <w:pPr>
        <w:rPr>
          <w:rFonts w:hint="eastAsia"/>
        </w:rPr>
      </w:pPr>
      <w:bookmarkStart w:id="499" w:name="_Toc2115"/>
      <w:bookmarkStart w:id="500" w:name="_Toc10936"/>
      <w:bookmarkStart w:id="501" w:name="_Toc779"/>
    </w:p>
    <w:p w14:paraId="59B657B1">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4．备查要求</w:t>
      </w:r>
      <w:bookmarkEnd w:id="499"/>
      <w:bookmarkEnd w:id="500"/>
      <w:bookmarkEnd w:id="501"/>
    </w:p>
    <w:p w14:paraId="0C774064">
      <w:pPr>
        <w:keepNext w:val="0"/>
        <w:keepLines w:val="0"/>
        <w:pageBreakBefore w:val="0"/>
        <w:kinsoku/>
        <w:overflowPunct/>
        <w:topLinePunct w:val="0"/>
        <w:bidi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人必须在施工现场准备至少一套上述规范，</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人和监理单位可随时检查</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人的上述规范，并监督</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人按规范要求执行。</w:t>
      </w:r>
    </w:p>
    <w:p w14:paraId="59FB5782">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bookmarkStart w:id="502" w:name="_Toc466640612"/>
      <w:bookmarkStart w:id="503" w:name="_Toc15621"/>
      <w:bookmarkStart w:id="504" w:name="_Toc14295"/>
      <w:r>
        <w:rPr>
          <w:rFonts w:hint="eastAsia" w:ascii="宋体" w:hAnsi="宋体" w:eastAsia="宋体" w:cs="宋体"/>
          <w:b/>
          <w:snapToGrid w:val="0"/>
          <w:color w:val="auto"/>
          <w:kern w:val="0"/>
          <w:sz w:val="24"/>
          <w:szCs w:val="24"/>
          <w:highlight w:val="none"/>
        </w:rPr>
        <w:t>5.招标工程的项目前期资料</w:t>
      </w:r>
      <w:bookmarkEnd w:id="502"/>
      <w:r>
        <w:rPr>
          <w:rFonts w:hint="eastAsia" w:ascii="宋体" w:hAnsi="宋体" w:eastAsia="宋体" w:cs="宋体"/>
          <w:b/>
          <w:snapToGrid w:val="0"/>
          <w:color w:val="auto"/>
          <w:kern w:val="0"/>
          <w:sz w:val="24"/>
          <w:szCs w:val="24"/>
          <w:highlight w:val="none"/>
        </w:rPr>
        <w:t>（另附）</w:t>
      </w:r>
      <w:bookmarkEnd w:id="503"/>
      <w:bookmarkEnd w:id="504"/>
    </w:p>
    <w:p w14:paraId="6FB3F44D">
      <w:pPr>
        <w:keepNext w:val="0"/>
        <w:keepLines w:val="0"/>
        <w:pageBreakBefore w:val="0"/>
        <w:kinsoku/>
        <w:overflowPunct/>
        <w:topLinePunct w:val="0"/>
        <w:bidi w:val="0"/>
        <w:spacing w:line="400" w:lineRule="exact"/>
        <w:ind w:firstLine="480" w:firstLineChars="200"/>
        <w:rPr>
          <w:rFonts w:hint="default" w:ascii="宋体" w:hAnsi="宋体" w:eastAsia="宋体" w:cs="宋体"/>
          <w:b w:val="0"/>
          <w:bCs/>
          <w:color w:val="auto"/>
          <w:kern w:val="0"/>
          <w:sz w:val="24"/>
          <w:szCs w:val="24"/>
          <w:highlight w:val="none"/>
          <w:lang w:val="en-US" w:eastAsia="zh-CN"/>
        </w:rPr>
      </w:pPr>
      <w:r>
        <w:rPr>
          <w:rFonts w:hint="eastAsia" w:hAnsi="宋体" w:eastAsia="宋体" w:cs="宋体"/>
          <w:b w:val="0"/>
          <w:bCs/>
          <w:color w:val="auto"/>
          <w:kern w:val="0"/>
          <w:sz w:val="24"/>
          <w:szCs w:val="24"/>
          <w:highlight w:val="none"/>
          <w:lang w:val="en-US" w:eastAsia="zh-CN"/>
        </w:rPr>
        <w:t>投标人自行在系统上下载。</w:t>
      </w:r>
    </w:p>
    <w:p w14:paraId="311FA43E">
      <w:pPr>
        <w:ind w:firstLineChars="200"/>
        <w:rPr>
          <w:rFonts w:hint="default" w:asciiTheme="minorEastAsia" w:hAnsiTheme="minorEastAsia" w:eastAsiaTheme="minorEastAsia" w:cstheme="minorEastAsia"/>
          <w:color w:val="auto"/>
          <w:sz w:val="24"/>
          <w:szCs w:val="24"/>
          <w:highlight w:val="none"/>
        </w:rPr>
      </w:pPr>
      <w:r>
        <w:rPr>
          <w:rFonts w:hint="default" w:asciiTheme="minorEastAsia" w:hAnsiTheme="minorEastAsia" w:eastAsiaTheme="minorEastAsia" w:cstheme="minorEastAsia"/>
          <w:color w:val="auto"/>
          <w:sz w:val="24"/>
          <w:szCs w:val="24"/>
          <w:highlight w:val="none"/>
        </w:rPr>
        <w:br w:type="page"/>
      </w:r>
    </w:p>
    <w:p w14:paraId="00502A60">
      <w:pPr>
        <w:spacing w:line="240" w:lineRule="auto"/>
        <w:rPr>
          <w:rFonts w:hint="eastAsia" w:ascii="宋体" w:hAnsi="宋体" w:cs="宋体"/>
          <w:b/>
          <w:color w:val="auto"/>
          <w:sz w:val="48"/>
          <w:szCs w:val="48"/>
          <w:highlight w:val="none"/>
          <w:lang w:val="en-US" w:eastAsia="zh-CN"/>
        </w:rPr>
      </w:pPr>
      <w:bookmarkStart w:id="505" w:name="_Toc12955"/>
      <w:bookmarkStart w:id="506" w:name="_Toc1911"/>
      <w:bookmarkStart w:id="507" w:name="_Toc384994435"/>
      <w:bookmarkStart w:id="508" w:name="_Toc25810"/>
      <w:bookmarkStart w:id="509" w:name="_Toc23899"/>
      <w:bookmarkStart w:id="510" w:name="_Toc54944300"/>
      <w:bookmarkStart w:id="511" w:name="_Toc5422"/>
      <w:bookmarkStart w:id="512" w:name="_Toc16295"/>
      <w:bookmarkStart w:id="513" w:name="_Toc54943577"/>
      <w:bookmarkStart w:id="514" w:name="_Toc54407024"/>
      <w:bookmarkStart w:id="515" w:name="_Toc6133"/>
      <w:bookmarkStart w:id="516" w:name="_Toc54945902"/>
      <w:bookmarkStart w:id="517" w:name="_Toc54944118"/>
      <w:bookmarkStart w:id="518" w:name="_Toc56494256"/>
      <w:bookmarkStart w:id="519" w:name="_Toc27843"/>
      <w:bookmarkStart w:id="520" w:name="_Toc85444076"/>
      <w:bookmarkStart w:id="521" w:name="_Toc56335430"/>
      <w:bookmarkStart w:id="522" w:name="_Toc466640614"/>
      <w:bookmarkStart w:id="523" w:name="_Toc5639"/>
      <w:bookmarkStart w:id="524" w:name="_Toc54942593"/>
      <w:bookmarkStart w:id="525" w:name="_Hlt69698785"/>
    </w:p>
    <w:p w14:paraId="5EB4395E">
      <w:pPr>
        <w:spacing w:line="440" w:lineRule="exact"/>
        <w:rPr>
          <w:rFonts w:hint="eastAsia" w:ascii="宋体" w:hAnsi="宋体" w:cs="宋体"/>
          <w:snapToGrid w:val="0"/>
          <w:color w:val="auto"/>
          <w:kern w:val="0"/>
          <w:sz w:val="24"/>
          <w:szCs w:val="20"/>
          <w:highlight w:val="none"/>
          <w:lang w:val="en-US" w:eastAsia="zh-CN" w:bidi="ar-SA"/>
        </w:rPr>
      </w:pPr>
    </w:p>
    <w:p w14:paraId="3526B31A">
      <w:pPr>
        <w:pStyle w:val="6"/>
        <w:rPr>
          <w:rFonts w:hint="eastAsia" w:eastAsia="等线"/>
          <w:color w:val="auto"/>
          <w:highlight w:val="none"/>
          <w:lang w:val="en-US" w:eastAsia="zh-CN"/>
        </w:rPr>
      </w:pPr>
    </w:p>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14:paraId="06FE38AB">
      <w:pPr>
        <w:pStyle w:val="2"/>
        <w:numPr>
          <w:ilvl w:val="0"/>
          <w:numId w:val="0"/>
        </w:numPr>
        <w:jc w:val="center"/>
        <w:rPr>
          <w:rFonts w:hint="default" w:asciiTheme="minorEastAsia" w:hAnsiTheme="minorEastAsia" w:eastAsiaTheme="minorEastAsia" w:cstheme="minorEastAsia"/>
          <w:b/>
          <w:color w:val="auto"/>
          <w:kern w:val="44"/>
          <w:sz w:val="36"/>
          <w:szCs w:val="36"/>
          <w:highlight w:val="none"/>
        </w:rPr>
      </w:pPr>
      <w:bookmarkStart w:id="526" w:name="_Toc22589"/>
      <w:r>
        <w:rPr>
          <w:rFonts w:hint="eastAsia" w:asciiTheme="minorEastAsia" w:hAnsiTheme="minorEastAsia" w:eastAsiaTheme="minorEastAsia" w:cstheme="minorEastAsia"/>
          <w:b/>
          <w:color w:val="auto"/>
          <w:kern w:val="44"/>
          <w:sz w:val="36"/>
          <w:szCs w:val="36"/>
          <w:highlight w:val="none"/>
          <w:lang w:val="en-US" w:eastAsia="zh-CN" w:bidi="ar-SA"/>
        </w:rPr>
        <w:t xml:space="preserve">第六章 </w:t>
      </w:r>
      <w:r>
        <w:rPr>
          <w:rFonts w:asciiTheme="minorEastAsia" w:hAnsiTheme="minorEastAsia" w:eastAsiaTheme="minorEastAsia" w:cstheme="minorEastAsia"/>
          <w:b/>
          <w:color w:val="auto"/>
          <w:kern w:val="44"/>
          <w:sz w:val="36"/>
          <w:szCs w:val="36"/>
          <w:highlight w:val="none"/>
        </w:rPr>
        <w:t>招标文件</w:t>
      </w:r>
      <w:bookmarkStart w:id="527" w:name="_Hlt75747044"/>
      <w:bookmarkEnd w:id="527"/>
      <w:r>
        <w:rPr>
          <w:rFonts w:asciiTheme="minorEastAsia" w:hAnsiTheme="minorEastAsia" w:eastAsiaTheme="minorEastAsia" w:cstheme="minorEastAsia"/>
          <w:b/>
          <w:color w:val="auto"/>
          <w:kern w:val="44"/>
          <w:sz w:val="36"/>
          <w:szCs w:val="36"/>
          <w:highlight w:val="none"/>
        </w:rPr>
        <w:t>的附件</w:t>
      </w:r>
      <w:bookmarkEnd w:id="526"/>
    </w:p>
    <w:p w14:paraId="3CF4DBDA">
      <w:pPr>
        <w:rPr>
          <w:rFonts w:hint="default" w:asciiTheme="minorEastAsia" w:hAnsiTheme="minorEastAsia" w:eastAsiaTheme="minorEastAsia" w:cstheme="minorEastAsia"/>
          <w:color w:val="auto"/>
          <w:highlight w:val="none"/>
        </w:rPr>
      </w:pPr>
    </w:p>
    <w:bookmarkEnd w:id="525"/>
    <w:p w14:paraId="7A80F81C">
      <w:bookmarkStart w:id="528" w:name="_附件一：投标函"/>
      <w:bookmarkEnd w:id="528"/>
      <w:bookmarkStart w:id="529" w:name="_附件二：工期承诺书"/>
      <w:bookmarkEnd w:id="529"/>
      <w:bookmarkStart w:id="530" w:name="_附件五：综合评审合理低价法"/>
      <w:bookmarkEnd w:id="530"/>
      <w:bookmarkStart w:id="531" w:name="_附件二：近三年度主要施工项目（竣工及在建）一览表"/>
      <w:bookmarkEnd w:id="531"/>
      <w:bookmarkStart w:id="532" w:name="_附件一：对招标文件条款自愿接受承诺书"/>
      <w:bookmarkEnd w:id="532"/>
      <w:bookmarkStart w:id="533" w:name="_附件四：工期承诺书"/>
      <w:bookmarkEnd w:id="533"/>
      <w:bookmarkStart w:id="534" w:name="_Toc2902"/>
      <w:bookmarkStart w:id="535" w:name="_Toc12527"/>
      <w:bookmarkStart w:id="536" w:name="_Toc12406"/>
      <w:bookmarkStart w:id="537" w:name="_Toc3855"/>
      <w:bookmarkStart w:id="538" w:name="_Toc39136360"/>
      <w:bookmarkStart w:id="539" w:name="_Toc142468134"/>
      <w:bookmarkStart w:id="540" w:name="_Toc137444778"/>
      <w:bookmarkStart w:id="541" w:name="_Toc133160683"/>
      <w:bookmarkStart w:id="542" w:name="_Toc132687128"/>
      <w:bookmarkStart w:id="543" w:name="_Toc78794873"/>
      <w:bookmarkStart w:id="544" w:name="_Toc133815902"/>
    </w:p>
    <w:p w14:paraId="358C022A">
      <w:pPr>
        <w:pStyle w:val="3"/>
        <w:spacing w:before="120"/>
        <w:rPr>
          <w:rFonts w:hint="default" w:asciiTheme="minorEastAsia" w:hAnsiTheme="minorEastAsia" w:eastAsiaTheme="minorEastAsia" w:cstheme="minorEastAsia"/>
          <w:b/>
          <w:snapToGrid w:val="0"/>
          <w:color w:val="auto"/>
          <w:szCs w:val="24"/>
          <w:highlight w:val="none"/>
        </w:rPr>
      </w:pPr>
      <w:bookmarkStart w:id="545" w:name="_Toc5530"/>
      <w:r>
        <w:rPr>
          <w:rFonts w:asciiTheme="minorEastAsia" w:hAnsiTheme="minorEastAsia" w:eastAsiaTheme="minorEastAsia" w:cstheme="minorEastAsia"/>
          <w:b/>
          <w:snapToGrid w:val="0"/>
          <w:color w:val="auto"/>
          <w:szCs w:val="24"/>
          <w:highlight w:val="none"/>
        </w:rPr>
        <w:t>格式一 封面</w:t>
      </w:r>
      <w:bookmarkEnd w:id="534"/>
      <w:bookmarkEnd w:id="535"/>
      <w:bookmarkEnd w:id="536"/>
      <w:bookmarkEnd w:id="537"/>
      <w:bookmarkEnd w:id="538"/>
      <w:bookmarkEnd w:id="545"/>
    </w:p>
    <w:p w14:paraId="357C2622">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1E045A3A">
      <w:pPr>
        <w:pStyle w:val="49"/>
        <w:widowControl w:val="0"/>
        <w:wordWrap w:val="0"/>
        <w:adjustRightInd w:val="0"/>
        <w:snapToGrid w:val="0"/>
        <w:jc w:val="right"/>
        <w:rPr>
          <w:rFonts w:asciiTheme="minorEastAsia" w:hAnsiTheme="minorEastAsia" w:eastAsiaTheme="minorEastAsia" w:cstheme="minorEastAsia"/>
          <w:b/>
          <w:snapToGrid w:val="0"/>
          <w:color w:val="auto"/>
          <w:sz w:val="24"/>
          <w:szCs w:val="24"/>
          <w:highlight w:val="none"/>
        </w:rPr>
      </w:pPr>
    </w:p>
    <w:p w14:paraId="36525EB4">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007E86A9">
      <w:pPr>
        <w:pStyle w:val="49"/>
        <w:widowControl w:val="0"/>
        <w:wordWrap w:val="0"/>
        <w:adjustRightInd w:val="0"/>
        <w:snapToGrid w:val="0"/>
        <w:ind w:firstLine="0"/>
        <w:rPr>
          <w:rFonts w:asciiTheme="minorEastAsia" w:hAnsiTheme="minorEastAsia" w:eastAsiaTheme="minorEastAsia" w:cstheme="minorEastAsia"/>
          <w:b/>
          <w:snapToGrid w:val="0"/>
          <w:color w:val="auto"/>
          <w:sz w:val="24"/>
          <w:highlight w:val="none"/>
        </w:rPr>
      </w:pPr>
      <w:bookmarkStart w:id="546" w:name="_附件二十四：技术标提问单"/>
      <w:bookmarkEnd w:id="546"/>
      <w:bookmarkStart w:id="547" w:name="_附件二十五：综合评审合理低价法"/>
      <w:bookmarkEnd w:id="547"/>
      <w:bookmarkStart w:id="548" w:name="_Hlt68774664"/>
      <w:bookmarkEnd w:id="548"/>
      <w:bookmarkStart w:id="549" w:name="_Hlt69116778"/>
      <w:bookmarkEnd w:id="549"/>
      <w:bookmarkStart w:id="550" w:name="_附件十：单项工程费汇总表"/>
      <w:bookmarkEnd w:id="550"/>
      <w:bookmarkStart w:id="551" w:name="_Toc39136361"/>
      <w:bookmarkStart w:id="552" w:name="_Toc15791"/>
      <w:bookmarkStart w:id="553" w:name="_Toc26795"/>
      <w:bookmarkStart w:id="554" w:name="_Toc5872"/>
      <w:bookmarkStart w:id="555" w:name="_Toc28483"/>
      <w:bookmarkStart w:id="556" w:name="_Toc104711098"/>
      <w:bookmarkStart w:id="557" w:name="_Toc466640620"/>
      <w:bookmarkStart w:id="558" w:name="_Toc66849200"/>
      <w:bookmarkStart w:id="559" w:name="_Hlt66847557"/>
      <w:bookmarkStart w:id="560" w:name="_Toc106418843"/>
    </w:p>
    <w:p w14:paraId="65C8D248">
      <w:pPr>
        <w:pStyle w:val="49"/>
        <w:widowControl w:val="0"/>
        <w:wordWrap w:val="0"/>
        <w:adjustRightInd w:val="0"/>
        <w:snapToGrid w:val="0"/>
        <w:rPr>
          <w:rFonts w:asciiTheme="minorEastAsia" w:hAnsiTheme="minorEastAsia" w:eastAsiaTheme="minorEastAsia" w:cstheme="minorEastAsia"/>
          <w:b/>
          <w:snapToGrid w:val="0"/>
          <w:color w:val="auto"/>
          <w:sz w:val="24"/>
          <w:highlight w:val="none"/>
        </w:rPr>
      </w:pPr>
    </w:p>
    <w:p w14:paraId="2A1FDDAE">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（项目名称）   </w:t>
      </w:r>
      <w:r>
        <w:rPr>
          <w:rFonts w:hint="eastAsia" w:asciiTheme="minorEastAsia" w:hAnsiTheme="minorEastAsia" w:eastAsiaTheme="minorEastAsia" w:cstheme="minorEastAsia"/>
          <w:b/>
          <w:snapToGrid w:val="0"/>
          <w:color w:val="auto"/>
          <w:sz w:val="48"/>
          <w:szCs w:val="48"/>
          <w:highlight w:val="none"/>
        </w:rPr>
        <w:t>招标</w:t>
      </w:r>
    </w:p>
    <w:p w14:paraId="5DF843E2">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68C1487E">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26584357">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934ED94">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55931DC9">
      <w:pPr>
        <w:pStyle w:val="49"/>
        <w:widowControl w:val="0"/>
        <w:wordWrap w:val="0"/>
        <w:adjustRightInd w:val="0"/>
        <w:snapToGrid w:val="0"/>
        <w:ind w:firstLine="0"/>
        <w:jc w:val="center"/>
        <w:rPr>
          <w:rFonts w:hint="eastAsia" w:asciiTheme="minorEastAsia" w:hAnsiTheme="minorEastAsia" w:eastAsiaTheme="minorEastAsia" w:cstheme="minorEastAsia"/>
          <w:b/>
          <w:snapToGrid w:val="0"/>
          <w:color w:val="auto"/>
          <w:sz w:val="72"/>
          <w:highlight w:val="none"/>
        </w:rPr>
      </w:pPr>
      <w:r>
        <w:rPr>
          <w:rFonts w:hint="eastAsia" w:asciiTheme="minorEastAsia" w:hAnsiTheme="minorEastAsia" w:eastAsiaTheme="minorEastAsia" w:cstheme="minorEastAsia"/>
          <w:b/>
          <w:snapToGrid w:val="0"/>
          <w:color w:val="auto"/>
          <w:sz w:val="72"/>
          <w:highlight w:val="none"/>
        </w:rPr>
        <w:t>投  标  文  件</w:t>
      </w:r>
    </w:p>
    <w:p w14:paraId="6522EB10">
      <w:pPr>
        <w:pStyle w:val="49"/>
        <w:widowControl w:val="0"/>
        <w:wordWrap w:val="0"/>
        <w:adjustRightInd w:val="0"/>
        <w:snapToGrid w:val="0"/>
        <w:ind w:firstLine="0"/>
        <w:jc w:val="center"/>
        <w:rPr>
          <w:rFonts w:hint="default" w:asciiTheme="minorEastAsia" w:hAnsiTheme="minorEastAsia" w:eastAsiaTheme="minorEastAsia" w:cstheme="minorEastAsia"/>
          <w:b/>
          <w:snapToGrid w:val="0"/>
          <w:color w:val="auto"/>
          <w:sz w:val="44"/>
          <w:szCs w:val="44"/>
          <w:highlight w:val="none"/>
          <w:lang w:val="en-US" w:eastAsia="zh-CN"/>
        </w:rPr>
      </w:pPr>
      <w:r>
        <w:rPr>
          <w:rFonts w:hint="eastAsia" w:asciiTheme="minorEastAsia" w:hAnsiTheme="minorEastAsia" w:eastAsiaTheme="minorEastAsia" w:cstheme="minorEastAsia"/>
          <w:b/>
          <w:snapToGrid w:val="0"/>
          <w:color w:val="auto"/>
          <w:sz w:val="44"/>
          <w:szCs w:val="44"/>
          <w:highlight w:val="none"/>
          <w:lang w:eastAsia="zh-CN"/>
        </w:rPr>
        <w:t>（</w:t>
      </w:r>
      <w:r>
        <w:rPr>
          <w:rFonts w:hint="eastAsia" w:asciiTheme="minorEastAsia" w:hAnsiTheme="minorEastAsia" w:eastAsiaTheme="minorEastAsia" w:cstheme="minorEastAsia"/>
          <w:b/>
          <w:snapToGrid w:val="0"/>
          <w:color w:val="auto"/>
          <w:sz w:val="44"/>
          <w:szCs w:val="44"/>
          <w:highlight w:val="none"/>
          <w:lang w:val="en-US" w:eastAsia="zh-CN"/>
        </w:rPr>
        <w:t>投标标书、定标文件）</w:t>
      </w:r>
    </w:p>
    <w:p w14:paraId="15B6F8D3">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5FF6D19F">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52F23C8D">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14E4E635">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2B24B4EE">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189D3BED">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投标人：（盖单位章）</w:t>
      </w:r>
    </w:p>
    <w:p w14:paraId="2ACB64DB">
      <w:pPr>
        <w:pStyle w:val="49"/>
        <w:widowControl w:val="0"/>
        <w:wordWrap w:val="0"/>
        <w:adjustRightInd w:val="0"/>
        <w:snapToGrid w:val="0"/>
        <w:ind w:firstLine="0"/>
        <w:jc w:val="center"/>
        <w:rPr>
          <w:rFonts w:hAnsi="宋体" w:eastAsia="宋体" w:cs="宋体"/>
          <w:bCs/>
          <w:snapToGrid w:val="0"/>
          <w:color w:val="auto"/>
          <w:sz w:val="32"/>
          <w:highlight w:val="none"/>
        </w:rPr>
      </w:pPr>
    </w:p>
    <w:p w14:paraId="79B3053E">
      <w:pPr>
        <w:pStyle w:val="49"/>
        <w:widowControl w:val="0"/>
        <w:wordWrap w:val="0"/>
        <w:adjustRightInd w:val="0"/>
        <w:snapToGrid w:val="0"/>
        <w:ind w:firstLine="0"/>
        <w:jc w:val="center"/>
        <w:rPr>
          <w:rFonts w:hAnsi="宋体" w:eastAsia="宋体" w:cs="宋体"/>
          <w:bCs/>
          <w:snapToGrid w:val="0"/>
          <w:color w:val="auto"/>
          <w:sz w:val="32"/>
          <w:highlight w:val="none"/>
        </w:rPr>
      </w:pPr>
    </w:p>
    <w:p w14:paraId="467BF002">
      <w:pPr>
        <w:pStyle w:val="49"/>
        <w:widowControl w:val="0"/>
        <w:wordWrap w:val="0"/>
        <w:adjustRightInd w:val="0"/>
        <w:snapToGrid w:val="0"/>
        <w:ind w:firstLine="0"/>
        <w:jc w:val="center"/>
        <w:rPr>
          <w:rFonts w:hAnsi="宋体" w:eastAsia="宋体" w:cs="宋体"/>
          <w:bCs/>
          <w:snapToGrid w:val="0"/>
          <w:color w:val="auto"/>
          <w:sz w:val="32"/>
          <w:highlight w:val="none"/>
        </w:rPr>
      </w:pPr>
    </w:p>
    <w:p w14:paraId="66EA09EC">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法定代表人或其委托代理人：（签字或盖章）</w:t>
      </w:r>
    </w:p>
    <w:p w14:paraId="2286839B">
      <w:pPr>
        <w:pStyle w:val="49"/>
        <w:widowControl w:val="0"/>
        <w:wordWrap w:val="0"/>
        <w:adjustRightInd w:val="0"/>
        <w:snapToGrid w:val="0"/>
        <w:ind w:firstLine="0"/>
        <w:jc w:val="center"/>
        <w:rPr>
          <w:rFonts w:hAnsi="宋体" w:eastAsia="宋体" w:cs="宋体"/>
          <w:bCs/>
          <w:snapToGrid w:val="0"/>
          <w:color w:val="auto"/>
          <w:sz w:val="32"/>
          <w:highlight w:val="none"/>
        </w:rPr>
      </w:pPr>
    </w:p>
    <w:p w14:paraId="30256C94">
      <w:pPr>
        <w:pStyle w:val="49"/>
        <w:widowControl w:val="0"/>
        <w:wordWrap w:val="0"/>
        <w:adjustRightInd w:val="0"/>
        <w:snapToGrid w:val="0"/>
        <w:ind w:firstLine="0"/>
        <w:jc w:val="center"/>
        <w:rPr>
          <w:rFonts w:hAnsi="宋体" w:eastAsia="宋体" w:cs="宋体"/>
          <w:bCs/>
          <w:snapToGrid w:val="0"/>
          <w:color w:val="auto"/>
          <w:sz w:val="32"/>
          <w:highlight w:val="none"/>
          <w:u w:val="single"/>
        </w:rPr>
      </w:pPr>
    </w:p>
    <w:p w14:paraId="79DFACDD">
      <w:pPr>
        <w:pStyle w:val="49"/>
        <w:widowControl w:val="0"/>
        <w:wordWrap w:val="0"/>
        <w:adjustRightInd w:val="0"/>
        <w:snapToGrid w:val="0"/>
        <w:ind w:firstLine="0"/>
        <w:jc w:val="center"/>
        <w:rPr>
          <w:rFonts w:hAnsi="宋体" w:eastAsia="宋体" w:cs="宋体"/>
          <w:b/>
          <w:snapToGrid w:val="0"/>
          <w:color w:val="auto"/>
          <w:highlight w:val="none"/>
        </w:rPr>
      </w:pP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日</w:t>
      </w:r>
    </w:p>
    <w:p w14:paraId="5AF61BD1">
      <w:pPr>
        <w:spacing w:before="0"/>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0EB2A0FC">
      <w:pPr>
        <w:pStyle w:val="3"/>
        <w:spacing w:before="120"/>
        <w:rPr>
          <w:rFonts w:hint="default" w:asciiTheme="minorEastAsia" w:hAnsiTheme="minorEastAsia" w:eastAsiaTheme="minorEastAsia" w:cstheme="minorEastAsia"/>
          <w:b/>
          <w:bCs/>
          <w:color w:val="auto"/>
          <w:szCs w:val="24"/>
          <w:highlight w:val="none"/>
        </w:rPr>
      </w:pPr>
      <w:bookmarkStart w:id="561" w:name="_Toc10468"/>
      <w:r>
        <w:rPr>
          <w:rFonts w:asciiTheme="minorEastAsia" w:hAnsiTheme="minorEastAsia" w:eastAsiaTheme="minorEastAsia" w:cstheme="minorEastAsia"/>
          <w:b/>
          <w:bCs/>
          <w:color w:val="auto"/>
          <w:szCs w:val="24"/>
          <w:highlight w:val="none"/>
        </w:rPr>
        <w:t xml:space="preserve">格式二 </w:t>
      </w:r>
      <w:bookmarkEnd w:id="551"/>
      <w:bookmarkEnd w:id="552"/>
      <w:bookmarkEnd w:id="553"/>
      <w:r>
        <w:rPr>
          <w:rFonts w:asciiTheme="minorEastAsia" w:hAnsiTheme="minorEastAsia" w:eastAsiaTheme="minorEastAsia" w:cstheme="minorEastAsia"/>
          <w:b/>
          <w:bCs/>
          <w:color w:val="auto"/>
          <w:szCs w:val="24"/>
          <w:highlight w:val="none"/>
        </w:rPr>
        <w:t>《投标函》及《工程项目总价表》</w:t>
      </w:r>
      <w:bookmarkEnd w:id="554"/>
      <w:bookmarkEnd w:id="555"/>
      <w:bookmarkEnd w:id="561"/>
    </w:p>
    <w:p w14:paraId="45C3BC19">
      <w:pPr>
        <w:jc w:val="center"/>
        <w:rPr>
          <w:rFonts w:hint="eastAsia"/>
          <w:b/>
          <w:bCs/>
        </w:rPr>
      </w:pPr>
      <w:bookmarkStart w:id="562" w:name="_Toc10604"/>
      <w:bookmarkStart w:id="563" w:name="_Toc18294"/>
      <w:bookmarkStart w:id="564" w:name="_Toc6739"/>
      <w:bookmarkStart w:id="565" w:name="_Toc8657"/>
      <w:bookmarkStart w:id="566" w:name="_Toc28636"/>
      <w:bookmarkStart w:id="567" w:name="_Toc29375"/>
      <w:bookmarkStart w:id="568" w:name="_Toc39136362"/>
      <w:bookmarkStart w:id="569" w:name="_Toc9280"/>
      <w:bookmarkStart w:id="570" w:name="_Toc27121"/>
      <w:bookmarkStart w:id="571" w:name="_Toc21577"/>
    </w:p>
    <w:p w14:paraId="57A587C8">
      <w:pPr>
        <w:jc w:val="center"/>
        <w:rPr>
          <w:b/>
          <w:bCs/>
        </w:rPr>
      </w:pPr>
      <w:r>
        <w:rPr>
          <w:rFonts w:hint="eastAsia"/>
          <w:b/>
          <w:bCs/>
        </w:rPr>
        <w:t>投  标  函</w:t>
      </w:r>
      <w:bookmarkEnd w:id="562"/>
      <w:bookmarkEnd w:id="563"/>
      <w:bookmarkEnd w:id="564"/>
      <w:bookmarkEnd w:id="565"/>
      <w:bookmarkEnd w:id="566"/>
      <w:bookmarkEnd w:id="567"/>
      <w:bookmarkEnd w:id="568"/>
      <w:bookmarkEnd w:id="569"/>
      <w:bookmarkEnd w:id="570"/>
      <w:bookmarkEnd w:id="571"/>
    </w:p>
    <w:p w14:paraId="35C6CCDD">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336282B6">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default"/>
          <w:color w:val="auto"/>
          <w:highlight w:val="none"/>
        </w:rPr>
      </w:pPr>
      <w:r>
        <w:rPr>
          <w:rFonts w:asciiTheme="minorEastAsia" w:hAnsiTheme="minorEastAsia" w:eastAsiaTheme="minorEastAsia" w:cstheme="minorEastAsia"/>
          <w:snapToGrid w:val="0"/>
          <w:color w:val="auto"/>
          <w:kern w:val="0"/>
          <w:szCs w:val="24"/>
          <w:highlight w:val="none"/>
        </w:rPr>
        <w:t>致：（招标人名称）</w:t>
      </w:r>
    </w:p>
    <w:p w14:paraId="3004E787">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color w:val="auto"/>
          <w:szCs w:val="22"/>
          <w:highlight w:val="none"/>
        </w:rPr>
      </w:pPr>
      <w:r>
        <w:rPr>
          <w:rFonts w:asciiTheme="minorEastAsia" w:hAnsiTheme="minorEastAsia" w:eastAsiaTheme="minorEastAsia" w:cstheme="minorEastAsia"/>
          <w:color w:val="auto"/>
          <w:szCs w:val="22"/>
          <w:highlight w:val="none"/>
        </w:rPr>
        <w:t>1.在研</w:t>
      </w:r>
      <w:r>
        <w:rPr>
          <w:rFonts w:asciiTheme="minorEastAsia" w:hAnsiTheme="minorEastAsia" w:eastAsiaTheme="minorEastAsia" w:cstheme="minorEastAsia"/>
          <w:color w:val="auto"/>
          <w:szCs w:val="22"/>
          <w:highlight w:val="none"/>
          <w:u w:val="none"/>
        </w:rPr>
        <w:t>究</w:t>
      </w:r>
      <w:r>
        <w:rPr>
          <w:rFonts w:asciiTheme="minorEastAsia" w:hAnsiTheme="minorEastAsia" w:eastAsiaTheme="minorEastAsia" w:cstheme="minorEastAsia"/>
          <w:color w:val="auto"/>
          <w:szCs w:val="22"/>
          <w:highlight w:val="none"/>
          <w:u w:val="single"/>
        </w:rPr>
        <w:t xml:space="preserve">        （项目名称）        </w:t>
      </w:r>
      <w:r>
        <w:rPr>
          <w:rFonts w:asciiTheme="minorEastAsia" w:hAnsiTheme="minorEastAsia" w:eastAsiaTheme="minorEastAsia" w:cstheme="minorEastAsia"/>
          <w:color w:val="auto"/>
          <w:szCs w:val="22"/>
          <w:highlight w:val="none"/>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小写：（¥）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的投标总价竞投本项目。</w:t>
      </w:r>
    </w:p>
    <w:p w14:paraId="1C26BABE">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2. </w:t>
      </w:r>
      <w:r>
        <w:rPr>
          <w:rFonts w:asciiTheme="minorEastAsia" w:hAnsiTheme="minorEastAsia" w:eastAsiaTheme="minorEastAsia" w:cstheme="minorEastAsia"/>
          <w:color w:val="auto"/>
          <w:szCs w:val="22"/>
          <w:highlight w:val="none"/>
        </w:rPr>
        <w:t>如果我方中标，我方保证按照合同约定的开工日期开始本项目的设计、施工，本工程设计、施工招标工期为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个日历天（其中：设计工期为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日历天，施工工期为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日历天）内竣工，并确保工程质量达到</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标准和维修其中的任何缺陷</w:t>
      </w:r>
      <w:r>
        <w:rPr>
          <w:rFonts w:asciiTheme="minorEastAsia" w:hAnsiTheme="minorEastAsia" w:eastAsiaTheme="minorEastAsia" w:cstheme="minorEastAsia"/>
          <w:snapToGrid w:val="0"/>
          <w:color w:val="auto"/>
          <w:kern w:val="0"/>
          <w:szCs w:val="24"/>
          <w:highlight w:val="none"/>
        </w:rPr>
        <w:t>。</w:t>
      </w:r>
    </w:p>
    <w:p w14:paraId="53D60FD1">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 本投标函在你方接收我方递交的投标文件之日起、到招标文件规定的投标有效期期满前对我方具有约束力。我方随时准备接受你方发出的中标通知书。</w:t>
      </w:r>
    </w:p>
    <w:p w14:paraId="5C8F350C">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4．我方在此声明，我方不存在本工程招标文件所列示的“禁止投标条款”所列出的任何一种情形，并愿意承担因我方就此弄虚作假所引起的一切法律后果。</w:t>
      </w:r>
    </w:p>
    <w:p w14:paraId="2D87991B">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5．我方在此承诺，所递交投标文件的全部内容均为真实、有效、准确的，并愿意承担因我方就此弄虚作假所引起的一切法律后果，同时理解和同意有可能被要求提供更多的资料。</w:t>
      </w:r>
    </w:p>
    <w:p w14:paraId="51E729BA">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 我方理解你方不一定要接纳收到的最低投标总价或任何投标总价的投标人中标，也不要求你方解释我方是否中标的原因。</w:t>
      </w:r>
    </w:p>
    <w:p w14:paraId="05B18FB2">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p>
    <w:p w14:paraId="357E0FE9">
      <w:pPr>
        <w:keepNext w:val="0"/>
        <w:keepLines w:val="0"/>
        <w:pageBreakBefore w:val="0"/>
        <w:widowControl w:val="0"/>
        <w:kinsoku/>
        <w:wordWrap w:val="0"/>
        <w:overflowPunct/>
        <w:topLinePunct w:val="0"/>
        <w:autoSpaceDE/>
        <w:autoSpaceDN/>
        <w:bidi w:val="0"/>
        <w:adjustRightInd w:val="0"/>
        <w:snapToGrid w:val="0"/>
        <w:spacing w:line="440" w:lineRule="exact"/>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投标人：（盖单位章）</w:t>
      </w:r>
    </w:p>
    <w:p w14:paraId="666F61A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596275F3">
      <w:pPr>
        <w:keepNext w:val="0"/>
        <w:keepLines w:val="0"/>
        <w:pageBreakBefore w:val="0"/>
        <w:widowControl w:val="0"/>
        <w:kinsoku/>
        <w:wordWrap w:val="0"/>
        <w:overflowPunct/>
        <w:topLinePunct w:val="0"/>
        <w:autoSpaceDE/>
        <w:autoSpaceDN/>
        <w:bidi w:val="0"/>
        <w:adjustRightInd w:val="0"/>
        <w:snapToGrid w:val="0"/>
        <w:spacing w:line="440" w:lineRule="exact"/>
        <w:ind w:firstLine="6960" w:firstLineChars="2900"/>
        <w:jc w:val="lef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220A6CBB">
      <w:pPr>
        <w:jc w:val="left"/>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45AF5DE6">
      <w:pPr>
        <w:jc w:val="left"/>
        <w:rPr>
          <w:rFonts w:hint="default" w:asciiTheme="minorEastAsia" w:hAnsiTheme="minorEastAsia" w:eastAsiaTheme="minorEastAsia" w:cstheme="minorEastAsia"/>
          <w:snapToGrid w:val="0"/>
          <w:color w:val="auto"/>
          <w:kern w:val="0"/>
          <w:szCs w:val="24"/>
          <w:highlight w:val="none"/>
        </w:rPr>
      </w:pPr>
    </w:p>
    <w:p w14:paraId="02D69426">
      <w:pPr>
        <w:jc w:val="center"/>
        <w:rPr>
          <w:rFonts w:hint="eastAsia"/>
          <w:b/>
          <w:bCs/>
        </w:rPr>
      </w:pPr>
      <w:bookmarkStart w:id="572" w:name="_Toc25629"/>
      <w:bookmarkStart w:id="573" w:name="_Toc25829"/>
      <w:bookmarkStart w:id="574" w:name="_Toc20338"/>
      <w:bookmarkStart w:id="575" w:name="_Toc453"/>
      <w:bookmarkStart w:id="576" w:name="_Toc3900"/>
      <w:bookmarkStart w:id="577" w:name="_Toc5052"/>
      <w:bookmarkStart w:id="578" w:name="_Toc7915"/>
      <w:bookmarkStart w:id="579" w:name="_Toc39136364"/>
    </w:p>
    <w:p w14:paraId="7AEE2FF4">
      <w:pPr>
        <w:jc w:val="center"/>
        <w:rPr>
          <w:rFonts w:hint="eastAsia"/>
          <w:b/>
          <w:bCs/>
        </w:rPr>
      </w:pPr>
      <w:r>
        <w:rPr>
          <w:rFonts w:hint="eastAsia"/>
          <w:b/>
          <w:bCs/>
        </w:rPr>
        <w:t>工程项目总价表</w:t>
      </w:r>
      <w:bookmarkEnd w:id="572"/>
      <w:bookmarkEnd w:id="573"/>
      <w:bookmarkEnd w:id="574"/>
      <w:bookmarkEnd w:id="575"/>
      <w:bookmarkEnd w:id="576"/>
      <w:bookmarkEnd w:id="577"/>
    </w:p>
    <w:p w14:paraId="2CDFD11A">
      <w:pPr>
        <w:jc w:val="center"/>
        <w:rPr>
          <w:rFonts w:hint="eastAsia"/>
          <w:b/>
          <w:bCs/>
        </w:rPr>
      </w:pPr>
    </w:p>
    <w:tbl>
      <w:tblPr>
        <w:tblStyle w:val="23"/>
        <w:tblW w:w="94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0"/>
        <w:gridCol w:w="1440"/>
        <w:gridCol w:w="1508"/>
        <w:gridCol w:w="975"/>
        <w:gridCol w:w="1450"/>
        <w:gridCol w:w="3283"/>
      </w:tblGrid>
      <w:tr w14:paraId="0A34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5" w:hRule="atLeast"/>
          <w:jc w:val="center"/>
        </w:trPr>
        <w:tc>
          <w:tcPr>
            <w:tcW w:w="770" w:type="dxa"/>
            <w:vAlign w:val="center"/>
          </w:tcPr>
          <w:p w14:paraId="00A40E9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序号</w:t>
            </w:r>
          </w:p>
        </w:tc>
        <w:tc>
          <w:tcPr>
            <w:tcW w:w="1440" w:type="dxa"/>
            <w:vAlign w:val="center"/>
          </w:tcPr>
          <w:p w14:paraId="28491D3E">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项目名称</w:t>
            </w:r>
          </w:p>
        </w:tc>
        <w:tc>
          <w:tcPr>
            <w:tcW w:w="1508" w:type="dxa"/>
            <w:vAlign w:val="center"/>
          </w:tcPr>
          <w:p w14:paraId="29E1937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计算基数（元）</w:t>
            </w:r>
          </w:p>
        </w:tc>
        <w:tc>
          <w:tcPr>
            <w:tcW w:w="975" w:type="dxa"/>
            <w:vAlign w:val="center"/>
          </w:tcPr>
          <w:p w14:paraId="3E6A641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w:t>
            </w:r>
            <w:r>
              <w:rPr>
                <w:rFonts w:asciiTheme="minorEastAsia" w:hAnsiTheme="minorEastAsia" w:eastAsiaTheme="minorEastAsia" w:cstheme="minorEastAsia"/>
                <w:color w:val="auto"/>
                <w:sz w:val="24"/>
                <w:szCs w:val="24"/>
                <w:highlight w:val="none"/>
                <w:lang w:val="zh-CN"/>
              </w:rPr>
              <w:t>下</w:t>
            </w:r>
            <w:r>
              <w:rPr>
                <w:rFonts w:asciiTheme="minorEastAsia" w:hAnsiTheme="minorEastAsia" w:eastAsiaTheme="minorEastAsia" w:cstheme="minorEastAsia"/>
                <w:color w:val="auto"/>
                <w:sz w:val="24"/>
                <w:szCs w:val="24"/>
                <w:highlight w:val="none"/>
              </w:rPr>
              <w:t>浮率</w:t>
            </w:r>
          </w:p>
        </w:tc>
        <w:tc>
          <w:tcPr>
            <w:tcW w:w="1450" w:type="dxa"/>
            <w:vAlign w:val="center"/>
          </w:tcPr>
          <w:p w14:paraId="4C54729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投标报价（元）</w:t>
            </w:r>
          </w:p>
        </w:tc>
        <w:tc>
          <w:tcPr>
            <w:tcW w:w="3283" w:type="dxa"/>
            <w:vAlign w:val="center"/>
          </w:tcPr>
          <w:p w14:paraId="21E3B99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报价要求</w:t>
            </w:r>
          </w:p>
        </w:tc>
      </w:tr>
      <w:tr w14:paraId="51E82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1" w:hRule="atLeast"/>
          <w:jc w:val="center"/>
        </w:trPr>
        <w:tc>
          <w:tcPr>
            <w:tcW w:w="770" w:type="dxa"/>
            <w:vAlign w:val="center"/>
          </w:tcPr>
          <w:p w14:paraId="6C92C3C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1</w:t>
            </w:r>
          </w:p>
        </w:tc>
        <w:tc>
          <w:tcPr>
            <w:tcW w:w="1440" w:type="dxa"/>
            <w:vAlign w:val="center"/>
          </w:tcPr>
          <w:p w14:paraId="3A4F4C95">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设计费</w:t>
            </w:r>
          </w:p>
        </w:tc>
        <w:tc>
          <w:tcPr>
            <w:tcW w:w="1508" w:type="dxa"/>
            <w:vAlign w:val="center"/>
          </w:tcPr>
          <w:p w14:paraId="33E59029">
            <w:pPr>
              <w:keepNext w:val="0"/>
              <w:keepLines w:val="0"/>
              <w:pageBreakBefore w:val="0"/>
              <w:widowControl/>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18AD44C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w:t>
            </w:r>
          </w:p>
        </w:tc>
        <w:tc>
          <w:tcPr>
            <w:tcW w:w="1450" w:type="dxa"/>
            <w:vAlign w:val="center"/>
          </w:tcPr>
          <w:p w14:paraId="123AF1D9">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4930D27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设计费自行报价，结算按设计费的中标价包干不作任何调整。设计费的报价应包含各个不同专业的设计费用、进行优化设计或修改设计所增加的设计费用、各项专家评审的专家费用、预算编制费等</w:t>
            </w:r>
            <w:r>
              <w:rPr>
                <w:rFonts w:hint="eastAsia" w:asciiTheme="minorEastAsia" w:hAnsiTheme="minorEastAsia" w:eastAsiaTheme="minorEastAsia" w:cstheme="minorEastAsia"/>
                <w:color w:val="auto"/>
                <w:sz w:val="24"/>
                <w:szCs w:val="24"/>
                <w:highlight w:val="none"/>
              </w:rPr>
              <w:t>（不含第三方施工图审查费）</w:t>
            </w:r>
            <w:r>
              <w:rPr>
                <w:rFonts w:asciiTheme="minorEastAsia" w:hAnsiTheme="minorEastAsia" w:eastAsiaTheme="minorEastAsia" w:cstheme="minorEastAsia"/>
                <w:color w:val="auto"/>
                <w:sz w:val="24"/>
                <w:szCs w:val="24"/>
                <w:highlight w:val="none"/>
              </w:rPr>
              <w:t>。</w:t>
            </w:r>
          </w:p>
        </w:tc>
      </w:tr>
      <w:tr w14:paraId="2A9D3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jc w:val="center"/>
        </w:trPr>
        <w:tc>
          <w:tcPr>
            <w:tcW w:w="770" w:type="dxa"/>
            <w:vAlign w:val="center"/>
          </w:tcPr>
          <w:p w14:paraId="742142B2">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2</w:t>
            </w:r>
          </w:p>
        </w:tc>
        <w:tc>
          <w:tcPr>
            <w:tcW w:w="1440" w:type="dxa"/>
            <w:vAlign w:val="center"/>
          </w:tcPr>
          <w:p w14:paraId="6D9BD88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建安工程费</w:t>
            </w:r>
          </w:p>
        </w:tc>
        <w:tc>
          <w:tcPr>
            <w:tcW w:w="1508" w:type="dxa"/>
            <w:vAlign w:val="center"/>
          </w:tcPr>
          <w:p w14:paraId="1E61624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50B36F8A">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sz w:val="24"/>
                <w:szCs w:val="24"/>
                <w:highlight w:val="none"/>
              </w:rPr>
              <w:t>%</w:t>
            </w:r>
          </w:p>
        </w:tc>
        <w:tc>
          <w:tcPr>
            <w:tcW w:w="1450" w:type="dxa"/>
            <w:vAlign w:val="center"/>
          </w:tcPr>
          <w:p w14:paraId="34A0E5EC">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p>
        </w:tc>
        <w:tc>
          <w:tcPr>
            <w:tcW w:w="3283" w:type="dxa"/>
            <w:vAlign w:val="center"/>
          </w:tcPr>
          <w:p w14:paraId="10A99246">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zh-CN"/>
              </w:rPr>
            </w:pPr>
            <w:r>
              <w:rPr>
                <w:rFonts w:asciiTheme="minorEastAsia" w:hAnsiTheme="minorEastAsia" w:eastAsiaTheme="minorEastAsia" w:cstheme="minorEastAsia"/>
                <w:color w:val="auto"/>
                <w:sz w:val="24"/>
                <w:szCs w:val="24"/>
                <w:highlight w:val="none"/>
              </w:rPr>
              <w:t>建安工程费下浮率≥</w:t>
            </w:r>
            <w:r>
              <w:rPr>
                <w:rFonts w:hint="eastAsia" w:asciiTheme="minorEastAsia" w:hAnsiTheme="minorEastAsia" w:eastAsiaTheme="minorEastAsia" w:cstheme="minorEastAsia"/>
                <w:color w:val="auto"/>
                <w:sz w:val="24"/>
                <w:szCs w:val="24"/>
                <w:highlight w:val="none"/>
                <w:lang w:val="en-US" w:eastAsia="zh-CN"/>
              </w:rPr>
              <w:t>0</w:t>
            </w:r>
            <w:r>
              <w:rPr>
                <w:rFonts w:asciiTheme="minorEastAsia" w:hAnsiTheme="minorEastAsia" w:eastAsiaTheme="minorEastAsia" w:cstheme="minorEastAsia"/>
                <w:color w:val="auto"/>
                <w:sz w:val="24"/>
                <w:szCs w:val="24"/>
                <w:highlight w:val="none"/>
              </w:rPr>
              <w:t>%。</w:t>
            </w:r>
          </w:p>
        </w:tc>
      </w:tr>
      <w:tr w14:paraId="07001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2210" w:type="dxa"/>
            <w:gridSpan w:val="2"/>
            <w:vAlign w:val="center"/>
          </w:tcPr>
          <w:p w14:paraId="5D87C8BA">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合计</w:t>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p>
        </w:tc>
        <w:tc>
          <w:tcPr>
            <w:tcW w:w="1508" w:type="dxa"/>
            <w:vAlign w:val="center"/>
          </w:tcPr>
          <w:p w14:paraId="4914AEF1">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en-US" w:eastAsia="zh-CN"/>
              </w:rPr>
            </w:pPr>
          </w:p>
        </w:tc>
        <w:tc>
          <w:tcPr>
            <w:tcW w:w="975" w:type="dxa"/>
            <w:vAlign w:val="center"/>
          </w:tcPr>
          <w:p w14:paraId="2CF4D60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w:t>
            </w:r>
          </w:p>
        </w:tc>
        <w:tc>
          <w:tcPr>
            <w:tcW w:w="1450" w:type="dxa"/>
            <w:vAlign w:val="center"/>
          </w:tcPr>
          <w:p w14:paraId="55DAAAA9">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right"/>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659EDA6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w:t>
            </w:r>
          </w:p>
        </w:tc>
      </w:tr>
    </w:tbl>
    <w:p w14:paraId="48FE27DF">
      <w:pPr>
        <w:rPr>
          <w:rFonts w:hint="default" w:asciiTheme="minorEastAsia" w:hAnsiTheme="minorEastAsia" w:eastAsiaTheme="minorEastAsia" w:cstheme="minorEastAsia"/>
          <w:color w:val="auto"/>
          <w:szCs w:val="24"/>
          <w:highlight w:val="none"/>
        </w:rPr>
      </w:pPr>
    </w:p>
    <w:p w14:paraId="609BA7A9">
      <w:pPr>
        <w:wordWrap w:val="0"/>
        <w:adjustRightInd w:val="0"/>
        <w:snapToGrid w:val="0"/>
        <w:spacing w:line="440" w:lineRule="exact"/>
        <w:rPr>
          <w:rFonts w:hint="default" w:asciiTheme="minorEastAsia" w:hAnsiTheme="minorEastAsia" w:eastAsiaTheme="minorEastAsia" w:cstheme="minorEastAsia"/>
          <w:snapToGrid w:val="0"/>
          <w:color w:val="auto"/>
          <w:szCs w:val="24"/>
          <w:highlight w:val="none"/>
        </w:rPr>
      </w:pPr>
      <w:r>
        <w:rPr>
          <w:rFonts w:asciiTheme="minorEastAsia" w:hAnsiTheme="minorEastAsia" w:eastAsiaTheme="minorEastAsia" w:cstheme="minorEastAsia"/>
          <w:snapToGrid w:val="0"/>
          <w:color w:val="auto"/>
          <w:szCs w:val="24"/>
          <w:highlight w:val="none"/>
        </w:rPr>
        <w:t>注：投标报价及投标费率均按“四舍五入”原则精确到两位小数，建安工程费投标报价=计算基数×（1-下浮率）。</w:t>
      </w:r>
    </w:p>
    <w:p w14:paraId="6CBCCC16">
      <w:pPr>
        <w:pStyle w:val="6"/>
        <w:ind w:firstLine="0"/>
        <w:rPr>
          <w:rFonts w:hint="default" w:asciiTheme="minorEastAsia" w:hAnsiTheme="minorEastAsia" w:eastAsiaTheme="minorEastAsia" w:cstheme="minorEastAsia"/>
          <w:snapToGrid w:val="0"/>
          <w:color w:val="auto"/>
          <w:sz w:val="24"/>
          <w:szCs w:val="24"/>
          <w:highlight w:val="none"/>
        </w:rPr>
      </w:pPr>
    </w:p>
    <w:p w14:paraId="4DFB365D">
      <w:pPr>
        <w:wordWrap w:val="0"/>
        <w:adjustRightInd w:val="0"/>
        <w:snapToGrid w:val="0"/>
        <w:spacing w:line="276" w:lineRule="auto"/>
        <w:jc w:val="right"/>
        <w:rPr>
          <w:rFonts w:hint="default" w:asciiTheme="minorEastAsia" w:hAnsiTheme="minorEastAsia" w:eastAsiaTheme="minorEastAsia" w:cstheme="minorEastAsia"/>
          <w:snapToGrid w:val="0"/>
          <w:color w:val="auto"/>
          <w:kern w:val="0"/>
          <w:szCs w:val="24"/>
          <w:highlight w:val="none"/>
        </w:rPr>
      </w:pPr>
    </w:p>
    <w:p w14:paraId="5099B012">
      <w:pPr>
        <w:rPr>
          <w:rFonts w:hint="default" w:asciiTheme="minorEastAsia" w:hAnsiTheme="minorEastAsia" w:eastAsiaTheme="minorEastAsia" w:cstheme="minorEastAsia"/>
          <w:color w:val="auto"/>
          <w:highlight w:val="none"/>
        </w:rPr>
      </w:pPr>
    </w:p>
    <w:p w14:paraId="2AE4C3C5">
      <w:pPr>
        <w:wordWrap w:val="0"/>
        <w:adjustRightInd w:val="0"/>
        <w:snapToGrid w:val="0"/>
        <w:spacing w:line="276" w:lineRule="auto"/>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38982F39">
      <w:pPr>
        <w:wordWrap w:val="0"/>
        <w:adjustRightInd w:val="0"/>
        <w:snapToGrid w:val="0"/>
        <w:spacing w:line="276" w:lineRule="auto"/>
        <w:jc w:val="right"/>
        <w:rPr>
          <w:rFonts w:hint="default" w:hAnsi="宋体" w:eastAsia="宋体" w:cs="宋体"/>
          <w:snapToGrid w:val="0"/>
          <w:color w:val="auto"/>
          <w:kern w:val="0"/>
          <w:szCs w:val="24"/>
          <w:highlight w:val="none"/>
        </w:rPr>
      </w:pPr>
    </w:p>
    <w:p w14:paraId="065D4612">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387F73CD">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p>
    <w:p w14:paraId="1CCF850A">
      <w:pPr>
        <w:spacing w:line="276" w:lineRule="auto"/>
        <w:ind w:firstLine="7200" w:firstLineChars="3000"/>
        <w:rPr>
          <w:rFonts w:hAnsi="宋体" w:eastAsia="宋体" w:cs="宋体"/>
          <w:snapToGrid w:val="0"/>
          <w:color w:val="auto"/>
          <w:kern w:val="0"/>
          <w:szCs w:val="24"/>
          <w:highlight w:val="none"/>
        </w:rPr>
      </w:pPr>
      <w:r>
        <w:rPr>
          <w:rFonts w:hAnsi="宋体" w:eastAsia="宋体" w:cs="宋体"/>
          <w:snapToGrid w:val="0"/>
          <w:color w:val="auto"/>
          <w:kern w:val="0"/>
          <w:szCs w:val="24"/>
          <w:highlight w:val="none"/>
        </w:rPr>
        <w:t>年</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月</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日</w:t>
      </w:r>
    </w:p>
    <w:p w14:paraId="1BCE34EA">
      <w:pPr>
        <w:spacing w:line="276" w:lineRule="auto"/>
        <w:ind w:firstLine="7200" w:firstLineChars="3000"/>
        <w:rPr>
          <w:rFonts w:hAnsi="宋体" w:eastAsia="宋体" w:cs="宋体"/>
          <w:snapToGrid w:val="0"/>
          <w:color w:val="auto"/>
          <w:kern w:val="0"/>
          <w:szCs w:val="24"/>
          <w:highlight w:val="none"/>
        </w:rPr>
      </w:pPr>
    </w:p>
    <w:p w14:paraId="0F11C9E0">
      <w:pPr>
        <w:spacing w:line="276" w:lineRule="auto"/>
        <w:ind w:firstLine="7200" w:firstLineChars="3000"/>
        <w:rPr>
          <w:rFonts w:hint="default" w:hAnsi="宋体" w:eastAsia="宋体" w:cs="宋体"/>
          <w:snapToGrid w:val="0"/>
          <w:color w:val="auto"/>
          <w:kern w:val="0"/>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4C12CBF9">
      <w:pPr>
        <w:pStyle w:val="3"/>
        <w:spacing w:before="120"/>
        <w:rPr>
          <w:rStyle w:val="61"/>
          <w:rFonts w:hint="default" w:asciiTheme="minorEastAsia" w:hAnsiTheme="minorEastAsia" w:eastAsiaTheme="minorEastAsia" w:cstheme="minorEastAsia"/>
          <w:color w:val="auto"/>
          <w:sz w:val="24"/>
          <w:szCs w:val="24"/>
          <w:highlight w:val="none"/>
        </w:rPr>
      </w:pPr>
      <w:bookmarkStart w:id="580" w:name="_Toc20987"/>
      <w:bookmarkStart w:id="581" w:name="_Toc24723"/>
      <w:bookmarkStart w:id="582" w:name="_Toc28529"/>
      <w:bookmarkStart w:id="583" w:name="_Toc919"/>
      <w:bookmarkStart w:id="584" w:name="_Toc32555"/>
      <w:bookmarkStart w:id="585" w:name="_Toc1017"/>
      <w:bookmarkStart w:id="586" w:name="_Toc21928"/>
      <w:r>
        <w:rPr>
          <w:rStyle w:val="61"/>
          <w:rFonts w:asciiTheme="minorEastAsia" w:hAnsiTheme="minorEastAsia" w:eastAsiaTheme="minorEastAsia" w:cstheme="minorEastAsia"/>
          <w:color w:val="auto"/>
          <w:sz w:val="24"/>
          <w:szCs w:val="24"/>
          <w:highlight w:val="none"/>
        </w:rPr>
        <w:t>格式三 各项</w:t>
      </w:r>
      <w:r>
        <w:rPr>
          <w:rFonts w:asciiTheme="minorEastAsia" w:hAnsiTheme="minorEastAsia" w:eastAsiaTheme="minorEastAsia" w:cstheme="minorEastAsia"/>
          <w:b/>
          <w:bCs/>
          <w:color w:val="auto"/>
          <w:szCs w:val="24"/>
          <w:highlight w:val="none"/>
        </w:rPr>
        <w:t>承诺</w:t>
      </w:r>
      <w:r>
        <w:rPr>
          <w:rStyle w:val="61"/>
          <w:rFonts w:asciiTheme="minorEastAsia" w:hAnsiTheme="minorEastAsia" w:eastAsiaTheme="minorEastAsia" w:cstheme="minorEastAsia"/>
          <w:color w:val="auto"/>
          <w:sz w:val="24"/>
          <w:szCs w:val="24"/>
          <w:highlight w:val="none"/>
        </w:rPr>
        <w:t>一览表</w:t>
      </w:r>
      <w:bookmarkEnd w:id="578"/>
      <w:bookmarkEnd w:id="579"/>
      <w:bookmarkEnd w:id="580"/>
      <w:bookmarkEnd w:id="581"/>
      <w:bookmarkEnd w:id="582"/>
      <w:bookmarkEnd w:id="583"/>
    </w:p>
    <w:bookmarkEnd w:id="584"/>
    <w:bookmarkEnd w:id="585"/>
    <w:bookmarkEnd w:id="586"/>
    <w:p w14:paraId="666A25CC">
      <w:pPr>
        <w:spacing w:line="480" w:lineRule="auto"/>
        <w:jc w:val="center"/>
        <w:rPr>
          <w:rFonts w:hint="default" w:asciiTheme="minorEastAsia" w:hAnsiTheme="minorEastAsia" w:eastAsiaTheme="minorEastAsia" w:cstheme="minorEastAsia"/>
          <w:b/>
          <w:bCs/>
          <w:color w:val="auto"/>
          <w:szCs w:val="24"/>
          <w:highlight w:val="none"/>
        </w:rPr>
      </w:pPr>
      <w:bookmarkStart w:id="587" w:name="_Toc20729"/>
      <w:bookmarkStart w:id="588" w:name="_Toc39136365"/>
      <w:bookmarkStart w:id="589" w:name="_Toc30877"/>
      <w:bookmarkStart w:id="590" w:name="_Toc21521"/>
      <w:bookmarkStart w:id="591" w:name="_Toc16438"/>
      <w:bookmarkStart w:id="592" w:name="_Toc15279"/>
      <w:bookmarkStart w:id="593" w:name="_Toc18136"/>
      <w:bookmarkStart w:id="594" w:name="_Toc31113"/>
      <w:r>
        <w:rPr>
          <w:rFonts w:asciiTheme="minorEastAsia" w:hAnsiTheme="minorEastAsia" w:eastAsiaTheme="minorEastAsia" w:cstheme="minorEastAsia"/>
          <w:b/>
          <w:bCs/>
          <w:color w:val="auto"/>
          <w:szCs w:val="24"/>
          <w:highlight w:val="none"/>
        </w:rPr>
        <w:t>各项承诺一览表</w:t>
      </w:r>
      <w:bookmarkEnd w:id="587"/>
      <w:bookmarkEnd w:id="588"/>
      <w:bookmarkEnd w:id="589"/>
      <w:bookmarkEnd w:id="590"/>
    </w:p>
    <w:bookmarkEnd w:id="591"/>
    <w:bookmarkEnd w:id="592"/>
    <w:bookmarkEnd w:id="593"/>
    <w:bookmarkEnd w:id="594"/>
    <w:tbl>
      <w:tblPr>
        <w:tblStyle w:val="23"/>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7"/>
        <w:gridCol w:w="1133"/>
        <w:gridCol w:w="3166"/>
        <w:gridCol w:w="5022"/>
      </w:tblGrid>
      <w:tr w14:paraId="3B8B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617" w:type="dxa"/>
          </w:tcPr>
          <w:p w14:paraId="1E532EF2">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133" w:type="dxa"/>
          </w:tcPr>
          <w:p w14:paraId="3154CE4D">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承诺标题</w:t>
            </w:r>
          </w:p>
        </w:tc>
        <w:tc>
          <w:tcPr>
            <w:tcW w:w="3166" w:type="dxa"/>
          </w:tcPr>
          <w:p w14:paraId="2E751D88">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承诺内容</w:t>
            </w:r>
          </w:p>
        </w:tc>
        <w:tc>
          <w:tcPr>
            <w:tcW w:w="5022" w:type="dxa"/>
            <w:tcBorders>
              <w:bottom w:val="single" w:color="auto" w:sz="4" w:space="0"/>
            </w:tcBorders>
          </w:tcPr>
          <w:p w14:paraId="4686D10F">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违约承诺</w:t>
            </w:r>
          </w:p>
        </w:tc>
      </w:tr>
      <w:tr w14:paraId="1ECA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vAlign w:val="center"/>
          </w:tcPr>
          <w:p w14:paraId="44F13245">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33" w:type="dxa"/>
            <w:vAlign w:val="center"/>
          </w:tcPr>
          <w:p w14:paraId="17968A4A">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对招标文件条款自愿接受承诺书</w:t>
            </w:r>
          </w:p>
        </w:tc>
        <w:tc>
          <w:tcPr>
            <w:tcW w:w="3166" w:type="dxa"/>
            <w:vAlign w:val="center"/>
          </w:tcPr>
          <w:p w14:paraId="7D415AC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我方保证接受招标文件的所有条款，响应招标文件的</w:t>
            </w:r>
            <w:bookmarkStart w:id="595" w:name="_Hlt66510765"/>
            <w:bookmarkEnd w:id="595"/>
            <w:r>
              <w:rPr>
                <w:rFonts w:hint="eastAsia" w:asciiTheme="minorEastAsia" w:hAnsiTheme="minorEastAsia" w:eastAsiaTheme="minorEastAsia" w:cstheme="minorEastAsia"/>
                <w:color w:val="auto"/>
                <w:sz w:val="21"/>
                <w:szCs w:val="21"/>
                <w:highlight w:val="none"/>
              </w:rPr>
              <w:t>所有要求，并同意招标文件为施工承包合同的组成部分</w:t>
            </w:r>
          </w:p>
        </w:tc>
        <w:tc>
          <w:tcPr>
            <w:tcW w:w="5022" w:type="dxa"/>
            <w:tcBorders>
              <w:tr2bl w:val="single" w:color="auto" w:sz="4" w:space="0"/>
            </w:tcBorders>
            <w:vAlign w:val="center"/>
          </w:tcPr>
          <w:p w14:paraId="237B4A03">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p>
        </w:tc>
      </w:tr>
      <w:tr w14:paraId="5F2D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30AD68D0">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w:t>
            </w:r>
          </w:p>
        </w:tc>
        <w:tc>
          <w:tcPr>
            <w:tcW w:w="1133" w:type="dxa"/>
            <w:vAlign w:val="center"/>
          </w:tcPr>
          <w:p w14:paraId="36114A80">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1E86C653">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166" w:type="dxa"/>
            <w:vAlign w:val="center"/>
          </w:tcPr>
          <w:p w14:paraId="56C1125B">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022" w:type="dxa"/>
            <w:vAlign w:val="center"/>
          </w:tcPr>
          <w:p w14:paraId="7682512D">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37E2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78858BDE">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3</w:t>
            </w:r>
          </w:p>
        </w:tc>
        <w:tc>
          <w:tcPr>
            <w:tcW w:w="1133" w:type="dxa"/>
            <w:vAlign w:val="center"/>
          </w:tcPr>
          <w:p w14:paraId="0DFF36F1">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自觉抵制围标串标和弄虚作假行为的承诺</w:t>
            </w:r>
          </w:p>
        </w:tc>
        <w:tc>
          <w:tcPr>
            <w:tcW w:w="3166" w:type="dxa"/>
            <w:vAlign w:val="center"/>
          </w:tcPr>
          <w:p w14:paraId="7EBD3FB3">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022" w:type="dxa"/>
            <w:vAlign w:val="center"/>
          </w:tcPr>
          <w:p w14:paraId="67165D47">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7B48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497346FF">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4</w:t>
            </w:r>
          </w:p>
        </w:tc>
        <w:tc>
          <w:tcPr>
            <w:tcW w:w="1133" w:type="dxa"/>
            <w:vAlign w:val="center"/>
          </w:tcPr>
          <w:p w14:paraId="4374A32D">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履约保证金承诺书</w:t>
            </w:r>
          </w:p>
        </w:tc>
        <w:tc>
          <w:tcPr>
            <w:tcW w:w="3166" w:type="dxa"/>
            <w:vAlign w:val="center"/>
          </w:tcPr>
          <w:p w14:paraId="4A49AAA9">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如果我方中标，</w:t>
            </w:r>
            <w:r>
              <w:rPr>
                <w:rFonts w:hint="eastAsia" w:asciiTheme="minorEastAsia" w:hAnsiTheme="minorEastAsia" w:eastAsiaTheme="minorEastAsia" w:cstheme="minorEastAsia"/>
                <w:color w:val="auto"/>
                <w:sz w:val="21"/>
                <w:szCs w:val="21"/>
                <w:highlight w:val="none"/>
              </w:rPr>
              <w:t>我方保证按时缴纳全部履约保证金</w:t>
            </w:r>
            <w:bookmarkStart w:id="596" w:name="_Hlt104711307"/>
            <w:bookmarkEnd w:id="596"/>
          </w:p>
        </w:tc>
        <w:tc>
          <w:tcPr>
            <w:tcW w:w="5022" w:type="dxa"/>
            <w:vAlign w:val="center"/>
          </w:tcPr>
          <w:p w14:paraId="043ECDCF">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在施工过程中，如由于我方自身的资金、技术、质量、非不可抗力等原因给招标人造成损失时，或未能按招标文件所承诺的各项承诺完成时，我方同意扣除全部履约保证金，并承担由此引起的所有责任。</w:t>
            </w:r>
          </w:p>
        </w:tc>
      </w:tr>
      <w:tr w14:paraId="49AF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0" w:hRule="atLeast"/>
          <w:jc w:val="center"/>
        </w:trPr>
        <w:tc>
          <w:tcPr>
            <w:tcW w:w="617" w:type="dxa"/>
            <w:shd w:val="clear" w:color="auto" w:fill="auto"/>
            <w:vAlign w:val="center"/>
          </w:tcPr>
          <w:p w14:paraId="789446D2">
            <w:pPr>
              <w:pStyle w:val="50"/>
              <w:keepNext w:val="0"/>
              <w:keepLines w:val="0"/>
              <w:suppressLineNumbers w:val="0"/>
              <w:wordWrap w:val="0"/>
              <w:adjustRightInd w:val="0"/>
              <w:snapToGrid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snapToGrid w:val="0"/>
                <w:color w:val="auto"/>
                <w:kern w:val="0"/>
                <w:szCs w:val="21"/>
                <w:highlight w:val="none"/>
              </w:rPr>
              <w:t>5</w:t>
            </w:r>
          </w:p>
        </w:tc>
        <w:tc>
          <w:tcPr>
            <w:tcW w:w="1133" w:type="dxa"/>
            <w:vAlign w:val="center"/>
          </w:tcPr>
          <w:p w14:paraId="056FE197">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工期、进度承诺书</w:t>
            </w:r>
          </w:p>
        </w:tc>
        <w:tc>
          <w:tcPr>
            <w:tcW w:w="3166" w:type="dxa"/>
            <w:vAlign w:val="center"/>
          </w:tcPr>
          <w:p w14:paraId="275AB466">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日历天内（其中：设计工期为：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日历天；施工工期为：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日历天内）完成工程设计、施工并通过竣工验收。</w:t>
            </w:r>
          </w:p>
          <w:p w14:paraId="7A456AFD">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我方保证各分部、分项工程的施工进度按我方投标文件中的施工进度计划完成施工任务。</w:t>
            </w:r>
          </w:p>
        </w:tc>
        <w:tc>
          <w:tcPr>
            <w:tcW w:w="5022" w:type="dxa"/>
            <w:vAlign w:val="center"/>
          </w:tcPr>
          <w:p w14:paraId="64174AF2">
            <w:pPr>
              <w:pStyle w:val="9"/>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 w:val="21"/>
                <w:szCs w:val="20"/>
                <w:highlight w:val="none"/>
              </w:rPr>
            </w:pPr>
            <w:r>
              <w:rPr>
                <w:rFonts w:asciiTheme="minorEastAsia" w:hAnsiTheme="minorEastAsia" w:eastAsiaTheme="minorEastAsia" w:cstheme="minorEastAsia"/>
                <w:color w:val="auto"/>
                <w:sz w:val="21"/>
                <w:szCs w:val="21"/>
                <w:highlight w:val="none"/>
              </w:rPr>
              <w:t>若因我方原因，没有按期完成设计任务、工程没有按期竣工时，我方在逾期第壹天起每天分别按设计、施工合同价款的1.5‰向招标人缴纳逾期违约金，分别累计最高不超过设计、施工合同价款的10%向招标人缴纳逾期违约金。</w:t>
            </w:r>
          </w:p>
          <w:p w14:paraId="0F994EAF">
            <w:pPr>
              <w:pStyle w:val="9"/>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 w:val="21"/>
                <w:szCs w:val="21"/>
                <w:highlight w:val="none"/>
              </w:rPr>
              <w:t xml:space="preserve">   若因我方原因，各分部、分项工程的施工进度未能按我方投标文件中的施工进度计划完成施工任务，延期达到30日历天，招标人有权终止合同。我方愿意承担所有由此引起的责任及经济损失。</w:t>
            </w:r>
          </w:p>
        </w:tc>
      </w:tr>
      <w:tr w14:paraId="3CE4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617" w:type="dxa"/>
            <w:shd w:val="clear" w:color="auto" w:fill="auto"/>
            <w:vAlign w:val="center"/>
          </w:tcPr>
          <w:p w14:paraId="352BC565">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6</w:t>
            </w:r>
          </w:p>
        </w:tc>
        <w:tc>
          <w:tcPr>
            <w:tcW w:w="1133" w:type="dxa"/>
            <w:vAlign w:val="center"/>
          </w:tcPr>
          <w:p w14:paraId="6884E97A">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bookmarkStart w:id="597" w:name="_Hlt98038044"/>
            <w:r>
              <w:rPr>
                <w:rFonts w:hint="eastAsia" w:asciiTheme="minorEastAsia" w:hAnsiTheme="minorEastAsia" w:eastAsiaTheme="minorEastAsia" w:cstheme="minorEastAsia"/>
                <w:color w:val="auto"/>
                <w:sz w:val="21"/>
                <w:szCs w:val="21"/>
                <w:highlight w:val="none"/>
              </w:rPr>
              <w:t>安全、文明施工承诺</w:t>
            </w:r>
            <w:bookmarkEnd w:id="597"/>
            <w:r>
              <w:rPr>
                <w:rFonts w:hint="eastAsia" w:asciiTheme="minorEastAsia" w:hAnsiTheme="minorEastAsia" w:eastAsiaTheme="minorEastAsia" w:cstheme="minorEastAsia"/>
                <w:color w:val="auto"/>
                <w:sz w:val="21"/>
                <w:szCs w:val="21"/>
                <w:highlight w:val="none"/>
              </w:rPr>
              <w:t>书</w:t>
            </w:r>
          </w:p>
        </w:tc>
        <w:tc>
          <w:tcPr>
            <w:tcW w:w="3166" w:type="dxa"/>
            <w:vAlign w:val="center"/>
          </w:tcPr>
          <w:p w14:paraId="1A2795CF">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我方保证在施工期间严格遵守国家、省、市有关安全、文明施工规定，确保施工安全和第三者的安全，根据施工现场情况保证绿色施工安全防护措施费投入。</w:t>
            </w:r>
          </w:p>
        </w:tc>
        <w:tc>
          <w:tcPr>
            <w:tcW w:w="5022" w:type="dxa"/>
            <w:vAlign w:val="center"/>
          </w:tcPr>
          <w:p w14:paraId="045E1B70">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若因我方原因，在施工期间发生安全事故，造成施工人员或第三者的伤亡，我方愿意承担由此造成的一切经济损失和法律责任。</w:t>
            </w:r>
          </w:p>
          <w:p w14:paraId="1029871D">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若我方在施工中发生一般事故及以上等级生产安全事故，可扣除相当于所有“绿色施工安全防护措施费”的管理费。</w:t>
            </w:r>
          </w:p>
        </w:tc>
      </w:tr>
      <w:tr w14:paraId="12CF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0" w:hRule="atLeast"/>
          <w:jc w:val="center"/>
        </w:trPr>
        <w:tc>
          <w:tcPr>
            <w:tcW w:w="617" w:type="dxa"/>
            <w:shd w:val="clear" w:color="auto" w:fill="auto"/>
            <w:vAlign w:val="center"/>
          </w:tcPr>
          <w:p w14:paraId="075D0E12">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7</w:t>
            </w:r>
          </w:p>
        </w:tc>
        <w:tc>
          <w:tcPr>
            <w:tcW w:w="1133" w:type="dxa"/>
            <w:vAlign w:val="center"/>
          </w:tcPr>
          <w:p w14:paraId="47E6EEFB">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p>
          <w:p w14:paraId="53314585">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任职承诺</w:t>
            </w:r>
          </w:p>
        </w:tc>
        <w:tc>
          <w:tcPr>
            <w:tcW w:w="3166" w:type="dxa"/>
            <w:vAlign w:val="center"/>
          </w:tcPr>
          <w:p w14:paraId="63AB3899">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我方拟派项目经理现阶段没有担任任何在施（包括已中标或已签订合同未开工、已开工未竣工、已建成未竣工）建设工程项目的项目经理。</w:t>
            </w:r>
          </w:p>
        </w:tc>
        <w:tc>
          <w:tcPr>
            <w:tcW w:w="5022" w:type="dxa"/>
            <w:vAlign w:val="center"/>
          </w:tcPr>
          <w:p w14:paraId="79681E1F">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如果我方拟派项目经理在本工程招标投标活动期间有担任其他任何在施（包括已中标或已签订合同未开工、已开工未竣工、已建成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3BFE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617" w:type="dxa"/>
            <w:shd w:val="clear" w:color="auto" w:fill="auto"/>
            <w:vAlign w:val="center"/>
          </w:tcPr>
          <w:p w14:paraId="6C79A709">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8</w:t>
            </w:r>
          </w:p>
        </w:tc>
        <w:tc>
          <w:tcPr>
            <w:tcW w:w="1133" w:type="dxa"/>
            <w:vAlign w:val="center"/>
          </w:tcPr>
          <w:p w14:paraId="16EC8CCF">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质量承诺书</w:t>
            </w:r>
          </w:p>
        </w:tc>
        <w:tc>
          <w:tcPr>
            <w:tcW w:w="3166" w:type="dxa"/>
            <w:vAlign w:val="center"/>
          </w:tcPr>
          <w:p w14:paraId="1729074A">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我方保证按照现行的国家和广东省的有关施工技术规范及现行标准，达</w:t>
            </w:r>
            <w:bookmarkStart w:id="598" w:name="_Hlt112573700"/>
            <w:bookmarkEnd w:id="598"/>
            <w:r>
              <w:rPr>
                <w:rFonts w:hint="eastAsia" w:asciiTheme="minorEastAsia" w:hAnsiTheme="minorEastAsia" w:eastAsiaTheme="minorEastAsia" w:cstheme="minorEastAsia"/>
                <w:color w:val="auto"/>
                <w:sz w:val="21"/>
                <w:szCs w:val="21"/>
                <w:highlight w:val="none"/>
              </w:rPr>
              <w:t>到</w:t>
            </w:r>
            <w:r>
              <w:rPr>
                <w:rFonts w:hint="eastAsia" w:asciiTheme="minorEastAsia" w:hAnsiTheme="minorEastAsia" w:eastAsiaTheme="minorEastAsia" w:cstheme="minorEastAsia"/>
                <w:snapToGrid/>
                <w:color w:val="auto"/>
                <w:kern w:val="2"/>
                <w:sz w:val="21"/>
                <w:szCs w:val="21"/>
                <w:highlight w:val="none"/>
              </w:rPr>
              <w:t>《建筑工程施工质量验收统一标准》(GB50300-2013)</w:t>
            </w:r>
            <w:r>
              <w:rPr>
                <w:rFonts w:hint="eastAsia" w:asciiTheme="minorEastAsia" w:hAnsiTheme="minorEastAsia" w:eastAsiaTheme="minorEastAsia" w:cstheme="minorEastAsia"/>
                <w:snapToGrid/>
                <w:color w:val="auto"/>
                <w:kern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《建筑与市政工程施工质量控制通用规范》（GB55032-2022）合格标准。</w:t>
            </w:r>
          </w:p>
          <w:p w14:paraId="7A669D2B">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p>
        </w:tc>
        <w:tc>
          <w:tcPr>
            <w:tcW w:w="5022" w:type="dxa"/>
            <w:vAlign w:val="center"/>
          </w:tcPr>
          <w:p w14:paraId="695A372E">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若因我方原因，工程在竣工验收或分部分项工程验收时没有达到合格标准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2"/>
                <w:sz w:val="21"/>
                <w:szCs w:val="21"/>
                <w:highlight w:val="none"/>
              </w:rPr>
              <w:t>我方每次（每分部每分项次）验收检查时按</w:t>
            </w:r>
            <w:r>
              <w:rPr>
                <w:rFonts w:hint="eastAsia" w:asciiTheme="minorEastAsia" w:hAnsiTheme="minorEastAsia" w:eastAsiaTheme="minorEastAsia" w:cstheme="minorEastAsia"/>
                <w:color w:val="auto"/>
                <w:sz w:val="21"/>
                <w:szCs w:val="21"/>
                <w:highlight w:val="none"/>
              </w:rPr>
              <w:t>合同价款的</w:t>
            </w:r>
            <w:r>
              <w:rPr>
                <w:rFonts w:hint="eastAsia" w:asciiTheme="minorEastAsia" w:hAnsiTheme="minorEastAsia" w:eastAsiaTheme="minorEastAsia" w:cstheme="minorEastAsia"/>
                <w:color w:val="auto"/>
                <w:sz w:val="21"/>
                <w:szCs w:val="21"/>
                <w:highlight w:val="none"/>
                <w:u w:val="single"/>
              </w:rPr>
              <w:t>1％</w:t>
            </w:r>
            <w:r>
              <w:rPr>
                <w:rFonts w:hint="eastAsia" w:asciiTheme="minorEastAsia" w:hAnsiTheme="minorEastAsia" w:eastAsiaTheme="minorEastAsia" w:cstheme="minorEastAsia"/>
                <w:color w:val="auto"/>
                <w:sz w:val="21"/>
                <w:szCs w:val="21"/>
                <w:highlight w:val="none"/>
              </w:rPr>
              <w:t>向招标人缴纳质量违约金。并达到合格标准为止，同时承担所有的责任及经济损失。</w:t>
            </w:r>
          </w:p>
          <w:p w14:paraId="7FE9C5B5">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在建设或监理单位组织的质量检查中，一次一个分项工程实测或其他项、程序不合格不符合要求的，一次向建设单位交纳质量违约金¥1000元/次项，分部工程不合格的一次、一个分部向建设（委托）单位交纳违约金¥2000元/次、项；</w:t>
            </w:r>
          </w:p>
          <w:p w14:paraId="1E0E40BF">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5A9D9D1E">
            <w:pPr>
              <w:pStyle w:val="65"/>
              <w:keepNext w:val="0"/>
              <w:keepLines w:val="0"/>
              <w:suppressLineNumbers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未能在限期内完成质量安全隐患整改的，每逾期一天，向建设单位交纳罚金¥1000元；</w:t>
            </w:r>
          </w:p>
          <w:p w14:paraId="51135F97">
            <w:pPr>
              <w:pStyle w:val="65"/>
              <w:keepNext w:val="0"/>
              <w:keepLines w:val="0"/>
              <w:suppressLineNumbers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未按规定委派专业人员参加检验批、分部分项工程验收，不及时签署验收记录的，一次向建设（委托）单位交纳违约金¥2000元/次、项；</w:t>
            </w:r>
          </w:p>
          <w:p w14:paraId="10B9707D">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不按规定委派相关人员参加项目竣工验收的，一次向建设单位交纳违约金¥50000元/项，不签署意见的交纳违约金¥50000元。</w:t>
            </w:r>
          </w:p>
        </w:tc>
      </w:tr>
      <w:tr w14:paraId="057D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0" w:hRule="atLeast"/>
          <w:jc w:val="center"/>
        </w:trPr>
        <w:tc>
          <w:tcPr>
            <w:tcW w:w="617" w:type="dxa"/>
            <w:shd w:val="clear" w:color="auto" w:fill="auto"/>
            <w:vAlign w:val="center"/>
          </w:tcPr>
          <w:p w14:paraId="66C0EACE">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9</w:t>
            </w:r>
          </w:p>
        </w:tc>
        <w:tc>
          <w:tcPr>
            <w:tcW w:w="1133" w:type="dxa"/>
            <w:vAlign w:val="center"/>
          </w:tcPr>
          <w:p w14:paraId="1B998C89">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账户承诺</w:t>
            </w:r>
          </w:p>
        </w:tc>
        <w:tc>
          <w:tcPr>
            <w:tcW w:w="3166" w:type="dxa"/>
            <w:vAlign w:val="center"/>
          </w:tcPr>
          <w:p w14:paraId="58219799">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我方保证招标人的资金随时可划入合同中规</w:t>
            </w:r>
            <w:bookmarkStart w:id="599" w:name="_Hlt127094672"/>
            <w:bookmarkEnd w:id="599"/>
            <w:r>
              <w:rPr>
                <w:rFonts w:hint="eastAsia" w:asciiTheme="minorEastAsia" w:hAnsiTheme="minorEastAsia" w:eastAsiaTheme="minorEastAsia" w:cstheme="minorEastAsia"/>
                <w:color w:val="auto"/>
                <w:spacing w:val="-2"/>
                <w:sz w:val="21"/>
                <w:szCs w:val="21"/>
                <w:highlight w:val="none"/>
              </w:rPr>
              <w:t>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w:t>
            </w:r>
          </w:p>
        </w:tc>
        <w:tc>
          <w:tcPr>
            <w:tcW w:w="5022" w:type="dxa"/>
            <w:vAlign w:val="center"/>
          </w:tcPr>
          <w:p w14:paraId="0D359F2E">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若因我方原因造成招标人的资金无法划入合同中规定的我方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户，如时间达到30日历天，招标人有权终止合同。我方承担由此造成的所有责任及经济损失。</w:t>
            </w:r>
          </w:p>
        </w:tc>
      </w:tr>
      <w:tr w14:paraId="7BFD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617" w:type="dxa"/>
            <w:shd w:val="clear" w:color="auto" w:fill="auto"/>
            <w:vAlign w:val="center"/>
          </w:tcPr>
          <w:p w14:paraId="1CAC137B">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10</w:t>
            </w:r>
          </w:p>
        </w:tc>
        <w:tc>
          <w:tcPr>
            <w:tcW w:w="1133" w:type="dxa"/>
            <w:vAlign w:val="center"/>
          </w:tcPr>
          <w:p w14:paraId="324A7F33">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工程的配合服务承诺</w:t>
            </w:r>
          </w:p>
        </w:tc>
        <w:tc>
          <w:tcPr>
            <w:tcW w:w="3166" w:type="dxa"/>
            <w:vAlign w:val="center"/>
          </w:tcPr>
          <w:p w14:paraId="53FE4FC0">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我方服从业主管理，保证配合与工程承包范围内相关的其他标段（工种、分项）工程施工单位的工程施工，不提出额外增加费用的要求。</w:t>
            </w:r>
          </w:p>
        </w:tc>
        <w:tc>
          <w:tcPr>
            <w:tcW w:w="5022" w:type="dxa"/>
            <w:vAlign w:val="center"/>
          </w:tcPr>
          <w:p w14:paraId="5118C5B0">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2E07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9" w:hRule="atLeast"/>
          <w:jc w:val="center"/>
        </w:trPr>
        <w:tc>
          <w:tcPr>
            <w:tcW w:w="617" w:type="dxa"/>
            <w:shd w:val="clear" w:color="auto" w:fill="auto"/>
            <w:vAlign w:val="center"/>
          </w:tcPr>
          <w:p w14:paraId="68F55740">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11</w:t>
            </w:r>
          </w:p>
        </w:tc>
        <w:tc>
          <w:tcPr>
            <w:tcW w:w="1133" w:type="dxa"/>
            <w:vAlign w:val="center"/>
          </w:tcPr>
          <w:p w14:paraId="3ACB61E0">
            <w:pPr>
              <w:pStyle w:val="67"/>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中标人员承诺</w:t>
            </w:r>
          </w:p>
        </w:tc>
        <w:tc>
          <w:tcPr>
            <w:tcW w:w="3166" w:type="dxa"/>
            <w:vAlign w:val="center"/>
          </w:tcPr>
          <w:p w14:paraId="3FB2A5D3">
            <w:pPr>
              <w:pStyle w:val="67"/>
              <w:keepNext w:val="0"/>
              <w:keepLines w:val="0"/>
              <w:suppressLineNumbers w:val="0"/>
              <w:spacing w:before="0" w:beforeAutospacing="0" w:after="0" w:afterAutospacing="0" w:line="300" w:lineRule="exact"/>
              <w:ind w:left="0" w:right="0" w:firstLine="412" w:firstLineChars="20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我方保证投标文件中所拟派的中标人员全部配合施工现场管理施工。</w:t>
            </w:r>
          </w:p>
        </w:tc>
        <w:tc>
          <w:tcPr>
            <w:tcW w:w="5022" w:type="dxa"/>
            <w:vAlign w:val="center"/>
          </w:tcPr>
          <w:p w14:paraId="1DC33202">
            <w:pPr>
              <w:pStyle w:val="68"/>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设计单位未能在招标人通知的时间内（提前一天通知，紧急情况随时通知）参加设计交底、处理有关设计问题、参加必要部位隐蔽验收和竣工验收等工作，每人次交纳违约金</w:t>
            </w:r>
            <w:r>
              <w:rPr>
                <w:rFonts w:hint="eastAsia" w:asciiTheme="minorEastAsia" w:hAnsiTheme="minorEastAsia" w:eastAsiaTheme="minorEastAsia" w:cstheme="minorEastAsia"/>
                <w:color w:val="auto"/>
                <w:sz w:val="21"/>
                <w:highlight w:val="none"/>
              </w:rPr>
              <w:t>¥</w:t>
            </w:r>
            <w:r>
              <w:rPr>
                <w:rFonts w:hint="eastAsia" w:asciiTheme="minorEastAsia" w:hAnsiTheme="minorEastAsia" w:eastAsiaTheme="minorEastAsia" w:cstheme="minorEastAsia"/>
                <w:snapToGrid w:val="0"/>
                <w:color w:val="auto"/>
                <w:sz w:val="21"/>
                <w:szCs w:val="21"/>
                <w:highlight w:val="none"/>
              </w:rPr>
              <w:t>1000元。</w:t>
            </w:r>
          </w:p>
          <w:p w14:paraId="109DF134">
            <w:pPr>
              <w:pStyle w:val="68"/>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驻韶办公的项目负责人（即投标文件所拟派的项目负责人）必须负责本项目设计全过程（包括施工图设计审查、施工图设计修编、预算跟踪服务、图纸会审和技术交底）。项目负责人未准时参加上述环节工作的，每缺席一次交纳违约金</w:t>
            </w:r>
            <w:r>
              <w:rPr>
                <w:rFonts w:hint="eastAsia" w:asciiTheme="minorEastAsia" w:hAnsiTheme="minorEastAsia" w:eastAsiaTheme="minorEastAsia" w:cstheme="minorEastAsia"/>
                <w:color w:val="auto"/>
                <w:sz w:val="21"/>
                <w:highlight w:val="none"/>
              </w:rPr>
              <w:t>¥</w:t>
            </w:r>
            <w:r>
              <w:rPr>
                <w:rFonts w:hint="eastAsia" w:asciiTheme="minorEastAsia" w:hAnsiTheme="minorEastAsia" w:eastAsiaTheme="minorEastAsia" w:cstheme="minorEastAsia"/>
                <w:snapToGrid w:val="0"/>
                <w:color w:val="auto"/>
                <w:sz w:val="21"/>
                <w:szCs w:val="21"/>
                <w:highlight w:val="none"/>
              </w:rPr>
              <w:t>5000元（以招标人发出的违约通知为准）。</w:t>
            </w:r>
          </w:p>
          <w:p w14:paraId="40510CB4">
            <w:pPr>
              <w:pStyle w:val="68"/>
              <w:keepNext w:val="0"/>
              <w:keepLines w:val="0"/>
              <w:suppressLineNumbers w:val="0"/>
              <w:spacing w:before="0" w:beforeAutospacing="0" w:after="0" w:afterAutospacing="0" w:line="300" w:lineRule="exact"/>
              <w:ind w:left="0" w:leftChars="0" w:right="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应委派1名参与并熟悉本项目设计任务，有现场处理经验的设计代表常驻项目现场。中标人应为派驻现场的设计工作人员提供工作、生活及交通等方面的便利条件及准备必要的劳动保护装备。未经招标人书面许可，缺少1天向建设单位每人每天支付违约金¥2000元/天。</w:t>
            </w:r>
          </w:p>
        </w:tc>
      </w:tr>
      <w:tr w14:paraId="0A48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9" w:hRule="atLeast"/>
          <w:jc w:val="center"/>
        </w:trPr>
        <w:tc>
          <w:tcPr>
            <w:tcW w:w="617" w:type="dxa"/>
            <w:shd w:val="clear" w:color="auto" w:fill="auto"/>
            <w:vAlign w:val="center"/>
          </w:tcPr>
          <w:p w14:paraId="205E2C14">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12</w:t>
            </w:r>
          </w:p>
        </w:tc>
        <w:tc>
          <w:tcPr>
            <w:tcW w:w="1133" w:type="dxa"/>
            <w:vAlign w:val="center"/>
          </w:tcPr>
          <w:p w14:paraId="4F8146D3">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项目管理班子人员承诺</w:t>
            </w:r>
          </w:p>
        </w:tc>
        <w:tc>
          <w:tcPr>
            <w:tcW w:w="3166" w:type="dxa"/>
            <w:vAlign w:val="center"/>
          </w:tcPr>
          <w:p w14:paraId="2D36CBA2">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我方保证投标文件中所拟派的项目经理、技术负责人、施工员、质量员、安全员等工程管理人员全部在施工现场管理施工</w:t>
            </w:r>
          </w:p>
        </w:tc>
        <w:tc>
          <w:tcPr>
            <w:tcW w:w="5022" w:type="dxa"/>
            <w:vAlign w:val="center"/>
          </w:tcPr>
          <w:p w14:paraId="37BC2556">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asciiTheme="minorEastAsia" w:hAnsiTheme="minorEastAsia" w:eastAsiaTheme="minorEastAsia" w:cstheme="minorEastAsia"/>
                <w:color w:val="auto"/>
                <w:sz w:val="21"/>
                <w:szCs w:val="24"/>
                <w:highlight w:val="none"/>
              </w:rPr>
              <w:t>¥</w:t>
            </w:r>
            <w:r>
              <w:rPr>
                <w:rFonts w:hint="eastAsia" w:asciiTheme="minorEastAsia" w:hAnsiTheme="minorEastAsia" w:eastAsiaTheme="minorEastAsia" w:cstheme="minorEastAsia"/>
                <w:color w:val="auto"/>
                <w:spacing w:val="-2"/>
                <w:sz w:val="21"/>
                <w:szCs w:val="21"/>
                <w:highlight w:val="none"/>
              </w:rPr>
              <w:t>3000元（项目经理未签到每天支付违约金</w:t>
            </w:r>
            <w:r>
              <w:rPr>
                <w:rFonts w:hint="eastAsia" w:asciiTheme="minorEastAsia" w:hAnsiTheme="minorEastAsia" w:eastAsiaTheme="minorEastAsia" w:cstheme="minorEastAsia"/>
                <w:color w:val="auto"/>
                <w:sz w:val="21"/>
                <w:szCs w:val="24"/>
                <w:highlight w:val="none"/>
              </w:rPr>
              <w:t>¥</w:t>
            </w:r>
            <w:r>
              <w:rPr>
                <w:rFonts w:hint="eastAsia" w:asciiTheme="minorEastAsia" w:hAnsiTheme="minorEastAsia" w:eastAsiaTheme="minorEastAsia" w:cstheme="minorEastAsia"/>
                <w:color w:val="auto"/>
                <w:spacing w:val="-2"/>
                <w:sz w:val="21"/>
                <w:szCs w:val="21"/>
                <w:highlight w:val="none"/>
              </w:rPr>
              <w:t>3000元）；</w:t>
            </w:r>
          </w:p>
          <w:p w14:paraId="189C8209">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22天的，招标人有权终止合同。我方承担由此造成的所有责任及经济损失。</w:t>
            </w:r>
          </w:p>
        </w:tc>
      </w:tr>
      <w:tr w14:paraId="373E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0" w:hRule="atLeast"/>
          <w:jc w:val="center"/>
        </w:trPr>
        <w:tc>
          <w:tcPr>
            <w:tcW w:w="617" w:type="dxa"/>
            <w:shd w:val="clear" w:color="auto" w:fill="auto"/>
            <w:vAlign w:val="center"/>
          </w:tcPr>
          <w:p w14:paraId="4440D2C6">
            <w:pPr>
              <w:pStyle w:val="69"/>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13</w:t>
            </w:r>
          </w:p>
        </w:tc>
        <w:tc>
          <w:tcPr>
            <w:tcW w:w="1133" w:type="dxa"/>
            <w:vAlign w:val="center"/>
          </w:tcPr>
          <w:p w14:paraId="7DE7DF81">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对支付农民工工资的承诺</w:t>
            </w:r>
          </w:p>
        </w:tc>
        <w:tc>
          <w:tcPr>
            <w:tcW w:w="3166" w:type="dxa"/>
            <w:vAlign w:val="center"/>
          </w:tcPr>
          <w:p w14:paraId="1A3A39F8">
            <w:pPr>
              <w:pStyle w:val="63"/>
              <w:keepNext w:val="0"/>
              <w:keepLines w:val="0"/>
              <w:suppressLineNumbers w:val="0"/>
              <w:spacing w:before="0" w:beforeAutospacing="0" w:after="0" w:afterAutospacing="0" w:line="380" w:lineRule="exact"/>
              <w:ind w:left="0" w:right="0" w:firstLine="206"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w:t>
            </w:r>
          </w:p>
        </w:tc>
        <w:tc>
          <w:tcPr>
            <w:tcW w:w="5022" w:type="dxa"/>
            <w:vAlign w:val="center"/>
          </w:tcPr>
          <w:p w14:paraId="23B8E043">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农民工工资。否则，招标人有权终止合同，扣除履约保证金，并由招标人先行垫付农民工被拖欠的工资，数额以未结清的工程数为限。</w:t>
            </w:r>
          </w:p>
        </w:tc>
      </w:tr>
      <w:tr w14:paraId="0BDA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jc w:val="center"/>
        </w:trPr>
        <w:tc>
          <w:tcPr>
            <w:tcW w:w="617" w:type="dxa"/>
            <w:shd w:val="clear" w:color="auto" w:fill="auto"/>
            <w:vAlign w:val="center"/>
          </w:tcPr>
          <w:p w14:paraId="546115A4">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14</w:t>
            </w:r>
          </w:p>
        </w:tc>
        <w:tc>
          <w:tcPr>
            <w:tcW w:w="1133" w:type="dxa"/>
            <w:vAlign w:val="center"/>
          </w:tcPr>
          <w:p w14:paraId="498AB788">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施工组织设计承诺</w:t>
            </w:r>
          </w:p>
        </w:tc>
        <w:tc>
          <w:tcPr>
            <w:tcW w:w="3166" w:type="dxa"/>
            <w:vAlign w:val="center"/>
          </w:tcPr>
          <w:p w14:paraId="452B96B9">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我方保证施工组织设计按照国家省市有关规定进行编写。</w:t>
            </w:r>
          </w:p>
        </w:tc>
        <w:tc>
          <w:tcPr>
            <w:tcW w:w="5022" w:type="dxa"/>
            <w:vAlign w:val="center"/>
          </w:tcPr>
          <w:p w14:paraId="39C81016">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如我方的施工组织设计未根据招标项目情况按照国家省市有关规定进行编写的，扣除全部履约保证金。</w:t>
            </w:r>
          </w:p>
        </w:tc>
      </w:tr>
      <w:tr w14:paraId="1358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5" w:hRule="atLeast"/>
          <w:jc w:val="center"/>
        </w:trPr>
        <w:tc>
          <w:tcPr>
            <w:tcW w:w="617" w:type="dxa"/>
            <w:shd w:val="clear" w:color="auto" w:fill="auto"/>
            <w:vAlign w:val="center"/>
          </w:tcPr>
          <w:p w14:paraId="1DDF1E3D">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15</w:t>
            </w:r>
          </w:p>
        </w:tc>
        <w:tc>
          <w:tcPr>
            <w:tcW w:w="1133" w:type="dxa"/>
            <w:vAlign w:val="center"/>
          </w:tcPr>
          <w:p w14:paraId="37EDF67E">
            <w:pPr>
              <w:pStyle w:val="69"/>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设计承诺</w:t>
            </w:r>
          </w:p>
        </w:tc>
        <w:tc>
          <w:tcPr>
            <w:tcW w:w="3166" w:type="dxa"/>
            <w:vAlign w:val="center"/>
          </w:tcPr>
          <w:p w14:paraId="3F713728">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如我方中标，我方保证按设计规范及有关法律法规进行设计，并准时提供设计文件和施工图预算，相应设计文件经审图机构审查通过</w:t>
            </w:r>
            <w:r>
              <w:rPr>
                <w:rFonts w:hint="eastAsia" w:asciiTheme="minorEastAsia" w:hAnsiTheme="minorEastAsia" w:eastAsiaTheme="minorEastAsia" w:cstheme="minorEastAsia"/>
                <w:color w:val="auto"/>
                <w:sz w:val="21"/>
                <w:szCs w:val="21"/>
                <w:highlight w:val="none"/>
              </w:rPr>
              <w:t>。</w:t>
            </w:r>
          </w:p>
        </w:tc>
        <w:tc>
          <w:tcPr>
            <w:tcW w:w="5022" w:type="dxa"/>
            <w:vAlign w:val="center"/>
          </w:tcPr>
          <w:p w14:paraId="33347398">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如我方中标，未能按招标文件要求提供设计文件和施工图预算</w:t>
            </w:r>
            <w:r>
              <w:rPr>
                <w:rFonts w:hint="eastAsia" w:asciiTheme="minorEastAsia" w:hAnsiTheme="minorEastAsia" w:eastAsiaTheme="minorEastAsia" w:cstheme="minorEastAsia"/>
                <w:color w:val="auto"/>
                <w:sz w:val="21"/>
                <w:szCs w:val="21"/>
                <w:highlight w:val="none"/>
              </w:rPr>
              <w:t>，招标人有权终止合同，扣除设计费的10%作为违约罚款，并由招标人另行委托相应资质的单位进行设计，其费用由中标人支付，施工工期不予顺延且不另外计取赶工措施费。</w:t>
            </w:r>
          </w:p>
          <w:p w14:paraId="64E47899">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由于设计单位设计工作错误造成工程设计质量事故，根据责任情况，按招标文件及合同相应违约条款的约定处理。负责采取补救措施。</w:t>
            </w:r>
          </w:p>
          <w:p w14:paraId="577C946D">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施工期间</w:t>
            </w:r>
            <w:r>
              <w:rPr>
                <w:rFonts w:hint="eastAsia" w:asciiTheme="minorEastAsia" w:hAnsiTheme="minorEastAsia" w:eastAsiaTheme="minorEastAsia" w:cstheme="minorEastAsia"/>
                <w:bCs/>
                <w:snapToGrid w:val="0"/>
                <w:color w:val="auto"/>
                <w:sz w:val="21"/>
                <w:szCs w:val="21"/>
                <w:highlight w:val="none"/>
              </w:rPr>
              <w:t>除招标人要求或特殊地质原因外，</w:t>
            </w:r>
            <w:r>
              <w:rPr>
                <w:rFonts w:hint="eastAsia" w:asciiTheme="minorEastAsia" w:hAnsiTheme="minorEastAsia" w:eastAsiaTheme="minorEastAsia" w:cstheme="minorEastAsia"/>
                <w:snapToGrid w:val="0"/>
                <w:color w:val="auto"/>
                <w:sz w:val="21"/>
                <w:szCs w:val="21"/>
                <w:highlight w:val="none"/>
              </w:rPr>
              <w:t>因设计质量和深度不够的原因引起的工程返工或需要设计变更引起工程造价增加的，每次扣减设计合同价款中设计费的2％，扣完为止。</w:t>
            </w:r>
          </w:p>
          <w:p w14:paraId="1511C37B">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因设计单位自身原因造成工程结算超施工招标中标价的，扣除应付设计合同价款中的余款。</w:t>
            </w:r>
          </w:p>
        </w:tc>
      </w:tr>
      <w:tr w14:paraId="6A69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3913C30E">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16</w:t>
            </w:r>
          </w:p>
        </w:tc>
        <w:tc>
          <w:tcPr>
            <w:tcW w:w="1133" w:type="dxa"/>
            <w:vAlign w:val="center"/>
          </w:tcPr>
          <w:p w14:paraId="1F5B96D8">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综合服务能力承诺</w:t>
            </w:r>
          </w:p>
        </w:tc>
        <w:tc>
          <w:tcPr>
            <w:tcW w:w="3166" w:type="dxa"/>
            <w:vAlign w:val="center"/>
          </w:tcPr>
          <w:p w14:paraId="7D88E8BE">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我方保证中标后，自行解决施工中遇到的各种外部问题，协调周边企业、村民关系，并承担由此产生的所有责任及损失。</w:t>
            </w:r>
          </w:p>
        </w:tc>
        <w:tc>
          <w:tcPr>
            <w:tcW w:w="5022" w:type="dxa"/>
            <w:vAlign w:val="center"/>
          </w:tcPr>
          <w:p w14:paraId="43594E24">
            <w:pPr>
              <w:pStyle w:val="63"/>
              <w:keepNext w:val="0"/>
              <w:keepLines w:val="0"/>
              <w:suppressLineNumbers w:val="0"/>
              <w:spacing w:before="0" w:beforeAutospacing="0" w:after="0" w:afterAutospacing="0" w:line="38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若我方未能按招标文件所承诺的各项承诺完成时，我方同意按比例扣除相应履约保证金，并承担由此引起的所有责任。</w:t>
            </w:r>
          </w:p>
        </w:tc>
      </w:tr>
      <w:tr w14:paraId="7B1A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617" w:type="dxa"/>
            <w:shd w:val="clear" w:color="auto" w:fill="auto"/>
            <w:vAlign w:val="center"/>
          </w:tcPr>
          <w:p w14:paraId="3F44E42D">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17</w:t>
            </w:r>
          </w:p>
        </w:tc>
        <w:tc>
          <w:tcPr>
            <w:tcW w:w="1133" w:type="dxa"/>
            <w:vAlign w:val="center"/>
          </w:tcPr>
          <w:p w14:paraId="1F416B75">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廉政承诺</w:t>
            </w:r>
          </w:p>
        </w:tc>
        <w:tc>
          <w:tcPr>
            <w:tcW w:w="3166" w:type="dxa"/>
            <w:vAlign w:val="center"/>
          </w:tcPr>
          <w:p w14:paraId="04FE646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如我方中标，我方将严格执行国家、广东省、韶关市有关工程建设廉政的有关法律法规及双方签订的廉政合同。</w:t>
            </w:r>
          </w:p>
        </w:tc>
        <w:tc>
          <w:tcPr>
            <w:tcW w:w="5022" w:type="dxa"/>
            <w:vAlign w:val="center"/>
          </w:tcPr>
          <w:p w14:paraId="536EEBAB">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01C2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4" w:hRule="atLeast"/>
          <w:jc w:val="center"/>
        </w:trPr>
        <w:tc>
          <w:tcPr>
            <w:tcW w:w="617" w:type="dxa"/>
            <w:shd w:val="clear" w:color="auto" w:fill="auto"/>
            <w:vAlign w:val="center"/>
          </w:tcPr>
          <w:p w14:paraId="23089156">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18</w:t>
            </w:r>
          </w:p>
        </w:tc>
        <w:tc>
          <w:tcPr>
            <w:tcW w:w="1133" w:type="dxa"/>
            <w:vAlign w:val="center"/>
          </w:tcPr>
          <w:p w14:paraId="253CF39F">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w:t>
            </w:r>
          </w:p>
          <w:p w14:paraId="72CDD8A7">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信息公开承诺</w:t>
            </w:r>
          </w:p>
        </w:tc>
        <w:tc>
          <w:tcPr>
            <w:tcW w:w="3166" w:type="dxa"/>
            <w:vAlign w:val="center"/>
          </w:tcPr>
          <w:p w14:paraId="503BC94E">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4384" behindDoc="0" locked="0" layoutInCell="1" allowOverlap="1">
                      <wp:simplePos x="0" y="0"/>
                      <wp:positionH relativeFrom="column">
                        <wp:posOffset>2006600</wp:posOffset>
                      </wp:positionH>
                      <wp:positionV relativeFrom="paragraph">
                        <wp:posOffset>5715</wp:posOffset>
                      </wp:positionV>
                      <wp:extent cx="3208020" cy="1260475"/>
                      <wp:effectExtent l="1905" t="4445" r="9525" b="11430"/>
                      <wp:wrapNone/>
                      <wp:docPr id="5" name="直线 18"/>
                      <wp:cNvGraphicFramePr/>
                      <a:graphic xmlns:a="http://schemas.openxmlformats.org/drawingml/2006/main">
                        <a:graphicData uri="http://schemas.microsoft.com/office/word/2010/wordprocessingShape">
                          <wps:wsp>
                            <wps:cNvCnPr/>
                            <wps:spPr>
                              <a:xfrm flipV="1">
                                <a:off x="0" y="0"/>
                                <a:ext cx="3208020" cy="12604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58pt;margin-top:0.45pt;height:99.25pt;width:252.6pt;z-index:251664384;mso-width-relative:page;mso-height-relative:page;" filled="f" stroked="t" coordsize="21600,21600" o:gfxdata="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gLYEHWAAAACAEAAA8AAAAAAAAAAQAgAAAAIgAAAGRycy9kb3ducmV2LnhtbFBL&#10;AQIUABQAAAAIAIdO4kAWO9wh+AEAAPoDAAAOAAAAAAAAAAEAIAAAACUBAABkcnMvZTJvRG9jLnht&#10;bFBLBQYAAAAABgAGAFkBAACP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color w:val="auto"/>
                <w:sz w:val="21"/>
                <w:szCs w:val="21"/>
                <w:highlight w:val="none"/>
              </w:rPr>
              <w:t>我方提供完整的电子文件。如果我方成为本项目中标候选人，我方同意并授权招标人在评标结果公示期内公开我方商务部分的全部内容。</w:t>
            </w:r>
          </w:p>
        </w:tc>
        <w:tc>
          <w:tcPr>
            <w:tcW w:w="5022" w:type="dxa"/>
            <w:vAlign w:val="center"/>
          </w:tcPr>
          <w:p w14:paraId="1CE6DF30">
            <w:pPr>
              <w:pStyle w:val="63"/>
              <w:keepNext w:val="0"/>
              <w:keepLines w:val="0"/>
              <w:suppressLineNumbers w:val="0"/>
              <w:snapToGrid w:val="0"/>
              <w:spacing w:before="0" w:beforeAutospacing="0" w:after="0" w:afterAutospacing="0" w:line="240" w:lineRule="auto"/>
              <w:ind w:left="0" w:right="0" w:firstLine="0" w:firstLineChars="0"/>
              <w:rPr>
                <w:rFonts w:hint="default" w:asciiTheme="minorEastAsia" w:hAnsiTheme="minorEastAsia" w:eastAsiaTheme="minorEastAsia" w:cstheme="minorEastAsia"/>
                <w:color w:val="auto"/>
                <w:sz w:val="21"/>
                <w:szCs w:val="21"/>
                <w:highlight w:val="none"/>
              </w:rPr>
            </w:pPr>
          </w:p>
          <w:p w14:paraId="23F7BBA8">
            <w:pPr>
              <w:pStyle w:val="63"/>
              <w:keepNext w:val="0"/>
              <w:keepLines w:val="0"/>
              <w:suppressLineNumbers w:val="0"/>
              <w:snapToGrid w:val="0"/>
              <w:spacing w:before="0" w:beforeAutospacing="0" w:after="0" w:afterAutospacing="0" w:line="400" w:lineRule="exact"/>
              <w:ind w:left="0" w:right="0" w:firstLine="0" w:firstLineChars="0"/>
              <w:rPr>
                <w:rFonts w:hint="default" w:asciiTheme="minorEastAsia" w:hAnsiTheme="minorEastAsia" w:eastAsiaTheme="minorEastAsia" w:cstheme="minorEastAsia"/>
                <w:color w:val="auto"/>
                <w:sz w:val="21"/>
                <w:szCs w:val="21"/>
                <w:highlight w:val="none"/>
              </w:rPr>
            </w:pPr>
          </w:p>
        </w:tc>
      </w:tr>
      <w:tr w14:paraId="4BC5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1" w:hRule="atLeast"/>
          <w:jc w:val="center"/>
        </w:trPr>
        <w:tc>
          <w:tcPr>
            <w:tcW w:w="617" w:type="dxa"/>
            <w:vAlign w:val="center"/>
          </w:tcPr>
          <w:p w14:paraId="2830C963">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19</w:t>
            </w:r>
          </w:p>
        </w:tc>
        <w:tc>
          <w:tcPr>
            <w:tcW w:w="1133" w:type="dxa"/>
            <w:vAlign w:val="center"/>
          </w:tcPr>
          <w:p w14:paraId="06E2BE6E">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质量安全受检承诺</w:t>
            </w:r>
          </w:p>
        </w:tc>
        <w:tc>
          <w:tcPr>
            <w:tcW w:w="3166" w:type="dxa"/>
            <w:vAlign w:val="center"/>
          </w:tcPr>
          <w:p w14:paraId="5A22AB73">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5022" w:type="dxa"/>
            <w:vAlign w:val="center"/>
          </w:tcPr>
          <w:p w14:paraId="44BA42AB">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如我方不配合或未通过相关的监督检查及考核，我方承诺接受业主单位、发包单位的相关管理规定和处罚，并承担相应的责任。</w:t>
            </w:r>
          </w:p>
        </w:tc>
      </w:tr>
      <w:tr w14:paraId="5260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6" w:hRule="atLeast"/>
          <w:jc w:val="center"/>
        </w:trPr>
        <w:tc>
          <w:tcPr>
            <w:tcW w:w="617" w:type="dxa"/>
            <w:vAlign w:val="center"/>
          </w:tcPr>
          <w:p w14:paraId="2519CEB9">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20</w:t>
            </w:r>
          </w:p>
        </w:tc>
        <w:tc>
          <w:tcPr>
            <w:tcW w:w="1133" w:type="dxa"/>
            <w:vAlign w:val="center"/>
          </w:tcPr>
          <w:p w14:paraId="70168206">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对工程预付款的使用承诺</w:t>
            </w:r>
          </w:p>
        </w:tc>
        <w:tc>
          <w:tcPr>
            <w:tcW w:w="3166" w:type="dxa"/>
            <w:vAlign w:val="center"/>
          </w:tcPr>
          <w:p w14:paraId="33E37A3E">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我方保证工程预付款用于主要建筑材料的备料及支付工人工资。</w:t>
            </w:r>
          </w:p>
        </w:tc>
        <w:tc>
          <w:tcPr>
            <w:tcW w:w="5022" w:type="dxa"/>
            <w:vAlign w:val="center"/>
          </w:tcPr>
          <w:p w14:paraId="11B48F09">
            <w:pPr>
              <w:pStyle w:val="63"/>
              <w:keepNext w:val="0"/>
              <w:keepLines w:val="0"/>
              <w:suppressLineNumbers w:val="0"/>
              <w:snapToGrid w:val="0"/>
              <w:spacing w:before="0" w:beforeAutospacing="0" w:after="0" w:afterAutospacing="0" w:line="40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24765</wp:posOffset>
                      </wp:positionV>
                      <wp:extent cx="3179445" cy="841375"/>
                      <wp:effectExtent l="1270" t="4445" r="19685" b="11430"/>
                      <wp:wrapNone/>
                      <wp:docPr id="1" name="直线 18"/>
                      <wp:cNvGraphicFramePr/>
                      <a:graphic xmlns:a="http://schemas.openxmlformats.org/drawingml/2006/main">
                        <a:graphicData uri="http://schemas.microsoft.com/office/word/2010/wordprocessingShape">
                          <wps:wsp>
                            <wps:cNvCnPr/>
                            <wps:spPr>
                              <a:xfrm flipV="1">
                                <a:off x="0" y="0"/>
                                <a:ext cx="3179445" cy="8413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2pt;margin-top:1.95pt;height:66.25pt;width:250.35pt;z-index:251663360;mso-width-relative:page;mso-height-relative:page;" filled="f" stroked="t" coordsize="21600,21600" o:gfxdata="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nEH6jUAAAABwEAAA8AAAAAAAAAAQAgAAAAIgAAAGRycy9kb3ducmV2LnhtbFBLAQIU&#10;ABQAAAAIAIdO4kAFTNSO9wEAAPkDAAAOAAAAAAAAAAEAIAAAACMBAABkcnMvZTJvRG9jLnhtbFBL&#10;BQYAAAAABgAGAFkBAACMBQAAAAA=&#10;">
                      <v:fill on="f" focussize="0,0"/>
                      <v:stroke color="#000000" joinstyle="round"/>
                      <v:imagedata o:title=""/>
                      <o:lock v:ext="edit" aspectratio="f"/>
                    </v:line>
                  </w:pict>
                </mc:Fallback>
              </mc:AlternateContent>
            </w:r>
          </w:p>
        </w:tc>
      </w:tr>
    </w:tbl>
    <w:p w14:paraId="5E250887">
      <w:pPr>
        <w:pStyle w:val="71"/>
        <w:rPr>
          <w:rFonts w:hint="eastAsia" w:asciiTheme="minorEastAsia" w:hAnsiTheme="minorEastAsia" w:eastAsiaTheme="minorEastAsia" w:cstheme="minorEastAsia"/>
          <w:color w:val="auto"/>
          <w:sz w:val="21"/>
          <w:szCs w:val="21"/>
          <w:highlight w:val="none"/>
        </w:rPr>
      </w:pPr>
    </w:p>
    <w:p w14:paraId="6D20C8B0">
      <w:pPr>
        <w:pStyle w:val="71"/>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注：所有违约金均从中标人的进度款中扣除，最终结算以扣除违约金总数后的金额为准。</w:t>
      </w:r>
    </w:p>
    <w:p w14:paraId="5D7A12D3">
      <w:pPr>
        <w:pStyle w:val="37"/>
        <w:spacing w:line="400" w:lineRule="exact"/>
        <w:jc w:val="left"/>
        <w:rPr>
          <w:rFonts w:asciiTheme="minorEastAsia" w:hAnsiTheme="minorEastAsia" w:eastAsiaTheme="minorEastAsia" w:cstheme="minorEastAsia"/>
          <w:color w:val="auto"/>
          <w:szCs w:val="24"/>
          <w:highlight w:val="none"/>
        </w:rPr>
      </w:pPr>
    </w:p>
    <w:p w14:paraId="31208D6B">
      <w:pPr>
        <w:pStyle w:val="12"/>
        <w:wordWrap w:val="0"/>
        <w:adjustRightInd w:val="0"/>
        <w:snapToGrid w:val="0"/>
        <w:spacing w:line="420" w:lineRule="exact"/>
        <w:ind w:firstLine="480" w:firstLineChars="200"/>
        <w:jc w:val="right"/>
        <w:rPr>
          <w:rFonts w:hAnsi="宋体" w:eastAsia="宋体" w:cs="宋体"/>
          <w:snapToGrid w:val="0"/>
          <w:color w:val="auto"/>
          <w:kern w:val="0"/>
          <w:szCs w:val="24"/>
          <w:highlight w:val="none"/>
        </w:rPr>
      </w:pPr>
    </w:p>
    <w:p w14:paraId="45B04196">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4FA2E658">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3A6D7FD9">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5EF9DDD0">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0EAB993A">
      <w:pPr>
        <w:widowControl/>
        <w:jc w:val="right"/>
        <w:rPr>
          <w:rFonts w:hint="eastAsia" w:hAnsi="宋体" w:eastAsia="宋体" w:cs="宋体"/>
          <w:snapToGrid w:val="0"/>
          <w:color w:val="auto"/>
          <w:kern w:val="0"/>
          <w:szCs w:val="24"/>
          <w:highlight w:val="none"/>
          <w:lang w:eastAsia="zh-CN"/>
        </w:rPr>
      </w:pPr>
      <w:r>
        <w:rPr>
          <w:rFonts w:hint="eastAsia" w:hAnsi="宋体" w:eastAsia="宋体" w:cs="宋体"/>
          <w:snapToGrid w:val="0"/>
          <w:color w:val="auto"/>
          <w:kern w:val="0"/>
          <w:szCs w:val="24"/>
          <w:highlight w:val="none"/>
          <w:lang w:eastAsia="zh-CN"/>
        </w:rPr>
        <w:t xml:space="preserve"> 年   月  日</w:t>
      </w:r>
    </w:p>
    <w:p w14:paraId="6231AA39">
      <w:pPr>
        <w:widowControl/>
        <w:jc w:val="right"/>
        <w:rPr>
          <w:rFonts w:hint="eastAsia" w:hAnsi="宋体" w:eastAsia="宋体" w:cs="宋体"/>
          <w:snapToGrid w:val="0"/>
          <w:color w:val="auto"/>
          <w:kern w:val="0"/>
          <w:szCs w:val="24"/>
          <w:highlight w:val="none"/>
          <w:lang w:eastAsia="zh-CN"/>
        </w:rPr>
      </w:pPr>
    </w:p>
    <w:p w14:paraId="3E98B321">
      <w:pPr>
        <w:widowControl/>
        <w:jc w:val="left"/>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br w:type="page"/>
      </w:r>
    </w:p>
    <w:p w14:paraId="2F64CD21">
      <w:pPr>
        <w:pStyle w:val="3"/>
        <w:spacing w:before="120"/>
        <w:rPr>
          <w:rFonts w:hint="default" w:asciiTheme="minorEastAsia" w:hAnsiTheme="minorEastAsia" w:eastAsiaTheme="minorEastAsia" w:cstheme="minorEastAsia"/>
          <w:b/>
          <w:bCs/>
          <w:color w:val="auto"/>
          <w:szCs w:val="24"/>
          <w:highlight w:val="none"/>
        </w:rPr>
      </w:pPr>
      <w:bookmarkStart w:id="600" w:name="_Toc10981"/>
      <w:bookmarkStart w:id="601" w:name="_Toc6896"/>
      <w:bookmarkStart w:id="602" w:name="_Toc30764"/>
      <w:bookmarkStart w:id="603" w:name="_Toc10703"/>
      <w:bookmarkStart w:id="604" w:name="_Toc30463"/>
      <w:r>
        <w:rPr>
          <w:rFonts w:asciiTheme="minorEastAsia" w:hAnsiTheme="minorEastAsia" w:eastAsiaTheme="minorEastAsia" w:cstheme="minorEastAsia"/>
          <w:b/>
          <w:bCs/>
          <w:color w:val="auto"/>
          <w:szCs w:val="24"/>
          <w:highlight w:val="none"/>
        </w:rPr>
        <w:t>格式四 授权委托书</w:t>
      </w:r>
      <w:bookmarkEnd w:id="600"/>
      <w:bookmarkEnd w:id="601"/>
      <w:bookmarkEnd w:id="602"/>
      <w:bookmarkEnd w:id="603"/>
      <w:bookmarkEnd w:id="604"/>
    </w:p>
    <w:p w14:paraId="1B483563">
      <w:pPr>
        <w:wordWrap w:val="0"/>
        <w:adjustRightInd w:val="0"/>
        <w:snapToGrid w:val="0"/>
        <w:spacing w:line="440" w:lineRule="exact"/>
        <w:rPr>
          <w:rFonts w:hint="default" w:asciiTheme="minorEastAsia" w:hAnsiTheme="minorEastAsia" w:eastAsiaTheme="minorEastAsia" w:cstheme="minorEastAsia"/>
          <w:b/>
          <w:bCs/>
          <w:snapToGrid w:val="0"/>
          <w:color w:val="auto"/>
          <w:kern w:val="0"/>
          <w:szCs w:val="24"/>
          <w:highlight w:val="none"/>
        </w:rPr>
      </w:pPr>
    </w:p>
    <w:p w14:paraId="2E7903A0">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授权委托书</w:t>
      </w:r>
    </w:p>
    <w:p w14:paraId="176E8F43">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6E931BE9">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本人（姓名）系（投标人名称）的法定代表人，现委托（姓名）为我方代理人。代理人根据授权，以我方名义签署、澄清、说明、补正、递交、撤回、修改（项目名称）投标文件、签订合同和处理有关事宜，其法律后果由我方承担。</w:t>
      </w:r>
    </w:p>
    <w:p w14:paraId="6092D9F4">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委托期限：至</w:t>
      </w:r>
      <w:r>
        <w:rPr>
          <w:rFonts w:asciiTheme="minorEastAsia" w:hAnsiTheme="minorEastAsia" w:eastAsiaTheme="minorEastAsia" w:cstheme="minorEastAsia"/>
          <w:snapToGrid w:val="0"/>
          <w:color w:val="auto"/>
          <w:kern w:val="0"/>
          <w:szCs w:val="24"/>
          <w:highlight w:val="none"/>
          <w:u w:val="single"/>
        </w:rPr>
        <w:t xml:space="preserve">     年   月   日</w:t>
      </w:r>
      <w:r>
        <w:rPr>
          <w:rFonts w:asciiTheme="minorEastAsia" w:hAnsiTheme="minorEastAsia" w:eastAsiaTheme="minorEastAsia" w:cstheme="minorEastAsia"/>
          <w:i/>
          <w:iCs/>
          <w:snapToGrid w:val="0"/>
          <w:color w:val="auto"/>
          <w:kern w:val="0"/>
          <w:szCs w:val="24"/>
          <w:highlight w:val="none"/>
          <w:u w:val="single"/>
        </w:rPr>
        <w:t>（不得短于招标文件规定的投标有效期）</w:t>
      </w:r>
      <w:r>
        <w:rPr>
          <w:rFonts w:asciiTheme="minorEastAsia" w:hAnsiTheme="minorEastAsia" w:eastAsiaTheme="minorEastAsia" w:cstheme="minorEastAsia"/>
          <w:snapToGrid w:val="0"/>
          <w:color w:val="auto"/>
          <w:kern w:val="0"/>
          <w:szCs w:val="24"/>
          <w:highlight w:val="none"/>
        </w:rPr>
        <w:t xml:space="preserve"> 。</w:t>
      </w:r>
    </w:p>
    <w:p w14:paraId="433E8BD5">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代理人无转委托权。</w:t>
      </w:r>
    </w:p>
    <w:p w14:paraId="5504EA19">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761378DB">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2FC3258D">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  标  人：（盖单位章）</w:t>
      </w:r>
    </w:p>
    <w:p w14:paraId="6D031141">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085936A2">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0C4C9A3F">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54CCF27F">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委托代理人：（签字或盖章）</w:t>
      </w:r>
    </w:p>
    <w:p w14:paraId="6498A1B3">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p>
    <w:p w14:paraId="3A5C30AD">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2649E321">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4DC03FDC">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35BBA7B7">
      <w:pPr>
        <w:wordWrap w:val="0"/>
        <w:adjustRightInd w:val="0"/>
        <w:snapToGrid w:val="0"/>
        <w:ind w:firstLine="5520" w:firstLineChars="2300"/>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2336"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1C5974E">
                            <w:pPr>
                              <w:jc w:val="center"/>
                              <w:rPr>
                                <w:rFonts w:hint="default"/>
                                <w:szCs w:val="21"/>
                              </w:rPr>
                            </w:pPr>
                          </w:p>
                          <w:p w14:paraId="51FBBF4A">
                            <w:pPr>
                              <w:jc w:val="center"/>
                              <w:rPr>
                                <w:rFonts w:hint="default"/>
                                <w:szCs w:val="21"/>
                              </w:rPr>
                            </w:pPr>
                          </w:p>
                          <w:p w14:paraId="294978A0">
                            <w:pPr>
                              <w:jc w:val="center"/>
                              <w:rPr>
                                <w:rFonts w:hint="default"/>
                                <w:szCs w:val="21"/>
                              </w:rPr>
                            </w:pPr>
                          </w:p>
                          <w:p w14:paraId="304FC9B7">
                            <w:pPr>
                              <w:jc w:val="center"/>
                              <w:rPr>
                                <w:rFonts w:hint="default" w:hAnsi="宋体" w:eastAsia="宋体" w:cs="宋体"/>
                                <w:szCs w:val="21"/>
                              </w:rPr>
                            </w:pPr>
                            <w:r>
                              <w:rPr>
                                <w:rFonts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2336;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51C5974E">
                      <w:pPr>
                        <w:jc w:val="center"/>
                        <w:rPr>
                          <w:rFonts w:hint="default"/>
                          <w:szCs w:val="21"/>
                        </w:rPr>
                      </w:pPr>
                    </w:p>
                    <w:p w14:paraId="51FBBF4A">
                      <w:pPr>
                        <w:jc w:val="center"/>
                        <w:rPr>
                          <w:rFonts w:hint="default"/>
                          <w:szCs w:val="21"/>
                        </w:rPr>
                      </w:pPr>
                    </w:p>
                    <w:p w14:paraId="294978A0">
                      <w:pPr>
                        <w:jc w:val="center"/>
                        <w:rPr>
                          <w:rFonts w:hint="default"/>
                          <w:szCs w:val="21"/>
                        </w:rPr>
                      </w:pPr>
                    </w:p>
                    <w:p w14:paraId="304FC9B7">
                      <w:pPr>
                        <w:jc w:val="center"/>
                        <w:rPr>
                          <w:rFonts w:hint="default" w:hAnsi="宋体" w:eastAsia="宋体" w:cs="宋体"/>
                          <w:szCs w:val="21"/>
                        </w:rPr>
                      </w:pPr>
                      <w:r>
                        <w:rPr>
                          <w:rFonts w:hAnsi="宋体" w:eastAsia="宋体" w:cs="宋体"/>
                          <w:szCs w:val="21"/>
                        </w:rPr>
                        <w:t>委托代理人身份证彩色扫描件正、反面</w:t>
                      </w:r>
                    </w:p>
                  </w:txbxContent>
                </v:textbox>
              </v:shape>
            </w:pict>
          </mc:Fallback>
        </mc:AlternateContent>
      </w:r>
    </w:p>
    <w:p w14:paraId="790F0F83">
      <w:pPr>
        <w:pStyle w:val="8"/>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08DDFFC0">
      <w:pPr>
        <w:rPr>
          <w:rFonts w:hint="default" w:asciiTheme="minorEastAsia" w:hAnsiTheme="minorEastAsia" w:eastAsiaTheme="minorEastAsia" w:cstheme="minorEastAsia"/>
          <w:color w:val="auto"/>
          <w:szCs w:val="24"/>
          <w:highlight w:val="none"/>
        </w:rPr>
      </w:pPr>
    </w:p>
    <w:p w14:paraId="32C08927">
      <w:pPr>
        <w:wordWrap w:val="0"/>
        <w:adjustRightInd w:val="0"/>
        <w:snapToGrid w:val="0"/>
        <w:rPr>
          <w:rFonts w:hint="default" w:asciiTheme="minorEastAsia" w:hAnsiTheme="minorEastAsia" w:eastAsiaTheme="minorEastAsia" w:cstheme="minorEastAsia"/>
          <w:snapToGrid w:val="0"/>
          <w:color w:val="auto"/>
          <w:kern w:val="0"/>
          <w:szCs w:val="24"/>
          <w:highlight w:val="none"/>
        </w:rPr>
        <w:sectPr>
          <w:headerReference r:id="rId6" w:type="default"/>
          <w:footerReference r:id="rId7"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45C3DA99">
      <w:pPr>
        <w:pStyle w:val="3"/>
        <w:spacing w:before="120"/>
        <w:rPr>
          <w:rFonts w:hint="default" w:asciiTheme="minorEastAsia" w:hAnsiTheme="minorEastAsia" w:eastAsiaTheme="minorEastAsia" w:cstheme="minorEastAsia"/>
          <w:b/>
          <w:bCs/>
          <w:color w:val="auto"/>
          <w:szCs w:val="24"/>
          <w:highlight w:val="none"/>
        </w:rPr>
      </w:pPr>
      <w:bookmarkStart w:id="605" w:name="_Toc12031"/>
      <w:bookmarkStart w:id="606" w:name="_Toc28268"/>
      <w:r>
        <w:rPr>
          <w:rFonts w:asciiTheme="minorEastAsia" w:hAnsiTheme="minorEastAsia" w:eastAsiaTheme="minorEastAsia" w:cstheme="minorEastAsia"/>
          <w:b/>
          <w:bCs/>
          <w:color w:val="auto"/>
          <w:szCs w:val="24"/>
          <w:highlight w:val="none"/>
        </w:rPr>
        <w:t>格式五 法定代表人身份证明</w:t>
      </w:r>
      <w:bookmarkEnd w:id="605"/>
      <w:bookmarkEnd w:id="606"/>
    </w:p>
    <w:p w14:paraId="49B2A189">
      <w:pPr>
        <w:wordWrap w:val="0"/>
        <w:adjustRightInd w:val="0"/>
        <w:snapToGrid w:val="0"/>
        <w:spacing w:line="440" w:lineRule="exact"/>
        <w:rPr>
          <w:rFonts w:hint="default" w:asciiTheme="minorEastAsia" w:hAnsiTheme="minorEastAsia" w:eastAsiaTheme="minorEastAsia" w:cstheme="minorEastAsia"/>
          <w:b/>
          <w:snapToGrid w:val="0"/>
          <w:color w:val="auto"/>
          <w:kern w:val="0"/>
          <w:szCs w:val="24"/>
          <w:highlight w:val="none"/>
        </w:rPr>
      </w:pPr>
    </w:p>
    <w:p w14:paraId="4996DDA5">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法定代表人身份证明</w:t>
      </w:r>
    </w:p>
    <w:p w14:paraId="67CD2EF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6365C6B8">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投标人名称：</w:t>
      </w:r>
    </w:p>
    <w:p w14:paraId="2A3499FC">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姓名：性别：年龄：职务：</w:t>
      </w:r>
    </w:p>
    <w:p w14:paraId="62AF3236">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系（投标人名称）的法定代表人。</w:t>
      </w:r>
    </w:p>
    <w:p w14:paraId="6F37F709">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特此证明。</w:t>
      </w:r>
    </w:p>
    <w:p w14:paraId="135F7E50">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7F93FB3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9A87180">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234F831E">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6ADC82A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25E131C">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61C62286">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04E4EC31">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r>
        <w:rPr>
          <w:rFonts w:asciiTheme="minorEastAsia" w:hAnsiTheme="minorEastAsia" w:eastAsiaTheme="minorEastAsia" w:cstheme="minorEastAsia"/>
          <w:snapToGrid w:val="0"/>
          <w:color w:val="auto"/>
          <w:kern w:val="0"/>
          <w:szCs w:val="24"/>
          <w:highlight w:val="none"/>
        </w:rPr>
        <w:t xml:space="preserve">       </w:t>
      </w:r>
    </w:p>
    <w:p w14:paraId="38598F12">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005D39FC">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5B01EECD">
      <w:pPr>
        <w:wordWrap w:val="0"/>
        <w:adjustRightInd w:val="0"/>
        <w:snapToGrid w:val="0"/>
        <w:rPr>
          <w:rFonts w:hint="default" w:asciiTheme="minorEastAsia" w:hAnsiTheme="minorEastAsia" w:eastAsiaTheme="minorEastAsia" w:cstheme="minorEastAsia"/>
          <w:b/>
          <w:snapToGrid w:val="0"/>
          <w:color w:val="auto"/>
          <w:kern w:val="0"/>
          <w:szCs w:val="24"/>
          <w:highlight w:val="none"/>
        </w:rPr>
      </w:pPr>
      <w:r>
        <w:rPr>
          <w:rFonts w:hint="default"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508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4B12B3B">
                            <w:pPr>
                              <w:jc w:val="center"/>
                              <w:rPr>
                                <w:rFonts w:hint="default"/>
                                <w:szCs w:val="21"/>
                              </w:rPr>
                            </w:pPr>
                          </w:p>
                          <w:p w14:paraId="6560129A">
                            <w:pPr>
                              <w:jc w:val="center"/>
                              <w:rPr>
                                <w:rFonts w:hint="default"/>
                                <w:szCs w:val="21"/>
                              </w:rPr>
                            </w:pPr>
                          </w:p>
                          <w:p w14:paraId="51ADDB17">
                            <w:pPr>
                              <w:jc w:val="center"/>
                              <w:rPr>
                                <w:rFonts w:hint="default"/>
                                <w:szCs w:val="21"/>
                              </w:rPr>
                            </w:pPr>
                          </w:p>
                          <w:p w14:paraId="0C51BD1A">
                            <w:pPr>
                              <w:jc w:val="center"/>
                              <w:rPr>
                                <w:rFonts w:hint="default" w:hAnsi="宋体" w:eastAsia="宋体" w:cs="宋体"/>
                                <w:szCs w:val="21"/>
                              </w:rPr>
                            </w:pPr>
                            <w:r>
                              <w:rPr>
                                <w:rFonts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24B12B3B">
                      <w:pPr>
                        <w:jc w:val="center"/>
                        <w:rPr>
                          <w:rFonts w:hint="default"/>
                          <w:szCs w:val="21"/>
                        </w:rPr>
                      </w:pPr>
                    </w:p>
                    <w:p w14:paraId="6560129A">
                      <w:pPr>
                        <w:jc w:val="center"/>
                        <w:rPr>
                          <w:rFonts w:hint="default"/>
                          <w:szCs w:val="21"/>
                        </w:rPr>
                      </w:pPr>
                    </w:p>
                    <w:p w14:paraId="51ADDB17">
                      <w:pPr>
                        <w:jc w:val="center"/>
                        <w:rPr>
                          <w:rFonts w:hint="default"/>
                          <w:szCs w:val="21"/>
                        </w:rPr>
                      </w:pPr>
                    </w:p>
                    <w:p w14:paraId="0C51BD1A">
                      <w:pPr>
                        <w:jc w:val="center"/>
                        <w:rPr>
                          <w:rFonts w:hint="default" w:hAnsi="宋体" w:eastAsia="宋体" w:cs="宋体"/>
                          <w:szCs w:val="21"/>
                        </w:rPr>
                      </w:pPr>
                      <w:r>
                        <w:rPr>
                          <w:rFonts w:hAnsi="宋体" w:eastAsia="宋体" w:cs="宋体"/>
                          <w:szCs w:val="21"/>
                        </w:rPr>
                        <w:t>法定代表人身份证彩色扫描件正、反面</w:t>
                      </w:r>
                    </w:p>
                  </w:txbxContent>
                </v:textbox>
              </v:shape>
            </w:pict>
          </mc:Fallback>
        </mc:AlternateContent>
      </w:r>
    </w:p>
    <w:p w14:paraId="5E46B3A0">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34A74AC3">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6DF308F3">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2569F496">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2E8B3DC1">
      <w:pPr>
        <w:pStyle w:val="3"/>
        <w:spacing w:before="120"/>
        <w:rPr>
          <w:rFonts w:hint="default" w:asciiTheme="minorEastAsia" w:hAnsiTheme="minorEastAsia" w:eastAsiaTheme="minorEastAsia" w:cstheme="minorEastAsia"/>
          <w:b/>
          <w:bCs/>
          <w:color w:val="auto"/>
          <w:szCs w:val="24"/>
          <w:highlight w:val="none"/>
        </w:rPr>
      </w:pPr>
      <w:bookmarkStart w:id="607" w:name="_Toc26875"/>
      <w:bookmarkStart w:id="608" w:name="_Toc30665"/>
      <w:bookmarkStart w:id="609" w:name="_Toc16430"/>
      <w:bookmarkStart w:id="610" w:name="_Toc11284"/>
      <w:bookmarkStart w:id="611" w:name="_Toc26395"/>
      <w:r>
        <w:rPr>
          <w:rFonts w:asciiTheme="minorEastAsia" w:hAnsiTheme="minorEastAsia" w:eastAsiaTheme="minorEastAsia" w:cstheme="minorEastAsia"/>
          <w:b/>
          <w:bCs/>
          <w:color w:val="auto"/>
          <w:szCs w:val="24"/>
          <w:highlight w:val="none"/>
        </w:rPr>
        <w:t>格式六 联合体协议书</w:t>
      </w:r>
      <w:bookmarkEnd w:id="607"/>
      <w:bookmarkEnd w:id="608"/>
      <w:bookmarkEnd w:id="609"/>
      <w:bookmarkEnd w:id="610"/>
      <w:bookmarkEnd w:id="611"/>
    </w:p>
    <w:p w14:paraId="03C834A1">
      <w:pPr>
        <w:pStyle w:val="49"/>
        <w:widowControl w:val="0"/>
        <w:wordWrap w:val="0"/>
        <w:adjustRightInd w:val="0"/>
        <w:snapToGrid w:val="0"/>
        <w:spacing w:before="240" w:after="240" w:line="44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26B23B2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5388292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3E333A1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牵头人名称：</w:t>
      </w:r>
    </w:p>
    <w:p w14:paraId="7CA09684">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5E09D06C">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法定住所：</w:t>
      </w:r>
    </w:p>
    <w:p w14:paraId="60B97BA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4D267AB8">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成员二名称：</w:t>
      </w:r>
    </w:p>
    <w:p w14:paraId="494C2C0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7C40F66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法定住所：</w:t>
      </w:r>
    </w:p>
    <w:p w14:paraId="70B542D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1AF016A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5C1C5DD5">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w:t>
      </w:r>
    </w:p>
    <w:p w14:paraId="6767AC8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上述各成员单位经过友好协商，自愿组成联合体，共同参加（项目名称）（以下简称“本项目”）的投标并争取赢得本项目EPC总承包合同（以下简称合同）。现就联合体投标事宜订立如下协议：</w:t>
      </w:r>
    </w:p>
    <w:p w14:paraId="0C6D7CFD">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1．（某成员单位名称）为联合体牵头人。</w:t>
      </w:r>
    </w:p>
    <w:p w14:paraId="0A719160">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2D4C79E">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4062A702">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4．联合体各成员单位内部的职责分工如下：。</w:t>
      </w:r>
    </w:p>
    <w:p w14:paraId="7BE73367">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5．投标工作和联合体在中标后工程实施过程中的有关费用按各自承担的工作量分摊。</w:t>
      </w:r>
    </w:p>
    <w:p w14:paraId="1BA6A543">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6．联合体中标后，本联合体协议是合同的附件，对联合体各成员单位有合同约束力。</w:t>
      </w:r>
    </w:p>
    <w:p w14:paraId="725D92B3">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7．本协议书自签署之日起生效，联合体未中标或者中标时合同履行完毕后自动失效。</w:t>
      </w:r>
    </w:p>
    <w:p w14:paraId="12DF82F7">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8．本协议书一式份，联合体成员和招标人各执一份。</w:t>
      </w:r>
    </w:p>
    <w:p w14:paraId="6A86134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E2CB54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3EFABF2">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牵头人名称：（盖单位章）</w:t>
      </w:r>
    </w:p>
    <w:p w14:paraId="4155097E">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w:t>
      </w:r>
    </w:p>
    <w:p w14:paraId="3B9C2920">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7C41B084">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477B0032">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成员二名称：（盖单位章）</w:t>
      </w:r>
    </w:p>
    <w:p w14:paraId="1F9D91AC">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38021C36">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1B73367B">
      <w:pPr>
        <w:pStyle w:val="49"/>
        <w:widowControl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p>
    <w:p w14:paraId="78AFB8D9">
      <w:pPr>
        <w:pStyle w:val="49"/>
        <w:widowControl w:val="0"/>
        <w:wordWrap w:val="0"/>
        <w:adjustRightInd w:val="0"/>
        <w:snapToGrid w:val="0"/>
        <w:spacing w:line="440" w:lineRule="exact"/>
        <w:ind w:firstLine="3840" w:firstLineChars="160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p>
    <w:p w14:paraId="3054C529">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FE34E1F">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u w:val="none"/>
        </w:rPr>
      </w:pP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年</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月</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日</w:t>
      </w:r>
    </w:p>
    <w:p w14:paraId="3DC00A0E">
      <w:pPr>
        <w:pStyle w:val="49"/>
        <w:widowControl w:val="0"/>
        <w:wordWrap w:val="0"/>
        <w:adjustRightInd w:val="0"/>
        <w:snapToGrid w:val="0"/>
        <w:spacing w:line="440" w:lineRule="exact"/>
        <w:jc w:val="center"/>
        <w:rPr>
          <w:rFonts w:asciiTheme="minorEastAsia" w:hAnsiTheme="minorEastAsia" w:eastAsiaTheme="minorEastAsia" w:cstheme="minorEastAsia"/>
          <w:snapToGrid w:val="0"/>
          <w:color w:val="auto"/>
          <w:sz w:val="24"/>
          <w:szCs w:val="24"/>
          <w:highlight w:val="none"/>
        </w:rPr>
      </w:pPr>
    </w:p>
    <w:p w14:paraId="23EC899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6A91C3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79C9099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D4EF484">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说明：《联合体协议书》由委托代理人签字或盖章的，应附法定代表人签字或盖章的授权委托书。</w:t>
      </w:r>
    </w:p>
    <w:p w14:paraId="0DB4E14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2DCA3897">
      <w:pPr>
        <w:pStyle w:val="3"/>
        <w:spacing w:before="120"/>
        <w:rPr>
          <w:rFonts w:hint="default" w:asciiTheme="minorEastAsia" w:hAnsiTheme="minorEastAsia" w:eastAsiaTheme="minorEastAsia" w:cstheme="minorEastAsia"/>
          <w:b/>
          <w:bCs/>
          <w:color w:val="auto"/>
          <w:szCs w:val="24"/>
          <w:highlight w:val="none"/>
        </w:rPr>
      </w:pPr>
      <w:bookmarkStart w:id="612" w:name="_Toc31264"/>
      <w:bookmarkStart w:id="613" w:name="_Toc19280"/>
      <w:r>
        <w:rPr>
          <w:rFonts w:asciiTheme="minorEastAsia" w:hAnsiTheme="minorEastAsia" w:eastAsiaTheme="minorEastAsia" w:cstheme="minorEastAsia"/>
          <w:b/>
          <w:bCs/>
          <w:color w:val="auto"/>
          <w:szCs w:val="24"/>
          <w:highlight w:val="none"/>
        </w:rPr>
        <w:t>格式七 投标人基本情况表</w:t>
      </w:r>
      <w:bookmarkEnd w:id="612"/>
      <w:bookmarkEnd w:id="613"/>
    </w:p>
    <w:p w14:paraId="52B446DB">
      <w:pPr>
        <w:pStyle w:val="49"/>
        <w:widowControl w:val="0"/>
        <w:wordWrap w:val="0"/>
        <w:adjustRightInd w:val="0"/>
        <w:snapToGrid w:val="0"/>
        <w:spacing w:before="260" w:after="260" w:line="40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3"/>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29D9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0D6AA7C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投标人名称</w:t>
            </w:r>
          </w:p>
        </w:tc>
        <w:tc>
          <w:tcPr>
            <w:tcW w:w="7280" w:type="dxa"/>
            <w:gridSpan w:val="8"/>
            <w:vAlign w:val="center"/>
          </w:tcPr>
          <w:p w14:paraId="606DCF6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2DE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16356F6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注册地址</w:t>
            </w:r>
          </w:p>
        </w:tc>
        <w:tc>
          <w:tcPr>
            <w:tcW w:w="3514" w:type="dxa"/>
            <w:gridSpan w:val="3"/>
            <w:vAlign w:val="center"/>
          </w:tcPr>
          <w:p w14:paraId="57607B4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7003B59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邮政编码</w:t>
            </w:r>
          </w:p>
        </w:tc>
        <w:tc>
          <w:tcPr>
            <w:tcW w:w="2474" w:type="dxa"/>
            <w:gridSpan w:val="3"/>
            <w:vAlign w:val="center"/>
          </w:tcPr>
          <w:p w14:paraId="79895E0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099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vAlign w:val="center"/>
          </w:tcPr>
          <w:p w14:paraId="1F2FEEC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联系方式</w:t>
            </w:r>
          </w:p>
        </w:tc>
        <w:tc>
          <w:tcPr>
            <w:tcW w:w="1541" w:type="dxa"/>
            <w:vAlign w:val="center"/>
          </w:tcPr>
          <w:p w14:paraId="2E372F9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联系人</w:t>
            </w:r>
          </w:p>
        </w:tc>
        <w:tc>
          <w:tcPr>
            <w:tcW w:w="1973" w:type="dxa"/>
            <w:gridSpan w:val="2"/>
            <w:vAlign w:val="center"/>
          </w:tcPr>
          <w:p w14:paraId="325CE90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581FD57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  话</w:t>
            </w:r>
          </w:p>
        </w:tc>
        <w:tc>
          <w:tcPr>
            <w:tcW w:w="2474" w:type="dxa"/>
            <w:gridSpan w:val="3"/>
            <w:vAlign w:val="center"/>
          </w:tcPr>
          <w:p w14:paraId="07DF996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31E1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vAlign w:val="center"/>
          </w:tcPr>
          <w:p w14:paraId="57EE893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541" w:type="dxa"/>
            <w:vAlign w:val="center"/>
          </w:tcPr>
          <w:p w14:paraId="71D3AC2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传  真</w:t>
            </w:r>
          </w:p>
        </w:tc>
        <w:tc>
          <w:tcPr>
            <w:tcW w:w="1973" w:type="dxa"/>
            <w:gridSpan w:val="2"/>
            <w:vAlign w:val="center"/>
          </w:tcPr>
          <w:p w14:paraId="3832E90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16B5E34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电子邮箱</w:t>
            </w:r>
          </w:p>
        </w:tc>
        <w:tc>
          <w:tcPr>
            <w:tcW w:w="2474" w:type="dxa"/>
            <w:gridSpan w:val="3"/>
            <w:vAlign w:val="center"/>
          </w:tcPr>
          <w:p w14:paraId="547BB32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1390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F34FB2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单位性质</w:t>
            </w:r>
          </w:p>
        </w:tc>
        <w:tc>
          <w:tcPr>
            <w:tcW w:w="7280" w:type="dxa"/>
            <w:gridSpan w:val="8"/>
            <w:vAlign w:val="center"/>
          </w:tcPr>
          <w:p w14:paraId="1786CC8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461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2693492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法定代表人</w:t>
            </w:r>
          </w:p>
        </w:tc>
        <w:tc>
          <w:tcPr>
            <w:tcW w:w="1541" w:type="dxa"/>
            <w:vAlign w:val="center"/>
          </w:tcPr>
          <w:p w14:paraId="3114569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姓名</w:t>
            </w:r>
          </w:p>
        </w:tc>
        <w:tc>
          <w:tcPr>
            <w:tcW w:w="1140" w:type="dxa"/>
            <w:vAlign w:val="center"/>
          </w:tcPr>
          <w:p w14:paraId="599C853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Align w:val="center"/>
          </w:tcPr>
          <w:p w14:paraId="497EAB8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技术职称</w:t>
            </w:r>
          </w:p>
        </w:tc>
        <w:tc>
          <w:tcPr>
            <w:tcW w:w="1101" w:type="dxa"/>
            <w:gridSpan w:val="2"/>
            <w:vAlign w:val="center"/>
          </w:tcPr>
          <w:p w14:paraId="5B62415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735" w:type="dxa"/>
            <w:vAlign w:val="center"/>
          </w:tcPr>
          <w:p w14:paraId="1873507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电话</w:t>
            </w:r>
          </w:p>
        </w:tc>
        <w:tc>
          <w:tcPr>
            <w:tcW w:w="1470" w:type="dxa"/>
            <w:vAlign w:val="center"/>
          </w:tcPr>
          <w:p w14:paraId="169E341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098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5E0528D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成立时间</w:t>
            </w:r>
          </w:p>
        </w:tc>
        <w:tc>
          <w:tcPr>
            <w:tcW w:w="2681" w:type="dxa"/>
            <w:gridSpan w:val="2"/>
            <w:vAlign w:val="center"/>
          </w:tcPr>
          <w:p w14:paraId="1819395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4599" w:type="dxa"/>
            <w:gridSpan w:val="6"/>
            <w:vAlign w:val="center"/>
          </w:tcPr>
          <w:p w14:paraId="2120323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员工总人数（个）：</w:t>
            </w:r>
          </w:p>
        </w:tc>
      </w:tr>
      <w:tr w14:paraId="01ED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1540" w:type="dxa"/>
            <w:vAlign w:val="center"/>
          </w:tcPr>
          <w:p w14:paraId="059F9EF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企业资质</w:t>
            </w:r>
          </w:p>
          <w:p w14:paraId="0A96DB3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类型和等级</w:t>
            </w:r>
          </w:p>
        </w:tc>
        <w:tc>
          <w:tcPr>
            <w:tcW w:w="2681" w:type="dxa"/>
            <w:gridSpan w:val="2"/>
            <w:vAlign w:val="center"/>
          </w:tcPr>
          <w:p w14:paraId="045040B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restart"/>
            <w:vAlign w:val="center"/>
          </w:tcPr>
          <w:p w14:paraId="76E4EE0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其中</w:t>
            </w:r>
          </w:p>
        </w:tc>
        <w:tc>
          <w:tcPr>
            <w:tcW w:w="1836" w:type="dxa"/>
            <w:gridSpan w:val="3"/>
            <w:vAlign w:val="center"/>
          </w:tcPr>
          <w:p w14:paraId="3D6BFD9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项目经理</w:t>
            </w:r>
          </w:p>
        </w:tc>
        <w:tc>
          <w:tcPr>
            <w:tcW w:w="1470" w:type="dxa"/>
            <w:vAlign w:val="center"/>
          </w:tcPr>
          <w:p w14:paraId="61433FB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FBA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0E36935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营业执照号</w:t>
            </w:r>
          </w:p>
        </w:tc>
        <w:tc>
          <w:tcPr>
            <w:tcW w:w="2681" w:type="dxa"/>
            <w:gridSpan w:val="2"/>
            <w:vAlign w:val="center"/>
          </w:tcPr>
          <w:p w14:paraId="1E5DEF3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0FE2552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01E2E3B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高级职称人员</w:t>
            </w:r>
          </w:p>
        </w:tc>
        <w:tc>
          <w:tcPr>
            <w:tcW w:w="1470" w:type="dxa"/>
            <w:vAlign w:val="center"/>
          </w:tcPr>
          <w:p w14:paraId="13E7D93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6EF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296040B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注册资金</w:t>
            </w:r>
          </w:p>
        </w:tc>
        <w:tc>
          <w:tcPr>
            <w:tcW w:w="2681" w:type="dxa"/>
            <w:gridSpan w:val="2"/>
            <w:vAlign w:val="center"/>
          </w:tcPr>
          <w:p w14:paraId="28353BB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113D28B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651DBD3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中级职称人员</w:t>
            </w:r>
          </w:p>
        </w:tc>
        <w:tc>
          <w:tcPr>
            <w:tcW w:w="1470" w:type="dxa"/>
            <w:vAlign w:val="center"/>
          </w:tcPr>
          <w:p w14:paraId="536CABF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3118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vAlign w:val="center"/>
          </w:tcPr>
          <w:p w14:paraId="0A68346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F17AEA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开户银行</w:t>
            </w:r>
          </w:p>
        </w:tc>
        <w:tc>
          <w:tcPr>
            <w:tcW w:w="2681" w:type="dxa"/>
            <w:gridSpan w:val="2"/>
            <w:vAlign w:val="center"/>
          </w:tcPr>
          <w:p w14:paraId="5BFE2E8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2FA0DB5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76316E9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初级职称人员</w:t>
            </w:r>
          </w:p>
        </w:tc>
        <w:tc>
          <w:tcPr>
            <w:tcW w:w="1470" w:type="dxa"/>
            <w:vAlign w:val="center"/>
          </w:tcPr>
          <w:p w14:paraId="79285E2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F42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vAlign w:val="center"/>
          </w:tcPr>
          <w:p w14:paraId="1917878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4A4AA3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银行账号</w:t>
            </w:r>
          </w:p>
        </w:tc>
        <w:tc>
          <w:tcPr>
            <w:tcW w:w="2681" w:type="dxa"/>
            <w:gridSpan w:val="2"/>
            <w:vAlign w:val="center"/>
          </w:tcPr>
          <w:p w14:paraId="354792E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6917A99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157BBE6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技术员</w:t>
            </w:r>
          </w:p>
        </w:tc>
        <w:tc>
          <w:tcPr>
            <w:tcW w:w="1470" w:type="dxa"/>
            <w:vAlign w:val="center"/>
          </w:tcPr>
          <w:p w14:paraId="3648E99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23D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1540" w:type="dxa"/>
            <w:vAlign w:val="center"/>
          </w:tcPr>
          <w:p w14:paraId="3877351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经营范围</w:t>
            </w:r>
          </w:p>
        </w:tc>
        <w:tc>
          <w:tcPr>
            <w:tcW w:w="7280" w:type="dxa"/>
            <w:gridSpan w:val="8"/>
            <w:vAlign w:val="center"/>
          </w:tcPr>
          <w:p w14:paraId="00E4F545">
            <w:pPr>
              <w:pStyle w:val="45"/>
              <w:keepNext w:val="0"/>
              <w:keepLines w:val="0"/>
              <w:suppressLineNumbers w:val="0"/>
              <w:wordWrap w:val="0"/>
              <w:adjustRightInd w:val="0"/>
              <w:snapToGrid w:val="0"/>
              <w:spacing w:before="0" w:beforeAutospacing="0" w:after="0" w:afterAutospacing="0"/>
              <w:ind w:left="0" w:right="0"/>
              <w:jc w:val="left"/>
              <w:rPr>
                <w:rFonts w:hint="default" w:asciiTheme="minorEastAsia" w:hAnsiTheme="minorEastAsia" w:eastAsiaTheme="minorEastAsia" w:cstheme="minorEastAsia"/>
                <w:snapToGrid w:val="0"/>
                <w:color w:val="auto"/>
                <w:kern w:val="0"/>
                <w:sz w:val="24"/>
                <w:highlight w:val="none"/>
              </w:rPr>
            </w:pPr>
          </w:p>
        </w:tc>
      </w:tr>
      <w:tr w14:paraId="4720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vAlign w:val="center"/>
          </w:tcPr>
          <w:p w14:paraId="1DAF22C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关联企业情况</w:t>
            </w:r>
          </w:p>
        </w:tc>
        <w:tc>
          <w:tcPr>
            <w:tcW w:w="7280" w:type="dxa"/>
            <w:gridSpan w:val="8"/>
            <w:vAlign w:val="center"/>
          </w:tcPr>
          <w:p w14:paraId="54F28AA1">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包括但不限于与投标人存在以下关系的不同单位：</w:t>
            </w:r>
          </w:p>
          <w:p w14:paraId="2E04CC03">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1．法定代表人为同一人的。</w:t>
            </w:r>
          </w:p>
          <w:p w14:paraId="35BE189F">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2．存在控股、管理关系的。</w:t>
            </w:r>
          </w:p>
          <w:p w14:paraId="373E75BA">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3．主要人员相互任职的。</w:t>
            </w:r>
          </w:p>
        </w:tc>
      </w:tr>
      <w:tr w14:paraId="3092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40" w:type="dxa"/>
            <w:vAlign w:val="center"/>
          </w:tcPr>
          <w:p w14:paraId="7CE1453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备注</w:t>
            </w:r>
          </w:p>
        </w:tc>
        <w:tc>
          <w:tcPr>
            <w:tcW w:w="7280" w:type="dxa"/>
            <w:gridSpan w:val="8"/>
            <w:vAlign w:val="center"/>
          </w:tcPr>
          <w:p w14:paraId="2CA946C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bl>
    <w:p w14:paraId="11EDC2EE">
      <w:pPr>
        <w:pStyle w:val="45"/>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说明：</w:t>
      </w:r>
    </w:p>
    <w:bookmarkEnd w:id="556"/>
    <w:bookmarkEnd w:id="557"/>
    <w:bookmarkEnd w:id="558"/>
    <w:bookmarkEnd w:id="559"/>
    <w:bookmarkEnd w:id="560"/>
    <w:p w14:paraId="50A3370C">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bookmarkStart w:id="614" w:name="_Toc1659"/>
      <w:bookmarkStart w:id="615" w:name="_Toc535300004"/>
      <w:bookmarkStart w:id="616" w:name="_Toc534641863"/>
      <w:bookmarkStart w:id="617" w:name="_Toc118541763"/>
      <w:bookmarkStart w:id="618" w:name="_Toc210101349"/>
      <w:bookmarkStart w:id="619" w:name="_Toc48547015"/>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7A4C809A">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（1）企业营业执照、资质证书、安全生产许可证的扫描件</w:t>
      </w:r>
      <w:r>
        <w:rPr>
          <w:rFonts w:hint="eastAsia" w:asciiTheme="minorEastAsia" w:hAnsiTheme="minorEastAsia" w:eastAsiaTheme="minorEastAsia" w:cstheme="minorEastAsia"/>
          <w:b/>
          <w:bCs/>
          <w:snapToGrid w:val="0"/>
          <w:color w:val="auto"/>
          <w:sz w:val="21"/>
          <w:szCs w:val="21"/>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w:t>
      </w:r>
      <w:r>
        <w:rPr>
          <w:rFonts w:hint="eastAsia" w:asciiTheme="minorEastAsia" w:hAnsiTheme="minorEastAsia" w:eastAsiaTheme="minorEastAsia" w:cstheme="minorEastAsia"/>
          <w:b/>
          <w:bCs/>
          <w:strike w:val="0"/>
          <w:dstrike w:val="0"/>
          <w:snapToGrid w:val="0"/>
          <w:color w:val="auto"/>
          <w:sz w:val="21"/>
          <w:szCs w:val="21"/>
          <w:highlight w:val="none"/>
          <w:lang w:val="en-US" w:eastAsia="zh-CN"/>
        </w:rPr>
        <w:t>项目</w:t>
      </w:r>
      <w:r>
        <w:rPr>
          <w:rFonts w:hint="eastAsia" w:asciiTheme="minorEastAsia" w:hAnsiTheme="minorEastAsia" w:eastAsiaTheme="minorEastAsia" w:cstheme="minorEastAsia"/>
          <w:b/>
          <w:bCs/>
          <w:snapToGrid w:val="0"/>
          <w:color w:val="auto"/>
          <w:sz w:val="21"/>
          <w:szCs w:val="21"/>
          <w:highlight w:val="none"/>
        </w:rPr>
        <w:t>招标公告发布之日起至开标前。如中标后，投标单位安全生产许可证发生被暂扣情形，需双方另行协商）；</w:t>
      </w:r>
    </w:p>
    <w:p w14:paraId="4A839C6E">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47D3A044">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2137D177">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092BD1D5">
      <w:pPr>
        <w:pStyle w:val="3"/>
        <w:spacing w:before="120"/>
        <w:rPr>
          <w:rFonts w:hint="default" w:asciiTheme="minorEastAsia" w:hAnsiTheme="minorEastAsia" w:eastAsiaTheme="minorEastAsia" w:cstheme="minorEastAsia"/>
          <w:b/>
          <w:bCs/>
          <w:color w:val="auto"/>
          <w:szCs w:val="24"/>
          <w:highlight w:val="none"/>
        </w:rPr>
      </w:pPr>
      <w:bookmarkStart w:id="620" w:name="_Toc13553"/>
      <w:r>
        <w:rPr>
          <w:rFonts w:asciiTheme="minorEastAsia" w:hAnsiTheme="minorEastAsia" w:eastAsiaTheme="minorEastAsia" w:cstheme="minorEastAsia"/>
          <w:b/>
          <w:bCs/>
          <w:color w:val="auto"/>
          <w:szCs w:val="24"/>
          <w:highlight w:val="none"/>
        </w:rPr>
        <w:t>格式八 项目经理简历表</w:t>
      </w:r>
      <w:bookmarkEnd w:id="614"/>
      <w:bookmarkEnd w:id="620"/>
    </w:p>
    <w:p w14:paraId="23BD3869">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6B5CB3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9159A2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6929CF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554169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37341A7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7D29221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18FC867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E8B6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8CA11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F1FA11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4DD771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6DE2F89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560D04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4311CD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C99FB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366FB4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2742B5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046875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7E82871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6732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3D93330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以项目经理身份参与过的主要业绩（已完工项目）</w:t>
            </w:r>
          </w:p>
        </w:tc>
      </w:tr>
      <w:tr w14:paraId="3A4B1A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F3C76A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C6B02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38E4C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3349FA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2ADD726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1735CC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1AA01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29A5BD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6C7C57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AAC28F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774BA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49E471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0B2F290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5CAC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4F0289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078079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4656928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5597D4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44C0958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35B833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4479C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9AEF45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24AB39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A927CE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26ADD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8CC5CD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36A76A0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27F07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BD31A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BE3FF2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8F690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BCE672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329296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7CDF82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5D4C1208">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项目经理简历表</w:t>
      </w:r>
    </w:p>
    <w:p w14:paraId="41AC2F4B">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58087A05">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25F21734">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项目经理：（签字）</w:t>
      </w:r>
    </w:p>
    <w:p w14:paraId="23225DD3">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4B3E74D0">
      <w:pPr>
        <w:wordWrap w:val="0"/>
        <w:adjustRightInd w:val="0"/>
        <w:snapToGrid w:val="0"/>
        <w:spacing w:line="400" w:lineRule="exact"/>
        <w:ind w:firstLine="7524" w:firstLineChars="3135"/>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1401B6B9">
      <w:pPr>
        <w:rPr>
          <w:rFonts w:hint="default"/>
          <w:color w:val="auto"/>
          <w:highlight w:val="none"/>
        </w:rPr>
      </w:pPr>
    </w:p>
    <w:p w14:paraId="7E05727D">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说明：《项目经理简历表》后应附拟派项目经理以下资料：</w:t>
      </w:r>
    </w:p>
    <w:p w14:paraId="7CE3BD30">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1．身份证彩色扫描件；</w:t>
      </w:r>
    </w:p>
    <w:p w14:paraId="48A0E33C">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2．建造师电子注册证书（在使用有效期内的有效电子证书）彩色扫描件；</w:t>
      </w:r>
    </w:p>
    <w:p w14:paraId="60964E12">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3．B类安全生产考核合格证书彩色扫描件或广东省建筑施工企业管理人员安全生产考核系统考核合格信息彩色扫描件；</w:t>
      </w:r>
    </w:p>
    <w:p w14:paraId="037B0606">
      <w:pPr>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；拟派项目经理为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p>
    <w:p w14:paraId="03B56AD9">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auto"/>
          <w:kern w:val="0"/>
          <w:szCs w:val="24"/>
          <w:highlight w:val="none"/>
        </w:rPr>
      </w:pPr>
      <w:bookmarkStart w:id="621" w:name="_Toc5709"/>
      <w:r>
        <w:rPr>
          <w:rFonts w:asciiTheme="minorEastAsia" w:hAnsiTheme="minorEastAsia" w:eastAsiaTheme="minorEastAsia" w:cstheme="minorEastAsia"/>
          <w:color w:val="auto"/>
          <w:szCs w:val="24"/>
          <w:highlight w:val="none"/>
        </w:rPr>
        <w:t>5．“进粤企业和人员诚信信息登记平台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Cs w:val="24"/>
          <w:highlight w:val="none"/>
          <w:lang w:val="zh-CN"/>
        </w:rPr>
        <w:t>（若组成联合体时，由联合体牵头人提供）</w:t>
      </w:r>
      <w:bookmarkEnd w:id="621"/>
    </w:p>
    <w:p w14:paraId="264BE554">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462D502D"/>
    <w:p w14:paraId="19E766C8">
      <w:pPr>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  </w:t>
      </w:r>
    </w:p>
    <w:p w14:paraId="1B0BD837">
      <w:pPr>
        <w:rPr>
          <w:rFonts w:hint="default"/>
          <w:lang w:val="en-US" w:eastAsia="zh-CN"/>
        </w:rPr>
      </w:pPr>
    </w:p>
    <w:p w14:paraId="0F2041E7">
      <w:pPr>
        <w:pStyle w:val="6"/>
        <w:rPr>
          <w:rFonts w:hint="default"/>
          <w:color w:val="auto"/>
          <w:highlight w:val="none"/>
        </w:rPr>
      </w:pPr>
    </w:p>
    <w:p w14:paraId="6506CE8B">
      <w:pPr>
        <w:pStyle w:val="3"/>
        <w:spacing w:before="120"/>
        <w:rPr>
          <w:rFonts w:hint="default" w:asciiTheme="minorEastAsia" w:hAnsiTheme="minorEastAsia" w:eastAsiaTheme="minorEastAsia" w:cstheme="minorEastAsia"/>
          <w:b/>
          <w:bCs/>
          <w:color w:val="auto"/>
          <w:szCs w:val="24"/>
          <w:highlight w:val="none"/>
        </w:rPr>
      </w:pPr>
      <w:bookmarkStart w:id="622" w:name="_Toc29243"/>
      <w:r>
        <w:rPr>
          <w:rFonts w:asciiTheme="minorEastAsia" w:hAnsiTheme="minorEastAsia" w:eastAsiaTheme="minorEastAsia" w:cstheme="minorEastAsia"/>
          <w:b/>
          <w:bCs/>
          <w:color w:val="auto"/>
          <w:szCs w:val="24"/>
          <w:highlight w:val="none"/>
        </w:rPr>
        <w:t>格式九 项目经理任职声明</w:t>
      </w:r>
      <w:bookmarkEnd w:id="622"/>
    </w:p>
    <w:p w14:paraId="22AD2985">
      <w:pPr>
        <w:wordWrap w:val="0"/>
        <w:adjustRightInd w:val="0"/>
        <w:snapToGrid w:val="0"/>
        <w:spacing w:line="440" w:lineRule="exact"/>
        <w:jc w:val="left"/>
        <w:rPr>
          <w:rFonts w:hint="default" w:asciiTheme="minorEastAsia" w:hAnsiTheme="minorEastAsia" w:eastAsiaTheme="minorEastAsia" w:cstheme="minorEastAsia"/>
          <w:b/>
          <w:snapToGrid w:val="0"/>
          <w:color w:val="auto"/>
          <w:kern w:val="0"/>
          <w:szCs w:val="24"/>
          <w:highlight w:val="none"/>
        </w:rPr>
      </w:pPr>
    </w:p>
    <w:p w14:paraId="43224E9B">
      <w:pPr>
        <w:wordWrap w:val="0"/>
        <w:adjustRightInd w:val="0"/>
        <w:snapToGrid w:val="0"/>
        <w:spacing w:before="260" w:after="260"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项目经理任职声明</w:t>
      </w:r>
    </w:p>
    <w:p w14:paraId="1EC348DE">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677EEF08">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bookmarkStart w:id="623" w:name="_Toc21599"/>
      <w:r>
        <w:rPr>
          <w:rFonts w:asciiTheme="minorEastAsia" w:hAnsiTheme="minorEastAsia" w:eastAsiaTheme="minorEastAsia" w:cstheme="minorEastAsia"/>
          <w:snapToGrid w:val="0"/>
          <w:color w:val="auto"/>
          <w:kern w:val="0"/>
          <w:szCs w:val="24"/>
          <w:highlight w:val="none"/>
        </w:rPr>
        <w:t>致：（招标人名称）：</w:t>
      </w:r>
    </w:p>
    <w:p w14:paraId="2E86E5F6">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我方在此声明，我方拟派往（项目名称）的项目经理（项目经理姓名）现阶段没有担任任何在施（包括已中标未开工、已开工未竣工）建设工程项目的项目经理。</w:t>
      </w:r>
    </w:p>
    <w:p w14:paraId="13F60C73">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我方保证上述信息的真实和准确，并愿意承担因我方就此弄虚作假所引起的一切法律后果。</w:t>
      </w:r>
    </w:p>
    <w:p w14:paraId="744B0B92">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296509A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特此承诺　　</w:t>
      </w:r>
    </w:p>
    <w:p w14:paraId="2BE1DCDC">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18723FD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0B9373E6">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66611849">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23701EFC">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6055AC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5566409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32BDAD11">
      <w:pPr>
        <w:wordWrap w:val="0"/>
        <w:adjustRightInd w:val="0"/>
        <w:snapToGrid w:val="0"/>
        <w:spacing w:line="440" w:lineRule="exact"/>
        <w:jc w:val="center"/>
        <w:rPr>
          <w:rFonts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799D4EAB">
      <w:pPr>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0D5A028B">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4C563B40">
      <w:pPr>
        <w:rPr>
          <w:rFonts w:hint="default"/>
        </w:rPr>
      </w:pPr>
    </w:p>
    <w:p w14:paraId="3B44EE9F">
      <w:pPr>
        <w:pStyle w:val="3"/>
        <w:spacing w:before="120"/>
        <w:rPr>
          <w:rFonts w:hint="default" w:asciiTheme="minorEastAsia" w:hAnsiTheme="minorEastAsia" w:eastAsiaTheme="minorEastAsia" w:cstheme="minorEastAsia"/>
          <w:b/>
          <w:bCs/>
          <w:color w:val="auto"/>
          <w:szCs w:val="24"/>
          <w:highlight w:val="none"/>
        </w:rPr>
      </w:pPr>
      <w:bookmarkStart w:id="624" w:name="_Toc6982"/>
      <w:r>
        <w:rPr>
          <w:rFonts w:asciiTheme="minorEastAsia" w:hAnsiTheme="minorEastAsia" w:eastAsiaTheme="minorEastAsia" w:cstheme="minorEastAsia"/>
          <w:b/>
          <w:bCs/>
          <w:color w:val="auto"/>
          <w:szCs w:val="24"/>
          <w:highlight w:val="none"/>
        </w:rPr>
        <w:t>格式十 项目技术负责人简历表</w:t>
      </w:r>
      <w:bookmarkEnd w:id="623"/>
      <w:bookmarkEnd w:id="624"/>
    </w:p>
    <w:p w14:paraId="24C0DCA2">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BD58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6254D9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794CA8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0AE89D6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02BAC4A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218F32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3B9EF2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C5FE6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08A9AA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196979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5AB076E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41DA377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5CFF247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659860D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8A180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6F8B9F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1000C9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1F6A4B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343751E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E337C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7A941D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以项目技术负责人身份参与过的主要业绩（已完工项目）</w:t>
            </w:r>
          </w:p>
        </w:tc>
      </w:tr>
      <w:tr w14:paraId="484B3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2AE1A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94C129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80E2F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83FE1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6D4D6C9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098E832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2BE84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F6B12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FD16D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2B01DE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BF4C8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252037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2AD10EA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EF99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B483DF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E45A38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CA750A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6BA7C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530CE16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B5A28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42BC0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47800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F4B75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40D13DD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D453BA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3E7A79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4232E2B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2F895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684AD7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18A15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4990D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4C3B8D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1F2C49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3DCD9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07DCCAAD">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项目技术负责人简历表</w:t>
      </w:r>
    </w:p>
    <w:p w14:paraId="3E8FAFED">
      <w:pPr>
        <w:pStyle w:val="50"/>
        <w:wordWrap w:val="0"/>
        <w:adjustRightInd w:val="0"/>
        <w:snapToGrid w:val="0"/>
        <w:spacing w:line="440" w:lineRule="exact"/>
        <w:jc w:val="both"/>
        <w:rPr>
          <w:rFonts w:asciiTheme="minorEastAsia" w:hAnsiTheme="minorEastAsia" w:eastAsiaTheme="minorEastAsia" w:cstheme="minorEastAsia"/>
          <w:snapToGrid w:val="0"/>
          <w:color w:val="auto"/>
          <w:kern w:val="0"/>
          <w:sz w:val="24"/>
          <w:szCs w:val="24"/>
          <w:highlight w:val="none"/>
        </w:rPr>
      </w:pPr>
    </w:p>
    <w:p w14:paraId="45F1348D">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项目技术负责人：（签字）</w:t>
      </w:r>
    </w:p>
    <w:p w14:paraId="4DF68D61">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5E5A126D">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6D4825AD">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058837A3">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说明：《项目技术负责人简历表》后应附拟派项目技术负责人以下资料：</w:t>
      </w:r>
    </w:p>
    <w:p w14:paraId="2AD3229F">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1．身份证彩色扫描件；</w:t>
      </w:r>
    </w:p>
    <w:p w14:paraId="5CA03D22">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2．职称证彩色扫描件；</w:t>
      </w:r>
    </w:p>
    <w:p w14:paraId="0CEFE968">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；拟派技术负责人为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6F37F7DB">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 “进粤企业和人员诚信信息登记平台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Cs w:val="24"/>
          <w:highlight w:val="none"/>
          <w:lang w:val="zh-CN"/>
        </w:rPr>
        <w:t>（若组成联合体时，由联合体牵头人提供）</w:t>
      </w:r>
    </w:p>
    <w:p w14:paraId="0E055B68">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1863A177">
      <w:pPr>
        <w:pStyle w:val="3"/>
        <w:spacing w:before="120"/>
        <w:rPr>
          <w:rFonts w:hint="default" w:asciiTheme="minorEastAsia" w:hAnsiTheme="minorEastAsia" w:eastAsiaTheme="minorEastAsia" w:cstheme="minorEastAsia"/>
          <w:b/>
          <w:bCs/>
          <w:color w:val="auto"/>
          <w:szCs w:val="24"/>
          <w:highlight w:val="none"/>
        </w:rPr>
      </w:pPr>
      <w:bookmarkStart w:id="625" w:name="_Toc20251"/>
      <w:bookmarkStart w:id="626" w:name="_Toc31518"/>
      <w:r>
        <w:rPr>
          <w:rFonts w:asciiTheme="minorEastAsia" w:hAnsiTheme="minorEastAsia" w:eastAsiaTheme="minorEastAsia" w:cstheme="minorEastAsia"/>
          <w:b/>
          <w:bCs/>
          <w:color w:val="auto"/>
          <w:szCs w:val="24"/>
          <w:highlight w:val="none"/>
        </w:rPr>
        <w:t>格式十一 项目设计负责人简历表</w:t>
      </w:r>
      <w:bookmarkEnd w:id="625"/>
      <w:bookmarkEnd w:id="626"/>
    </w:p>
    <w:p w14:paraId="6E44D7DE">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0B09EA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3C594A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F265B2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1E523E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4EC8FE0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75E2C36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121BFF2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20A3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29BA2B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AC25D1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5FBAAD5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0AE8A9E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18C7FA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1BEE614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E23C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6BC58C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26D2D85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4806124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2B6393A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9C2B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4CE251C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以项目设计负责人身份参与过的主要业绩（已完工项目）</w:t>
            </w:r>
          </w:p>
        </w:tc>
      </w:tr>
      <w:tr w14:paraId="2C7E13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C9FE60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99CBDF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45B6AF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9A63E2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2CC2386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3361A3E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245E8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D198C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08C2AC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A1C290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6C6015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1D00E68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0F762CA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9E4DD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2E9188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072806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E87D5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A74786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7EB7CEC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554246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576CF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334402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F4C162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D390B7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0B0E0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3373BA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85F68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DFEFF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B7FBD3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A9C8DA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5C5E91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AC3ED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49C14C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4239F16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CC22A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D12E87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A0DA8B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3AC9FD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BB8FC1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CF71CB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0B5354D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0DBA2EAA">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项目设计负责人简历表</w:t>
      </w:r>
    </w:p>
    <w:p w14:paraId="3D4C992E">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5C3A7848">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11FF836D">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项目设计负责人：（签字）</w:t>
      </w:r>
    </w:p>
    <w:p w14:paraId="24DFC4C4">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3E75E84">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53C8713B">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79BAA193">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0AB299E0">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说明：《项目设计负责人简历表》后应附拟派项目设计负责人以下资料：</w:t>
      </w:r>
    </w:p>
    <w:p w14:paraId="3291C017">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1．身份证彩色扫描件；</w:t>
      </w:r>
    </w:p>
    <w:p w14:paraId="6E4FAE06">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2．职称证彩色扫描件；</w:t>
      </w:r>
    </w:p>
    <w:p w14:paraId="2BFBD8B3">
      <w:pPr>
        <w:wordWrap w:val="0"/>
        <w:adjustRightInd w:val="0"/>
        <w:snapToGrid w:val="0"/>
        <w:spacing w:line="400" w:lineRule="exact"/>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snapToGrid w:val="0"/>
          <w:color w:val="auto"/>
          <w:kern w:val="0"/>
          <w:szCs w:val="24"/>
          <w:highlight w:val="none"/>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件；拟派设计负责人为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bookmarkEnd w:id="615"/>
      <w:bookmarkEnd w:id="616"/>
      <w:bookmarkEnd w:id="617"/>
      <w:bookmarkEnd w:id="618"/>
      <w:bookmarkEnd w:id="619"/>
    </w:p>
    <w:p w14:paraId="6B0088E0">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4．“进粤企业和人员诚信信息登记平台”个人信息情况截图。（适用于省外建筑企业）。</w:t>
      </w:r>
      <w:r>
        <w:rPr>
          <w:rFonts w:hint="eastAsia" w:hAnsi="宋体" w:eastAsia="宋体" w:cs="宋体"/>
          <w:color w:val="auto"/>
          <w:sz w:val="24"/>
          <w:szCs w:val="24"/>
          <w:highlight w:val="none"/>
          <w:lang w:val="zh-CN" w:eastAsia="zh-CN"/>
        </w:rPr>
        <w:t>（若组成联合体时，由</w:t>
      </w:r>
      <w:r>
        <w:rPr>
          <w:rFonts w:hint="eastAsia" w:hAnsi="宋体" w:eastAsia="宋体" w:cs="宋体"/>
          <w:color w:val="auto"/>
          <w:sz w:val="24"/>
          <w:szCs w:val="24"/>
          <w:highlight w:val="none"/>
          <w:lang w:val="en-US" w:eastAsia="zh-CN"/>
        </w:rPr>
        <w:t>设计单位</w:t>
      </w:r>
      <w:r>
        <w:rPr>
          <w:rFonts w:hint="eastAsia" w:hAnsi="宋体" w:eastAsia="宋体" w:cs="宋体"/>
          <w:color w:val="auto"/>
          <w:sz w:val="24"/>
          <w:szCs w:val="24"/>
          <w:highlight w:val="none"/>
          <w:lang w:val="zh-CN" w:eastAsia="zh-CN"/>
        </w:rPr>
        <w:t>提供）</w:t>
      </w:r>
    </w:p>
    <w:p w14:paraId="6E440A56">
      <w:pPr>
        <w:pStyle w:val="3"/>
        <w:spacing w:before="120"/>
        <w:rPr>
          <w:rFonts w:hint="default" w:asciiTheme="minorEastAsia" w:hAnsiTheme="minorEastAsia" w:eastAsiaTheme="minorEastAsia" w:cstheme="minorEastAsia"/>
          <w:bCs/>
          <w:snapToGrid w:val="0"/>
          <w:color w:val="auto"/>
          <w:szCs w:val="24"/>
          <w:highlight w:val="none"/>
        </w:rPr>
      </w:pPr>
      <w:r>
        <w:rPr>
          <w:rFonts w:asciiTheme="minorEastAsia" w:hAnsiTheme="minorEastAsia" w:eastAsiaTheme="minorEastAsia" w:cstheme="minorEastAsia"/>
          <w:bCs/>
          <w:color w:val="auto"/>
          <w:szCs w:val="24"/>
          <w:highlight w:val="none"/>
        </w:rPr>
        <w:br w:type="page"/>
      </w:r>
      <w:bookmarkStart w:id="627" w:name="_Toc10080"/>
      <w:bookmarkStart w:id="628" w:name="_Toc29098"/>
      <w:bookmarkStart w:id="629" w:name="_Toc8264"/>
      <w:r>
        <w:rPr>
          <w:rFonts w:asciiTheme="minorEastAsia" w:hAnsiTheme="minorEastAsia" w:eastAsiaTheme="minorEastAsia" w:cstheme="minorEastAsia"/>
          <w:b/>
          <w:snapToGrid w:val="0"/>
          <w:color w:val="auto"/>
          <w:szCs w:val="24"/>
          <w:highlight w:val="none"/>
        </w:rPr>
        <w:t>格式十二 项目管理机构组成表</w:t>
      </w:r>
      <w:bookmarkEnd w:id="627"/>
      <w:bookmarkEnd w:id="628"/>
    </w:p>
    <w:p w14:paraId="49B58331">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项目管理机构组成表</w:t>
      </w:r>
    </w:p>
    <w:tbl>
      <w:tblPr>
        <w:tblStyle w:val="23"/>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3FA9E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vAlign w:val="center"/>
          </w:tcPr>
          <w:p w14:paraId="529F5C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424" w:type="dxa"/>
            <w:tcBorders>
              <w:top w:val="single" w:color="auto" w:sz="6" w:space="0"/>
              <w:left w:val="single" w:color="auto" w:sz="6" w:space="0"/>
              <w:bottom w:val="single" w:color="auto" w:sz="6" w:space="0"/>
              <w:right w:val="single" w:color="auto" w:sz="6" w:space="0"/>
            </w:tcBorders>
            <w:vAlign w:val="center"/>
          </w:tcPr>
          <w:p w14:paraId="0B72A7C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职务</w:t>
            </w:r>
          </w:p>
        </w:tc>
        <w:tc>
          <w:tcPr>
            <w:tcW w:w="1358" w:type="dxa"/>
            <w:tcBorders>
              <w:top w:val="single" w:color="auto" w:sz="6" w:space="0"/>
              <w:left w:val="single" w:color="auto" w:sz="6" w:space="0"/>
              <w:bottom w:val="single" w:color="auto" w:sz="6" w:space="0"/>
              <w:right w:val="single" w:color="auto" w:sz="6" w:space="0"/>
            </w:tcBorders>
            <w:vAlign w:val="center"/>
          </w:tcPr>
          <w:p w14:paraId="7346AA5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姓名</w:t>
            </w:r>
          </w:p>
        </w:tc>
        <w:tc>
          <w:tcPr>
            <w:tcW w:w="902" w:type="dxa"/>
            <w:tcBorders>
              <w:top w:val="single" w:color="auto" w:sz="6" w:space="0"/>
              <w:left w:val="single" w:color="auto" w:sz="6" w:space="0"/>
              <w:bottom w:val="single" w:color="auto" w:sz="6" w:space="0"/>
              <w:right w:val="single" w:color="auto" w:sz="6" w:space="0"/>
            </w:tcBorders>
            <w:vAlign w:val="center"/>
          </w:tcPr>
          <w:p w14:paraId="5D19B2C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性别</w:t>
            </w:r>
          </w:p>
        </w:tc>
        <w:tc>
          <w:tcPr>
            <w:tcW w:w="819" w:type="dxa"/>
            <w:tcBorders>
              <w:top w:val="single" w:color="auto" w:sz="6" w:space="0"/>
              <w:left w:val="single" w:color="auto" w:sz="6" w:space="0"/>
              <w:bottom w:val="single" w:color="auto" w:sz="6" w:space="0"/>
              <w:right w:val="single" w:color="auto" w:sz="6" w:space="0"/>
            </w:tcBorders>
            <w:vAlign w:val="center"/>
          </w:tcPr>
          <w:p w14:paraId="383D837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年龄</w:t>
            </w:r>
          </w:p>
        </w:tc>
        <w:tc>
          <w:tcPr>
            <w:tcW w:w="1541" w:type="dxa"/>
            <w:tcBorders>
              <w:top w:val="single" w:color="auto" w:sz="6" w:space="0"/>
              <w:left w:val="single" w:color="auto" w:sz="6" w:space="0"/>
              <w:bottom w:val="single" w:color="auto" w:sz="6" w:space="0"/>
              <w:right w:val="single" w:color="auto" w:sz="6" w:space="0"/>
            </w:tcBorders>
            <w:vAlign w:val="center"/>
          </w:tcPr>
          <w:p w14:paraId="6783391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职称</w:t>
            </w:r>
          </w:p>
        </w:tc>
        <w:tc>
          <w:tcPr>
            <w:tcW w:w="2169" w:type="dxa"/>
            <w:tcBorders>
              <w:top w:val="single" w:color="auto" w:sz="6" w:space="0"/>
              <w:left w:val="single" w:color="auto" w:sz="6" w:space="0"/>
              <w:bottom w:val="single" w:color="auto" w:sz="6" w:space="0"/>
              <w:right w:val="single" w:color="auto" w:sz="6" w:space="0"/>
            </w:tcBorders>
            <w:vAlign w:val="center"/>
          </w:tcPr>
          <w:p w14:paraId="44630C3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备注</w:t>
            </w:r>
          </w:p>
        </w:tc>
      </w:tr>
      <w:tr w14:paraId="5F3F4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vAlign w:val="center"/>
          </w:tcPr>
          <w:p w14:paraId="4C2308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424" w:type="dxa"/>
            <w:tcBorders>
              <w:top w:val="single" w:color="auto" w:sz="6" w:space="0"/>
              <w:left w:val="single" w:color="auto" w:sz="6" w:space="0"/>
              <w:right w:val="single" w:color="auto" w:sz="6" w:space="0"/>
            </w:tcBorders>
            <w:vAlign w:val="center"/>
          </w:tcPr>
          <w:p w14:paraId="650B9D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项目经理</w:t>
            </w:r>
          </w:p>
        </w:tc>
        <w:tc>
          <w:tcPr>
            <w:tcW w:w="1358" w:type="dxa"/>
            <w:tcBorders>
              <w:top w:val="single" w:color="auto" w:sz="6" w:space="0"/>
              <w:left w:val="single" w:color="auto" w:sz="6" w:space="0"/>
              <w:bottom w:val="single" w:color="auto" w:sz="6" w:space="0"/>
              <w:right w:val="single" w:color="auto" w:sz="6" w:space="0"/>
            </w:tcBorders>
            <w:vAlign w:val="center"/>
          </w:tcPr>
          <w:p w14:paraId="4B933F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1ADBB8C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6313AA8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7BFE5B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B6FA14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125F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4172E2B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424" w:type="dxa"/>
            <w:tcBorders>
              <w:top w:val="single" w:color="auto" w:sz="6" w:space="0"/>
              <w:left w:val="single" w:color="auto" w:sz="6" w:space="0"/>
              <w:right w:val="single" w:color="auto" w:sz="6" w:space="0"/>
            </w:tcBorders>
            <w:vAlign w:val="center"/>
          </w:tcPr>
          <w:p w14:paraId="706D83B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项目技术</w:t>
            </w:r>
          </w:p>
          <w:p w14:paraId="4D87A5A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5CDB80C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6DBFD5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21ADBA4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0F365F7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86A81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00D5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25C474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424" w:type="dxa"/>
            <w:tcBorders>
              <w:top w:val="single" w:color="auto" w:sz="6" w:space="0"/>
              <w:left w:val="single" w:color="auto" w:sz="6" w:space="0"/>
              <w:right w:val="single" w:color="auto" w:sz="6" w:space="0"/>
            </w:tcBorders>
            <w:vAlign w:val="center"/>
          </w:tcPr>
          <w:p w14:paraId="6BAA0C0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项目设计</w:t>
            </w:r>
          </w:p>
          <w:p w14:paraId="1C639F7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1DE40E8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B5D4C5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66584FA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D77CCE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1B78B8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0209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2F37F2C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p>
        </w:tc>
        <w:tc>
          <w:tcPr>
            <w:tcW w:w="1424" w:type="dxa"/>
            <w:tcBorders>
              <w:top w:val="single" w:color="auto" w:sz="6" w:space="0"/>
              <w:left w:val="single" w:color="auto" w:sz="6" w:space="0"/>
              <w:bottom w:val="single" w:color="auto" w:sz="6" w:space="0"/>
              <w:right w:val="single" w:color="auto" w:sz="6" w:space="0"/>
            </w:tcBorders>
            <w:vAlign w:val="center"/>
          </w:tcPr>
          <w:p w14:paraId="4F64161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专职安全员</w:t>
            </w:r>
          </w:p>
        </w:tc>
        <w:tc>
          <w:tcPr>
            <w:tcW w:w="1358" w:type="dxa"/>
            <w:tcBorders>
              <w:top w:val="single" w:color="auto" w:sz="6" w:space="0"/>
              <w:left w:val="single" w:color="auto" w:sz="6" w:space="0"/>
              <w:bottom w:val="single" w:color="auto" w:sz="6" w:space="0"/>
              <w:right w:val="single" w:color="auto" w:sz="6" w:space="0"/>
            </w:tcBorders>
            <w:vAlign w:val="center"/>
          </w:tcPr>
          <w:p w14:paraId="1CE0CA2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CDD44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22E3C2E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450AEC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9F4F64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B03B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4C9E2DA4">
            <w:pPr>
              <w:keepNext w:val="0"/>
              <w:keepLines w:val="0"/>
              <w:suppressLineNumbers w:val="0"/>
              <w:wordWrap w:val="0"/>
              <w:adjustRightInd w:val="0"/>
              <w:snapToGrid w:val="0"/>
              <w:spacing w:before="0" w:beforeAutospacing="0" w:after="0" w:afterAutospacing="0"/>
              <w:ind w:left="0" w:right="0" w:firstLine="360" w:firstLineChars="15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5</w:t>
            </w:r>
          </w:p>
        </w:tc>
        <w:tc>
          <w:tcPr>
            <w:tcW w:w="1424" w:type="dxa"/>
            <w:tcBorders>
              <w:top w:val="single" w:color="auto" w:sz="6" w:space="0"/>
              <w:left w:val="single" w:color="auto" w:sz="6" w:space="0"/>
              <w:bottom w:val="single" w:color="auto" w:sz="6" w:space="0"/>
              <w:right w:val="single" w:color="auto" w:sz="6" w:space="0"/>
            </w:tcBorders>
            <w:vAlign w:val="center"/>
          </w:tcPr>
          <w:p w14:paraId="4BB2554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施工员</w:t>
            </w:r>
          </w:p>
        </w:tc>
        <w:tc>
          <w:tcPr>
            <w:tcW w:w="1358" w:type="dxa"/>
            <w:tcBorders>
              <w:top w:val="single" w:color="auto" w:sz="6" w:space="0"/>
              <w:left w:val="single" w:color="auto" w:sz="6" w:space="0"/>
              <w:bottom w:val="single" w:color="auto" w:sz="6" w:space="0"/>
              <w:right w:val="single" w:color="auto" w:sz="6" w:space="0"/>
            </w:tcBorders>
            <w:vAlign w:val="center"/>
          </w:tcPr>
          <w:p w14:paraId="7F8A592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267ECB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6790239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987A13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287D0CC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B4F4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4C8FF9B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w:t>
            </w:r>
          </w:p>
        </w:tc>
        <w:tc>
          <w:tcPr>
            <w:tcW w:w="1424" w:type="dxa"/>
            <w:tcBorders>
              <w:top w:val="single" w:color="auto" w:sz="6" w:space="0"/>
              <w:left w:val="single" w:color="auto" w:sz="6" w:space="0"/>
              <w:bottom w:val="single" w:color="auto" w:sz="6" w:space="0"/>
              <w:right w:val="single" w:color="auto" w:sz="6" w:space="0"/>
            </w:tcBorders>
            <w:vAlign w:val="center"/>
          </w:tcPr>
          <w:p w14:paraId="674F494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质量员</w:t>
            </w:r>
          </w:p>
        </w:tc>
        <w:tc>
          <w:tcPr>
            <w:tcW w:w="1358" w:type="dxa"/>
            <w:tcBorders>
              <w:top w:val="single" w:color="auto" w:sz="6" w:space="0"/>
              <w:left w:val="single" w:color="auto" w:sz="6" w:space="0"/>
              <w:bottom w:val="single" w:color="auto" w:sz="6" w:space="0"/>
              <w:right w:val="single" w:color="auto" w:sz="6" w:space="0"/>
            </w:tcBorders>
            <w:vAlign w:val="center"/>
          </w:tcPr>
          <w:p w14:paraId="7CE6C5F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033A0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7E1EA5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41A861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9ACBD7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67A3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65AE66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7</w:t>
            </w:r>
          </w:p>
        </w:tc>
        <w:tc>
          <w:tcPr>
            <w:tcW w:w="1424" w:type="dxa"/>
            <w:tcBorders>
              <w:top w:val="single" w:color="auto" w:sz="6" w:space="0"/>
              <w:left w:val="single" w:color="auto" w:sz="6" w:space="0"/>
              <w:bottom w:val="single" w:color="auto" w:sz="6" w:space="0"/>
              <w:right w:val="single" w:color="auto" w:sz="6" w:space="0"/>
            </w:tcBorders>
            <w:vAlign w:val="center"/>
          </w:tcPr>
          <w:p w14:paraId="220CE4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材料员</w:t>
            </w:r>
          </w:p>
        </w:tc>
        <w:tc>
          <w:tcPr>
            <w:tcW w:w="1358" w:type="dxa"/>
            <w:tcBorders>
              <w:top w:val="single" w:color="auto" w:sz="6" w:space="0"/>
              <w:left w:val="single" w:color="auto" w:sz="6" w:space="0"/>
              <w:bottom w:val="single" w:color="auto" w:sz="6" w:space="0"/>
              <w:right w:val="single" w:color="auto" w:sz="6" w:space="0"/>
            </w:tcBorders>
            <w:vAlign w:val="center"/>
          </w:tcPr>
          <w:p w14:paraId="2188B22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B2D302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3B105B6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E6630E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25A912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B4E9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6250387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8</w:t>
            </w:r>
          </w:p>
        </w:tc>
        <w:tc>
          <w:tcPr>
            <w:tcW w:w="1424" w:type="dxa"/>
            <w:tcBorders>
              <w:top w:val="single" w:color="auto" w:sz="6" w:space="0"/>
              <w:left w:val="single" w:color="auto" w:sz="6" w:space="0"/>
              <w:bottom w:val="single" w:color="auto" w:sz="6" w:space="0"/>
              <w:right w:val="single" w:color="auto" w:sz="6" w:space="0"/>
            </w:tcBorders>
            <w:vAlign w:val="center"/>
          </w:tcPr>
          <w:p w14:paraId="2F5833F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资料员</w:t>
            </w:r>
          </w:p>
        </w:tc>
        <w:tc>
          <w:tcPr>
            <w:tcW w:w="1358" w:type="dxa"/>
            <w:tcBorders>
              <w:top w:val="single" w:color="auto" w:sz="6" w:space="0"/>
              <w:left w:val="single" w:color="auto" w:sz="6" w:space="0"/>
              <w:bottom w:val="single" w:color="auto" w:sz="6" w:space="0"/>
              <w:right w:val="single" w:color="auto" w:sz="6" w:space="0"/>
            </w:tcBorders>
            <w:vAlign w:val="center"/>
          </w:tcPr>
          <w:p w14:paraId="5951A03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6B5833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4C5FDB4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A76DB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7903419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3A95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113D77D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9</w:t>
            </w:r>
          </w:p>
        </w:tc>
        <w:tc>
          <w:tcPr>
            <w:tcW w:w="1424" w:type="dxa"/>
            <w:tcBorders>
              <w:top w:val="single" w:color="auto" w:sz="6" w:space="0"/>
              <w:left w:val="single" w:color="auto" w:sz="6" w:space="0"/>
              <w:bottom w:val="single" w:color="auto" w:sz="6" w:space="0"/>
              <w:right w:val="single" w:color="auto" w:sz="6" w:space="0"/>
            </w:tcBorders>
            <w:vAlign w:val="center"/>
          </w:tcPr>
          <w:p w14:paraId="27EDC30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造价员</w:t>
            </w:r>
          </w:p>
        </w:tc>
        <w:tc>
          <w:tcPr>
            <w:tcW w:w="1358" w:type="dxa"/>
            <w:tcBorders>
              <w:top w:val="single" w:color="auto" w:sz="6" w:space="0"/>
              <w:left w:val="single" w:color="auto" w:sz="6" w:space="0"/>
              <w:bottom w:val="single" w:color="auto" w:sz="6" w:space="0"/>
              <w:right w:val="single" w:color="auto" w:sz="6" w:space="0"/>
            </w:tcBorders>
            <w:vAlign w:val="center"/>
          </w:tcPr>
          <w:p w14:paraId="3DE3FE5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79264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3D82742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32E8DBA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1468E4E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3C425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vAlign w:val="center"/>
          </w:tcPr>
          <w:p w14:paraId="2FF3FC2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6CF61BD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vAlign w:val="center"/>
          </w:tcPr>
          <w:p w14:paraId="231B894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5EE04B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B41A48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72B1AE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1F2CA8B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bookmarkEnd w:id="629"/>
    </w:tbl>
    <w:p w14:paraId="772AE273">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bookmarkStart w:id="630" w:name="_Toc8648"/>
      <w:bookmarkStart w:id="631" w:name="_Toc36804690"/>
      <w:bookmarkStart w:id="632" w:name="_Toc25577"/>
    </w:p>
    <w:p w14:paraId="67B56BC4">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说明：</w:t>
      </w:r>
    </w:p>
    <w:p w14:paraId="4FA7AD19">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1．《项目管理机构组成表》后应附表中拟派人员（项目经理、项目技术负责人、项目设计负责人除外）以下资料：</w:t>
      </w:r>
    </w:p>
    <w:p w14:paraId="0056B468">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（1）身份证证彩色扫描件；</w:t>
      </w:r>
    </w:p>
    <w:p w14:paraId="4D50BA83">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（2）职称证或岗位证或培训证彩色扫描件；</w:t>
      </w:r>
    </w:p>
    <w:p w14:paraId="7381DCC1">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（3）专职安全员须提供C类安全生产考核合格证书证彩色扫描件或“广东省建筑施工企业管理人员安全生产考核系统”考核合格信息打印页；</w:t>
      </w:r>
    </w:p>
    <w:p w14:paraId="032E339E">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件；拟派人员为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5F43B1FB">
      <w:pPr>
        <w:wordWrap w:val="0"/>
        <w:adjustRightInd w:val="0"/>
        <w:snapToGrid w:val="0"/>
        <w:spacing w:line="40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snapToGrid w:val="0"/>
          <w:color w:val="auto"/>
          <w:kern w:val="0"/>
          <w:szCs w:val="24"/>
          <w:highlight w:val="none"/>
        </w:rPr>
        <w:t xml:space="preserve">    2．联合体投标的，《项目管理机构组成表》应包括联合体成员单位参与项目管理机构的人员，并提供以上所需资料。</w:t>
      </w:r>
    </w:p>
    <w:p w14:paraId="61B30747">
      <w:pPr>
        <w:spacing w:before="136"/>
        <w:rPr>
          <w:rFonts w:hint="default" w:asciiTheme="minorEastAsia" w:hAnsiTheme="minorEastAsia" w:eastAsiaTheme="minorEastAsia" w:cstheme="minorEastAsia"/>
          <w:b/>
          <w:bCs/>
          <w:color w:val="auto"/>
          <w:szCs w:val="24"/>
          <w:highlight w:val="none"/>
        </w:rPr>
      </w:pPr>
    </w:p>
    <w:p w14:paraId="703613A8">
      <w:pPr>
        <w:spacing w:before="136"/>
        <w:rPr>
          <w:rFonts w:hint="default" w:asciiTheme="minorEastAsia" w:hAnsiTheme="minorEastAsia" w:eastAsiaTheme="minorEastAsia" w:cstheme="minorEastAsia"/>
          <w:b/>
          <w:bCs/>
          <w:color w:val="auto"/>
          <w:szCs w:val="24"/>
          <w:highlight w:val="none"/>
        </w:rPr>
      </w:pPr>
    </w:p>
    <w:p w14:paraId="40ABC142">
      <w:pPr>
        <w:pStyle w:val="32"/>
        <w:rPr>
          <w:rFonts w:hint="default" w:asciiTheme="minorEastAsia" w:hAnsiTheme="minorEastAsia" w:eastAsiaTheme="minorEastAsia" w:cstheme="minorEastAsia"/>
          <w:b/>
          <w:bCs/>
          <w:color w:val="auto"/>
          <w:szCs w:val="24"/>
          <w:highlight w:val="none"/>
        </w:rPr>
      </w:pPr>
    </w:p>
    <w:p w14:paraId="38DC62B7">
      <w:pPr>
        <w:rPr>
          <w:rFonts w:hint="default"/>
          <w:color w:val="auto"/>
          <w:highlight w:val="none"/>
        </w:rPr>
      </w:pPr>
    </w:p>
    <w:p w14:paraId="104B174C">
      <w:pPr>
        <w:pStyle w:val="3"/>
        <w:spacing w:before="136"/>
        <w:rPr>
          <w:rFonts w:hint="default" w:asciiTheme="minorEastAsia" w:hAnsiTheme="minorEastAsia" w:eastAsiaTheme="minorEastAsia" w:cstheme="minorEastAsia"/>
          <w:b/>
          <w:bCs/>
          <w:color w:val="auto"/>
          <w:szCs w:val="24"/>
          <w:highlight w:val="none"/>
          <w:lang w:val="en-US" w:eastAsia="zh-CN"/>
        </w:rPr>
      </w:pPr>
      <w:bookmarkStart w:id="633" w:name="_Toc12036"/>
      <w:r>
        <w:rPr>
          <w:rFonts w:asciiTheme="minorEastAsia" w:hAnsiTheme="minorEastAsia" w:eastAsiaTheme="minorEastAsia" w:cstheme="minorEastAsia"/>
          <w:b/>
          <w:bCs/>
          <w:color w:val="auto"/>
          <w:szCs w:val="24"/>
          <w:highlight w:val="none"/>
        </w:rPr>
        <w:t>格式十三 原件一览表</w:t>
      </w:r>
      <w:bookmarkEnd w:id="630"/>
      <w:bookmarkEnd w:id="631"/>
      <w:bookmarkEnd w:id="632"/>
      <w:r>
        <w:rPr>
          <w:rFonts w:hint="eastAsia" w:asciiTheme="minorEastAsia" w:hAnsiTheme="minorEastAsia" w:eastAsiaTheme="minorEastAsia" w:cstheme="minorEastAsia"/>
          <w:b/>
          <w:bCs/>
          <w:color w:val="auto"/>
          <w:szCs w:val="24"/>
          <w:highlight w:val="none"/>
          <w:lang w:eastAsia="zh-CN"/>
        </w:rPr>
        <w:t>（</w:t>
      </w:r>
      <w:r>
        <w:rPr>
          <w:rFonts w:hint="eastAsia" w:asciiTheme="minorEastAsia" w:hAnsiTheme="minorEastAsia" w:eastAsiaTheme="minorEastAsia" w:cstheme="minorEastAsia"/>
          <w:b/>
          <w:bCs/>
          <w:color w:val="auto"/>
          <w:szCs w:val="24"/>
          <w:highlight w:val="none"/>
          <w:lang w:val="en-US" w:eastAsia="zh-CN"/>
        </w:rPr>
        <w:t>须提供原件时适用）</w:t>
      </w:r>
      <w:bookmarkEnd w:id="633"/>
    </w:p>
    <w:p w14:paraId="041E0406">
      <w:pPr>
        <w:spacing w:line="336" w:lineRule="auto"/>
        <w:contextualSpacing/>
        <w:jc w:val="left"/>
        <w:rPr>
          <w:rFonts w:hint="default" w:asciiTheme="minorEastAsia" w:hAnsiTheme="minorEastAsia" w:eastAsiaTheme="minorEastAsia" w:cstheme="minorEastAsia"/>
          <w:color w:val="auto"/>
          <w:szCs w:val="24"/>
          <w:highlight w:val="none"/>
        </w:rPr>
      </w:pPr>
    </w:p>
    <w:tbl>
      <w:tblPr>
        <w:tblStyle w:val="23"/>
        <w:tblpPr w:leftFromText="180" w:rightFromText="180" w:vertAnchor="text" w:horzAnchor="page" w:tblpX="1664" w:tblpY="438"/>
        <w:tblOverlap w:val="never"/>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090C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tcMar>
              <w:left w:w="108" w:type="dxa"/>
              <w:right w:w="108" w:type="dxa"/>
            </w:tcMar>
            <w:vAlign w:val="center"/>
          </w:tcPr>
          <w:p w14:paraId="17D4B342">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color w:val="auto"/>
                <w:szCs w:val="24"/>
                <w:highlight w:val="none"/>
              </w:rPr>
              <w:t>原件一览表</w:t>
            </w:r>
          </w:p>
        </w:tc>
      </w:tr>
      <w:tr w14:paraId="6B25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348DA9D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工程名称</w:t>
            </w:r>
          </w:p>
        </w:tc>
        <w:tc>
          <w:tcPr>
            <w:tcW w:w="6272" w:type="dxa"/>
            <w:gridSpan w:val="5"/>
            <w:tcMar>
              <w:left w:w="108" w:type="dxa"/>
              <w:right w:w="108" w:type="dxa"/>
            </w:tcMar>
            <w:vAlign w:val="center"/>
          </w:tcPr>
          <w:p w14:paraId="02467FD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552C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008C1A3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投标人名称                （请务必填写单位全称）</w:t>
            </w:r>
          </w:p>
        </w:tc>
        <w:tc>
          <w:tcPr>
            <w:tcW w:w="6272" w:type="dxa"/>
            <w:gridSpan w:val="5"/>
            <w:tcMar>
              <w:left w:w="108" w:type="dxa"/>
              <w:right w:w="108" w:type="dxa"/>
            </w:tcMar>
            <w:vAlign w:val="center"/>
          </w:tcPr>
          <w:p w14:paraId="7286B5F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0719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7DAD37C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投标人法定代表人或其</w:t>
            </w:r>
          </w:p>
          <w:p w14:paraId="7B3E1DC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委托代理人签名</w:t>
            </w:r>
          </w:p>
        </w:tc>
        <w:tc>
          <w:tcPr>
            <w:tcW w:w="2992" w:type="dxa"/>
            <w:gridSpan w:val="2"/>
            <w:tcMar>
              <w:left w:w="108" w:type="dxa"/>
              <w:right w:w="108" w:type="dxa"/>
            </w:tcMar>
            <w:vAlign w:val="center"/>
          </w:tcPr>
          <w:p w14:paraId="1F7C37A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c>
          <w:tcPr>
            <w:tcW w:w="753" w:type="dxa"/>
            <w:tcMar>
              <w:left w:w="108" w:type="dxa"/>
              <w:right w:w="108" w:type="dxa"/>
            </w:tcMar>
            <w:vAlign w:val="center"/>
          </w:tcPr>
          <w:p w14:paraId="106F37A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手机号码</w:t>
            </w:r>
          </w:p>
        </w:tc>
        <w:tc>
          <w:tcPr>
            <w:tcW w:w="2527" w:type="dxa"/>
            <w:gridSpan w:val="2"/>
            <w:tcMar>
              <w:left w:w="108" w:type="dxa"/>
              <w:right w:w="108" w:type="dxa"/>
            </w:tcMar>
            <w:vAlign w:val="center"/>
          </w:tcPr>
          <w:p w14:paraId="03986B0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7954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tcMar>
              <w:left w:w="108" w:type="dxa"/>
              <w:right w:w="108" w:type="dxa"/>
            </w:tcMar>
            <w:vAlign w:val="center"/>
          </w:tcPr>
          <w:p w14:paraId="152A865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递交的证明材料原件如下：</w:t>
            </w:r>
          </w:p>
        </w:tc>
      </w:tr>
      <w:tr w14:paraId="518A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4D555BB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序号</w:t>
            </w:r>
          </w:p>
        </w:tc>
        <w:tc>
          <w:tcPr>
            <w:tcW w:w="5120" w:type="dxa"/>
            <w:gridSpan w:val="4"/>
            <w:tcMar>
              <w:left w:w="108" w:type="dxa"/>
              <w:right w:w="108" w:type="dxa"/>
            </w:tcMar>
            <w:vAlign w:val="center"/>
          </w:tcPr>
          <w:p w14:paraId="2838003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证明材料原件名称</w:t>
            </w:r>
          </w:p>
        </w:tc>
        <w:tc>
          <w:tcPr>
            <w:tcW w:w="1710" w:type="dxa"/>
            <w:gridSpan w:val="2"/>
            <w:tcMar>
              <w:left w:w="108" w:type="dxa"/>
              <w:right w:w="108" w:type="dxa"/>
            </w:tcMar>
            <w:vAlign w:val="center"/>
          </w:tcPr>
          <w:p w14:paraId="2F8721B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单位</w:t>
            </w:r>
          </w:p>
        </w:tc>
        <w:tc>
          <w:tcPr>
            <w:tcW w:w="1570" w:type="dxa"/>
            <w:tcMar>
              <w:left w:w="108" w:type="dxa"/>
              <w:right w:w="108" w:type="dxa"/>
            </w:tcMar>
            <w:vAlign w:val="center"/>
          </w:tcPr>
          <w:p w14:paraId="2AF2166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数量</w:t>
            </w:r>
          </w:p>
        </w:tc>
      </w:tr>
      <w:tr w14:paraId="1393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0A72852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w:t>
            </w:r>
          </w:p>
        </w:tc>
        <w:tc>
          <w:tcPr>
            <w:tcW w:w="5120" w:type="dxa"/>
            <w:gridSpan w:val="4"/>
            <w:tcMar>
              <w:left w:w="108" w:type="dxa"/>
              <w:right w:w="108" w:type="dxa"/>
            </w:tcMar>
            <w:vAlign w:val="center"/>
          </w:tcPr>
          <w:p w14:paraId="5E14F8A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0FC5A5C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24C67AB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7D5F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0ED060A0">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w:t>
            </w:r>
          </w:p>
        </w:tc>
        <w:tc>
          <w:tcPr>
            <w:tcW w:w="5120" w:type="dxa"/>
            <w:gridSpan w:val="4"/>
            <w:tcMar>
              <w:left w:w="108" w:type="dxa"/>
              <w:right w:w="108" w:type="dxa"/>
            </w:tcMar>
            <w:vAlign w:val="center"/>
          </w:tcPr>
          <w:p w14:paraId="7D8CFD8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48055BB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7C27014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1CC2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76003BB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w:t>
            </w:r>
          </w:p>
        </w:tc>
        <w:tc>
          <w:tcPr>
            <w:tcW w:w="5120" w:type="dxa"/>
            <w:gridSpan w:val="4"/>
            <w:tcMar>
              <w:left w:w="108" w:type="dxa"/>
              <w:right w:w="108" w:type="dxa"/>
            </w:tcMar>
            <w:vAlign w:val="center"/>
          </w:tcPr>
          <w:p w14:paraId="48352E6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57AAC24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51D3627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265D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7485B39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w:t>
            </w:r>
          </w:p>
        </w:tc>
        <w:tc>
          <w:tcPr>
            <w:tcW w:w="5120" w:type="dxa"/>
            <w:gridSpan w:val="4"/>
            <w:tcMar>
              <w:left w:w="108" w:type="dxa"/>
              <w:right w:w="108" w:type="dxa"/>
            </w:tcMar>
            <w:vAlign w:val="center"/>
          </w:tcPr>
          <w:p w14:paraId="401F28C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5A02A6C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39CEC44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1771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tcMar>
              <w:left w:w="108" w:type="dxa"/>
              <w:right w:w="108" w:type="dxa"/>
            </w:tcMar>
            <w:vAlign w:val="center"/>
          </w:tcPr>
          <w:p w14:paraId="7422CBC8">
            <w:pPr>
              <w:keepNext w:val="0"/>
              <w:keepLines w:val="0"/>
              <w:suppressLineNumbers w:val="0"/>
              <w:spacing w:before="0" w:beforeAutospacing="0" w:after="0" w:afterAutospacing="0"/>
              <w:ind w:left="8" w:right="0" w:hanging="94"/>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注意：</w:t>
            </w:r>
          </w:p>
        </w:tc>
        <w:tc>
          <w:tcPr>
            <w:tcW w:w="8400" w:type="dxa"/>
            <w:gridSpan w:val="7"/>
            <w:tcMar>
              <w:left w:w="108" w:type="dxa"/>
              <w:right w:w="108" w:type="dxa"/>
            </w:tcMar>
            <w:vAlign w:val="center"/>
          </w:tcPr>
          <w:p w14:paraId="5277A363">
            <w:pPr>
              <w:keepNext w:val="0"/>
              <w:keepLines w:val="0"/>
              <w:suppressLineNumbers w:val="0"/>
              <w:spacing w:before="0" w:beforeAutospacing="0" w:after="0" w:afterAutospacing="0"/>
              <w:ind w:left="0" w:right="0"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667E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tcMar>
              <w:left w:w="108" w:type="dxa"/>
              <w:right w:w="108" w:type="dxa"/>
            </w:tcMar>
            <w:vAlign w:val="center"/>
          </w:tcPr>
          <w:p w14:paraId="1599308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接收原件经办人（招标代理）：</w:t>
            </w:r>
          </w:p>
        </w:tc>
        <w:tc>
          <w:tcPr>
            <w:tcW w:w="1992" w:type="dxa"/>
            <w:gridSpan w:val="2"/>
            <w:tcMar>
              <w:left w:w="108" w:type="dxa"/>
              <w:right w:w="108" w:type="dxa"/>
            </w:tcMar>
            <w:vAlign w:val="center"/>
          </w:tcPr>
          <w:p w14:paraId="6B669D1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439F6B7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接收时间：</w:t>
            </w:r>
          </w:p>
        </w:tc>
        <w:tc>
          <w:tcPr>
            <w:tcW w:w="3280" w:type="dxa"/>
            <w:gridSpan w:val="3"/>
            <w:tcMar>
              <w:left w:w="108" w:type="dxa"/>
              <w:right w:w="108" w:type="dxa"/>
            </w:tcMar>
            <w:vAlign w:val="center"/>
          </w:tcPr>
          <w:p w14:paraId="0787EC02">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r w14:paraId="0E69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tcMar>
              <w:left w:w="108" w:type="dxa"/>
              <w:right w:w="108" w:type="dxa"/>
            </w:tcMar>
            <w:vAlign w:val="center"/>
          </w:tcPr>
          <w:p w14:paraId="1F3A23A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退还原件接收人（投标人）：</w:t>
            </w:r>
          </w:p>
        </w:tc>
        <w:tc>
          <w:tcPr>
            <w:tcW w:w="1992" w:type="dxa"/>
            <w:gridSpan w:val="2"/>
            <w:tcMar>
              <w:left w:w="108" w:type="dxa"/>
              <w:right w:w="108" w:type="dxa"/>
            </w:tcMar>
            <w:vAlign w:val="center"/>
          </w:tcPr>
          <w:p w14:paraId="7D01F53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795A95E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退还时间：</w:t>
            </w:r>
          </w:p>
        </w:tc>
        <w:tc>
          <w:tcPr>
            <w:tcW w:w="3280" w:type="dxa"/>
            <w:gridSpan w:val="3"/>
            <w:tcMar>
              <w:left w:w="108" w:type="dxa"/>
              <w:right w:w="108" w:type="dxa"/>
            </w:tcMar>
            <w:vAlign w:val="center"/>
          </w:tcPr>
          <w:p w14:paraId="146BCE7A">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bl>
    <w:p w14:paraId="18C5C5CC">
      <w:pPr>
        <w:snapToGrid w:val="0"/>
        <w:spacing w:line="44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snapToGrid w:val="0"/>
          <w:color w:val="auto"/>
          <w:highlight w:val="none"/>
        </w:rPr>
        <w:br w:type="page"/>
      </w:r>
    </w:p>
    <w:p w14:paraId="73AEFCE5">
      <w:pPr>
        <w:pStyle w:val="3"/>
        <w:spacing w:before="136"/>
        <w:rPr>
          <w:rFonts w:hint="eastAsia" w:asciiTheme="minorEastAsia" w:hAnsiTheme="minorEastAsia" w:eastAsiaTheme="minorEastAsia" w:cstheme="minorEastAsia"/>
          <w:b/>
          <w:bCs/>
          <w:color w:val="auto"/>
          <w:szCs w:val="24"/>
          <w:highlight w:val="none"/>
          <w:lang w:val="en-US" w:eastAsia="zh-CN"/>
        </w:rPr>
      </w:pPr>
      <w:bookmarkStart w:id="634" w:name="_Toc10835"/>
      <w:bookmarkStart w:id="635" w:name="_Toc26638"/>
      <w:bookmarkStart w:id="636" w:name="_Toc26622"/>
      <w:bookmarkStart w:id="637" w:name="_Toc22541"/>
      <w:bookmarkStart w:id="638" w:name="_Toc8821"/>
      <w:bookmarkStart w:id="639" w:name="_Toc8121"/>
      <w:bookmarkStart w:id="640" w:name="_Toc23446"/>
      <w:bookmarkStart w:id="641" w:name="_Toc6918"/>
      <w:bookmarkStart w:id="642" w:name="_Toc9816"/>
      <w:r>
        <w:rPr>
          <w:rFonts w:hint="eastAsia" w:asciiTheme="minorEastAsia" w:hAnsiTheme="minorEastAsia" w:eastAsiaTheme="minorEastAsia" w:cstheme="minorEastAsia"/>
          <w:b/>
          <w:bCs/>
          <w:color w:val="auto"/>
          <w:szCs w:val="24"/>
          <w:highlight w:val="none"/>
          <w:lang w:val="en-US" w:eastAsia="zh-CN"/>
        </w:rPr>
        <w:t>格式十四 定标因素评审资料</w:t>
      </w:r>
      <w:bookmarkEnd w:id="634"/>
    </w:p>
    <w:p w14:paraId="25214FB2">
      <w:pPr>
        <w:wordWrap w:val="0"/>
        <w:adjustRightInd w:val="0"/>
        <w:snapToGrid w:val="0"/>
        <w:spacing w:line="400" w:lineRule="exact"/>
        <w:jc w:val="center"/>
        <w:rPr>
          <w:rFonts w:hint="eastAsia" w:asciiTheme="minorEastAsia" w:hAnsiTheme="minorEastAsia" w:eastAsiaTheme="minorEastAsia" w:cstheme="minorEastAsia"/>
          <w:color w:val="auto"/>
          <w:sz w:val="36"/>
          <w:szCs w:val="36"/>
          <w:highlight w:val="none"/>
          <w:lang w:val="en-US" w:eastAsia="zh-CN"/>
        </w:rPr>
      </w:pPr>
    </w:p>
    <w:p w14:paraId="40211D18">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定标因素评审资料</w:t>
      </w:r>
    </w:p>
    <w:p w14:paraId="726E933B">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521CFD0C">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66803B7F">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sect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heme="minorEastAsia" w:hAnsiTheme="minorEastAsia" w:eastAsiaTheme="minorEastAsia" w:cstheme="minorEastAsia"/>
          <w:b w:val="0"/>
          <w:bCs w:val="0"/>
          <w:color w:val="auto"/>
          <w:sz w:val="24"/>
          <w:szCs w:val="24"/>
          <w:highlight w:val="none"/>
          <w:lang w:val="en-US" w:eastAsia="zh-CN"/>
        </w:rPr>
        <w:t>投标人根据“第一章 第五节 定标规定及定标办法”载明的定标因素，提交评审资料。</w:t>
      </w:r>
      <w:r>
        <w:rPr>
          <w:rFonts w:hint="eastAsia" w:asciiTheme="minorEastAsia" w:hAnsiTheme="minorEastAsia" w:eastAsiaTheme="minorEastAsia" w:cstheme="minorEastAsia"/>
          <w:b w:val="0"/>
          <w:bCs w:val="0"/>
          <w:color w:val="auto"/>
          <w:sz w:val="24"/>
          <w:szCs w:val="24"/>
          <w:highlight w:val="none"/>
          <w:lang w:val="en-US" w:eastAsia="zh-CN"/>
        </w:rPr>
        <w:t>（评标报告除外）</w:t>
      </w:r>
    </w:p>
    <w:p w14:paraId="0EB6D1DD"/>
    <w:p w14:paraId="149DF11F">
      <w:pPr>
        <w:pStyle w:val="2"/>
        <w:jc w:val="center"/>
        <w:rPr>
          <w:rFonts w:hint="default" w:asciiTheme="minorEastAsia" w:hAnsiTheme="minorEastAsia" w:eastAsiaTheme="minorEastAsia" w:cstheme="minorEastAsia"/>
          <w:b/>
          <w:color w:val="auto"/>
          <w:kern w:val="44"/>
          <w:szCs w:val="30"/>
          <w:highlight w:val="none"/>
        </w:rPr>
      </w:pPr>
      <w:bookmarkStart w:id="643" w:name="_Toc30460"/>
      <w:r>
        <w:rPr>
          <w:rFonts w:asciiTheme="minorEastAsia" w:hAnsiTheme="minorEastAsia" w:eastAsiaTheme="minorEastAsia" w:cstheme="minorEastAsia"/>
          <w:b/>
          <w:color w:val="auto"/>
          <w:kern w:val="44"/>
          <w:szCs w:val="30"/>
          <w:highlight w:val="none"/>
        </w:rPr>
        <w:t>第</w:t>
      </w:r>
      <w:r>
        <w:rPr>
          <w:rFonts w:hint="eastAsia" w:asciiTheme="minorEastAsia" w:hAnsiTheme="minorEastAsia" w:eastAsiaTheme="minorEastAsia" w:cstheme="minorEastAsia"/>
          <w:b/>
          <w:color w:val="auto"/>
          <w:kern w:val="44"/>
          <w:szCs w:val="30"/>
          <w:highlight w:val="none"/>
          <w:lang w:val="en-US" w:eastAsia="zh-CN"/>
        </w:rPr>
        <w:t>七</w:t>
      </w:r>
      <w:r>
        <w:rPr>
          <w:rFonts w:asciiTheme="minorEastAsia" w:hAnsiTheme="minorEastAsia" w:eastAsiaTheme="minorEastAsia" w:cstheme="minorEastAsia"/>
          <w:b/>
          <w:color w:val="auto"/>
          <w:kern w:val="44"/>
          <w:szCs w:val="30"/>
          <w:highlight w:val="none"/>
        </w:rPr>
        <w:t>章  廉政合同、履约保函、预付款保函、支付保函</w:t>
      </w:r>
      <w:bookmarkEnd w:id="635"/>
      <w:bookmarkEnd w:id="636"/>
      <w:bookmarkEnd w:id="637"/>
      <w:bookmarkEnd w:id="638"/>
      <w:bookmarkEnd w:id="639"/>
      <w:bookmarkEnd w:id="640"/>
      <w:bookmarkEnd w:id="641"/>
      <w:bookmarkEnd w:id="642"/>
      <w:bookmarkEnd w:id="643"/>
    </w:p>
    <w:p w14:paraId="180FDD9B">
      <w:pPr>
        <w:rPr>
          <w:rFonts w:hint="default" w:asciiTheme="minorEastAsia" w:hAnsiTheme="minorEastAsia" w:eastAsiaTheme="minorEastAsia" w:cstheme="minorEastAsia"/>
          <w:color w:val="auto"/>
          <w:highlight w:val="none"/>
        </w:rPr>
      </w:pPr>
    </w:p>
    <w:p w14:paraId="5B19EA9B">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44" w:name="_Toc20232"/>
      <w:bookmarkStart w:id="645" w:name="_Toc5870"/>
      <w:bookmarkStart w:id="646" w:name="_Toc5845"/>
      <w:bookmarkStart w:id="647" w:name="_Toc10193"/>
      <w:bookmarkStart w:id="648" w:name="_Toc32046"/>
      <w:bookmarkStart w:id="649" w:name="_Toc2994"/>
      <w:bookmarkStart w:id="650" w:name="_Toc29713"/>
      <w:bookmarkStart w:id="651" w:name="_Toc30503"/>
      <w:bookmarkStart w:id="652" w:name="_Toc10603"/>
      <w:bookmarkStart w:id="653" w:name="_Toc16029"/>
      <w:bookmarkStart w:id="654" w:name="_Toc2868"/>
      <w:r>
        <w:rPr>
          <w:rFonts w:hint="eastAsia" w:asciiTheme="minorEastAsia" w:hAnsiTheme="minorEastAsia" w:eastAsiaTheme="minorEastAsia" w:cstheme="minorEastAsia"/>
          <w:bCs/>
          <w:color w:val="auto"/>
          <w:sz w:val="32"/>
          <w:szCs w:val="32"/>
          <w:highlight w:val="none"/>
        </w:rPr>
        <w:t>廉政合同</w:t>
      </w:r>
      <w:bookmarkEnd w:id="644"/>
      <w:bookmarkEnd w:id="645"/>
      <w:bookmarkEnd w:id="646"/>
      <w:bookmarkEnd w:id="647"/>
      <w:bookmarkEnd w:id="648"/>
      <w:bookmarkEnd w:id="649"/>
      <w:bookmarkEnd w:id="650"/>
      <w:bookmarkEnd w:id="651"/>
      <w:bookmarkEnd w:id="652"/>
      <w:bookmarkEnd w:id="653"/>
      <w:bookmarkEnd w:id="654"/>
    </w:p>
    <w:p w14:paraId="3A86AB8A">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招标人：（全称）</w:t>
      </w:r>
      <w:r>
        <w:rPr>
          <w:rFonts w:asciiTheme="minorEastAsia" w:hAnsiTheme="minorEastAsia" w:eastAsiaTheme="minorEastAsia" w:cstheme="minorEastAsia"/>
          <w:color w:val="auto"/>
          <w:kern w:val="0"/>
          <w:highlight w:val="none"/>
          <w:u w:val="single"/>
        </w:rPr>
        <w:tab/>
      </w:r>
    </w:p>
    <w:p w14:paraId="61D83D70">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中标人：（全称）</w:t>
      </w:r>
      <w:r>
        <w:rPr>
          <w:rFonts w:asciiTheme="minorEastAsia" w:hAnsiTheme="minorEastAsia" w:eastAsiaTheme="minorEastAsia" w:cstheme="minorEastAsia"/>
          <w:color w:val="auto"/>
          <w:kern w:val="0"/>
          <w:highlight w:val="none"/>
          <w:u w:val="single"/>
        </w:rPr>
        <w:tab/>
      </w:r>
    </w:p>
    <w:p w14:paraId="3E08F02B">
      <w:pPr>
        <w:autoSpaceDE w:val="0"/>
        <w:autoSpaceDN w:val="0"/>
        <w:adjustRightInd w:val="0"/>
        <w:spacing w:before="6" w:line="150" w:lineRule="exact"/>
        <w:jc w:val="left"/>
        <w:rPr>
          <w:rFonts w:hint="default" w:asciiTheme="minorEastAsia" w:hAnsiTheme="minorEastAsia" w:eastAsiaTheme="minorEastAsia" w:cstheme="minorEastAsia"/>
          <w:color w:val="auto"/>
          <w:kern w:val="0"/>
          <w:szCs w:val="15"/>
          <w:highlight w:val="none"/>
        </w:rPr>
      </w:pPr>
    </w:p>
    <w:p w14:paraId="150E35B4">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702CD480">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48BD5544">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position w:val="-3"/>
          <w:highlight w:val="none"/>
        </w:rPr>
        <w:t>根据国家、省有关廉政建设的规定，为做好合同工程的廉政建设，保证工程质量与施工安</w:t>
      </w:r>
      <w:r>
        <w:rPr>
          <w:rFonts w:asciiTheme="minorEastAsia" w:hAnsiTheme="minorEastAsia" w:eastAsiaTheme="minorEastAsia" w:cstheme="minorEastAsia"/>
          <w:color w:val="auto"/>
          <w:kern w:val="0"/>
          <w:highlight w:val="none"/>
        </w:rPr>
        <w:t>全，提高建设资金的有效使用和投资效益，合同双方当事人就加强合同工程的廉政建设，订立本合同。</w:t>
      </w:r>
    </w:p>
    <w:p w14:paraId="1A40DED6">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1</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双方权利和义务</w:t>
      </w:r>
    </w:p>
    <w:p w14:paraId="04E2AC08">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严格遵守国家、省有关法律法规的规定。</w:t>
      </w:r>
    </w:p>
    <w:p w14:paraId="45D4CA74">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严格执行合同工程一切合同文件，自觉按合同办事。</w:t>
      </w:r>
    </w:p>
    <w:p w14:paraId="28A88BDD">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1.3</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合同双方当事人的业务活动应坚持公平</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公开</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公正和诚信的原</w:t>
      </w:r>
      <w:r>
        <w:rPr>
          <w:rFonts w:asciiTheme="minorEastAsia" w:hAnsiTheme="minorEastAsia" w:eastAsiaTheme="minorEastAsia" w:cstheme="minorEastAsia"/>
          <w:color w:val="auto"/>
          <w:spacing w:val="-12"/>
          <w:kern w:val="0"/>
          <w:highlight w:val="none"/>
        </w:rPr>
        <w:t>则</w:t>
      </w:r>
      <w:r>
        <w:rPr>
          <w:rFonts w:asciiTheme="minorEastAsia" w:hAnsiTheme="minorEastAsia" w:eastAsiaTheme="minorEastAsia" w:cstheme="minorEastAsia"/>
          <w:color w:val="auto"/>
          <w:kern w:val="0"/>
          <w:highlight w:val="none"/>
        </w:rPr>
        <w:t>（法律认定的商业 秘密和合同文件另有规定除外</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，不得损害国家和集体利益，不得违反工程建设管理规章制度。</w:t>
      </w:r>
    </w:p>
    <w:p w14:paraId="75B55C65">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1.4</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建立健全廉政制度</w:t>
      </w:r>
      <w:r>
        <w:rPr>
          <w:rFonts w:asciiTheme="minorEastAsia" w:hAnsiTheme="minorEastAsia" w:eastAsiaTheme="minorEastAsia" w:cstheme="minorEastAsia"/>
          <w:color w:val="auto"/>
          <w:spacing w:val="-10"/>
          <w:kern w:val="0"/>
          <w:highlight w:val="none"/>
        </w:rPr>
        <w:t>，</w:t>
      </w:r>
      <w:r>
        <w:rPr>
          <w:rFonts w:asciiTheme="minorEastAsia" w:hAnsiTheme="minorEastAsia" w:eastAsiaTheme="minorEastAsia" w:cstheme="minorEastAsia"/>
          <w:color w:val="auto"/>
          <w:kern w:val="0"/>
          <w:highlight w:val="none"/>
        </w:rPr>
        <w:t>开展廉政教育</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设立廉政告示牌</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公布举报电话</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监督并认真查 处违法违纪行为。</w:t>
      </w:r>
    </w:p>
    <w:p w14:paraId="5C5F22A3">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发现对方在业务活动中有违反廉政建设规定的行为，应及时给予提醒和纠正。</w:t>
      </w:r>
    </w:p>
    <w:p w14:paraId="325BB74D">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1.6</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发现对方严重违反合同的行为</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有向其上级部门举报</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建议给予处理并要求告知处理 结果的权利。没有上级部门的，可按本合同第二部分《通用条款》第87 条规定处理。</w:t>
      </w:r>
    </w:p>
    <w:p w14:paraId="2E7ECEAA">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2</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招标人义务</w:t>
      </w:r>
    </w:p>
    <w:p w14:paraId="06036060">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招标人及其工作人员不得索取或接受中标人的礼金</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有价证券和贵重物品</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不得在承 包人报销任何应由招标人或其工作人员个人支付的费用。</w:t>
      </w:r>
    </w:p>
    <w:p w14:paraId="140541EC">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招标人及其工作人员不得参加中标人安排的宴</w:t>
      </w:r>
      <w:r>
        <w:rPr>
          <w:rFonts w:asciiTheme="minorEastAsia" w:hAnsiTheme="minorEastAsia" w:eastAsiaTheme="minorEastAsia" w:cstheme="minorEastAsia"/>
          <w:color w:val="auto"/>
          <w:spacing w:val="-12"/>
          <w:kern w:val="0"/>
          <w:highlight w:val="none"/>
        </w:rPr>
        <w:t>请</w:t>
      </w:r>
      <w:r>
        <w:rPr>
          <w:rFonts w:asciiTheme="minorEastAsia" w:hAnsiTheme="minorEastAsia" w:eastAsiaTheme="minorEastAsia" w:cstheme="minorEastAsia"/>
          <w:color w:val="auto"/>
          <w:kern w:val="0"/>
          <w:highlight w:val="none"/>
        </w:rPr>
        <w:t>（工作餐除外</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和娱乐活动</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不得接受中标人提供的通讯、交通工具和高档办公用品等物品。</w:t>
      </w:r>
    </w:p>
    <w:p w14:paraId="740A8CFC">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position w:val="-2"/>
          <w:highlight w:val="none"/>
        </w:rPr>
        <w:t>2.3</w:t>
      </w:r>
      <w:r>
        <w:rPr>
          <w:rFonts w:asciiTheme="minorEastAsia" w:hAnsiTheme="minorEastAsia" w:eastAsiaTheme="minorEastAsia" w:cstheme="minorEastAsia"/>
          <w:color w:val="auto"/>
          <w:kern w:val="0"/>
          <w:position w:val="-2"/>
          <w:highlight w:val="none"/>
        </w:rPr>
        <w:tab/>
      </w:r>
      <w:r>
        <w:rPr>
          <w:rFonts w:asciiTheme="minorEastAsia" w:hAnsiTheme="minorEastAsia" w:eastAsiaTheme="minorEastAsia" w:cstheme="minorEastAsia"/>
          <w:color w:val="auto"/>
          <w:kern w:val="0"/>
          <w:position w:val="-2"/>
          <w:highlight w:val="none"/>
        </w:rPr>
        <w:t>招标人及其工作人员不得要求或者接受中标人为其住房装修</w:t>
      </w:r>
      <w:r>
        <w:rPr>
          <w:rFonts w:asciiTheme="minorEastAsia" w:hAnsiTheme="minorEastAsia" w:eastAsiaTheme="minorEastAsia" w:cstheme="minorEastAsia"/>
          <w:color w:val="auto"/>
          <w:spacing w:val="-18"/>
          <w:kern w:val="0"/>
          <w:position w:val="-2"/>
          <w:highlight w:val="none"/>
        </w:rPr>
        <w:t>、</w:t>
      </w:r>
      <w:r>
        <w:rPr>
          <w:rFonts w:asciiTheme="minorEastAsia" w:hAnsiTheme="minorEastAsia" w:eastAsiaTheme="minorEastAsia" w:cstheme="minorEastAsia"/>
          <w:color w:val="auto"/>
          <w:kern w:val="0"/>
          <w:position w:val="-2"/>
          <w:highlight w:val="none"/>
        </w:rPr>
        <w:t>婚丧嫁娶活动</w:t>
      </w:r>
      <w:r>
        <w:rPr>
          <w:rFonts w:asciiTheme="minorEastAsia" w:hAnsiTheme="minorEastAsia" w:eastAsiaTheme="minorEastAsia" w:cstheme="minorEastAsia"/>
          <w:color w:val="auto"/>
          <w:spacing w:val="-18"/>
          <w:kern w:val="0"/>
          <w:position w:val="-2"/>
          <w:highlight w:val="none"/>
        </w:rPr>
        <w:t>、</w:t>
      </w:r>
      <w:r>
        <w:rPr>
          <w:rFonts w:asciiTheme="minorEastAsia" w:hAnsiTheme="minorEastAsia" w:eastAsiaTheme="minorEastAsia" w:cstheme="minorEastAsia"/>
          <w:color w:val="auto"/>
          <w:kern w:val="0"/>
          <w:position w:val="-2"/>
          <w:highlight w:val="none"/>
        </w:rPr>
        <w:t>配偶子</w:t>
      </w:r>
      <w:r>
        <w:rPr>
          <w:rFonts w:asciiTheme="minorEastAsia" w:hAnsiTheme="minorEastAsia" w:eastAsiaTheme="minorEastAsia" w:cstheme="minorEastAsia"/>
          <w:color w:val="auto"/>
          <w:kern w:val="0"/>
          <w:highlight w:val="none"/>
        </w:rPr>
        <w:t>女工作安排以及出国出境、旅游等提供方便。</w:t>
      </w:r>
    </w:p>
    <w:p w14:paraId="41C9C044">
      <w:pPr>
        <w:autoSpaceDE w:val="0"/>
        <w:autoSpaceDN w:val="0"/>
        <w:adjustRightInd w:val="0"/>
        <w:spacing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2.4 </w:t>
      </w:r>
      <w:r>
        <w:rPr>
          <w:rFonts w:asciiTheme="minorEastAsia" w:hAnsiTheme="minorEastAsia" w:eastAsiaTheme="minorEastAsia" w:cstheme="minorEastAsia"/>
          <w:color w:val="auto"/>
          <w:spacing w:val="2"/>
          <w:kern w:val="0"/>
          <w:highlight w:val="none"/>
        </w:rPr>
        <w:t>招标人及其工作人员不得以任何理由向中标人推荐</w:t>
      </w:r>
      <w:r>
        <w:rPr>
          <w:rFonts w:asciiTheme="minorEastAsia" w:hAnsiTheme="minorEastAsia" w:eastAsiaTheme="minorEastAsia" w:cstheme="minorEastAsia"/>
          <w:color w:val="auto"/>
          <w:spacing w:val="1"/>
          <w:kern w:val="0"/>
          <w:highlight w:val="none"/>
        </w:rPr>
        <w:t>分</w:t>
      </w:r>
      <w:r>
        <w:rPr>
          <w:rFonts w:asciiTheme="minorEastAsia" w:hAnsiTheme="minorEastAsia" w:eastAsiaTheme="minorEastAsia" w:cstheme="minorEastAsia"/>
          <w:color w:val="auto"/>
          <w:spacing w:val="2"/>
          <w:kern w:val="0"/>
          <w:highlight w:val="none"/>
        </w:rPr>
        <w:t xml:space="preserve">包人、推销材料和工程设备，不 </w:t>
      </w:r>
      <w:r>
        <w:rPr>
          <w:rFonts w:asciiTheme="minorEastAsia" w:hAnsiTheme="minorEastAsia" w:eastAsiaTheme="minorEastAsia" w:cstheme="minorEastAsia"/>
          <w:color w:val="auto"/>
          <w:kern w:val="0"/>
          <w:highlight w:val="none"/>
        </w:rPr>
        <w:t>得要求中标人购买合同以外的材料和工程设备。</w:t>
      </w:r>
    </w:p>
    <w:p w14:paraId="47708805">
      <w:pPr>
        <w:autoSpaceDE w:val="0"/>
        <w:autoSpaceDN w:val="0"/>
        <w:adjustRightInd w:val="0"/>
        <w:spacing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招标人及其工作人员要秉公办事</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不准营私舞弊</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不准利用职权私自为合同工程安排 施工队伍，也不得从事与合同工程有关的各种有偿中介活动。</w:t>
      </w:r>
    </w:p>
    <w:p w14:paraId="637B6C43">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2.6 </w:t>
      </w:r>
      <w:r>
        <w:rPr>
          <w:rFonts w:asciiTheme="minorEastAsia" w:hAnsiTheme="minorEastAsia" w:eastAsiaTheme="minorEastAsia" w:cstheme="minorEastAsia"/>
          <w:color w:val="auto"/>
          <w:spacing w:val="2"/>
          <w:kern w:val="0"/>
          <w:highlight w:val="none"/>
        </w:rPr>
        <w:t>招标人及其工作人员（含其配偶、子女）不得从事</w:t>
      </w:r>
      <w:r>
        <w:rPr>
          <w:rFonts w:asciiTheme="minorEastAsia" w:hAnsiTheme="minorEastAsia" w:eastAsiaTheme="minorEastAsia" w:cstheme="minorEastAsia"/>
          <w:color w:val="auto"/>
          <w:spacing w:val="1"/>
          <w:kern w:val="0"/>
          <w:highlight w:val="none"/>
        </w:rPr>
        <w:t>与</w:t>
      </w:r>
      <w:r>
        <w:rPr>
          <w:rFonts w:asciiTheme="minorEastAsia" w:hAnsiTheme="minorEastAsia" w:eastAsiaTheme="minorEastAsia" w:cstheme="minorEastAsia"/>
          <w:color w:val="auto"/>
          <w:spacing w:val="2"/>
          <w:kern w:val="0"/>
          <w:highlight w:val="none"/>
        </w:rPr>
        <w:t xml:space="preserve">合同工程有关的材料和工程设备 </w:t>
      </w:r>
      <w:r>
        <w:rPr>
          <w:rFonts w:asciiTheme="minorEastAsia" w:hAnsiTheme="minorEastAsia" w:eastAsiaTheme="minorEastAsia" w:cstheme="minorEastAsia"/>
          <w:color w:val="auto"/>
          <w:kern w:val="0"/>
          <w:highlight w:val="none"/>
        </w:rPr>
        <w:t>供应、工程分包、劳务等经济活动。</w:t>
      </w:r>
    </w:p>
    <w:p w14:paraId="074D7439">
      <w:pPr>
        <w:autoSpaceDE w:val="0"/>
        <w:autoSpaceDN w:val="0"/>
        <w:adjustRightInd w:val="0"/>
        <w:spacing w:before="72" w:line="360" w:lineRule="auto"/>
        <w:ind w:right="185"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3</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中标人义务</w:t>
      </w:r>
    </w:p>
    <w:p w14:paraId="0CE52EF6">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中标人不得以任何理由向招标人及其工作人员行贿或馈赠礼金</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有价证券</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贵重礼品。</w:t>
      </w:r>
    </w:p>
    <w:p w14:paraId="02229F6E">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spacing w:val="5"/>
          <w:kern w:val="0"/>
          <w:highlight w:val="none"/>
        </w:rPr>
        <w:t>中标人不得以任何名义为招标人及其</w:t>
      </w:r>
      <w:r>
        <w:rPr>
          <w:rFonts w:asciiTheme="minorEastAsia" w:hAnsiTheme="minorEastAsia" w:eastAsiaTheme="minorEastAsia" w:cstheme="minorEastAsia"/>
          <w:color w:val="auto"/>
          <w:spacing w:val="4"/>
          <w:kern w:val="0"/>
          <w:highlight w:val="none"/>
        </w:rPr>
        <w:t>工</w:t>
      </w:r>
      <w:r>
        <w:rPr>
          <w:rFonts w:asciiTheme="minorEastAsia" w:hAnsiTheme="minorEastAsia" w:eastAsiaTheme="minorEastAsia" w:cstheme="minorEastAsia"/>
          <w:color w:val="auto"/>
          <w:spacing w:val="6"/>
          <w:kern w:val="0"/>
          <w:highlight w:val="none"/>
        </w:rPr>
        <w:t xml:space="preserve">作人员报销应由招标人或其工作人员个人支 </w:t>
      </w:r>
      <w:r>
        <w:rPr>
          <w:rFonts w:asciiTheme="minorEastAsia" w:hAnsiTheme="minorEastAsia" w:eastAsiaTheme="minorEastAsia" w:cstheme="minorEastAsia"/>
          <w:color w:val="auto"/>
          <w:kern w:val="0"/>
          <w:highlight w:val="none"/>
        </w:rPr>
        <w:t>付的任何费用。</w:t>
      </w:r>
    </w:p>
    <w:p w14:paraId="0681C1DA">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3.3</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中标人不得以任何理由安排招标人及其工作人员参加宴</w:t>
      </w:r>
      <w:r>
        <w:rPr>
          <w:rFonts w:asciiTheme="minorEastAsia" w:hAnsiTheme="minorEastAsia" w:eastAsiaTheme="minorEastAsia" w:cstheme="minorEastAsia"/>
          <w:color w:val="auto"/>
          <w:spacing w:val="-78"/>
          <w:kern w:val="0"/>
          <w:highlight w:val="none"/>
        </w:rPr>
        <w:t>请</w:t>
      </w:r>
      <w:r>
        <w:rPr>
          <w:rFonts w:asciiTheme="minorEastAsia" w:hAnsiTheme="minorEastAsia" w:eastAsiaTheme="minorEastAsia" w:cstheme="minorEastAsia"/>
          <w:color w:val="auto"/>
          <w:kern w:val="0"/>
          <w:highlight w:val="none"/>
        </w:rPr>
        <w:t>（工作餐除外</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及娱乐活动。</w:t>
      </w:r>
    </w:p>
    <w:p w14:paraId="252204C2">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3.4</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中标人不得为招标人和个人购置或提供通讯、交通工具和高档办公用品等物品。</w:t>
      </w:r>
    </w:p>
    <w:p w14:paraId="0279611D">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中标人不得为招标人及其工作人员的住房装修</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婚丧嫁娶活动</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配偶子女工作安排以 及出国出境、旅游等提供方便。</w:t>
      </w:r>
    </w:p>
    <w:p w14:paraId="7EC8A0A5">
      <w:pPr>
        <w:autoSpaceDE w:val="0"/>
        <w:autoSpaceDN w:val="0"/>
        <w:adjustRightInd w:val="0"/>
        <w:spacing w:before="72" w:line="360" w:lineRule="auto"/>
        <w:ind w:right="185"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4</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违约责任</w:t>
      </w:r>
    </w:p>
    <w:p w14:paraId="434094B3">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4.1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招标人及其工作人员违反本合同第1 条和第2 条规定</w:t>
      </w:r>
      <w:r>
        <w:rPr>
          <w:rFonts w:asciiTheme="minorEastAsia" w:hAnsiTheme="minorEastAsia" w:eastAsiaTheme="minorEastAsia" w:cstheme="minorEastAsia"/>
          <w:color w:val="auto"/>
          <w:spacing w:val="-36"/>
          <w:kern w:val="0"/>
          <w:highlight w:val="none"/>
        </w:rPr>
        <w:t>，</w:t>
      </w:r>
      <w:r>
        <w:rPr>
          <w:rFonts w:asciiTheme="minorEastAsia" w:hAnsiTheme="minorEastAsia" w:eastAsiaTheme="minorEastAsia" w:cstheme="minorEastAsia"/>
          <w:color w:val="auto"/>
          <w:kern w:val="0"/>
          <w:highlight w:val="none"/>
        </w:rPr>
        <w:t>应按照廉政建设的有关规定给 予处分；涉嫌犯罪的，移交司法机关追究刑事责任；给中标人造成损失的，应予赔偿。</w:t>
      </w:r>
    </w:p>
    <w:p w14:paraId="6C385252">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4.2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中标人及其工作人员违反本合同第1 条和第3 条规定</w:t>
      </w:r>
      <w:r>
        <w:rPr>
          <w:rFonts w:asciiTheme="minorEastAsia" w:hAnsiTheme="minorEastAsia" w:eastAsiaTheme="minorEastAsia" w:cstheme="minorEastAsia"/>
          <w:color w:val="auto"/>
          <w:spacing w:val="-36"/>
          <w:kern w:val="0"/>
          <w:highlight w:val="none"/>
        </w:rPr>
        <w:t>，</w:t>
      </w:r>
      <w:r>
        <w:rPr>
          <w:rFonts w:asciiTheme="minorEastAsia" w:hAnsiTheme="minorEastAsia" w:eastAsiaTheme="minorEastAsia" w:cstheme="minorEastAsia"/>
          <w:color w:val="auto"/>
          <w:kern w:val="0"/>
          <w:highlight w:val="none"/>
        </w:rPr>
        <w:t>应按照廉政建设的有关规定给 予处分</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情节严重的</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给予中标人1～3 年内不得进入工程建设市场的处罚</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涉嫌犯罪的</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移交 司法机关追究刑事责任；给招标人造成损失的，应予赔偿；</w:t>
      </w:r>
    </w:p>
    <w:p w14:paraId="515B5115">
      <w:pPr>
        <w:autoSpaceDE w:val="0"/>
        <w:autoSpaceDN w:val="0"/>
        <w:adjustRightInd w:val="0"/>
        <w:spacing w:before="16" w:line="360" w:lineRule="auto"/>
        <w:jc w:val="left"/>
        <w:rPr>
          <w:rFonts w:hint="default" w:asciiTheme="minorEastAsia" w:hAnsiTheme="minorEastAsia" w:eastAsiaTheme="minorEastAsia" w:cstheme="minorEastAsia"/>
          <w:color w:val="auto"/>
          <w:kern w:val="0"/>
          <w:szCs w:val="28"/>
          <w:highlight w:val="none"/>
        </w:rPr>
      </w:pPr>
      <w:r>
        <w:rPr>
          <w:rFonts w:asciiTheme="minorEastAsia" w:hAnsiTheme="minorEastAsia" w:eastAsiaTheme="minorEastAsia" w:cstheme="minorEastAsia"/>
          <w:b/>
          <w:bCs/>
          <w:color w:val="auto"/>
          <w:kern w:val="0"/>
          <w:szCs w:val="28"/>
          <w:highlight w:val="none"/>
        </w:rPr>
        <w:t xml:space="preserve">    5</w:t>
      </w:r>
      <w:r>
        <w:rPr>
          <w:rFonts w:asciiTheme="minorEastAsia" w:hAnsiTheme="minorEastAsia" w:eastAsiaTheme="minorEastAsia" w:cstheme="minorEastAsia"/>
          <w:b/>
          <w:bCs/>
          <w:color w:val="auto"/>
          <w:spacing w:val="1"/>
          <w:kern w:val="0"/>
          <w:szCs w:val="28"/>
          <w:highlight w:val="none"/>
        </w:rPr>
        <w:t>双方约定</w:t>
      </w:r>
    </w:p>
    <w:p w14:paraId="577303C7">
      <w:pPr>
        <w:autoSpaceDE w:val="0"/>
        <w:autoSpaceDN w:val="0"/>
        <w:adjustRightInd w:val="0"/>
        <w:spacing w:line="360" w:lineRule="auto"/>
        <w:ind w:right="184" w:firstLine="484"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spacing w:val="1"/>
          <w:kern w:val="0"/>
          <w:highlight w:val="none"/>
        </w:rPr>
        <w:t>本合同由合同双方当事人或其上</w:t>
      </w:r>
      <w:r>
        <w:rPr>
          <w:rFonts w:asciiTheme="minorEastAsia" w:hAnsiTheme="minorEastAsia" w:eastAsiaTheme="minorEastAsia" w:cstheme="minorEastAsia"/>
          <w:color w:val="auto"/>
          <w:kern w:val="0"/>
          <w:highlight w:val="none"/>
        </w:rPr>
        <w:t>级</w:t>
      </w:r>
      <w:r>
        <w:rPr>
          <w:rFonts w:asciiTheme="minorEastAsia" w:hAnsiTheme="minorEastAsia" w:eastAsiaTheme="minorEastAsia" w:cstheme="minorEastAsia"/>
          <w:color w:val="auto"/>
          <w:spacing w:val="1"/>
          <w:kern w:val="0"/>
          <w:highlight w:val="none"/>
        </w:rPr>
        <w:t>部门负责监督执行，并由合</w:t>
      </w:r>
      <w:r>
        <w:rPr>
          <w:rFonts w:asciiTheme="minorEastAsia" w:hAnsiTheme="minorEastAsia" w:eastAsiaTheme="minorEastAsia" w:cstheme="minorEastAsia"/>
          <w:color w:val="auto"/>
          <w:kern w:val="0"/>
          <w:highlight w:val="none"/>
        </w:rPr>
        <w:t>同</w:t>
      </w:r>
      <w:r>
        <w:rPr>
          <w:rFonts w:asciiTheme="minorEastAsia" w:hAnsiTheme="minorEastAsia" w:eastAsiaTheme="minorEastAsia" w:cstheme="minorEastAsia"/>
          <w:color w:val="auto"/>
          <w:spacing w:val="1"/>
          <w:kern w:val="0"/>
          <w:highlight w:val="none"/>
        </w:rPr>
        <w:t xml:space="preserve">双方当事人或其上级部门 </w:t>
      </w:r>
      <w:r>
        <w:rPr>
          <w:rFonts w:asciiTheme="minorEastAsia" w:hAnsiTheme="minorEastAsia" w:eastAsiaTheme="minorEastAsia" w:cstheme="minorEastAsia"/>
          <w:color w:val="auto"/>
          <w:kern w:val="0"/>
          <w:highlight w:val="none"/>
        </w:rPr>
        <w:t>相互约请对本合同执行情况进行检查。</w:t>
      </w:r>
    </w:p>
    <w:p w14:paraId="13A4FD59">
      <w:pPr>
        <w:autoSpaceDE w:val="0"/>
        <w:autoSpaceDN w:val="0"/>
        <w:adjustRightInd w:val="0"/>
        <w:spacing w:line="360" w:lineRule="auto"/>
        <w:ind w:right="184" w:firstLine="482" w:firstLineChars="200"/>
        <w:jc w:val="left"/>
        <w:rPr>
          <w:rFonts w:hint="default" w:asciiTheme="minorEastAsia" w:hAnsiTheme="minorEastAsia" w:eastAsiaTheme="minorEastAsia" w:cstheme="minorEastAsia"/>
          <w:b/>
          <w:bCs/>
          <w:color w:val="auto"/>
          <w:kern w:val="0"/>
          <w:szCs w:val="28"/>
          <w:highlight w:val="none"/>
        </w:rPr>
      </w:pPr>
      <w:r>
        <w:rPr>
          <w:rFonts w:asciiTheme="minorEastAsia" w:hAnsiTheme="minorEastAsia" w:eastAsiaTheme="minorEastAsia" w:cstheme="minorEastAsia"/>
          <w:b/>
          <w:bCs/>
          <w:color w:val="auto"/>
          <w:kern w:val="0"/>
          <w:szCs w:val="28"/>
          <w:highlight w:val="none"/>
        </w:rPr>
        <w:t>6</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kern w:val="0"/>
          <w:szCs w:val="28"/>
          <w:highlight w:val="none"/>
        </w:rPr>
        <w:t xml:space="preserve"> 合同法律效力</w:t>
      </w:r>
    </w:p>
    <w:p w14:paraId="19AFEDB2">
      <w:pPr>
        <w:autoSpaceDE w:val="0"/>
        <w:autoSpaceDN w:val="0"/>
        <w:adjustRightInd w:val="0"/>
        <w:spacing w:line="360" w:lineRule="auto"/>
        <w:ind w:right="184"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本合同作为（工程名称） 工程施工合同的附件，与施工合同具有同等的法律效力。</w:t>
      </w:r>
    </w:p>
    <w:p w14:paraId="6E36531C">
      <w:pPr>
        <w:autoSpaceDE w:val="0"/>
        <w:autoSpaceDN w:val="0"/>
        <w:adjustRightInd w:val="0"/>
        <w:spacing w:line="360" w:lineRule="auto"/>
        <w:ind w:right="184" w:firstLine="482" w:firstLineChars="200"/>
        <w:jc w:val="left"/>
        <w:rPr>
          <w:rFonts w:hint="default" w:asciiTheme="minorEastAsia" w:hAnsiTheme="minorEastAsia" w:eastAsiaTheme="minorEastAsia" w:cstheme="minorEastAsia"/>
          <w:color w:val="auto"/>
          <w:kern w:val="0"/>
          <w:szCs w:val="28"/>
          <w:highlight w:val="none"/>
        </w:rPr>
      </w:pPr>
      <w:r>
        <w:rPr>
          <w:rFonts w:asciiTheme="minorEastAsia" w:hAnsiTheme="minorEastAsia" w:eastAsiaTheme="minorEastAsia" w:cstheme="minorEastAsia"/>
          <w:b/>
          <w:bCs/>
          <w:color w:val="auto"/>
          <w:kern w:val="0"/>
          <w:szCs w:val="28"/>
          <w:highlight w:val="none"/>
        </w:rPr>
        <w:t>7</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合同生效</w:t>
      </w:r>
    </w:p>
    <w:p w14:paraId="6F7829E6">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本合同自合同双方当事人签署之日起生效，至合同工程竣工验收合格之日后失效。</w:t>
      </w:r>
    </w:p>
    <w:p w14:paraId="5E246FD2">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8</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合同份数</w:t>
      </w:r>
    </w:p>
    <w:p w14:paraId="17302FDC">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本合同一</w:t>
      </w:r>
      <w:r>
        <w:rPr>
          <w:rFonts w:asciiTheme="minorEastAsia" w:hAnsiTheme="minorEastAsia" w:eastAsiaTheme="minorEastAsia" w:cstheme="minorEastAsia"/>
          <w:color w:val="auto"/>
          <w:spacing w:val="1"/>
          <w:kern w:val="0"/>
          <w:highlight w:val="none"/>
        </w:rPr>
        <w:t>式</w:t>
      </w:r>
      <w:r>
        <w:rPr>
          <w:rFonts w:asciiTheme="minorEastAsia" w:hAnsiTheme="minorEastAsia" w:eastAsiaTheme="minorEastAsia" w:cstheme="minorEastAsia"/>
          <w:color w:val="auto"/>
          <w:kern w:val="0"/>
          <w:highlight w:val="none"/>
        </w:rPr>
        <w:t>份，合同双方当事人各</w:t>
      </w:r>
      <w:r>
        <w:rPr>
          <w:rFonts w:asciiTheme="minorEastAsia" w:hAnsiTheme="minorEastAsia" w:eastAsiaTheme="minorEastAsia" w:cstheme="minorEastAsia"/>
          <w:color w:val="auto"/>
          <w:spacing w:val="2"/>
          <w:kern w:val="0"/>
          <w:highlight w:val="none"/>
        </w:rPr>
        <w:t>执</w:t>
      </w:r>
      <w:r>
        <w:rPr>
          <w:rFonts w:asciiTheme="minorEastAsia" w:hAnsiTheme="minorEastAsia" w:eastAsiaTheme="minorEastAsia" w:cstheme="minorEastAsia"/>
          <w:color w:val="auto"/>
          <w:spacing w:val="1"/>
          <w:kern w:val="0"/>
          <w:highlight w:val="none"/>
        </w:rPr>
        <w:t>份。有上级部门的，合同双方当事人应各送</w:t>
      </w:r>
      <w:r>
        <w:rPr>
          <w:rFonts w:asciiTheme="minorEastAsia" w:hAnsiTheme="minorEastAsia" w:eastAsiaTheme="minorEastAsia" w:cstheme="minorEastAsia"/>
          <w:color w:val="auto"/>
          <w:kern w:val="0"/>
          <w:highlight w:val="none"/>
        </w:rPr>
        <w:t>交其上级部门一份。</w:t>
      </w:r>
    </w:p>
    <w:p w14:paraId="7E234070">
      <w:pPr>
        <w:autoSpaceDE w:val="0"/>
        <w:autoSpaceDN w:val="0"/>
        <w:adjustRightInd w:val="0"/>
        <w:spacing w:before="3" w:line="130" w:lineRule="exact"/>
        <w:jc w:val="left"/>
        <w:rPr>
          <w:rFonts w:hint="default" w:asciiTheme="minorEastAsia" w:hAnsiTheme="minorEastAsia" w:eastAsiaTheme="minorEastAsia" w:cstheme="minorEastAsia"/>
          <w:color w:val="auto"/>
          <w:kern w:val="0"/>
          <w:szCs w:val="13"/>
          <w:highlight w:val="none"/>
        </w:rPr>
      </w:pPr>
    </w:p>
    <w:p w14:paraId="3C589D0E">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494C7706">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45236FBD">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01CD17CF">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2669A7D4">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2AFE08F9">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4D4E1CC0">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7120C90C">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3C6C049C">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发 包 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（公章）</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 xml:space="preserve">                    承 包 人 </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 xml:space="preserve">（公章） </w:t>
      </w:r>
    </w:p>
    <w:p w14:paraId="24F85D47">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法定代表人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（签字）</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 xml:space="preserve">                 法定代表人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 xml:space="preserve">（签字） </w:t>
      </w:r>
    </w:p>
    <w:p w14:paraId="4A9F8B5F">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u w:val="single"/>
        </w:rPr>
      </w:pPr>
      <w:r>
        <w:rPr>
          <w:rFonts w:asciiTheme="minorEastAsia" w:hAnsiTheme="minorEastAsia" w:eastAsiaTheme="minorEastAsia" w:cstheme="minorEastAsia"/>
          <w:color w:val="auto"/>
          <w:kern w:val="0"/>
          <w:highlight w:val="none"/>
        </w:rPr>
        <w:t xml:space="preserve">     联系电话：</w:t>
      </w:r>
      <w:r>
        <w:rPr>
          <w:rFonts w:asciiTheme="minorEastAsia" w:hAnsiTheme="minorEastAsia" w:eastAsiaTheme="minorEastAsia" w:cstheme="minorEastAsia"/>
          <w:color w:val="auto"/>
          <w:kern w:val="0"/>
          <w:highlight w:val="none"/>
          <w:u w:val="single"/>
        </w:rPr>
        <w:tab/>
      </w:r>
      <w:r>
        <w:rPr>
          <w:rFonts w:asciiTheme="minorEastAsia" w:hAnsiTheme="minorEastAsia" w:eastAsiaTheme="minorEastAsia" w:cstheme="minorEastAsia"/>
          <w:color w:val="auto"/>
          <w:kern w:val="0"/>
          <w:highlight w:val="none"/>
          <w:u w:val="single"/>
        </w:rPr>
        <w:tab/>
      </w:r>
      <w:r>
        <w:rPr>
          <w:rFonts w:asciiTheme="minorEastAsia" w:hAnsiTheme="minorEastAsia" w:eastAsiaTheme="minorEastAsia" w:cstheme="minorEastAsia"/>
          <w:color w:val="auto"/>
          <w:kern w:val="0"/>
          <w:highlight w:val="none"/>
        </w:rPr>
        <w:t xml:space="preserve">                     联系电话：</w:t>
      </w:r>
    </w:p>
    <w:p w14:paraId="06B67E02">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上级部门：（公章）                     上级部门：（公章）</w:t>
      </w:r>
    </w:p>
    <w:p w14:paraId="68A993B1">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p>
    <w:p w14:paraId="0370EB05">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p>
    <w:p w14:paraId="56B81143">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年   月    日                                年   月   日</w:t>
      </w:r>
    </w:p>
    <w:p w14:paraId="695B844D">
      <w:pPr>
        <w:spacing w:line="360" w:lineRule="auto"/>
        <w:rPr>
          <w:rFonts w:hint="default" w:asciiTheme="minorEastAsia" w:hAnsiTheme="minorEastAsia" w:eastAsiaTheme="minorEastAsia" w:cstheme="minorEastAsia"/>
          <w:b/>
          <w:bCs/>
          <w:color w:val="auto"/>
          <w:sz w:val="32"/>
          <w:szCs w:val="32"/>
          <w:highlight w:val="none"/>
        </w:rPr>
      </w:pPr>
    </w:p>
    <w:p w14:paraId="20DA2A12">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55" w:name="_Toc28513"/>
      <w:bookmarkStart w:id="656" w:name="_Toc6897"/>
      <w:bookmarkStart w:id="657" w:name="_Toc29017"/>
      <w:bookmarkStart w:id="658" w:name="_Toc18530"/>
      <w:bookmarkStart w:id="659" w:name="_Toc126"/>
      <w:bookmarkStart w:id="660" w:name="_Toc24859"/>
      <w:bookmarkStart w:id="661" w:name="_Toc20715"/>
      <w:bookmarkStart w:id="662" w:name="_Toc11559"/>
      <w:r>
        <w:rPr>
          <w:rFonts w:hint="eastAsia" w:asciiTheme="minorEastAsia" w:hAnsiTheme="minorEastAsia" w:eastAsiaTheme="minorEastAsia" w:cstheme="minorEastAsia"/>
          <w:bCs/>
          <w:color w:val="auto"/>
          <w:sz w:val="32"/>
          <w:szCs w:val="32"/>
          <w:highlight w:val="none"/>
        </w:rPr>
        <w:br w:type="page"/>
      </w:r>
      <w:bookmarkStart w:id="663" w:name="_Toc32293"/>
      <w:bookmarkStart w:id="664" w:name="_Toc30796"/>
      <w:bookmarkStart w:id="665" w:name="_Toc10245"/>
      <w:r>
        <w:rPr>
          <w:rFonts w:hint="eastAsia" w:asciiTheme="minorEastAsia" w:hAnsiTheme="minorEastAsia" w:eastAsiaTheme="minorEastAsia" w:cstheme="minorEastAsia"/>
          <w:bCs/>
          <w:color w:val="auto"/>
          <w:sz w:val="32"/>
          <w:szCs w:val="32"/>
          <w:highlight w:val="none"/>
        </w:rPr>
        <w:t>履约保函</w:t>
      </w:r>
      <w:bookmarkEnd w:id="655"/>
      <w:bookmarkEnd w:id="656"/>
      <w:bookmarkEnd w:id="657"/>
      <w:bookmarkEnd w:id="658"/>
      <w:bookmarkEnd w:id="659"/>
      <w:bookmarkEnd w:id="660"/>
      <w:bookmarkEnd w:id="661"/>
      <w:bookmarkEnd w:id="662"/>
      <w:bookmarkEnd w:id="663"/>
      <w:bookmarkEnd w:id="664"/>
      <w:bookmarkEnd w:id="665"/>
    </w:p>
    <w:p w14:paraId="3D0CB164">
      <w:pPr>
        <w:spacing w:line="360" w:lineRule="auto"/>
        <w:jc w:val="center"/>
        <w:rPr>
          <w:rFonts w:hint="default" w:asciiTheme="minorEastAsia" w:hAnsiTheme="minorEastAsia" w:eastAsiaTheme="minorEastAsia" w:cstheme="minorEastAsia"/>
          <w:b/>
          <w:bCs/>
          <w:color w:val="auto"/>
          <w:sz w:val="32"/>
          <w:szCs w:val="32"/>
          <w:highlight w:val="none"/>
        </w:rPr>
      </w:pPr>
    </w:p>
    <w:p w14:paraId="3A57C10C">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1FEF895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5F42B70C">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4BB444B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27B555CE">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6F40AAA7">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6984182F">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37EA7D74">
      <w:pPr>
        <w:spacing w:line="360" w:lineRule="auto"/>
        <w:rPr>
          <w:rFonts w:hint="default" w:asciiTheme="minorEastAsia" w:hAnsiTheme="minorEastAsia" w:eastAsiaTheme="minorEastAsia" w:cstheme="minorEastAsia"/>
          <w:color w:val="auto"/>
          <w:szCs w:val="24"/>
          <w:highlight w:val="none"/>
        </w:rPr>
      </w:pPr>
    </w:p>
    <w:p w14:paraId="3E29DA7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（受益人名称）： </w:t>
      </w:r>
    </w:p>
    <w:p w14:paraId="16EB8D7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74F9242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w:t>
      </w:r>
      <w:r>
        <w:rPr>
          <w:rFonts w:hint="eastAsia" w:asciiTheme="minorEastAsia" w:hAnsiTheme="minorEastAsia" w:eastAsiaTheme="minorEastAsia" w:cstheme="minorEastAsia"/>
          <w:color w:val="auto"/>
          <w:szCs w:val="24"/>
          <w:highlight w:val="none"/>
          <w:lang w:eastAsia="zh-CN"/>
        </w:rPr>
        <w:t>申请人</w:t>
      </w:r>
      <w:r>
        <w:rPr>
          <w:rFonts w:asciiTheme="minorEastAsia" w:hAnsiTheme="minorEastAsia" w:eastAsiaTheme="minorEastAsia" w:cstheme="minorEastAsia"/>
          <w:color w:val="auto"/>
          <w:szCs w:val="24"/>
          <w:highlight w:val="none"/>
        </w:rPr>
        <w:t>未按照基础合同的约定履行义务，应当向贵方承担的违约责任和赔偿因此造成的损失、利息、律师费、诉讼费用等实现债权的费用。</w:t>
      </w:r>
    </w:p>
    <w:p w14:paraId="784E943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77D1CC8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三、本保函有效期自开立之日起至基础合同约定的缺陷责任期后日止，最迟不超过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 xml:space="preserve">。 </w:t>
      </w:r>
    </w:p>
    <w:p w14:paraId="699FABB1">
      <w:pPr>
        <w:spacing w:line="360" w:lineRule="auto"/>
        <w:ind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76F96EA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16D8737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46955929">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3B745FE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17DFE30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7ECFE08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14C9531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429822F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3E31B1A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39AEA2F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2B38C1C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763DCD9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6155302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7B48AAD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57E9FE7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6A42787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3F2B5F9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126D8FFC">
      <w:pPr>
        <w:spacing w:line="360" w:lineRule="auto"/>
        <w:ind w:firstLine="480" w:firstLineChars="200"/>
        <w:rPr>
          <w:rFonts w:hint="default" w:asciiTheme="minorEastAsia" w:hAnsiTheme="minorEastAsia" w:eastAsiaTheme="minorEastAsia" w:cstheme="minorEastAsia"/>
          <w:color w:val="auto"/>
          <w:highlight w:val="none"/>
        </w:rPr>
      </w:pPr>
      <w:r>
        <w:rPr>
          <w:rFonts w:asciiTheme="minorEastAsia" w:hAnsiTheme="minorEastAsia" w:eastAsiaTheme="minorEastAsia" w:cstheme="minorEastAsia"/>
          <w:color w:val="auto"/>
          <w:szCs w:val="24"/>
          <w:highlight w:val="none"/>
        </w:rPr>
        <w:t xml:space="preserve">开立时间：      年      月    </w:t>
      </w:r>
    </w:p>
    <w:p w14:paraId="41B101F5">
      <w:pPr>
        <w:spacing w:line="374" w:lineRule="auto"/>
        <w:ind w:left="698" w:right="524"/>
        <w:jc w:val="left"/>
        <w:rPr>
          <w:rFonts w:hint="default" w:asciiTheme="minorEastAsia" w:hAnsiTheme="minorEastAsia" w:eastAsiaTheme="minorEastAsia" w:cstheme="minorEastAsia"/>
          <w:strike/>
          <w:color w:val="auto"/>
          <w:szCs w:val="24"/>
          <w:highlight w:val="none"/>
        </w:rPr>
        <w:sectPr>
          <w:headerReference r:id="rId8" w:type="default"/>
          <w:footerReference r:id="rId9" w:type="default"/>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58AA5B77">
      <w:pPr>
        <w:pStyle w:val="63"/>
        <w:spacing w:line="440" w:lineRule="exact"/>
        <w:ind w:firstLine="0" w:firstLineChars="0"/>
        <w:rPr>
          <w:rFonts w:asciiTheme="minorEastAsia" w:hAnsiTheme="minorEastAsia" w:eastAsiaTheme="minorEastAsia" w:cstheme="minorEastAsia"/>
          <w:dstrike/>
          <w:color w:val="auto"/>
          <w:kern w:val="0"/>
          <w:highlight w:val="none"/>
        </w:rPr>
      </w:pPr>
    </w:p>
    <w:p w14:paraId="77A6B03F">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66" w:name="_Toc3541"/>
      <w:bookmarkStart w:id="667" w:name="_Toc24975"/>
      <w:bookmarkStart w:id="668" w:name="_Toc2375"/>
      <w:bookmarkStart w:id="669" w:name="_Toc15298"/>
      <w:bookmarkStart w:id="670" w:name="_Toc26369"/>
      <w:bookmarkStart w:id="671" w:name="_Toc31569"/>
      <w:bookmarkStart w:id="672" w:name="_Toc3712"/>
      <w:bookmarkStart w:id="673" w:name="_Toc20309"/>
      <w:bookmarkStart w:id="674" w:name="_Toc31730"/>
      <w:bookmarkStart w:id="675" w:name="_Toc19146"/>
      <w:bookmarkStart w:id="676" w:name="_Toc4768"/>
      <w:r>
        <w:rPr>
          <w:rFonts w:hint="eastAsia" w:asciiTheme="minorEastAsia" w:hAnsiTheme="minorEastAsia" w:eastAsiaTheme="minorEastAsia" w:cstheme="minorEastAsia"/>
          <w:bCs/>
          <w:color w:val="auto"/>
          <w:sz w:val="32"/>
          <w:szCs w:val="32"/>
          <w:highlight w:val="none"/>
        </w:rPr>
        <w:t>预付款保函</w:t>
      </w:r>
      <w:bookmarkEnd w:id="666"/>
      <w:bookmarkEnd w:id="667"/>
      <w:bookmarkEnd w:id="668"/>
      <w:bookmarkEnd w:id="669"/>
      <w:bookmarkEnd w:id="670"/>
      <w:bookmarkEnd w:id="671"/>
      <w:bookmarkEnd w:id="672"/>
      <w:bookmarkEnd w:id="673"/>
      <w:bookmarkEnd w:id="674"/>
      <w:bookmarkEnd w:id="675"/>
      <w:bookmarkEnd w:id="676"/>
    </w:p>
    <w:p w14:paraId="1AB10B18">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06217A53">
      <w:pPr>
        <w:spacing w:line="360" w:lineRule="auto"/>
        <w:rPr>
          <w:rFonts w:hint="default" w:asciiTheme="minorEastAsia" w:hAnsiTheme="minorEastAsia" w:eastAsiaTheme="minorEastAsia" w:cstheme="minorEastAsia"/>
          <w:color w:val="auto"/>
          <w:szCs w:val="24"/>
          <w:highlight w:val="none"/>
        </w:rPr>
      </w:pPr>
    </w:p>
    <w:p w14:paraId="697E4082">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452EB21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6E2B15D8">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7406E942">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5F9C67FA">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0A4D309F">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250B59F8">
      <w:pPr>
        <w:spacing w:line="360" w:lineRule="auto"/>
        <w:rPr>
          <w:rFonts w:hint="default" w:asciiTheme="minorEastAsia" w:hAnsiTheme="minorEastAsia" w:eastAsiaTheme="minorEastAsia" w:cstheme="minorEastAsia"/>
          <w:color w:val="auto"/>
          <w:szCs w:val="24"/>
          <w:highlight w:val="none"/>
        </w:rPr>
      </w:pPr>
    </w:p>
    <w:p w14:paraId="29A57056">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（受益人名称）： </w:t>
      </w:r>
    </w:p>
    <w:p w14:paraId="791AAF0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主合同了解到申请人为主合同项下之中标人，受益人为主合同项下之招标人，基于申请人的请求，我方同意就申请人按照合同约定正确和合理地为合同目的使用预付款，向贵方提供不可撤销、不可转让的见索即付独立保函（以下简称“本保函”）。 </w:t>
      </w:r>
    </w:p>
    <w:p w14:paraId="341132D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40106F7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3505745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三、本保函有效期自开立之日起至招标人全额扣回预付款后日止，最迟不超过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w:t>
      </w:r>
    </w:p>
    <w:p w14:paraId="315EF13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3A2C130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2FAE074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03DDE37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4E8F95D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3AF388B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4832F14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660A772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13EECB1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6FA9762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63D24B4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40E8F90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044A34DC">
      <w:pPr>
        <w:spacing w:line="360" w:lineRule="auto"/>
        <w:ind w:firstLine="480" w:firstLineChars="200"/>
        <w:rPr>
          <w:rFonts w:hint="default" w:asciiTheme="minorEastAsia" w:hAnsiTheme="minorEastAsia" w:eastAsiaTheme="minorEastAsia" w:cstheme="minorEastAsia"/>
          <w:color w:val="auto"/>
          <w:szCs w:val="24"/>
          <w:highlight w:val="none"/>
        </w:rPr>
      </w:pPr>
    </w:p>
    <w:p w14:paraId="798BA67C">
      <w:pPr>
        <w:spacing w:line="360" w:lineRule="auto"/>
        <w:ind w:firstLine="480" w:firstLineChars="200"/>
        <w:rPr>
          <w:rFonts w:hint="default" w:asciiTheme="minorEastAsia" w:hAnsiTheme="minorEastAsia" w:eastAsiaTheme="minorEastAsia" w:cstheme="minorEastAsia"/>
          <w:color w:val="auto"/>
          <w:szCs w:val="24"/>
          <w:highlight w:val="none"/>
        </w:rPr>
      </w:pPr>
    </w:p>
    <w:p w14:paraId="03AC6E6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2644224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4A3388E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356CD8B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6A26F3A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1B7CE25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3218141F">
      <w:pPr>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开立时间：      年      月        日</w:t>
      </w:r>
    </w:p>
    <w:p w14:paraId="557B2414">
      <w:pPr>
        <w:ind w:firstLine="480" w:firstLineChars="200"/>
        <w:rPr>
          <w:rFonts w:hint="default" w:asciiTheme="minorEastAsia" w:hAnsiTheme="minorEastAsia" w:eastAsiaTheme="minorEastAsia" w:cstheme="minorEastAsia"/>
          <w:color w:val="auto"/>
          <w:szCs w:val="24"/>
          <w:highlight w:val="none"/>
        </w:rPr>
      </w:pPr>
    </w:p>
    <w:p w14:paraId="368F59D2">
      <w:pPr>
        <w:rPr>
          <w:rFonts w:hint="default" w:asciiTheme="minorEastAsia" w:hAnsiTheme="minorEastAsia" w:eastAsiaTheme="minorEastAsia" w:cstheme="minorEastAsia"/>
          <w:color w:val="auto"/>
          <w:highlight w:val="none"/>
        </w:rPr>
      </w:pPr>
    </w:p>
    <w:p w14:paraId="44743973">
      <w:pPr>
        <w:rPr>
          <w:rFonts w:hint="default" w:asciiTheme="minorEastAsia" w:hAnsiTheme="minorEastAsia" w:eastAsiaTheme="minorEastAsia" w:cstheme="minorEastAsia"/>
          <w:color w:val="auto"/>
          <w:highlight w:val="none"/>
        </w:rPr>
      </w:pPr>
    </w:p>
    <w:p w14:paraId="38DC66D1">
      <w:pPr>
        <w:rPr>
          <w:rFonts w:hint="default" w:asciiTheme="minorEastAsia" w:hAnsiTheme="minorEastAsia" w:eastAsiaTheme="minorEastAsia" w:cstheme="minorEastAsia"/>
          <w:color w:val="auto"/>
          <w:highlight w:val="none"/>
        </w:rPr>
      </w:pPr>
      <w:bookmarkStart w:id="677" w:name="_Toc6524"/>
    </w:p>
    <w:p w14:paraId="66163675">
      <w:pPr>
        <w:rPr>
          <w:rFonts w:hint="default" w:asciiTheme="minorEastAsia" w:hAnsiTheme="minorEastAsia" w:eastAsiaTheme="minorEastAsia" w:cstheme="minorEastAsia"/>
          <w:color w:val="auto"/>
          <w:highlight w:val="none"/>
        </w:rPr>
      </w:pPr>
    </w:p>
    <w:p w14:paraId="4B2258F1">
      <w:pPr>
        <w:pStyle w:val="4"/>
        <w:ind w:left="3488" w:leftChars="174" w:hanging="3070" w:hangingChars="1274"/>
        <w:jc w:val="center"/>
        <w:rPr>
          <w:rFonts w:asciiTheme="minorEastAsia" w:hAnsiTheme="minorEastAsia" w:eastAsiaTheme="minorEastAsia" w:cstheme="minorEastAsia"/>
          <w:bCs/>
          <w:color w:val="auto"/>
          <w:szCs w:val="32"/>
          <w:highlight w:val="none"/>
        </w:rPr>
      </w:pPr>
      <w:bookmarkStart w:id="678" w:name="_Toc1401"/>
      <w:bookmarkStart w:id="679" w:name="_Toc3493"/>
      <w:bookmarkStart w:id="680" w:name="_Toc7920"/>
      <w:bookmarkStart w:id="681" w:name="_Toc18000"/>
      <w:bookmarkStart w:id="682" w:name="_Toc12376"/>
      <w:bookmarkStart w:id="683" w:name="_Toc1606"/>
      <w:bookmarkStart w:id="684" w:name="_Toc25691"/>
      <w:bookmarkStart w:id="685" w:name="_Toc27131"/>
      <w:r>
        <w:rPr>
          <w:rFonts w:hint="eastAsia" w:asciiTheme="minorEastAsia" w:hAnsiTheme="minorEastAsia" w:eastAsiaTheme="minorEastAsia" w:cstheme="minorEastAsia"/>
          <w:color w:val="auto"/>
          <w:highlight w:val="none"/>
        </w:rPr>
        <w:br w:type="page"/>
      </w:r>
      <w:bookmarkStart w:id="686" w:name="_Toc14563"/>
      <w:bookmarkStart w:id="687" w:name="_Toc3674"/>
      <w:bookmarkStart w:id="688" w:name="_Toc9772"/>
      <w:r>
        <w:rPr>
          <w:rFonts w:hint="eastAsia" w:asciiTheme="minorEastAsia" w:hAnsiTheme="minorEastAsia" w:eastAsiaTheme="minorEastAsia" w:cstheme="minorEastAsia"/>
          <w:bCs/>
          <w:color w:val="auto"/>
          <w:sz w:val="32"/>
          <w:szCs w:val="32"/>
          <w:highlight w:val="none"/>
        </w:rPr>
        <w:t>支付保函</w:t>
      </w:r>
      <w:bookmarkEnd w:id="677"/>
      <w:bookmarkEnd w:id="678"/>
      <w:bookmarkEnd w:id="679"/>
      <w:bookmarkEnd w:id="680"/>
      <w:bookmarkEnd w:id="681"/>
      <w:bookmarkEnd w:id="682"/>
      <w:bookmarkEnd w:id="683"/>
      <w:bookmarkEnd w:id="684"/>
      <w:bookmarkEnd w:id="685"/>
      <w:bookmarkEnd w:id="686"/>
      <w:bookmarkEnd w:id="687"/>
      <w:bookmarkEnd w:id="688"/>
    </w:p>
    <w:p w14:paraId="30B061C1">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03520307">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289D67AF">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7F18A395">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5A915A9A">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7A595CD0">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21F1F77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1BE084F5">
      <w:pPr>
        <w:spacing w:line="360" w:lineRule="auto"/>
        <w:rPr>
          <w:rFonts w:hint="default" w:asciiTheme="minorEastAsia" w:hAnsiTheme="minorEastAsia" w:eastAsiaTheme="minorEastAsia" w:cstheme="minorEastAsia"/>
          <w:color w:val="auto"/>
          <w:szCs w:val="24"/>
          <w:highlight w:val="none"/>
        </w:rPr>
      </w:pPr>
    </w:p>
    <w:p w14:paraId="07B58AC5">
      <w:pPr>
        <w:spacing w:line="360" w:lineRule="auto"/>
        <w:rPr>
          <w:rFonts w:hint="default" w:asciiTheme="minorEastAsia" w:hAnsiTheme="minorEastAsia" w:eastAsiaTheme="minorEastAsia" w:cstheme="minorEastAsia"/>
          <w:color w:val="auto"/>
          <w:szCs w:val="24"/>
          <w:highlight w:val="none"/>
        </w:rPr>
      </w:pPr>
      <w:bookmarkStart w:id="689" w:name="_Hlk40355074"/>
      <w:r>
        <w:rPr>
          <w:rFonts w:asciiTheme="minorEastAsia" w:hAnsiTheme="minorEastAsia" w:eastAsiaTheme="minorEastAsia" w:cstheme="minorEastAsia"/>
          <w:color w:val="auto"/>
          <w:szCs w:val="24"/>
          <w:highlight w:val="none"/>
        </w:rPr>
        <w:t xml:space="preserve">（受益人名称）： </w:t>
      </w:r>
    </w:p>
    <w:bookmarkEnd w:id="689"/>
    <w:p w14:paraId="0F2C59A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基础合同了解到申请人为基础合同项下之招标人，受益人为基础合同项下之中标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001B29A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一、本保函担保范围：申请人未履行基础合同约定的工程款支付义务，应当向贵方承担的违约责任和赔偿因此造成的损失、利息、律师费、诉讼费用等实现债权的费用。</w:t>
      </w:r>
    </w:p>
    <w:p w14:paraId="4205736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09D582F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三、本保函有效期自开立之日起至基础合同约定的除工程质量保修金以外的全部工程结算款项支付之日后日止，最迟不超过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 xml:space="preserve">。 </w:t>
      </w:r>
    </w:p>
    <w:p w14:paraId="37374492">
      <w:pPr>
        <w:spacing w:line="360" w:lineRule="auto"/>
        <w:ind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626337D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304562F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606BE97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445229A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14CF24C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5D829DB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0FF8E4F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3487B2E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342DBF8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2F1125E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47EF7CC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九、本保函自我方法定代表人</w:t>
      </w:r>
      <w:bookmarkStart w:id="690" w:name="_Hlk58487855"/>
      <w:r>
        <w:rPr>
          <w:rFonts w:asciiTheme="minorEastAsia" w:hAnsiTheme="minorEastAsia" w:eastAsiaTheme="minorEastAsia" w:cstheme="minorEastAsia"/>
          <w:color w:val="auto"/>
          <w:szCs w:val="24"/>
          <w:highlight w:val="none"/>
        </w:rPr>
        <w:t>或授权代表</w:t>
      </w:r>
      <w:bookmarkEnd w:id="690"/>
      <w:r>
        <w:rPr>
          <w:rFonts w:asciiTheme="minorEastAsia" w:hAnsiTheme="minorEastAsia" w:eastAsiaTheme="minorEastAsia" w:cstheme="minorEastAsia"/>
          <w:color w:val="auto"/>
          <w:szCs w:val="24"/>
          <w:highlight w:val="none"/>
        </w:rPr>
        <w:t xml:space="preserve">签字并加盖公章之日起生效。 </w:t>
      </w:r>
    </w:p>
    <w:p w14:paraId="7059B3D5">
      <w:pPr>
        <w:spacing w:line="360" w:lineRule="auto"/>
        <w:ind w:firstLine="480" w:firstLineChars="200"/>
        <w:rPr>
          <w:rFonts w:hint="default" w:asciiTheme="minorEastAsia" w:hAnsiTheme="minorEastAsia" w:eastAsiaTheme="minorEastAsia" w:cstheme="minorEastAsia"/>
          <w:color w:val="auto"/>
          <w:szCs w:val="24"/>
          <w:highlight w:val="none"/>
        </w:rPr>
      </w:pPr>
    </w:p>
    <w:p w14:paraId="45CE566A">
      <w:pPr>
        <w:spacing w:line="360" w:lineRule="auto"/>
        <w:ind w:firstLine="480" w:firstLineChars="200"/>
        <w:rPr>
          <w:rFonts w:hint="default" w:asciiTheme="minorEastAsia" w:hAnsiTheme="minorEastAsia" w:eastAsiaTheme="minorEastAsia" w:cstheme="minorEastAsia"/>
          <w:color w:val="auto"/>
          <w:szCs w:val="24"/>
          <w:highlight w:val="none"/>
        </w:rPr>
      </w:pPr>
    </w:p>
    <w:p w14:paraId="5B66BF4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6F43DED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0161E3A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156785B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75F197B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4BA347F9">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491C85FC">
      <w:pPr>
        <w:spacing w:line="360" w:lineRule="auto"/>
        <w:ind w:firstLine="480" w:firstLineChars="200"/>
        <w:rPr>
          <w:rFonts w:hint="default" w:asciiTheme="minorEastAsia" w:hAnsiTheme="minorEastAsia" w:eastAsiaTheme="minorEastAsia" w:cstheme="minorEastAsia"/>
          <w:color w:val="auto"/>
          <w:highlight w:val="none"/>
        </w:rPr>
      </w:pPr>
      <w:r>
        <w:rPr>
          <w:rFonts w:asciiTheme="minorEastAsia" w:hAnsiTheme="minorEastAsia" w:eastAsiaTheme="minorEastAsia" w:cstheme="minorEastAsia"/>
          <w:color w:val="auto"/>
          <w:szCs w:val="24"/>
          <w:highlight w:val="none"/>
        </w:rPr>
        <w:t>开立时间：      年      月        日</w:t>
      </w:r>
    </w:p>
    <w:p w14:paraId="53714169">
      <w:pPr>
        <w:spacing w:line="374" w:lineRule="auto"/>
        <w:ind w:left="698" w:right="524"/>
        <w:jc w:val="left"/>
        <w:rPr>
          <w:rFonts w:hint="default" w:asciiTheme="minorEastAsia" w:hAnsiTheme="minorEastAsia" w:eastAsiaTheme="minorEastAsia" w:cstheme="minorEastAsia"/>
          <w:color w:val="auto"/>
          <w:szCs w:val="24"/>
          <w:highlight w:val="none"/>
        </w:rPr>
      </w:pPr>
    </w:p>
    <w:p w14:paraId="0A9B3CC8">
      <w:pPr>
        <w:pStyle w:val="32"/>
        <w:rPr>
          <w:rFonts w:asciiTheme="minorEastAsia" w:hAnsiTheme="minorEastAsia" w:eastAsiaTheme="minorEastAsia" w:cstheme="minorEastAsia"/>
          <w:color w:val="auto"/>
          <w:sz w:val="24"/>
          <w:highlight w:val="none"/>
        </w:rPr>
      </w:pPr>
    </w:p>
    <w:p w14:paraId="3FA31910">
      <w:pPr>
        <w:rPr>
          <w:rFonts w:hint="default" w:asciiTheme="minorEastAsia" w:hAnsiTheme="minorEastAsia" w:eastAsiaTheme="minorEastAsia" w:cstheme="minorEastAsia"/>
          <w:color w:val="auto"/>
          <w:highlight w:val="none"/>
        </w:rPr>
      </w:pPr>
    </w:p>
    <w:p w14:paraId="25A4C494">
      <w:pPr>
        <w:pStyle w:val="32"/>
        <w:rPr>
          <w:rFonts w:asciiTheme="minorEastAsia" w:hAnsiTheme="minorEastAsia" w:eastAsiaTheme="minorEastAsia" w:cstheme="minorEastAsia"/>
          <w:color w:val="auto"/>
          <w:sz w:val="24"/>
          <w:highlight w:val="none"/>
        </w:rPr>
      </w:pPr>
    </w:p>
    <w:p w14:paraId="67606639">
      <w:pPr>
        <w:spacing w:line="374" w:lineRule="auto"/>
        <w:ind w:left="698" w:right="524"/>
        <w:jc w:val="left"/>
        <w:rPr>
          <w:rFonts w:hint="default" w:asciiTheme="minorEastAsia" w:hAnsiTheme="minorEastAsia" w:eastAsiaTheme="minorEastAsia" w:cstheme="minorEastAsia"/>
          <w:strike/>
          <w:color w:val="auto"/>
          <w:szCs w:val="24"/>
          <w:highlight w:val="none"/>
        </w:rPr>
      </w:pPr>
    </w:p>
    <w:p w14:paraId="3B3C312C">
      <w:pPr>
        <w:rPr>
          <w:rFonts w:hint="default" w:asciiTheme="minorEastAsia" w:hAnsiTheme="minorEastAsia" w:eastAsiaTheme="minorEastAsia" w:cstheme="minorEastAsia"/>
          <w:color w:val="auto"/>
          <w:highlight w:val="none"/>
        </w:rPr>
        <w:sect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51A760D5">
      <w:pPr>
        <w:pStyle w:val="63"/>
        <w:spacing w:line="440" w:lineRule="exact"/>
        <w:ind w:firstLine="0" w:firstLineChars="0"/>
        <w:rPr>
          <w:rFonts w:asciiTheme="minorEastAsia" w:hAnsiTheme="minorEastAsia" w:eastAsiaTheme="minorEastAsia" w:cstheme="minorEastAsia"/>
          <w:color w:val="auto"/>
          <w:szCs w:val="32"/>
          <w:highlight w:val="none"/>
        </w:rPr>
      </w:pPr>
    </w:p>
    <w:p w14:paraId="249229D2">
      <w:pPr>
        <w:pStyle w:val="2"/>
        <w:jc w:val="center"/>
        <w:rPr>
          <w:rFonts w:hint="default" w:asciiTheme="minorEastAsia" w:hAnsiTheme="minorEastAsia" w:eastAsiaTheme="minorEastAsia" w:cstheme="minorEastAsia"/>
          <w:b/>
          <w:color w:val="auto"/>
          <w:kern w:val="44"/>
          <w:sz w:val="36"/>
          <w:szCs w:val="36"/>
          <w:highlight w:val="none"/>
        </w:rPr>
      </w:pPr>
      <w:bookmarkStart w:id="691" w:name="_Toc466640622"/>
      <w:bookmarkStart w:id="692" w:name="_Toc26594"/>
      <w:bookmarkStart w:id="693" w:name="_Toc19434"/>
      <w:bookmarkStart w:id="694" w:name="_Toc17573"/>
      <w:bookmarkStart w:id="695" w:name="_Toc9802"/>
      <w:bookmarkStart w:id="696" w:name="_Toc13641"/>
      <w:bookmarkStart w:id="697" w:name="_Toc420"/>
      <w:bookmarkStart w:id="698" w:name="_Toc3894"/>
      <w:bookmarkStart w:id="699" w:name="_Toc1879"/>
      <w:bookmarkStart w:id="700" w:name="_Toc3242"/>
      <w:r>
        <w:rPr>
          <w:rFonts w:asciiTheme="minorEastAsia" w:hAnsiTheme="minorEastAsia" w:eastAsiaTheme="minorEastAsia" w:cstheme="minorEastAsia"/>
          <w:b/>
          <w:color w:val="auto"/>
          <w:kern w:val="44"/>
          <w:sz w:val="36"/>
          <w:szCs w:val="36"/>
          <w:highlight w:val="none"/>
        </w:rPr>
        <w:t>第</w:t>
      </w:r>
      <w:r>
        <w:rPr>
          <w:rFonts w:hint="eastAsia" w:asciiTheme="minorEastAsia" w:hAnsiTheme="minorEastAsia" w:eastAsiaTheme="minorEastAsia" w:cstheme="minorEastAsia"/>
          <w:b/>
          <w:color w:val="auto"/>
          <w:kern w:val="44"/>
          <w:sz w:val="36"/>
          <w:szCs w:val="36"/>
          <w:highlight w:val="none"/>
          <w:lang w:val="en-US" w:eastAsia="zh-CN"/>
        </w:rPr>
        <w:t>八</w:t>
      </w:r>
      <w:r>
        <w:rPr>
          <w:rFonts w:asciiTheme="minorEastAsia" w:hAnsiTheme="minorEastAsia" w:eastAsiaTheme="minorEastAsia" w:cstheme="minorEastAsia"/>
          <w:b/>
          <w:color w:val="auto"/>
          <w:kern w:val="44"/>
          <w:sz w:val="36"/>
          <w:szCs w:val="36"/>
          <w:highlight w:val="none"/>
        </w:rPr>
        <w:t xml:space="preserve">章  </w:t>
      </w:r>
      <w:bookmarkEnd w:id="539"/>
      <w:bookmarkEnd w:id="540"/>
      <w:bookmarkEnd w:id="541"/>
      <w:bookmarkEnd w:id="542"/>
      <w:bookmarkEnd w:id="691"/>
      <w:r>
        <w:rPr>
          <w:rFonts w:asciiTheme="minorEastAsia" w:hAnsiTheme="minorEastAsia" w:eastAsiaTheme="minorEastAsia" w:cstheme="minorEastAsia"/>
          <w:b/>
          <w:color w:val="auto"/>
          <w:kern w:val="44"/>
          <w:sz w:val="36"/>
          <w:szCs w:val="36"/>
          <w:highlight w:val="none"/>
        </w:rPr>
        <w:t>建设工程合同</w:t>
      </w:r>
      <w:bookmarkEnd w:id="692"/>
      <w:bookmarkEnd w:id="693"/>
      <w:bookmarkEnd w:id="694"/>
      <w:bookmarkEnd w:id="695"/>
      <w:bookmarkEnd w:id="696"/>
      <w:bookmarkEnd w:id="697"/>
      <w:bookmarkEnd w:id="698"/>
      <w:bookmarkEnd w:id="699"/>
      <w:bookmarkEnd w:id="700"/>
    </w:p>
    <w:p w14:paraId="61805ECD">
      <w:pPr>
        <w:rPr>
          <w:rFonts w:hint="default" w:asciiTheme="minorEastAsia" w:hAnsiTheme="minorEastAsia" w:eastAsiaTheme="minorEastAsia" w:cstheme="minorEastAsia"/>
          <w:color w:val="auto"/>
          <w:highlight w:val="none"/>
        </w:rPr>
      </w:pPr>
    </w:p>
    <w:bookmarkEnd w:id="543"/>
    <w:bookmarkEnd w:id="544"/>
    <w:p w14:paraId="667A967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略。总承包合同参照住房城乡建设部、国家工商行政管理总局制定的《建设项目工程总承包合同（示范文本）》GF-2020-0216。</w:t>
      </w:r>
    </w:p>
    <w:p w14:paraId="4F59DB1E">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施工合同按广东省建设厅《广东省建设工程标准施工合同》范本（2009）执行。</w:t>
      </w:r>
    </w:p>
    <w:p w14:paraId="78E593F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设计合同按住房城乡建设部、国家工商行政管理总局制定《建设工程设计合同示范文本（市政公用工程）》（GF-2015-0209）、《建设工程设计合同示范文本（专业建设工程）》（GF-2015-0210）执行。 </w:t>
      </w:r>
    </w:p>
    <w:p w14:paraId="1B7005BA">
      <w:pPr>
        <w:spacing w:line="420" w:lineRule="atLeast"/>
        <w:ind w:firstLine="480" w:firstLineChars="200"/>
        <w:rPr>
          <w:rFonts w:hint="default" w:asciiTheme="minorEastAsia" w:hAnsiTheme="minorEastAsia" w:eastAsiaTheme="minorEastAsia" w:cstheme="minorEastAsia"/>
          <w:color w:val="auto"/>
          <w:highlight w:val="none"/>
        </w:rPr>
      </w:pPr>
    </w:p>
    <w:p w14:paraId="23579554">
      <w:pPr>
        <w:spacing w:line="420" w:lineRule="atLeast"/>
        <w:ind w:firstLine="480" w:firstLineChars="200"/>
        <w:rPr>
          <w:rFonts w:hint="default" w:asciiTheme="minorEastAsia" w:hAnsiTheme="minorEastAsia" w:eastAsiaTheme="minorEastAsia" w:cstheme="minorEastAsia"/>
          <w:color w:val="auto"/>
          <w:highlight w:val="none"/>
        </w:rPr>
      </w:pPr>
    </w:p>
    <w:p w14:paraId="2A066B68">
      <w:pPr>
        <w:rPr>
          <w:rFonts w:hint="default" w:asciiTheme="minorEastAsia" w:hAnsiTheme="minorEastAsia" w:eastAsiaTheme="minorEastAsia" w:cstheme="minorEastAsia"/>
          <w:color w:val="auto"/>
          <w:highlight w:val="none"/>
        </w:rPr>
      </w:pPr>
    </w:p>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odoni MT">
    <w:panose1 w:val="02070603080606020203"/>
    <w:charset w:val="00"/>
    <w:family w:val="roman"/>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C27D6">
    <w:pPr>
      <w:pStyle w:val="72"/>
      <w:tabs>
        <w:tab w:val="left" w:pos="4803"/>
        <w:tab w:val="clear" w:pos="4153"/>
      </w:tabs>
    </w:pPr>
    <w:r>
      <w:rPr>
        <w:rFonts w:hint="eastAsia"/>
      </w:rPr>
      <w:tab/>
    </w:r>
  </w:p>
  <w:p w14:paraId="7AF5EBC7">
    <w:pPr>
      <w:pStyle w:val="7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8DB2B">
    <w:pPr>
      <w:pStyle w:val="72"/>
      <w:tabs>
        <w:tab w:val="left" w:pos="4803"/>
        <w:tab w:val="clear" w:pos="4153"/>
      </w:tabs>
    </w:pPr>
    <w:r>
      <w:rPr>
        <w:rFonts w:hint="eastAsia"/>
      </w:rPr>
      <w:tab/>
    </w:r>
  </w:p>
  <w:p w14:paraId="65824018">
    <w:pPr>
      <w:pStyle w:val="7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52283">
    <w:pPr>
      <w:pStyle w:val="72"/>
      <w:tabs>
        <w:tab w:val="left" w:pos="4803"/>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E86C3">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99E86C3">
                    <w:pPr>
                      <w:pStyle w:val="14"/>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ab/>
    </w:r>
  </w:p>
  <w:p w14:paraId="7A0FA575">
    <w:pPr>
      <w:pStyle w:val="7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21C3B">
    <w:pPr>
      <w:pStyle w:val="72"/>
      <w:tabs>
        <w:tab w:val="left" w:pos="480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F91FD3A">
                          <w:pPr>
                            <w:pStyle w:val="14"/>
                            <w:rPr>
                              <w:rFonts w:hint="default"/>
                            </w:rPr>
                          </w:pPr>
                          <w:r>
                            <w:fldChar w:fldCharType="begin"/>
                          </w:r>
                          <w:r>
                            <w:instrText xml:space="preserve"> PAGE  \* MERGEFORMAT </w:instrText>
                          </w:r>
                          <w:r>
                            <w:fldChar w:fldCharType="separate"/>
                          </w:r>
                          <w:r>
                            <w:rPr>
                              <w:rFonts w:hint="default"/>
                            </w:rPr>
                            <w:t>107</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lvxs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xlvxs0BAACnAwAADgAAAAAAAAABACAAAAAeAQAAZHJzL2Uy&#10;b0RvYy54bWxQSwUGAAAAAAYABgBZAQAAXQUAAAAA&#10;">
              <v:fill on="f" focussize="0,0"/>
              <v:stroke on="f"/>
              <v:imagedata o:title=""/>
              <o:lock v:ext="edit" aspectratio="f"/>
              <v:textbox inset="0mm,0mm,0mm,0mm" style="mso-fit-shape-to-text:t;">
                <w:txbxContent>
                  <w:p w14:paraId="1F91FD3A">
                    <w:pPr>
                      <w:pStyle w:val="14"/>
                      <w:rPr>
                        <w:rFonts w:hint="default"/>
                      </w:rPr>
                    </w:pPr>
                    <w:r>
                      <w:fldChar w:fldCharType="begin"/>
                    </w:r>
                    <w:r>
                      <w:instrText xml:space="preserve"> PAGE  \* MERGEFORMAT </w:instrText>
                    </w:r>
                    <w:r>
                      <w:fldChar w:fldCharType="separate"/>
                    </w:r>
                    <w:r>
                      <w:rPr>
                        <w:rFonts w:hint="default"/>
                      </w:rPr>
                      <w:t>107</w:t>
                    </w:r>
                    <w:r>
                      <w:fldChar w:fldCharType="end"/>
                    </w:r>
                  </w:p>
                </w:txbxContent>
              </v:textbox>
            </v:shape>
          </w:pict>
        </mc:Fallback>
      </mc:AlternateContent>
    </w:r>
    <w:r>
      <w:rPr>
        <w:rFonts w:hint="eastAsia"/>
      </w:rPr>
      <w:tab/>
    </w:r>
  </w:p>
  <w:p w14:paraId="247D98E1">
    <w:pPr>
      <w:pStyle w:val="7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DA3E">
    <w:pPr>
      <w:pStyle w:val="14"/>
      <w:jc w:val="center"/>
      <w:rPr>
        <w:rFonts w:hint="default"/>
        <w:szCs w:val="24"/>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AFCD6D">
                          <w:pPr>
                            <w:pStyle w:val="14"/>
                            <w:rPr>
                              <w:rFonts w:hint="default"/>
                            </w:rPr>
                          </w:pPr>
                          <w:r>
                            <w:fldChar w:fldCharType="begin"/>
                          </w:r>
                          <w:r>
                            <w:instrText xml:space="preserve"> PAGE  \* MERGEFORMAT </w:instrText>
                          </w:r>
                          <w:r>
                            <w:fldChar w:fldCharType="separate"/>
                          </w:r>
                          <w:r>
                            <w:rPr>
                              <w:rFonts w:hint="default"/>
                            </w:rPr>
                            <w:t>120</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qioc0BAACnAwAADgAAAGRycy9lMm9Eb2MueG1srVNLbtswEN0X6B0I&#10;7mspRhE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jqioc0BAACnAwAADgAAAAAAAAABACAAAAAeAQAAZHJzL2Uy&#10;b0RvYy54bWxQSwUGAAAAAAYABgBZAQAAXQUAAAAA&#10;">
              <v:fill on="f" focussize="0,0"/>
              <v:stroke on="f"/>
              <v:imagedata o:title=""/>
              <o:lock v:ext="edit" aspectratio="f"/>
              <v:textbox inset="0mm,0mm,0mm,0mm" style="mso-fit-shape-to-text:t;">
                <w:txbxContent>
                  <w:p w14:paraId="6CAFCD6D">
                    <w:pPr>
                      <w:pStyle w:val="14"/>
                      <w:rPr>
                        <w:rFonts w:hint="default"/>
                      </w:rPr>
                    </w:pPr>
                    <w:r>
                      <w:fldChar w:fldCharType="begin"/>
                    </w:r>
                    <w:r>
                      <w:instrText xml:space="preserve"> PAGE  \* MERGEFORMAT </w:instrText>
                    </w:r>
                    <w:r>
                      <w:fldChar w:fldCharType="separate"/>
                    </w:r>
                    <w:r>
                      <w:rPr>
                        <w:rFonts w:hint="default"/>
                      </w:rPr>
                      <w:t>120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84FBA">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153AD">
    <w:pPr>
      <w:pStyle w:val="15"/>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EFD45"/>
    <w:multiLevelType w:val="singleLevel"/>
    <w:tmpl w:val="808EFD45"/>
    <w:lvl w:ilvl="0" w:tentative="0">
      <w:start w:val="1"/>
      <w:numFmt w:val="decimal"/>
      <w:lvlText w:val="%1."/>
      <w:lvlJc w:val="left"/>
      <w:pPr>
        <w:ind w:left="425" w:hanging="425"/>
      </w:pPr>
      <w:rPr>
        <w:rFonts w:hint="default"/>
      </w:rPr>
    </w:lvl>
  </w:abstractNum>
  <w:abstractNum w:abstractNumId="1">
    <w:nsid w:val="8152DEF9"/>
    <w:multiLevelType w:val="singleLevel"/>
    <w:tmpl w:val="8152DEF9"/>
    <w:lvl w:ilvl="0" w:tentative="0">
      <w:start w:val="1"/>
      <w:numFmt w:val="decimal"/>
      <w:suff w:val="nothing"/>
      <w:lvlText w:val="（%1）"/>
      <w:lvlJc w:val="left"/>
    </w:lvl>
  </w:abstractNum>
  <w:abstractNum w:abstractNumId="2">
    <w:nsid w:val="9A22DE3C"/>
    <w:multiLevelType w:val="singleLevel"/>
    <w:tmpl w:val="9A22DE3C"/>
    <w:lvl w:ilvl="0" w:tentative="0">
      <w:start w:val="5"/>
      <w:numFmt w:val="decimal"/>
      <w:suff w:val="space"/>
      <w:lvlText w:val="%1."/>
      <w:lvlJc w:val="left"/>
    </w:lvl>
  </w:abstractNum>
  <w:abstractNum w:abstractNumId="3">
    <w:nsid w:val="C099E3A4"/>
    <w:multiLevelType w:val="singleLevel"/>
    <w:tmpl w:val="C099E3A4"/>
    <w:lvl w:ilvl="0" w:tentative="0">
      <w:start w:val="1"/>
      <w:numFmt w:val="chineseCounting"/>
      <w:suff w:val="nothing"/>
      <w:lvlText w:val="第%1、"/>
      <w:lvlJc w:val="left"/>
      <w:rPr>
        <w:rFonts w:hint="eastAsia"/>
      </w:rPr>
    </w:lvl>
  </w:abstractNum>
  <w:abstractNum w:abstractNumId="4">
    <w:nsid w:val="CFABDD9F"/>
    <w:multiLevelType w:val="singleLevel"/>
    <w:tmpl w:val="CFABDD9F"/>
    <w:lvl w:ilvl="0" w:tentative="0">
      <w:start w:val="1"/>
      <w:numFmt w:val="decimal"/>
      <w:suff w:val="nothing"/>
      <w:lvlText w:val="（%1）"/>
      <w:lvlJc w:val="left"/>
    </w:lvl>
  </w:abstractNum>
  <w:abstractNum w:abstractNumId="5">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240"/>
  <w:drawingGridVerticalSpacing w:val="99999990"/>
  <w:displayHorizontalDrawingGridEvery w:val="0"/>
  <w:displayVerticalDrawingGridEvery w:val="2"/>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jdiYjk2NmNhMjc5Y2RmYmEwMjBiMzdmMDNhMmEifQ=="/>
    <w:docVar w:name="KSO_WPS_MARK_KEY" w:val="2b56eff9-4bef-4219-8874-9567fb1cde91"/>
  </w:docVars>
  <w:rsids>
    <w:rsidRoot w:val="00172A27"/>
    <w:rsid w:val="00003C49"/>
    <w:rsid w:val="00022818"/>
    <w:rsid w:val="000C0D1D"/>
    <w:rsid w:val="000C38BA"/>
    <w:rsid w:val="000F7646"/>
    <w:rsid w:val="001008C1"/>
    <w:rsid w:val="0011760F"/>
    <w:rsid w:val="00175E5D"/>
    <w:rsid w:val="00194A10"/>
    <w:rsid w:val="001B4801"/>
    <w:rsid w:val="001E0850"/>
    <w:rsid w:val="001E1E64"/>
    <w:rsid w:val="001F6585"/>
    <w:rsid w:val="00215745"/>
    <w:rsid w:val="002505B0"/>
    <w:rsid w:val="00262B3A"/>
    <w:rsid w:val="00281ECB"/>
    <w:rsid w:val="002B7D1A"/>
    <w:rsid w:val="002D2906"/>
    <w:rsid w:val="002F176F"/>
    <w:rsid w:val="00306A4B"/>
    <w:rsid w:val="00322DE0"/>
    <w:rsid w:val="00337586"/>
    <w:rsid w:val="003A1942"/>
    <w:rsid w:val="003B643A"/>
    <w:rsid w:val="003E2709"/>
    <w:rsid w:val="00425EE6"/>
    <w:rsid w:val="004D53C6"/>
    <w:rsid w:val="004F075A"/>
    <w:rsid w:val="00503BCB"/>
    <w:rsid w:val="00537603"/>
    <w:rsid w:val="0055689E"/>
    <w:rsid w:val="00580C82"/>
    <w:rsid w:val="005C0EDC"/>
    <w:rsid w:val="005E6BB8"/>
    <w:rsid w:val="005E7B06"/>
    <w:rsid w:val="005F7992"/>
    <w:rsid w:val="0060707D"/>
    <w:rsid w:val="006162D1"/>
    <w:rsid w:val="00622D53"/>
    <w:rsid w:val="0064163D"/>
    <w:rsid w:val="00663233"/>
    <w:rsid w:val="007336AC"/>
    <w:rsid w:val="00745AB4"/>
    <w:rsid w:val="007466CD"/>
    <w:rsid w:val="00752BE8"/>
    <w:rsid w:val="00763374"/>
    <w:rsid w:val="007C3F91"/>
    <w:rsid w:val="00801789"/>
    <w:rsid w:val="008129A4"/>
    <w:rsid w:val="00886E26"/>
    <w:rsid w:val="008955C6"/>
    <w:rsid w:val="008C4168"/>
    <w:rsid w:val="008F2F7D"/>
    <w:rsid w:val="00901845"/>
    <w:rsid w:val="009224FE"/>
    <w:rsid w:val="00936991"/>
    <w:rsid w:val="00943625"/>
    <w:rsid w:val="00954357"/>
    <w:rsid w:val="00954A54"/>
    <w:rsid w:val="00997423"/>
    <w:rsid w:val="009A1AC2"/>
    <w:rsid w:val="00A11C47"/>
    <w:rsid w:val="00A237A0"/>
    <w:rsid w:val="00A322B9"/>
    <w:rsid w:val="00A37A30"/>
    <w:rsid w:val="00A53D3F"/>
    <w:rsid w:val="00A80EA7"/>
    <w:rsid w:val="00A9197B"/>
    <w:rsid w:val="00AB6E5B"/>
    <w:rsid w:val="00AD3E3A"/>
    <w:rsid w:val="00AF685C"/>
    <w:rsid w:val="00B16179"/>
    <w:rsid w:val="00B37196"/>
    <w:rsid w:val="00B52023"/>
    <w:rsid w:val="00C02536"/>
    <w:rsid w:val="00C0461F"/>
    <w:rsid w:val="00C04E0C"/>
    <w:rsid w:val="00C47C8E"/>
    <w:rsid w:val="00C52321"/>
    <w:rsid w:val="00C9767A"/>
    <w:rsid w:val="00CA38AE"/>
    <w:rsid w:val="00CA5EB5"/>
    <w:rsid w:val="00CB07F4"/>
    <w:rsid w:val="00CB3C41"/>
    <w:rsid w:val="00CD4D5B"/>
    <w:rsid w:val="00D01470"/>
    <w:rsid w:val="00D248DF"/>
    <w:rsid w:val="00D561CD"/>
    <w:rsid w:val="00D806A2"/>
    <w:rsid w:val="00DA5A23"/>
    <w:rsid w:val="00DE5743"/>
    <w:rsid w:val="00E52F76"/>
    <w:rsid w:val="00E76514"/>
    <w:rsid w:val="00ED4B12"/>
    <w:rsid w:val="00F11703"/>
    <w:rsid w:val="00F40B69"/>
    <w:rsid w:val="00F45A7F"/>
    <w:rsid w:val="00F704EB"/>
    <w:rsid w:val="00F804EB"/>
    <w:rsid w:val="00F92842"/>
    <w:rsid w:val="00F95669"/>
    <w:rsid w:val="00FA60FB"/>
    <w:rsid w:val="01066A48"/>
    <w:rsid w:val="010A6538"/>
    <w:rsid w:val="011A52DC"/>
    <w:rsid w:val="01284AF4"/>
    <w:rsid w:val="012C10F1"/>
    <w:rsid w:val="016A5229"/>
    <w:rsid w:val="0183433B"/>
    <w:rsid w:val="01A93FA3"/>
    <w:rsid w:val="01AA050E"/>
    <w:rsid w:val="01E704A0"/>
    <w:rsid w:val="021E306D"/>
    <w:rsid w:val="022A2346"/>
    <w:rsid w:val="0259781F"/>
    <w:rsid w:val="02665093"/>
    <w:rsid w:val="02702D13"/>
    <w:rsid w:val="028060ED"/>
    <w:rsid w:val="02941414"/>
    <w:rsid w:val="02951626"/>
    <w:rsid w:val="029933CC"/>
    <w:rsid w:val="02A62291"/>
    <w:rsid w:val="02CB7802"/>
    <w:rsid w:val="02D84414"/>
    <w:rsid w:val="02E90804"/>
    <w:rsid w:val="03231B33"/>
    <w:rsid w:val="033337C7"/>
    <w:rsid w:val="033923C2"/>
    <w:rsid w:val="0348159A"/>
    <w:rsid w:val="03724869"/>
    <w:rsid w:val="038149E8"/>
    <w:rsid w:val="0385459C"/>
    <w:rsid w:val="03B42718"/>
    <w:rsid w:val="03C50E3C"/>
    <w:rsid w:val="03F46BE4"/>
    <w:rsid w:val="040C7782"/>
    <w:rsid w:val="041A1188"/>
    <w:rsid w:val="042048E6"/>
    <w:rsid w:val="042E69E2"/>
    <w:rsid w:val="04360B53"/>
    <w:rsid w:val="049727D9"/>
    <w:rsid w:val="04AC4FFA"/>
    <w:rsid w:val="04C12326"/>
    <w:rsid w:val="04EA57F9"/>
    <w:rsid w:val="05123C0E"/>
    <w:rsid w:val="051C3166"/>
    <w:rsid w:val="0603162A"/>
    <w:rsid w:val="060F2738"/>
    <w:rsid w:val="067830B0"/>
    <w:rsid w:val="067A5F0E"/>
    <w:rsid w:val="0694486B"/>
    <w:rsid w:val="06DD024B"/>
    <w:rsid w:val="06F37A6F"/>
    <w:rsid w:val="06F4459D"/>
    <w:rsid w:val="06FF1426"/>
    <w:rsid w:val="07877964"/>
    <w:rsid w:val="078D1A2A"/>
    <w:rsid w:val="07B324E6"/>
    <w:rsid w:val="07C0670C"/>
    <w:rsid w:val="07CC47A6"/>
    <w:rsid w:val="07D478A0"/>
    <w:rsid w:val="07F730C0"/>
    <w:rsid w:val="07FD7F0F"/>
    <w:rsid w:val="08101C10"/>
    <w:rsid w:val="0816679A"/>
    <w:rsid w:val="08181B59"/>
    <w:rsid w:val="08244266"/>
    <w:rsid w:val="08275C22"/>
    <w:rsid w:val="083E11BD"/>
    <w:rsid w:val="088A4403"/>
    <w:rsid w:val="088A61B1"/>
    <w:rsid w:val="08915791"/>
    <w:rsid w:val="089860B2"/>
    <w:rsid w:val="08A90D2D"/>
    <w:rsid w:val="08BC0A60"/>
    <w:rsid w:val="08C47915"/>
    <w:rsid w:val="08EE04EE"/>
    <w:rsid w:val="090017E6"/>
    <w:rsid w:val="092752BD"/>
    <w:rsid w:val="092C7268"/>
    <w:rsid w:val="0944459E"/>
    <w:rsid w:val="097C255B"/>
    <w:rsid w:val="09A908B8"/>
    <w:rsid w:val="09AB63DF"/>
    <w:rsid w:val="09B554AF"/>
    <w:rsid w:val="09C86F91"/>
    <w:rsid w:val="09D75426"/>
    <w:rsid w:val="09E162A4"/>
    <w:rsid w:val="0A3B464D"/>
    <w:rsid w:val="0A560A40"/>
    <w:rsid w:val="0A873975"/>
    <w:rsid w:val="0A95686D"/>
    <w:rsid w:val="0AD7112E"/>
    <w:rsid w:val="0AE53B72"/>
    <w:rsid w:val="0B106E41"/>
    <w:rsid w:val="0B2E3AA0"/>
    <w:rsid w:val="0B365195"/>
    <w:rsid w:val="0B37623F"/>
    <w:rsid w:val="0B633415"/>
    <w:rsid w:val="0B772A1C"/>
    <w:rsid w:val="0B7D1FFD"/>
    <w:rsid w:val="0B8B628E"/>
    <w:rsid w:val="0B9A1E6F"/>
    <w:rsid w:val="0BB734DE"/>
    <w:rsid w:val="0BD53BE7"/>
    <w:rsid w:val="0BDA37C7"/>
    <w:rsid w:val="0BEC46B7"/>
    <w:rsid w:val="0C183A6C"/>
    <w:rsid w:val="0C183B2E"/>
    <w:rsid w:val="0C197F77"/>
    <w:rsid w:val="0C3C08C2"/>
    <w:rsid w:val="0C5C7E64"/>
    <w:rsid w:val="0C7358DA"/>
    <w:rsid w:val="0C873133"/>
    <w:rsid w:val="0C8A3D1F"/>
    <w:rsid w:val="0C8D3000"/>
    <w:rsid w:val="0CBC40CB"/>
    <w:rsid w:val="0CC05206"/>
    <w:rsid w:val="0CC53C5B"/>
    <w:rsid w:val="0CDD0FA5"/>
    <w:rsid w:val="0CE631E0"/>
    <w:rsid w:val="0D053FA6"/>
    <w:rsid w:val="0D1B387B"/>
    <w:rsid w:val="0D2B56E9"/>
    <w:rsid w:val="0D3630F8"/>
    <w:rsid w:val="0D374B59"/>
    <w:rsid w:val="0D5374B9"/>
    <w:rsid w:val="0D724D63"/>
    <w:rsid w:val="0D7962D5"/>
    <w:rsid w:val="0D886840"/>
    <w:rsid w:val="0D9D66DD"/>
    <w:rsid w:val="0DA63A8D"/>
    <w:rsid w:val="0DAB7287"/>
    <w:rsid w:val="0DB937C0"/>
    <w:rsid w:val="0DC53787"/>
    <w:rsid w:val="0DDA28D6"/>
    <w:rsid w:val="0DDA54E4"/>
    <w:rsid w:val="0DDC2091"/>
    <w:rsid w:val="0DE23E50"/>
    <w:rsid w:val="0DE25174"/>
    <w:rsid w:val="0DE6650F"/>
    <w:rsid w:val="0DEB76F2"/>
    <w:rsid w:val="0DF73507"/>
    <w:rsid w:val="0DFA207C"/>
    <w:rsid w:val="0E4B63E2"/>
    <w:rsid w:val="0E8F2ABE"/>
    <w:rsid w:val="0EB946E1"/>
    <w:rsid w:val="0F0A0D37"/>
    <w:rsid w:val="0F4E10F7"/>
    <w:rsid w:val="0F8F02AC"/>
    <w:rsid w:val="0F930041"/>
    <w:rsid w:val="0F9D4F17"/>
    <w:rsid w:val="0FB24E29"/>
    <w:rsid w:val="0FE90846"/>
    <w:rsid w:val="10155238"/>
    <w:rsid w:val="1016437B"/>
    <w:rsid w:val="101C0036"/>
    <w:rsid w:val="10264A11"/>
    <w:rsid w:val="10280789"/>
    <w:rsid w:val="104F3F68"/>
    <w:rsid w:val="10725EA8"/>
    <w:rsid w:val="107514F4"/>
    <w:rsid w:val="108755CF"/>
    <w:rsid w:val="108C26AB"/>
    <w:rsid w:val="10A27458"/>
    <w:rsid w:val="10AC5111"/>
    <w:rsid w:val="10BD6F35"/>
    <w:rsid w:val="10CD6B01"/>
    <w:rsid w:val="11651A69"/>
    <w:rsid w:val="11845E93"/>
    <w:rsid w:val="11A2456B"/>
    <w:rsid w:val="11E044D7"/>
    <w:rsid w:val="120A2393"/>
    <w:rsid w:val="121F3E0E"/>
    <w:rsid w:val="12366404"/>
    <w:rsid w:val="123E21E9"/>
    <w:rsid w:val="125C296C"/>
    <w:rsid w:val="1271465E"/>
    <w:rsid w:val="1273743C"/>
    <w:rsid w:val="127F4449"/>
    <w:rsid w:val="12911EF4"/>
    <w:rsid w:val="129737F6"/>
    <w:rsid w:val="12BC1935"/>
    <w:rsid w:val="12DB7D35"/>
    <w:rsid w:val="12F00BEE"/>
    <w:rsid w:val="12F06EB1"/>
    <w:rsid w:val="130762C7"/>
    <w:rsid w:val="13156E63"/>
    <w:rsid w:val="131F5532"/>
    <w:rsid w:val="13284661"/>
    <w:rsid w:val="132E1D32"/>
    <w:rsid w:val="13426006"/>
    <w:rsid w:val="137D6C30"/>
    <w:rsid w:val="138751F1"/>
    <w:rsid w:val="139D148E"/>
    <w:rsid w:val="13ED66B2"/>
    <w:rsid w:val="13FE2D40"/>
    <w:rsid w:val="14147BD0"/>
    <w:rsid w:val="1422508F"/>
    <w:rsid w:val="142E6F50"/>
    <w:rsid w:val="143C0CA7"/>
    <w:rsid w:val="14CE17D1"/>
    <w:rsid w:val="14E1675A"/>
    <w:rsid w:val="15086DDB"/>
    <w:rsid w:val="1525173B"/>
    <w:rsid w:val="152F43D2"/>
    <w:rsid w:val="15BA0EB2"/>
    <w:rsid w:val="15C92586"/>
    <w:rsid w:val="16005D04"/>
    <w:rsid w:val="161F586A"/>
    <w:rsid w:val="16201F02"/>
    <w:rsid w:val="164E4741"/>
    <w:rsid w:val="166D15EC"/>
    <w:rsid w:val="166D405D"/>
    <w:rsid w:val="168E4713"/>
    <w:rsid w:val="16E178E4"/>
    <w:rsid w:val="16F92E7F"/>
    <w:rsid w:val="17564822"/>
    <w:rsid w:val="175E7186"/>
    <w:rsid w:val="17982173"/>
    <w:rsid w:val="17AF3CDA"/>
    <w:rsid w:val="17B73663"/>
    <w:rsid w:val="17F076AA"/>
    <w:rsid w:val="17FF3E14"/>
    <w:rsid w:val="18135A10"/>
    <w:rsid w:val="18223929"/>
    <w:rsid w:val="185760AF"/>
    <w:rsid w:val="18755723"/>
    <w:rsid w:val="18770500"/>
    <w:rsid w:val="187A5C0C"/>
    <w:rsid w:val="18AA490B"/>
    <w:rsid w:val="18AE7C99"/>
    <w:rsid w:val="18B54B84"/>
    <w:rsid w:val="18D53FE5"/>
    <w:rsid w:val="18DD40DB"/>
    <w:rsid w:val="18F933F8"/>
    <w:rsid w:val="19212219"/>
    <w:rsid w:val="19496DDE"/>
    <w:rsid w:val="197113F3"/>
    <w:rsid w:val="198527A8"/>
    <w:rsid w:val="19946E7F"/>
    <w:rsid w:val="19B600B0"/>
    <w:rsid w:val="19D0599B"/>
    <w:rsid w:val="19D21766"/>
    <w:rsid w:val="1A04743A"/>
    <w:rsid w:val="1A05780F"/>
    <w:rsid w:val="1A113513"/>
    <w:rsid w:val="1A241393"/>
    <w:rsid w:val="1A2F3146"/>
    <w:rsid w:val="1A3B37AF"/>
    <w:rsid w:val="1A495ECC"/>
    <w:rsid w:val="1A7563FC"/>
    <w:rsid w:val="1A840CB2"/>
    <w:rsid w:val="1A937147"/>
    <w:rsid w:val="1AA650CC"/>
    <w:rsid w:val="1AA94F5A"/>
    <w:rsid w:val="1ABA4215"/>
    <w:rsid w:val="1AC63078"/>
    <w:rsid w:val="1ACA2D58"/>
    <w:rsid w:val="1ACF42A1"/>
    <w:rsid w:val="1B1742F2"/>
    <w:rsid w:val="1B23272A"/>
    <w:rsid w:val="1B356B88"/>
    <w:rsid w:val="1B690B70"/>
    <w:rsid w:val="1B6A046D"/>
    <w:rsid w:val="1B754A9E"/>
    <w:rsid w:val="1B8076CB"/>
    <w:rsid w:val="1B8E367B"/>
    <w:rsid w:val="1BA3785E"/>
    <w:rsid w:val="1BC03F6C"/>
    <w:rsid w:val="1BC05D1A"/>
    <w:rsid w:val="1BC11A92"/>
    <w:rsid w:val="1BC62A56"/>
    <w:rsid w:val="1BE91714"/>
    <w:rsid w:val="1BF14125"/>
    <w:rsid w:val="1BF80445"/>
    <w:rsid w:val="1C3404B6"/>
    <w:rsid w:val="1C4135AC"/>
    <w:rsid w:val="1C424981"/>
    <w:rsid w:val="1C4C1CA3"/>
    <w:rsid w:val="1C6061C5"/>
    <w:rsid w:val="1C72369C"/>
    <w:rsid w:val="1C8F1025"/>
    <w:rsid w:val="1CC0358F"/>
    <w:rsid w:val="1CD468AB"/>
    <w:rsid w:val="1CDD25B2"/>
    <w:rsid w:val="1CDD28FB"/>
    <w:rsid w:val="1CDE71ED"/>
    <w:rsid w:val="1CFA7117"/>
    <w:rsid w:val="1D346863"/>
    <w:rsid w:val="1D4F1A4B"/>
    <w:rsid w:val="1D750002"/>
    <w:rsid w:val="1D8D7ACF"/>
    <w:rsid w:val="1DA973A4"/>
    <w:rsid w:val="1DB7314C"/>
    <w:rsid w:val="1DC85359"/>
    <w:rsid w:val="1DEB51E9"/>
    <w:rsid w:val="1DED4DC0"/>
    <w:rsid w:val="1E247477"/>
    <w:rsid w:val="1E3E73CA"/>
    <w:rsid w:val="1E480248"/>
    <w:rsid w:val="1E5310C7"/>
    <w:rsid w:val="1E787E3F"/>
    <w:rsid w:val="1E896032"/>
    <w:rsid w:val="1E8F524A"/>
    <w:rsid w:val="1E937238"/>
    <w:rsid w:val="1ECC2C27"/>
    <w:rsid w:val="1ED02718"/>
    <w:rsid w:val="1ED33FB6"/>
    <w:rsid w:val="1ED51267"/>
    <w:rsid w:val="1EEB0306"/>
    <w:rsid w:val="1EFD0E66"/>
    <w:rsid w:val="1F150595"/>
    <w:rsid w:val="1F505606"/>
    <w:rsid w:val="1F6A67AC"/>
    <w:rsid w:val="1F7F413E"/>
    <w:rsid w:val="1F8032DA"/>
    <w:rsid w:val="1F8A2A58"/>
    <w:rsid w:val="1F925C1F"/>
    <w:rsid w:val="1F9951FF"/>
    <w:rsid w:val="1FAB6527"/>
    <w:rsid w:val="1FBD45F2"/>
    <w:rsid w:val="1FD11AE6"/>
    <w:rsid w:val="20012DA5"/>
    <w:rsid w:val="20315438"/>
    <w:rsid w:val="204A7A77"/>
    <w:rsid w:val="204F4EE5"/>
    <w:rsid w:val="20670E5A"/>
    <w:rsid w:val="206C46C2"/>
    <w:rsid w:val="207A4117"/>
    <w:rsid w:val="20941E5C"/>
    <w:rsid w:val="20A72EBC"/>
    <w:rsid w:val="20B144DF"/>
    <w:rsid w:val="20B47E17"/>
    <w:rsid w:val="20B821F8"/>
    <w:rsid w:val="20EF49EE"/>
    <w:rsid w:val="2103358A"/>
    <w:rsid w:val="21195704"/>
    <w:rsid w:val="211D59BC"/>
    <w:rsid w:val="213E514E"/>
    <w:rsid w:val="21436EF8"/>
    <w:rsid w:val="214C3EA4"/>
    <w:rsid w:val="217A696B"/>
    <w:rsid w:val="219263AA"/>
    <w:rsid w:val="21933ED0"/>
    <w:rsid w:val="21D544E9"/>
    <w:rsid w:val="21FC3824"/>
    <w:rsid w:val="225278E7"/>
    <w:rsid w:val="225A40A6"/>
    <w:rsid w:val="226B3934"/>
    <w:rsid w:val="226D64CF"/>
    <w:rsid w:val="22A26860"/>
    <w:rsid w:val="22CA3922"/>
    <w:rsid w:val="22E42C35"/>
    <w:rsid w:val="230C5CE8"/>
    <w:rsid w:val="230F1395"/>
    <w:rsid w:val="233D62F4"/>
    <w:rsid w:val="234F5C63"/>
    <w:rsid w:val="235F6EB5"/>
    <w:rsid w:val="23667B69"/>
    <w:rsid w:val="238355CB"/>
    <w:rsid w:val="23BE3486"/>
    <w:rsid w:val="23C6233B"/>
    <w:rsid w:val="23D507D0"/>
    <w:rsid w:val="23E65DAB"/>
    <w:rsid w:val="23E93817"/>
    <w:rsid w:val="23EE42A9"/>
    <w:rsid w:val="23F339A9"/>
    <w:rsid w:val="23FF4F24"/>
    <w:rsid w:val="242F6132"/>
    <w:rsid w:val="243B2964"/>
    <w:rsid w:val="24491954"/>
    <w:rsid w:val="24704055"/>
    <w:rsid w:val="24801F86"/>
    <w:rsid w:val="24806158"/>
    <w:rsid w:val="249064A5"/>
    <w:rsid w:val="24C1224D"/>
    <w:rsid w:val="24C50C37"/>
    <w:rsid w:val="24EC7B7F"/>
    <w:rsid w:val="24EE1B49"/>
    <w:rsid w:val="25153BB3"/>
    <w:rsid w:val="2524556B"/>
    <w:rsid w:val="253B5A69"/>
    <w:rsid w:val="254B54F3"/>
    <w:rsid w:val="256743A1"/>
    <w:rsid w:val="2578303A"/>
    <w:rsid w:val="257D5076"/>
    <w:rsid w:val="25972C96"/>
    <w:rsid w:val="25B72559"/>
    <w:rsid w:val="25BF256F"/>
    <w:rsid w:val="25C1100C"/>
    <w:rsid w:val="25D36F91"/>
    <w:rsid w:val="25DD396C"/>
    <w:rsid w:val="25E14501"/>
    <w:rsid w:val="25E450F5"/>
    <w:rsid w:val="25E8104B"/>
    <w:rsid w:val="25F533AB"/>
    <w:rsid w:val="2624159B"/>
    <w:rsid w:val="26471BA9"/>
    <w:rsid w:val="266F2816"/>
    <w:rsid w:val="268C701A"/>
    <w:rsid w:val="268F110A"/>
    <w:rsid w:val="26F45411"/>
    <w:rsid w:val="2700280A"/>
    <w:rsid w:val="271D6716"/>
    <w:rsid w:val="272F01F7"/>
    <w:rsid w:val="27312B5D"/>
    <w:rsid w:val="273539E1"/>
    <w:rsid w:val="27462BA9"/>
    <w:rsid w:val="27962024"/>
    <w:rsid w:val="27A74232"/>
    <w:rsid w:val="27AC35F6"/>
    <w:rsid w:val="27C76682"/>
    <w:rsid w:val="27DC212D"/>
    <w:rsid w:val="27EB411E"/>
    <w:rsid w:val="28335AC5"/>
    <w:rsid w:val="28425618"/>
    <w:rsid w:val="28461C9C"/>
    <w:rsid w:val="28464EE4"/>
    <w:rsid w:val="285A74F6"/>
    <w:rsid w:val="285E6FE6"/>
    <w:rsid w:val="286C7640"/>
    <w:rsid w:val="28893937"/>
    <w:rsid w:val="28C800BC"/>
    <w:rsid w:val="28F47B14"/>
    <w:rsid w:val="28FB03C0"/>
    <w:rsid w:val="28FD4CC9"/>
    <w:rsid w:val="291E49C7"/>
    <w:rsid w:val="292A6093"/>
    <w:rsid w:val="294C235F"/>
    <w:rsid w:val="296E14AB"/>
    <w:rsid w:val="297D16EE"/>
    <w:rsid w:val="29A603B6"/>
    <w:rsid w:val="29B50E88"/>
    <w:rsid w:val="29B844D4"/>
    <w:rsid w:val="29FC4D87"/>
    <w:rsid w:val="2A475858"/>
    <w:rsid w:val="2A793900"/>
    <w:rsid w:val="2A7F1496"/>
    <w:rsid w:val="2A855226"/>
    <w:rsid w:val="2A8D5FDF"/>
    <w:rsid w:val="2A994305"/>
    <w:rsid w:val="2AA85E3B"/>
    <w:rsid w:val="2AAA4765"/>
    <w:rsid w:val="2AB70C30"/>
    <w:rsid w:val="2AB90504"/>
    <w:rsid w:val="2AEA0C1E"/>
    <w:rsid w:val="2AEA4B61"/>
    <w:rsid w:val="2B433BF5"/>
    <w:rsid w:val="2B5841C1"/>
    <w:rsid w:val="2B770762"/>
    <w:rsid w:val="2BA456FE"/>
    <w:rsid w:val="2BEF49DC"/>
    <w:rsid w:val="2BF42D9B"/>
    <w:rsid w:val="2C0B44D1"/>
    <w:rsid w:val="2C1B0D4A"/>
    <w:rsid w:val="2C302A48"/>
    <w:rsid w:val="2C470AB3"/>
    <w:rsid w:val="2C5D5807"/>
    <w:rsid w:val="2C733DC5"/>
    <w:rsid w:val="2C861EB2"/>
    <w:rsid w:val="2C9F5E1F"/>
    <w:rsid w:val="2CA64AB8"/>
    <w:rsid w:val="2CAF6062"/>
    <w:rsid w:val="2CD57184"/>
    <w:rsid w:val="2CDB1327"/>
    <w:rsid w:val="2CE65139"/>
    <w:rsid w:val="2D145EC5"/>
    <w:rsid w:val="2D3A5307"/>
    <w:rsid w:val="2D6A1F89"/>
    <w:rsid w:val="2D761817"/>
    <w:rsid w:val="2D8A6187"/>
    <w:rsid w:val="2DAC4350"/>
    <w:rsid w:val="2DAD0C24"/>
    <w:rsid w:val="2DCF4FEF"/>
    <w:rsid w:val="2DE81A65"/>
    <w:rsid w:val="2E086552"/>
    <w:rsid w:val="2E0A6052"/>
    <w:rsid w:val="2E0D2AFB"/>
    <w:rsid w:val="2E0F14C6"/>
    <w:rsid w:val="2E184AB2"/>
    <w:rsid w:val="2E222864"/>
    <w:rsid w:val="2E4D76FE"/>
    <w:rsid w:val="2E4E7CF8"/>
    <w:rsid w:val="2E5A3DAC"/>
    <w:rsid w:val="2E642E7C"/>
    <w:rsid w:val="2E810638"/>
    <w:rsid w:val="2E8325DC"/>
    <w:rsid w:val="2F34284F"/>
    <w:rsid w:val="2F620D36"/>
    <w:rsid w:val="2F7E7F6E"/>
    <w:rsid w:val="2F7F0633"/>
    <w:rsid w:val="2F8530AA"/>
    <w:rsid w:val="2F9528EB"/>
    <w:rsid w:val="2FA120B2"/>
    <w:rsid w:val="2FC35981"/>
    <w:rsid w:val="30313679"/>
    <w:rsid w:val="30707DAF"/>
    <w:rsid w:val="30890978"/>
    <w:rsid w:val="3095731D"/>
    <w:rsid w:val="30C3115B"/>
    <w:rsid w:val="30E958BB"/>
    <w:rsid w:val="30ED4D1A"/>
    <w:rsid w:val="31007F2D"/>
    <w:rsid w:val="3115506D"/>
    <w:rsid w:val="313A7EC4"/>
    <w:rsid w:val="315947EF"/>
    <w:rsid w:val="31BFA431"/>
    <w:rsid w:val="31C91C1F"/>
    <w:rsid w:val="31F27192"/>
    <w:rsid w:val="31FB42D0"/>
    <w:rsid w:val="31FF02D4"/>
    <w:rsid w:val="320A3D3B"/>
    <w:rsid w:val="32147DF4"/>
    <w:rsid w:val="32176B57"/>
    <w:rsid w:val="324E7E72"/>
    <w:rsid w:val="3253371C"/>
    <w:rsid w:val="32696CB3"/>
    <w:rsid w:val="326B4698"/>
    <w:rsid w:val="326B7E18"/>
    <w:rsid w:val="3278199E"/>
    <w:rsid w:val="32830F54"/>
    <w:rsid w:val="3286265A"/>
    <w:rsid w:val="32982DFF"/>
    <w:rsid w:val="329A44C1"/>
    <w:rsid w:val="32B1069F"/>
    <w:rsid w:val="32C739DA"/>
    <w:rsid w:val="32DD144F"/>
    <w:rsid w:val="33095DA0"/>
    <w:rsid w:val="330D3AE3"/>
    <w:rsid w:val="331A7FAD"/>
    <w:rsid w:val="33784CD4"/>
    <w:rsid w:val="338405F7"/>
    <w:rsid w:val="33946A1F"/>
    <w:rsid w:val="339A0BD1"/>
    <w:rsid w:val="339D60DA"/>
    <w:rsid w:val="33B71CA0"/>
    <w:rsid w:val="33CD3272"/>
    <w:rsid w:val="33D740F0"/>
    <w:rsid w:val="33E800AC"/>
    <w:rsid w:val="33F87B2A"/>
    <w:rsid w:val="33FB1B8D"/>
    <w:rsid w:val="340B57E2"/>
    <w:rsid w:val="341D4B3C"/>
    <w:rsid w:val="347831DE"/>
    <w:rsid w:val="348222AE"/>
    <w:rsid w:val="34A55F9D"/>
    <w:rsid w:val="34A5706F"/>
    <w:rsid w:val="34AB28E5"/>
    <w:rsid w:val="34E75DD1"/>
    <w:rsid w:val="34FA62E8"/>
    <w:rsid w:val="3509652C"/>
    <w:rsid w:val="351204F3"/>
    <w:rsid w:val="35325511"/>
    <w:rsid w:val="360F7B72"/>
    <w:rsid w:val="36372C24"/>
    <w:rsid w:val="365437D6"/>
    <w:rsid w:val="3670318E"/>
    <w:rsid w:val="36B424C7"/>
    <w:rsid w:val="36D13957"/>
    <w:rsid w:val="36D466C5"/>
    <w:rsid w:val="36D6068F"/>
    <w:rsid w:val="36F11025"/>
    <w:rsid w:val="372E04CB"/>
    <w:rsid w:val="37691503"/>
    <w:rsid w:val="377C4D93"/>
    <w:rsid w:val="37801CA0"/>
    <w:rsid w:val="37865774"/>
    <w:rsid w:val="37AF33BA"/>
    <w:rsid w:val="37B207B5"/>
    <w:rsid w:val="37D70CAE"/>
    <w:rsid w:val="37EA2644"/>
    <w:rsid w:val="37ED2BA2"/>
    <w:rsid w:val="37F47942"/>
    <w:rsid w:val="37F54C3A"/>
    <w:rsid w:val="37FC5ED4"/>
    <w:rsid w:val="3806194F"/>
    <w:rsid w:val="384358B1"/>
    <w:rsid w:val="38614B9E"/>
    <w:rsid w:val="38840A0D"/>
    <w:rsid w:val="388B378B"/>
    <w:rsid w:val="38B44A00"/>
    <w:rsid w:val="390E5CB1"/>
    <w:rsid w:val="39162FC5"/>
    <w:rsid w:val="3922196A"/>
    <w:rsid w:val="392D0F5C"/>
    <w:rsid w:val="39657AA9"/>
    <w:rsid w:val="397321C6"/>
    <w:rsid w:val="39860B3F"/>
    <w:rsid w:val="39873EC3"/>
    <w:rsid w:val="39AB195F"/>
    <w:rsid w:val="39E93D92"/>
    <w:rsid w:val="39F8091D"/>
    <w:rsid w:val="3A0A0D7C"/>
    <w:rsid w:val="3A163157"/>
    <w:rsid w:val="3A21319F"/>
    <w:rsid w:val="3A345DF9"/>
    <w:rsid w:val="3A584A7F"/>
    <w:rsid w:val="3A8723CC"/>
    <w:rsid w:val="3A8C48E1"/>
    <w:rsid w:val="3AAF722D"/>
    <w:rsid w:val="3AD778B0"/>
    <w:rsid w:val="3AD873E5"/>
    <w:rsid w:val="3AD959D6"/>
    <w:rsid w:val="3AF427E0"/>
    <w:rsid w:val="3B027CA5"/>
    <w:rsid w:val="3B1B7DBE"/>
    <w:rsid w:val="3B2154F6"/>
    <w:rsid w:val="3B243B50"/>
    <w:rsid w:val="3B286FE0"/>
    <w:rsid w:val="3B3E2DB3"/>
    <w:rsid w:val="3B552D48"/>
    <w:rsid w:val="3B681FEC"/>
    <w:rsid w:val="3B6A5D88"/>
    <w:rsid w:val="3B6E6023"/>
    <w:rsid w:val="3B973F85"/>
    <w:rsid w:val="3BD258C9"/>
    <w:rsid w:val="3C101F4E"/>
    <w:rsid w:val="3C2E6878"/>
    <w:rsid w:val="3C3001B4"/>
    <w:rsid w:val="3C622294"/>
    <w:rsid w:val="3C6B4CC5"/>
    <w:rsid w:val="3CA52FDE"/>
    <w:rsid w:val="3CAB4D29"/>
    <w:rsid w:val="3CC22946"/>
    <w:rsid w:val="3CCE037B"/>
    <w:rsid w:val="3CD01F3B"/>
    <w:rsid w:val="3CD236A7"/>
    <w:rsid w:val="3CE753A4"/>
    <w:rsid w:val="3CF96E86"/>
    <w:rsid w:val="3D204801"/>
    <w:rsid w:val="3D2739F3"/>
    <w:rsid w:val="3D361E88"/>
    <w:rsid w:val="3D453E79"/>
    <w:rsid w:val="3D697A37"/>
    <w:rsid w:val="3D6E1622"/>
    <w:rsid w:val="3D770CF0"/>
    <w:rsid w:val="3D9646D4"/>
    <w:rsid w:val="3DB35595"/>
    <w:rsid w:val="3DB8289D"/>
    <w:rsid w:val="3DC95243"/>
    <w:rsid w:val="3DDA2813"/>
    <w:rsid w:val="3DE07FF0"/>
    <w:rsid w:val="3E06185A"/>
    <w:rsid w:val="3E0D42F0"/>
    <w:rsid w:val="3E1E34BB"/>
    <w:rsid w:val="3E3363C7"/>
    <w:rsid w:val="3E3F0508"/>
    <w:rsid w:val="3E6B7662"/>
    <w:rsid w:val="3E6E73FF"/>
    <w:rsid w:val="3E886713"/>
    <w:rsid w:val="3E976956"/>
    <w:rsid w:val="3EB767DA"/>
    <w:rsid w:val="3EC05EAD"/>
    <w:rsid w:val="3ECB4852"/>
    <w:rsid w:val="3F073ADC"/>
    <w:rsid w:val="3F505E3C"/>
    <w:rsid w:val="3F690816"/>
    <w:rsid w:val="3F97402D"/>
    <w:rsid w:val="3FB35A12"/>
    <w:rsid w:val="3FB672B0"/>
    <w:rsid w:val="3FEA0D08"/>
    <w:rsid w:val="3FEB51AC"/>
    <w:rsid w:val="3FEC7211"/>
    <w:rsid w:val="40003E3A"/>
    <w:rsid w:val="400242A3"/>
    <w:rsid w:val="40043EC3"/>
    <w:rsid w:val="401D2D2A"/>
    <w:rsid w:val="402045AD"/>
    <w:rsid w:val="40371ECC"/>
    <w:rsid w:val="40582115"/>
    <w:rsid w:val="405D597D"/>
    <w:rsid w:val="407A02DD"/>
    <w:rsid w:val="40B01F51"/>
    <w:rsid w:val="40BE466E"/>
    <w:rsid w:val="410127AD"/>
    <w:rsid w:val="410B1343"/>
    <w:rsid w:val="412451C6"/>
    <w:rsid w:val="412A5860"/>
    <w:rsid w:val="414A628B"/>
    <w:rsid w:val="41626E05"/>
    <w:rsid w:val="4167381E"/>
    <w:rsid w:val="41783900"/>
    <w:rsid w:val="41A76EB0"/>
    <w:rsid w:val="41DD28D2"/>
    <w:rsid w:val="42114C71"/>
    <w:rsid w:val="421C10AE"/>
    <w:rsid w:val="42227D15"/>
    <w:rsid w:val="423E77D1"/>
    <w:rsid w:val="425D3A13"/>
    <w:rsid w:val="4282466B"/>
    <w:rsid w:val="42B31885"/>
    <w:rsid w:val="42B44D10"/>
    <w:rsid w:val="42BA41B0"/>
    <w:rsid w:val="42C13FA2"/>
    <w:rsid w:val="42ED630C"/>
    <w:rsid w:val="42F11657"/>
    <w:rsid w:val="42F17338"/>
    <w:rsid w:val="43030A5E"/>
    <w:rsid w:val="430C15CB"/>
    <w:rsid w:val="430C699F"/>
    <w:rsid w:val="430D19FD"/>
    <w:rsid w:val="43322DCB"/>
    <w:rsid w:val="43653E23"/>
    <w:rsid w:val="437943F5"/>
    <w:rsid w:val="437A604C"/>
    <w:rsid w:val="439E2535"/>
    <w:rsid w:val="43A80694"/>
    <w:rsid w:val="43B6162D"/>
    <w:rsid w:val="43C852DB"/>
    <w:rsid w:val="43DF5FA7"/>
    <w:rsid w:val="43F403A7"/>
    <w:rsid w:val="44220A07"/>
    <w:rsid w:val="442C7B41"/>
    <w:rsid w:val="445F5FF9"/>
    <w:rsid w:val="446C43E1"/>
    <w:rsid w:val="446D66E7"/>
    <w:rsid w:val="44A578BE"/>
    <w:rsid w:val="44BA339E"/>
    <w:rsid w:val="44C06715"/>
    <w:rsid w:val="44C6104E"/>
    <w:rsid w:val="44D559FA"/>
    <w:rsid w:val="44FA782A"/>
    <w:rsid w:val="45280308"/>
    <w:rsid w:val="452D591E"/>
    <w:rsid w:val="456C5297"/>
    <w:rsid w:val="45967968"/>
    <w:rsid w:val="45B147A1"/>
    <w:rsid w:val="45D1241A"/>
    <w:rsid w:val="45D812A7"/>
    <w:rsid w:val="45E46310"/>
    <w:rsid w:val="45F4643C"/>
    <w:rsid w:val="46144D30"/>
    <w:rsid w:val="461F5BAF"/>
    <w:rsid w:val="463E6815"/>
    <w:rsid w:val="46470C62"/>
    <w:rsid w:val="464E4571"/>
    <w:rsid w:val="467F0616"/>
    <w:rsid w:val="46893028"/>
    <w:rsid w:val="46935181"/>
    <w:rsid w:val="46A02C50"/>
    <w:rsid w:val="46C40504"/>
    <w:rsid w:val="46CC363B"/>
    <w:rsid w:val="46E77832"/>
    <w:rsid w:val="46F31E5A"/>
    <w:rsid w:val="47215E9C"/>
    <w:rsid w:val="47294EAA"/>
    <w:rsid w:val="473E7900"/>
    <w:rsid w:val="47551BAE"/>
    <w:rsid w:val="47617388"/>
    <w:rsid w:val="47941C85"/>
    <w:rsid w:val="47A619B8"/>
    <w:rsid w:val="47B50951"/>
    <w:rsid w:val="47B91015"/>
    <w:rsid w:val="47BD6A22"/>
    <w:rsid w:val="47C7287E"/>
    <w:rsid w:val="482642B5"/>
    <w:rsid w:val="483C38B8"/>
    <w:rsid w:val="484418FD"/>
    <w:rsid w:val="48480CC1"/>
    <w:rsid w:val="48541414"/>
    <w:rsid w:val="485B3BC7"/>
    <w:rsid w:val="487429ED"/>
    <w:rsid w:val="48771168"/>
    <w:rsid w:val="48931F3C"/>
    <w:rsid w:val="489B5295"/>
    <w:rsid w:val="48C37705"/>
    <w:rsid w:val="48D6451F"/>
    <w:rsid w:val="48FA020D"/>
    <w:rsid w:val="491D6226"/>
    <w:rsid w:val="493E5947"/>
    <w:rsid w:val="494843FE"/>
    <w:rsid w:val="49557B3A"/>
    <w:rsid w:val="497004D0"/>
    <w:rsid w:val="49755AE6"/>
    <w:rsid w:val="49A53A73"/>
    <w:rsid w:val="49BA59AE"/>
    <w:rsid w:val="49BC7216"/>
    <w:rsid w:val="4A080708"/>
    <w:rsid w:val="4A17094B"/>
    <w:rsid w:val="4A1F4C27"/>
    <w:rsid w:val="4A2D4613"/>
    <w:rsid w:val="4A4C6847"/>
    <w:rsid w:val="4A5676C5"/>
    <w:rsid w:val="4A6D2653"/>
    <w:rsid w:val="4AED5E1F"/>
    <w:rsid w:val="4B014375"/>
    <w:rsid w:val="4B4600CE"/>
    <w:rsid w:val="4B524331"/>
    <w:rsid w:val="4B6C5605"/>
    <w:rsid w:val="4B7A3887"/>
    <w:rsid w:val="4B7C2965"/>
    <w:rsid w:val="4BBD560D"/>
    <w:rsid w:val="4C123498"/>
    <w:rsid w:val="4C123ECB"/>
    <w:rsid w:val="4C1E4213"/>
    <w:rsid w:val="4C2630C7"/>
    <w:rsid w:val="4C39104D"/>
    <w:rsid w:val="4C404189"/>
    <w:rsid w:val="4C417F01"/>
    <w:rsid w:val="4C58104F"/>
    <w:rsid w:val="4C5944B1"/>
    <w:rsid w:val="4C602A7D"/>
    <w:rsid w:val="4C6F3A23"/>
    <w:rsid w:val="4C8F5C62"/>
    <w:rsid w:val="4CB607C5"/>
    <w:rsid w:val="4D003831"/>
    <w:rsid w:val="4D0168EA"/>
    <w:rsid w:val="4D355CB8"/>
    <w:rsid w:val="4D3D4B6D"/>
    <w:rsid w:val="4D4001B9"/>
    <w:rsid w:val="4D4B557E"/>
    <w:rsid w:val="4D6E28E2"/>
    <w:rsid w:val="4D77007F"/>
    <w:rsid w:val="4DA02770"/>
    <w:rsid w:val="4DB320D6"/>
    <w:rsid w:val="4DD23573"/>
    <w:rsid w:val="4DEB3918"/>
    <w:rsid w:val="4E0D1E2F"/>
    <w:rsid w:val="4E0F3662"/>
    <w:rsid w:val="4E12786B"/>
    <w:rsid w:val="4E267A1C"/>
    <w:rsid w:val="4E3E5763"/>
    <w:rsid w:val="4E4E209C"/>
    <w:rsid w:val="4E74636C"/>
    <w:rsid w:val="4EA9414C"/>
    <w:rsid w:val="4EB643B1"/>
    <w:rsid w:val="4ED20C83"/>
    <w:rsid w:val="4EEF1E97"/>
    <w:rsid w:val="4F0F60FF"/>
    <w:rsid w:val="4F244236"/>
    <w:rsid w:val="4F697E9B"/>
    <w:rsid w:val="4F802EB1"/>
    <w:rsid w:val="4F8545A9"/>
    <w:rsid w:val="4FA559F6"/>
    <w:rsid w:val="4FAE58AE"/>
    <w:rsid w:val="4FB530E0"/>
    <w:rsid w:val="4FD35314"/>
    <w:rsid w:val="4FD6191A"/>
    <w:rsid w:val="4FF63749"/>
    <w:rsid w:val="5007527E"/>
    <w:rsid w:val="500C70AC"/>
    <w:rsid w:val="501C7D9B"/>
    <w:rsid w:val="501E2A33"/>
    <w:rsid w:val="502B33A2"/>
    <w:rsid w:val="50644D4D"/>
    <w:rsid w:val="507408A5"/>
    <w:rsid w:val="508A67B9"/>
    <w:rsid w:val="50E146D5"/>
    <w:rsid w:val="50F60EA0"/>
    <w:rsid w:val="50FA0EA6"/>
    <w:rsid w:val="51071719"/>
    <w:rsid w:val="51667224"/>
    <w:rsid w:val="516F13BA"/>
    <w:rsid w:val="519228EA"/>
    <w:rsid w:val="51BD0761"/>
    <w:rsid w:val="51DA4028"/>
    <w:rsid w:val="51E073BF"/>
    <w:rsid w:val="52036385"/>
    <w:rsid w:val="52086F2B"/>
    <w:rsid w:val="52181704"/>
    <w:rsid w:val="5237602E"/>
    <w:rsid w:val="52522E68"/>
    <w:rsid w:val="52602DF5"/>
    <w:rsid w:val="52741030"/>
    <w:rsid w:val="528B4B76"/>
    <w:rsid w:val="52923265"/>
    <w:rsid w:val="52B551A5"/>
    <w:rsid w:val="52BD3685"/>
    <w:rsid w:val="52E141EC"/>
    <w:rsid w:val="52ED43B9"/>
    <w:rsid w:val="53084363"/>
    <w:rsid w:val="530C74BB"/>
    <w:rsid w:val="531243A6"/>
    <w:rsid w:val="53870547"/>
    <w:rsid w:val="53915C12"/>
    <w:rsid w:val="5393413D"/>
    <w:rsid w:val="53A96AB8"/>
    <w:rsid w:val="53AE2320"/>
    <w:rsid w:val="53BA2E6A"/>
    <w:rsid w:val="53BF452D"/>
    <w:rsid w:val="53F8359B"/>
    <w:rsid w:val="541D0431"/>
    <w:rsid w:val="543A0058"/>
    <w:rsid w:val="544811D2"/>
    <w:rsid w:val="5458228C"/>
    <w:rsid w:val="5459158A"/>
    <w:rsid w:val="545A24A8"/>
    <w:rsid w:val="547B6CDE"/>
    <w:rsid w:val="548E06EB"/>
    <w:rsid w:val="549A6737"/>
    <w:rsid w:val="54A454D1"/>
    <w:rsid w:val="54B652F1"/>
    <w:rsid w:val="54DE6C35"/>
    <w:rsid w:val="55065409"/>
    <w:rsid w:val="551F0AB7"/>
    <w:rsid w:val="55450A62"/>
    <w:rsid w:val="554724E4"/>
    <w:rsid w:val="555A35CD"/>
    <w:rsid w:val="555B0286"/>
    <w:rsid w:val="55833339"/>
    <w:rsid w:val="558772CD"/>
    <w:rsid w:val="55985036"/>
    <w:rsid w:val="55F07786"/>
    <w:rsid w:val="55FB01EF"/>
    <w:rsid w:val="55FE3948"/>
    <w:rsid w:val="56127F5F"/>
    <w:rsid w:val="561F5757"/>
    <w:rsid w:val="56290384"/>
    <w:rsid w:val="562C1C22"/>
    <w:rsid w:val="56742F79"/>
    <w:rsid w:val="56B20706"/>
    <w:rsid w:val="56BF62D6"/>
    <w:rsid w:val="56F73FDE"/>
    <w:rsid w:val="570F1328"/>
    <w:rsid w:val="574A6804"/>
    <w:rsid w:val="577C3646"/>
    <w:rsid w:val="579730CB"/>
    <w:rsid w:val="57B974E6"/>
    <w:rsid w:val="57D91936"/>
    <w:rsid w:val="57F138AA"/>
    <w:rsid w:val="57FF6565"/>
    <w:rsid w:val="580D5382"/>
    <w:rsid w:val="58117322"/>
    <w:rsid w:val="583F6BD0"/>
    <w:rsid w:val="585A4825"/>
    <w:rsid w:val="5866141B"/>
    <w:rsid w:val="58726012"/>
    <w:rsid w:val="58B70478"/>
    <w:rsid w:val="58D04CC8"/>
    <w:rsid w:val="58D77C23"/>
    <w:rsid w:val="58EF1411"/>
    <w:rsid w:val="590B1FC3"/>
    <w:rsid w:val="594F4A95"/>
    <w:rsid w:val="59725B9E"/>
    <w:rsid w:val="598E529C"/>
    <w:rsid w:val="59B166C6"/>
    <w:rsid w:val="59DD570D"/>
    <w:rsid w:val="59E3512D"/>
    <w:rsid w:val="59FD4457"/>
    <w:rsid w:val="5A3410A5"/>
    <w:rsid w:val="5A435BF3"/>
    <w:rsid w:val="5A5C10DF"/>
    <w:rsid w:val="5A7C4F26"/>
    <w:rsid w:val="5A830928"/>
    <w:rsid w:val="5AA5260E"/>
    <w:rsid w:val="5AB0697E"/>
    <w:rsid w:val="5ADB1ACF"/>
    <w:rsid w:val="5AE34FA5"/>
    <w:rsid w:val="5AE66844"/>
    <w:rsid w:val="5AEB7C2D"/>
    <w:rsid w:val="5B0E72B6"/>
    <w:rsid w:val="5B1D63D9"/>
    <w:rsid w:val="5B2E3D47"/>
    <w:rsid w:val="5B4638CB"/>
    <w:rsid w:val="5B4B48F9"/>
    <w:rsid w:val="5B6B70DD"/>
    <w:rsid w:val="5BA1276A"/>
    <w:rsid w:val="5BA32F4B"/>
    <w:rsid w:val="5BC22E0D"/>
    <w:rsid w:val="5BD40D92"/>
    <w:rsid w:val="5C0C052C"/>
    <w:rsid w:val="5C0E3D80"/>
    <w:rsid w:val="5C6A0DAE"/>
    <w:rsid w:val="5C87100C"/>
    <w:rsid w:val="5C8A1451"/>
    <w:rsid w:val="5CE943C9"/>
    <w:rsid w:val="5CFF1C77"/>
    <w:rsid w:val="5D3D689E"/>
    <w:rsid w:val="5D6F2B20"/>
    <w:rsid w:val="5D922D68"/>
    <w:rsid w:val="5D9C143B"/>
    <w:rsid w:val="5DAB5B22"/>
    <w:rsid w:val="5DC436B8"/>
    <w:rsid w:val="5DCF1811"/>
    <w:rsid w:val="5DE828D3"/>
    <w:rsid w:val="5DEA21A7"/>
    <w:rsid w:val="5E032570"/>
    <w:rsid w:val="5E062D59"/>
    <w:rsid w:val="5E0A466D"/>
    <w:rsid w:val="5E111581"/>
    <w:rsid w:val="5E1B6457"/>
    <w:rsid w:val="5E330CCB"/>
    <w:rsid w:val="5E5719CA"/>
    <w:rsid w:val="5E5A37D0"/>
    <w:rsid w:val="5E677C9B"/>
    <w:rsid w:val="5E8C3F36"/>
    <w:rsid w:val="5E942E4E"/>
    <w:rsid w:val="5EB659F0"/>
    <w:rsid w:val="5EB87A15"/>
    <w:rsid w:val="5ECE7D1A"/>
    <w:rsid w:val="5ED66574"/>
    <w:rsid w:val="5EEB6FAE"/>
    <w:rsid w:val="5F217E4A"/>
    <w:rsid w:val="5F331803"/>
    <w:rsid w:val="5F6655AA"/>
    <w:rsid w:val="5F675708"/>
    <w:rsid w:val="5F962C10"/>
    <w:rsid w:val="5FB510A5"/>
    <w:rsid w:val="5FC133DB"/>
    <w:rsid w:val="5FC627A0"/>
    <w:rsid w:val="5FDF68F3"/>
    <w:rsid w:val="5FFFB29B"/>
    <w:rsid w:val="605B55DE"/>
    <w:rsid w:val="60885E2E"/>
    <w:rsid w:val="60933C0D"/>
    <w:rsid w:val="60996106"/>
    <w:rsid w:val="60B0726A"/>
    <w:rsid w:val="60BB42CE"/>
    <w:rsid w:val="60FD32E1"/>
    <w:rsid w:val="611D2BBC"/>
    <w:rsid w:val="613B0F6B"/>
    <w:rsid w:val="61492983"/>
    <w:rsid w:val="61B72CE8"/>
    <w:rsid w:val="61FE26C5"/>
    <w:rsid w:val="621D5135"/>
    <w:rsid w:val="623D4A98"/>
    <w:rsid w:val="6256605D"/>
    <w:rsid w:val="626C652F"/>
    <w:rsid w:val="62774225"/>
    <w:rsid w:val="627C5292"/>
    <w:rsid w:val="628C5F22"/>
    <w:rsid w:val="62AA2731"/>
    <w:rsid w:val="62AD76C0"/>
    <w:rsid w:val="62C507C9"/>
    <w:rsid w:val="62D11B87"/>
    <w:rsid w:val="63272A98"/>
    <w:rsid w:val="63422A85"/>
    <w:rsid w:val="634405AB"/>
    <w:rsid w:val="6356208C"/>
    <w:rsid w:val="636E73D6"/>
    <w:rsid w:val="6390559E"/>
    <w:rsid w:val="63913B26"/>
    <w:rsid w:val="63984389"/>
    <w:rsid w:val="63B30F2E"/>
    <w:rsid w:val="63B53257"/>
    <w:rsid w:val="63B8479E"/>
    <w:rsid w:val="63C35974"/>
    <w:rsid w:val="63C41057"/>
    <w:rsid w:val="63CC234F"/>
    <w:rsid w:val="63DF443D"/>
    <w:rsid w:val="63F342B4"/>
    <w:rsid w:val="640C1C55"/>
    <w:rsid w:val="642944E4"/>
    <w:rsid w:val="644D16E1"/>
    <w:rsid w:val="64557053"/>
    <w:rsid w:val="64573D39"/>
    <w:rsid w:val="645A3AB6"/>
    <w:rsid w:val="646507D9"/>
    <w:rsid w:val="646D1D84"/>
    <w:rsid w:val="647E0D38"/>
    <w:rsid w:val="64A60857"/>
    <w:rsid w:val="64C10CA7"/>
    <w:rsid w:val="65041398"/>
    <w:rsid w:val="650A75D2"/>
    <w:rsid w:val="65CD0D2C"/>
    <w:rsid w:val="65D5198E"/>
    <w:rsid w:val="65D96B11"/>
    <w:rsid w:val="65E13C9A"/>
    <w:rsid w:val="65F43F54"/>
    <w:rsid w:val="66083B12"/>
    <w:rsid w:val="666D7E19"/>
    <w:rsid w:val="66D07E35"/>
    <w:rsid w:val="66E77BCB"/>
    <w:rsid w:val="66FD5EEC"/>
    <w:rsid w:val="670F317A"/>
    <w:rsid w:val="674E6C15"/>
    <w:rsid w:val="675114E9"/>
    <w:rsid w:val="67523027"/>
    <w:rsid w:val="675F243B"/>
    <w:rsid w:val="677F7E04"/>
    <w:rsid w:val="67867202"/>
    <w:rsid w:val="67A96C2F"/>
    <w:rsid w:val="67AE2497"/>
    <w:rsid w:val="67AF7FBD"/>
    <w:rsid w:val="67C41CBB"/>
    <w:rsid w:val="67C63C85"/>
    <w:rsid w:val="67E450CE"/>
    <w:rsid w:val="680F708F"/>
    <w:rsid w:val="68135471"/>
    <w:rsid w:val="68595A9C"/>
    <w:rsid w:val="688A4CB2"/>
    <w:rsid w:val="68CB7079"/>
    <w:rsid w:val="68DB6590"/>
    <w:rsid w:val="68DE4FFE"/>
    <w:rsid w:val="68E32614"/>
    <w:rsid w:val="68F13666"/>
    <w:rsid w:val="68F24AF6"/>
    <w:rsid w:val="69083E29"/>
    <w:rsid w:val="693410C2"/>
    <w:rsid w:val="693B7312"/>
    <w:rsid w:val="6949691B"/>
    <w:rsid w:val="69531548"/>
    <w:rsid w:val="697274F4"/>
    <w:rsid w:val="69787200"/>
    <w:rsid w:val="697F233D"/>
    <w:rsid w:val="69B2159C"/>
    <w:rsid w:val="69B352C1"/>
    <w:rsid w:val="69C33C13"/>
    <w:rsid w:val="69DA25A5"/>
    <w:rsid w:val="69DD7064"/>
    <w:rsid w:val="6A004944"/>
    <w:rsid w:val="6A060AF0"/>
    <w:rsid w:val="6A253BE6"/>
    <w:rsid w:val="6A441F9D"/>
    <w:rsid w:val="6A542DAB"/>
    <w:rsid w:val="6A553A32"/>
    <w:rsid w:val="6A9D53FB"/>
    <w:rsid w:val="6AA638F9"/>
    <w:rsid w:val="6ABE0C43"/>
    <w:rsid w:val="6AC01764"/>
    <w:rsid w:val="6ACB746E"/>
    <w:rsid w:val="6B3158B9"/>
    <w:rsid w:val="6B3E1D84"/>
    <w:rsid w:val="6B601CFA"/>
    <w:rsid w:val="6B625A72"/>
    <w:rsid w:val="6B973D04"/>
    <w:rsid w:val="6BAA11C7"/>
    <w:rsid w:val="6BB43B72"/>
    <w:rsid w:val="6C2E1DF8"/>
    <w:rsid w:val="6C3F4006"/>
    <w:rsid w:val="6C4B7641"/>
    <w:rsid w:val="6C4F72C1"/>
    <w:rsid w:val="6C507CBE"/>
    <w:rsid w:val="6C7D5C73"/>
    <w:rsid w:val="6C946959"/>
    <w:rsid w:val="6CA51E3D"/>
    <w:rsid w:val="6CB36530"/>
    <w:rsid w:val="6CB9494B"/>
    <w:rsid w:val="6CD305A2"/>
    <w:rsid w:val="6CD85B06"/>
    <w:rsid w:val="6CEB1A97"/>
    <w:rsid w:val="6CEF5734"/>
    <w:rsid w:val="6CF46B9E"/>
    <w:rsid w:val="6CF84455"/>
    <w:rsid w:val="6D036DE1"/>
    <w:rsid w:val="6D0D7C60"/>
    <w:rsid w:val="6D1B2CD1"/>
    <w:rsid w:val="6D2D0302"/>
    <w:rsid w:val="6D3056B9"/>
    <w:rsid w:val="6D390A55"/>
    <w:rsid w:val="6D4849C0"/>
    <w:rsid w:val="6D4A2C62"/>
    <w:rsid w:val="6D667370"/>
    <w:rsid w:val="6D6B0F56"/>
    <w:rsid w:val="6D8379A1"/>
    <w:rsid w:val="6D8766CA"/>
    <w:rsid w:val="6D9E2FAE"/>
    <w:rsid w:val="6DFD5F26"/>
    <w:rsid w:val="6E105C5A"/>
    <w:rsid w:val="6E162B44"/>
    <w:rsid w:val="6E16433E"/>
    <w:rsid w:val="6E26547D"/>
    <w:rsid w:val="6E290AC9"/>
    <w:rsid w:val="6E4006B2"/>
    <w:rsid w:val="6E427DDD"/>
    <w:rsid w:val="6E62222D"/>
    <w:rsid w:val="6E7506EB"/>
    <w:rsid w:val="6E873A42"/>
    <w:rsid w:val="6EB17FBD"/>
    <w:rsid w:val="6EC6456A"/>
    <w:rsid w:val="6EC86F4F"/>
    <w:rsid w:val="6EE13152"/>
    <w:rsid w:val="6F1060F6"/>
    <w:rsid w:val="6F1E6154"/>
    <w:rsid w:val="6F377216"/>
    <w:rsid w:val="6F541B76"/>
    <w:rsid w:val="6F6D0E8A"/>
    <w:rsid w:val="6F7E1B58"/>
    <w:rsid w:val="6F8B7B20"/>
    <w:rsid w:val="6F9401C4"/>
    <w:rsid w:val="6FBCF277"/>
    <w:rsid w:val="6FE0165C"/>
    <w:rsid w:val="6FE74798"/>
    <w:rsid w:val="70311913"/>
    <w:rsid w:val="704D0028"/>
    <w:rsid w:val="70633D9B"/>
    <w:rsid w:val="70B76860"/>
    <w:rsid w:val="70CE7706"/>
    <w:rsid w:val="70D26124"/>
    <w:rsid w:val="70D61155"/>
    <w:rsid w:val="70FA04FB"/>
    <w:rsid w:val="710870BC"/>
    <w:rsid w:val="710E3FA6"/>
    <w:rsid w:val="71332BBF"/>
    <w:rsid w:val="716E190C"/>
    <w:rsid w:val="71765B16"/>
    <w:rsid w:val="71A234B0"/>
    <w:rsid w:val="71B66B18"/>
    <w:rsid w:val="7205184D"/>
    <w:rsid w:val="725325B9"/>
    <w:rsid w:val="725351DA"/>
    <w:rsid w:val="725D7F2A"/>
    <w:rsid w:val="7281536C"/>
    <w:rsid w:val="728D3E8F"/>
    <w:rsid w:val="72987FCC"/>
    <w:rsid w:val="72B56DCF"/>
    <w:rsid w:val="72D54D7C"/>
    <w:rsid w:val="72E41463"/>
    <w:rsid w:val="72EA7879"/>
    <w:rsid w:val="73100899"/>
    <w:rsid w:val="73225B94"/>
    <w:rsid w:val="733C2C1D"/>
    <w:rsid w:val="733E45E2"/>
    <w:rsid w:val="734032E5"/>
    <w:rsid w:val="7343262D"/>
    <w:rsid w:val="739F35DC"/>
    <w:rsid w:val="73B9469D"/>
    <w:rsid w:val="73C848E1"/>
    <w:rsid w:val="73CC71D9"/>
    <w:rsid w:val="73CD0149"/>
    <w:rsid w:val="73DD1399"/>
    <w:rsid w:val="73E50155"/>
    <w:rsid w:val="740F108B"/>
    <w:rsid w:val="742E48A2"/>
    <w:rsid w:val="74356371"/>
    <w:rsid w:val="74485A21"/>
    <w:rsid w:val="7453712C"/>
    <w:rsid w:val="74614F7E"/>
    <w:rsid w:val="748527D2"/>
    <w:rsid w:val="74885923"/>
    <w:rsid w:val="74BE7A92"/>
    <w:rsid w:val="752244C4"/>
    <w:rsid w:val="753C303D"/>
    <w:rsid w:val="753C676E"/>
    <w:rsid w:val="75623F7A"/>
    <w:rsid w:val="75661B24"/>
    <w:rsid w:val="75693EA1"/>
    <w:rsid w:val="75862CA5"/>
    <w:rsid w:val="758F1B5A"/>
    <w:rsid w:val="75901DEC"/>
    <w:rsid w:val="75F070A2"/>
    <w:rsid w:val="75F220E9"/>
    <w:rsid w:val="760112C4"/>
    <w:rsid w:val="76226050"/>
    <w:rsid w:val="76257DC8"/>
    <w:rsid w:val="765B5EE0"/>
    <w:rsid w:val="765C2956"/>
    <w:rsid w:val="767572DB"/>
    <w:rsid w:val="76830F93"/>
    <w:rsid w:val="768A40CF"/>
    <w:rsid w:val="76EA0007"/>
    <w:rsid w:val="77130569"/>
    <w:rsid w:val="771A5453"/>
    <w:rsid w:val="77451EE3"/>
    <w:rsid w:val="775A4C01"/>
    <w:rsid w:val="775F28C4"/>
    <w:rsid w:val="77784870"/>
    <w:rsid w:val="77AC08AF"/>
    <w:rsid w:val="77B1707B"/>
    <w:rsid w:val="77B358A8"/>
    <w:rsid w:val="77B41E61"/>
    <w:rsid w:val="77B94B74"/>
    <w:rsid w:val="77C83101"/>
    <w:rsid w:val="77FC724F"/>
    <w:rsid w:val="78041B5D"/>
    <w:rsid w:val="782F3180"/>
    <w:rsid w:val="786732F9"/>
    <w:rsid w:val="78704A1B"/>
    <w:rsid w:val="787D038F"/>
    <w:rsid w:val="78841FA2"/>
    <w:rsid w:val="78BF0CEF"/>
    <w:rsid w:val="78D43D28"/>
    <w:rsid w:val="78E357B6"/>
    <w:rsid w:val="78FE2050"/>
    <w:rsid w:val="79197617"/>
    <w:rsid w:val="79314CD6"/>
    <w:rsid w:val="79664F44"/>
    <w:rsid w:val="79B10C2A"/>
    <w:rsid w:val="79E86C4B"/>
    <w:rsid w:val="79FA5A10"/>
    <w:rsid w:val="7A067F11"/>
    <w:rsid w:val="7A1E7F83"/>
    <w:rsid w:val="7A2465E9"/>
    <w:rsid w:val="7A2544C3"/>
    <w:rsid w:val="7A2B0EC7"/>
    <w:rsid w:val="7A2C78CF"/>
    <w:rsid w:val="7A37631C"/>
    <w:rsid w:val="7A401675"/>
    <w:rsid w:val="7A513882"/>
    <w:rsid w:val="7A5F39FD"/>
    <w:rsid w:val="7A603412"/>
    <w:rsid w:val="7A6D7F90"/>
    <w:rsid w:val="7A6E28DC"/>
    <w:rsid w:val="7A77746B"/>
    <w:rsid w:val="7A955AA3"/>
    <w:rsid w:val="7A9C6A29"/>
    <w:rsid w:val="7AB17498"/>
    <w:rsid w:val="7AB20E73"/>
    <w:rsid w:val="7AC36A5F"/>
    <w:rsid w:val="7AD85D51"/>
    <w:rsid w:val="7AEB57A3"/>
    <w:rsid w:val="7AFD1AC8"/>
    <w:rsid w:val="7B162A55"/>
    <w:rsid w:val="7B2A1259"/>
    <w:rsid w:val="7B4231CA"/>
    <w:rsid w:val="7B62481E"/>
    <w:rsid w:val="7B786BEC"/>
    <w:rsid w:val="7B850C69"/>
    <w:rsid w:val="7B8B33BC"/>
    <w:rsid w:val="7B991D4F"/>
    <w:rsid w:val="7B9C10D8"/>
    <w:rsid w:val="7BB63A0E"/>
    <w:rsid w:val="7BDF2C39"/>
    <w:rsid w:val="7C137C33"/>
    <w:rsid w:val="7C5E5EE7"/>
    <w:rsid w:val="7C7C270C"/>
    <w:rsid w:val="7C7C7476"/>
    <w:rsid w:val="7C857813"/>
    <w:rsid w:val="7C907F65"/>
    <w:rsid w:val="7CB579CC"/>
    <w:rsid w:val="7CBE4AD3"/>
    <w:rsid w:val="7CC9189C"/>
    <w:rsid w:val="7CDC13FD"/>
    <w:rsid w:val="7CDC31AB"/>
    <w:rsid w:val="7CF60710"/>
    <w:rsid w:val="7D00333D"/>
    <w:rsid w:val="7D1E3461"/>
    <w:rsid w:val="7D7F551F"/>
    <w:rsid w:val="7D9B4867"/>
    <w:rsid w:val="7DE02B9F"/>
    <w:rsid w:val="7DEA50D6"/>
    <w:rsid w:val="7DF65765"/>
    <w:rsid w:val="7E0C5521"/>
    <w:rsid w:val="7E0D4106"/>
    <w:rsid w:val="7E292138"/>
    <w:rsid w:val="7E2F3AA9"/>
    <w:rsid w:val="7E491248"/>
    <w:rsid w:val="7E53749D"/>
    <w:rsid w:val="7E6713D7"/>
    <w:rsid w:val="7E68119A"/>
    <w:rsid w:val="7E7A0ECD"/>
    <w:rsid w:val="7E902D53"/>
    <w:rsid w:val="7E9B156F"/>
    <w:rsid w:val="7EDC3936"/>
    <w:rsid w:val="7EDE145C"/>
    <w:rsid w:val="7EEA1BAF"/>
    <w:rsid w:val="7EF1152A"/>
    <w:rsid w:val="7EFBD012"/>
    <w:rsid w:val="7F1A6794"/>
    <w:rsid w:val="7F231565"/>
    <w:rsid w:val="7F42696A"/>
    <w:rsid w:val="7F4905AB"/>
    <w:rsid w:val="7F631961"/>
    <w:rsid w:val="7F741DC0"/>
    <w:rsid w:val="7F8F09A8"/>
    <w:rsid w:val="7F9E2999"/>
    <w:rsid w:val="7FA501CC"/>
    <w:rsid w:val="7FBD72C3"/>
    <w:rsid w:val="7FCA5830"/>
    <w:rsid w:val="7FD8234F"/>
    <w:rsid w:val="7FE42AA2"/>
    <w:rsid w:val="7FE8697E"/>
    <w:rsid w:val="7FF2742E"/>
    <w:rsid w:val="BFDF8ECF"/>
    <w:rsid w:val="DDAB9D69"/>
    <w:rsid w:val="F4FB89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等线" w:eastAsia="等线"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kern w:val="0"/>
    </w:rPr>
  </w:style>
  <w:style w:type="paragraph" w:styleId="4">
    <w:name w:val="heading 3"/>
    <w:basedOn w:val="1"/>
    <w:next w:val="1"/>
    <w:link w:val="52"/>
    <w:qFormat/>
    <w:uiPriority w:val="0"/>
    <w:pPr>
      <w:keepNext/>
      <w:keepLines/>
      <w:outlineLvl w:val="2"/>
    </w:pPr>
    <w:rPr>
      <w:rFonts w:hint="default" w:ascii="Times New Roman" w:hAnsi="Times New Roman" w:eastAsia="宋体"/>
      <w:b/>
    </w:rPr>
  </w:style>
  <w:style w:type="paragraph" w:styleId="5">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autoRedefine/>
    <w:qFormat/>
    <w:uiPriority w:val="0"/>
    <w:pPr>
      <w:widowControl/>
      <w:ind w:firstLine="420"/>
      <w:jc w:val="left"/>
    </w:pPr>
    <w:rPr>
      <w:kern w:val="0"/>
      <w:sz w:val="20"/>
    </w:rPr>
  </w:style>
  <w:style w:type="paragraph" w:styleId="7">
    <w:name w:val="annotation text"/>
    <w:basedOn w:val="1"/>
    <w:autoRedefine/>
    <w:qFormat/>
    <w:uiPriority w:val="0"/>
    <w:pPr>
      <w:jc w:val="left"/>
    </w:pPr>
    <w:rPr>
      <w:rFonts w:hint="default" w:ascii="Times New Roman" w:hAnsi="Times New Roman" w:eastAsia="宋体"/>
      <w:sz w:val="21"/>
    </w:rPr>
  </w:style>
  <w:style w:type="paragraph" w:styleId="8">
    <w:name w:val="Body Text"/>
    <w:basedOn w:val="1"/>
    <w:autoRedefine/>
    <w:qFormat/>
    <w:uiPriority w:val="0"/>
  </w:style>
  <w:style w:type="paragraph" w:styleId="9">
    <w:name w:val="Body Text Indent"/>
    <w:basedOn w:val="1"/>
    <w:autoRedefine/>
    <w:qFormat/>
    <w:uiPriority w:val="0"/>
    <w:pPr>
      <w:ind w:firstLine="560" w:firstLineChars="200"/>
    </w:pPr>
  </w:style>
  <w:style w:type="paragraph" w:styleId="10">
    <w:name w:val="toc 3"/>
    <w:basedOn w:val="1"/>
    <w:next w:val="1"/>
    <w:autoRedefine/>
    <w:qFormat/>
    <w:uiPriority w:val="39"/>
    <w:pPr>
      <w:ind w:left="840" w:leftChars="400"/>
    </w:pPr>
  </w:style>
  <w:style w:type="paragraph" w:styleId="11">
    <w:name w:val="Plain Text"/>
    <w:basedOn w:val="1"/>
    <w:autoRedefine/>
    <w:qFormat/>
    <w:uiPriority w:val="0"/>
    <w:rPr>
      <w:rFonts w:hAnsi="Courier New" w:eastAsia="楷体_GB2312"/>
      <w:kern w:val="0"/>
      <w:sz w:val="20"/>
      <w:szCs w:val="24"/>
    </w:rPr>
  </w:style>
  <w:style w:type="paragraph" w:styleId="12">
    <w:name w:val="Body Text Indent 2"/>
    <w:basedOn w:val="1"/>
    <w:autoRedefine/>
    <w:qFormat/>
    <w:uiPriority w:val="0"/>
    <w:pPr>
      <w:spacing w:line="480" w:lineRule="auto"/>
      <w:ind w:firstLine="561"/>
    </w:pPr>
  </w:style>
  <w:style w:type="paragraph" w:styleId="13">
    <w:name w:val="Balloon Text"/>
    <w:basedOn w:val="1"/>
    <w:link w:val="73"/>
    <w:autoRedefine/>
    <w:qFormat/>
    <w:uiPriority w:val="0"/>
    <w:rPr>
      <w:sz w:val="18"/>
      <w:szCs w:val="18"/>
    </w:rPr>
  </w:style>
  <w:style w:type="paragraph" w:styleId="14">
    <w:name w:val="footer"/>
    <w:basedOn w:val="1"/>
    <w:next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6">
    <w:name w:val="toc 1"/>
    <w:basedOn w:val="17"/>
    <w:next w:val="1"/>
    <w:autoRedefine/>
    <w:qFormat/>
    <w:uiPriority w:val="39"/>
  </w:style>
  <w:style w:type="paragraph" w:styleId="17">
    <w:name w:val="index 1"/>
    <w:basedOn w:val="1"/>
    <w:next w:val="1"/>
    <w:autoRedefine/>
    <w:unhideWhenUsed/>
    <w:qFormat/>
    <w:uiPriority w:val="0"/>
  </w:style>
  <w:style w:type="paragraph" w:styleId="18">
    <w:name w:val="toc 4"/>
    <w:basedOn w:val="1"/>
    <w:next w:val="1"/>
    <w:autoRedefine/>
    <w:qFormat/>
    <w:uiPriority w:val="0"/>
    <w:pPr>
      <w:ind w:left="1260" w:leftChars="600"/>
    </w:pPr>
  </w:style>
  <w:style w:type="paragraph" w:styleId="19">
    <w:name w:val="toc 2"/>
    <w:basedOn w:val="1"/>
    <w:next w:val="1"/>
    <w:autoRedefine/>
    <w:qFormat/>
    <w:uiPriority w:val="39"/>
    <w:pPr>
      <w:ind w:left="420" w:leftChars="200"/>
    </w:pPr>
  </w:style>
  <w:style w:type="paragraph" w:styleId="20">
    <w:name w:val="Body Text 2"/>
    <w:basedOn w:val="1"/>
    <w:next w:val="8"/>
    <w:autoRedefine/>
    <w:qFormat/>
    <w:uiPriority w:val="0"/>
    <w:pPr>
      <w:spacing w:line="500" w:lineRule="exact"/>
    </w:pPr>
  </w:style>
  <w:style w:type="paragraph" w:styleId="21">
    <w:name w:val="Normal (Web)"/>
    <w:basedOn w:val="1"/>
    <w:autoRedefine/>
    <w:qFormat/>
    <w:uiPriority w:val="0"/>
    <w:pPr>
      <w:widowControl/>
      <w:spacing w:beforeAutospacing="1" w:afterAutospacing="1"/>
      <w:jc w:val="left"/>
    </w:pPr>
    <w:rPr>
      <w:rFonts w:hAnsi="宋体" w:cs="宋体"/>
      <w:color w:val="000000"/>
      <w:kern w:val="0"/>
      <w:szCs w:val="24"/>
    </w:rPr>
  </w:style>
  <w:style w:type="paragraph" w:styleId="22">
    <w:name w:val="Body Text First Indent"/>
    <w:basedOn w:val="8"/>
    <w:autoRedefine/>
    <w:qFormat/>
    <w:uiPriority w:val="0"/>
    <w:pPr>
      <w:ind w:firstLine="420"/>
    </w:pPr>
  </w:style>
  <w:style w:type="character" w:styleId="25">
    <w:name w:val="Strong"/>
    <w:basedOn w:val="24"/>
    <w:autoRedefine/>
    <w:qFormat/>
    <w:uiPriority w:val="0"/>
    <w:rPr>
      <w:b/>
    </w:rPr>
  </w:style>
  <w:style w:type="character" w:styleId="26">
    <w:name w:val="FollowedHyperlink"/>
    <w:basedOn w:val="24"/>
    <w:autoRedefine/>
    <w:qFormat/>
    <w:uiPriority w:val="0"/>
    <w:rPr>
      <w:color w:val="333333"/>
      <w:u w:val="none"/>
    </w:rPr>
  </w:style>
  <w:style w:type="character" w:styleId="27">
    <w:name w:val="Emphasis"/>
    <w:basedOn w:val="24"/>
    <w:autoRedefine/>
    <w:qFormat/>
    <w:uiPriority w:val="0"/>
    <w:rPr>
      <w:i/>
    </w:rPr>
  </w:style>
  <w:style w:type="character" w:styleId="28">
    <w:name w:val="HTML Variable"/>
    <w:basedOn w:val="24"/>
    <w:autoRedefine/>
    <w:qFormat/>
    <w:uiPriority w:val="0"/>
    <w:rPr>
      <w:i/>
    </w:rPr>
  </w:style>
  <w:style w:type="character" w:styleId="29">
    <w:name w:val="Hyperlink"/>
    <w:basedOn w:val="24"/>
    <w:autoRedefine/>
    <w:qFormat/>
    <w:uiPriority w:val="0"/>
    <w:rPr>
      <w:color w:val="333333"/>
      <w:u w:val="none"/>
    </w:rPr>
  </w:style>
  <w:style w:type="character" w:styleId="30">
    <w:name w:val="HTML Code"/>
    <w:basedOn w:val="24"/>
    <w:autoRedefine/>
    <w:qFormat/>
    <w:uiPriority w:val="0"/>
    <w:rPr>
      <w:rFonts w:ascii="Courier New" w:hAnsi="Courier New"/>
      <w:sz w:val="20"/>
    </w:rPr>
  </w:style>
  <w:style w:type="character" w:styleId="31">
    <w:name w:val="HTML Cite"/>
    <w:basedOn w:val="24"/>
    <w:autoRedefine/>
    <w:qFormat/>
    <w:uiPriority w:val="0"/>
    <w:rPr>
      <w:i/>
    </w:rPr>
  </w:style>
  <w:style w:type="paragraph" w:customStyle="1" w:styleId="32">
    <w:name w:val="样式 宋体 行距: 1.5 倍行距"/>
    <w:basedOn w:val="33"/>
    <w:next w:val="1"/>
    <w:autoRedefine/>
    <w:qFormat/>
    <w:uiPriority w:val="0"/>
    <w:pPr>
      <w:jc w:val="center"/>
    </w:pPr>
    <w:rPr>
      <w:rFonts w:ascii="Times New Roman" w:hAnsi="Times New Roman" w:cs="Times New Roman"/>
      <w:b/>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2"/>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autoRedefine/>
    <w:qFormat/>
    <w:uiPriority w:val="0"/>
    <w:pPr>
      <w:autoSpaceDE w:val="0"/>
      <w:autoSpaceDN w:val="0"/>
      <w:adjustRightInd w:val="0"/>
      <w:jc w:val="left"/>
      <w:outlineLvl w:val="0"/>
    </w:pPr>
    <w:rPr>
      <w:kern w:val="0"/>
      <w:sz w:val="30"/>
    </w:rPr>
  </w:style>
  <w:style w:type="paragraph" w:customStyle="1" w:styleId="39">
    <w:name w:val="标题 2 New New"/>
    <w:basedOn w:val="37"/>
    <w:next w:val="37"/>
    <w:autoRedefine/>
    <w:qFormat/>
    <w:uiPriority w:val="0"/>
    <w:pPr>
      <w:autoSpaceDE w:val="0"/>
      <w:autoSpaceDN w:val="0"/>
      <w:adjustRightInd w:val="0"/>
      <w:jc w:val="left"/>
      <w:outlineLvl w:val="1"/>
    </w:pPr>
    <w:rPr>
      <w:kern w:val="0"/>
    </w:rPr>
  </w:style>
  <w:style w:type="paragraph" w:customStyle="1" w:styleId="40">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autoRedefine/>
    <w:qFormat/>
    <w:uiPriority w:val="0"/>
    <w:pPr>
      <w:widowControl/>
      <w:spacing w:line="360" w:lineRule="auto"/>
      <w:ind w:firstLine="420"/>
      <w:jc w:val="left"/>
    </w:pPr>
    <w:rPr>
      <w:rFonts w:hAnsi="Times New Roman"/>
      <w:kern w:val="0"/>
      <w:sz w:val="20"/>
    </w:rPr>
  </w:style>
  <w:style w:type="paragraph" w:customStyle="1" w:styleId="42">
    <w:name w:val="正文缩进1"/>
    <w:basedOn w:val="1"/>
    <w:autoRedefine/>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2"/>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2"/>
    <w:next w:val="32"/>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正文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Bodoni MT" w:hAnsi="Bodoni MT" w:eastAsia="宋体" w:cs="Bodoni MT"/>
      <w:kern w:val="2"/>
      <w:sz w:val="21"/>
      <w:szCs w:val="24"/>
      <w:lang w:val="en-US" w:eastAsia="zh-CN" w:bidi="ar-SA"/>
    </w:rPr>
  </w:style>
  <w:style w:type="paragraph" w:customStyle="1" w:styleId="46">
    <w:name w:val="正文文本缩进 New New"/>
    <w:basedOn w:val="37"/>
    <w:autoRedefine/>
    <w:qFormat/>
    <w:uiPriority w:val="0"/>
    <w:pPr>
      <w:ind w:firstLine="560" w:firstLineChars="200"/>
    </w:pPr>
  </w:style>
  <w:style w:type="paragraph" w:customStyle="1" w:styleId="47">
    <w:name w:val="正文文本缩进 3 New"/>
    <w:basedOn w:val="37"/>
    <w:autoRedefine/>
    <w:qFormat/>
    <w:uiPriority w:val="0"/>
    <w:pPr>
      <w:ind w:firstLine="560"/>
    </w:pPr>
    <w:rPr>
      <w:color w:val="FF0000"/>
    </w:rPr>
  </w:style>
  <w:style w:type="paragraph" w:customStyle="1" w:styleId="48">
    <w:name w:val="标题 3 New New New"/>
    <w:basedOn w:val="49"/>
    <w:next w:val="49"/>
    <w:autoRedefine/>
    <w:qFormat/>
    <w:uiPriority w:val="0"/>
    <w:pPr>
      <w:keepNext/>
      <w:keepLines/>
      <w:jc w:val="center"/>
      <w:outlineLvl w:val="2"/>
    </w:pPr>
    <w:rPr>
      <w:sz w:val="24"/>
    </w:rPr>
  </w:style>
  <w:style w:type="paragraph" w:customStyle="1" w:styleId="49">
    <w:name w:val="正文缩进 New"/>
    <w:basedOn w:val="50"/>
    <w:autoRedefine/>
    <w:qFormat/>
    <w:uiPriority w:val="0"/>
    <w:pPr>
      <w:widowControl/>
      <w:ind w:firstLine="420"/>
      <w:jc w:val="left"/>
    </w:pPr>
    <w:rPr>
      <w:kern w:val="0"/>
      <w:sz w:val="20"/>
    </w:rPr>
  </w:style>
  <w:style w:type="paragraph" w:customStyle="1" w:styleId="50">
    <w:name w:val="正文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1">
    <w:name w:val="正文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2">
    <w:name w:val="标题 3 Char"/>
    <w:link w:val="4"/>
    <w:autoRedefine/>
    <w:qFormat/>
    <w:uiPriority w:val="0"/>
    <w:rPr>
      <w:rFonts w:hint="default" w:ascii="Times New Roman" w:hAnsi="Times New Roman" w:eastAsia="宋体"/>
      <w:b/>
    </w:rPr>
  </w:style>
  <w:style w:type="character" w:customStyle="1" w:styleId="53">
    <w:name w:val="NormalCharacter"/>
    <w:autoRedefine/>
    <w:semiHidden/>
    <w:qFormat/>
    <w:uiPriority w:val="0"/>
    <w:rPr>
      <w:rFonts w:ascii="宋体"/>
      <w:kern w:val="2"/>
      <w:sz w:val="24"/>
      <w:lang w:val="en-US" w:eastAsia="zh-CN" w:bidi="ar-SA"/>
    </w:rPr>
  </w:style>
  <w:style w:type="paragraph" w:customStyle="1" w:styleId="54">
    <w:name w:val="标题 2 New New New"/>
    <w:basedOn w:val="55"/>
    <w:next w:val="55"/>
    <w:autoRedefine/>
    <w:qFormat/>
    <w:uiPriority w:val="0"/>
    <w:pPr>
      <w:autoSpaceDE w:val="0"/>
      <w:autoSpaceDN w:val="0"/>
      <w:adjustRightInd w:val="0"/>
      <w:jc w:val="left"/>
      <w:outlineLvl w:val="1"/>
    </w:pPr>
  </w:style>
  <w:style w:type="paragraph" w:customStyle="1" w:styleId="55">
    <w:name w:val="正文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6">
    <w:name w:val="普通(网站) New"/>
    <w:basedOn w:val="57"/>
    <w:autoRedefine/>
    <w:qFormat/>
    <w:uiPriority w:val="0"/>
    <w:rPr>
      <w:sz w:val="24"/>
    </w:rPr>
  </w:style>
  <w:style w:type="paragraph" w:customStyle="1" w:styleId="57">
    <w:name w:val="正文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8">
    <w:name w:val="正文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0">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1">
    <w:name w:val="YJ22 Char"/>
    <w:link w:val="62"/>
    <w:autoRedefine/>
    <w:qFormat/>
    <w:uiPriority w:val="0"/>
    <w:rPr>
      <w:rFonts w:ascii="Times New Roman" w:hAnsi="宋体"/>
      <w:b/>
      <w:kern w:val="0"/>
      <w:sz w:val="20"/>
    </w:rPr>
  </w:style>
  <w:style w:type="paragraph" w:customStyle="1" w:styleId="62">
    <w:name w:val="YJ22"/>
    <w:basedOn w:val="37"/>
    <w:next w:val="37"/>
    <w:link w:val="61"/>
    <w:autoRedefine/>
    <w:qFormat/>
    <w:uiPriority w:val="0"/>
    <w:pPr>
      <w:autoSpaceDE w:val="0"/>
      <w:autoSpaceDN w:val="0"/>
      <w:adjustRightInd w:val="0"/>
      <w:jc w:val="left"/>
      <w:outlineLvl w:val="1"/>
    </w:pPr>
    <w:rPr>
      <w:rFonts w:ascii="Times New Roman" w:hAnsi="宋体"/>
      <w:b/>
      <w:kern w:val="0"/>
      <w:sz w:val="20"/>
    </w:rPr>
  </w:style>
  <w:style w:type="paragraph" w:customStyle="1" w:styleId="63">
    <w:name w:val="正文文本缩进 New"/>
    <w:basedOn w:val="64"/>
    <w:autoRedefine/>
    <w:qFormat/>
    <w:uiPriority w:val="0"/>
    <w:pPr>
      <w:ind w:firstLine="560" w:firstLineChars="200"/>
    </w:pPr>
  </w:style>
  <w:style w:type="paragraph" w:customStyle="1" w:styleId="64">
    <w:name w:val="正文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正文文本缩进 New New New New"/>
    <w:basedOn w:val="66"/>
    <w:autoRedefine/>
    <w:qFormat/>
    <w:uiPriority w:val="0"/>
    <w:pPr>
      <w:ind w:firstLine="560" w:firstLineChars="200"/>
    </w:pPr>
    <w:rPr>
      <w:szCs w:val="28"/>
    </w:rPr>
  </w:style>
  <w:style w:type="paragraph" w:customStyle="1" w:styleId="66">
    <w:name w:val="正文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7">
    <w:name w:val="正文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正文文本缩进 New New New New New New New"/>
    <w:basedOn w:val="67"/>
    <w:autoRedefine/>
    <w:qFormat/>
    <w:uiPriority w:val="0"/>
    <w:pPr>
      <w:ind w:left="420" w:leftChars="200"/>
    </w:pPr>
    <w:rPr>
      <w:szCs w:val="24"/>
    </w:rPr>
  </w:style>
  <w:style w:type="paragraph" w:customStyle="1" w:styleId="69">
    <w:name w:val="正文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0">
    <w:name w:val="正文文本缩进 New New New New New New New New"/>
    <w:basedOn w:val="69"/>
    <w:autoRedefine/>
    <w:qFormat/>
    <w:uiPriority w:val="0"/>
    <w:pPr>
      <w:ind w:left="420" w:leftChars="200"/>
    </w:pPr>
    <w:rPr>
      <w:szCs w:val="24"/>
    </w:rPr>
  </w:style>
  <w:style w:type="paragraph" w:customStyle="1" w:styleId="71">
    <w:name w:val="正文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2">
    <w:name w:val="页脚 New"/>
    <w:basedOn w:val="37"/>
    <w:autoRedefine/>
    <w:qFormat/>
    <w:uiPriority w:val="0"/>
    <w:pPr>
      <w:widowControl/>
      <w:tabs>
        <w:tab w:val="center" w:pos="4153"/>
        <w:tab w:val="right" w:pos="8306"/>
      </w:tabs>
      <w:snapToGrid w:val="0"/>
      <w:jc w:val="left"/>
    </w:pPr>
    <w:rPr>
      <w:kern w:val="0"/>
      <w:sz w:val="18"/>
    </w:rPr>
  </w:style>
  <w:style w:type="character" w:customStyle="1" w:styleId="73">
    <w:name w:val="批注框文本 Char"/>
    <w:basedOn w:val="24"/>
    <w:link w:val="13"/>
    <w:autoRedefine/>
    <w:qFormat/>
    <w:uiPriority w:val="0"/>
    <w:rPr>
      <w:rFonts w:ascii="宋体" w:hAnsi="等线" w:eastAsia="等线" w:cs="Times New Roman"/>
      <w:kern w:val="2"/>
      <w:sz w:val="18"/>
      <w:szCs w:val="18"/>
    </w:rPr>
  </w:style>
  <w:style w:type="character" w:customStyle="1" w:styleId="74">
    <w:name w:val="hover21"/>
    <w:basedOn w:val="24"/>
    <w:autoRedefine/>
    <w:qFormat/>
    <w:uiPriority w:val="0"/>
    <w:rPr>
      <w:color w:val="5FB878"/>
    </w:rPr>
  </w:style>
  <w:style w:type="character" w:customStyle="1" w:styleId="75">
    <w:name w:val="hover22"/>
    <w:basedOn w:val="24"/>
    <w:autoRedefine/>
    <w:qFormat/>
    <w:uiPriority w:val="0"/>
    <w:rPr>
      <w:color w:val="5FB878"/>
    </w:rPr>
  </w:style>
  <w:style w:type="character" w:customStyle="1" w:styleId="76">
    <w:name w:val="hover23"/>
    <w:basedOn w:val="24"/>
    <w:autoRedefine/>
    <w:qFormat/>
    <w:uiPriority w:val="0"/>
    <w:rPr>
      <w:color w:val="FFFFFF"/>
    </w:rPr>
  </w:style>
  <w:style w:type="paragraph" w:customStyle="1" w:styleId="77">
    <w:name w:val="正文文本 New"/>
    <w:basedOn w:val="37"/>
    <w:autoRedefine/>
    <w:qFormat/>
    <w:uiPriority w:val="0"/>
    <w:pPr>
      <w:spacing w:after="120" w:afterLines="0" w:afterAutospacing="0"/>
    </w:pPr>
  </w:style>
  <w:style w:type="paragraph" w:customStyle="1" w:styleId="78">
    <w:name w:val="正文 New New New New New New New New New New New New New New New New New New New New New New New New New New New New New New New New New New New New New New New New New New New New New New New New New New New New New New New New New New New New"/>
    <w:next w:val="32"/>
    <w:autoRedefine/>
    <w:unhideWhenUsed/>
    <w:qFormat/>
    <w:uiPriority w:val="0"/>
    <w:pPr>
      <w:widowControl w:val="0"/>
      <w:spacing w:beforeLines="0" w:afterLines="0"/>
      <w:jc w:val="both"/>
    </w:pPr>
    <w:rPr>
      <w:rFonts w:hint="default" w:ascii="Calibri" w:hAnsi="Calibri" w:eastAsia="宋体" w:cs="黑体"/>
      <w:kern w:val="2"/>
      <w:sz w:val="21"/>
      <w:szCs w:val="24"/>
      <w:lang w:val="en-US" w:eastAsia="zh-CN" w:bidi="ar-SA"/>
    </w:rPr>
  </w:style>
  <w:style w:type="paragraph" w:customStyle="1" w:styleId="79">
    <w:name w:val="标题 21"/>
    <w:basedOn w:val="1"/>
    <w:autoRedefine/>
    <w:qFormat/>
    <w:uiPriority w:val="0"/>
    <w:pPr>
      <w:autoSpaceDE w:val="0"/>
      <w:autoSpaceDN w:val="0"/>
      <w:jc w:val="left"/>
      <w:outlineLvl w:val="1"/>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119</Pages>
  <Words>13170</Words>
  <Characters>14191</Characters>
  <Lines>1</Lines>
  <Paragraphs>1</Paragraphs>
  <TotalTime>1</TotalTime>
  <ScaleCrop>false</ScaleCrop>
  <LinksUpToDate>false</LinksUpToDate>
  <CharactersWithSpaces>14518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2023-11-12T02:36:00Z</dcterms:created>
  <dc:creator>Chen~小璇</dc:creator>
  <cp:lastModifiedBy>onion</cp:lastModifiedBy>
  <cp:lastPrinted>2026-09-21T08:48:00Z</cp:lastPrinted>
  <dcterms:modified xsi:type="dcterms:W3CDTF">2026-09-28T07:29:27Z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F39744D6DFF348CEA0AEF9578C952AF7_13</vt:lpwstr>
  </property>
  <property fmtid="{D5CDD505-2E9C-101B-9397-08002B2CF9AE}" pid="4" name="KSOTemplateDocerSaveRecord">
    <vt:lpwstr>eyJoZGlkIjoiNjAyZjdkOTdjMTljODljZGNlNGVkODdkZmRmMTRjNmEiLCJ1c2VySWQiOiI3ODA3MzU4ODYifQ==</vt:lpwstr>
  </property>
</Properties>
</file>