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D0E0E">
      <w:pPr>
        <w:rPr>
          <w:rFonts w:hint="eastAsia" w:ascii="宋体" w:hAnsi="宋体" w:eastAsia="宋体" w:cs="宋体"/>
          <w:lang w:val="en-US" w:eastAsia="zh-CN"/>
        </w:rPr>
      </w:pPr>
    </w:p>
    <w:p w14:paraId="6515F3B8">
      <w:pPr>
        <w:rPr>
          <w:rFonts w:hint="eastAsia" w:ascii="宋体" w:hAnsi="宋体" w:eastAsia="宋体" w:cs="宋体"/>
          <w:lang w:val="en-US" w:eastAsia="zh-CN"/>
        </w:rPr>
      </w:pPr>
    </w:p>
    <w:p w14:paraId="42B17CC5">
      <w:pPr>
        <w:rPr>
          <w:rFonts w:hint="eastAsia" w:ascii="宋体" w:hAnsi="宋体" w:eastAsia="宋体" w:cs="宋体"/>
          <w:lang w:val="en-US" w:eastAsia="zh-CN"/>
        </w:rPr>
      </w:pPr>
    </w:p>
    <w:p w14:paraId="1E163787">
      <w:pPr>
        <w:rPr>
          <w:rFonts w:hint="eastAsia" w:ascii="宋体" w:hAnsi="宋体" w:eastAsia="宋体" w:cs="宋体"/>
          <w:lang w:val="en-US" w:eastAsia="zh-CN"/>
        </w:rPr>
      </w:pPr>
    </w:p>
    <w:p w14:paraId="10C922CA">
      <w:pPr>
        <w:rPr>
          <w:rFonts w:hint="eastAsia" w:ascii="宋体" w:hAnsi="宋体" w:eastAsia="宋体" w:cs="宋体"/>
          <w:sz w:val="28"/>
          <w:szCs w:val="28"/>
          <w:lang w:val="en-US" w:eastAsia="zh-CN"/>
        </w:rPr>
      </w:pPr>
    </w:p>
    <w:p w14:paraId="5AC91AF3">
      <w:pPr>
        <w:pStyle w:val="8"/>
        <w:spacing w:line="360" w:lineRule="auto"/>
        <w:jc w:val="center"/>
        <w:rPr>
          <w:rFonts w:hint="eastAsia" w:ascii="宋体" w:hAnsi="宋体" w:eastAsia="宋体" w:cs="宋体"/>
          <w:b/>
          <w:bCs/>
          <w:color w:val="auto"/>
          <w:spacing w:val="-3"/>
          <w:sz w:val="48"/>
          <w:szCs w:val="48"/>
          <w:highlight w:val="none"/>
          <w:lang w:val="en-US" w:eastAsia="zh-CN"/>
        </w:rPr>
      </w:pPr>
      <w:r>
        <w:rPr>
          <w:rFonts w:hint="eastAsia" w:ascii="宋体" w:hAnsi="宋体" w:eastAsia="宋体" w:cs="宋体"/>
          <w:b/>
          <w:bCs/>
          <w:color w:val="auto"/>
          <w:spacing w:val="-3"/>
          <w:sz w:val="48"/>
          <w:szCs w:val="48"/>
          <w:highlight w:val="none"/>
          <w:lang w:val="en-US" w:eastAsia="zh-CN"/>
        </w:rPr>
        <w:t>江湾镇武洞至乳源白竹跨镇道路灾后重建项目（水渠工程）施工</w:t>
      </w:r>
    </w:p>
    <w:p w14:paraId="383498E3">
      <w:pPr>
        <w:rPr>
          <w:rFonts w:hint="eastAsia" w:ascii="宋体" w:hAnsi="宋体" w:eastAsia="宋体" w:cs="宋体"/>
        </w:rPr>
      </w:pPr>
    </w:p>
    <w:p w14:paraId="3E50F084">
      <w:pPr>
        <w:rPr>
          <w:rFonts w:hint="eastAsia" w:ascii="宋体" w:hAnsi="宋体" w:eastAsia="宋体" w:cs="宋体"/>
        </w:rPr>
      </w:pPr>
    </w:p>
    <w:p w14:paraId="61410317">
      <w:pPr>
        <w:rPr>
          <w:rFonts w:hint="eastAsia" w:ascii="宋体" w:hAnsi="宋体" w:eastAsia="宋体" w:cs="宋体"/>
        </w:rPr>
      </w:pPr>
    </w:p>
    <w:p w14:paraId="59AF0693">
      <w:pPr>
        <w:rPr>
          <w:rFonts w:hint="eastAsia" w:ascii="宋体" w:hAnsi="宋体" w:eastAsia="宋体" w:cs="宋体"/>
        </w:rPr>
      </w:pPr>
    </w:p>
    <w:p w14:paraId="2FFB5350">
      <w:pPr>
        <w:rPr>
          <w:rFonts w:hint="eastAsia" w:ascii="宋体" w:hAnsi="宋体" w:eastAsia="宋体" w:cs="宋体"/>
        </w:rPr>
      </w:pPr>
    </w:p>
    <w:p w14:paraId="5F59F3C4">
      <w:pPr>
        <w:rPr>
          <w:rFonts w:hint="eastAsia" w:ascii="宋体" w:hAnsi="宋体" w:eastAsia="宋体" w:cs="宋体"/>
        </w:rPr>
      </w:pPr>
    </w:p>
    <w:p w14:paraId="0BEA1AF8">
      <w:pPr>
        <w:jc w:val="center"/>
        <w:rPr>
          <w:rFonts w:hint="eastAsia" w:ascii="宋体" w:hAnsi="宋体" w:eastAsia="宋体" w:cs="宋体"/>
          <w:sz w:val="72"/>
          <w:szCs w:val="72"/>
        </w:rPr>
      </w:pPr>
      <w:bookmarkStart w:id="0" w:name="_Toc1688"/>
      <w:bookmarkStart w:id="1" w:name="_Toc7958"/>
      <w:bookmarkStart w:id="2" w:name="_Toc15274"/>
      <w:bookmarkStart w:id="3" w:name="_Toc31900"/>
      <w:r>
        <w:rPr>
          <w:rFonts w:hint="eastAsia" w:ascii="宋体" w:hAnsi="宋体" w:eastAsia="宋体" w:cs="宋体"/>
          <w:sz w:val="72"/>
          <w:szCs w:val="72"/>
        </w:rPr>
        <w:t>招标文件</w:t>
      </w:r>
      <w:bookmarkEnd w:id="0"/>
      <w:bookmarkEnd w:id="1"/>
      <w:bookmarkEnd w:id="2"/>
      <w:bookmarkEnd w:id="3"/>
    </w:p>
    <w:p w14:paraId="017D737B">
      <w:pPr>
        <w:rPr>
          <w:rFonts w:hint="eastAsia" w:ascii="宋体" w:hAnsi="宋体" w:eastAsia="宋体" w:cs="宋体"/>
        </w:rPr>
      </w:pPr>
    </w:p>
    <w:p w14:paraId="7AD1D51C">
      <w:pPr>
        <w:rPr>
          <w:rFonts w:hint="eastAsia" w:ascii="宋体" w:hAnsi="宋体" w:eastAsia="宋体" w:cs="宋体"/>
        </w:rPr>
      </w:pPr>
    </w:p>
    <w:p w14:paraId="20A45DB7">
      <w:pPr>
        <w:rPr>
          <w:rFonts w:hint="eastAsia" w:ascii="宋体" w:hAnsi="宋体" w:eastAsia="宋体" w:cs="宋体"/>
        </w:rPr>
      </w:pPr>
    </w:p>
    <w:p w14:paraId="4D3F1568">
      <w:pPr>
        <w:rPr>
          <w:rFonts w:hint="eastAsia" w:ascii="宋体" w:hAnsi="宋体" w:eastAsia="宋体" w:cs="宋体"/>
        </w:rPr>
      </w:pPr>
    </w:p>
    <w:p w14:paraId="15F1C920">
      <w:pPr>
        <w:rPr>
          <w:rFonts w:hint="eastAsia" w:ascii="宋体" w:hAnsi="宋体" w:eastAsia="宋体" w:cs="宋体"/>
        </w:rPr>
      </w:pPr>
    </w:p>
    <w:p w14:paraId="5BF5F408">
      <w:pPr>
        <w:rPr>
          <w:rFonts w:hint="eastAsia" w:ascii="宋体" w:hAnsi="宋体" w:eastAsia="宋体" w:cs="宋体"/>
        </w:rPr>
      </w:pPr>
    </w:p>
    <w:tbl>
      <w:tblPr>
        <w:tblStyle w:val="24"/>
        <w:tblW w:w="9430" w:type="dxa"/>
        <w:jc w:val="center"/>
        <w:tblLayout w:type="fixed"/>
        <w:tblCellMar>
          <w:top w:w="0" w:type="dxa"/>
          <w:left w:w="0" w:type="dxa"/>
          <w:bottom w:w="0" w:type="dxa"/>
          <w:right w:w="0" w:type="dxa"/>
        </w:tblCellMar>
      </w:tblPr>
      <w:tblGrid>
        <w:gridCol w:w="5013"/>
        <w:gridCol w:w="4417"/>
      </w:tblGrid>
      <w:tr w14:paraId="069C45C5">
        <w:tblPrEx>
          <w:tblCellMar>
            <w:top w:w="0" w:type="dxa"/>
            <w:left w:w="0" w:type="dxa"/>
            <w:bottom w:w="0" w:type="dxa"/>
            <w:right w:w="0" w:type="dxa"/>
          </w:tblCellMar>
        </w:tblPrEx>
        <w:trPr>
          <w:trHeight w:val="1030" w:hRule="atLeast"/>
          <w:jc w:val="center"/>
        </w:trPr>
        <w:tc>
          <w:tcPr>
            <w:tcW w:w="5013" w:type="dxa"/>
            <w:noWrap w:val="0"/>
            <w:vAlign w:val="center"/>
          </w:tcPr>
          <w:p w14:paraId="5DFD6658">
            <w:pPr>
              <w:pStyle w:val="47"/>
              <w:snapToGrid w:val="0"/>
              <w:spacing w:line="360" w:lineRule="auto"/>
              <w:jc w:val="distribute"/>
              <w:rPr>
                <w:rStyle w:val="48"/>
                <w:rFonts w:hint="eastAsia" w:ascii="宋体" w:hAnsi="宋体" w:eastAsia="宋体" w:cs="宋体"/>
                <w:color w:val="auto"/>
                <w:kern w:val="0"/>
                <w:sz w:val="28"/>
                <w:szCs w:val="28"/>
                <w:highlight w:val="none"/>
              </w:rPr>
            </w:pPr>
            <w:r>
              <w:rPr>
                <w:rStyle w:val="48"/>
                <w:rFonts w:hint="eastAsia" w:ascii="宋体" w:hAnsi="宋体" w:eastAsia="宋体" w:cs="宋体"/>
                <w:color w:val="auto"/>
                <w:kern w:val="0"/>
                <w:sz w:val="28"/>
                <w:szCs w:val="28"/>
                <w:highlight w:val="none"/>
              </w:rPr>
              <w:t xml:space="preserve"> 招  标  人（盖单位章）：</w:t>
            </w:r>
          </w:p>
        </w:tc>
        <w:tc>
          <w:tcPr>
            <w:tcW w:w="4417" w:type="dxa"/>
            <w:noWrap w:val="0"/>
            <w:vAlign w:val="center"/>
          </w:tcPr>
          <w:p w14:paraId="11D2BFFE">
            <w:pPr>
              <w:pStyle w:val="47"/>
              <w:snapToGrid w:val="0"/>
              <w:spacing w:line="360" w:lineRule="auto"/>
              <w:rPr>
                <w:rStyle w:val="48"/>
                <w:rFonts w:hint="eastAsia" w:ascii="宋体" w:hAnsi="宋体" w:eastAsia="宋体" w:cs="宋体"/>
                <w:color w:val="auto"/>
                <w:kern w:val="0"/>
                <w:sz w:val="28"/>
                <w:szCs w:val="28"/>
                <w:highlight w:val="none"/>
                <w:lang w:eastAsia="zh-CN"/>
              </w:rPr>
            </w:pPr>
            <w:r>
              <w:rPr>
                <w:rStyle w:val="48"/>
                <w:rFonts w:hint="eastAsia" w:hAnsi="宋体" w:cs="宋体"/>
                <w:color w:val="auto"/>
                <w:kern w:val="0"/>
                <w:sz w:val="28"/>
                <w:szCs w:val="28"/>
                <w:highlight w:val="none"/>
                <w:lang w:eastAsia="zh-CN"/>
              </w:rPr>
              <w:t>韶关市武江区江湾镇人民政府</w:t>
            </w:r>
          </w:p>
        </w:tc>
      </w:tr>
      <w:tr w14:paraId="5F272162">
        <w:tblPrEx>
          <w:tblCellMar>
            <w:top w:w="0" w:type="dxa"/>
            <w:left w:w="0" w:type="dxa"/>
            <w:bottom w:w="0" w:type="dxa"/>
            <w:right w:w="0" w:type="dxa"/>
          </w:tblCellMar>
        </w:tblPrEx>
        <w:trPr>
          <w:trHeight w:val="844" w:hRule="atLeast"/>
          <w:jc w:val="center"/>
        </w:trPr>
        <w:tc>
          <w:tcPr>
            <w:tcW w:w="5013" w:type="dxa"/>
            <w:noWrap w:val="0"/>
            <w:vAlign w:val="center"/>
          </w:tcPr>
          <w:p w14:paraId="6EB1F5C0">
            <w:pPr>
              <w:pStyle w:val="47"/>
              <w:snapToGrid w:val="0"/>
              <w:spacing w:line="360" w:lineRule="auto"/>
              <w:jc w:val="distribute"/>
              <w:rPr>
                <w:rStyle w:val="48"/>
                <w:rFonts w:hint="eastAsia" w:ascii="宋体" w:hAnsi="宋体" w:eastAsia="宋体" w:cs="宋体"/>
                <w:color w:val="auto"/>
                <w:kern w:val="0"/>
                <w:sz w:val="28"/>
                <w:szCs w:val="28"/>
                <w:highlight w:val="none"/>
              </w:rPr>
            </w:pPr>
            <w:r>
              <w:rPr>
                <w:rStyle w:val="48"/>
                <w:rFonts w:hint="eastAsia" w:ascii="宋体" w:hAnsi="宋体" w:eastAsia="宋体" w:cs="宋体"/>
                <w:color w:val="auto"/>
                <w:kern w:val="0"/>
                <w:sz w:val="28"/>
                <w:szCs w:val="28"/>
                <w:highlight w:val="none"/>
              </w:rPr>
              <w:t xml:space="preserve"> 招标人工作领导小组负责人（签字）：</w:t>
            </w:r>
          </w:p>
        </w:tc>
        <w:tc>
          <w:tcPr>
            <w:tcW w:w="4417" w:type="dxa"/>
            <w:noWrap w:val="0"/>
            <w:vAlign w:val="center"/>
          </w:tcPr>
          <w:p w14:paraId="0C6841DA">
            <w:pPr>
              <w:pStyle w:val="47"/>
              <w:snapToGrid w:val="0"/>
              <w:spacing w:line="360" w:lineRule="auto"/>
              <w:rPr>
                <w:rStyle w:val="48"/>
                <w:rFonts w:hint="eastAsia" w:ascii="宋体" w:hAnsi="宋体" w:eastAsia="宋体" w:cs="宋体"/>
                <w:color w:val="auto"/>
                <w:kern w:val="0"/>
                <w:sz w:val="28"/>
                <w:szCs w:val="28"/>
                <w:highlight w:val="none"/>
              </w:rPr>
            </w:pPr>
          </w:p>
        </w:tc>
      </w:tr>
      <w:tr w14:paraId="5A0AE6DA">
        <w:tblPrEx>
          <w:tblCellMar>
            <w:top w:w="0" w:type="dxa"/>
            <w:left w:w="0" w:type="dxa"/>
            <w:bottom w:w="0" w:type="dxa"/>
            <w:right w:w="0" w:type="dxa"/>
          </w:tblCellMar>
        </w:tblPrEx>
        <w:trPr>
          <w:trHeight w:val="840" w:hRule="atLeast"/>
          <w:jc w:val="center"/>
        </w:trPr>
        <w:tc>
          <w:tcPr>
            <w:tcW w:w="5013" w:type="dxa"/>
            <w:noWrap w:val="0"/>
            <w:vAlign w:val="center"/>
          </w:tcPr>
          <w:p w14:paraId="3A9B3F5F">
            <w:pPr>
              <w:pStyle w:val="47"/>
              <w:snapToGrid w:val="0"/>
              <w:spacing w:line="360" w:lineRule="auto"/>
              <w:jc w:val="distribute"/>
              <w:rPr>
                <w:rStyle w:val="48"/>
                <w:rFonts w:hint="eastAsia" w:ascii="宋体" w:hAnsi="宋体" w:eastAsia="宋体" w:cs="宋体"/>
                <w:color w:val="auto"/>
                <w:kern w:val="0"/>
                <w:sz w:val="28"/>
                <w:szCs w:val="28"/>
                <w:highlight w:val="none"/>
              </w:rPr>
            </w:pPr>
            <w:r>
              <w:rPr>
                <w:rStyle w:val="48"/>
                <w:rFonts w:hint="eastAsia" w:ascii="宋体" w:hAnsi="宋体" w:eastAsia="宋体" w:cs="宋体"/>
                <w:color w:val="auto"/>
                <w:kern w:val="0"/>
                <w:sz w:val="28"/>
                <w:szCs w:val="28"/>
                <w:highlight w:val="none"/>
              </w:rPr>
              <w:t xml:space="preserve"> 招 标 代 理 机 构 （盖单位章）：</w:t>
            </w:r>
          </w:p>
        </w:tc>
        <w:tc>
          <w:tcPr>
            <w:tcW w:w="4417" w:type="dxa"/>
            <w:noWrap w:val="0"/>
            <w:vAlign w:val="center"/>
          </w:tcPr>
          <w:p w14:paraId="38DBBF76">
            <w:pPr>
              <w:pStyle w:val="47"/>
              <w:snapToGrid w:val="0"/>
              <w:spacing w:line="360" w:lineRule="auto"/>
              <w:rPr>
                <w:rStyle w:val="48"/>
                <w:rFonts w:hint="eastAsia" w:ascii="宋体" w:hAnsi="宋体" w:eastAsia="宋体" w:cs="宋体"/>
                <w:color w:val="auto"/>
                <w:kern w:val="0"/>
                <w:sz w:val="28"/>
                <w:szCs w:val="28"/>
                <w:highlight w:val="none"/>
                <w:lang w:eastAsia="zh-CN"/>
              </w:rPr>
            </w:pPr>
            <w:r>
              <w:rPr>
                <w:rStyle w:val="48"/>
                <w:rFonts w:hint="eastAsia" w:ascii="宋体" w:hAnsi="宋体" w:eastAsia="宋体" w:cs="宋体"/>
                <w:color w:val="auto"/>
                <w:kern w:val="0"/>
                <w:sz w:val="28"/>
                <w:szCs w:val="28"/>
                <w:highlight w:val="none"/>
                <w:lang w:eastAsia="zh-CN"/>
              </w:rPr>
              <w:t>广东明正项目管理有限公司</w:t>
            </w:r>
          </w:p>
        </w:tc>
      </w:tr>
      <w:tr w14:paraId="1A2DFBC6">
        <w:tblPrEx>
          <w:tblCellMar>
            <w:top w:w="0" w:type="dxa"/>
            <w:left w:w="0" w:type="dxa"/>
            <w:bottom w:w="0" w:type="dxa"/>
            <w:right w:w="0" w:type="dxa"/>
          </w:tblCellMar>
        </w:tblPrEx>
        <w:trPr>
          <w:trHeight w:val="968" w:hRule="atLeast"/>
          <w:jc w:val="center"/>
        </w:trPr>
        <w:tc>
          <w:tcPr>
            <w:tcW w:w="5013" w:type="dxa"/>
            <w:noWrap w:val="0"/>
            <w:vAlign w:val="center"/>
          </w:tcPr>
          <w:p w14:paraId="04DC2D0C">
            <w:pPr>
              <w:pStyle w:val="47"/>
              <w:snapToGrid w:val="0"/>
              <w:spacing w:line="360" w:lineRule="auto"/>
              <w:jc w:val="distribute"/>
              <w:rPr>
                <w:rStyle w:val="48"/>
                <w:rFonts w:hint="eastAsia" w:ascii="宋体" w:hAnsi="宋体" w:eastAsia="宋体" w:cs="宋体"/>
                <w:color w:val="auto"/>
                <w:kern w:val="0"/>
                <w:sz w:val="28"/>
                <w:szCs w:val="28"/>
                <w:highlight w:val="none"/>
              </w:rPr>
            </w:pPr>
            <w:r>
              <w:rPr>
                <w:rStyle w:val="48"/>
                <w:rFonts w:hint="eastAsia" w:ascii="宋体" w:hAnsi="宋体" w:eastAsia="宋体" w:cs="宋体"/>
                <w:color w:val="auto"/>
                <w:kern w:val="0"/>
                <w:sz w:val="28"/>
                <w:szCs w:val="28"/>
                <w:highlight w:val="none"/>
              </w:rPr>
              <w:t xml:space="preserve"> 招标文件编制人（签字）：</w:t>
            </w:r>
          </w:p>
        </w:tc>
        <w:tc>
          <w:tcPr>
            <w:tcW w:w="4417" w:type="dxa"/>
            <w:noWrap w:val="0"/>
            <w:vAlign w:val="center"/>
          </w:tcPr>
          <w:p w14:paraId="2A102A18">
            <w:pPr>
              <w:pStyle w:val="47"/>
              <w:snapToGrid w:val="0"/>
              <w:spacing w:line="360" w:lineRule="auto"/>
              <w:rPr>
                <w:rStyle w:val="48"/>
                <w:rFonts w:hint="eastAsia" w:ascii="宋体" w:hAnsi="宋体" w:eastAsia="宋体" w:cs="宋体"/>
                <w:color w:val="auto"/>
                <w:kern w:val="0"/>
                <w:sz w:val="28"/>
                <w:szCs w:val="28"/>
                <w:highlight w:val="none"/>
              </w:rPr>
            </w:pPr>
          </w:p>
        </w:tc>
      </w:tr>
      <w:tr w14:paraId="516EC0F1">
        <w:tblPrEx>
          <w:tblCellMar>
            <w:top w:w="0" w:type="dxa"/>
            <w:left w:w="0" w:type="dxa"/>
            <w:bottom w:w="0" w:type="dxa"/>
            <w:right w:w="0" w:type="dxa"/>
          </w:tblCellMar>
        </w:tblPrEx>
        <w:trPr>
          <w:trHeight w:val="937" w:hRule="atLeast"/>
          <w:jc w:val="center"/>
        </w:trPr>
        <w:tc>
          <w:tcPr>
            <w:tcW w:w="5013" w:type="dxa"/>
            <w:noWrap w:val="0"/>
            <w:vAlign w:val="center"/>
          </w:tcPr>
          <w:p w14:paraId="68C11593">
            <w:pPr>
              <w:pStyle w:val="47"/>
              <w:snapToGrid w:val="0"/>
              <w:spacing w:line="360" w:lineRule="auto"/>
              <w:jc w:val="distribute"/>
              <w:rPr>
                <w:rStyle w:val="48"/>
                <w:rFonts w:hint="eastAsia" w:ascii="宋体" w:hAnsi="宋体" w:eastAsia="宋体" w:cs="宋体"/>
                <w:color w:val="auto"/>
                <w:kern w:val="0"/>
                <w:sz w:val="28"/>
                <w:szCs w:val="28"/>
                <w:highlight w:val="none"/>
              </w:rPr>
            </w:pPr>
            <w:r>
              <w:rPr>
                <w:rStyle w:val="48"/>
                <w:rFonts w:hint="eastAsia" w:ascii="宋体" w:hAnsi="宋体" w:eastAsia="宋体" w:cs="宋体"/>
                <w:color w:val="auto"/>
                <w:kern w:val="0"/>
                <w:sz w:val="28"/>
                <w:szCs w:val="28"/>
                <w:highlight w:val="none"/>
              </w:rPr>
              <w:t xml:space="preserve"> 招标代理机构项目负责人（签字）：</w:t>
            </w:r>
          </w:p>
        </w:tc>
        <w:tc>
          <w:tcPr>
            <w:tcW w:w="4417" w:type="dxa"/>
            <w:noWrap w:val="0"/>
            <w:vAlign w:val="center"/>
          </w:tcPr>
          <w:p w14:paraId="246F5CC4">
            <w:pPr>
              <w:pStyle w:val="47"/>
              <w:snapToGrid w:val="0"/>
              <w:spacing w:line="360" w:lineRule="auto"/>
              <w:rPr>
                <w:rStyle w:val="48"/>
                <w:rFonts w:hint="eastAsia" w:ascii="宋体" w:hAnsi="宋体" w:eastAsia="宋体" w:cs="宋体"/>
                <w:color w:val="auto"/>
                <w:kern w:val="0"/>
                <w:sz w:val="28"/>
                <w:szCs w:val="28"/>
                <w:highlight w:val="none"/>
              </w:rPr>
            </w:pPr>
          </w:p>
        </w:tc>
      </w:tr>
      <w:tr w14:paraId="7D7F9D81">
        <w:tblPrEx>
          <w:tblCellMar>
            <w:top w:w="0" w:type="dxa"/>
            <w:left w:w="0" w:type="dxa"/>
            <w:bottom w:w="0" w:type="dxa"/>
            <w:right w:w="0" w:type="dxa"/>
          </w:tblCellMar>
        </w:tblPrEx>
        <w:trPr>
          <w:trHeight w:val="832" w:hRule="atLeast"/>
          <w:jc w:val="center"/>
        </w:trPr>
        <w:tc>
          <w:tcPr>
            <w:tcW w:w="5013" w:type="dxa"/>
            <w:noWrap w:val="0"/>
            <w:vAlign w:val="center"/>
          </w:tcPr>
          <w:p w14:paraId="5BAB2FD0">
            <w:pPr>
              <w:pStyle w:val="47"/>
              <w:snapToGrid w:val="0"/>
              <w:spacing w:line="360" w:lineRule="auto"/>
              <w:jc w:val="distribute"/>
              <w:rPr>
                <w:rStyle w:val="48"/>
                <w:rFonts w:hint="eastAsia" w:ascii="宋体" w:hAnsi="宋体" w:eastAsia="宋体" w:cs="宋体"/>
                <w:color w:val="auto"/>
                <w:kern w:val="0"/>
                <w:sz w:val="28"/>
                <w:szCs w:val="28"/>
                <w:highlight w:val="none"/>
              </w:rPr>
            </w:pPr>
            <w:r>
              <w:rPr>
                <w:rStyle w:val="48"/>
                <w:rFonts w:hint="eastAsia" w:ascii="宋体" w:hAnsi="宋体" w:eastAsia="宋体" w:cs="宋体"/>
                <w:color w:val="auto"/>
                <w:kern w:val="0"/>
                <w:sz w:val="28"/>
                <w:szCs w:val="28"/>
                <w:highlight w:val="none"/>
              </w:rPr>
              <w:t xml:space="preserve"> 招标文件编制日期：</w:t>
            </w:r>
          </w:p>
        </w:tc>
        <w:tc>
          <w:tcPr>
            <w:tcW w:w="4417" w:type="dxa"/>
            <w:noWrap w:val="0"/>
            <w:vAlign w:val="center"/>
          </w:tcPr>
          <w:p w14:paraId="5637D9E9">
            <w:pPr>
              <w:pStyle w:val="47"/>
              <w:snapToGrid w:val="0"/>
              <w:spacing w:line="360" w:lineRule="auto"/>
              <w:rPr>
                <w:rStyle w:val="48"/>
                <w:rFonts w:hint="eastAsia" w:ascii="宋体" w:hAnsi="宋体" w:eastAsia="宋体" w:cs="宋体"/>
                <w:color w:val="auto"/>
                <w:kern w:val="0"/>
                <w:sz w:val="28"/>
                <w:szCs w:val="28"/>
                <w:highlight w:val="none"/>
              </w:rPr>
            </w:pPr>
            <w:r>
              <w:rPr>
                <w:rStyle w:val="48"/>
                <w:rFonts w:hint="eastAsia" w:ascii="宋体" w:hAnsi="宋体" w:eastAsia="宋体" w:cs="宋体"/>
                <w:color w:val="auto"/>
                <w:kern w:val="0"/>
                <w:sz w:val="28"/>
                <w:szCs w:val="28"/>
                <w:highlight w:val="none"/>
              </w:rPr>
              <w:t xml:space="preserve"> </w:t>
            </w:r>
            <w:r>
              <w:rPr>
                <w:rStyle w:val="48"/>
                <w:rFonts w:hint="eastAsia" w:hAnsi="宋体" w:cs="宋体"/>
                <w:color w:val="auto"/>
                <w:kern w:val="0"/>
                <w:sz w:val="28"/>
                <w:szCs w:val="28"/>
                <w:highlight w:val="none"/>
                <w:lang w:val="en-US" w:eastAsia="zh-CN"/>
              </w:rPr>
              <w:t>2025</w:t>
            </w:r>
            <w:r>
              <w:rPr>
                <w:rStyle w:val="48"/>
                <w:rFonts w:hint="eastAsia" w:ascii="宋体" w:hAnsi="宋体" w:eastAsia="宋体" w:cs="宋体"/>
                <w:color w:val="auto"/>
                <w:kern w:val="0"/>
                <w:sz w:val="28"/>
                <w:szCs w:val="28"/>
                <w:highlight w:val="none"/>
              </w:rPr>
              <w:t>年</w:t>
            </w:r>
            <w:r>
              <w:rPr>
                <w:rStyle w:val="48"/>
                <w:rFonts w:hint="eastAsia" w:hAnsi="宋体" w:cs="宋体"/>
                <w:color w:val="auto"/>
                <w:kern w:val="0"/>
                <w:sz w:val="28"/>
                <w:szCs w:val="28"/>
                <w:highlight w:val="none"/>
                <w:lang w:val="en-US" w:eastAsia="zh-CN"/>
              </w:rPr>
              <w:t>08</w:t>
            </w:r>
            <w:r>
              <w:rPr>
                <w:rStyle w:val="48"/>
                <w:rFonts w:hint="eastAsia" w:ascii="宋体" w:hAnsi="宋体" w:eastAsia="宋体" w:cs="宋体"/>
                <w:color w:val="auto"/>
                <w:kern w:val="0"/>
                <w:sz w:val="28"/>
                <w:szCs w:val="28"/>
                <w:highlight w:val="none"/>
              </w:rPr>
              <w:t>月</w:t>
            </w:r>
          </w:p>
        </w:tc>
      </w:tr>
    </w:tbl>
    <w:p w14:paraId="76AD14E6">
      <w:pPr>
        <w:rPr>
          <w:rFonts w:hint="eastAsia" w:ascii="宋体" w:hAnsi="宋体" w:eastAsia="宋体" w:cs="宋体"/>
        </w:rPr>
      </w:pPr>
    </w:p>
    <w:p w14:paraId="0AB36F2C">
      <w:pPr>
        <w:rPr>
          <w:rFonts w:hint="eastAsia" w:ascii="宋体" w:hAnsi="宋体" w:eastAsia="宋体" w:cs="宋体"/>
        </w:rPr>
      </w:pPr>
    </w:p>
    <w:p w14:paraId="3EE40CB2">
      <w:pPr>
        <w:rPr>
          <w:rFonts w:hint="eastAsia" w:ascii="宋体" w:hAnsi="宋体" w:eastAsia="宋体" w:cs="宋体"/>
        </w:rPr>
      </w:pPr>
    </w:p>
    <w:p w14:paraId="563F8F74">
      <w:pPr>
        <w:spacing w:before="0" w:beforeLines="0" w:after="0" w:afterLines="0" w:line="360" w:lineRule="auto"/>
        <w:ind w:left="0" w:leftChars="0" w:right="0" w:rightChars="0" w:firstLine="0" w:firstLineChars="0"/>
        <w:jc w:val="center"/>
        <w:rPr>
          <w:rFonts w:hint="eastAsia" w:ascii="宋体" w:hAnsi="宋体" w:eastAsia="宋体" w:cs="宋体"/>
          <w:b/>
          <w:bCs/>
          <w:color w:val="auto"/>
          <w:sz w:val="30"/>
          <w:szCs w:val="30"/>
          <w:highlight w:val="none"/>
        </w:rPr>
        <w:sectPr>
          <w:headerReference r:id="rId3" w:type="default"/>
          <w:pgSz w:w="11906" w:h="16839"/>
          <w:pgMar w:top="1134" w:right="1134" w:bottom="1134" w:left="1134"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0B0E3D45">
      <w:pPr>
        <w:spacing w:before="0" w:beforeLines="0" w:after="0" w:afterLines="0" w:line="360" w:lineRule="auto"/>
        <w:ind w:left="0" w:leftChars="0" w:right="0" w:rightChars="0" w:firstLine="0" w:firstLineChars="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目</w:t>
      </w:r>
      <w:r>
        <w:rPr>
          <w:rFonts w:hint="eastAsia" w:ascii="宋体" w:hAnsi="宋体" w:eastAsia="宋体" w:cs="宋体"/>
          <w:b/>
          <w:bCs/>
          <w:color w:val="auto"/>
          <w:sz w:val="30"/>
          <w:szCs w:val="30"/>
          <w:highlight w:val="none"/>
          <w:lang w:val="en-US" w:eastAsia="zh-CN"/>
        </w:rPr>
        <w:t xml:space="preserve">  </w:t>
      </w:r>
      <w:r>
        <w:rPr>
          <w:rFonts w:hint="eastAsia" w:ascii="宋体" w:hAnsi="宋体" w:eastAsia="宋体" w:cs="宋体"/>
          <w:b/>
          <w:bCs/>
          <w:color w:val="auto"/>
          <w:sz w:val="30"/>
          <w:szCs w:val="30"/>
          <w:highlight w:val="none"/>
        </w:rPr>
        <w:t>录</w:t>
      </w:r>
    </w:p>
    <w:p w14:paraId="78BAE2AF">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_Toc9284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第一章</w:t>
      </w:r>
      <w:r>
        <w:rPr>
          <w:rFonts w:hint="eastAsia" w:ascii="宋体" w:hAnsi="宋体" w:eastAsia="宋体" w:cs="宋体"/>
          <w:spacing w:val="-3"/>
          <w:sz w:val="24"/>
          <w:szCs w:val="24"/>
          <w:highlight w:val="none"/>
          <w:lang w:val="en-US" w:eastAsia="zh-CN"/>
        </w:rPr>
        <w:t xml:space="preserve">   </w:t>
      </w:r>
      <w:r>
        <w:rPr>
          <w:rFonts w:hint="eastAsia" w:ascii="宋体" w:hAnsi="宋体" w:eastAsia="宋体" w:cs="宋体"/>
          <w:bCs/>
          <w:spacing w:val="-3"/>
          <w:sz w:val="24"/>
          <w:szCs w:val="24"/>
          <w:highlight w:val="none"/>
        </w:rPr>
        <w:t>投标人须知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_Toc9284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6E18CDC">
      <w:pPr>
        <w:pStyle w:val="19"/>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_Toc10972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第一节</w:t>
      </w:r>
      <w:r>
        <w:rPr>
          <w:rFonts w:hint="eastAsia" w:ascii="宋体" w:hAnsi="宋体" w:eastAsia="宋体" w:cs="宋体"/>
          <w:spacing w:val="-3"/>
          <w:sz w:val="24"/>
          <w:szCs w:val="24"/>
          <w:highlight w:val="none"/>
          <w:lang w:val="en-US" w:eastAsia="zh-CN"/>
        </w:rPr>
        <w:t xml:space="preserve">   </w:t>
      </w:r>
      <w:r>
        <w:rPr>
          <w:rFonts w:hint="eastAsia" w:ascii="宋体" w:hAnsi="宋体" w:eastAsia="宋体" w:cs="宋体"/>
          <w:bCs/>
          <w:spacing w:val="-3"/>
          <w:sz w:val="24"/>
          <w:szCs w:val="24"/>
          <w:highlight w:val="none"/>
        </w:rPr>
        <w:t>投标人须知前附表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_Toc10972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8D019C8">
      <w:pPr>
        <w:pStyle w:val="19"/>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_Toc25818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第二节</w:t>
      </w:r>
      <w:r>
        <w:rPr>
          <w:rFonts w:hint="eastAsia" w:ascii="宋体" w:hAnsi="宋体" w:eastAsia="宋体" w:cs="宋体"/>
          <w:bCs/>
          <w:spacing w:val="-3"/>
          <w:sz w:val="24"/>
          <w:szCs w:val="24"/>
          <w:highlight w:val="none"/>
          <w:lang w:val="en-US" w:eastAsia="zh-CN"/>
        </w:rPr>
        <w:t xml:space="preserve">   </w:t>
      </w:r>
      <w:r>
        <w:rPr>
          <w:rFonts w:hint="eastAsia" w:ascii="宋体" w:hAnsi="宋体" w:eastAsia="宋体" w:cs="宋体"/>
          <w:bCs/>
          <w:spacing w:val="-3"/>
          <w:sz w:val="24"/>
          <w:szCs w:val="24"/>
          <w:highlight w:val="none"/>
        </w:rPr>
        <w:t>重要事项时间地点一览表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_Toc25818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525DD0A">
      <w:pPr>
        <w:pStyle w:val="19"/>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_Toc577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第三节</w:t>
      </w:r>
      <w:r>
        <w:rPr>
          <w:rFonts w:hint="eastAsia" w:ascii="宋体" w:hAnsi="宋体" w:eastAsia="宋体" w:cs="宋体"/>
          <w:bCs/>
          <w:spacing w:val="-3"/>
          <w:sz w:val="24"/>
          <w:szCs w:val="24"/>
          <w:highlight w:val="none"/>
          <w:lang w:val="en-US" w:eastAsia="zh-CN"/>
        </w:rPr>
        <w:t xml:space="preserve">   </w:t>
      </w:r>
      <w:r>
        <w:rPr>
          <w:rFonts w:hint="eastAsia" w:ascii="宋体" w:hAnsi="宋体" w:eastAsia="宋体" w:cs="宋体"/>
          <w:bCs/>
          <w:spacing w:val="-3"/>
          <w:sz w:val="24"/>
          <w:szCs w:val="24"/>
          <w:highlight w:val="none"/>
        </w:rPr>
        <w:t>投标人须知正文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_Toc577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3103C0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_Toc19913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1</w:t>
      </w:r>
      <w:r>
        <w:rPr>
          <w:rFonts w:hint="eastAsia" w:ascii="宋体" w:hAnsi="宋体" w:eastAsia="宋体" w:cs="宋体"/>
          <w:bCs/>
          <w:spacing w:val="-23"/>
          <w:sz w:val="24"/>
          <w:szCs w:val="24"/>
          <w:highlight w:val="none"/>
          <w:lang w:eastAsia="zh-CN"/>
        </w:rPr>
        <w:t>.</w:t>
      </w:r>
      <w:r>
        <w:rPr>
          <w:rFonts w:hint="eastAsia" w:ascii="宋体" w:hAnsi="宋体" w:eastAsia="宋体" w:cs="宋体"/>
          <w:bCs/>
          <w:spacing w:val="-4"/>
          <w:sz w:val="24"/>
          <w:szCs w:val="24"/>
          <w:highlight w:val="none"/>
        </w:rPr>
        <w:t>项目概况、招标范围和标段划分、投标费用等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_Toc19913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416E4FE">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_Toc826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资质要求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_Toc826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980ECF5">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_Toc27377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3</w:t>
      </w:r>
      <w:r>
        <w:rPr>
          <w:rFonts w:hint="eastAsia" w:ascii="宋体" w:hAnsi="宋体" w:eastAsia="宋体" w:cs="宋体"/>
          <w:bCs/>
          <w:spacing w:val="-4"/>
          <w:sz w:val="24"/>
          <w:szCs w:val="24"/>
          <w:highlight w:val="none"/>
          <w:lang w:val="en-US" w:eastAsia="zh-CN"/>
        </w:rPr>
        <w:t>.</w:t>
      </w:r>
      <w:r>
        <w:rPr>
          <w:rFonts w:hint="eastAsia" w:ascii="宋体" w:hAnsi="宋体" w:eastAsia="宋体" w:cs="宋体"/>
          <w:bCs/>
          <w:spacing w:val="-4"/>
          <w:sz w:val="24"/>
          <w:szCs w:val="24"/>
          <w:highlight w:val="none"/>
        </w:rPr>
        <w:t>招标文件的获取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_Toc27377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DE62076">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_Toc22684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4</w:t>
      </w:r>
      <w:r>
        <w:rPr>
          <w:rFonts w:hint="eastAsia" w:ascii="宋体" w:hAnsi="宋体" w:eastAsia="宋体" w:cs="宋体"/>
          <w:bCs/>
          <w:spacing w:val="-27"/>
          <w:sz w:val="24"/>
          <w:szCs w:val="24"/>
          <w:highlight w:val="none"/>
          <w:lang w:eastAsia="zh-CN"/>
        </w:rPr>
        <w:t>.</w:t>
      </w:r>
      <w:r>
        <w:rPr>
          <w:rFonts w:hint="eastAsia" w:ascii="宋体" w:hAnsi="宋体" w:eastAsia="宋体" w:cs="宋体"/>
          <w:bCs/>
          <w:spacing w:val="-8"/>
          <w:sz w:val="24"/>
          <w:szCs w:val="24"/>
          <w:highlight w:val="none"/>
        </w:rPr>
        <w:t>工期要求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_Toc22684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8BDD9A4">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_Toc10840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5</w:t>
      </w:r>
      <w:r>
        <w:rPr>
          <w:rFonts w:hint="eastAsia" w:ascii="宋体" w:hAnsi="宋体" w:eastAsia="宋体" w:cs="宋体"/>
          <w:bCs/>
          <w:spacing w:val="-20"/>
          <w:sz w:val="24"/>
          <w:szCs w:val="24"/>
          <w:highlight w:val="none"/>
          <w:lang w:eastAsia="zh-CN"/>
        </w:rPr>
        <w:t>.</w:t>
      </w:r>
      <w:r>
        <w:rPr>
          <w:rFonts w:hint="eastAsia" w:ascii="宋体" w:hAnsi="宋体" w:eastAsia="宋体" w:cs="宋体"/>
          <w:bCs/>
          <w:spacing w:val="-5"/>
          <w:sz w:val="24"/>
          <w:szCs w:val="24"/>
          <w:highlight w:val="none"/>
        </w:rPr>
        <w:t>质量标准和材料、机械要求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_Toc10840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0A93F6E">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_Toc2393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6</w:t>
      </w:r>
      <w:r>
        <w:rPr>
          <w:rFonts w:hint="eastAsia" w:ascii="宋体" w:hAnsi="宋体" w:eastAsia="宋体" w:cs="宋体"/>
          <w:bCs/>
          <w:spacing w:val="-20"/>
          <w:sz w:val="24"/>
          <w:szCs w:val="24"/>
          <w:highlight w:val="none"/>
          <w:lang w:eastAsia="zh-CN"/>
        </w:rPr>
        <w:t>.</w:t>
      </w:r>
      <w:r>
        <w:rPr>
          <w:rFonts w:hint="eastAsia" w:ascii="宋体" w:hAnsi="宋体" w:eastAsia="宋体" w:cs="宋体"/>
          <w:bCs/>
          <w:spacing w:val="-6"/>
          <w:sz w:val="24"/>
          <w:szCs w:val="24"/>
          <w:highlight w:val="none"/>
        </w:rPr>
        <w:t>施工条件及现场踏勘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_Toc2393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0B29D3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_Toc16998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8</w:t>
      </w:r>
      <w:r>
        <w:rPr>
          <w:rFonts w:hint="eastAsia" w:ascii="宋体" w:hAnsi="宋体" w:eastAsia="宋体" w:cs="宋体"/>
          <w:bCs/>
          <w:spacing w:val="-23"/>
          <w:sz w:val="24"/>
          <w:szCs w:val="24"/>
          <w:highlight w:val="none"/>
          <w:lang w:eastAsia="zh-CN"/>
        </w:rPr>
        <w:t>.</w:t>
      </w:r>
      <w:r>
        <w:rPr>
          <w:rFonts w:hint="eastAsia" w:ascii="宋体" w:hAnsi="宋体" w:eastAsia="宋体" w:cs="宋体"/>
          <w:bCs/>
          <w:spacing w:val="-1"/>
          <w:sz w:val="24"/>
          <w:szCs w:val="24"/>
          <w:highlight w:val="none"/>
        </w:rPr>
        <w:t>最高投标限价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_Toc16998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5D6853E">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_Toc23804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9</w:t>
      </w:r>
      <w:r>
        <w:rPr>
          <w:rFonts w:hint="eastAsia" w:ascii="宋体" w:hAnsi="宋体" w:eastAsia="宋体" w:cs="宋体"/>
          <w:bCs/>
          <w:spacing w:val="-29"/>
          <w:sz w:val="24"/>
          <w:szCs w:val="24"/>
          <w:highlight w:val="none"/>
          <w:lang w:eastAsia="zh-CN"/>
        </w:rPr>
        <w:t>.</w:t>
      </w:r>
      <w:r>
        <w:rPr>
          <w:rFonts w:hint="eastAsia" w:ascii="宋体" w:hAnsi="宋体" w:eastAsia="宋体" w:cs="宋体"/>
          <w:bCs/>
          <w:spacing w:val="-8"/>
          <w:sz w:val="24"/>
          <w:szCs w:val="24"/>
          <w:highlight w:val="none"/>
        </w:rPr>
        <w:t>投标报价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_Toc23804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25EBB04">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_Toc9270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10</w:t>
      </w:r>
      <w:r>
        <w:rPr>
          <w:rFonts w:hint="eastAsia" w:ascii="宋体" w:hAnsi="宋体" w:eastAsia="宋体" w:cs="宋体"/>
          <w:bCs/>
          <w:spacing w:val="-21"/>
          <w:sz w:val="24"/>
          <w:szCs w:val="24"/>
          <w:highlight w:val="none"/>
          <w:lang w:eastAsia="zh-CN"/>
        </w:rPr>
        <w:t>.</w:t>
      </w:r>
      <w:r>
        <w:rPr>
          <w:rFonts w:hint="eastAsia" w:ascii="宋体" w:hAnsi="宋体" w:eastAsia="宋体" w:cs="宋体"/>
          <w:bCs/>
          <w:spacing w:val="-6"/>
          <w:sz w:val="24"/>
          <w:szCs w:val="24"/>
          <w:highlight w:val="none"/>
        </w:rPr>
        <w:t>投标文件的编制要求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_Toc9270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7AF75E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_Toc4360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rPr>
        <w:t>11.电子投标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_Toc4360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D12FA62">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_Toc11460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lang w:val="en-US" w:eastAsia="zh-CN"/>
        </w:rPr>
        <w:t>12.</w:t>
      </w:r>
      <w:r>
        <w:rPr>
          <w:rFonts w:hint="eastAsia" w:ascii="宋体" w:hAnsi="宋体" w:eastAsia="宋体" w:cs="宋体"/>
          <w:bCs/>
          <w:spacing w:val="-9"/>
          <w:sz w:val="24"/>
          <w:szCs w:val="24"/>
          <w:highlight w:val="none"/>
        </w:rPr>
        <w:t>电子投标及投标解密失败及突发情况的补救方案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_Toc11460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C349D98">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_Toc30180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13</w:t>
      </w:r>
      <w:r>
        <w:rPr>
          <w:rFonts w:hint="eastAsia" w:ascii="宋体" w:hAnsi="宋体" w:eastAsia="宋体" w:cs="宋体"/>
          <w:bCs/>
          <w:spacing w:val="-23"/>
          <w:sz w:val="24"/>
          <w:szCs w:val="24"/>
          <w:highlight w:val="none"/>
          <w:lang w:eastAsia="zh-CN"/>
        </w:rPr>
        <w:t>.</w:t>
      </w:r>
      <w:r>
        <w:rPr>
          <w:rFonts w:hint="eastAsia" w:ascii="宋体" w:hAnsi="宋体" w:eastAsia="宋体" w:cs="宋体"/>
          <w:bCs/>
          <w:spacing w:val="-7"/>
          <w:sz w:val="24"/>
          <w:szCs w:val="24"/>
          <w:highlight w:val="none"/>
        </w:rPr>
        <w:t>投标文件的提交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_Toc30180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F150009">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_Toc15544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14</w:t>
      </w:r>
      <w:r>
        <w:rPr>
          <w:rFonts w:hint="eastAsia" w:ascii="宋体" w:hAnsi="宋体" w:eastAsia="宋体" w:cs="宋体"/>
          <w:bCs/>
          <w:spacing w:val="-28"/>
          <w:sz w:val="24"/>
          <w:szCs w:val="24"/>
          <w:highlight w:val="none"/>
          <w:lang w:eastAsia="zh-CN"/>
        </w:rPr>
        <w:t>.</w:t>
      </w:r>
      <w:r>
        <w:rPr>
          <w:rFonts w:hint="eastAsia" w:ascii="宋体" w:hAnsi="宋体" w:eastAsia="宋体" w:cs="宋体"/>
          <w:bCs/>
          <w:spacing w:val="-11"/>
          <w:sz w:val="24"/>
          <w:szCs w:val="24"/>
          <w:highlight w:val="none"/>
        </w:rPr>
        <w:t>开标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_Toc15544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E9DA479">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_Toc23568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15</w:t>
      </w:r>
      <w:r>
        <w:rPr>
          <w:rFonts w:hint="eastAsia" w:ascii="宋体" w:hAnsi="宋体" w:eastAsia="宋体" w:cs="宋体"/>
          <w:bCs/>
          <w:spacing w:val="-11"/>
          <w:sz w:val="24"/>
          <w:szCs w:val="24"/>
          <w:highlight w:val="none"/>
          <w:lang w:val="en-US" w:eastAsia="zh-CN"/>
        </w:rPr>
        <w:t>.</w:t>
      </w:r>
      <w:r>
        <w:rPr>
          <w:rFonts w:hint="eastAsia" w:ascii="宋体" w:hAnsi="宋体" w:eastAsia="宋体" w:cs="宋体"/>
          <w:bCs/>
          <w:spacing w:val="-11"/>
          <w:sz w:val="24"/>
          <w:szCs w:val="24"/>
          <w:highlight w:val="none"/>
        </w:rPr>
        <w:t>评标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_Toc23568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00B5DCB">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_Toc21307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16</w:t>
      </w:r>
      <w:r>
        <w:rPr>
          <w:rFonts w:hint="eastAsia" w:ascii="宋体" w:hAnsi="宋体" w:eastAsia="宋体" w:cs="宋体"/>
          <w:bCs/>
          <w:spacing w:val="-20"/>
          <w:sz w:val="24"/>
          <w:szCs w:val="24"/>
          <w:highlight w:val="none"/>
          <w:lang w:eastAsia="zh-CN"/>
        </w:rPr>
        <w:t>.</w:t>
      </w:r>
      <w:r>
        <w:rPr>
          <w:rFonts w:hint="eastAsia" w:ascii="宋体" w:hAnsi="宋体" w:eastAsia="宋体" w:cs="宋体"/>
          <w:bCs/>
          <w:spacing w:val="-7"/>
          <w:sz w:val="24"/>
          <w:szCs w:val="24"/>
          <w:highlight w:val="none"/>
        </w:rPr>
        <w:t>中标候选人公示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_Toc21307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9C7E238">
      <w:pPr>
        <w:pStyle w:val="19"/>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_Toc7185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第四节</w:t>
      </w:r>
      <w:r>
        <w:rPr>
          <w:rFonts w:hint="eastAsia" w:ascii="宋体" w:hAnsi="宋体" w:eastAsia="宋体" w:cs="宋体"/>
          <w:bCs/>
          <w:spacing w:val="-3"/>
          <w:sz w:val="24"/>
          <w:szCs w:val="24"/>
          <w:highlight w:val="none"/>
          <w:lang w:val="en-US" w:eastAsia="zh-CN"/>
        </w:rPr>
        <w:t xml:space="preserve">   </w:t>
      </w:r>
      <w:r>
        <w:rPr>
          <w:rFonts w:hint="eastAsia" w:ascii="宋体" w:hAnsi="宋体" w:eastAsia="宋体" w:cs="宋体"/>
          <w:bCs/>
          <w:spacing w:val="-3"/>
          <w:sz w:val="24"/>
          <w:szCs w:val="24"/>
          <w:highlight w:val="none"/>
        </w:rPr>
        <w:t>否决投标条件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_Toc7185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9543CB8">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_Toc27832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1</w:t>
      </w:r>
      <w:r>
        <w:rPr>
          <w:rFonts w:hint="eastAsia" w:ascii="宋体" w:hAnsi="宋体" w:eastAsia="宋体" w:cs="宋体"/>
          <w:bCs/>
          <w:spacing w:val="-26"/>
          <w:sz w:val="24"/>
          <w:szCs w:val="24"/>
          <w:highlight w:val="none"/>
          <w:lang w:eastAsia="zh-CN"/>
        </w:rPr>
        <w:t>.</w:t>
      </w:r>
      <w:r>
        <w:rPr>
          <w:rFonts w:hint="eastAsia" w:ascii="宋体" w:hAnsi="宋体" w:eastAsia="宋体" w:cs="宋体"/>
          <w:bCs/>
          <w:spacing w:val="-8"/>
          <w:sz w:val="24"/>
          <w:szCs w:val="24"/>
          <w:highlight w:val="none"/>
        </w:rPr>
        <w:t>资格评审环节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_Toc27832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74F62D4">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_Toc5819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lang w:eastAsia="zh-CN"/>
        </w:rPr>
        <w:t>.</w:t>
      </w:r>
      <w:r>
        <w:rPr>
          <w:rFonts w:hint="eastAsia" w:ascii="宋体" w:hAnsi="宋体" w:eastAsia="宋体" w:cs="宋体"/>
          <w:bCs/>
          <w:spacing w:val="-7"/>
          <w:sz w:val="24"/>
          <w:szCs w:val="24"/>
          <w:highlight w:val="none"/>
        </w:rPr>
        <w:t>形式评审环节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_Toc5819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84ADBD9">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_Toc11391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3</w:t>
      </w:r>
      <w:r>
        <w:rPr>
          <w:rFonts w:hint="eastAsia" w:ascii="宋体" w:hAnsi="宋体" w:eastAsia="宋体" w:cs="宋体"/>
          <w:bCs/>
          <w:spacing w:val="-24"/>
          <w:sz w:val="24"/>
          <w:szCs w:val="24"/>
          <w:highlight w:val="none"/>
          <w:lang w:eastAsia="zh-CN"/>
        </w:rPr>
        <w:t>.</w:t>
      </w:r>
      <w:r>
        <w:rPr>
          <w:rFonts w:hint="eastAsia" w:ascii="宋体" w:hAnsi="宋体" w:eastAsia="宋体" w:cs="宋体"/>
          <w:bCs/>
          <w:spacing w:val="-6"/>
          <w:sz w:val="24"/>
          <w:szCs w:val="24"/>
          <w:highlight w:val="none"/>
        </w:rPr>
        <w:t>响应性评审环节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_Toc11391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8CAFF27">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_Toc14523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4</w:t>
      </w:r>
      <w:r>
        <w:rPr>
          <w:rFonts w:hint="eastAsia" w:ascii="宋体" w:hAnsi="宋体" w:eastAsia="宋体" w:cs="宋体"/>
          <w:bCs/>
          <w:spacing w:val="-29"/>
          <w:sz w:val="24"/>
          <w:szCs w:val="24"/>
          <w:highlight w:val="none"/>
          <w:lang w:eastAsia="zh-CN"/>
        </w:rPr>
        <w:t>.</w:t>
      </w:r>
      <w:r>
        <w:rPr>
          <w:rFonts w:hint="eastAsia" w:ascii="宋体" w:hAnsi="宋体" w:eastAsia="宋体" w:cs="宋体"/>
          <w:bCs/>
          <w:spacing w:val="-11"/>
          <w:sz w:val="24"/>
          <w:szCs w:val="24"/>
          <w:highlight w:val="none"/>
        </w:rPr>
        <w:t>其他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_Toc14523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921A72A">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_Toc20640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第二章</w:t>
      </w:r>
      <w:r>
        <w:rPr>
          <w:rFonts w:hint="eastAsia" w:ascii="宋体" w:hAnsi="宋体" w:eastAsia="宋体" w:cs="宋体"/>
          <w:bCs/>
          <w:spacing w:val="-3"/>
          <w:sz w:val="24"/>
          <w:szCs w:val="24"/>
          <w:highlight w:val="none"/>
          <w:lang w:val="en-US" w:eastAsia="zh-CN"/>
        </w:rPr>
        <w:t xml:space="preserve">   </w:t>
      </w:r>
      <w:r>
        <w:rPr>
          <w:rFonts w:hint="eastAsia" w:ascii="宋体" w:hAnsi="宋体" w:eastAsia="宋体" w:cs="宋体"/>
          <w:bCs/>
          <w:spacing w:val="-3"/>
          <w:sz w:val="24"/>
          <w:szCs w:val="24"/>
          <w:highlight w:val="none"/>
        </w:rPr>
        <w:t>中标人须知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_Toc20640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B7480C9">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_Toc9110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中标通知书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_Toc9110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AEA43D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_Toc10616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2</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中标结果公示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_Toc10616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B71ACBE">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_Toc28533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3</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履约保证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_Toc28533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1AC8ED5">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_Toc23236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4</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合同订立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_Toc23236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2BBF160">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_Toc21620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5</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放弃中标的处理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_Toc21620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7B80846">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_Toc6714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第三章</w:t>
      </w:r>
      <w:r>
        <w:rPr>
          <w:rFonts w:hint="eastAsia" w:ascii="宋体" w:hAnsi="宋体" w:eastAsia="宋体" w:cs="宋体"/>
          <w:spacing w:val="-3"/>
          <w:sz w:val="24"/>
          <w:szCs w:val="24"/>
          <w:highlight w:val="none"/>
          <w:lang w:val="en-US" w:eastAsia="zh-CN"/>
        </w:rPr>
        <w:t xml:space="preserve">   </w:t>
      </w:r>
      <w:r>
        <w:rPr>
          <w:rFonts w:hint="eastAsia" w:ascii="宋体" w:hAnsi="宋体" w:eastAsia="宋体" w:cs="宋体"/>
          <w:bCs/>
          <w:spacing w:val="-3"/>
          <w:sz w:val="24"/>
          <w:szCs w:val="24"/>
          <w:highlight w:val="none"/>
        </w:rPr>
        <w:t>拟签订合同的主要条款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_Toc6714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583CD5B">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_Toc16212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工程承包方式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_Toc16212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3D7BB3E">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_Toc32757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2</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工程结算原则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_Toc32757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7A1D4ED">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_Toc13494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3. 工程付款办法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_Toc13494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6938881">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_Toc24375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4</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其他专用合同条款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_Toc24375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4E353B3">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_Toc16211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5.</w:t>
      </w:r>
      <w:r>
        <w:rPr>
          <w:rFonts w:hint="eastAsia" w:ascii="宋体" w:hAnsi="宋体" w:eastAsia="宋体" w:cs="宋体"/>
          <w:bCs/>
          <w:spacing w:val="-11"/>
          <w:sz w:val="24"/>
          <w:szCs w:val="24"/>
          <w:highlight w:val="none"/>
        </w:rPr>
        <w:t>工期进度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_Toc16211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5EE6B47">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_Toc4690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6.项目管理机构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_Toc4690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B53312A">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_Toc18634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7.现场管理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_Toc18634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2A21FD3">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_Toc15027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8.监督实施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_Toc15027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78DC7F0">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_Toc31222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9.主材的采购和使用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_Toc31222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5D40A17">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_Toc15970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10.竣工资料移交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_Toc15970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9B9CDD3">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_Toc26354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11.质量保证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_Toc26354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7D5F573">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_Toc22137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12.不良行为处理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_Toc22137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FA8C00A">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_Toc11310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13.信用评价条款内容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_Toc11310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CFA428D">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_Toc24160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14.其他事项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_Toc24160 \h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896FEA4">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_Toc3399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15.违约及质量保证条款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_Toc3399 \h </w:instrText>
      </w:r>
      <w:r>
        <w:rPr>
          <w:rFonts w:hint="eastAsia" w:ascii="宋体" w:hAnsi="宋体" w:eastAsia="宋体" w:cs="宋体"/>
          <w:sz w:val="24"/>
          <w:szCs w:val="24"/>
        </w:rPr>
        <w:fldChar w:fldCharType="separate"/>
      </w:r>
      <w:r>
        <w:rPr>
          <w:rFonts w:hint="eastAsia" w:ascii="宋体" w:hAnsi="宋体" w:eastAsia="宋体" w:cs="宋体"/>
          <w:sz w:val="24"/>
          <w:szCs w:val="24"/>
        </w:rPr>
        <w:t>63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CB5D028">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_Toc20941 </w:instrText>
      </w:r>
      <w:r>
        <w:rPr>
          <w:rFonts w:hint="eastAsia" w:ascii="宋体" w:hAnsi="宋体" w:eastAsia="宋体" w:cs="宋体"/>
          <w:sz w:val="24"/>
          <w:szCs w:val="24"/>
          <w:highlight w:val="none"/>
        </w:rPr>
        <w:fldChar w:fldCharType="separate"/>
      </w:r>
      <w:r>
        <w:rPr>
          <w:rFonts w:hint="eastAsia" w:ascii="宋体" w:hAnsi="宋体" w:eastAsia="宋体" w:cs="宋体"/>
          <w:snapToGrid w:val="0"/>
          <w:sz w:val="24"/>
          <w:szCs w:val="24"/>
          <w:highlight w:val="none"/>
        </w:rPr>
        <w:t>第四章</w:t>
      </w:r>
      <w:r>
        <w:rPr>
          <w:rFonts w:hint="eastAsia" w:ascii="宋体" w:hAnsi="宋体" w:eastAsia="宋体" w:cs="宋体"/>
          <w:snapToGrid w:val="0"/>
          <w:sz w:val="24"/>
          <w:szCs w:val="24"/>
          <w:highlight w:val="none"/>
          <w:lang w:val="en-US" w:eastAsia="zh-CN"/>
        </w:rPr>
        <w:t xml:space="preserve">   </w:t>
      </w:r>
      <w:r>
        <w:rPr>
          <w:rFonts w:hint="eastAsia" w:ascii="宋体" w:hAnsi="宋体" w:eastAsia="宋体" w:cs="宋体"/>
          <w:snapToGrid w:val="0"/>
          <w:sz w:val="24"/>
          <w:szCs w:val="24"/>
          <w:highlight w:val="none"/>
        </w:rPr>
        <w:t>技术要求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_Toc20941 \h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955DF0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_Toc27517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1.房屋建筑工程建设项目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_Toc27517 \h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507D852">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_Toc6102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2.市政基础设施工程建设项目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_Toc6102 \h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DCEF26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_Toc22781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3.备查要求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_Toc22781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2EA4154">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_Toc27553 </w:instrText>
      </w:r>
      <w:r>
        <w:rPr>
          <w:rFonts w:hint="eastAsia" w:ascii="宋体" w:hAnsi="宋体" w:eastAsia="宋体" w:cs="宋体"/>
          <w:sz w:val="24"/>
          <w:szCs w:val="24"/>
          <w:highlight w:val="none"/>
        </w:rPr>
        <w:fldChar w:fldCharType="separate"/>
      </w:r>
      <w:r>
        <w:rPr>
          <w:rFonts w:hint="eastAsia" w:ascii="宋体" w:hAnsi="宋体" w:eastAsia="宋体" w:cs="宋体"/>
          <w:snapToGrid w:val="0"/>
          <w:sz w:val="24"/>
          <w:szCs w:val="24"/>
          <w:highlight w:val="none"/>
        </w:rPr>
        <w:t>第五章</w:t>
      </w:r>
      <w:r>
        <w:rPr>
          <w:rFonts w:hint="eastAsia" w:ascii="宋体" w:hAnsi="宋体" w:eastAsia="宋体" w:cs="宋体"/>
          <w:snapToGrid w:val="0"/>
          <w:sz w:val="24"/>
          <w:szCs w:val="24"/>
          <w:highlight w:val="none"/>
          <w:lang w:val="en-US" w:eastAsia="zh-CN"/>
        </w:rPr>
        <w:t xml:space="preserve">   </w:t>
      </w:r>
      <w:r>
        <w:rPr>
          <w:rFonts w:hint="eastAsia" w:ascii="宋体" w:hAnsi="宋体" w:eastAsia="宋体" w:cs="宋体"/>
          <w:snapToGrid w:val="0"/>
          <w:sz w:val="24"/>
          <w:szCs w:val="24"/>
          <w:highlight w:val="none"/>
        </w:rPr>
        <w:t>图纸和招标工程量清单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_Toc27553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BC0B5D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_Toc30554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1.图纸</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_Toc30554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D49CF1F">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_Toc30574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2.招标工程量清单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_Toc30574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16FC137">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_Toc744 </w:instrText>
      </w:r>
      <w:r>
        <w:rPr>
          <w:rFonts w:hint="eastAsia" w:ascii="宋体" w:hAnsi="宋体" w:eastAsia="宋体" w:cs="宋体"/>
          <w:sz w:val="24"/>
          <w:szCs w:val="24"/>
          <w:highlight w:val="none"/>
        </w:rPr>
        <w:fldChar w:fldCharType="separate"/>
      </w:r>
      <w:r>
        <w:rPr>
          <w:rFonts w:hint="eastAsia" w:ascii="宋体" w:hAnsi="宋体" w:eastAsia="宋体" w:cs="宋体"/>
          <w:snapToGrid w:val="0"/>
          <w:sz w:val="24"/>
          <w:szCs w:val="24"/>
          <w:highlight w:val="none"/>
        </w:rPr>
        <w:t>第六章</w:t>
      </w:r>
      <w:r>
        <w:rPr>
          <w:rFonts w:hint="eastAsia" w:ascii="宋体" w:hAnsi="宋体" w:eastAsia="宋体" w:cs="宋体"/>
          <w:snapToGrid w:val="0"/>
          <w:sz w:val="24"/>
          <w:szCs w:val="24"/>
          <w:highlight w:val="none"/>
          <w:lang w:val="en-US" w:eastAsia="zh-CN"/>
        </w:rPr>
        <w:t xml:space="preserve">   </w:t>
      </w:r>
      <w:r>
        <w:rPr>
          <w:rFonts w:hint="eastAsia" w:ascii="宋体" w:hAnsi="宋体" w:eastAsia="宋体" w:cs="宋体"/>
          <w:snapToGrid w:val="0"/>
          <w:sz w:val="24"/>
          <w:szCs w:val="24"/>
          <w:highlight w:val="none"/>
        </w:rPr>
        <w:t>投标文件格式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_Toc744 \h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5652A5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_Toc7436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格式一   封面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_Toc7436 \h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06996E0">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_Toc14807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格式二   投标函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_Toc14807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55B2D35">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_Toc32516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格式三   各项承诺一览表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_Toc32516 \h </w:instrText>
      </w:r>
      <w:r>
        <w:rPr>
          <w:rFonts w:hint="eastAsia" w:ascii="宋体" w:hAnsi="宋体" w:eastAsia="宋体" w:cs="宋体"/>
          <w:sz w:val="24"/>
          <w:szCs w:val="24"/>
        </w:rPr>
        <w:fldChar w:fldCharType="separate"/>
      </w:r>
      <w:r>
        <w:rPr>
          <w:rFonts w:hint="eastAsia" w:ascii="宋体" w:hAnsi="宋体" w:eastAsia="宋体" w:cs="宋体"/>
          <w:sz w:val="24"/>
          <w:szCs w:val="24"/>
        </w:rPr>
        <w:t>75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A7D7089">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_Toc1343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格式四   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_Toc1343 \h </w:instrText>
      </w:r>
      <w:r>
        <w:rPr>
          <w:rFonts w:hint="eastAsia" w:ascii="宋体" w:hAnsi="宋体" w:eastAsia="宋体" w:cs="宋体"/>
          <w:sz w:val="24"/>
          <w:szCs w:val="24"/>
        </w:rPr>
        <w:fldChar w:fldCharType="separate"/>
      </w:r>
      <w:r>
        <w:rPr>
          <w:rFonts w:hint="eastAsia" w:ascii="宋体" w:hAnsi="宋体" w:eastAsia="宋体" w:cs="宋体"/>
          <w:sz w:val="24"/>
          <w:szCs w:val="24"/>
        </w:rPr>
        <w:t>77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066D21B">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_Toc14327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格式五   法定代表人身份证明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_Toc14327 \h </w:instrText>
      </w:r>
      <w:r>
        <w:rPr>
          <w:rFonts w:hint="eastAsia" w:ascii="宋体" w:hAnsi="宋体" w:eastAsia="宋体" w:cs="宋体"/>
          <w:sz w:val="24"/>
          <w:szCs w:val="24"/>
        </w:rPr>
        <w:fldChar w:fldCharType="separate"/>
      </w:r>
      <w:r>
        <w:rPr>
          <w:rFonts w:hint="eastAsia" w:ascii="宋体" w:hAnsi="宋体" w:eastAsia="宋体" w:cs="宋体"/>
          <w:sz w:val="24"/>
          <w:szCs w:val="24"/>
        </w:rPr>
        <w:t>78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75D392B">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_Toc15233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格式六    投标人基本情况表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_Toc15233 \h </w:instrText>
      </w:r>
      <w:r>
        <w:rPr>
          <w:rFonts w:hint="eastAsia" w:ascii="宋体" w:hAnsi="宋体" w:eastAsia="宋体" w:cs="宋体"/>
          <w:sz w:val="24"/>
          <w:szCs w:val="24"/>
        </w:rPr>
        <w:fldChar w:fldCharType="separate"/>
      </w:r>
      <w:r>
        <w:rPr>
          <w:rFonts w:hint="eastAsia" w:ascii="宋体" w:hAnsi="宋体" w:eastAsia="宋体" w:cs="宋体"/>
          <w:sz w:val="24"/>
          <w:szCs w:val="24"/>
        </w:rPr>
        <w:t>79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0AA85D9">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_Toc23039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格式七   项目经理简历表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_Toc23039 \h </w:instrText>
      </w:r>
      <w:r>
        <w:rPr>
          <w:rFonts w:hint="eastAsia" w:ascii="宋体" w:hAnsi="宋体" w:eastAsia="宋体" w:cs="宋体"/>
          <w:sz w:val="24"/>
          <w:szCs w:val="24"/>
        </w:rPr>
        <w:fldChar w:fldCharType="separate"/>
      </w:r>
      <w:r>
        <w:rPr>
          <w:rFonts w:hint="eastAsia" w:ascii="宋体" w:hAnsi="宋体" w:eastAsia="宋体" w:cs="宋体"/>
          <w:sz w:val="24"/>
          <w:szCs w:val="24"/>
        </w:rPr>
        <w:t>80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E2AD76B">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_Toc20129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格式八   项目经理任职声明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_Toc20129 \h </w:instrText>
      </w:r>
      <w:r>
        <w:rPr>
          <w:rFonts w:hint="eastAsia" w:ascii="宋体" w:hAnsi="宋体" w:eastAsia="宋体" w:cs="宋体"/>
          <w:sz w:val="24"/>
          <w:szCs w:val="24"/>
        </w:rPr>
        <w:fldChar w:fldCharType="separate"/>
      </w:r>
      <w:r>
        <w:rPr>
          <w:rFonts w:hint="eastAsia" w:ascii="宋体" w:hAnsi="宋体" w:eastAsia="宋体" w:cs="宋体"/>
          <w:sz w:val="24"/>
          <w:szCs w:val="24"/>
        </w:rPr>
        <w:t>81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6A326C8">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_Toc24090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格式九   项目技术负责人简历表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_Toc24090 \h </w:instrText>
      </w:r>
      <w:r>
        <w:rPr>
          <w:rFonts w:hint="eastAsia" w:ascii="宋体" w:hAnsi="宋体" w:eastAsia="宋体" w:cs="宋体"/>
          <w:sz w:val="24"/>
          <w:szCs w:val="24"/>
        </w:rPr>
        <w:fldChar w:fldCharType="separate"/>
      </w:r>
      <w:r>
        <w:rPr>
          <w:rFonts w:hint="eastAsia" w:ascii="宋体" w:hAnsi="宋体" w:eastAsia="宋体" w:cs="宋体"/>
          <w:sz w:val="24"/>
          <w:szCs w:val="24"/>
        </w:rPr>
        <w:t>82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4604D8F">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_Toc3720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   项目管理机构组成表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_Toc3720 \h </w:instrText>
      </w:r>
      <w:r>
        <w:rPr>
          <w:rFonts w:hint="eastAsia" w:ascii="宋体" w:hAnsi="宋体" w:eastAsia="宋体" w:cs="宋体"/>
          <w:sz w:val="24"/>
          <w:szCs w:val="24"/>
        </w:rPr>
        <w:fldChar w:fldCharType="separate"/>
      </w:r>
      <w:r>
        <w:rPr>
          <w:rFonts w:hint="eastAsia" w:ascii="宋体" w:hAnsi="宋体" w:eastAsia="宋体" w:cs="宋体"/>
          <w:sz w:val="24"/>
          <w:szCs w:val="24"/>
        </w:rPr>
        <w:t>83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B1AFC76">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_Toc11234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格式十一   建造师查询页（有效期+建造师签字）</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_Toc11234 \h </w:instrText>
      </w:r>
      <w:r>
        <w:rPr>
          <w:rFonts w:hint="eastAsia" w:ascii="宋体" w:hAnsi="宋体" w:eastAsia="宋体" w:cs="宋体"/>
          <w:sz w:val="24"/>
          <w:szCs w:val="24"/>
        </w:rPr>
        <w:fldChar w:fldCharType="separate"/>
      </w:r>
      <w:r>
        <w:rPr>
          <w:rFonts w:hint="eastAsia" w:ascii="宋体" w:hAnsi="宋体" w:eastAsia="宋体" w:cs="宋体"/>
          <w:sz w:val="24"/>
          <w:szCs w:val="24"/>
        </w:rPr>
        <w:t>84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80CFA02">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_Toc9813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格式十二   危险性较大的分部分项工程清单及超过一定规模的危险性较大的分部分项工程清单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_Toc9813 \h </w:instrText>
      </w:r>
      <w:r>
        <w:rPr>
          <w:rFonts w:hint="eastAsia" w:ascii="宋体" w:hAnsi="宋体" w:eastAsia="宋体" w:cs="宋体"/>
          <w:sz w:val="24"/>
          <w:szCs w:val="24"/>
        </w:rPr>
        <w:fldChar w:fldCharType="separate"/>
      </w:r>
      <w:r>
        <w:rPr>
          <w:rFonts w:hint="eastAsia" w:ascii="宋体" w:hAnsi="宋体" w:eastAsia="宋体" w:cs="宋体"/>
          <w:sz w:val="24"/>
          <w:szCs w:val="24"/>
        </w:rPr>
        <w:t>86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E9BFA33">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_Toc25639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格式十三   投标保证金信用承诺函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_Toc25639 \h </w:instrText>
      </w:r>
      <w:r>
        <w:rPr>
          <w:rFonts w:hint="eastAsia" w:ascii="宋体" w:hAnsi="宋体" w:eastAsia="宋体" w:cs="宋体"/>
          <w:sz w:val="24"/>
          <w:szCs w:val="24"/>
        </w:rPr>
        <w:fldChar w:fldCharType="separate"/>
      </w:r>
      <w:r>
        <w:rPr>
          <w:rFonts w:hint="eastAsia" w:ascii="宋体" w:hAnsi="宋体" w:eastAsia="宋体" w:cs="宋体"/>
          <w:sz w:val="24"/>
          <w:szCs w:val="24"/>
        </w:rPr>
        <w:t>87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5B9E908">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_Toc29984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格式十四   原件一览表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_Toc29984 \h </w:instrText>
      </w:r>
      <w:r>
        <w:rPr>
          <w:rFonts w:hint="eastAsia" w:ascii="宋体" w:hAnsi="宋体" w:eastAsia="宋体" w:cs="宋体"/>
          <w:sz w:val="24"/>
          <w:szCs w:val="24"/>
        </w:rPr>
        <w:fldChar w:fldCharType="separate"/>
      </w:r>
      <w:r>
        <w:rPr>
          <w:rFonts w:hint="eastAsia" w:ascii="宋体" w:hAnsi="宋体" w:eastAsia="宋体" w:cs="宋体"/>
          <w:sz w:val="24"/>
          <w:szCs w:val="24"/>
        </w:rPr>
        <w:t>88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047379B">
      <w:pPr>
        <w:pStyle w:val="18"/>
        <w:tabs>
          <w:tab w:val="right" w:leader="dot" w:pos="9638"/>
        </w:tabs>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_Toc11550 </w:instrText>
      </w:r>
      <w:r>
        <w:rPr>
          <w:rFonts w:hint="eastAsia" w:ascii="宋体" w:hAnsi="宋体" w:eastAsia="宋体" w:cs="宋体"/>
          <w:sz w:val="24"/>
          <w:szCs w:val="24"/>
          <w:highlight w:val="none"/>
        </w:rPr>
        <w:fldChar w:fldCharType="separate"/>
      </w:r>
      <w:r>
        <w:rPr>
          <w:rFonts w:hint="eastAsia" w:ascii="宋体" w:hAnsi="宋体" w:eastAsia="宋体" w:cs="宋体"/>
          <w:snapToGrid w:val="0"/>
          <w:sz w:val="24"/>
          <w:szCs w:val="24"/>
          <w:highlight w:val="none"/>
        </w:rPr>
        <w:t>第七章</w:t>
      </w:r>
      <w:r>
        <w:rPr>
          <w:rFonts w:hint="eastAsia" w:ascii="宋体" w:hAnsi="宋体" w:eastAsia="宋体" w:cs="宋体"/>
          <w:snapToGrid w:val="0"/>
          <w:sz w:val="24"/>
          <w:szCs w:val="24"/>
          <w:highlight w:val="none"/>
          <w:lang w:val="en-US" w:eastAsia="zh-CN"/>
        </w:rPr>
        <w:t xml:space="preserve">   </w:t>
      </w:r>
      <w:r>
        <w:rPr>
          <w:rFonts w:hint="eastAsia" w:ascii="宋体" w:hAnsi="宋体" w:eastAsia="宋体" w:cs="宋体"/>
          <w:snapToGrid w:val="0"/>
          <w:sz w:val="24"/>
          <w:szCs w:val="24"/>
          <w:highlight w:val="none"/>
        </w:rPr>
        <w:t>建设工程施工合同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_Toc11550 \h </w:instrText>
      </w:r>
      <w:r>
        <w:rPr>
          <w:rFonts w:hint="eastAsia" w:ascii="宋体" w:hAnsi="宋体" w:eastAsia="宋体" w:cs="宋体"/>
          <w:sz w:val="24"/>
          <w:szCs w:val="24"/>
        </w:rPr>
        <w:fldChar w:fldCharType="separate"/>
      </w:r>
      <w:r>
        <w:rPr>
          <w:rFonts w:hint="eastAsia" w:ascii="宋体" w:hAnsi="宋体" w:eastAsia="宋体" w:cs="宋体"/>
          <w:sz w:val="24"/>
          <w:szCs w:val="24"/>
        </w:rPr>
        <w:t>89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4F9C4B2">
      <w:pPr>
        <w:spacing w:line="240" w:lineRule="auto"/>
        <w:rPr>
          <w:rFonts w:hint="eastAsia" w:ascii="宋体" w:hAnsi="宋体" w:eastAsia="宋体" w:cs="宋体"/>
        </w:rPr>
      </w:pPr>
      <w:r>
        <w:rPr>
          <w:rFonts w:hint="eastAsia" w:ascii="宋体" w:hAnsi="宋体" w:eastAsia="宋体" w:cs="宋体"/>
          <w:color w:val="auto"/>
          <w:szCs w:val="24"/>
          <w:highlight w:val="none"/>
        </w:rPr>
        <w:fldChar w:fldCharType="end"/>
      </w:r>
    </w:p>
    <w:p w14:paraId="38EAEBA2">
      <w:pPr>
        <w:rPr>
          <w:rFonts w:hint="eastAsia" w:ascii="宋体" w:hAnsi="宋体" w:eastAsia="宋体" w:cs="宋体"/>
        </w:rPr>
      </w:pPr>
    </w:p>
    <w:p w14:paraId="4288CBFB">
      <w:pPr>
        <w:rPr>
          <w:rFonts w:hint="eastAsia" w:ascii="宋体" w:hAnsi="宋体" w:eastAsia="宋体" w:cs="宋体"/>
        </w:rPr>
      </w:pPr>
    </w:p>
    <w:p w14:paraId="1F4E4B74">
      <w:pPr>
        <w:rPr>
          <w:rFonts w:hint="eastAsia" w:ascii="宋体" w:hAnsi="宋体" w:eastAsia="宋体" w:cs="宋体"/>
        </w:rPr>
      </w:pPr>
    </w:p>
    <w:p w14:paraId="2737AC15">
      <w:pPr>
        <w:rPr>
          <w:rFonts w:hint="eastAsia" w:ascii="宋体" w:hAnsi="宋体" w:eastAsia="宋体" w:cs="宋体"/>
        </w:rPr>
      </w:pPr>
    </w:p>
    <w:p w14:paraId="0F5BFBC3">
      <w:pPr>
        <w:rPr>
          <w:rFonts w:hint="eastAsia" w:ascii="宋体" w:hAnsi="宋体" w:eastAsia="宋体" w:cs="宋体"/>
        </w:rPr>
      </w:pPr>
    </w:p>
    <w:p w14:paraId="685587E3">
      <w:pPr>
        <w:rPr>
          <w:rFonts w:hint="eastAsia" w:ascii="宋体" w:hAnsi="宋体" w:eastAsia="宋体" w:cs="宋体"/>
        </w:rPr>
      </w:pPr>
    </w:p>
    <w:p w14:paraId="0AE3EDFE">
      <w:pPr>
        <w:rPr>
          <w:rFonts w:hint="eastAsia" w:ascii="宋体" w:hAnsi="宋体" w:eastAsia="宋体" w:cs="宋体"/>
        </w:rPr>
      </w:pPr>
    </w:p>
    <w:p w14:paraId="47E1B3C6">
      <w:pPr>
        <w:rPr>
          <w:rFonts w:hint="eastAsia" w:ascii="宋体" w:hAnsi="宋体" w:eastAsia="宋体" w:cs="宋体"/>
        </w:rPr>
      </w:pPr>
    </w:p>
    <w:p w14:paraId="5AD090C2">
      <w:pPr>
        <w:rPr>
          <w:rFonts w:hint="eastAsia" w:ascii="宋体" w:hAnsi="宋体" w:eastAsia="宋体" w:cs="宋体"/>
        </w:rPr>
      </w:pPr>
    </w:p>
    <w:p w14:paraId="4B611946">
      <w:pPr>
        <w:rPr>
          <w:rFonts w:hint="eastAsia" w:ascii="宋体" w:hAnsi="宋体" w:eastAsia="宋体" w:cs="宋体"/>
        </w:rPr>
      </w:pPr>
    </w:p>
    <w:p w14:paraId="1812CF06">
      <w:pPr>
        <w:rPr>
          <w:rFonts w:hint="eastAsia" w:ascii="宋体" w:hAnsi="宋体" w:eastAsia="宋体" w:cs="宋体"/>
        </w:rPr>
      </w:pPr>
    </w:p>
    <w:p w14:paraId="50FB5DB3">
      <w:pPr>
        <w:rPr>
          <w:rFonts w:hint="eastAsia" w:ascii="宋体" w:hAnsi="宋体" w:eastAsia="宋体" w:cs="宋体"/>
        </w:rPr>
      </w:pPr>
    </w:p>
    <w:p w14:paraId="5755DFF0">
      <w:pPr>
        <w:rPr>
          <w:rFonts w:hint="eastAsia" w:ascii="宋体" w:hAnsi="宋体" w:eastAsia="宋体" w:cs="宋体"/>
        </w:rPr>
      </w:pPr>
    </w:p>
    <w:p w14:paraId="4397A7F6">
      <w:pPr>
        <w:rPr>
          <w:rFonts w:hint="eastAsia" w:ascii="宋体" w:hAnsi="宋体" w:eastAsia="宋体" w:cs="宋体"/>
        </w:rPr>
      </w:pPr>
    </w:p>
    <w:p w14:paraId="0F865B08">
      <w:pPr>
        <w:rPr>
          <w:rFonts w:hint="eastAsia" w:ascii="宋体" w:hAnsi="宋体" w:eastAsia="宋体" w:cs="宋体"/>
        </w:rPr>
      </w:pPr>
    </w:p>
    <w:p w14:paraId="1D521498">
      <w:pPr>
        <w:rPr>
          <w:rFonts w:hint="eastAsia" w:ascii="宋体" w:hAnsi="宋体" w:eastAsia="宋体" w:cs="宋体"/>
        </w:rPr>
      </w:pPr>
    </w:p>
    <w:p w14:paraId="749C5641">
      <w:pPr>
        <w:rPr>
          <w:rFonts w:hint="eastAsia" w:ascii="宋体" w:hAnsi="宋体" w:eastAsia="宋体" w:cs="宋体"/>
        </w:rPr>
      </w:pPr>
    </w:p>
    <w:p w14:paraId="18E797F7">
      <w:pPr>
        <w:rPr>
          <w:rFonts w:hint="eastAsia" w:ascii="宋体" w:hAnsi="宋体" w:eastAsia="宋体" w:cs="宋体"/>
        </w:rPr>
      </w:pPr>
    </w:p>
    <w:p w14:paraId="111E9636">
      <w:pPr>
        <w:rPr>
          <w:rFonts w:hint="eastAsia" w:ascii="宋体" w:hAnsi="宋体" w:eastAsia="宋体" w:cs="宋体"/>
        </w:rPr>
      </w:pPr>
    </w:p>
    <w:p w14:paraId="220DACF8">
      <w:pPr>
        <w:rPr>
          <w:rFonts w:hint="eastAsia" w:ascii="宋体" w:hAnsi="宋体" w:eastAsia="宋体" w:cs="宋体"/>
        </w:rPr>
      </w:pPr>
    </w:p>
    <w:p w14:paraId="03E6E150">
      <w:pPr>
        <w:rPr>
          <w:rFonts w:hint="eastAsia" w:ascii="宋体" w:hAnsi="宋体" w:eastAsia="宋体" w:cs="宋体"/>
        </w:rPr>
      </w:pPr>
    </w:p>
    <w:p w14:paraId="1FF4BC8C">
      <w:pPr>
        <w:rPr>
          <w:rFonts w:hint="eastAsia" w:ascii="宋体" w:hAnsi="宋体" w:eastAsia="宋体" w:cs="宋体"/>
        </w:rPr>
      </w:pPr>
    </w:p>
    <w:p w14:paraId="659E5FA8">
      <w:pPr>
        <w:spacing w:before="78" w:line="360" w:lineRule="auto"/>
        <w:jc w:val="center"/>
        <w:outlineLvl w:val="0"/>
        <w:rPr>
          <w:rFonts w:hint="eastAsia" w:ascii="宋体" w:hAnsi="宋体" w:eastAsia="宋体" w:cs="宋体"/>
          <w:color w:val="auto"/>
          <w:sz w:val="24"/>
          <w:szCs w:val="24"/>
          <w:highlight w:val="none"/>
        </w:rPr>
      </w:pPr>
      <w:bookmarkStart w:id="4" w:name="bookmark1"/>
      <w:bookmarkEnd w:id="4"/>
      <w:bookmarkStart w:id="5" w:name="_Toc9284"/>
      <w:bookmarkStart w:id="6" w:name="_Toc19872"/>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投标人须知</w:t>
      </w:r>
      <w:bookmarkEnd w:id="5"/>
      <w:bookmarkEnd w:id="6"/>
    </w:p>
    <w:p w14:paraId="30EA1A18">
      <w:pPr>
        <w:spacing w:before="156" w:line="360" w:lineRule="auto"/>
        <w:ind w:left="17"/>
        <w:outlineLvl w:val="1"/>
        <w:rPr>
          <w:rFonts w:hint="eastAsia" w:ascii="宋体" w:hAnsi="宋体" w:eastAsia="宋体" w:cs="宋体"/>
          <w:b/>
          <w:bCs/>
          <w:color w:val="auto"/>
          <w:spacing w:val="-3"/>
          <w:sz w:val="24"/>
          <w:szCs w:val="24"/>
          <w:highlight w:val="none"/>
        </w:rPr>
      </w:pPr>
      <w:bookmarkStart w:id="7" w:name="bookmark3"/>
      <w:bookmarkEnd w:id="7"/>
      <w:bookmarkStart w:id="8" w:name="_Toc23115"/>
      <w:bookmarkStart w:id="9" w:name="_Toc10972"/>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投标人须知前附表</w:t>
      </w:r>
      <w:bookmarkEnd w:id="8"/>
      <w:bookmarkEnd w:id="9"/>
    </w:p>
    <w:tbl>
      <w:tblPr>
        <w:tblStyle w:val="25"/>
        <w:tblW w:w="10200"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2447"/>
        <w:gridCol w:w="7020"/>
      </w:tblGrid>
      <w:tr w14:paraId="44D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top"/>
          </w:tcPr>
          <w:p w14:paraId="7B2D9F2A">
            <w:pPr>
              <w:widowControl w:val="0"/>
              <w:spacing w:line="24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序号</w:t>
            </w:r>
          </w:p>
        </w:tc>
        <w:tc>
          <w:tcPr>
            <w:tcW w:w="2447" w:type="dxa"/>
            <w:shd w:val="clear" w:color="auto" w:fill="auto"/>
            <w:vAlign w:val="top"/>
          </w:tcPr>
          <w:p w14:paraId="59ADCDC3">
            <w:pPr>
              <w:widowControl w:val="0"/>
              <w:spacing w:line="24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内容</w:t>
            </w:r>
          </w:p>
        </w:tc>
        <w:tc>
          <w:tcPr>
            <w:tcW w:w="7020" w:type="dxa"/>
            <w:shd w:val="clear" w:color="auto" w:fill="auto"/>
            <w:vAlign w:val="top"/>
          </w:tcPr>
          <w:p w14:paraId="0BF5224D">
            <w:pPr>
              <w:widowControl w:val="0"/>
              <w:spacing w:line="24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说明与要求</w:t>
            </w:r>
          </w:p>
        </w:tc>
      </w:tr>
      <w:tr w14:paraId="5992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2F05F5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w:t>
            </w:r>
          </w:p>
        </w:tc>
        <w:tc>
          <w:tcPr>
            <w:tcW w:w="2447" w:type="dxa"/>
            <w:shd w:val="clear" w:color="auto" w:fill="auto"/>
            <w:vAlign w:val="center"/>
          </w:tcPr>
          <w:p w14:paraId="43BE10D1">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项目名称</w:t>
            </w:r>
          </w:p>
        </w:tc>
        <w:tc>
          <w:tcPr>
            <w:tcW w:w="7020" w:type="dxa"/>
            <w:shd w:val="clear" w:color="auto" w:fill="auto"/>
            <w:vAlign w:val="center"/>
          </w:tcPr>
          <w:p w14:paraId="105699CE">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江湾镇武洞至乳源白竹跨镇道路灾后重建项目（水渠工程）</w:t>
            </w:r>
          </w:p>
        </w:tc>
      </w:tr>
      <w:tr w14:paraId="4F4E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5321AAA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w:t>
            </w:r>
          </w:p>
        </w:tc>
        <w:tc>
          <w:tcPr>
            <w:tcW w:w="2447" w:type="dxa"/>
            <w:shd w:val="clear" w:color="auto" w:fill="auto"/>
            <w:vAlign w:val="center"/>
          </w:tcPr>
          <w:p w14:paraId="53876A3C">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项目业主</w:t>
            </w:r>
          </w:p>
        </w:tc>
        <w:tc>
          <w:tcPr>
            <w:tcW w:w="7020" w:type="dxa"/>
            <w:shd w:val="clear" w:color="auto" w:fill="auto"/>
            <w:vAlign w:val="center"/>
          </w:tcPr>
          <w:p w14:paraId="30040E99">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韶关市武江区江湾镇人民政府</w:t>
            </w:r>
          </w:p>
        </w:tc>
      </w:tr>
      <w:tr w14:paraId="6008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9F3CC81">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3</w:t>
            </w:r>
          </w:p>
        </w:tc>
        <w:tc>
          <w:tcPr>
            <w:tcW w:w="2447" w:type="dxa"/>
            <w:shd w:val="clear" w:color="auto" w:fill="auto"/>
            <w:vAlign w:val="center"/>
          </w:tcPr>
          <w:p w14:paraId="55EDB83D">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项目批准部门及项目批准文号</w:t>
            </w:r>
          </w:p>
        </w:tc>
        <w:tc>
          <w:tcPr>
            <w:tcW w:w="7020" w:type="dxa"/>
            <w:shd w:val="clear" w:color="auto" w:fill="auto"/>
            <w:vAlign w:val="center"/>
          </w:tcPr>
          <w:p w14:paraId="56FAEB61">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韶关市武江区发展和改革局、韶武发改投审〔2025〕53号</w:t>
            </w:r>
          </w:p>
        </w:tc>
      </w:tr>
      <w:tr w14:paraId="5491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3DF3EAE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4</w:t>
            </w:r>
          </w:p>
        </w:tc>
        <w:tc>
          <w:tcPr>
            <w:tcW w:w="2447" w:type="dxa"/>
            <w:shd w:val="clear" w:color="auto" w:fill="auto"/>
            <w:vAlign w:val="center"/>
          </w:tcPr>
          <w:p w14:paraId="3642BB67">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建设地点</w:t>
            </w:r>
          </w:p>
        </w:tc>
        <w:tc>
          <w:tcPr>
            <w:tcW w:w="7020" w:type="dxa"/>
            <w:shd w:val="clear" w:color="auto" w:fill="auto"/>
            <w:vAlign w:val="center"/>
          </w:tcPr>
          <w:p w14:paraId="365D85BC">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江湾镇武洞村</w:t>
            </w:r>
          </w:p>
        </w:tc>
      </w:tr>
      <w:tr w14:paraId="31E5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4D2BDBA">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5</w:t>
            </w:r>
          </w:p>
        </w:tc>
        <w:tc>
          <w:tcPr>
            <w:tcW w:w="2447" w:type="dxa"/>
            <w:shd w:val="clear" w:color="auto" w:fill="auto"/>
            <w:vAlign w:val="center"/>
          </w:tcPr>
          <w:p w14:paraId="4B1C4E29">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项目代码</w:t>
            </w:r>
          </w:p>
        </w:tc>
        <w:tc>
          <w:tcPr>
            <w:tcW w:w="7020" w:type="dxa"/>
            <w:shd w:val="clear" w:color="auto" w:fill="auto"/>
            <w:vAlign w:val="center"/>
          </w:tcPr>
          <w:p w14:paraId="4122AAF2">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2507-440203-18-01-670306</w:t>
            </w:r>
          </w:p>
        </w:tc>
      </w:tr>
      <w:tr w14:paraId="0CBE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03F1187C">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6</w:t>
            </w:r>
          </w:p>
        </w:tc>
        <w:tc>
          <w:tcPr>
            <w:tcW w:w="2447" w:type="dxa"/>
            <w:shd w:val="clear" w:color="auto" w:fill="auto"/>
            <w:vAlign w:val="center"/>
          </w:tcPr>
          <w:p w14:paraId="4887C5D7">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资金来源及落实情况</w:t>
            </w:r>
          </w:p>
        </w:tc>
        <w:tc>
          <w:tcPr>
            <w:tcW w:w="7020" w:type="dxa"/>
            <w:shd w:val="clear" w:color="auto" w:fill="auto"/>
            <w:vAlign w:val="center"/>
          </w:tcPr>
          <w:p w14:paraId="4EF660AC">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区财政统筹，100%</w:t>
            </w:r>
          </w:p>
        </w:tc>
      </w:tr>
      <w:tr w14:paraId="2AE0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9A6BBBF">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7</w:t>
            </w:r>
          </w:p>
        </w:tc>
        <w:tc>
          <w:tcPr>
            <w:tcW w:w="2447" w:type="dxa"/>
            <w:shd w:val="clear" w:color="auto" w:fill="auto"/>
            <w:vAlign w:val="center"/>
          </w:tcPr>
          <w:p w14:paraId="3BA0B4CA">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招标人</w:t>
            </w:r>
          </w:p>
        </w:tc>
        <w:tc>
          <w:tcPr>
            <w:tcW w:w="7020" w:type="dxa"/>
            <w:shd w:val="clear" w:color="auto" w:fill="auto"/>
            <w:vAlign w:val="center"/>
          </w:tcPr>
          <w:p w14:paraId="5FD8D3FE">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eastAsia="zh-CN"/>
              </w:rPr>
              <w:t>韶关市武江区江湾镇人民政府</w:t>
            </w:r>
          </w:p>
        </w:tc>
      </w:tr>
      <w:tr w14:paraId="044E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6B4C612A">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8</w:t>
            </w:r>
          </w:p>
        </w:tc>
        <w:tc>
          <w:tcPr>
            <w:tcW w:w="2447" w:type="dxa"/>
            <w:shd w:val="clear" w:color="auto" w:fill="auto"/>
            <w:vAlign w:val="center"/>
          </w:tcPr>
          <w:p w14:paraId="69DA39D6">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招标代理机构</w:t>
            </w:r>
          </w:p>
        </w:tc>
        <w:tc>
          <w:tcPr>
            <w:tcW w:w="7020" w:type="dxa"/>
            <w:shd w:val="clear" w:color="auto" w:fill="auto"/>
            <w:vAlign w:val="center"/>
          </w:tcPr>
          <w:p w14:paraId="3F43251B">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广东明正项目管理有限公司</w:t>
            </w:r>
          </w:p>
        </w:tc>
      </w:tr>
      <w:tr w14:paraId="6AD4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7EBA041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9</w:t>
            </w:r>
          </w:p>
        </w:tc>
        <w:tc>
          <w:tcPr>
            <w:tcW w:w="2447" w:type="dxa"/>
            <w:shd w:val="clear" w:color="auto" w:fill="auto"/>
            <w:vAlign w:val="center"/>
          </w:tcPr>
          <w:p w14:paraId="335E9460">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设计单位</w:t>
            </w:r>
          </w:p>
        </w:tc>
        <w:tc>
          <w:tcPr>
            <w:tcW w:w="7020" w:type="dxa"/>
            <w:shd w:val="clear" w:color="auto" w:fill="auto"/>
            <w:vAlign w:val="center"/>
          </w:tcPr>
          <w:p w14:paraId="49CDB5E2">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都创工程设计有限公司</w:t>
            </w:r>
          </w:p>
        </w:tc>
      </w:tr>
      <w:tr w14:paraId="68BA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3844D270">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10</w:t>
            </w:r>
          </w:p>
        </w:tc>
        <w:tc>
          <w:tcPr>
            <w:tcW w:w="2447" w:type="dxa"/>
            <w:shd w:val="clear" w:color="auto" w:fill="auto"/>
            <w:vAlign w:val="center"/>
          </w:tcPr>
          <w:p w14:paraId="1CC1852F">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造价咨询单位</w:t>
            </w:r>
          </w:p>
        </w:tc>
        <w:tc>
          <w:tcPr>
            <w:tcW w:w="7020" w:type="dxa"/>
            <w:shd w:val="clear" w:color="auto" w:fill="auto"/>
            <w:vAlign w:val="center"/>
          </w:tcPr>
          <w:p w14:paraId="06D44FB9">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□全过程造价咨询  ☑非全过程造价咨询</w:t>
            </w:r>
          </w:p>
        </w:tc>
      </w:tr>
      <w:tr w14:paraId="27B4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FF800B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11</w:t>
            </w:r>
          </w:p>
        </w:tc>
        <w:tc>
          <w:tcPr>
            <w:tcW w:w="2447" w:type="dxa"/>
            <w:shd w:val="clear" w:color="auto" w:fill="auto"/>
            <w:vAlign w:val="center"/>
          </w:tcPr>
          <w:p w14:paraId="3EDCB645">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监理单位</w:t>
            </w:r>
          </w:p>
        </w:tc>
        <w:tc>
          <w:tcPr>
            <w:tcW w:w="7020" w:type="dxa"/>
            <w:shd w:val="clear" w:color="auto" w:fill="auto"/>
            <w:vAlign w:val="center"/>
          </w:tcPr>
          <w:p w14:paraId="3ECA6F11">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rPr>
              <w:t>已确定监理单位</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☑未</w:t>
            </w:r>
            <w:r>
              <w:rPr>
                <w:rFonts w:hint="eastAsia" w:ascii="宋体" w:hAnsi="宋体" w:eastAsia="宋体" w:cs="宋体"/>
                <w:sz w:val="24"/>
                <w:szCs w:val="24"/>
              </w:rPr>
              <w:t>确定监理单位</w:t>
            </w:r>
          </w:p>
        </w:tc>
      </w:tr>
      <w:tr w14:paraId="390E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B1FB57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lang w:eastAsia="zh-CN"/>
              </w:rPr>
              <w:t>1</w:t>
            </w:r>
            <w:r>
              <w:rPr>
                <w:rFonts w:hint="eastAsia" w:ascii="宋体" w:hAnsi="宋体" w:eastAsia="宋体" w:cs="宋体"/>
                <w:sz w:val="24"/>
                <w:szCs w:val="24"/>
              </w:rPr>
              <w:t>2</w:t>
            </w:r>
          </w:p>
        </w:tc>
        <w:tc>
          <w:tcPr>
            <w:tcW w:w="2447" w:type="dxa"/>
            <w:shd w:val="clear" w:color="auto" w:fill="auto"/>
            <w:vAlign w:val="center"/>
          </w:tcPr>
          <w:p w14:paraId="52356A5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建设内容和规模</w:t>
            </w:r>
          </w:p>
        </w:tc>
        <w:tc>
          <w:tcPr>
            <w:tcW w:w="7020" w:type="dxa"/>
            <w:shd w:val="clear" w:color="auto" w:fill="auto"/>
            <w:vAlign w:val="center"/>
          </w:tcPr>
          <w:p w14:paraId="33F48A8B">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硬化江湾镇武洞至乳源跨镇道路约244米现状土渠、新建约2900米混凝土渠，新建一个行人候车休息亭。</w:t>
            </w:r>
          </w:p>
        </w:tc>
      </w:tr>
      <w:tr w14:paraId="62A5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7C2FF3F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13</w:t>
            </w:r>
          </w:p>
        </w:tc>
        <w:tc>
          <w:tcPr>
            <w:tcW w:w="2447" w:type="dxa"/>
            <w:shd w:val="clear" w:color="auto" w:fill="auto"/>
            <w:vAlign w:val="center"/>
          </w:tcPr>
          <w:p w14:paraId="2640CAF1">
            <w:pPr>
              <w:widowControl w:val="0"/>
              <w:spacing w:line="360" w:lineRule="auto"/>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项目总投资</w:t>
            </w:r>
          </w:p>
        </w:tc>
        <w:tc>
          <w:tcPr>
            <w:tcW w:w="7020" w:type="dxa"/>
            <w:shd w:val="clear" w:color="auto" w:fill="auto"/>
            <w:vAlign w:val="center"/>
          </w:tcPr>
          <w:p w14:paraId="05F12A89">
            <w:pPr>
              <w:widowControl w:val="0"/>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项目概算总投资149.92万元，其中工程费用128.96万元，工程建设其他费用13.82万元，预备费用7.14万元。</w:t>
            </w:r>
          </w:p>
        </w:tc>
      </w:tr>
      <w:tr w14:paraId="4469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5183B32">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14</w:t>
            </w:r>
          </w:p>
        </w:tc>
        <w:tc>
          <w:tcPr>
            <w:tcW w:w="2447" w:type="dxa"/>
            <w:shd w:val="clear" w:color="auto" w:fill="auto"/>
            <w:vAlign w:val="top"/>
          </w:tcPr>
          <w:p w14:paraId="4B99760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招标范围</w:t>
            </w:r>
          </w:p>
        </w:tc>
        <w:tc>
          <w:tcPr>
            <w:tcW w:w="7020" w:type="dxa"/>
            <w:shd w:val="clear" w:color="auto" w:fill="auto"/>
            <w:vAlign w:val="top"/>
          </w:tcPr>
          <w:p w14:paraId="55D2EF94">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按审查合格的施工图纸及工程量清单内容施工</w:t>
            </w:r>
            <w:r>
              <w:rPr>
                <w:rFonts w:hint="eastAsia" w:ascii="宋体" w:hAnsi="宋体" w:eastAsia="宋体" w:cs="宋体"/>
                <w:sz w:val="24"/>
                <w:szCs w:val="24"/>
                <w:lang w:eastAsia="zh-CN"/>
              </w:rPr>
              <w:t>。</w:t>
            </w:r>
          </w:p>
        </w:tc>
      </w:tr>
      <w:tr w14:paraId="6D93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2E9C444B">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15</w:t>
            </w:r>
          </w:p>
        </w:tc>
        <w:tc>
          <w:tcPr>
            <w:tcW w:w="2447" w:type="dxa"/>
            <w:shd w:val="clear" w:color="auto" w:fill="auto"/>
            <w:vAlign w:val="center"/>
          </w:tcPr>
          <w:p w14:paraId="5ECF0E2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标段划分</w:t>
            </w:r>
          </w:p>
        </w:tc>
        <w:tc>
          <w:tcPr>
            <w:tcW w:w="7020" w:type="dxa"/>
            <w:shd w:val="clear" w:color="auto" w:fill="auto"/>
            <w:vAlign w:val="center"/>
          </w:tcPr>
          <w:p w14:paraId="334CEEFE">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本招标项目不划分标段。</w:t>
            </w:r>
          </w:p>
        </w:tc>
      </w:tr>
      <w:tr w14:paraId="36A9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509B7E70">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16</w:t>
            </w:r>
          </w:p>
        </w:tc>
        <w:tc>
          <w:tcPr>
            <w:tcW w:w="2447" w:type="dxa"/>
            <w:shd w:val="clear" w:color="auto" w:fill="auto"/>
            <w:vAlign w:val="center"/>
          </w:tcPr>
          <w:p w14:paraId="7F21C96C">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工期</w:t>
            </w:r>
          </w:p>
        </w:tc>
        <w:tc>
          <w:tcPr>
            <w:tcW w:w="7020" w:type="dxa"/>
            <w:shd w:val="clear" w:color="auto" w:fill="auto"/>
            <w:vAlign w:val="top"/>
          </w:tcPr>
          <w:p w14:paraId="5B72EFA7">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本招标项目招标工期为个日历天。具体如下：</w:t>
            </w:r>
          </w:p>
          <w:p w14:paraId="0BE99AF0">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总工期：</w:t>
            </w:r>
            <w:r>
              <w:rPr>
                <w:rFonts w:hint="eastAsia" w:ascii="宋体" w:hAnsi="宋体" w:eastAsia="宋体" w:cs="宋体"/>
                <w:sz w:val="24"/>
                <w:szCs w:val="24"/>
                <w:lang w:val="en-US" w:eastAsia="zh-CN"/>
              </w:rPr>
              <w:t>60天</w:t>
            </w:r>
            <w:r>
              <w:rPr>
                <w:rFonts w:hint="eastAsia" w:ascii="宋体" w:hAnsi="宋体" w:eastAsia="宋体" w:cs="宋体"/>
                <w:sz w:val="24"/>
                <w:szCs w:val="24"/>
              </w:rPr>
              <w:t>（日历天）。</w:t>
            </w:r>
          </w:p>
          <w:p w14:paraId="03B5A72B">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计划开工日期</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日（具体开工日期以合同为准）</w:t>
            </w:r>
          </w:p>
          <w:p w14:paraId="603B74AA">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计划竣工日期：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p w14:paraId="54FEDF04">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□除上述总工期外，发包人还要求以下阶段工期：</w:t>
            </w:r>
          </w:p>
        </w:tc>
      </w:tr>
      <w:tr w14:paraId="1F67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155CB24">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17</w:t>
            </w:r>
          </w:p>
        </w:tc>
        <w:tc>
          <w:tcPr>
            <w:tcW w:w="2447" w:type="dxa"/>
            <w:shd w:val="clear" w:color="auto" w:fill="auto"/>
            <w:vAlign w:val="center"/>
          </w:tcPr>
          <w:p w14:paraId="428AB34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质量标准</w:t>
            </w:r>
          </w:p>
        </w:tc>
        <w:tc>
          <w:tcPr>
            <w:tcW w:w="7020" w:type="dxa"/>
            <w:shd w:val="clear" w:color="auto" w:fill="auto"/>
            <w:vAlign w:val="top"/>
          </w:tcPr>
          <w:p w14:paraId="0EFDB54D">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☑质量目标：合格</w:t>
            </w:r>
          </w:p>
          <w:p w14:paraId="4DF09D02">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☑质量标准：</w:t>
            </w:r>
            <w:r>
              <w:rPr>
                <w:rFonts w:hint="eastAsia" w:ascii="宋体" w:hAnsi="宋体" w:eastAsia="宋体" w:cs="宋体"/>
                <w:color w:val="C00000"/>
                <w:sz w:val="24"/>
                <w:szCs w:val="24"/>
                <w:lang w:val="en-US" w:eastAsia="zh-CN"/>
              </w:rPr>
              <w:t>符合现行国家有关工程施工质量验收规范和标准的要求。</w:t>
            </w:r>
          </w:p>
          <w:p w14:paraId="27731853">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□优质工程要求：无/市优/省优/.....</w:t>
            </w:r>
          </w:p>
          <w:p w14:paraId="0F033577">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工程优质费：☑无     □有：</w:t>
            </w:r>
          </w:p>
        </w:tc>
      </w:tr>
      <w:tr w14:paraId="4266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2BBF24D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18</w:t>
            </w:r>
          </w:p>
        </w:tc>
        <w:tc>
          <w:tcPr>
            <w:tcW w:w="2447" w:type="dxa"/>
            <w:shd w:val="clear" w:color="auto" w:fill="auto"/>
            <w:vAlign w:val="center"/>
          </w:tcPr>
          <w:p w14:paraId="49A3AEE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合同类型</w:t>
            </w:r>
          </w:p>
        </w:tc>
        <w:tc>
          <w:tcPr>
            <w:tcW w:w="7020" w:type="dxa"/>
            <w:shd w:val="clear" w:color="auto" w:fill="auto"/>
            <w:vAlign w:val="top"/>
          </w:tcPr>
          <w:p w14:paraId="3C5B102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单价合同：发承包双方约定以工程量清单及其综合单价进行合同价款计算、调整和确认的建设工程施工合同。</w:t>
            </w:r>
          </w:p>
          <w:p w14:paraId="7EDC46A5">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p w14:paraId="2452E025">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□总价合同：发承包双方约定以施工图及其预算和有关条件进行合同价款计算、调整和确认的建设工程施工合同。</w:t>
            </w:r>
          </w:p>
          <w:p w14:paraId="6CC7D6B3">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4BB3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355AB5E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19</w:t>
            </w:r>
          </w:p>
        </w:tc>
        <w:tc>
          <w:tcPr>
            <w:tcW w:w="2447" w:type="dxa"/>
            <w:shd w:val="clear" w:color="auto" w:fill="auto"/>
            <w:vAlign w:val="top"/>
          </w:tcPr>
          <w:p w14:paraId="1B27397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房屋建筑工程绿色建筑标准</w:t>
            </w:r>
          </w:p>
        </w:tc>
        <w:tc>
          <w:tcPr>
            <w:tcW w:w="7020" w:type="dxa"/>
            <w:shd w:val="clear" w:color="auto" w:fill="auto"/>
            <w:vAlign w:val="center"/>
          </w:tcPr>
          <w:p w14:paraId="11172871">
            <w:pPr>
              <w:widowControl w:val="0"/>
              <w:spacing w:line="360" w:lineRule="auto"/>
              <w:jc w:val="left"/>
              <w:rPr>
                <w:rFonts w:hint="eastAsia" w:ascii="宋体" w:hAnsi="宋体" w:eastAsia="宋体" w:cs="宋体"/>
                <w:sz w:val="24"/>
                <w:szCs w:val="24"/>
                <w:lang w:val="en-US" w:eastAsia="en-US"/>
              </w:rPr>
            </w:pPr>
            <w:r>
              <w:rPr>
                <w:rFonts w:hint="eastAsia" w:ascii="宋体" w:hAnsi="宋体" w:eastAsia="宋体" w:cs="宋体"/>
                <w:sz w:val="24"/>
                <w:szCs w:val="24"/>
              </w:rPr>
              <w:t>本招标项目</w:t>
            </w:r>
            <w:r>
              <w:rPr>
                <w:rFonts w:hint="eastAsia" w:ascii="宋体" w:hAnsi="宋体" w:eastAsia="宋体" w:cs="宋体"/>
                <w:sz w:val="24"/>
                <w:szCs w:val="24"/>
                <w:lang w:eastAsia="zh-CN"/>
              </w:rPr>
              <w:t>不</w:t>
            </w:r>
            <w:r>
              <w:rPr>
                <w:rFonts w:hint="eastAsia" w:ascii="宋体" w:hAnsi="宋体" w:eastAsia="宋体" w:cs="宋体"/>
                <w:sz w:val="24"/>
                <w:szCs w:val="24"/>
              </w:rPr>
              <w:t>纳入绿色建设实施范围</w:t>
            </w:r>
            <w:r>
              <w:rPr>
                <w:rFonts w:hint="eastAsia" w:ascii="宋体" w:hAnsi="宋体" w:eastAsia="宋体" w:cs="宋体"/>
                <w:sz w:val="24"/>
                <w:szCs w:val="24"/>
                <w:lang w:eastAsia="zh-CN"/>
              </w:rPr>
              <w:t>。</w:t>
            </w:r>
          </w:p>
        </w:tc>
      </w:tr>
      <w:tr w14:paraId="669B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33" w:type="dxa"/>
            <w:shd w:val="clear" w:color="auto" w:fill="auto"/>
            <w:vAlign w:val="center"/>
          </w:tcPr>
          <w:p w14:paraId="64E1189C">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19.1</w:t>
            </w:r>
          </w:p>
        </w:tc>
        <w:tc>
          <w:tcPr>
            <w:tcW w:w="2447" w:type="dxa"/>
            <w:shd w:val="clear" w:color="auto" w:fill="auto"/>
            <w:vAlign w:val="center"/>
          </w:tcPr>
          <w:p w14:paraId="309D3E2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装配式建筑标准</w:t>
            </w:r>
          </w:p>
        </w:tc>
        <w:tc>
          <w:tcPr>
            <w:tcW w:w="7020" w:type="dxa"/>
            <w:shd w:val="clear" w:color="auto" w:fill="auto"/>
            <w:vAlign w:val="center"/>
          </w:tcPr>
          <w:p w14:paraId="77AC63B3">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本招标项目</w:t>
            </w:r>
            <w:r>
              <w:rPr>
                <w:rFonts w:hint="eastAsia" w:ascii="宋体" w:hAnsi="宋体" w:eastAsia="宋体" w:cs="宋体"/>
                <w:sz w:val="24"/>
                <w:szCs w:val="24"/>
                <w:lang w:eastAsia="zh-CN"/>
              </w:rPr>
              <w:t>不</w:t>
            </w:r>
            <w:r>
              <w:rPr>
                <w:rFonts w:hint="eastAsia" w:ascii="宋体" w:hAnsi="宋体" w:eastAsia="宋体" w:cs="宋体"/>
                <w:sz w:val="24"/>
                <w:szCs w:val="24"/>
              </w:rPr>
              <w:t>纳入装配式建造建设实施范围</w:t>
            </w:r>
            <w:r>
              <w:rPr>
                <w:rFonts w:hint="eastAsia" w:ascii="宋体" w:hAnsi="宋体" w:eastAsia="宋体" w:cs="宋体"/>
                <w:sz w:val="24"/>
                <w:szCs w:val="24"/>
                <w:lang w:eastAsia="zh-CN"/>
              </w:rPr>
              <w:t>。</w:t>
            </w:r>
          </w:p>
        </w:tc>
      </w:tr>
      <w:tr w14:paraId="036D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0E3E83E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20</w:t>
            </w:r>
          </w:p>
        </w:tc>
        <w:tc>
          <w:tcPr>
            <w:tcW w:w="2447" w:type="dxa"/>
            <w:shd w:val="clear" w:color="auto" w:fill="auto"/>
            <w:vAlign w:val="center"/>
          </w:tcPr>
          <w:p w14:paraId="51326562">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发包人提供材料和工程设备</w:t>
            </w:r>
          </w:p>
        </w:tc>
        <w:tc>
          <w:tcPr>
            <w:tcW w:w="7020" w:type="dxa"/>
            <w:shd w:val="clear" w:color="auto" w:fill="auto"/>
            <w:vAlign w:val="center"/>
          </w:tcPr>
          <w:p w14:paraId="0E9A7FE9">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 xml:space="preserve">发包人提供材料和工程设备： </w:t>
            </w:r>
            <w:r>
              <w:rPr>
                <w:rFonts w:hint="eastAsia" w:ascii="宋体" w:hAnsi="宋体" w:eastAsia="宋体" w:cs="宋体"/>
                <w:sz w:val="24"/>
                <w:szCs w:val="24"/>
                <w:lang w:eastAsia="zh-CN"/>
              </w:rPr>
              <w:t>☑</w:t>
            </w:r>
            <w:r>
              <w:rPr>
                <w:rFonts w:hint="eastAsia" w:ascii="宋体" w:hAnsi="宋体" w:eastAsia="宋体" w:cs="宋体"/>
                <w:sz w:val="24"/>
                <w:szCs w:val="24"/>
              </w:rPr>
              <w:t xml:space="preserve">无     □有：  </w:t>
            </w:r>
            <w:r>
              <w:rPr>
                <w:rFonts w:hint="eastAsia" w:ascii="宋体" w:hAnsi="宋体" w:eastAsia="宋体" w:cs="宋体"/>
                <w:sz w:val="24"/>
                <w:szCs w:val="24"/>
                <w:lang w:val="en-US" w:eastAsia="zh-CN"/>
              </w:rPr>
              <w:t xml:space="preserve">  /  </w:t>
            </w:r>
            <w:r>
              <w:rPr>
                <w:rFonts w:hint="eastAsia" w:ascii="宋体" w:hAnsi="宋体" w:eastAsia="宋体" w:cs="宋体"/>
                <w:sz w:val="24"/>
                <w:szCs w:val="24"/>
              </w:rPr>
              <w:t xml:space="preserve">   </w:t>
            </w:r>
          </w:p>
        </w:tc>
      </w:tr>
      <w:tr w14:paraId="0AEF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59886C5F">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21</w:t>
            </w:r>
          </w:p>
        </w:tc>
        <w:tc>
          <w:tcPr>
            <w:tcW w:w="2447" w:type="dxa"/>
            <w:shd w:val="clear" w:color="auto" w:fill="auto"/>
            <w:vAlign w:val="center"/>
          </w:tcPr>
          <w:p w14:paraId="6F7E02A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承包人提供材料和工程设备</w:t>
            </w:r>
          </w:p>
        </w:tc>
        <w:tc>
          <w:tcPr>
            <w:tcW w:w="7020" w:type="dxa"/>
            <w:shd w:val="clear" w:color="auto" w:fill="auto"/>
            <w:vAlign w:val="top"/>
          </w:tcPr>
          <w:p w14:paraId="57BC61FA">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16E2CD86">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□其它说明：鼓励承包人积极采购环保产品进行施工。</w:t>
            </w:r>
          </w:p>
        </w:tc>
      </w:tr>
      <w:tr w14:paraId="1B6F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trPr>
        <w:tc>
          <w:tcPr>
            <w:tcW w:w="733" w:type="dxa"/>
            <w:shd w:val="clear" w:color="auto" w:fill="auto"/>
            <w:vAlign w:val="center"/>
          </w:tcPr>
          <w:p w14:paraId="55F0A89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22</w:t>
            </w:r>
          </w:p>
        </w:tc>
        <w:tc>
          <w:tcPr>
            <w:tcW w:w="2447" w:type="dxa"/>
            <w:shd w:val="clear" w:color="auto" w:fill="auto"/>
            <w:vAlign w:val="center"/>
          </w:tcPr>
          <w:p w14:paraId="0040D2F1">
            <w:pPr>
              <w:widowControl w:val="0"/>
              <w:spacing w:line="360" w:lineRule="auto"/>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lang w:val="en-US" w:eastAsia="zh-CN"/>
              </w:rPr>
              <w:t>最高投标限价</w:t>
            </w:r>
          </w:p>
        </w:tc>
        <w:tc>
          <w:tcPr>
            <w:tcW w:w="7020" w:type="dxa"/>
            <w:shd w:val="clear" w:color="auto" w:fill="auto"/>
            <w:vAlign w:val="center"/>
          </w:tcPr>
          <w:p w14:paraId="12F4D4DA">
            <w:pPr>
              <w:widowControl w:val="0"/>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本招标项目最高投标限价、工程量清单、施工图最终以补充公告形式在开标前15天另行发布于相关网站，各投标人可在全国公共资源交易平台（广东省·韶关市）（https://ygp.gdzwfw.gov.cn/ggzy-portal/#/440200/index）自行下载。</w:t>
            </w:r>
          </w:p>
        </w:tc>
      </w:tr>
      <w:tr w14:paraId="52F0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329D38D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23</w:t>
            </w:r>
          </w:p>
        </w:tc>
        <w:tc>
          <w:tcPr>
            <w:tcW w:w="2447" w:type="dxa"/>
            <w:shd w:val="clear" w:color="auto" w:fill="auto"/>
            <w:vAlign w:val="center"/>
          </w:tcPr>
          <w:p w14:paraId="527E680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投标人的投标报价</w:t>
            </w:r>
          </w:p>
        </w:tc>
        <w:tc>
          <w:tcPr>
            <w:tcW w:w="7020" w:type="dxa"/>
            <w:shd w:val="clear" w:color="auto" w:fill="auto"/>
            <w:vAlign w:val="center"/>
          </w:tcPr>
          <w:p w14:paraId="16167333">
            <w:pPr>
              <w:widowControl w:val="0"/>
              <w:spacing w:before="117" w:line="360" w:lineRule="auto"/>
              <w:ind w:right="4" w:firstLine="238" w:firstLineChars="100"/>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投标人投标时响应招标文件要求所报出的对已标价工程量清单</w:t>
            </w:r>
            <w:r>
              <w:rPr>
                <w:rFonts w:hint="eastAsia" w:ascii="宋体" w:hAnsi="宋体" w:eastAsia="宋体" w:cs="宋体"/>
                <w:color w:val="auto"/>
                <w:sz w:val="24"/>
                <w:szCs w:val="24"/>
                <w:highlight w:val="none"/>
              </w:rPr>
              <w:t>汇总后标明的总价。投标人在投标报价填写</w:t>
            </w:r>
            <w:r>
              <w:rPr>
                <w:rFonts w:hint="eastAsia" w:ascii="宋体" w:hAnsi="宋体" w:eastAsia="宋体" w:cs="宋体"/>
                <w:color w:val="auto"/>
                <w:spacing w:val="-1"/>
                <w:sz w:val="24"/>
                <w:szCs w:val="24"/>
                <w:highlight w:val="none"/>
              </w:rPr>
              <w:t>的工程量清单的项目编</w:t>
            </w:r>
            <w:r>
              <w:rPr>
                <w:rFonts w:hint="eastAsia" w:ascii="宋体" w:hAnsi="宋体" w:eastAsia="宋体" w:cs="宋体"/>
                <w:color w:val="auto"/>
                <w:spacing w:val="-3"/>
                <w:sz w:val="24"/>
                <w:szCs w:val="24"/>
                <w:highlight w:val="none"/>
              </w:rPr>
              <w:t>码、项目名称、项目特征、计量单位、工程数量必须与招标人招标文</w:t>
            </w:r>
            <w:r>
              <w:rPr>
                <w:rFonts w:hint="eastAsia" w:ascii="宋体" w:hAnsi="宋体" w:eastAsia="宋体" w:cs="宋体"/>
                <w:color w:val="auto"/>
                <w:sz w:val="24"/>
                <w:szCs w:val="24"/>
                <w:highlight w:val="none"/>
              </w:rPr>
              <w:t>件中提供的一致，投标价不能低于工程成本</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3"/>
                <w:sz w:val="24"/>
                <w:szCs w:val="24"/>
                <w:highlight w:val="none"/>
              </w:rPr>
              <w:t>高于最高投标限价。</w:t>
            </w:r>
          </w:p>
          <w:p w14:paraId="57CB68D4">
            <w:pPr>
              <w:keepNext w:val="0"/>
              <w:keepLines w:val="0"/>
              <w:pageBreakBefore w:val="0"/>
              <w:widowControl/>
              <w:kinsoku/>
              <w:wordWrap/>
              <w:overflowPunct/>
              <w:topLinePunct w:val="0"/>
              <w:autoSpaceDE/>
              <w:autoSpaceDN/>
              <w:bidi w:val="0"/>
              <w:snapToGrid w:val="0"/>
              <w:spacing w:line="360" w:lineRule="auto"/>
              <w:ind w:firstLine="236" w:firstLineChars="100"/>
              <w:jc w:val="both"/>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rPr>
              <w:t>投标报价方式：</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工程量清单报</w:t>
            </w:r>
            <w:r>
              <w:rPr>
                <w:rFonts w:hint="eastAsia" w:ascii="宋体" w:hAnsi="宋体" w:eastAsia="宋体" w:cs="宋体"/>
                <w:color w:val="auto"/>
                <w:spacing w:val="-2"/>
                <w:sz w:val="24"/>
                <w:szCs w:val="24"/>
                <w:highlight w:val="none"/>
                <w:lang w:val="en-US" w:eastAsia="zh-CN"/>
              </w:rPr>
              <w:t>价</w:t>
            </w:r>
          </w:p>
          <w:p w14:paraId="6921948C">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color w:val="auto"/>
                <w:spacing w:val="-4"/>
                <w:sz w:val="24"/>
                <w:szCs w:val="24"/>
                <w:highlight w:val="none"/>
                <w:lang w:val="en-US" w:eastAsia="zh-CN"/>
              </w:rPr>
              <w:t>投标报价时，应按《广东省建设工程计价依据（2018）》规定的费率报价，若招标工程量清单明确说明不计算预算包干费或另外确定预算包干费费率的，则按招标工程量清单报价。</w:t>
            </w:r>
          </w:p>
        </w:tc>
      </w:tr>
      <w:tr w14:paraId="2068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B7A0E0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24</w:t>
            </w:r>
          </w:p>
        </w:tc>
        <w:tc>
          <w:tcPr>
            <w:tcW w:w="2447" w:type="dxa"/>
            <w:shd w:val="clear" w:color="auto" w:fill="auto"/>
            <w:vAlign w:val="center"/>
          </w:tcPr>
          <w:p w14:paraId="03F6EBCF">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投标报价风险</w:t>
            </w:r>
          </w:p>
        </w:tc>
        <w:tc>
          <w:tcPr>
            <w:tcW w:w="7020" w:type="dxa"/>
            <w:shd w:val="clear" w:color="auto" w:fill="auto"/>
            <w:vAlign w:val="center"/>
          </w:tcPr>
          <w:p w14:paraId="7B7150DB">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投标人依据招标文件约定自行考虑风险因素，一旦中标，投标报价（合同价）除合同另有约定外将不因市场变化而调整。</w:t>
            </w:r>
          </w:p>
          <w:p w14:paraId="0F92DFF4">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投标报价中应包括工程量清单项目所发生的人工费、材料费、机具费、管理费、利润、措施项目费、其它项目费、税金、暂列金额、暂估价以及所有风险、责任等各项费用。</w:t>
            </w:r>
          </w:p>
          <w:p w14:paraId="13528EC9">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人工费、材料费、机具费、管理费、利润、措施项目费（不含绿色施工安全防护措施费）投标人漏报或不报，招标人视为有关费用已包括在工程量清单项目的其它单价及合价中不予另外增加。</w:t>
            </w:r>
          </w:p>
          <w:p w14:paraId="4DB36620">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措施项目中的绿色施工安全防护措施费，必须按国家、省级、市级（即工程所在地）行业建设主管部门的规定计算，不得作为竞争性费用。</w:t>
            </w:r>
          </w:p>
          <w:p w14:paraId="3EE6FF84">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投标人应按照招标文件提供的工程量清单逐项填写单价和合价，投标人未填写的项目，招标人将视为此项费用已包括在工程量清单项目的其它单价及合价中不予另外增加。</w:t>
            </w:r>
          </w:p>
          <w:p w14:paraId="6DDEAE0E">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402BD009">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招标人向投标人提供的有关施工现场资料及数据，是招标人现有的能使投标人利用的资料，招标人对投标人据此作出的推论及理解概不负责。</w:t>
            </w:r>
          </w:p>
          <w:p w14:paraId="7CCE3335">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投标人应依据招标人提供的所有资料和自己对现场查勘来编 制投标文件，并对招标人提供的所有资料的理解、推断和应用负责。在投标人提交其投标文件之前，视为已经考虑了现场及其周围环境的影响，中标后</w:t>
            </w:r>
            <w:r>
              <w:rPr>
                <w:rFonts w:hint="eastAsia" w:ascii="宋体" w:hAnsi="宋体" w:eastAsia="宋体" w:cs="宋体"/>
                <w:sz w:val="24"/>
                <w:szCs w:val="24"/>
                <w:lang w:eastAsia="zh-CN"/>
              </w:rPr>
              <w:t>，</w:t>
            </w:r>
            <w:r>
              <w:rPr>
                <w:rFonts w:hint="eastAsia" w:ascii="宋体" w:hAnsi="宋体" w:eastAsia="宋体" w:cs="宋体"/>
                <w:sz w:val="24"/>
                <w:szCs w:val="24"/>
              </w:rPr>
              <w:t>不得以不完全了解现场情况为理由提出追加款项或者延长工期等索赔的要求。</w:t>
            </w:r>
          </w:p>
          <w:p w14:paraId="45FEF91A">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eastAsia="zh-CN"/>
              </w:rPr>
              <w:t>☑</w:t>
            </w:r>
            <w:r>
              <w:rPr>
                <w:rFonts w:hint="eastAsia" w:ascii="宋体" w:hAnsi="宋体" w:eastAsia="宋体" w:cs="宋体"/>
                <w:sz w:val="24"/>
                <w:szCs w:val="24"/>
              </w:rPr>
              <w:t>错漏项的认定。中标人已标价工程量清单中，任一清单项目未填报价格或价格为零的，招标人将视为此项费用已包括在工程量清单项目的其它单价及合价中不予另外增加。</w:t>
            </w:r>
          </w:p>
        </w:tc>
      </w:tr>
      <w:tr w14:paraId="709F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5C233C0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25</w:t>
            </w:r>
          </w:p>
        </w:tc>
        <w:tc>
          <w:tcPr>
            <w:tcW w:w="2447" w:type="dxa"/>
            <w:shd w:val="clear" w:color="auto" w:fill="auto"/>
            <w:vAlign w:val="top"/>
          </w:tcPr>
          <w:p w14:paraId="2D1B82A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投标费用</w:t>
            </w:r>
          </w:p>
        </w:tc>
        <w:tc>
          <w:tcPr>
            <w:tcW w:w="7020" w:type="dxa"/>
            <w:shd w:val="clear" w:color="auto" w:fill="auto"/>
            <w:vAlign w:val="top"/>
          </w:tcPr>
          <w:p w14:paraId="7CDA7483">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投标人自行承担编制与递交投标文件的一切费用。</w:t>
            </w:r>
          </w:p>
        </w:tc>
      </w:tr>
      <w:tr w14:paraId="58AF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71CB935B">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26</w:t>
            </w:r>
          </w:p>
        </w:tc>
        <w:tc>
          <w:tcPr>
            <w:tcW w:w="2447" w:type="dxa"/>
            <w:shd w:val="clear" w:color="auto" w:fill="auto"/>
            <w:vAlign w:val="center"/>
          </w:tcPr>
          <w:p w14:paraId="149F19F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投标人资格要求</w:t>
            </w:r>
          </w:p>
        </w:tc>
        <w:tc>
          <w:tcPr>
            <w:tcW w:w="7020" w:type="dxa"/>
            <w:shd w:val="clear" w:color="auto" w:fill="auto"/>
            <w:vAlign w:val="center"/>
          </w:tcPr>
          <w:p w14:paraId="6F4A32E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1.本工程不接受联合体投标。</w:t>
            </w:r>
          </w:p>
          <w:p w14:paraId="4510D3D3">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资质要求</w:t>
            </w:r>
          </w:p>
          <w:p w14:paraId="2B169A4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2.1投标人须具备独立法人资格，按国家法律经营。</w:t>
            </w:r>
          </w:p>
          <w:p w14:paraId="77FFCE20">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2.2投标人须持有建设行政主管部门颁发的企业资质证书及安全生产许可证。</w:t>
            </w:r>
          </w:p>
          <w:p w14:paraId="4BED6B5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2.3投标人须具备以下资质：</w:t>
            </w:r>
            <w:r>
              <w:rPr>
                <w:rFonts w:hint="eastAsia" w:ascii="宋体" w:hAnsi="宋体" w:eastAsia="宋体" w:cs="宋体"/>
                <w:color w:val="C00000"/>
                <w:sz w:val="24"/>
                <w:szCs w:val="24"/>
                <w:u w:val="single"/>
              </w:rPr>
              <w:t>公路工程施工总承包叁级以上（含叁级）资质</w:t>
            </w:r>
            <w:r>
              <w:rPr>
                <w:rFonts w:hint="eastAsia" w:ascii="宋体" w:hAnsi="宋体" w:eastAsia="宋体" w:cs="宋体"/>
                <w:color w:val="C00000"/>
                <w:sz w:val="24"/>
                <w:szCs w:val="24"/>
                <w:lang w:eastAsia="zh-CN"/>
              </w:rPr>
              <w:t>或</w:t>
            </w:r>
            <w:r>
              <w:rPr>
                <w:rFonts w:hint="eastAsia" w:ascii="宋体" w:hAnsi="宋体" w:eastAsia="宋体" w:cs="宋体"/>
                <w:sz w:val="24"/>
                <w:szCs w:val="24"/>
                <w:u w:val="single"/>
              </w:rPr>
              <w:t>市政公用工程施工总承包叁级以上（含叁级）资质</w:t>
            </w:r>
            <w:r>
              <w:rPr>
                <w:rFonts w:hint="eastAsia" w:ascii="宋体" w:hAnsi="宋体" w:eastAsia="宋体" w:cs="宋体"/>
                <w:sz w:val="24"/>
                <w:szCs w:val="24"/>
              </w:rPr>
              <w:t>。</w:t>
            </w:r>
          </w:p>
          <w:p w14:paraId="693E6215">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相关人员要求</w:t>
            </w:r>
          </w:p>
          <w:p w14:paraId="1719950E">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3.1拟派项目经理为</w:t>
            </w:r>
            <w:r>
              <w:rPr>
                <w:rFonts w:hint="eastAsia" w:ascii="宋体" w:hAnsi="宋体" w:eastAsia="宋体" w:cs="宋体"/>
                <w:color w:val="C00000"/>
                <w:sz w:val="24"/>
                <w:szCs w:val="24"/>
                <w:u w:val="single"/>
                <w:lang w:eastAsia="zh-CN"/>
              </w:rPr>
              <w:t>公路工程</w:t>
            </w:r>
            <w:r>
              <w:rPr>
                <w:rFonts w:hint="eastAsia" w:ascii="宋体" w:hAnsi="宋体" w:eastAsia="宋体" w:cs="宋体"/>
                <w:color w:val="C00000"/>
                <w:sz w:val="24"/>
                <w:szCs w:val="24"/>
                <w:u w:val="single"/>
              </w:rPr>
              <w:t>专业一级或二级注册建造师</w:t>
            </w:r>
            <w:r>
              <w:rPr>
                <w:rFonts w:hint="eastAsia" w:ascii="宋体" w:hAnsi="宋体" w:eastAsia="宋体" w:cs="宋体"/>
                <w:color w:val="C00000"/>
                <w:sz w:val="24"/>
                <w:szCs w:val="24"/>
                <w:lang w:val="en-US" w:eastAsia="zh-CN"/>
              </w:rPr>
              <w:t>或</w:t>
            </w:r>
            <w:r>
              <w:rPr>
                <w:rFonts w:hint="eastAsia" w:ascii="宋体" w:hAnsi="宋体" w:eastAsia="宋体" w:cs="宋体"/>
                <w:sz w:val="24"/>
                <w:szCs w:val="24"/>
                <w:u w:val="single"/>
              </w:rPr>
              <w:t>市政公用工程专业一级或二级注册建造师</w:t>
            </w:r>
            <w:r>
              <w:rPr>
                <w:rFonts w:hint="eastAsia" w:ascii="宋体" w:hAnsi="宋体" w:eastAsia="宋体" w:cs="宋体"/>
                <w:sz w:val="24"/>
                <w:szCs w:val="24"/>
              </w:rPr>
              <w:t>，应持有住建部门印发的在使用有效期内的有效电子注册证书（根据广东省住房和城乡建设厅（粤建市函〔2023〕469 号）文件精神，二级注册建造师可随注册企业在全国范围内执业）。同时均须具备有效安全生产考核合格证明（B证），且未担任其他在施（包括已中标未开工、已开工未竣工）建设工程项目的项目经理。</w:t>
            </w:r>
          </w:p>
          <w:p w14:paraId="2D5CF81B">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3.2</w:t>
            </w:r>
            <w:r>
              <w:rPr>
                <w:rFonts w:hint="eastAsia" w:ascii="宋体" w:hAnsi="宋体" w:eastAsia="宋体" w:cs="宋体"/>
                <w:sz w:val="24"/>
                <w:szCs w:val="24"/>
                <w:lang w:eastAsia="zh-CN"/>
              </w:rPr>
              <w:t>拟派项目技术负责人须具备中级或以上技术职称</w:t>
            </w:r>
            <w:r>
              <w:rPr>
                <w:rFonts w:hint="eastAsia" w:ascii="宋体" w:hAnsi="宋体" w:eastAsia="宋体" w:cs="宋体"/>
                <w:sz w:val="24"/>
                <w:szCs w:val="24"/>
              </w:rPr>
              <w:t>。</w:t>
            </w:r>
          </w:p>
          <w:p w14:paraId="6ADA233A">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3.3投标人拟派专职安全生产管理人员须具备有效安全生产考核合格证明（C证，安全生产考核合格证书或“广东省建筑施工企业管理人员安全生产考核系统”考核合格信息打印页），且不少于1人。</w:t>
            </w:r>
          </w:p>
          <w:p w14:paraId="4D98773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3.4投标人与其拟派往本项目管理机构的所有人员之间必须具备合法、唯一的劳动聘用关系。拟派人员中具备注册执业资格的，其注册单位须与投标人保持一致。</w:t>
            </w:r>
          </w:p>
          <w:p w14:paraId="76FD9CE0">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禁止投标条款：</w:t>
            </w:r>
          </w:p>
          <w:p w14:paraId="46BB98F3">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4.1投标人不得存在下列情形之一：</w:t>
            </w:r>
          </w:p>
          <w:p w14:paraId="4D3F0792">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（1）为招标人不具有独立法人资格的附属机构（单位）；</w:t>
            </w:r>
          </w:p>
          <w:p w14:paraId="080C983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（2）为本招标项目前期准备提供设计或咨询服务的；</w:t>
            </w:r>
          </w:p>
          <w:p w14:paraId="65CE113E">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（3）与本招标项目的其他投标人为同一个单位负责人；</w:t>
            </w:r>
          </w:p>
          <w:p w14:paraId="0D422CE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（4）与本招标项目的其他投标人存在控股、管理关系；</w:t>
            </w:r>
          </w:p>
          <w:p w14:paraId="78B892B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（5）为本招标项目的监理人；</w:t>
            </w:r>
          </w:p>
          <w:p w14:paraId="00FB8884">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（6）为本招标项目的代建人；</w:t>
            </w:r>
          </w:p>
          <w:p w14:paraId="411AE4A6">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（7）为本招标项目的招标代理机构；</w:t>
            </w:r>
          </w:p>
          <w:p w14:paraId="71B88002">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（8）与本招标项目的监理人或代建人或招标代理机构同为一个法定代表人；</w:t>
            </w:r>
          </w:p>
          <w:p w14:paraId="63E618F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（9）与本招标项目的监理人或代建人或招标代理机构存在控股或参股关系；</w:t>
            </w:r>
          </w:p>
          <w:p w14:paraId="0758463A">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（10）与本招标项目的监理人或代建人或招标代理机构存在相互任职或工作关系；</w:t>
            </w:r>
          </w:p>
          <w:p w14:paraId="6520524D">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（11）被依法暂停或者取消投标资格；</w:t>
            </w:r>
          </w:p>
          <w:p w14:paraId="028733A3">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（12）被责令停产停业、暂扣或者吊销许可证、暂扣或者吊销执照；</w:t>
            </w:r>
          </w:p>
          <w:p w14:paraId="088AE537">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（13）进入清算程序，或被宣告破产，或其他丧失履约能力的情形；</w:t>
            </w:r>
          </w:p>
          <w:p w14:paraId="0563E14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（14）在最近三年内发生重大工程质量或安全问题（以相关行业主管部门的行政处罚决定或司法机关出具的有关法律文书为准）；</w:t>
            </w:r>
          </w:p>
          <w:p w14:paraId="68C26554">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（15）被“信用中国 ”网站（https://www.creditchina.gov.cn）发布的《法人和非法人组织公共信用信息报告》列为严重失信主体名单的。</w:t>
            </w:r>
          </w:p>
          <w:p w14:paraId="13EF03FB">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4.2招标人拒绝以下名单中的单位参加本次投标：</w:t>
            </w:r>
          </w:p>
          <w:tbl>
            <w:tblPr>
              <w:tblStyle w:val="24"/>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3367"/>
              <w:gridCol w:w="2581"/>
            </w:tblGrid>
            <w:tr w14:paraId="146E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6" w:type="dxa"/>
                  <w:noWrap w:val="0"/>
                  <w:vAlign w:val="center"/>
                </w:tcPr>
                <w:p w14:paraId="4BB06581">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3367" w:type="dxa"/>
                  <w:noWrap w:val="0"/>
                  <w:vAlign w:val="center"/>
                </w:tcPr>
                <w:p w14:paraId="7E5B0103">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单位名称</w:t>
                  </w:r>
                </w:p>
              </w:tc>
              <w:tc>
                <w:tcPr>
                  <w:tcW w:w="2581" w:type="dxa"/>
                  <w:noWrap w:val="0"/>
                  <w:vAlign w:val="center"/>
                </w:tcPr>
                <w:p w14:paraId="7DDD6B2B">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拒绝原因</w:t>
                  </w:r>
                </w:p>
              </w:tc>
            </w:tr>
            <w:tr w14:paraId="4CAA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16" w:type="dxa"/>
                  <w:noWrap w:val="0"/>
                  <w:vAlign w:val="center"/>
                </w:tcPr>
                <w:p w14:paraId="6344DF3A">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3367" w:type="dxa"/>
                  <w:noWrap w:val="0"/>
                  <w:vAlign w:val="center"/>
                </w:tcPr>
                <w:p w14:paraId="4AA45830">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韶关市武江区江湾镇人民政府</w:t>
                  </w:r>
                </w:p>
              </w:tc>
              <w:tc>
                <w:tcPr>
                  <w:tcW w:w="2581" w:type="dxa"/>
                  <w:noWrap w:val="0"/>
                  <w:vAlign w:val="center"/>
                </w:tcPr>
                <w:p w14:paraId="3B7C97B4">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en-US"/>
                    </w:rPr>
                    <w:t>为本招标项目的业主</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en-US"/>
                    </w:rPr>
                    <w:t>招标人</w:t>
                  </w:r>
                </w:p>
              </w:tc>
            </w:tr>
            <w:tr w14:paraId="5BD9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716" w:type="dxa"/>
                  <w:noWrap w:val="0"/>
                  <w:vAlign w:val="center"/>
                </w:tcPr>
                <w:p w14:paraId="3AC364B1">
                  <w:pPr>
                    <w:spacing w:line="24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3367" w:type="dxa"/>
                  <w:shd w:val="clear" w:color="auto" w:fill="auto"/>
                  <w:noWrap w:val="0"/>
                  <w:vAlign w:val="center"/>
                </w:tcPr>
                <w:p w14:paraId="3AA962D6">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广东明正项目管理有限公司</w:t>
                  </w:r>
                </w:p>
              </w:tc>
              <w:tc>
                <w:tcPr>
                  <w:tcW w:w="2581" w:type="dxa"/>
                  <w:shd w:val="clear" w:color="auto" w:fill="auto"/>
                  <w:noWrap w:val="0"/>
                  <w:vAlign w:val="center"/>
                </w:tcPr>
                <w:p w14:paraId="64DEBD20">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为本招标项目的招标代理机构</w:t>
                  </w:r>
                </w:p>
              </w:tc>
            </w:tr>
            <w:tr w14:paraId="34F4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16" w:type="dxa"/>
                  <w:noWrap w:val="0"/>
                  <w:vAlign w:val="center"/>
                </w:tcPr>
                <w:p w14:paraId="101F92F6">
                  <w:pPr>
                    <w:spacing w:line="24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3367" w:type="dxa"/>
                  <w:shd w:val="clear" w:color="auto" w:fill="auto"/>
                  <w:noWrap w:val="0"/>
                  <w:vAlign w:val="center"/>
                </w:tcPr>
                <w:p w14:paraId="17D2AB23">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广东省华源建设项目管理有限公司</w:t>
                  </w:r>
                </w:p>
              </w:tc>
              <w:tc>
                <w:tcPr>
                  <w:tcW w:w="2581" w:type="dxa"/>
                  <w:shd w:val="clear" w:color="auto" w:fill="auto"/>
                  <w:noWrap w:val="0"/>
                  <w:vAlign w:val="center"/>
                </w:tcPr>
                <w:p w14:paraId="059548B1">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为本招标项目的可研编制单位</w:t>
                  </w:r>
                </w:p>
              </w:tc>
            </w:tr>
            <w:tr w14:paraId="6C25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16" w:type="dxa"/>
                  <w:noWrap w:val="0"/>
                  <w:vAlign w:val="center"/>
                </w:tcPr>
                <w:p w14:paraId="2A04E636">
                  <w:pPr>
                    <w:spacing w:line="24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3367" w:type="dxa"/>
                  <w:shd w:val="clear" w:color="auto" w:fill="auto"/>
                  <w:noWrap w:val="0"/>
                  <w:vAlign w:val="center"/>
                </w:tcPr>
                <w:p w14:paraId="58C5707C">
                  <w:pPr>
                    <w:spacing w:line="24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海通国际设计有限公司</w:t>
                  </w:r>
                </w:p>
              </w:tc>
              <w:tc>
                <w:tcPr>
                  <w:tcW w:w="2581" w:type="dxa"/>
                  <w:shd w:val="clear" w:color="auto" w:fill="auto"/>
                  <w:noWrap w:val="0"/>
                  <w:vAlign w:val="center"/>
                </w:tcPr>
                <w:p w14:paraId="3F40428E">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w:t>
                  </w:r>
                  <w:r>
                    <w:rPr>
                      <w:rFonts w:hint="eastAsia" w:ascii="宋体" w:hAnsi="宋体" w:eastAsia="宋体" w:cs="宋体"/>
                      <w:sz w:val="24"/>
                      <w:szCs w:val="24"/>
                      <w:lang w:val="en-US" w:eastAsia="zh-CN"/>
                    </w:rPr>
                    <w:t>工程造价</w:t>
                  </w:r>
                  <w:r>
                    <w:rPr>
                      <w:rFonts w:hint="eastAsia" w:ascii="宋体" w:hAnsi="宋体" w:eastAsia="宋体" w:cs="宋体"/>
                      <w:sz w:val="24"/>
                      <w:szCs w:val="24"/>
                      <w:lang w:val="en-US" w:eastAsia="en-US"/>
                    </w:rPr>
                    <w:t>单位</w:t>
                  </w:r>
                </w:p>
              </w:tc>
            </w:tr>
            <w:tr w14:paraId="2C5F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16" w:type="dxa"/>
                  <w:noWrap w:val="0"/>
                  <w:vAlign w:val="center"/>
                </w:tcPr>
                <w:p w14:paraId="7A22C078">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3367" w:type="dxa"/>
                  <w:shd w:val="clear" w:color="auto" w:fill="auto"/>
                  <w:noWrap w:val="0"/>
                  <w:vAlign w:val="center"/>
                </w:tcPr>
                <w:p w14:paraId="7FB2D2E1">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都创工程设计有限公司</w:t>
                  </w:r>
                </w:p>
              </w:tc>
              <w:tc>
                <w:tcPr>
                  <w:tcW w:w="2581" w:type="dxa"/>
                  <w:shd w:val="clear" w:color="auto" w:fill="auto"/>
                  <w:noWrap w:val="0"/>
                  <w:vAlign w:val="center"/>
                </w:tcPr>
                <w:p w14:paraId="1843D1EA">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en-US"/>
                    </w:rPr>
                    <w:t>为本招标项目的</w:t>
                  </w:r>
                  <w:r>
                    <w:rPr>
                      <w:rFonts w:hint="eastAsia" w:ascii="宋体" w:hAnsi="宋体" w:eastAsia="宋体" w:cs="宋体"/>
                      <w:sz w:val="24"/>
                      <w:szCs w:val="24"/>
                      <w:lang w:val="en-US" w:eastAsia="zh-CN"/>
                    </w:rPr>
                    <w:t>设计单位</w:t>
                  </w:r>
                </w:p>
              </w:tc>
            </w:tr>
          </w:tbl>
          <w:p w14:paraId="3ECF3282">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其他要求</w:t>
            </w:r>
          </w:p>
          <w:p w14:paraId="03177DF6">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5450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0599E045">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27</w:t>
            </w:r>
          </w:p>
        </w:tc>
        <w:tc>
          <w:tcPr>
            <w:tcW w:w="2447" w:type="dxa"/>
            <w:shd w:val="clear" w:color="auto" w:fill="auto"/>
            <w:vAlign w:val="top"/>
          </w:tcPr>
          <w:p w14:paraId="1996812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投标有效期</w:t>
            </w:r>
          </w:p>
        </w:tc>
        <w:tc>
          <w:tcPr>
            <w:tcW w:w="7020" w:type="dxa"/>
            <w:shd w:val="clear" w:color="auto" w:fill="auto"/>
            <w:vAlign w:val="top"/>
          </w:tcPr>
          <w:p w14:paraId="3CCC57BC">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本次招标的投标有效期为</w:t>
            </w:r>
            <w:r>
              <w:rPr>
                <w:rFonts w:hint="eastAsia" w:ascii="宋体" w:hAnsi="宋体" w:eastAsia="宋体" w:cs="宋体"/>
                <w:sz w:val="24"/>
                <w:szCs w:val="24"/>
                <w:lang w:eastAsia="zh-CN"/>
              </w:rPr>
              <w:t>90</w:t>
            </w:r>
            <w:r>
              <w:rPr>
                <w:rFonts w:hint="eastAsia" w:ascii="宋体" w:hAnsi="宋体" w:eastAsia="宋体" w:cs="宋体"/>
                <w:sz w:val="24"/>
                <w:szCs w:val="24"/>
              </w:rPr>
              <w:t>个日历天。</w:t>
            </w:r>
          </w:p>
        </w:tc>
      </w:tr>
      <w:tr w14:paraId="55C2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3" w:type="dxa"/>
            <w:shd w:val="clear" w:color="auto" w:fill="auto"/>
            <w:vAlign w:val="center"/>
          </w:tcPr>
          <w:p w14:paraId="11A2D2C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28</w:t>
            </w:r>
          </w:p>
        </w:tc>
        <w:tc>
          <w:tcPr>
            <w:tcW w:w="2447" w:type="dxa"/>
            <w:shd w:val="clear" w:color="auto" w:fill="auto"/>
            <w:vAlign w:val="center"/>
          </w:tcPr>
          <w:p w14:paraId="726C8184">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投标文件</w:t>
            </w:r>
            <w:r>
              <w:rPr>
                <w:rFonts w:hint="eastAsia" w:ascii="宋体" w:hAnsi="宋体" w:eastAsia="宋体" w:cs="宋体"/>
                <w:sz w:val="24"/>
                <w:szCs w:val="24"/>
                <w:lang w:eastAsia="zh-CN"/>
              </w:rPr>
              <w:t>组成</w:t>
            </w:r>
          </w:p>
        </w:tc>
        <w:tc>
          <w:tcPr>
            <w:tcW w:w="7020" w:type="dxa"/>
            <w:shd w:val="clear" w:color="auto" w:fill="auto"/>
            <w:vAlign w:val="top"/>
          </w:tcPr>
          <w:p w14:paraId="47A6D59A">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投标文件包括商务标书、经济标书、施工组织设计三个分册。</w:t>
            </w:r>
          </w:p>
        </w:tc>
      </w:tr>
      <w:tr w14:paraId="6427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33" w:type="dxa"/>
            <w:shd w:val="clear" w:color="auto" w:fill="auto"/>
            <w:vAlign w:val="center"/>
          </w:tcPr>
          <w:p w14:paraId="310ECCF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29</w:t>
            </w:r>
          </w:p>
        </w:tc>
        <w:tc>
          <w:tcPr>
            <w:tcW w:w="2447" w:type="dxa"/>
            <w:shd w:val="clear" w:color="auto" w:fill="auto"/>
            <w:vAlign w:val="center"/>
          </w:tcPr>
          <w:p w14:paraId="0FCFC049">
            <w:pPr>
              <w:widowControl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施工组织设计</w:t>
            </w:r>
          </w:p>
          <w:p w14:paraId="14C92DFB">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评审方式</w:t>
            </w:r>
          </w:p>
        </w:tc>
        <w:tc>
          <w:tcPr>
            <w:tcW w:w="7020" w:type="dxa"/>
            <w:shd w:val="clear" w:color="auto" w:fill="auto"/>
            <w:vAlign w:val="center"/>
          </w:tcPr>
          <w:p w14:paraId="0A751A86">
            <w:pPr>
              <w:widowControl w:val="0"/>
              <w:spacing w:line="360" w:lineRule="auto"/>
              <w:jc w:val="left"/>
              <w:rPr>
                <w:rFonts w:hint="eastAsia" w:ascii="宋体" w:hAnsi="宋体" w:eastAsia="宋体" w:cs="宋体"/>
                <w:sz w:val="24"/>
                <w:szCs w:val="24"/>
                <w:lang w:val="en-US" w:eastAsia="en-US"/>
              </w:rPr>
            </w:pPr>
            <w:r>
              <w:rPr>
                <w:rFonts w:hint="eastAsia" w:ascii="宋体" w:hAnsi="宋体" w:eastAsia="宋体" w:cs="宋体"/>
                <w:sz w:val="24"/>
                <w:szCs w:val="24"/>
              </w:rPr>
              <w:t>本次招标施工组织设计不采用“暗标”方式进行评审。</w:t>
            </w:r>
          </w:p>
        </w:tc>
      </w:tr>
      <w:tr w14:paraId="736B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23B0A8DC">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30</w:t>
            </w:r>
          </w:p>
        </w:tc>
        <w:tc>
          <w:tcPr>
            <w:tcW w:w="2447" w:type="dxa"/>
            <w:shd w:val="clear" w:color="auto" w:fill="auto"/>
            <w:vAlign w:val="center"/>
          </w:tcPr>
          <w:p w14:paraId="2455FFE5">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评标委员会</w:t>
            </w:r>
          </w:p>
        </w:tc>
        <w:tc>
          <w:tcPr>
            <w:tcW w:w="7020" w:type="dxa"/>
            <w:shd w:val="clear" w:color="auto" w:fill="auto"/>
            <w:vAlign w:val="top"/>
          </w:tcPr>
          <w:p w14:paraId="5A2AA783">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评标委员会由5人组成，其中招标人代表0人，专家5人。专家从广东省综合评标评审专家库-韶关区域中随机抽取，其中技术类专家3人，经济类专家2人。</w:t>
            </w:r>
          </w:p>
        </w:tc>
      </w:tr>
      <w:tr w14:paraId="3A89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765D23A1">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31</w:t>
            </w:r>
          </w:p>
        </w:tc>
        <w:tc>
          <w:tcPr>
            <w:tcW w:w="2447" w:type="dxa"/>
            <w:shd w:val="clear" w:color="auto" w:fill="auto"/>
            <w:vAlign w:val="center"/>
          </w:tcPr>
          <w:p w14:paraId="594609B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评标方法</w:t>
            </w:r>
          </w:p>
        </w:tc>
        <w:tc>
          <w:tcPr>
            <w:tcW w:w="7020" w:type="dxa"/>
            <w:shd w:val="clear" w:color="auto" w:fill="auto"/>
            <w:vAlign w:val="top"/>
          </w:tcPr>
          <w:p w14:paraId="1779EDBE">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 xml:space="preserve">□A＋B值评标法   □经评审的最低投标价法    </w:t>
            </w:r>
            <w:r>
              <w:rPr>
                <w:rFonts w:hint="eastAsia" w:ascii="宋体" w:hAnsi="宋体" w:eastAsia="宋体" w:cs="宋体"/>
                <w:sz w:val="24"/>
                <w:szCs w:val="24"/>
                <w:lang w:eastAsia="zh-CN"/>
              </w:rPr>
              <w:t>☑</w:t>
            </w:r>
            <w:r>
              <w:rPr>
                <w:rFonts w:hint="eastAsia" w:ascii="宋体" w:hAnsi="宋体" w:eastAsia="宋体" w:cs="宋体"/>
                <w:sz w:val="24"/>
                <w:szCs w:val="24"/>
              </w:rPr>
              <w:t>综合评估法</w:t>
            </w:r>
          </w:p>
        </w:tc>
      </w:tr>
      <w:tr w14:paraId="09C9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698880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32</w:t>
            </w:r>
          </w:p>
        </w:tc>
        <w:tc>
          <w:tcPr>
            <w:tcW w:w="2447" w:type="dxa"/>
            <w:shd w:val="clear" w:color="auto" w:fill="auto"/>
            <w:vAlign w:val="center"/>
          </w:tcPr>
          <w:p w14:paraId="0616331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招标文件要求提交的用于评审的证书、证件、证明原件</w:t>
            </w:r>
          </w:p>
        </w:tc>
        <w:tc>
          <w:tcPr>
            <w:tcW w:w="7020" w:type="dxa"/>
            <w:shd w:val="clear" w:color="auto" w:fill="auto"/>
            <w:vAlign w:val="top"/>
          </w:tcPr>
          <w:p w14:paraId="34CDEF87">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投标人在提交用于评审的证书、证件、证明原件的，投标人应自行将所需原件密封于文件袋（箱）中，并自行准备两张“原件一览表”(详见格式</w:t>
            </w:r>
            <w:r>
              <w:rPr>
                <w:rFonts w:hint="eastAsia" w:ascii="宋体" w:hAnsi="宋体" w:eastAsia="宋体" w:cs="宋体"/>
                <w:sz w:val="24"/>
                <w:szCs w:val="24"/>
                <w:lang w:eastAsia="zh-CN"/>
              </w:rPr>
              <w:t>十四</w:t>
            </w:r>
            <w:r>
              <w:rPr>
                <w:rFonts w:hint="eastAsia" w:ascii="宋体" w:hAnsi="宋体" w:eastAsia="宋体" w:cs="宋体"/>
                <w:sz w:val="24"/>
                <w:szCs w:val="24"/>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1B25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67E0A92C">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p>
        </w:tc>
        <w:tc>
          <w:tcPr>
            <w:tcW w:w="2447" w:type="dxa"/>
            <w:shd w:val="clear" w:color="auto" w:fill="auto"/>
            <w:vAlign w:val="center"/>
          </w:tcPr>
          <w:p w14:paraId="28EA2522">
            <w:pPr>
              <w:widowControl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招标人</w:t>
            </w:r>
          </w:p>
          <w:p w14:paraId="69D92E9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联系方式</w:t>
            </w:r>
          </w:p>
        </w:tc>
        <w:tc>
          <w:tcPr>
            <w:tcW w:w="7020" w:type="dxa"/>
            <w:shd w:val="clear" w:color="auto" w:fill="auto"/>
            <w:vAlign w:val="center"/>
          </w:tcPr>
          <w:p w14:paraId="16EDCF1E">
            <w:pPr>
              <w:widowControl w:val="0"/>
              <w:wordWrap w:val="0"/>
              <w:spacing w:line="360" w:lineRule="auto"/>
              <w:jc w:val="both"/>
              <w:rPr>
                <w:rFonts w:hint="eastAsia" w:ascii="宋体" w:hAnsi="宋体" w:eastAsia="宋体" w:cs="宋体"/>
                <w:sz w:val="24"/>
                <w:szCs w:val="24"/>
              </w:rPr>
            </w:pPr>
            <w:r>
              <w:rPr>
                <w:rFonts w:hint="eastAsia" w:ascii="宋体" w:hAnsi="宋体" w:eastAsia="宋体" w:cs="宋体"/>
                <w:sz w:val="24"/>
                <w:szCs w:val="24"/>
              </w:rPr>
              <w:t>单位名称：韶关市武江区江湾镇人民政府</w:t>
            </w:r>
          </w:p>
          <w:p w14:paraId="04F523CA">
            <w:pPr>
              <w:widowControl w:val="0"/>
              <w:wordWrap w:val="0"/>
              <w:spacing w:line="360" w:lineRule="auto"/>
              <w:jc w:val="both"/>
              <w:rPr>
                <w:rFonts w:hint="eastAsia" w:ascii="宋体" w:hAnsi="宋体" w:eastAsia="宋体" w:cs="宋体"/>
                <w:sz w:val="24"/>
                <w:szCs w:val="24"/>
              </w:rPr>
            </w:pPr>
            <w:r>
              <w:rPr>
                <w:rFonts w:hint="eastAsia" w:ascii="宋体" w:hAnsi="宋体" w:eastAsia="宋体" w:cs="宋体"/>
                <w:sz w:val="24"/>
                <w:szCs w:val="24"/>
              </w:rPr>
              <w:t>办公地址：韶关市武江区江湾街6号</w:t>
            </w:r>
          </w:p>
          <w:p w14:paraId="31E9F212">
            <w:pPr>
              <w:widowControl w:val="0"/>
              <w:wordWrap w:val="0"/>
              <w:spacing w:line="360" w:lineRule="auto"/>
              <w:jc w:val="both"/>
              <w:rPr>
                <w:rFonts w:hint="eastAsia" w:ascii="宋体" w:hAnsi="宋体" w:eastAsia="宋体" w:cs="宋体"/>
                <w:sz w:val="24"/>
                <w:szCs w:val="24"/>
                <w:lang w:eastAsia="zh-CN"/>
              </w:rPr>
            </w:pPr>
            <w:r>
              <w:rPr>
                <w:rFonts w:hint="eastAsia" w:ascii="宋体" w:hAnsi="宋体" w:eastAsia="宋体" w:cs="宋体"/>
                <w:sz w:val="24"/>
                <w:szCs w:val="24"/>
              </w:rPr>
              <w:t>联系人（部门）：</w:t>
            </w:r>
            <w:r>
              <w:rPr>
                <w:rFonts w:hint="eastAsia" w:ascii="宋体" w:hAnsi="宋体" w:eastAsia="宋体" w:cs="宋体"/>
                <w:sz w:val="24"/>
                <w:szCs w:val="24"/>
                <w:lang w:eastAsia="zh-CN"/>
              </w:rPr>
              <w:t>董工</w:t>
            </w:r>
          </w:p>
          <w:p w14:paraId="5FC00B76">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联系电话：0751-6446388</w:t>
            </w:r>
          </w:p>
        </w:tc>
      </w:tr>
      <w:tr w14:paraId="483B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63FB5766">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4</w:t>
            </w:r>
          </w:p>
        </w:tc>
        <w:tc>
          <w:tcPr>
            <w:tcW w:w="2447" w:type="dxa"/>
            <w:shd w:val="clear" w:color="auto" w:fill="auto"/>
            <w:vAlign w:val="center"/>
          </w:tcPr>
          <w:p w14:paraId="2F48F80F">
            <w:pPr>
              <w:widowControl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招标代理机构</w:t>
            </w:r>
          </w:p>
          <w:p w14:paraId="3818F3A0">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联系方式</w:t>
            </w:r>
          </w:p>
        </w:tc>
        <w:tc>
          <w:tcPr>
            <w:tcW w:w="7020" w:type="dxa"/>
            <w:shd w:val="clear" w:color="auto" w:fill="auto"/>
            <w:vAlign w:val="center"/>
          </w:tcPr>
          <w:p w14:paraId="5ED6A83F">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单位名称：广东明正项目管理有限公司</w:t>
            </w:r>
          </w:p>
          <w:p w14:paraId="50A090AE">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办公地址：韶关市武江区惠民北路428号7楼</w:t>
            </w:r>
          </w:p>
          <w:p w14:paraId="2726A17A">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联系人：杨工、潘工</w:t>
            </w:r>
          </w:p>
          <w:p w14:paraId="4CC0E68C">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联系电话：0751-8606998</w:t>
            </w:r>
          </w:p>
        </w:tc>
      </w:tr>
      <w:tr w14:paraId="569D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DA0C3A1">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5</w:t>
            </w:r>
          </w:p>
        </w:tc>
        <w:tc>
          <w:tcPr>
            <w:tcW w:w="2447" w:type="dxa"/>
            <w:shd w:val="clear" w:color="auto" w:fill="auto"/>
            <w:vAlign w:val="center"/>
          </w:tcPr>
          <w:p w14:paraId="564881AB">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交易场所联系方式</w:t>
            </w:r>
          </w:p>
        </w:tc>
        <w:tc>
          <w:tcPr>
            <w:tcW w:w="7020" w:type="dxa"/>
            <w:shd w:val="clear" w:color="auto" w:fill="auto"/>
            <w:vAlign w:val="center"/>
          </w:tcPr>
          <w:p w14:paraId="22007D52">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单位名称：韶关市公共资源交易中心</w:t>
            </w:r>
          </w:p>
          <w:p w14:paraId="5D20F9A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 xml:space="preserve">办公地址：广东省韶关市武江区西联镇 </w:t>
            </w:r>
          </w:p>
          <w:p w14:paraId="189A43E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联系人（部门）：工程交易部</w:t>
            </w:r>
          </w:p>
          <w:p w14:paraId="360E3C3C">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联系电话：0751-8633071、0751-8633211</w:t>
            </w:r>
          </w:p>
        </w:tc>
      </w:tr>
      <w:tr w14:paraId="5203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297DD533">
            <w:pPr>
              <w:widowControl w:val="0"/>
              <w:spacing w:line="360" w:lineRule="auto"/>
              <w:jc w:val="center"/>
              <w:rPr>
                <w:rFonts w:hint="eastAsia" w:ascii="宋体" w:hAnsi="宋体" w:eastAsia="宋体" w:cs="宋体"/>
                <w:color w:val="C00000"/>
                <w:sz w:val="24"/>
                <w:szCs w:val="24"/>
                <w:lang w:val="en-US" w:eastAsia="zh-CN"/>
              </w:rPr>
            </w:pPr>
            <w:r>
              <w:rPr>
                <w:rFonts w:hint="eastAsia" w:ascii="宋体" w:hAnsi="宋体" w:eastAsia="宋体" w:cs="宋体"/>
                <w:color w:val="C00000"/>
                <w:sz w:val="24"/>
                <w:szCs w:val="24"/>
                <w:lang w:val="en-US" w:eastAsia="zh-CN"/>
              </w:rPr>
              <w:t>36</w:t>
            </w:r>
          </w:p>
        </w:tc>
        <w:tc>
          <w:tcPr>
            <w:tcW w:w="2447" w:type="dxa"/>
            <w:shd w:val="clear" w:color="auto" w:fill="auto"/>
            <w:vAlign w:val="center"/>
          </w:tcPr>
          <w:p w14:paraId="088F7714">
            <w:pPr>
              <w:widowControl w:val="0"/>
              <w:spacing w:line="360" w:lineRule="auto"/>
              <w:jc w:val="center"/>
              <w:rPr>
                <w:rFonts w:hint="eastAsia" w:ascii="宋体" w:hAnsi="宋体" w:eastAsia="宋体" w:cs="宋体"/>
                <w:color w:val="C00000"/>
                <w:sz w:val="24"/>
                <w:szCs w:val="24"/>
              </w:rPr>
            </w:pPr>
            <w:r>
              <w:rPr>
                <w:rFonts w:hint="eastAsia" w:ascii="宋体" w:hAnsi="宋体" w:eastAsia="宋体" w:cs="宋体"/>
                <w:color w:val="C00000"/>
                <w:sz w:val="24"/>
                <w:szCs w:val="24"/>
              </w:rPr>
              <w:t>行政监督部</w:t>
            </w:r>
          </w:p>
          <w:p w14:paraId="57BFA0F7">
            <w:pPr>
              <w:widowControl w:val="0"/>
              <w:spacing w:line="360" w:lineRule="auto"/>
              <w:jc w:val="center"/>
              <w:rPr>
                <w:rFonts w:hint="eastAsia" w:ascii="宋体" w:hAnsi="宋体" w:eastAsia="宋体" w:cs="宋体"/>
                <w:color w:val="C00000"/>
                <w:sz w:val="24"/>
                <w:szCs w:val="24"/>
                <w:lang w:val="en-US" w:eastAsia="en-US"/>
              </w:rPr>
            </w:pPr>
            <w:r>
              <w:rPr>
                <w:rFonts w:hint="eastAsia" w:ascii="宋体" w:hAnsi="宋体" w:eastAsia="宋体" w:cs="宋体"/>
                <w:color w:val="C00000"/>
                <w:sz w:val="24"/>
                <w:szCs w:val="24"/>
              </w:rPr>
              <w:t>门联系方式</w:t>
            </w:r>
          </w:p>
        </w:tc>
        <w:tc>
          <w:tcPr>
            <w:tcW w:w="7020" w:type="dxa"/>
            <w:shd w:val="clear" w:color="auto" w:fill="auto"/>
            <w:vAlign w:val="center"/>
          </w:tcPr>
          <w:p w14:paraId="010A1D33">
            <w:pPr>
              <w:widowControl w:val="0"/>
              <w:wordWrap w:val="0"/>
              <w:adjustRightInd w:val="0"/>
              <w:snapToGrid w:val="0"/>
              <w:spacing w:line="360" w:lineRule="auto"/>
              <w:jc w:val="both"/>
              <w:rPr>
                <w:rFonts w:hint="eastAsia" w:ascii="宋体" w:hAnsi="宋体" w:eastAsia="宋体" w:cs="宋体"/>
                <w:snapToGrid w:val="0"/>
                <w:color w:val="C00000"/>
                <w:kern w:val="0"/>
                <w:sz w:val="24"/>
                <w:szCs w:val="24"/>
                <w:highlight w:val="none"/>
                <w:lang w:val="en-US" w:eastAsia="zh-CN"/>
              </w:rPr>
            </w:pPr>
            <w:r>
              <w:rPr>
                <w:rFonts w:hint="eastAsia" w:ascii="宋体" w:hAnsi="宋体" w:eastAsia="宋体" w:cs="宋体"/>
                <w:snapToGrid w:val="0"/>
                <w:color w:val="C00000"/>
                <w:kern w:val="0"/>
                <w:sz w:val="24"/>
                <w:szCs w:val="24"/>
                <w:highlight w:val="none"/>
                <w:lang w:val="en-US" w:eastAsia="zh-CN"/>
              </w:rPr>
              <w:t>单位名称：韶关市武江区住房和城乡建设局（韶关市武江区交通运输局）</w:t>
            </w:r>
          </w:p>
          <w:p w14:paraId="527AAA19">
            <w:pPr>
              <w:widowControl w:val="0"/>
              <w:wordWrap w:val="0"/>
              <w:adjustRightInd w:val="0"/>
              <w:snapToGrid w:val="0"/>
              <w:spacing w:line="360" w:lineRule="auto"/>
              <w:jc w:val="both"/>
              <w:rPr>
                <w:rFonts w:hint="eastAsia" w:ascii="宋体" w:hAnsi="宋体" w:eastAsia="宋体" w:cs="宋体"/>
                <w:snapToGrid w:val="0"/>
                <w:color w:val="C00000"/>
                <w:kern w:val="0"/>
                <w:sz w:val="24"/>
                <w:szCs w:val="24"/>
                <w:highlight w:val="none"/>
                <w:lang w:val="en-US" w:eastAsia="zh-CN"/>
              </w:rPr>
            </w:pPr>
            <w:r>
              <w:rPr>
                <w:rFonts w:hint="eastAsia" w:ascii="宋体" w:hAnsi="宋体" w:eastAsia="宋体" w:cs="宋体"/>
                <w:snapToGrid w:val="0"/>
                <w:color w:val="C00000"/>
                <w:kern w:val="0"/>
                <w:sz w:val="24"/>
                <w:szCs w:val="24"/>
                <w:highlight w:val="none"/>
                <w:lang w:val="en-US" w:eastAsia="zh-CN"/>
              </w:rPr>
              <w:t>办公地址：广东省韶关武江区盆景山路2号</w:t>
            </w:r>
          </w:p>
          <w:p w14:paraId="61E1EC4B">
            <w:pPr>
              <w:widowControl w:val="0"/>
              <w:wordWrap w:val="0"/>
              <w:adjustRightInd w:val="0"/>
              <w:snapToGrid w:val="0"/>
              <w:spacing w:line="360" w:lineRule="auto"/>
              <w:jc w:val="both"/>
              <w:rPr>
                <w:rFonts w:hint="eastAsia" w:ascii="宋体" w:hAnsi="宋体" w:eastAsia="宋体" w:cs="宋体"/>
                <w:snapToGrid w:val="0"/>
                <w:color w:val="C00000"/>
                <w:kern w:val="0"/>
                <w:sz w:val="24"/>
                <w:szCs w:val="24"/>
                <w:highlight w:val="none"/>
                <w:lang w:val="en-US" w:eastAsia="zh-CN"/>
              </w:rPr>
            </w:pPr>
            <w:r>
              <w:rPr>
                <w:rFonts w:hint="eastAsia" w:ascii="宋体" w:hAnsi="宋体" w:eastAsia="宋体" w:cs="宋体"/>
                <w:snapToGrid w:val="0"/>
                <w:color w:val="C00000"/>
                <w:kern w:val="0"/>
                <w:sz w:val="24"/>
                <w:szCs w:val="24"/>
                <w:highlight w:val="none"/>
                <w:lang w:val="en-US" w:eastAsia="zh-CN"/>
              </w:rPr>
              <w:t>联系人(部门)：交通运输局</w:t>
            </w:r>
          </w:p>
          <w:p w14:paraId="6D99CA04">
            <w:pPr>
              <w:widowControl w:val="0"/>
              <w:spacing w:line="360" w:lineRule="auto"/>
              <w:jc w:val="both"/>
              <w:rPr>
                <w:rFonts w:hint="eastAsia" w:ascii="宋体" w:hAnsi="宋体" w:eastAsia="宋体" w:cs="宋体"/>
                <w:color w:val="C00000"/>
                <w:sz w:val="24"/>
                <w:szCs w:val="24"/>
                <w:lang w:val="en-US" w:eastAsia="en-US"/>
              </w:rPr>
            </w:pPr>
            <w:r>
              <w:rPr>
                <w:rFonts w:hint="eastAsia" w:ascii="宋体" w:hAnsi="宋体" w:eastAsia="宋体" w:cs="宋体"/>
                <w:snapToGrid w:val="0"/>
                <w:color w:val="C00000"/>
                <w:kern w:val="0"/>
                <w:sz w:val="24"/>
                <w:szCs w:val="24"/>
                <w:highlight w:val="none"/>
                <w:lang w:val="en-US" w:eastAsia="zh-CN"/>
              </w:rPr>
              <w:t xml:space="preserve">联系电话：0751-8773438 </w:t>
            </w:r>
          </w:p>
        </w:tc>
      </w:tr>
    </w:tbl>
    <w:p w14:paraId="3D217AD7">
      <w:pPr>
        <w:rPr>
          <w:rFonts w:hint="eastAsia" w:ascii="宋体" w:hAnsi="宋体" w:eastAsia="宋体" w:cs="宋体"/>
        </w:rPr>
      </w:pPr>
    </w:p>
    <w:p w14:paraId="202FDF33">
      <w:pPr>
        <w:rPr>
          <w:rFonts w:hint="eastAsia" w:ascii="宋体" w:hAnsi="宋体" w:eastAsia="宋体" w:cs="宋体"/>
        </w:rPr>
      </w:pPr>
    </w:p>
    <w:p w14:paraId="6FFDB034">
      <w:pPr>
        <w:rPr>
          <w:rFonts w:hint="eastAsia" w:ascii="宋体" w:hAnsi="宋体" w:eastAsia="宋体" w:cs="宋体"/>
        </w:rPr>
      </w:pPr>
    </w:p>
    <w:p w14:paraId="23F190A9">
      <w:pPr>
        <w:rPr>
          <w:rFonts w:hint="eastAsia" w:ascii="宋体" w:hAnsi="宋体" w:eastAsia="宋体" w:cs="宋体"/>
        </w:rPr>
      </w:pPr>
    </w:p>
    <w:p w14:paraId="63CC66DC">
      <w:pPr>
        <w:rPr>
          <w:rFonts w:hint="eastAsia" w:ascii="宋体" w:hAnsi="宋体" w:eastAsia="宋体" w:cs="宋体"/>
        </w:rPr>
      </w:pPr>
      <w:bookmarkStart w:id="10" w:name="bookmark115"/>
      <w:bookmarkEnd w:id="10"/>
      <w:bookmarkStart w:id="11" w:name="_Toc10868"/>
    </w:p>
    <w:p w14:paraId="549EB851">
      <w:pPr>
        <w:rPr>
          <w:rFonts w:hint="eastAsia" w:ascii="宋体" w:hAnsi="宋体" w:eastAsia="宋体" w:cs="宋体"/>
        </w:rPr>
      </w:pPr>
    </w:p>
    <w:p w14:paraId="4B648D6F">
      <w:pPr>
        <w:rPr>
          <w:rFonts w:hint="eastAsia" w:ascii="宋体" w:hAnsi="宋体" w:eastAsia="宋体" w:cs="宋体"/>
        </w:rPr>
      </w:pPr>
    </w:p>
    <w:p w14:paraId="015242A9">
      <w:pPr>
        <w:rPr>
          <w:rFonts w:hint="eastAsia" w:ascii="宋体" w:hAnsi="宋体" w:eastAsia="宋体" w:cs="宋体"/>
        </w:rPr>
      </w:pPr>
    </w:p>
    <w:p w14:paraId="4E25646E">
      <w:pPr>
        <w:pStyle w:val="2"/>
        <w:rPr>
          <w:rFonts w:hint="eastAsia"/>
        </w:rPr>
      </w:pPr>
    </w:p>
    <w:p w14:paraId="0C998B8F">
      <w:pPr>
        <w:rPr>
          <w:rFonts w:hint="eastAsia" w:ascii="宋体" w:hAnsi="宋体" w:eastAsia="宋体" w:cs="宋体"/>
        </w:rPr>
      </w:pPr>
    </w:p>
    <w:p w14:paraId="304367D7">
      <w:pPr>
        <w:rPr>
          <w:rFonts w:hint="eastAsia" w:ascii="宋体" w:hAnsi="宋体" w:eastAsia="宋体" w:cs="宋体"/>
        </w:rPr>
      </w:pPr>
    </w:p>
    <w:p w14:paraId="185FA4A9">
      <w:pPr>
        <w:spacing w:before="156" w:line="360" w:lineRule="auto"/>
        <w:ind w:left="17"/>
        <w:outlineLvl w:val="1"/>
        <w:rPr>
          <w:rFonts w:hint="eastAsia" w:ascii="宋体" w:hAnsi="宋体" w:eastAsia="宋体" w:cs="宋体"/>
          <w:b/>
          <w:bCs/>
          <w:color w:val="auto"/>
          <w:spacing w:val="-3"/>
          <w:sz w:val="24"/>
          <w:szCs w:val="24"/>
          <w:highlight w:val="none"/>
        </w:rPr>
      </w:pPr>
      <w:bookmarkStart w:id="12" w:name="_Toc25818"/>
      <w:r>
        <w:rPr>
          <w:rFonts w:hint="eastAsia" w:ascii="宋体" w:hAnsi="宋体" w:eastAsia="宋体" w:cs="宋体"/>
          <w:b/>
          <w:bCs/>
          <w:color w:val="auto"/>
          <w:spacing w:val="-3"/>
          <w:sz w:val="24"/>
          <w:szCs w:val="24"/>
          <w:highlight w:val="none"/>
        </w:rPr>
        <w:t>第二节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重要事项时间地点一览表</w:t>
      </w:r>
      <w:bookmarkEnd w:id="11"/>
      <w:bookmarkEnd w:id="12"/>
    </w:p>
    <w:tbl>
      <w:tblPr>
        <w:tblStyle w:val="24"/>
        <w:tblW w:w="985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02"/>
        <w:gridCol w:w="1527"/>
        <w:gridCol w:w="7726"/>
      </w:tblGrid>
      <w:tr w14:paraId="3BD41E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50"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43B3050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16EE752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招标公告</w:t>
            </w:r>
          </w:p>
          <w:p w14:paraId="19DA294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发布时间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6041CF73">
            <w:pPr>
              <w:spacing w:line="360" w:lineRule="auto"/>
              <w:ind w:firstLine="240" w:firstLineChars="1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2025年08月29日17时00分</w:t>
            </w:r>
          </w:p>
        </w:tc>
      </w:tr>
      <w:tr w14:paraId="4DC51F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8"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7E23E66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3B787DF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获取招标文件截止时间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2E0ADFD9">
            <w:pPr>
              <w:spacing w:line="360" w:lineRule="auto"/>
              <w:ind w:firstLine="240" w:firstLineChars="100"/>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2025年</w:t>
            </w:r>
            <w:r>
              <w:rPr>
                <w:rFonts w:hint="eastAsia" w:ascii="宋体" w:hAnsi="宋体" w:eastAsia="宋体" w:cs="宋体"/>
                <w:sz w:val="24"/>
                <w:szCs w:val="24"/>
                <w:lang w:val="en-US" w:eastAsia="zh-CN"/>
              </w:rPr>
              <w:t>10</w:t>
            </w:r>
            <w:r>
              <w:rPr>
                <w:rFonts w:hint="eastAsia" w:ascii="宋体" w:hAnsi="宋体" w:eastAsia="宋体" w:cs="宋体"/>
                <w:sz w:val="24"/>
                <w:szCs w:val="24"/>
                <w:lang w:eastAsia="zh-CN"/>
              </w:rPr>
              <w:t>月</w:t>
            </w:r>
            <w:r>
              <w:rPr>
                <w:rFonts w:hint="eastAsia" w:ascii="宋体" w:hAnsi="宋体" w:eastAsia="宋体" w:cs="宋体"/>
                <w:sz w:val="24"/>
                <w:szCs w:val="24"/>
                <w:lang w:val="en-US" w:eastAsia="zh-CN"/>
              </w:rPr>
              <w:t>30</w:t>
            </w:r>
            <w:r>
              <w:rPr>
                <w:rFonts w:hint="eastAsia" w:ascii="宋体" w:hAnsi="宋体" w:eastAsia="宋体" w:cs="宋体"/>
                <w:sz w:val="24"/>
                <w:szCs w:val="24"/>
                <w:lang w:eastAsia="zh-CN"/>
              </w:rPr>
              <w:t>日</w:t>
            </w:r>
            <w:r>
              <w:rPr>
                <w:rFonts w:hint="eastAsia" w:ascii="宋体" w:hAnsi="宋体" w:eastAsia="宋体" w:cs="宋体"/>
                <w:sz w:val="24"/>
                <w:szCs w:val="24"/>
              </w:rPr>
              <w:t>09时30分</w:t>
            </w:r>
          </w:p>
        </w:tc>
      </w:tr>
      <w:tr w14:paraId="6EA90C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05"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0ACF0F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498AD72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网上提问截止时间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2BE47E90">
            <w:pPr>
              <w:spacing w:line="360" w:lineRule="auto"/>
              <w:ind w:firstLine="240" w:firstLineChars="1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2025</w:t>
            </w:r>
            <w:r>
              <w:rPr>
                <w:rFonts w:hint="eastAsia" w:ascii="宋体" w:hAnsi="宋体" w:eastAsia="宋体" w:cs="宋体"/>
                <w:sz w:val="24"/>
                <w:szCs w:val="24"/>
              </w:rPr>
              <w:t>年</w:t>
            </w:r>
            <w:r>
              <w:rPr>
                <w:rFonts w:hint="eastAsia" w:ascii="宋体" w:hAnsi="宋体" w:eastAsia="宋体" w:cs="宋体"/>
                <w:sz w:val="24"/>
                <w:szCs w:val="24"/>
                <w:lang w:val="en-US" w:eastAsia="zh-CN"/>
              </w:rPr>
              <w:t>10</w:t>
            </w:r>
            <w:r>
              <w:rPr>
                <w:rFonts w:hint="eastAsia" w:ascii="宋体" w:hAnsi="宋体" w:eastAsia="宋体" w:cs="宋体"/>
                <w:sz w:val="24"/>
                <w:szCs w:val="24"/>
              </w:rPr>
              <w:t>月</w:t>
            </w:r>
            <w:r>
              <w:rPr>
                <w:rFonts w:hint="eastAsia" w:ascii="宋体" w:hAnsi="宋体" w:eastAsia="宋体" w:cs="宋体"/>
                <w:sz w:val="24"/>
                <w:szCs w:val="24"/>
                <w:lang w:val="en-US" w:eastAsia="zh-CN"/>
              </w:rPr>
              <w:t>20</w:t>
            </w:r>
            <w:r>
              <w:rPr>
                <w:rFonts w:hint="eastAsia" w:ascii="宋体" w:hAnsi="宋体" w:eastAsia="宋体" w:cs="宋体"/>
                <w:sz w:val="24"/>
                <w:szCs w:val="24"/>
              </w:rPr>
              <w:t>日16时00分</w:t>
            </w:r>
          </w:p>
        </w:tc>
      </w:tr>
      <w:tr w14:paraId="1DC4FF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0"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086E16A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00C3161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网上答疑时间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218F33C3">
            <w:pPr>
              <w:spacing w:line="360" w:lineRule="auto"/>
              <w:ind w:firstLine="240" w:firstLineChars="100"/>
              <w:jc w:val="left"/>
              <w:rPr>
                <w:rFonts w:hint="eastAsia" w:ascii="宋体" w:hAnsi="宋体" w:eastAsia="宋体" w:cs="宋体"/>
                <w:sz w:val="24"/>
                <w:szCs w:val="24"/>
              </w:rPr>
            </w:pPr>
            <w:r>
              <w:rPr>
                <w:rFonts w:hint="eastAsia" w:ascii="宋体" w:hAnsi="宋体" w:eastAsia="宋体" w:cs="宋体"/>
                <w:sz w:val="24"/>
                <w:szCs w:val="24"/>
                <w:lang w:val="en-US" w:eastAsia="zh-CN"/>
              </w:rPr>
              <w:t>2025</w:t>
            </w:r>
            <w:r>
              <w:rPr>
                <w:rFonts w:hint="eastAsia" w:ascii="宋体" w:hAnsi="宋体" w:eastAsia="宋体" w:cs="宋体"/>
                <w:sz w:val="24"/>
                <w:szCs w:val="24"/>
              </w:rPr>
              <w:t>年</w:t>
            </w:r>
            <w:r>
              <w:rPr>
                <w:rFonts w:hint="eastAsia" w:ascii="宋体" w:hAnsi="宋体" w:eastAsia="宋体" w:cs="宋体"/>
                <w:sz w:val="24"/>
                <w:szCs w:val="24"/>
                <w:lang w:val="en-US" w:eastAsia="zh-CN"/>
              </w:rPr>
              <w:t>10</w:t>
            </w:r>
            <w:r>
              <w:rPr>
                <w:rFonts w:hint="eastAsia" w:ascii="宋体" w:hAnsi="宋体" w:eastAsia="宋体" w:cs="宋体"/>
                <w:sz w:val="24"/>
                <w:szCs w:val="24"/>
              </w:rPr>
              <w:t>月</w:t>
            </w:r>
            <w:r>
              <w:rPr>
                <w:rFonts w:hint="eastAsia" w:ascii="宋体" w:hAnsi="宋体" w:eastAsia="宋体" w:cs="宋体"/>
                <w:sz w:val="24"/>
                <w:szCs w:val="24"/>
                <w:lang w:val="en-US" w:eastAsia="zh-CN"/>
              </w:rPr>
              <w:t>20</w:t>
            </w:r>
            <w:r>
              <w:rPr>
                <w:rFonts w:hint="eastAsia" w:ascii="宋体" w:hAnsi="宋体" w:eastAsia="宋体" w:cs="宋体"/>
                <w:sz w:val="24"/>
                <w:szCs w:val="24"/>
              </w:rPr>
              <w:t>日 16时30分至</w:t>
            </w:r>
            <w:r>
              <w:rPr>
                <w:rFonts w:hint="eastAsia" w:ascii="宋体" w:hAnsi="宋体" w:eastAsia="宋体" w:cs="宋体"/>
                <w:sz w:val="24"/>
                <w:szCs w:val="24"/>
                <w:lang w:val="en-US" w:eastAsia="zh-CN"/>
              </w:rPr>
              <w:t>2025</w:t>
            </w:r>
            <w:r>
              <w:rPr>
                <w:rFonts w:hint="eastAsia" w:ascii="宋体" w:hAnsi="宋体" w:eastAsia="宋体" w:cs="宋体"/>
                <w:sz w:val="24"/>
                <w:szCs w:val="24"/>
              </w:rPr>
              <w:t>年</w:t>
            </w:r>
            <w:r>
              <w:rPr>
                <w:rFonts w:hint="eastAsia" w:ascii="宋体" w:hAnsi="宋体" w:eastAsia="宋体" w:cs="宋体"/>
                <w:sz w:val="24"/>
                <w:szCs w:val="24"/>
                <w:lang w:val="en-US" w:eastAsia="zh-CN"/>
              </w:rPr>
              <w:t>10</w:t>
            </w:r>
            <w:r>
              <w:rPr>
                <w:rFonts w:hint="eastAsia" w:ascii="宋体" w:hAnsi="宋体" w:eastAsia="宋体" w:cs="宋体"/>
                <w:sz w:val="24"/>
                <w:szCs w:val="24"/>
              </w:rPr>
              <w:t>月</w:t>
            </w:r>
            <w:r>
              <w:rPr>
                <w:rFonts w:hint="eastAsia" w:ascii="宋体" w:hAnsi="宋体" w:eastAsia="宋体" w:cs="宋体"/>
                <w:sz w:val="24"/>
                <w:szCs w:val="24"/>
                <w:lang w:val="en-US" w:eastAsia="zh-CN"/>
              </w:rPr>
              <w:t>23</w:t>
            </w:r>
            <w:r>
              <w:rPr>
                <w:rFonts w:hint="eastAsia" w:ascii="宋体" w:hAnsi="宋体" w:eastAsia="宋体" w:cs="宋体"/>
                <w:sz w:val="24"/>
                <w:szCs w:val="24"/>
              </w:rPr>
              <w:t>日 16时00分</w:t>
            </w:r>
          </w:p>
        </w:tc>
      </w:tr>
      <w:tr w14:paraId="67A4915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17"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1386F25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3940245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投标保证缴</w:t>
            </w:r>
          </w:p>
          <w:p w14:paraId="1DB051E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纳截止时间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1F3C1925">
            <w:pPr>
              <w:spacing w:line="360" w:lineRule="auto"/>
              <w:ind w:firstLine="240" w:firstLineChars="100"/>
              <w:jc w:val="left"/>
              <w:rPr>
                <w:rFonts w:hint="eastAsia" w:ascii="宋体" w:hAnsi="宋体" w:eastAsia="宋体" w:cs="宋体"/>
                <w:sz w:val="24"/>
                <w:szCs w:val="24"/>
              </w:rPr>
            </w:pPr>
            <w:r>
              <w:rPr>
                <w:rFonts w:hint="eastAsia" w:ascii="宋体" w:hAnsi="宋体" w:eastAsia="宋体" w:cs="宋体"/>
                <w:sz w:val="24"/>
                <w:szCs w:val="24"/>
              </w:rPr>
              <w:t>投标保证金到账截止时间：</w:t>
            </w:r>
            <w:r>
              <w:rPr>
                <w:rFonts w:hint="eastAsia" w:ascii="宋体" w:hAnsi="宋体" w:eastAsia="宋体" w:cs="宋体"/>
                <w:sz w:val="24"/>
                <w:szCs w:val="24"/>
                <w:lang w:eastAsia="zh-CN"/>
              </w:rPr>
              <w:t>2025年10月</w:t>
            </w:r>
            <w:r>
              <w:rPr>
                <w:rFonts w:hint="eastAsia" w:ascii="宋体" w:hAnsi="宋体" w:eastAsia="宋体" w:cs="宋体"/>
                <w:sz w:val="24"/>
                <w:szCs w:val="24"/>
                <w:lang w:val="en-US" w:eastAsia="zh-CN"/>
              </w:rPr>
              <w:t>29</w:t>
            </w:r>
            <w:r>
              <w:rPr>
                <w:rFonts w:hint="eastAsia" w:ascii="宋体" w:hAnsi="宋体" w:eastAsia="宋体" w:cs="宋体"/>
                <w:sz w:val="24"/>
                <w:szCs w:val="24"/>
                <w:lang w:eastAsia="zh-CN"/>
              </w:rPr>
              <w:t>日</w:t>
            </w:r>
            <w:r>
              <w:rPr>
                <w:rFonts w:hint="eastAsia" w:ascii="宋体" w:hAnsi="宋体" w:eastAsia="宋体" w:cs="宋体"/>
                <w:sz w:val="24"/>
                <w:szCs w:val="24"/>
              </w:rPr>
              <w:t>09时30分；</w:t>
            </w:r>
          </w:p>
          <w:p w14:paraId="4CA613E2">
            <w:pPr>
              <w:spacing w:line="360" w:lineRule="auto"/>
              <w:ind w:firstLine="240" w:firstLineChars="100"/>
              <w:jc w:val="left"/>
              <w:rPr>
                <w:rFonts w:hint="eastAsia" w:ascii="宋体" w:hAnsi="宋体" w:eastAsia="宋体" w:cs="宋体"/>
                <w:sz w:val="24"/>
                <w:szCs w:val="24"/>
              </w:rPr>
            </w:pPr>
            <w:r>
              <w:rPr>
                <w:rFonts w:hint="eastAsia" w:ascii="宋体" w:hAnsi="宋体" w:eastAsia="宋体" w:cs="宋体"/>
                <w:sz w:val="24"/>
                <w:szCs w:val="24"/>
              </w:rPr>
              <w:t>投标保证担保上传截止时间：</w:t>
            </w:r>
            <w:r>
              <w:rPr>
                <w:rFonts w:hint="eastAsia" w:ascii="宋体" w:hAnsi="宋体" w:eastAsia="宋体" w:cs="宋体"/>
                <w:sz w:val="24"/>
                <w:szCs w:val="24"/>
                <w:lang w:eastAsia="zh-CN"/>
              </w:rPr>
              <w:t>2025年10月</w:t>
            </w:r>
            <w:r>
              <w:rPr>
                <w:rFonts w:hint="eastAsia" w:ascii="宋体" w:hAnsi="宋体" w:eastAsia="宋体" w:cs="宋体"/>
                <w:sz w:val="24"/>
                <w:szCs w:val="24"/>
                <w:lang w:val="en-US" w:eastAsia="zh-CN"/>
              </w:rPr>
              <w:t>29</w:t>
            </w:r>
            <w:r>
              <w:rPr>
                <w:rFonts w:hint="eastAsia" w:ascii="宋体" w:hAnsi="宋体" w:eastAsia="宋体" w:cs="宋体"/>
                <w:sz w:val="24"/>
                <w:szCs w:val="24"/>
                <w:lang w:eastAsia="zh-CN"/>
              </w:rPr>
              <w:t>日</w:t>
            </w:r>
            <w:r>
              <w:rPr>
                <w:rFonts w:hint="eastAsia" w:ascii="宋体" w:hAnsi="宋体" w:eastAsia="宋体" w:cs="宋体"/>
                <w:sz w:val="24"/>
                <w:szCs w:val="24"/>
              </w:rPr>
              <w:t>09时30分；</w:t>
            </w:r>
          </w:p>
          <w:p w14:paraId="1C095B4E">
            <w:pPr>
              <w:spacing w:line="360" w:lineRule="auto"/>
              <w:ind w:firstLine="240" w:firstLineChars="100"/>
              <w:jc w:val="left"/>
              <w:rPr>
                <w:rFonts w:hint="eastAsia" w:ascii="宋体" w:hAnsi="宋体" w:eastAsia="宋体" w:cs="宋体"/>
                <w:sz w:val="24"/>
                <w:szCs w:val="24"/>
              </w:rPr>
            </w:pPr>
            <w:r>
              <w:rPr>
                <w:rFonts w:hint="eastAsia" w:ascii="宋体" w:hAnsi="宋体" w:eastAsia="宋体" w:cs="宋体"/>
                <w:sz w:val="24"/>
                <w:szCs w:val="24"/>
              </w:rPr>
              <w:t>投标保证保险投保截止时间：</w:t>
            </w:r>
            <w:r>
              <w:rPr>
                <w:rFonts w:hint="eastAsia" w:ascii="宋体" w:hAnsi="宋体" w:eastAsia="宋体" w:cs="宋体"/>
                <w:sz w:val="24"/>
                <w:szCs w:val="24"/>
                <w:lang w:eastAsia="zh-CN"/>
              </w:rPr>
              <w:t>2025年10月</w:t>
            </w:r>
            <w:r>
              <w:rPr>
                <w:rFonts w:hint="eastAsia" w:ascii="宋体" w:hAnsi="宋体" w:eastAsia="宋体" w:cs="宋体"/>
                <w:sz w:val="24"/>
                <w:szCs w:val="24"/>
                <w:lang w:val="en-US" w:eastAsia="zh-CN"/>
              </w:rPr>
              <w:t>29</w:t>
            </w:r>
            <w:r>
              <w:rPr>
                <w:rFonts w:hint="eastAsia" w:ascii="宋体" w:hAnsi="宋体" w:eastAsia="宋体" w:cs="宋体"/>
                <w:sz w:val="24"/>
                <w:szCs w:val="24"/>
                <w:lang w:eastAsia="zh-CN"/>
              </w:rPr>
              <w:t>日</w:t>
            </w:r>
            <w:r>
              <w:rPr>
                <w:rFonts w:hint="eastAsia" w:ascii="宋体" w:hAnsi="宋体" w:eastAsia="宋体" w:cs="宋体"/>
                <w:sz w:val="24"/>
                <w:szCs w:val="24"/>
              </w:rPr>
              <w:t>09时30分。</w:t>
            </w:r>
          </w:p>
        </w:tc>
      </w:tr>
      <w:tr w14:paraId="3758B3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78"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255E8CE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2453394D">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电子投标截止时间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5657C42F">
            <w:pPr>
              <w:spacing w:line="360" w:lineRule="auto"/>
              <w:ind w:firstLine="240" w:firstLineChars="100"/>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2025年</w:t>
            </w:r>
            <w:r>
              <w:rPr>
                <w:rFonts w:hint="eastAsia" w:ascii="宋体" w:hAnsi="宋体" w:eastAsia="宋体" w:cs="宋体"/>
                <w:sz w:val="24"/>
                <w:szCs w:val="24"/>
                <w:lang w:val="en-US" w:eastAsia="zh-CN"/>
              </w:rPr>
              <w:t>10</w:t>
            </w:r>
            <w:r>
              <w:rPr>
                <w:rFonts w:hint="eastAsia" w:ascii="宋体" w:hAnsi="宋体" w:eastAsia="宋体" w:cs="宋体"/>
                <w:sz w:val="24"/>
                <w:szCs w:val="24"/>
                <w:lang w:eastAsia="zh-CN"/>
              </w:rPr>
              <w:t>月</w:t>
            </w:r>
            <w:r>
              <w:rPr>
                <w:rFonts w:hint="eastAsia" w:ascii="宋体" w:hAnsi="宋体" w:eastAsia="宋体" w:cs="宋体"/>
                <w:sz w:val="24"/>
                <w:szCs w:val="24"/>
                <w:lang w:val="en-US" w:eastAsia="zh-CN"/>
              </w:rPr>
              <w:t>30</w:t>
            </w:r>
            <w:r>
              <w:rPr>
                <w:rFonts w:hint="eastAsia" w:ascii="宋体" w:hAnsi="宋体" w:eastAsia="宋体" w:cs="宋体"/>
                <w:sz w:val="24"/>
                <w:szCs w:val="24"/>
                <w:lang w:eastAsia="zh-CN"/>
              </w:rPr>
              <w:t>日</w:t>
            </w:r>
            <w:r>
              <w:rPr>
                <w:rFonts w:hint="eastAsia" w:ascii="宋体" w:hAnsi="宋体" w:eastAsia="宋体" w:cs="宋体"/>
                <w:sz w:val="24"/>
                <w:szCs w:val="24"/>
              </w:rPr>
              <w:t>09时30分</w:t>
            </w:r>
          </w:p>
        </w:tc>
      </w:tr>
      <w:tr w14:paraId="003A70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14"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01AD95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25E8082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开标时间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07335603">
            <w:pPr>
              <w:spacing w:line="360" w:lineRule="auto"/>
              <w:ind w:firstLine="240" w:firstLineChars="100"/>
              <w:jc w:val="left"/>
              <w:rPr>
                <w:rFonts w:hint="eastAsia" w:ascii="宋体" w:hAnsi="宋体" w:eastAsia="宋体" w:cs="宋体"/>
                <w:sz w:val="24"/>
                <w:szCs w:val="24"/>
              </w:rPr>
            </w:pPr>
            <w:r>
              <w:rPr>
                <w:rFonts w:hint="eastAsia" w:ascii="宋体" w:hAnsi="宋体" w:eastAsia="宋体" w:cs="宋体"/>
                <w:sz w:val="24"/>
                <w:szCs w:val="24"/>
                <w:lang w:eastAsia="zh-CN"/>
              </w:rPr>
              <w:t>2025年</w:t>
            </w:r>
            <w:r>
              <w:rPr>
                <w:rFonts w:hint="eastAsia" w:ascii="宋体" w:hAnsi="宋体" w:eastAsia="宋体" w:cs="宋体"/>
                <w:sz w:val="24"/>
                <w:szCs w:val="24"/>
                <w:lang w:val="en-US" w:eastAsia="zh-CN"/>
              </w:rPr>
              <w:t>10</w:t>
            </w:r>
            <w:r>
              <w:rPr>
                <w:rFonts w:hint="eastAsia" w:ascii="宋体" w:hAnsi="宋体" w:eastAsia="宋体" w:cs="宋体"/>
                <w:sz w:val="24"/>
                <w:szCs w:val="24"/>
                <w:lang w:eastAsia="zh-CN"/>
              </w:rPr>
              <w:t>月</w:t>
            </w:r>
            <w:r>
              <w:rPr>
                <w:rFonts w:hint="eastAsia" w:ascii="宋体" w:hAnsi="宋体" w:eastAsia="宋体" w:cs="宋体"/>
                <w:sz w:val="24"/>
                <w:szCs w:val="24"/>
                <w:lang w:val="en-US" w:eastAsia="zh-CN"/>
              </w:rPr>
              <w:t>30</w:t>
            </w:r>
            <w:r>
              <w:rPr>
                <w:rFonts w:hint="eastAsia" w:ascii="宋体" w:hAnsi="宋体" w:eastAsia="宋体" w:cs="宋体"/>
                <w:sz w:val="24"/>
                <w:szCs w:val="24"/>
                <w:lang w:eastAsia="zh-CN"/>
              </w:rPr>
              <w:t>日09时30分</w:t>
            </w:r>
          </w:p>
        </w:tc>
      </w:tr>
      <w:tr w14:paraId="69EDB43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85"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5952FD8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484FC89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开标地点</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4D7E93B3">
            <w:pPr>
              <w:spacing w:line="360" w:lineRule="auto"/>
              <w:ind w:firstLine="240" w:firstLineChars="100"/>
              <w:jc w:val="left"/>
              <w:rPr>
                <w:rFonts w:hint="eastAsia" w:ascii="宋体" w:hAnsi="宋体" w:eastAsia="宋体" w:cs="宋体"/>
                <w:sz w:val="24"/>
                <w:szCs w:val="24"/>
              </w:rPr>
            </w:pPr>
            <w:r>
              <w:rPr>
                <w:rFonts w:hint="eastAsia" w:ascii="宋体" w:hAnsi="宋体" w:eastAsia="宋体" w:cs="宋体"/>
                <w:sz w:val="24"/>
                <w:szCs w:val="24"/>
              </w:rPr>
              <w:t>开标场所：韶关市公共资源交易中心</w:t>
            </w:r>
          </w:p>
          <w:p w14:paraId="3B45E87D">
            <w:pPr>
              <w:spacing w:line="360" w:lineRule="auto"/>
              <w:ind w:firstLine="240" w:firstLineChars="100"/>
              <w:jc w:val="left"/>
              <w:rPr>
                <w:rFonts w:hint="eastAsia" w:ascii="宋体" w:hAnsi="宋体" w:eastAsia="宋体" w:cs="宋体"/>
                <w:sz w:val="24"/>
                <w:szCs w:val="24"/>
                <w:lang w:eastAsia="zh-CN"/>
              </w:rPr>
            </w:pPr>
            <w:r>
              <w:rPr>
                <w:rFonts w:hint="eastAsia" w:ascii="宋体" w:hAnsi="宋体" w:eastAsia="宋体" w:cs="宋体"/>
                <w:sz w:val="24"/>
                <w:szCs w:val="24"/>
              </w:rPr>
              <w:t>地址：广东省韶关市武江区西联镇，具体开标室以当日现场通知为准。</w:t>
            </w:r>
          </w:p>
        </w:tc>
      </w:tr>
      <w:tr w14:paraId="5CCBED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70"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06F4D1C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783C0B5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交易场所</w:t>
            </w:r>
          </w:p>
          <w:p w14:paraId="04875B3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联系方式</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735C9460">
            <w:pPr>
              <w:spacing w:line="360" w:lineRule="auto"/>
              <w:ind w:firstLine="240" w:firstLineChars="100"/>
              <w:jc w:val="left"/>
              <w:rPr>
                <w:rFonts w:hint="eastAsia" w:ascii="宋体" w:hAnsi="宋体" w:eastAsia="宋体" w:cs="宋体"/>
                <w:sz w:val="24"/>
                <w:szCs w:val="24"/>
              </w:rPr>
            </w:pPr>
            <w:r>
              <w:rPr>
                <w:rFonts w:hint="eastAsia" w:ascii="宋体" w:hAnsi="宋体" w:eastAsia="宋体" w:cs="宋体"/>
                <w:sz w:val="24"/>
                <w:szCs w:val="24"/>
              </w:rPr>
              <w:t>单位名称：韶关市公共资源交易中心</w:t>
            </w:r>
          </w:p>
          <w:p w14:paraId="4815F415">
            <w:pPr>
              <w:spacing w:line="360" w:lineRule="auto"/>
              <w:ind w:firstLine="240" w:firstLineChars="100"/>
              <w:jc w:val="left"/>
              <w:rPr>
                <w:rFonts w:hint="eastAsia" w:ascii="宋体" w:hAnsi="宋体" w:eastAsia="宋体" w:cs="宋体"/>
                <w:sz w:val="24"/>
                <w:szCs w:val="24"/>
              </w:rPr>
            </w:pPr>
            <w:r>
              <w:rPr>
                <w:rFonts w:hint="eastAsia" w:ascii="宋体" w:hAnsi="宋体" w:eastAsia="宋体" w:cs="宋体"/>
                <w:sz w:val="24"/>
                <w:szCs w:val="24"/>
              </w:rPr>
              <w:t>办公地址：广东省韶关市武江区西联镇</w:t>
            </w:r>
          </w:p>
          <w:p w14:paraId="74BABC2E">
            <w:pPr>
              <w:spacing w:line="360" w:lineRule="auto"/>
              <w:jc w:val="left"/>
              <w:rPr>
                <w:rFonts w:hint="eastAsia" w:ascii="宋体" w:hAnsi="宋体" w:eastAsia="宋体" w:cs="宋体"/>
                <w:sz w:val="24"/>
                <w:szCs w:val="24"/>
              </w:rPr>
            </w:pPr>
            <w:r>
              <w:rPr>
                <w:rFonts w:hint="eastAsia" w:ascii="宋体" w:hAnsi="宋体" w:eastAsia="宋体" w:cs="宋体"/>
                <w:sz w:val="24"/>
                <w:szCs w:val="24"/>
              </w:rPr>
              <w:t>联系人（部门）：工程交易部</w:t>
            </w:r>
          </w:p>
          <w:p w14:paraId="3ADFEF12">
            <w:pPr>
              <w:spacing w:line="360" w:lineRule="auto"/>
              <w:jc w:val="left"/>
              <w:rPr>
                <w:rFonts w:hint="eastAsia" w:ascii="宋体" w:hAnsi="宋体" w:eastAsia="宋体" w:cs="宋体"/>
                <w:sz w:val="24"/>
                <w:szCs w:val="24"/>
              </w:rPr>
            </w:pPr>
            <w:r>
              <w:rPr>
                <w:rFonts w:hint="eastAsia" w:ascii="宋体" w:hAnsi="宋体" w:eastAsia="宋体" w:cs="宋体"/>
                <w:sz w:val="24"/>
                <w:szCs w:val="24"/>
              </w:rPr>
              <w:t>联系电话：0751—8633071、0751—8633211</w:t>
            </w:r>
          </w:p>
        </w:tc>
      </w:tr>
      <w:tr w14:paraId="7649370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82"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40D2C58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1DF1EAE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开标地点</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0CFB488F">
            <w:pPr>
              <w:spacing w:line="360" w:lineRule="auto"/>
              <w:ind w:firstLine="240" w:firstLineChars="100"/>
              <w:jc w:val="left"/>
              <w:rPr>
                <w:rFonts w:hint="eastAsia" w:ascii="宋体" w:hAnsi="宋体" w:eastAsia="宋体" w:cs="宋体"/>
                <w:sz w:val="24"/>
                <w:szCs w:val="24"/>
                <w:lang w:eastAsia="zh-CN"/>
              </w:rPr>
            </w:pPr>
            <w:r>
              <w:rPr>
                <w:rFonts w:hint="eastAsia" w:ascii="宋体" w:hAnsi="宋体" w:eastAsia="宋体" w:cs="宋体"/>
                <w:sz w:val="24"/>
                <w:szCs w:val="24"/>
              </w:rPr>
              <w:t>开标场所：</w:t>
            </w:r>
            <w:r>
              <w:rPr>
                <w:rFonts w:hint="eastAsia" w:ascii="宋体" w:hAnsi="宋体" w:eastAsia="宋体" w:cs="宋体"/>
                <w:sz w:val="24"/>
                <w:szCs w:val="24"/>
                <w:lang w:val="en-US" w:eastAsia="zh-CN"/>
              </w:rPr>
              <w:t>韶关市公共资源交易中心</w:t>
            </w:r>
          </w:p>
          <w:p w14:paraId="09ECC375">
            <w:pPr>
              <w:spacing w:line="360" w:lineRule="auto"/>
              <w:ind w:firstLine="240" w:firstLineChars="100"/>
              <w:jc w:val="left"/>
              <w:rPr>
                <w:rFonts w:hint="eastAsia" w:ascii="宋体" w:hAnsi="宋体" w:eastAsia="宋体" w:cs="宋体"/>
                <w:sz w:val="24"/>
                <w:szCs w:val="24"/>
              </w:rPr>
            </w:pPr>
            <w:r>
              <w:rPr>
                <w:rFonts w:hint="eastAsia" w:ascii="宋体" w:hAnsi="宋体" w:eastAsia="宋体" w:cs="宋体"/>
                <w:sz w:val="24"/>
                <w:szCs w:val="24"/>
              </w:rPr>
              <w:t>地址：广东省韶关市武江区西联镇</w:t>
            </w:r>
            <w:r>
              <w:rPr>
                <w:rFonts w:hint="eastAsia" w:ascii="宋体" w:hAnsi="宋体" w:eastAsia="宋体" w:cs="宋体"/>
                <w:sz w:val="24"/>
                <w:szCs w:val="24"/>
                <w:lang w:eastAsia="zh-CN"/>
              </w:rPr>
              <w:t>，</w:t>
            </w:r>
            <w:r>
              <w:rPr>
                <w:rFonts w:hint="eastAsia" w:ascii="宋体" w:hAnsi="宋体" w:eastAsia="宋体" w:cs="宋体"/>
                <w:sz w:val="24"/>
                <w:szCs w:val="24"/>
              </w:rPr>
              <w:t>具体房间号以当日现场通知为准。</w:t>
            </w:r>
          </w:p>
        </w:tc>
      </w:tr>
      <w:tr w14:paraId="78EB4B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83"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14251AA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11</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7CA39F5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其他</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1BCF92DB">
            <w:pPr>
              <w:spacing w:line="360" w:lineRule="auto"/>
              <w:ind w:firstLine="240" w:firstLineChars="100"/>
              <w:jc w:val="left"/>
              <w:rPr>
                <w:rFonts w:hint="eastAsia" w:ascii="宋体" w:hAnsi="宋体" w:eastAsia="宋体" w:cs="宋体"/>
                <w:sz w:val="24"/>
                <w:szCs w:val="24"/>
              </w:rPr>
            </w:pPr>
            <w:bookmarkStart w:id="363" w:name="_GoBack"/>
            <w:bookmarkEnd w:id="363"/>
            <w:r>
              <w:rPr>
                <w:rFonts w:hint="eastAsia" w:ascii="宋体" w:hAnsi="宋体" w:eastAsia="宋体" w:cs="宋体"/>
                <w:sz w:val="24"/>
                <w:szCs w:val="24"/>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6FCA079C">
      <w:pPr>
        <w:rPr>
          <w:rFonts w:hint="eastAsia" w:ascii="宋体" w:hAnsi="宋体" w:eastAsia="宋体" w:cs="宋体"/>
        </w:rPr>
      </w:pPr>
    </w:p>
    <w:p w14:paraId="0C391831">
      <w:pPr>
        <w:rPr>
          <w:rFonts w:hint="eastAsia" w:ascii="宋体" w:hAnsi="宋体" w:eastAsia="宋体" w:cs="宋体"/>
        </w:rPr>
      </w:pPr>
    </w:p>
    <w:p w14:paraId="06F3CE5A">
      <w:pPr>
        <w:rPr>
          <w:rFonts w:hint="eastAsia" w:ascii="宋体" w:hAnsi="宋体" w:eastAsia="宋体" w:cs="宋体"/>
        </w:rPr>
      </w:pPr>
    </w:p>
    <w:p w14:paraId="10FF82C7">
      <w:pPr>
        <w:rPr>
          <w:rFonts w:hint="eastAsia" w:ascii="宋体" w:hAnsi="宋体" w:eastAsia="宋体" w:cs="宋体"/>
        </w:rPr>
      </w:pPr>
    </w:p>
    <w:p w14:paraId="4740C1D3">
      <w:pPr>
        <w:rPr>
          <w:rFonts w:hint="eastAsia" w:ascii="宋体" w:hAnsi="宋体" w:eastAsia="宋体" w:cs="宋体"/>
        </w:rPr>
      </w:pPr>
    </w:p>
    <w:p w14:paraId="10825357">
      <w:pPr>
        <w:rPr>
          <w:rFonts w:hint="eastAsia" w:ascii="宋体" w:hAnsi="宋体" w:eastAsia="宋体" w:cs="宋体"/>
        </w:rPr>
      </w:pPr>
    </w:p>
    <w:p w14:paraId="4E3F0761">
      <w:pPr>
        <w:rPr>
          <w:rFonts w:hint="eastAsia" w:ascii="宋体" w:hAnsi="宋体" w:eastAsia="宋体" w:cs="宋体"/>
        </w:rPr>
      </w:pPr>
    </w:p>
    <w:p w14:paraId="73C561D0">
      <w:pPr>
        <w:rPr>
          <w:rFonts w:hint="eastAsia" w:ascii="宋体" w:hAnsi="宋体" w:eastAsia="宋体" w:cs="宋体"/>
        </w:rPr>
      </w:pPr>
      <w:bookmarkStart w:id="13" w:name="_Toc29292"/>
    </w:p>
    <w:p w14:paraId="12CA5012">
      <w:pPr>
        <w:spacing w:before="156" w:line="360" w:lineRule="auto"/>
        <w:ind w:left="17"/>
        <w:outlineLvl w:val="1"/>
        <w:rPr>
          <w:rFonts w:hint="eastAsia" w:ascii="宋体" w:hAnsi="宋体" w:eastAsia="宋体" w:cs="宋体"/>
          <w:b/>
          <w:bCs/>
          <w:color w:val="auto"/>
          <w:spacing w:val="-3"/>
          <w:sz w:val="24"/>
          <w:szCs w:val="24"/>
          <w:highlight w:val="none"/>
        </w:rPr>
      </w:pPr>
      <w:bookmarkStart w:id="14" w:name="_Toc577"/>
      <w:r>
        <w:rPr>
          <w:rFonts w:hint="eastAsia" w:ascii="宋体" w:hAnsi="宋体" w:eastAsia="宋体" w:cs="宋体"/>
          <w:b/>
          <w:bCs/>
          <w:color w:val="auto"/>
          <w:spacing w:val="-3"/>
          <w:sz w:val="24"/>
          <w:szCs w:val="24"/>
          <w:highlight w:val="none"/>
        </w:rPr>
        <w:t>第三节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投标人须知正文</w:t>
      </w:r>
      <w:bookmarkEnd w:id="13"/>
      <w:bookmarkEnd w:id="14"/>
    </w:p>
    <w:p w14:paraId="4094FC0C">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snapToGrid w:val="0"/>
          <w:color w:val="auto"/>
          <w:sz w:val="24"/>
          <w:szCs w:val="24"/>
          <w:highlight w:val="none"/>
        </w:rPr>
      </w:pPr>
      <w:bookmarkStart w:id="15" w:name="_Toc24668"/>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江湾镇武洞至乳源白竹跨镇道路灾后重建项目（水渠工程）</w:t>
      </w:r>
      <w:r>
        <w:rPr>
          <w:rFonts w:hint="eastAsia" w:ascii="宋体" w:hAnsi="宋体" w:eastAsia="宋体" w:cs="宋体"/>
          <w:b w:val="0"/>
          <w:bCs w:val="0"/>
          <w:caps w:val="0"/>
          <w:smallCaps w:val="0"/>
          <w:snapToGrid w:val="0"/>
          <w:color w:val="auto"/>
          <w:spacing w:val="0"/>
          <w:kern w:val="0"/>
          <w:sz w:val="24"/>
          <w:szCs w:val="24"/>
          <w:highlight w:val="none"/>
          <w:lang w:val="en-US" w:eastAsia="zh-CN"/>
        </w:rPr>
        <w:t>经</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韶关市武江区发展和改革局</w:t>
      </w:r>
      <w:r>
        <w:rPr>
          <w:rFonts w:hint="eastAsia" w:ascii="宋体" w:hAnsi="宋体" w:eastAsia="宋体" w:cs="宋体"/>
          <w:b w:val="0"/>
          <w:bCs w:val="0"/>
          <w:caps w:val="0"/>
          <w:smallCaps w:val="0"/>
          <w:snapToGrid w:val="0"/>
          <w:color w:val="auto"/>
          <w:spacing w:val="0"/>
          <w:kern w:val="0"/>
          <w:sz w:val="24"/>
          <w:szCs w:val="24"/>
          <w:highlight w:val="none"/>
          <w:lang w:val="en-US" w:eastAsia="zh-CN"/>
        </w:rPr>
        <w:t>以</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《韶关市武江区发展和改革局关于江湾镇武洞至乳源白竹跨镇道路灾后重建项目（水渠工程）初步设计概算的批复》</w:t>
      </w:r>
      <w:r>
        <w:rPr>
          <w:rFonts w:hint="eastAsia" w:ascii="宋体" w:hAnsi="宋体" w:eastAsia="宋体" w:cs="宋体"/>
          <w:b w:val="0"/>
          <w:bCs w:val="0"/>
          <w:caps w:val="0"/>
          <w:smallCaps w:val="0"/>
          <w:snapToGrid w:val="0"/>
          <w:color w:val="auto"/>
          <w:spacing w:val="0"/>
          <w:kern w:val="0"/>
          <w:sz w:val="24"/>
          <w:szCs w:val="24"/>
          <w:highlight w:val="none"/>
          <w:lang w:val="en-US" w:eastAsia="zh-CN"/>
        </w:rPr>
        <w:t>批准招标，项目批准文号为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韶武发改投审〔2025〕53号</w:t>
      </w:r>
      <w:r>
        <w:rPr>
          <w:rFonts w:hint="eastAsia" w:ascii="宋体" w:hAnsi="宋体" w:eastAsia="宋体" w:cs="宋体"/>
          <w:b w:val="0"/>
          <w:bCs w:val="0"/>
          <w:caps w:val="0"/>
          <w:smallCaps w:val="0"/>
          <w:snapToGrid w:val="0"/>
          <w:color w:val="auto"/>
          <w:spacing w:val="0"/>
          <w:kern w:val="0"/>
          <w:sz w:val="24"/>
          <w:szCs w:val="24"/>
          <w:highlight w:val="none"/>
          <w:lang w:val="en-US" w:eastAsia="zh-CN"/>
        </w:rPr>
        <w:t>，项目代码为</w:t>
      </w:r>
      <w:r>
        <w:rPr>
          <w:rFonts w:hint="eastAsia" w:ascii="宋体" w:hAnsi="宋体" w:eastAsia="宋体" w:cs="宋体"/>
          <w:snapToGrid w:val="0"/>
          <w:color w:val="auto"/>
          <w:kern w:val="0"/>
          <w:sz w:val="24"/>
          <w:szCs w:val="24"/>
          <w:highlight w:val="none"/>
          <w:u w:val="single"/>
          <w:lang w:eastAsia="zh-CN"/>
        </w:rPr>
        <w:t>2507-440203-18-01-670306</w:t>
      </w:r>
      <w:r>
        <w:rPr>
          <w:rFonts w:hint="eastAsia" w:ascii="宋体" w:hAnsi="宋体" w:eastAsia="宋体" w:cs="宋体"/>
          <w:b w:val="0"/>
          <w:bCs w:val="0"/>
          <w:caps w:val="0"/>
          <w:smallCaps w:val="0"/>
          <w:snapToGrid w:val="0"/>
          <w:color w:val="auto"/>
          <w:spacing w:val="0"/>
          <w:kern w:val="0"/>
          <w:sz w:val="24"/>
          <w:szCs w:val="24"/>
          <w:highlight w:val="none"/>
          <w:lang w:val="en-US" w:eastAsia="zh-CN"/>
        </w:rPr>
        <w:t>，本工程项目业主为</w:t>
      </w:r>
      <w:r>
        <w:rPr>
          <w:rFonts w:hint="eastAsia" w:ascii="宋体" w:hAnsi="宋体" w:eastAsia="宋体" w:cs="宋体"/>
          <w:snapToGrid w:val="0"/>
          <w:color w:val="auto"/>
          <w:kern w:val="0"/>
          <w:sz w:val="24"/>
          <w:szCs w:val="24"/>
          <w:highlight w:val="none"/>
          <w:u w:val="single"/>
          <w:lang w:eastAsia="zh-CN"/>
        </w:rPr>
        <w:t>韶关市武江区江湾镇人民政府</w:t>
      </w:r>
      <w:r>
        <w:rPr>
          <w:rFonts w:hint="eastAsia" w:ascii="宋体" w:hAnsi="宋体" w:eastAsia="宋体" w:cs="宋体"/>
          <w:b w:val="0"/>
          <w:bCs w:val="0"/>
          <w:caps w:val="0"/>
          <w:smallCaps w:val="0"/>
          <w:snapToGrid w:val="0"/>
          <w:color w:val="auto"/>
          <w:spacing w:val="0"/>
          <w:kern w:val="0"/>
          <w:sz w:val="24"/>
          <w:szCs w:val="24"/>
          <w:highlight w:val="none"/>
          <w:lang w:val="en-US" w:eastAsia="zh-CN"/>
        </w:rPr>
        <w:t>，建设资金来自</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区财政统筹</w:t>
      </w:r>
      <w:r>
        <w:rPr>
          <w:rFonts w:hint="eastAsia" w:ascii="宋体" w:hAnsi="宋体" w:eastAsia="宋体" w:cs="宋体"/>
          <w:b w:val="0"/>
          <w:bCs w:val="0"/>
          <w:caps w:val="0"/>
          <w:smallCaps w:val="0"/>
          <w:snapToGrid w:val="0"/>
          <w:color w:val="auto"/>
          <w:spacing w:val="0"/>
          <w:kern w:val="0"/>
          <w:sz w:val="24"/>
          <w:szCs w:val="24"/>
          <w:highlight w:val="none"/>
          <w:lang w:val="en-US" w:eastAsia="zh-CN"/>
        </w:rPr>
        <w:t>，出资比例为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100%</w:t>
      </w:r>
      <w:r>
        <w:rPr>
          <w:rFonts w:hint="eastAsia" w:ascii="宋体" w:hAnsi="宋体" w:eastAsia="宋体" w:cs="宋体"/>
          <w:b w:val="0"/>
          <w:bCs w:val="0"/>
          <w:caps w:val="0"/>
          <w:smallCaps w:val="0"/>
          <w:snapToGrid w:val="0"/>
          <w:color w:val="auto"/>
          <w:spacing w:val="0"/>
          <w:kern w:val="0"/>
          <w:sz w:val="24"/>
          <w:szCs w:val="24"/>
          <w:highlight w:val="none"/>
          <w:lang w:val="en-US" w:eastAsia="zh-CN"/>
        </w:rPr>
        <w:t>，招标人为</w:t>
      </w:r>
      <w:r>
        <w:rPr>
          <w:rFonts w:hint="eastAsia" w:ascii="宋体" w:hAnsi="宋体" w:eastAsia="宋体" w:cs="宋体"/>
          <w:snapToGrid w:val="0"/>
          <w:color w:val="auto"/>
          <w:kern w:val="0"/>
          <w:sz w:val="24"/>
          <w:szCs w:val="24"/>
          <w:highlight w:val="none"/>
          <w:u w:val="single"/>
          <w:lang w:eastAsia="zh-CN"/>
        </w:rPr>
        <w:t>韶关市武江区江湾镇人民政府</w:t>
      </w:r>
      <w:r>
        <w:rPr>
          <w:rFonts w:hint="eastAsia" w:ascii="宋体" w:hAnsi="宋体" w:eastAsia="宋体" w:cs="宋体"/>
          <w:b w:val="0"/>
          <w:bCs w:val="0"/>
          <w:caps w:val="0"/>
          <w:smallCaps w:val="0"/>
          <w:snapToGrid w:val="0"/>
          <w:color w:val="auto"/>
          <w:spacing w:val="0"/>
          <w:kern w:val="0"/>
          <w:sz w:val="24"/>
          <w:szCs w:val="24"/>
          <w:highlight w:val="none"/>
          <w:lang w:val="en-US" w:eastAsia="zh-CN"/>
        </w:rPr>
        <w:t>，</w:t>
      </w:r>
      <w:r>
        <w:rPr>
          <w:rFonts w:hint="eastAsia" w:ascii="宋体" w:hAnsi="宋体" w:eastAsia="宋体" w:cs="宋体"/>
          <w:snapToGrid w:val="0"/>
          <w:color w:val="auto"/>
          <w:kern w:val="0"/>
          <w:sz w:val="24"/>
          <w:szCs w:val="24"/>
          <w:highlight w:val="none"/>
        </w:rPr>
        <w:t>招标代理机构为</w:t>
      </w:r>
      <w:r>
        <w:rPr>
          <w:rFonts w:hint="eastAsia" w:ascii="宋体" w:hAnsi="宋体" w:eastAsia="宋体" w:cs="宋体"/>
          <w:snapToGrid w:val="0"/>
          <w:color w:val="auto"/>
          <w:kern w:val="0"/>
          <w:sz w:val="24"/>
          <w:szCs w:val="24"/>
          <w:highlight w:val="none"/>
          <w:u w:val="single"/>
          <w:lang w:eastAsia="zh-CN"/>
        </w:rPr>
        <w:t>广东明正项目管理有限公司</w:t>
      </w:r>
      <w:r>
        <w:rPr>
          <w:rFonts w:hint="eastAsia" w:ascii="宋体" w:hAnsi="宋体" w:eastAsia="宋体" w:cs="宋体"/>
          <w:snapToGrid w:val="0"/>
          <w:color w:val="auto"/>
          <w:kern w:val="0"/>
          <w:sz w:val="24"/>
          <w:szCs w:val="24"/>
          <w:highlight w:val="none"/>
        </w:rPr>
        <w:t>。项目已具备招标条件，现对</w:t>
      </w:r>
      <w:r>
        <w:rPr>
          <w:rFonts w:hint="eastAsia" w:ascii="宋体" w:hAnsi="宋体" w:eastAsia="宋体" w:cs="宋体"/>
          <w:snapToGrid w:val="0"/>
          <w:color w:val="auto"/>
          <w:kern w:val="0"/>
          <w:sz w:val="24"/>
          <w:szCs w:val="24"/>
          <w:highlight w:val="none"/>
          <w:u w:val="none"/>
          <w:lang w:val="en-US" w:eastAsia="zh-CN"/>
        </w:rPr>
        <w:t>该项目</w:t>
      </w:r>
      <w:r>
        <w:rPr>
          <w:rFonts w:hint="eastAsia" w:ascii="宋体" w:hAnsi="宋体" w:eastAsia="宋体" w:cs="宋体"/>
          <w:snapToGrid w:val="0"/>
          <w:color w:val="auto"/>
          <w:kern w:val="0"/>
          <w:sz w:val="24"/>
          <w:szCs w:val="24"/>
          <w:highlight w:val="none"/>
          <w:u w:val="single"/>
          <w:lang w:val="en-US" w:eastAsia="zh-CN"/>
        </w:rPr>
        <w:t>施工</w:t>
      </w:r>
      <w:r>
        <w:rPr>
          <w:rFonts w:hint="eastAsia" w:ascii="宋体" w:hAnsi="宋体" w:eastAsia="宋体" w:cs="宋体"/>
          <w:snapToGrid w:val="0"/>
          <w:color w:val="auto"/>
          <w:kern w:val="0"/>
          <w:sz w:val="24"/>
          <w:szCs w:val="24"/>
          <w:highlight w:val="none"/>
        </w:rPr>
        <w:t>进行公开招标。</w:t>
      </w:r>
    </w:p>
    <w:p w14:paraId="55C36900">
      <w:pPr>
        <w:spacing w:before="78" w:line="360" w:lineRule="auto"/>
        <w:ind w:left="496"/>
        <w:outlineLvl w:val="2"/>
        <w:rPr>
          <w:rFonts w:hint="eastAsia" w:ascii="宋体" w:hAnsi="宋体" w:eastAsia="宋体" w:cs="宋体"/>
          <w:color w:val="auto"/>
          <w:sz w:val="24"/>
          <w:szCs w:val="24"/>
          <w:highlight w:val="none"/>
        </w:rPr>
      </w:pPr>
      <w:bookmarkStart w:id="16" w:name="_Toc19913"/>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lang w:eastAsia="zh-CN"/>
        </w:rPr>
        <w:t>.</w:t>
      </w:r>
      <w:r>
        <w:rPr>
          <w:rFonts w:hint="eastAsia" w:ascii="宋体" w:hAnsi="宋体" w:eastAsia="宋体" w:cs="宋体"/>
          <w:b/>
          <w:bCs/>
          <w:color w:val="auto"/>
          <w:spacing w:val="-4"/>
          <w:sz w:val="24"/>
          <w:szCs w:val="24"/>
          <w:highlight w:val="none"/>
        </w:rPr>
        <w:t>项目概况、招标范围和标段划分、投标费用等</w:t>
      </w:r>
      <w:bookmarkEnd w:id="15"/>
      <w:bookmarkEnd w:id="16"/>
    </w:p>
    <w:p w14:paraId="6512D44E">
      <w:pPr>
        <w:numPr>
          <w:ilvl w:val="1"/>
          <w:numId w:val="0"/>
        </w:numPr>
        <w:spacing w:before="151" w:line="360" w:lineRule="auto"/>
        <w:ind w:left="496" w:leftChars="0" w:firstLine="0" w:firstLineChars="0"/>
        <w:rPr>
          <w:rFonts w:hint="eastAsia" w:ascii="宋体" w:hAnsi="宋体" w:eastAsia="宋体" w:cs="宋体"/>
          <w:color w:val="auto"/>
          <w:spacing w:val="-5"/>
          <w:sz w:val="24"/>
          <w:szCs w:val="24"/>
          <w:highlight w:val="none"/>
        </w:rPr>
      </w:pPr>
      <w:r>
        <w:rPr>
          <w:rFonts w:hint="eastAsia" w:ascii="宋体" w:hAnsi="宋体" w:eastAsia="宋体" w:cs="宋体"/>
          <w:b/>
          <w:bCs/>
          <w:snapToGrid w:val="0"/>
          <w:color w:val="auto"/>
          <w:spacing w:val="-5"/>
          <w:sz w:val="24"/>
          <w:szCs w:val="24"/>
          <w:lang w:val="en-US" w:eastAsia="en-US" w:bidi="ar-SA"/>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b/>
          <w:bCs/>
          <w:color w:val="auto"/>
          <w:spacing w:val="9"/>
          <w:sz w:val="24"/>
          <w:szCs w:val="24"/>
          <w:highlight w:val="none"/>
          <w:lang w:val="en-US" w:eastAsia="zh-CN"/>
        </w:rPr>
        <w:t xml:space="preserve"> </w:t>
      </w:r>
      <w:r>
        <w:rPr>
          <w:rFonts w:hint="eastAsia" w:ascii="宋体" w:hAnsi="宋体" w:eastAsia="宋体" w:cs="宋体"/>
          <w:color w:val="auto"/>
          <w:spacing w:val="-5"/>
          <w:sz w:val="24"/>
          <w:szCs w:val="24"/>
          <w:highlight w:val="none"/>
        </w:rPr>
        <w:t>项目概况</w:t>
      </w:r>
    </w:p>
    <w:p w14:paraId="6C0E213B">
      <w:pPr>
        <w:numPr>
          <w:ilvl w:val="0"/>
          <w:numId w:val="0"/>
        </w:numPr>
        <w:spacing w:before="151" w:line="360" w:lineRule="auto"/>
        <w:ind w:left="496" w:leftChars="0"/>
        <w:rPr>
          <w:rFonts w:hint="eastAsia" w:ascii="宋体" w:hAnsi="宋体" w:eastAsia="宋体" w:cs="宋体"/>
          <w:color w:val="auto"/>
          <w:sz w:val="24"/>
          <w:szCs w:val="24"/>
          <w:highlight w:val="none"/>
          <w:u w:val="non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z w:val="24"/>
          <w:szCs w:val="24"/>
          <w:highlight w:val="none"/>
          <w:u w:val="single"/>
          <w:lang w:val="en-US" w:eastAsia="zh-CN"/>
        </w:rPr>
        <w:t>江湾镇武洞村</w:t>
      </w:r>
      <w:r>
        <w:rPr>
          <w:rFonts w:hint="eastAsia" w:ascii="宋体" w:hAnsi="宋体" w:eastAsia="宋体" w:cs="宋体"/>
          <w:color w:val="auto"/>
          <w:sz w:val="24"/>
          <w:szCs w:val="24"/>
          <w:highlight w:val="none"/>
          <w:u w:val="none"/>
          <w:lang w:val="en-US" w:eastAsia="zh-CN"/>
        </w:rPr>
        <w:t>。</w:t>
      </w:r>
    </w:p>
    <w:p w14:paraId="4FB7DEF3">
      <w:pPr>
        <w:pStyle w:val="58"/>
        <w:tabs>
          <w:tab w:val="left" w:pos="7020"/>
        </w:tabs>
        <w:spacing w:line="360" w:lineRule="auto"/>
        <w:ind w:firstLine="524" w:firstLineChars="221"/>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hAnsi="宋体" w:cs="宋体"/>
          <w:color w:val="auto"/>
          <w:spacing w:val="-2"/>
          <w:sz w:val="24"/>
          <w:szCs w:val="24"/>
          <w:highlight w:val="none"/>
          <w:u w:val="single"/>
          <w:lang w:val="en-US" w:eastAsia="zh-CN"/>
        </w:rPr>
        <w:t>硬化江湾镇武洞至乳源跨镇道路约244米现状土渠、新建约2900米混凝土渠，新建一个行人候车休息亭。</w:t>
      </w:r>
    </w:p>
    <w:p w14:paraId="0402EAEE">
      <w:pPr>
        <w:spacing w:line="360" w:lineRule="auto"/>
        <w:ind w:firstLine="474" w:firstLineChars="200"/>
        <w:rPr>
          <w:rFonts w:hint="eastAsia" w:ascii="宋体" w:hAnsi="宋体" w:eastAsia="宋体" w:cs="宋体"/>
          <w:sz w:val="24"/>
          <w:szCs w:val="24"/>
          <w:lang w:val="en-US" w:eastAsia="zh-CN"/>
        </w:rPr>
      </w:pPr>
      <w:r>
        <w:rPr>
          <w:rFonts w:hint="eastAsia" w:ascii="宋体" w:hAnsi="宋体" w:eastAsia="宋体" w:cs="宋体"/>
          <w:b/>
          <w:bCs/>
          <w:color w:val="auto"/>
          <w:spacing w:val="-2"/>
          <w:sz w:val="24"/>
          <w:szCs w:val="24"/>
          <w:highlight w:val="none"/>
        </w:rPr>
        <w:t>1.1.3</w:t>
      </w:r>
      <w:r>
        <w:rPr>
          <w:rFonts w:hint="eastAsia" w:ascii="宋体" w:hAnsi="宋体" w:eastAsia="宋体" w:cs="宋体"/>
          <w:color w:val="auto"/>
          <w:spacing w:val="-2"/>
          <w:sz w:val="24"/>
          <w:szCs w:val="24"/>
          <w:highlight w:val="none"/>
        </w:rPr>
        <w:t xml:space="preserve">  项目总投资</w:t>
      </w:r>
      <w:r>
        <w:rPr>
          <w:rFonts w:hint="eastAsia" w:ascii="宋体" w:hAnsi="宋体" w:eastAsia="宋体" w:cs="宋体"/>
          <w:color w:val="auto"/>
          <w:spacing w:val="-2"/>
          <w:sz w:val="24"/>
          <w:szCs w:val="24"/>
          <w:highlight w:val="none"/>
          <w:lang w:val="en-US" w:eastAsia="zh-CN"/>
        </w:rPr>
        <w:t>：项目概算总投资149.92万元，其中工程费用128.96万元，工</w:t>
      </w:r>
      <w:r>
        <w:rPr>
          <w:rFonts w:hint="eastAsia" w:ascii="宋体" w:hAnsi="宋体" w:eastAsia="宋体" w:cs="宋体"/>
          <w:sz w:val="24"/>
          <w:szCs w:val="24"/>
          <w:lang w:val="en-US" w:eastAsia="zh-CN"/>
        </w:rPr>
        <w:t>程建设其他费用13.82万元，预备费用7.14万元。</w:t>
      </w:r>
    </w:p>
    <w:p w14:paraId="5F1DBCD4">
      <w:pPr>
        <w:spacing w:before="152"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  </w:t>
      </w:r>
      <w:r>
        <w:rPr>
          <w:rFonts w:hint="eastAsia" w:ascii="宋体" w:hAnsi="宋体" w:eastAsia="宋体" w:cs="宋体"/>
          <w:color w:val="auto"/>
          <w:spacing w:val="-2"/>
          <w:sz w:val="24"/>
          <w:szCs w:val="24"/>
          <w:highlight w:val="none"/>
        </w:rPr>
        <w:t>招标范围和标段划分</w:t>
      </w:r>
    </w:p>
    <w:p w14:paraId="3AAF1533">
      <w:pPr>
        <w:spacing w:before="152" w:line="360" w:lineRule="auto"/>
        <w:ind w:left="496"/>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r>
        <w:rPr>
          <w:rFonts w:hint="eastAsia" w:ascii="宋体" w:hAnsi="宋体" w:eastAsia="宋体" w:cs="宋体"/>
          <w:color w:val="auto"/>
          <w:spacing w:val="-1"/>
          <w:sz w:val="24"/>
          <w:szCs w:val="24"/>
          <w:highlight w:val="none"/>
        </w:rPr>
        <w:t>按审查合格的施工图纸及工程量清单内容施工</w:t>
      </w:r>
      <w:r>
        <w:rPr>
          <w:rFonts w:hint="eastAsia" w:ascii="宋体" w:hAnsi="宋体" w:eastAsia="宋体" w:cs="宋体"/>
          <w:color w:val="auto"/>
          <w:spacing w:val="-1"/>
          <w:sz w:val="24"/>
          <w:szCs w:val="24"/>
          <w:highlight w:val="none"/>
          <w:lang w:eastAsia="zh-CN"/>
        </w:rPr>
        <w:t>。</w:t>
      </w:r>
    </w:p>
    <w:p w14:paraId="1E6C1E53">
      <w:pPr>
        <w:spacing w:before="151" w:line="360" w:lineRule="auto"/>
        <w:ind w:left="13" w:right="65" w:firstLine="533"/>
        <w:rPr>
          <w:rFonts w:hint="eastAsia" w:ascii="宋体" w:hAnsi="宋体" w:eastAsia="宋体" w:cs="宋体"/>
          <w:b w:val="0"/>
          <w:bCs w:val="0"/>
          <w:color w:val="auto"/>
          <w:spacing w:val="-1"/>
          <w:sz w:val="24"/>
          <w:szCs w:val="24"/>
          <w:highlight w:val="none"/>
        </w:rPr>
      </w:pPr>
      <w:bookmarkStart w:id="17" w:name="_Toc28202"/>
      <w:bookmarkStart w:id="18" w:name="_Toc20855"/>
      <w:bookmarkStart w:id="19" w:name="_Toc30251"/>
      <w:bookmarkStart w:id="20" w:name="_Toc14190"/>
      <w:r>
        <w:rPr>
          <w:rFonts w:hint="eastAsia" w:ascii="宋体" w:hAnsi="宋体" w:eastAsia="宋体" w:cs="宋体"/>
          <w:b/>
          <w:bCs/>
          <w:color w:val="auto"/>
          <w:spacing w:val="-1"/>
          <w:sz w:val="24"/>
          <w:szCs w:val="24"/>
          <w:highlight w:val="none"/>
        </w:rPr>
        <w:t xml:space="preserve">1.2.2  </w:t>
      </w:r>
      <w:r>
        <w:rPr>
          <w:rFonts w:hint="eastAsia" w:ascii="宋体" w:hAnsi="宋体" w:eastAsia="宋体" w:cs="宋体"/>
          <w:b w:val="0"/>
          <w:bCs w:val="0"/>
          <w:color w:val="auto"/>
          <w:spacing w:val="-1"/>
          <w:sz w:val="24"/>
          <w:szCs w:val="24"/>
          <w:highlight w:val="none"/>
        </w:rPr>
        <w:t>标段划分：本招标项目不划分标段。</w:t>
      </w:r>
      <w:bookmarkEnd w:id="17"/>
      <w:bookmarkEnd w:id="18"/>
      <w:bookmarkEnd w:id="19"/>
      <w:bookmarkEnd w:id="20"/>
    </w:p>
    <w:p w14:paraId="3E431764">
      <w:pPr>
        <w:spacing w:before="151" w:line="360" w:lineRule="auto"/>
        <w:ind w:left="13" w:right="65" w:firstLine="53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14:paraId="712CC623">
      <w:pPr>
        <w:spacing w:before="22"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531FCE6E">
      <w:pPr>
        <w:wordWrap w:val="0"/>
        <w:adjustRightInd w:val="0"/>
        <w:snapToGrid w:val="0"/>
        <w:spacing w:line="360" w:lineRule="auto"/>
        <w:ind w:firstLine="482" w:firstLineChars="200"/>
        <w:jc w:val="left"/>
        <w:outlineLvl w:val="2"/>
        <w:rPr>
          <w:rFonts w:hint="eastAsia" w:ascii="宋体" w:hAnsi="宋体" w:eastAsia="宋体" w:cs="宋体"/>
          <w:b/>
          <w:bCs/>
          <w:color w:val="auto"/>
          <w:sz w:val="24"/>
          <w:szCs w:val="24"/>
          <w:highlight w:val="none"/>
        </w:rPr>
      </w:pPr>
      <w:bookmarkStart w:id="21" w:name="_Toc826"/>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eastAsia="zh-CN"/>
        </w:rPr>
        <w:t>投标人</w:t>
      </w:r>
      <w:r>
        <w:rPr>
          <w:rFonts w:hint="eastAsia" w:ascii="宋体" w:hAnsi="宋体" w:eastAsia="宋体" w:cs="宋体"/>
          <w:b/>
          <w:bCs/>
          <w:color w:val="auto"/>
          <w:sz w:val="24"/>
          <w:szCs w:val="24"/>
          <w:highlight w:val="none"/>
        </w:rPr>
        <w:t>资质要求</w:t>
      </w:r>
      <w:bookmarkEnd w:id="21"/>
    </w:p>
    <w:p w14:paraId="2C1CD63E">
      <w:pPr>
        <w:pStyle w:val="57"/>
        <w:pageBreakBefore w:val="0"/>
        <w:kinsoku/>
        <w:overflowPunct/>
        <w:topLinePunct w:val="0"/>
        <w:autoSpaceDE/>
        <w:autoSpaceDN/>
        <w:bidi w:val="0"/>
        <w:snapToGrid w:val="0"/>
        <w:spacing w:line="360" w:lineRule="auto"/>
        <w:ind w:firstLine="482" w:firstLineChars="200"/>
        <w:jc w:val="left"/>
        <w:rPr>
          <w:rStyle w:val="48"/>
          <w:rFonts w:hint="eastAsia" w:ascii="宋体" w:hAnsi="宋体" w:eastAsia="宋体" w:cs="宋体"/>
          <w:color w:val="auto"/>
          <w:kern w:val="0"/>
          <w:sz w:val="24"/>
          <w:szCs w:val="24"/>
          <w:highlight w:val="none"/>
          <w:lang w:eastAsia="zh-CN"/>
        </w:rPr>
      </w:pPr>
      <w:r>
        <w:rPr>
          <w:rStyle w:val="48"/>
          <w:rFonts w:hint="eastAsia" w:ascii="宋体" w:hAnsi="宋体" w:eastAsia="宋体" w:cs="宋体"/>
          <w:b/>
          <w:bCs/>
          <w:color w:val="auto"/>
          <w:kern w:val="0"/>
          <w:sz w:val="24"/>
          <w:szCs w:val="24"/>
          <w:highlight w:val="none"/>
          <w:lang w:val="en-US" w:eastAsia="zh-CN"/>
        </w:rPr>
        <w:t>2.</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lang w:eastAsia="zh-CN"/>
        </w:rPr>
        <w:t>本次招标</w:t>
      </w:r>
      <w:r>
        <w:rPr>
          <w:rStyle w:val="48"/>
          <w:rFonts w:hint="eastAsia" w:ascii="宋体" w:hAnsi="宋体" w:eastAsia="宋体" w:cs="宋体"/>
          <w:color w:val="auto"/>
          <w:kern w:val="0"/>
          <w:sz w:val="24"/>
          <w:szCs w:val="24"/>
          <w:highlight w:val="none"/>
          <w:u w:val="single"/>
          <w:lang w:eastAsia="zh-CN"/>
        </w:rPr>
        <w:t>不接受</w:t>
      </w:r>
      <w:r>
        <w:rPr>
          <w:rStyle w:val="48"/>
          <w:rFonts w:hint="eastAsia" w:ascii="宋体" w:hAnsi="宋体" w:eastAsia="宋体" w:cs="宋体"/>
          <w:color w:val="auto"/>
          <w:kern w:val="0"/>
          <w:sz w:val="24"/>
          <w:szCs w:val="24"/>
          <w:highlight w:val="none"/>
          <w:lang w:eastAsia="zh-CN"/>
        </w:rPr>
        <w:t>联合体投标。</w:t>
      </w:r>
    </w:p>
    <w:p w14:paraId="522C5F58">
      <w:pPr>
        <w:pStyle w:val="57"/>
        <w:pageBreakBefore w:val="0"/>
        <w:kinsoku/>
        <w:overflowPunct/>
        <w:topLinePunct w:val="0"/>
        <w:autoSpaceDE/>
        <w:autoSpaceDN/>
        <w:bidi w:val="0"/>
        <w:snapToGrid w:val="0"/>
        <w:spacing w:line="360" w:lineRule="auto"/>
        <w:ind w:firstLine="482" w:firstLineChars="200"/>
        <w:jc w:val="left"/>
        <w:rPr>
          <w:rStyle w:val="48"/>
          <w:rFonts w:hint="eastAsia" w:ascii="宋体" w:hAnsi="宋体" w:eastAsia="宋体" w:cs="宋体"/>
          <w:color w:val="auto"/>
          <w:kern w:val="0"/>
          <w:sz w:val="24"/>
          <w:szCs w:val="24"/>
          <w:highlight w:val="none"/>
          <w:lang w:val="en-US" w:eastAsia="zh-CN"/>
        </w:rPr>
      </w:pPr>
      <w:r>
        <w:rPr>
          <w:rStyle w:val="48"/>
          <w:rFonts w:hint="eastAsia" w:ascii="宋体" w:hAnsi="宋体" w:eastAsia="宋体" w:cs="宋体"/>
          <w:b/>
          <w:bCs/>
          <w:color w:val="auto"/>
          <w:kern w:val="0"/>
          <w:sz w:val="24"/>
          <w:szCs w:val="24"/>
          <w:highlight w:val="none"/>
          <w:lang w:val="en-US" w:eastAsia="zh-CN"/>
        </w:rPr>
        <w:t>2.2</w:t>
      </w:r>
      <w:r>
        <w:rPr>
          <w:rStyle w:val="48"/>
          <w:rFonts w:hint="eastAsia" w:ascii="宋体" w:hAnsi="宋体" w:eastAsia="宋体" w:cs="宋体"/>
          <w:color w:val="auto"/>
          <w:kern w:val="0"/>
          <w:sz w:val="24"/>
          <w:szCs w:val="24"/>
          <w:highlight w:val="none"/>
          <w:lang w:val="en-US" w:eastAsia="zh-CN"/>
        </w:rPr>
        <w:t>资格资质要求</w:t>
      </w:r>
    </w:p>
    <w:p w14:paraId="7F8C533F">
      <w:pPr>
        <w:pStyle w:val="7"/>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2.1</w:t>
      </w:r>
      <w:r>
        <w:rPr>
          <w:rFonts w:hint="eastAsia" w:ascii="宋体" w:hAnsi="宋体" w:eastAsia="宋体" w:cs="宋体"/>
          <w:color w:val="auto"/>
          <w:sz w:val="24"/>
          <w:szCs w:val="24"/>
          <w:highlight w:val="none"/>
        </w:rPr>
        <w:t xml:space="preserve"> 投标人须具备独立法人资格，按国家法律经营。</w:t>
      </w:r>
    </w:p>
    <w:p w14:paraId="3D9D6AF2">
      <w:pPr>
        <w:pStyle w:val="7"/>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2.2</w:t>
      </w:r>
      <w:r>
        <w:rPr>
          <w:rFonts w:hint="eastAsia" w:ascii="宋体" w:hAnsi="宋体" w:eastAsia="宋体" w:cs="宋体"/>
          <w:color w:val="auto"/>
          <w:sz w:val="24"/>
          <w:szCs w:val="24"/>
          <w:highlight w:val="none"/>
        </w:rPr>
        <w:t xml:space="preserve"> 投标人须持有建设行政主管部门颁发的企业资质证书及安全生产许可证。</w:t>
      </w:r>
    </w:p>
    <w:p w14:paraId="31719858">
      <w:pPr>
        <w:pStyle w:val="7"/>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2.3</w:t>
      </w:r>
      <w:r>
        <w:rPr>
          <w:rFonts w:hint="eastAsia" w:ascii="宋体" w:hAnsi="宋体" w:eastAsia="宋体" w:cs="宋体"/>
          <w:color w:val="auto"/>
          <w:sz w:val="24"/>
          <w:szCs w:val="24"/>
          <w:highlight w:val="none"/>
        </w:rPr>
        <w:t xml:space="preserve"> 投标人须具备以下资质：</w:t>
      </w:r>
      <w:r>
        <w:rPr>
          <w:rFonts w:hint="eastAsia" w:ascii="宋体" w:hAnsi="宋体" w:eastAsia="宋体" w:cs="宋体"/>
          <w:color w:val="C00000"/>
          <w:sz w:val="24"/>
          <w:szCs w:val="24"/>
          <w:u w:val="single"/>
        </w:rPr>
        <w:t>公路工程施工总承包</w:t>
      </w:r>
      <w:r>
        <w:rPr>
          <w:rFonts w:hint="eastAsia" w:ascii="宋体" w:hAnsi="宋体" w:eastAsia="宋体" w:cs="宋体"/>
          <w:color w:val="C00000"/>
          <w:sz w:val="24"/>
          <w:szCs w:val="24"/>
          <w:highlight w:val="none"/>
          <w:u w:val="single"/>
        </w:rPr>
        <w:t>叁级</w:t>
      </w:r>
      <w:r>
        <w:rPr>
          <w:rFonts w:hint="eastAsia" w:ascii="宋体" w:hAnsi="宋体" w:eastAsia="宋体" w:cs="宋体"/>
          <w:color w:val="C00000"/>
          <w:sz w:val="24"/>
          <w:szCs w:val="24"/>
          <w:u w:val="single"/>
        </w:rPr>
        <w:t>以上（含</w:t>
      </w:r>
      <w:r>
        <w:rPr>
          <w:rFonts w:hint="eastAsia" w:ascii="宋体" w:hAnsi="宋体" w:eastAsia="宋体" w:cs="宋体"/>
          <w:color w:val="C00000"/>
          <w:sz w:val="24"/>
          <w:szCs w:val="24"/>
          <w:highlight w:val="none"/>
          <w:u w:val="single"/>
        </w:rPr>
        <w:t>叁级</w:t>
      </w:r>
      <w:r>
        <w:rPr>
          <w:rFonts w:hint="eastAsia" w:ascii="宋体" w:hAnsi="宋体" w:eastAsia="宋体" w:cs="宋体"/>
          <w:color w:val="C00000"/>
          <w:sz w:val="24"/>
          <w:szCs w:val="24"/>
          <w:u w:val="single"/>
        </w:rPr>
        <w:t>）资质</w:t>
      </w:r>
      <w:r>
        <w:rPr>
          <w:rFonts w:hint="eastAsia" w:ascii="宋体" w:hAnsi="宋体" w:eastAsia="宋体" w:cs="宋体"/>
          <w:sz w:val="24"/>
          <w:szCs w:val="24"/>
          <w:lang w:eastAsia="zh-CN"/>
        </w:rPr>
        <w:t>或</w:t>
      </w:r>
      <w:r>
        <w:rPr>
          <w:rFonts w:hint="eastAsia" w:ascii="宋体" w:hAnsi="宋体" w:eastAsia="宋体" w:cs="宋体"/>
          <w:color w:val="auto"/>
          <w:sz w:val="24"/>
          <w:szCs w:val="24"/>
          <w:highlight w:val="none"/>
          <w:u w:val="single"/>
        </w:rPr>
        <w:t>市政公用工程施工总承包叁级以上（含叁级）资质</w:t>
      </w:r>
      <w:r>
        <w:rPr>
          <w:rFonts w:hint="eastAsia" w:ascii="宋体" w:hAnsi="宋体" w:eastAsia="宋体" w:cs="宋体"/>
          <w:color w:val="auto"/>
          <w:sz w:val="24"/>
          <w:szCs w:val="24"/>
          <w:highlight w:val="none"/>
        </w:rPr>
        <w:t>。</w:t>
      </w:r>
    </w:p>
    <w:p w14:paraId="1DE6637B">
      <w:pPr>
        <w:spacing w:before="78" w:line="360" w:lineRule="auto"/>
        <w:ind w:left="489"/>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3</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val="0"/>
          <w:bCs w:val="0"/>
          <w:color w:val="auto"/>
          <w:spacing w:val="-1"/>
          <w:sz w:val="24"/>
          <w:szCs w:val="24"/>
          <w:highlight w:val="none"/>
        </w:rPr>
        <w:t>相关人员要求</w:t>
      </w:r>
    </w:p>
    <w:p w14:paraId="0E473CB4">
      <w:pPr>
        <w:widowControl w:val="0"/>
        <w:spacing w:line="360"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sz w:val="24"/>
          <w:szCs w:val="24"/>
        </w:rPr>
        <w:t>拟派项目经理为</w:t>
      </w:r>
      <w:r>
        <w:rPr>
          <w:rFonts w:hint="eastAsia" w:ascii="宋体" w:hAnsi="宋体" w:eastAsia="宋体" w:cs="宋体"/>
          <w:color w:val="C00000"/>
          <w:sz w:val="24"/>
          <w:szCs w:val="24"/>
          <w:u w:val="single"/>
          <w:lang w:eastAsia="zh-CN"/>
        </w:rPr>
        <w:t>公路工程</w:t>
      </w:r>
      <w:r>
        <w:rPr>
          <w:rFonts w:hint="eastAsia" w:ascii="宋体" w:hAnsi="宋体" w:eastAsia="宋体" w:cs="宋体"/>
          <w:color w:val="C00000"/>
          <w:sz w:val="24"/>
          <w:szCs w:val="24"/>
          <w:u w:val="single"/>
        </w:rPr>
        <w:t>专业一级或二级注册建造师</w:t>
      </w:r>
      <w:r>
        <w:rPr>
          <w:rFonts w:hint="eastAsia" w:ascii="宋体" w:hAnsi="宋体" w:eastAsia="宋体" w:cs="宋体"/>
          <w:color w:val="C00000"/>
          <w:sz w:val="24"/>
          <w:szCs w:val="24"/>
          <w:lang w:val="en-US" w:eastAsia="zh-CN"/>
        </w:rPr>
        <w:t>或</w:t>
      </w:r>
      <w:r>
        <w:rPr>
          <w:rFonts w:hint="eastAsia" w:ascii="宋体" w:hAnsi="宋体" w:eastAsia="宋体" w:cs="宋体"/>
          <w:sz w:val="24"/>
          <w:szCs w:val="24"/>
          <w:u w:val="single"/>
        </w:rPr>
        <w:t>市政公用工程专业一级或二级注册建造师</w:t>
      </w:r>
      <w:r>
        <w:rPr>
          <w:rFonts w:hint="eastAsia" w:ascii="宋体" w:hAnsi="宋体" w:eastAsia="宋体" w:cs="宋体"/>
          <w:sz w:val="24"/>
          <w:szCs w:val="24"/>
        </w:rPr>
        <w:t>，应持有住建部门印发的在使用有效期内的有效电子注册证书（根据广东省住房和城乡建设厅（粤建市函〔2023〕469 号）文件精神，二级注册建造师可随注册企业在全国范围内执业）。同时均须具备有效安全生产考核合格证明（B证），且未担任其他在施（包括已中标未开工、已开工未竣工）建设工程项目的项目经理。</w:t>
      </w:r>
    </w:p>
    <w:p w14:paraId="16B50FA1">
      <w:pPr>
        <w:widowControl/>
        <w:spacing w:line="360" w:lineRule="auto"/>
        <w:ind w:firstLine="482"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val="en-US" w:eastAsia="zh-CN" w:bidi="ar"/>
        </w:rPr>
        <w:t>2.</w:t>
      </w:r>
      <w:r>
        <w:rPr>
          <w:rFonts w:hint="eastAsia" w:ascii="宋体" w:hAnsi="宋体" w:eastAsia="宋体" w:cs="宋体"/>
          <w:b/>
          <w:bCs/>
          <w:color w:val="auto"/>
          <w:kern w:val="0"/>
          <w:sz w:val="24"/>
          <w:szCs w:val="24"/>
          <w:highlight w:val="none"/>
          <w:lang w:bidi="ar"/>
        </w:rPr>
        <w:t>3.2</w:t>
      </w:r>
      <w:r>
        <w:rPr>
          <w:rFonts w:hint="eastAsia" w:ascii="宋体" w:hAnsi="宋体" w:eastAsia="宋体" w:cs="宋体"/>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bidi="ar"/>
        </w:rPr>
        <w:t>拟派项目技术负责人须具备中级或以上技术职称。</w:t>
      </w:r>
    </w:p>
    <w:p w14:paraId="37B17EBC">
      <w:pPr>
        <w:widowControl/>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3.3</w:t>
      </w:r>
      <w:r>
        <w:rPr>
          <w:rFonts w:hint="eastAsia" w:ascii="宋体" w:hAnsi="宋体" w:eastAsia="宋体" w:cs="宋体"/>
          <w:color w:val="auto"/>
          <w:sz w:val="24"/>
          <w:szCs w:val="24"/>
          <w:highlight w:val="none"/>
        </w:rPr>
        <w:t xml:space="preserve"> 投标人拟派专职安全生产管理人员须具备有效安全生产考核合格证明（C证，安全生产考核合格证书或“广东省建筑施工企业管理人员安全生产考核系统”考核合格信息打印页），且不少于</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人。</w:t>
      </w:r>
    </w:p>
    <w:p w14:paraId="663CCED1">
      <w:pPr>
        <w:wordWrap w:val="0"/>
        <w:adjustRightInd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3.4</w:t>
      </w:r>
      <w:r>
        <w:rPr>
          <w:rFonts w:hint="eastAsia" w:ascii="宋体" w:hAnsi="宋体" w:eastAsia="宋体" w:cs="宋体"/>
          <w:color w:val="auto"/>
          <w:sz w:val="24"/>
          <w:szCs w:val="24"/>
          <w:highlight w:val="none"/>
        </w:rPr>
        <w:t xml:space="preserve"> 投标人与其拟派往本项目管理机构的所有人员之间必须具备合法、唯一的劳动聘用关系。拟派人员中具备注册执业资格的，其注册单位须与投标人保持一致。</w:t>
      </w:r>
    </w:p>
    <w:p w14:paraId="4D73ADC8">
      <w:pPr>
        <w:spacing w:before="78" w:line="36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  </w:t>
      </w:r>
      <w:r>
        <w:rPr>
          <w:rFonts w:hint="eastAsia" w:ascii="宋体" w:hAnsi="宋体" w:eastAsia="宋体" w:cs="宋体"/>
          <w:color w:val="auto"/>
          <w:spacing w:val="-1"/>
          <w:sz w:val="24"/>
          <w:szCs w:val="24"/>
          <w:highlight w:val="none"/>
        </w:rPr>
        <w:t>禁止投标条款</w:t>
      </w:r>
    </w:p>
    <w:p w14:paraId="65C506C1">
      <w:pPr>
        <w:spacing w:before="153" w:line="36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pacing w:val="-1"/>
          <w:sz w:val="24"/>
          <w:szCs w:val="24"/>
          <w:highlight w:val="none"/>
        </w:rPr>
        <w:t>投标人不得存在下列情形之一：</w:t>
      </w:r>
    </w:p>
    <w:p w14:paraId="57058069">
      <w:pPr>
        <w:spacing w:before="153"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（1）为招标人不具有独立法人资格的附属机构（单位</w:t>
      </w:r>
      <w:r>
        <w:rPr>
          <w:rFonts w:hint="eastAsia" w:ascii="宋体" w:hAnsi="宋体" w:eastAsia="宋体" w:cs="宋体"/>
          <w:color w:val="auto"/>
          <w:spacing w:val="1"/>
          <w:sz w:val="24"/>
          <w:szCs w:val="24"/>
          <w:highlight w:val="none"/>
        </w:rPr>
        <w:t>）；</w:t>
      </w:r>
    </w:p>
    <w:p w14:paraId="770C7F52">
      <w:pPr>
        <w:spacing w:before="157"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（2）为本招标项目前期准备提供设计或咨询服务的；</w:t>
      </w:r>
    </w:p>
    <w:p w14:paraId="464593DC">
      <w:pPr>
        <w:spacing w:before="154"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（3）与本招标项目的其他投标人为同一个单位负责人；</w:t>
      </w:r>
    </w:p>
    <w:p w14:paraId="1569B005">
      <w:pPr>
        <w:spacing w:before="155"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（4）与本招标项目的其他投标人存在控股、管理关系；</w:t>
      </w:r>
    </w:p>
    <w:p w14:paraId="129D7125">
      <w:pPr>
        <w:keepNext w:val="0"/>
        <w:keepLines w:val="0"/>
        <w:pageBreakBefore w:val="0"/>
        <w:widowControl w:val="0"/>
        <w:overflowPunct/>
        <w:topLinePunct w:val="0"/>
        <w:bidi w:val="0"/>
        <w:adjustRightInd w:val="0"/>
        <w:snapToGrid w:val="0"/>
        <w:spacing w:before="157"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（5）为本招标项目的监理人；</w:t>
      </w:r>
    </w:p>
    <w:p w14:paraId="5AF11870">
      <w:pPr>
        <w:keepNext w:val="0"/>
        <w:keepLines w:val="0"/>
        <w:pageBreakBefore w:val="0"/>
        <w:widowControl w:val="0"/>
        <w:overflowPunct/>
        <w:topLinePunct w:val="0"/>
        <w:bidi w:val="0"/>
        <w:adjustRightInd w:val="0"/>
        <w:snapToGrid w:val="0"/>
        <w:spacing w:before="154"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（6）为本招标项目的代建人；</w:t>
      </w:r>
    </w:p>
    <w:p w14:paraId="37029DB6">
      <w:pPr>
        <w:keepNext w:val="0"/>
        <w:keepLines w:val="0"/>
        <w:pageBreakBefore w:val="0"/>
        <w:widowControl w:val="0"/>
        <w:overflowPunct/>
        <w:topLinePunct w:val="0"/>
        <w:bidi w:val="0"/>
        <w:adjustRightInd w:val="0"/>
        <w:snapToGrid w:val="0"/>
        <w:spacing w:before="155"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（7）为本招标项目的招标代理机构；</w:t>
      </w:r>
    </w:p>
    <w:p w14:paraId="1166289D">
      <w:pPr>
        <w:keepNext w:val="0"/>
        <w:keepLines w:val="0"/>
        <w:pageBreakBefore w:val="0"/>
        <w:widowControl w:val="0"/>
        <w:overflowPunct/>
        <w:topLinePunct w:val="0"/>
        <w:bidi w:val="0"/>
        <w:adjustRightInd w:val="0"/>
        <w:snapToGrid w:val="0"/>
        <w:spacing w:before="157"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（8）与本招标项目的监理人或代建人或招标代理机构同为一个法定代表人；</w:t>
      </w:r>
    </w:p>
    <w:p w14:paraId="0C5F291D">
      <w:pPr>
        <w:keepNext w:val="0"/>
        <w:keepLines w:val="0"/>
        <w:pageBreakBefore w:val="0"/>
        <w:widowControl w:val="0"/>
        <w:overflowPunct/>
        <w:topLinePunct w:val="0"/>
        <w:bidi w:val="0"/>
        <w:adjustRightInd w:val="0"/>
        <w:snapToGrid w:val="0"/>
        <w:spacing w:before="154"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（9）与本招标项目的监理人或代建人或招标代理机构存在控股或参股关系；</w:t>
      </w:r>
    </w:p>
    <w:p w14:paraId="1754781E">
      <w:pPr>
        <w:keepNext w:val="0"/>
        <w:keepLines w:val="0"/>
        <w:pageBreakBefore w:val="0"/>
        <w:widowControl w:val="0"/>
        <w:overflowPunct/>
        <w:topLinePunct w:val="0"/>
        <w:bidi w:val="0"/>
        <w:adjustRightInd w:val="0"/>
        <w:snapToGrid w:val="0"/>
        <w:spacing w:before="155" w:line="360" w:lineRule="auto"/>
        <w:ind w:firstLine="468"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（10）与本招标项目的监理人或代建人或招标代理机构存在相互</w:t>
      </w:r>
      <w:r>
        <w:rPr>
          <w:rFonts w:hint="eastAsia" w:ascii="宋体" w:hAnsi="宋体" w:eastAsia="宋体" w:cs="宋体"/>
          <w:color w:val="auto"/>
          <w:spacing w:val="-4"/>
          <w:sz w:val="24"/>
          <w:szCs w:val="24"/>
          <w:highlight w:val="none"/>
        </w:rPr>
        <w:t>任职或工作关系；</w:t>
      </w:r>
    </w:p>
    <w:p w14:paraId="3E4D3A29">
      <w:pPr>
        <w:keepNext w:val="0"/>
        <w:keepLines w:val="0"/>
        <w:pageBreakBefore w:val="0"/>
        <w:widowControl w:val="0"/>
        <w:overflowPunct/>
        <w:topLinePunct w:val="0"/>
        <w:bidi w:val="0"/>
        <w:adjustRightInd w:val="0"/>
        <w:snapToGrid w:val="0"/>
        <w:spacing w:before="157"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（11）被依法暂停或者取消投标资格；</w:t>
      </w:r>
    </w:p>
    <w:p w14:paraId="4540A860">
      <w:pPr>
        <w:keepNext w:val="0"/>
        <w:keepLines w:val="0"/>
        <w:pageBreakBefore w:val="0"/>
        <w:widowControl w:val="0"/>
        <w:overflowPunct/>
        <w:topLinePunct w:val="0"/>
        <w:bidi w:val="0"/>
        <w:adjustRightInd w:val="0"/>
        <w:snapToGrid w:val="0"/>
        <w:spacing w:before="154"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（12）被责令停产停业、暂扣或者吊销许可证、暂扣或者吊销执照；</w:t>
      </w:r>
    </w:p>
    <w:p w14:paraId="204F9BEE">
      <w:pPr>
        <w:pStyle w:val="34"/>
        <w:keepNext w:val="0"/>
        <w:keepLines w:val="0"/>
        <w:pageBreakBefore w:val="0"/>
        <w:widowControl w:val="0"/>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（13）进入清算程序，或被宣告破产，或其他丧失履约能力的情形；</w:t>
      </w:r>
      <w:bookmarkStart w:id="22" w:name="bookmark116"/>
      <w:bookmarkEnd w:id="22"/>
      <w:r>
        <w:rPr>
          <w:rFonts w:hint="eastAsia" w:ascii="宋体" w:hAnsi="宋体" w:eastAsia="宋体" w:cs="宋体"/>
          <w:snapToGrid w:val="0"/>
          <w:color w:val="auto"/>
          <w:kern w:val="0"/>
          <w:sz w:val="24"/>
          <w:highlight w:val="none"/>
        </w:rPr>
        <w:t>处罚决定或司法机关出具的有关法律文书为准）；</w:t>
      </w:r>
    </w:p>
    <w:p w14:paraId="1BA42F11">
      <w:pPr>
        <w:pStyle w:val="34"/>
        <w:keepNext w:val="0"/>
        <w:keepLines w:val="0"/>
        <w:pageBreakBefore w:val="0"/>
        <w:widowControl w:val="0"/>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（14）在最近三年内发生重大工程质量或安全问题（以相关行业主管部门的行政处罚决定或司法机关出具的有关法律文书为准）；</w:t>
      </w:r>
    </w:p>
    <w:p w14:paraId="1601A147">
      <w:pPr>
        <w:pStyle w:val="34"/>
        <w:keepNext w:val="0"/>
        <w:keepLines w:val="0"/>
        <w:pageBreakBefore w:val="0"/>
        <w:widowControl w:val="0"/>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（15）被“信用中国”网站（https://www.creditchina.gov.cn）发布的《法人和非法人组织公共信用信息报告》列为严重失信主体名单的。</w:t>
      </w:r>
    </w:p>
    <w:p w14:paraId="356AECBA">
      <w:pPr>
        <w:pStyle w:val="34"/>
        <w:keepNext w:val="0"/>
        <w:keepLines w:val="0"/>
        <w:pageBreakBefore w:val="0"/>
        <w:widowControl w:val="0"/>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2.4.2  招标人拒绝以下名单中的单位参加本次投标：</w:t>
      </w:r>
    </w:p>
    <w:tbl>
      <w:tblPr>
        <w:tblStyle w:val="24"/>
        <w:tblW w:w="10048"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5077"/>
        <w:gridCol w:w="3892"/>
      </w:tblGrid>
      <w:tr w14:paraId="4C25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6" w:type="dxa"/>
            <w:noWrap w:val="0"/>
            <w:vAlign w:val="center"/>
          </w:tcPr>
          <w:p w14:paraId="0E9219F5">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3367" w:type="dxa"/>
            <w:noWrap w:val="0"/>
            <w:vAlign w:val="center"/>
          </w:tcPr>
          <w:p w14:paraId="65A06269">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单位名称</w:t>
            </w:r>
          </w:p>
        </w:tc>
        <w:tc>
          <w:tcPr>
            <w:tcW w:w="2581" w:type="dxa"/>
            <w:noWrap w:val="0"/>
            <w:vAlign w:val="center"/>
          </w:tcPr>
          <w:p w14:paraId="21190669">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拒绝原因</w:t>
            </w:r>
          </w:p>
        </w:tc>
      </w:tr>
      <w:tr w14:paraId="3D3B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5AAFC263">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3367" w:type="dxa"/>
            <w:noWrap w:val="0"/>
            <w:vAlign w:val="center"/>
          </w:tcPr>
          <w:p w14:paraId="2C5E31E7">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韶关市武江区江湾镇人民政府</w:t>
            </w:r>
          </w:p>
        </w:tc>
        <w:tc>
          <w:tcPr>
            <w:tcW w:w="2581" w:type="dxa"/>
            <w:noWrap w:val="0"/>
            <w:vAlign w:val="center"/>
          </w:tcPr>
          <w:p w14:paraId="5BFB8223">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en-US"/>
              </w:rPr>
              <w:t>为本招标项目的业主</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en-US"/>
              </w:rPr>
              <w:t>招标人</w:t>
            </w:r>
          </w:p>
        </w:tc>
      </w:tr>
      <w:tr w14:paraId="72CB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759540BE">
            <w:pPr>
              <w:spacing w:line="24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3367" w:type="dxa"/>
            <w:shd w:val="clear" w:color="auto" w:fill="auto"/>
            <w:noWrap w:val="0"/>
            <w:vAlign w:val="center"/>
          </w:tcPr>
          <w:p w14:paraId="542BCB39">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广东明正项目管理有限公司</w:t>
            </w:r>
          </w:p>
        </w:tc>
        <w:tc>
          <w:tcPr>
            <w:tcW w:w="2581" w:type="dxa"/>
            <w:shd w:val="clear" w:color="auto" w:fill="auto"/>
            <w:noWrap w:val="0"/>
            <w:vAlign w:val="center"/>
          </w:tcPr>
          <w:p w14:paraId="6A9CDB86">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为本招标项目的招标代理机构</w:t>
            </w:r>
          </w:p>
        </w:tc>
      </w:tr>
      <w:tr w14:paraId="3EC8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378E9DA8">
            <w:pPr>
              <w:spacing w:line="24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3367" w:type="dxa"/>
            <w:shd w:val="clear" w:color="auto" w:fill="auto"/>
            <w:noWrap w:val="0"/>
            <w:vAlign w:val="center"/>
          </w:tcPr>
          <w:p w14:paraId="12D83FCF">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广东省华源建设项目管理有限公司</w:t>
            </w:r>
          </w:p>
        </w:tc>
        <w:tc>
          <w:tcPr>
            <w:tcW w:w="2581" w:type="dxa"/>
            <w:shd w:val="clear" w:color="auto" w:fill="auto"/>
            <w:noWrap w:val="0"/>
            <w:vAlign w:val="center"/>
          </w:tcPr>
          <w:p w14:paraId="198E777D">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为本招标项目的可研编制单位</w:t>
            </w:r>
          </w:p>
        </w:tc>
      </w:tr>
      <w:tr w14:paraId="30C9B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1B4FD6E0">
            <w:pPr>
              <w:spacing w:line="24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3367" w:type="dxa"/>
            <w:shd w:val="clear" w:color="auto" w:fill="auto"/>
            <w:noWrap w:val="0"/>
            <w:vAlign w:val="center"/>
          </w:tcPr>
          <w:p w14:paraId="332670D1">
            <w:pPr>
              <w:spacing w:line="24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海通国际设计有限公司</w:t>
            </w:r>
          </w:p>
        </w:tc>
        <w:tc>
          <w:tcPr>
            <w:tcW w:w="2581" w:type="dxa"/>
            <w:shd w:val="clear" w:color="auto" w:fill="auto"/>
            <w:noWrap w:val="0"/>
            <w:vAlign w:val="center"/>
          </w:tcPr>
          <w:p w14:paraId="0E1ADD88">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w:t>
            </w:r>
            <w:r>
              <w:rPr>
                <w:rFonts w:hint="eastAsia" w:ascii="宋体" w:hAnsi="宋体" w:eastAsia="宋体" w:cs="宋体"/>
                <w:sz w:val="24"/>
                <w:szCs w:val="24"/>
                <w:lang w:val="en-US" w:eastAsia="zh-CN"/>
              </w:rPr>
              <w:t>工程造价</w:t>
            </w:r>
            <w:r>
              <w:rPr>
                <w:rFonts w:hint="eastAsia" w:ascii="宋体" w:hAnsi="宋体" w:eastAsia="宋体" w:cs="宋体"/>
                <w:sz w:val="24"/>
                <w:szCs w:val="24"/>
                <w:lang w:val="en-US" w:eastAsia="en-US"/>
              </w:rPr>
              <w:t>单位</w:t>
            </w:r>
          </w:p>
        </w:tc>
      </w:tr>
      <w:tr w14:paraId="592C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79ABABE3">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3367" w:type="dxa"/>
            <w:shd w:val="clear" w:color="auto" w:fill="auto"/>
            <w:noWrap w:val="0"/>
            <w:vAlign w:val="center"/>
          </w:tcPr>
          <w:p w14:paraId="75AC665F">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都创工程设计有限公司</w:t>
            </w:r>
          </w:p>
        </w:tc>
        <w:tc>
          <w:tcPr>
            <w:tcW w:w="2581" w:type="dxa"/>
            <w:shd w:val="clear" w:color="auto" w:fill="auto"/>
            <w:noWrap w:val="0"/>
            <w:vAlign w:val="center"/>
          </w:tcPr>
          <w:p w14:paraId="0888B23B">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en-US"/>
              </w:rPr>
              <w:t>为本招标项目的</w:t>
            </w:r>
            <w:r>
              <w:rPr>
                <w:rFonts w:hint="eastAsia" w:ascii="宋体" w:hAnsi="宋体" w:eastAsia="宋体" w:cs="宋体"/>
                <w:sz w:val="24"/>
                <w:szCs w:val="24"/>
                <w:lang w:val="en-US" w:eastAsia="zh-CN"/>
              </w:rPr>
              <w:t>设计单位</w:t>
            </w:r>
          </w:p>
        </w:tc>
      </w:tr>
    </w:tbl>
    <w:p w14:paraId="5D1C8E36">
      <w:pPr>
        <w:spacing w:before="153" w:line="360" w:lineRule="auto"/>
        <w:ind w:left="70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14:paraId="3A84FD35">
      <w:pPr>
        <w:spacing w:before="150" w:line="360" w:lineRule="auto"/>
        <w:ind w:left="232" w:right="99" w:firstLine="481"/>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省外企业及其拟派往本项目管理机构的所有</w:t>
      </w:r>
      <w:r>
        <w:rPr>
          <w:rFonts w:hint="eastAsia" w:ascii="宋体" w:hAnsi="宋体" w:eastAsia="宋体" w:cs="宋体"/>
          <w:color w:val="auto"/>
          <w:spacing w:val="-2"/>
          <w:sz w:val="24"/>
          <w:szCs w:val="24"/>
          <w:highlight w:val="none"/>
        </w:rPr>
        <w:t>人员均须按照《广东省住房和城乡建</w:t>
      </w:r>
      <w:r>
        <w:rPr>
          <w:rFonts w:hint="eastAsia" w:ascii="宋体" w:hAnsi="宋体" w:eastAsia="宋体" w:cs="宋体"/>
          <w:color w:val="auto"/>
          <w:spacing w:val="-1"/>
          <w:sz w:val="24"/>
          <w:szCs w:val="24"/>
          <w:highlight w:val="none"/>
        </w:rPr>
        <w:t>设厅关于取消省外建筑企业和人员进粤信息备案有关工作的通知》</w:t>
      </w:r>
      <w:r>
        <w:rPr>
          <w:rFonts w:hint="eastAsia" w:ascii="宋体" w:hAnsi="宋体" w:eastAsia="宋体" w:cs="宋体"/>
          <w:color w:val="auto"/>
          <w:spacing w:val="-2"/>
          <w:sz w:val="24"/>
          <w:szCs w:val="24"/>
          <w:highlight w:val="none"/>
        </w:rPr>
        <w:t>（粤建市﹝2015﹞</w:t>
      </w:r>
      <w:r>
        <w:rPr>
          <w:rFonts w:hint="eastAsia" w:ascii="宋体" w:hAnsi="宋体" w:eastAsia="宋体" w:cs="宋体"/>
          <w:color w:val="auto"/>
          <w:spacing w:val="-4"/>
          <w:sz w:val="24"/>
          <w:szCs w:val="24"/>
          <w:highlight w:val="none"/>
        </w:rPr>
        <w:t>52号）规定在“进粤企业和人员诚信信息登记平台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”录入相关信息并通过数</w:t>
      </w:r>
      <w:r>
        <w:rPr>
          <w:rFonts w:hint="eastAsia" w:ascii="宋体" w:hAnsi="宋体" w:eastAsia="宋体" w:cs="宋体"/>
          <w:color w:val="auto"/>
          <w:spacing w:val="-5"/>
          <w:sz w:val="24"/>
          <w:szCs w:val="24"/>
          <w:highlight w:val="none"/>
        </w:rPr>
        <w:t>据规范检</w:t>
      </w:r>
      <w:r>
        <w:rPr>
          <w:rFonts w:hint="eastAsia" w:ascii="宋体" w:hAnsi="宋体" w:eastAsia="宋体" w:cs="宋体"/>
          <w:color w:val="auto"/>
          <w:spacing w:val="-6"/>
          <w:sz w:val="24"/>
          <w:szCs w:val="24"/>
          <w:highlight w:val="none"/>
        </w:rPr>
        <w:t>查。</w:t>
      </w:r>
    </w:p>
    <w:p w14:paraId="0BDE96C7">
      <w:pPr>
        <w:spacing w:before="79" w:line="360" w:lineRule="auto"/>
        <w:ind w:left="715"/>
        <w:outlineLvl w:val="2"/>
        <w:rPr>
          <w:rFonts w:hint="eastAsia" w:ascii="宋体" w:hAnsi="宋体" w:eastAsia="宋体" w:cs="宋体"/>
          <w:color w:val="auto"/>
          <w:sz w:val="24"/>
          <w:szCs w:val="24"/>
          <w:highlight w:val="none"/>
        </w:rPr>
      </w:pPr>
      <w:bookmarkStart w:id="23" w:name="_Toc27377"/>
      <w:bookmarkStart w:id="24" w:name="_Toc10655"/>
      <w:r>
        <w:rPr>
          <w:rFonts w:hint="eastAsia" w:ascii="宋体" w:hAnsi="宋体" w:eastAsia="宋体" w:cs="宋体"/>
          <w:b/>
          <w:bCs/>
          <w:color w:val="auto"/>
          <w:spacing w:val="-4"/>
          <w:sz w:val="24"/>
          <w:szCs w:val="24"/>
          <w:highlight w:val="none"/>
        </w:rPr>
        <w:t>3</w:t>
      </w:r>
      <w:r>
        <w:rPr>
          <w:rFonts w:hint="eastAsia" w:ascii="宋体" w:hAnsi="宋体" w:eastAsia="宋体" w:cs="宋体"/>
          <w:b/>
          <w:bCs/>
          <w:color w:val="auto"/>
          <w:spacing w:val="-4"/>
          <w:sz w:val="24"/>
          <w:szCs w:val="24"/>
          <w:highlight w:val="none"/>
          <w:lang w:val="en-US" w:eastAsia="zh-CN"/>
        </w:rPr>
        <w:t>.</w:t>
      </w:r>
      <w:r>
        <w:rPr>
          <w:rFonts w:hint="eastAsia" w:ascii="宋体" w:hAnsi="宋体" w:eastAsia="宋体" w:cs="宋体"/>
          <w:b/>
          <w:bCs/>
          <w:color w:val="auto"/>
          <w:spacing w:val="-4"/>
          <w:sz w:val="24"/>
          <w:szCs w:val="24"/>
          <w:highlight w:val="none"/>
        </w:rPr>
        <w:t>招标文件的获取</w:t>
      </w:r>
      <w:bookmarkEnd w:id="23"/>
      <w:bookmarkEnd w:id="24"/>
    </w:p>
    <w:p w14:paraId="10B325F2">
      <w:pPr>
        <w:spacing w:before="182" w:line="360" w:lineRule="auto"/>
        <w:ind w:left="70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116295C5">
      <w:pPr>
        <w:spacing w:before="178" w:line="360" w:lineRule="auto"/>
        <w:ind w:left="229"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在全国公共资源交易平台（广东省·韶关市）网站下载。请于招标文件获取期间,（见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pacing w:val="-4"/>
          <w:sz w:val="24"/>
          <w:szCs w:val="24"/>
          <w:highlight w:val="none"/>
        </w:rPr>
        <w:t>致，投标人须登录全国公共资源交易平台（广东省·韶关市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工程交易中下载《韶关市公共资源建设工程交易系统-投</w:t>
      </w:r>
      <w:r>
        <w:rPr>
          <w:rFonts w:hint="eastAsia" w:ascii="宋体" w:hAnsi="宋体" w:eastAsia="宋体" w:cs="宋体"/>
          <w:color w:val="auto"/>
          <w:spacing w:val="-1"/>
          <w:sz w:val="24"/>
          <w:szCs w:val="24"/>
          <w:highlight w:val="none"/>
        </w:rPr>
        <w:t>标人操作指南（电子评标）》（附件2），了解网上获取招标文件操作流程。技术咨询电话：0751-837</w:t>
      </w:r>
      <w:r>
        <w:rPr>
          <w:rFonts w:hint="eastAsia" w:ascii="宋体" w:hAnsi="宋体" w:eastAsia="宋体" w:cs="宋体"/>
          <w:color w:val="auto"/>
          <w:spacing w:val="-4"/>
          <w:sz w:val="24"/>
          <w:szCs w:val="24"/>
          <w:highlight w:val="none"/>
        </w:rPr>
        <w:t>9671伍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pacing w:val="-1"/>
          <w:sz w:val="24"/>
          <w:szCs w:val="24"/>
          <w:highlight w:val="none"/>
        </w:rPr>
        <w:t>业务咨询电话：0751-8633211、8633071。</w:t>
      </w:r>
    </w:p>
    <w:p w14:paraId="785339EF">
      <w:pPr>
        <w:spacing w:before="142" w:line="360" w:lineRule="auto"/>
        <w:ind w:left="11" w:right="105"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14:paraId="76B73CD5">
      <w:pPr>
        <w:spacing w:before="32" w:line="360" w:lineRule="auto"/>
        <w:ind w:left="10" w:right="90"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交易平台（广东省·韶关市）</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14:paraId="015DEDBB">
      <w:pPr>
        <w:spacing w:before="37" w:line="360" w:lineRule="auto"/>
        <w:ind w:left="9" w:right="105"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损失和后果，由投标人自行承担。</w:t>
      </w:r>
    </w:p>
    <w:p w14:paraId="692B4BF1">
      <w:pPr>
        <w:spacing w:before="33" w:line="360" w:lineRule="auto"/>
        <w:ind w:left="10" w:right="105" w:firstLine="508"/>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电子印章：是指获得国家工业和信息化部颁发的《电子认证服务许可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14:paraId="6C5D9CE5">
      <w:pPr>
        <w:spacing w:before="33"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14:paraId="28028499">
      <w:pPr>
        <w:spacing w:before="152" w:line="360" w:lineRule="auto"/>
        <w:ind w:left="8" w:right="105"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color w:val="auto"/>
          <w:spacing w:val="-1"/>
          <w:sz w:val="24"/>
          <w:szCs w:val="24"/>
          <w:highlight w:val="none"/>
          <w:lang w:val="en-US" w:eastAsia="zh-CN"/>
        </w:rPr>
        <w:t>2000</w:t>
      </w:r>
      <w:r>
        <w:rPr>
          <w:rFonts w:hint="eastAsia" w:ascii="宋体" w:hAnsi="宋体" w:eastAsia="宋体" w:cs="宋体"/>
          <w:color w:val="auto"/>
          <w:spacing w:val="-1"/>
          <w:sz w:val="24"/>
          <w:szCs w:val="24"/>
          <w:highlight w:val="none"/>
          <w:u w:val="none"/>
          <w:lang w:eastAsia="zh-CN"/>
        </w:rPr>
        <w:t>元</w:t>
      </w:r>
      <w:r>
        <w:rPr>
          <w:rFonts w:hint="eastAsia" w:ascii="宋体" w:hAnsi="宋体" w:eastAsia="宋体" w:cs="宋体"/>
          <w:color w:val="auto"/>
          <w:spacing w:val="-1"/>
          <w:sz w:val="24"/>
          <w:szCs w:val="24"/>
          <w:highlight w:val="none"/>
        </w:rPr>
        <w:t>人民币的投标保证</w:t>
      </w:r>
      <w:r>
        <w:rPr>
          <w:rFonts w:hint="eastAsia" w:ascii="宋体" w:hAnsi="宋体" w:eastAsia="宋体" w:cs="宋体"/>
          <w:color w:val="auto"/>
          <w:spacing w:val="-1"/>
          <w:sz w:val="24"/>
          <w:szCs w:val="24"/>
          <w:highlight w:val="none"/>
          <w:lang w:eastAsia="zh-CN"/>
        </w:rPr>
        <w:t>金</w:t>
      </w:r>
      <w:r>
        <w:rPr>
          <w:rFonts w:hint="eastAsia" w:ascii="宋体" w:hAnsi="宋体" w:eastAsia="宋体" w:cs="宋体"/>
          <w:color w:val="auto"/>
          <w:spacing w:val="-1"/>
          <w:sz w:val="24"/>
          <w:szCs w:val="24"/>
          <w:highlight w:val="none"/>
        </w:rPr>
        <w:t>。</w:t>
      </w:r>
    </w:p>
    <w:p w14:paraId="2F6E27F3">
      <w:pPr>
        <w:spacing w:before="35" w:line="360" w:lineRule="auto"/>
        <w:ind w:left="12" w:right="108" w:firstLine="471"/>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p>
    <w:p w14:paraId="2A4547AB">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1"/>
          <w:sz w:val="24"/>
          <w:szCs w:val="24"/>
          <w:highlight w:val="none"/>
        </w:rPr>
      </w:pPr>
      <w:bookmarkStart w:id="25" w:name="bookmark117"/>
      <w:bookmarkEnd w:id="25"/>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止时间（见本招标文件“重要事项时间地点一览表”）前，从其基本账户将投标保证金转账到指定的缴纳账号。逾期到账的、从非投标人基本账户转出的，其投标无效。</w:t>
      </w:r>
    </w:p>
    <w:p w14:paraId="4AB78A72">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0FB57550">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 ”）前，使用建设工程交易系统完成网上投保。投标人可在系统选择保险机构、录入投保信息、支付保费、打印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效期不得短于投标有效期。投标人可登录全国公共资源交易平台（广东省·韶关市）（</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），在【服务指南】栏目中下载《建设工程网上交易系统保险保证金缴纳操作指南》，了解网上投保具体操作流程。逾期投保的，其投标无效。</w:t>
      </w:r>
    </w:p>
    <w:p w14:paraId="433D883D">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温馨提示：1.投标人采用投标保证担保或投标保证保险的，为避免在评标过程中因有效期发生争议，建议投标人将银行保函或电子保单有效期设置为较招标文件规定的投标有效期延长不少于20个日历天。</w:t>
      </w:r>
    </w:p>
    <w:p w14:paraId="6CA2428D">
      <w:pPr>
        <w:spacing w:before="78" w:line="360" w:lineRule="auto"/>
        <w:ind w:left="12" w:right="2" w:firstLine="490"/>
        <w:jc w:val="both"/>
        <w:rPr>
          <w:rFonts w:hint="eastAsia" w:ascii="宋体" w:hAnsi="宋体" w:eastAsia="宋体" w:cs="宋体"/>
          <w:color w:val="auto"/>
          <w:highlight w:val="none"/>
        </w:rPr>
      </w:pPr>
      <w:r>
        <w:rPr>
          <w:rFonts w:hint="eastAsia" w:ascii="宋体" w:hAnsi="宋体" w:eastAsia="宋体" w:cs="宋体"/>
          <w:color w:val="auto"/>
          <w:spacing w:val="-3"/>
          <w:sz w:val="24"/>
          <w:szCs w:val="24"/>
          <w:highlight w:val="none"/>
        </w:rPr>
        <w:t>3.4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p>
    <w:p w14:paraId="63EDD81B">
      <w:pPr>
        <w:spacing w:before="79" w:line="360" w:lineRule="auto"/>
        <w:ind w:left="487"/>
        <w:outlineLvl w:val="2"/>
        <w:rPr>
          <w:rFonts w:hint="eastAsia" w:ascii="宋体" w:hAnsi="宋体" w:eastAsia="宋体" w:cs="宋体"/>
          <w:color w:val="auto"/>
          <w:sz w:val="24"/>
          <w:szCs w:val="24"/>
          <w:highlight w:val="none"/>
        </w:rPr>
      </w:pPr>
      <w:bookmarkStart w:id="26" w:name="bookmark64"/>
      <w:bookmarkEnd w:id="26"/>
      <w:bookmarkStart w:id="27" w:name="bookmark78"/>
      <w:bookmarkEnd w:id="27"/>
      <w:bookmarkStart w:id="28" w:name="_Toc22684"/>
      <w:bookmarkStart w:id="29" w:name="_Toc27100"/>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b/>
          <w:bCs/>
          <w:color w:val="auto"/>
          <w:spacing w:val="-8"/>
          <w:sz w:val="24"/>
          <w:szCs w:val="24"/>
          <w:highlight w:val="none"/>
        </w:rPr>
        <w:t>工期要求</w:t>
      </w:r>
      <w:bookmarkEnd w:id="28"/>
      <w:bookmarkEnd w:id="29"/>
    </w:p>
    <w:p w14:paraId="6373A964">
      <w:pPr>
        <w:spacing w:before="153" w:line="360" w:lineRule="auto"/>
        <w:ind w:left="30" w:right="65" w:firstLine="46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本招标项目招标工期为</w:t>
      </w:r>
      <w:r>
        <w:rPr>
          <w:rFonts w:hint="eastAsia" w:ascii="宋体" w:hAnsi="宋体" w:eastAsia="宋体" w:cs="宋体"/>
          <w:color w:val="auto"/>
          <w:spacing w:val="-2"/>
          <w:sz w:val="24"/>
          <w:szCs w:val="24"/>
          <w:highlight w:val="none"/>
          <w:u w:val="single"/>
          <w:lang w:val="en-US" w:eastAsia="zh-CN"/>
        </w:rPr>
        <w:t>60个日历天</w:t>
      </w:r>
      <w:r>
        <w:rPr>
          <w:rFonts w:hint="eastAsia" w:ascii="宋体" w:hAnsi="宋体" w:eastAsia="宋体" w:cs="宋体"/>
          <w:color w:val="auto"/>
          <w:spacing w:val="-2"/>
          <w:sz w:val="24"/>
          <w:szCs w:val="24"/>
          <w:highlight w:val="none"/>
        </w:rPr>
        <w:t>，中标人必须在招标工期内完成招标范围内</w:t>
      </w:r>
      <w:r>
        <w:rPr>
          <w:rFonts w:hint="eastAsia" w:ascii="宋体" w:hAnsi="宋体" w:eastAsia="宋体" w:cs="宋体"/>
          <w:color w:val="auto"/>
          <w:spacing w:val="-5"/>
          <w:sz w:val="24"/>
          <w:szCs w:val="24"/>
          <w:highlight w:val="none"/>
        </w:rPr>
        <w:t>的全部内容。</w:t>
      </w:r>
    </w:p>
    <w:p w14:paraId="7C2E502E">
      <w:pPr>
        <w:spacing w:before="78" w:line="360" w:lineRule="auto"/>
        <w:ind w:left="488"/>
        <w:outlineLvl w:val="2"/>
        <w:rPr>
          <w:rFonts w:hint="eastAsia" w:ascii="宋体" w:hAnsi="宋体" w:eastAsia="宋体" w:cs="宋体"/>
          <w:color w:val="auto"/>
          <w:sz w:val="24"/>
          <w:szCs w:val="24"/>
          <w:highlight w:val="none"/>
        </w:rPr>
      </w:pPr>
      <w:bookmarkStart w:id="30" w:name="_Toc3173"/>
      <w:bookmarkStart w:id="31" w:name="_Toc10840"/>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5"/>
          <w:sz w:val="24"/>
          <w:szCs w:val="24"/>
          <w:highlight w:val="none"/>
        </w:rPr>
        <w:t>质量标准和材料、机械要求</w:t>
      </w:r>
      <w:bookmarkEnd w:id="30"/>
      <w:bookmarkEnd w:id="31"/>
    </w:p>
    <w:p w14:paraId="1AAE31B9">
      <w:pPr>
        <w:spacing w:before="154" w:line="360" w:lineRule="auto"/>
        <w:ind w:left="11" w:right="99" w:firstLine="477"/>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 xml:space="preserve">5.1  </w:t>
      </w:r>
      <w:r>
        <w:rPr>
          <w:rFonts w:hint="eastAsia" w:ascii="宋体" w:hAnsi="宋体" w:eastAsia="宋体" w:cs="宋体"/>
          <w:snapToGrid w:val="0"/>
          <w:color w:val="auto"/>
          <w:kern w:val="0"/>
          <w:sz w:val="24"/>
          <w:szCs w:val="24"/>
          <w:highlight w:val="none"/>
        </w:rPr>
        <w:t>施工工艺严格按照国家和广东省的有关现行施工技术规范及标准执行，</w:t>
      </w:r>
      <w:r>
        <w:rPr>
          <w:rFonts w:hint="eastAsia" w:ascii="宋体" w:hAnsi="宋体" w:eastAsia="宋体" w:cs="宋体"/>
          <w:snapToGrid w:val="0"/>
          <w:color w:val="C00000"/>
          <w:kern w:val="0"/>
          <w:sz w:val="24"/>
          <w:szCs w:val="24"/>
          <w:highlight w:val="none"/>
          <w:lang w:eastAsia="zh-CN"/>
        </w:rPr>
        <w:t>符合现行国家有关工程施工质量验收规范和标准的要求。</w:t>
      </w:r>
    </w:p>
    <w:p w14:paraId="792ACDC1">
      <w:pPr>
        <w:spacing w:before="154" w:line="360" w:lineRule="auto"/>
        <w:ind w:left="11" w:right="99" w:firstLine="477"/>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36DDB4F7">
      <w:pPr>
        <w:spacing w:before="154" w:line="360" w:lineRule="auto"/>
        <w:ind w:left="11" w:right="99" w:firstLine="477"/>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保修期限按《建设工程质量管理条例》（中华人民共和国国务院令第279号）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300B7EA2">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本招标项目</w:t>
      </w:r>
      <w:r>
        <w:rPr>
          <w:rFonts w:hint="eastAsia" w:ascii="宋体" w:hAnsi="宋体" w:eastAsia="宋体" w:cs="宋体"/>
          <w:color w:val="auto"/>
          <w:spacing w:val="-1"/>
          <w:sz w:val="24"/>
          <w:szCs w:val="24"/>
          <w:highlight w:val="none"/>
          <w:lang w:eastAsia="zh-CN"/>
        </w:rPr>
        <w:t>不</w:t>
      </w:r>
      <w:r>
        <w:rPr>
          <w:rFonts w:hint="eastAsia" w:ascii="宋体" w:hAnsi="宋体" w:eastAsia="宋体" w:cs="宋体"/>
          <w:color w:val="auto"/>
          <w:spacing w:val="-1"/>
          <w:sz w:val="24"/>
          <w:szCs w:val="24"/>
          <w:highlight w:val="none"/>
        </w:rPr>
        <w:t>纳入绿色建筑实施范围</w:t>
      </w:r>
      <w:r>
        <w:rPr>
          <w:rFonts w:hint="eastAsia" w:ascii="宋体" w:hAnsi="宋体" w:eastAsia="宋体" w:cs="宋体"/>
          <w:color w:val="auto"/>
          <w:spacing w:val="-1"/>
          <w:sz w:val="24"/>
          <w:szCs w:val="24"/>
          <w:highlight w:val="none"/>
          <w:lang w:eastAsia="zh-CN"/>
        </w:rPr>
        <w:t>。</w:t>
      </w:r>
    </w:p>
    <w:p w14:paraId="0876B684">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其它：招标项目</w:t>
      </w:r>
      <w:r>
        <w:rPr>
          <w:rFonts w:hint="eastAsia" w:ascii="宋体" w:hAnsi="宋体" w:eastAsia="宋体" w:cs="宋体"/>
          <w:color w:val="auto"/>
          <w:spacing w:val="-1"/>
          <w:sz w:val="24"/>
          <w:szCs w:val="24"/>
          <w:highlight w:val="none"/>
          <w:lang w:eastAsia="zh-CN"/>
        </w:rPr>
        <w:t>不</w:t>
      </w:r>
      <w:r>
        <w:rPr>
          <w:rFonts w:hint="eastAsia" w:ascii="宋体" w:hAnsi="宋体" w:eastAsia="宋体" w:cs="宋体"/>
          <w:color w:val="auto"/>
          <w:spacing w:val="-1"/>
          <w:sz w:val="24"/>
          <w:szCs w:val="24"/>
          <w:highlight w:val="none"/>
        </w:rPr>
        <w:t>纳入装配式建造建设实施范围。</w:t>
      </w:r>
    </w:p>
    <w:p w14:paraId="0FC3B7C0">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14:paraId="5F446122">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5B497438">
      <w:pPr>
        <w:spacing w:before="78" w:line="360" w:lineRule="auto"/>
        <w:ind w:left="489"/>
        <w:outlineLvl w:val="2"/>
        <w:rPr>
          <w:rFonts w:hint="eastAsia" w:ascii="宋体" w:hAnsi="宋体" w:eastAsia="宋体" w:cs="宋体"/>
          <w:color w:val="auto"/>
          <w:sz w:val="24"/>
          <w:szCs w:val="24"/>
          <w:highlight w:val="none"/>
        </w:rPr>
      </w:pPr>
      <w:bookmarkStart w:id="32" w:name="_Toc20271"/>
      <w:bookmarkStart w:id="33" w:name="_Toc2393"/>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6"/>
          <w:sz w:val="24"/>
          <w:szCs w:val="24"/>
          <w:highlight w:val="none"/>
        </w:rPr>
        <w:t>施工条件及现场踏勘</w:t>
      </w:r>
      <w:bookmarkEnd w:id="32"/>
      <w:bookmarkEnd w:id="33"/>
    </w:p>
    <w:p w14:paraId="5C5E2D5D">
      <w:pPr>
        <w:spacing w:before="155" w:line="360"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095FC4ED">
      <w:pPr>
        <w:spacing w:before="155" w:line="360" w:lineRule="auto"/>
        <w:ind w:left="12" w:right="99" w:firstLine="556"/>
        <w:rPr>
          <w:rFonts w:hint="eastAsia" w:ascii="宋体" w:hAnsi="宋体" w:eastAsia="宋体" w:cs="宋体"/>
          <w:color w:val="auto"/>
          <w:spacing w:val="-2"/>
          <w:sz w:val="24"/>
          <w:szCs w:val="24"/>
          <w:highlight w:val="none"/>
        </w:rPr>
      </w:pPr>
      <w:bookmarkStart w:id="34" w:name="bookmark118"/>
      <w:bookmarkEnd w:id="34"/>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由中标人自行解决，费用考虑在投标报价中</w:t>
      </w:r>
      <w:r>
        <w:rPr>
          <w:rFonts w:hint="eastAsia" w:ascii="宋体" w:hAnsi="宋体" w:eastAsia="宋体" w:cs="宋体"/>
          <w:color w:val="auto"/>
          <w:spacing w:val="-2"/>
          <w:sz w:val="24"/>
          <w:szCs w:val="24"/>
          <w:highlight w:val="none"/>
        </w:rPr>
        <w:t>。</w:t>
      </w:r>
    </w:p>
    <w:p w14:paraId="7AC90E75">
      <w:pPr>
        <w:spacing w:before="155" w:line="360"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由中标人自行解决，费用考虑在投标报价中</w:t>
      </w:r>
      <w:r>
        <w:rPr>
          <w:rFonts w:hint="eastAsia" w:ascii="宋体" w:hAnsi="宋体" w:eastAsia="宋体" w:cs="宋体"/>
          <w:color w:val="auto"/>
          <w:spacing w:val="-2"/>
          <w:sz w:val="24"/>
          <w:szCs w:val="24"/>
          <w:highlight w:val="none"/>
        </w:rPr>
        <w:t>。</w:t>
      </w:r>
    </w:p>
    <w:p w14:paraId="0EEB5CBB">
      <w:pPr>
        <w:spacing w:before="155" w:line="360" w:lineRule="auto"/>
        <w:ind w:left="12" w:right="99"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6.4</w:t>
      </w:r>
      <w:r>
        <w:rPr>
          <w:rFonts w:hint="eastAsia" w:ascii="宋体" w:hAnsi="宋体" w:eastAsia="宋体" w:cs="宋体"/>
          <w:color w:val="auto"/>
          <w:spacing w:val="-2"/>
          <w:sz w:val="24"/>
          <w:szCs w:val="24"/>
          <w:highlight w:val="none"/>
        </w:rPr>
        <w:t xml:space="preserve">  施工用水、用电各提供一驳接点到现场边缘。要求中标人单独安装水表、电表，其水、电费按项目所在地韶关市/</w:t>
      </w:r>
      <w:r>
        <w:rPr>
          <w:rFonts w:hint="eastAsia" w:ascii="宋体" w:hAnsi="宋体" w:eastAsia="宋体" w:cs="宋体"/>
          <w:color w:val="auto"/>
          <w:spacing w:val="-2"/>
          <w:sz w:val="24"/>
          <w:szCs w:val="24"/>
          <w:highlight w:val="none"/>
          <w:lang w:eastAsia="zh-CN"/>
        </w:rPr>
        <w:t>武江区</w:t>
      </w:r>
      <w:r>
        <w:rPr>
          <w:rFonts w:hint="eastAsia" w:ascii="宋体" w:hAnsi="宋体" w:eastAsia="宋体" w:cs="宋体"/>
          <w:color w:val="auto"/>
          <w:spacing w:val="-2"/>
          <w:sz w:val="24"/>
          <w:szCs w:val="24"/>
          <w:highlight w:val="none"/>
        </w:rPr>
        <w:t>基建工程水、电计费</w:t>
      </w:r>
      <w:r>
        <w:rPr>
          <w:rFonts w:hint="eastAsia" w:ascii="宋体" w:hAnsi="宋体" w:eastAsia="宋体" w:cs="宋体"/>
          <w:color w:val="auto"/>
          <w:spacing w:val="-3"/>
          <w:sz w:val="24"/>
          <w:szCs w:val="24"/>
          <w:highlight w:val="none"/>
        </w:rPr>
        <w:t>标准计算并由中标人缴纳。</w:t>
      </w:r>
    </w:p>
    <w:p w14:paraId="658065E1">
      <w:pPr>
        <w:spacing w:before="154" w:line="36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6.5  </w:t>
      </w:r>
      <w:r>
        <w:rPr>
          <w:rFonts w:hint="eastAsia" w:ascii="宋体" w:hAnsi="宋体" w:eastAsia="宋体" w:cs="宋体"/>
          <w:color w:val="auto"/>
          <w:spacing w:val="-2"/>
          <w:sz w:val="24"/>
          <w:szCs w:val="24"/>
          <w:highlight w:val="none"/>
        </w:rPr>
        <w:t>招标人不组织现场踏勘，但会在招标文件及有关设计文件中明确告知招标项</w:t>
      </w:r>
      <w:r>
        <w:rPr>
          <w:rFonts w:hint="eastAsia" w:ascii="宋体" w:hAnsi="宋体" w:eastAsia="宋体" w:cs="宋体"/>
          <w:color w:val="auto"/>
          <w:spacing w:val="-1"/>
          <w:sz w:val="24"/>
          <w:szCs w:val="24"/>
          <w:highlight w:val="none"/>
        </w:rPr>
        <w:t>目的具体位置和周边环境，并在现场设置足以识别的标识或提</w:t>
      </w:r>
      <w:r>
        <w:rPr>
          <w:rFonts w:hint="eastAsia" w:ascii="宋体" w:hAnsi="宋体" w:eastAsia="宋体" w:cs="宋体"/>
          <w:color w:val="auto"/>
          <w:spacing w:val="-2"/>
          <w:sz w:val="24"/>
          <w:szCs w:val="24"/>
          <w:highlight w:val="none"/>
        </w:rPr>
        <w:t>供足以表明招标项目具</w:t>
      </w:r>
      <w:r>
        <w:rPr>
          <w:rFonts w:hint="eastAsia" w:ascii="宋体" w:hAnsi="宋体" w:eastAsia="宋体" w:cs="宋体"/>
          <w:color w:val="auto"/>
          <w:sz w:val="24"/>
          <w:szCs w:val="24"/>
          <w:highlight w:val="none"/>
        </w:rPr>
        <w:t>体位置的文字或图片。投标人需要了解现场情况的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1B519EF0">
      <w:pPr>
        <w:spacing w:before="153" w:line="36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6.6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77BF35A0">
      <w:pPr>
        <w:spacing w:before="153" w:line="360" w:lineRule="auto"/>
        <w:ind w:left="568"/>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 xml:space="preserve">6.7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bookmarkStart w:id="35" w:name="bookmark69"/>
      <w:bookmarkEnd w:id="35"/>
      <w:bookmarkStart w:id="36" w:name="bookmark67"/>
      <w:bookmarkEnd w:id="36"/>
      <w:bookmarkStart w:id="37" w:name="bookmark81"/>
      <w:bookmarkEnd w:id="37"/>
      <w:bookmarkStart w:id="38" w:name="_Toc9426"/>
    </w:p>
    <w:p w14:paraId="33A6D60D">
      <w:pPr>
        <w:spacing w:before="153" w:line="360" w:lineRule="auto"/>
        <w:ind w:left="568"/>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5"/>
          <w:sz w:val="24"/>
          <w:szCs w:val="24"/>
          <w:highlight w:val="none"/>
          <w:lang w:eastAsia="zh-CN"/>
        </w:rPr>
        <w:t>.</w:t>
      </w:r>
      <w:r>
        <w:rPr>
          <w:rFonts w:hint="eastAsia" w:ascii="宋体" w:hAnsi="宋体" w:eastAsia="宋体" w:cs="宋体"/>
          <w:b/>
          <w:bCs/>
          <w:color w:val="auto"/>
          <w:spacing w:val="-5"/>
          <w:sz w:val="24"/>
          <w:szCs w:val="24"/>
          <w:highlight w:val="none"/>
        </w:rPr>
        <w:t>招标文件的提问和答疑</w:t>
      </w:r>
      <w:bookmarkEnd w:id="38"/>
    </w:p>
    <w:p w14:paraId="141D04EB">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9" w:right="16" w:firstLine="47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36B0B037">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9" w:right="16" w:firstLine="5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告的媒介上公开发布。答疑（或修改）公告一旦发布，即视所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3A685D82">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firstLine="478" w:firstLineChars="200"/>
        <w:jc w:val="both"/>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4A158916">
      <w:pPr>
        <w:spacing w:before="79" w:line="360" w:lineRule="auto"/>
        <w:ind w:left="488"/>
        <w:outlineLvl w:val="2"/>
        <w:rPr>
          <w:rFonts w:hint="eastAsia" w:ascii="宋体" w:hAnsi="宋体" w:eastAsia="宋体" w:cs="宋体"/>
          <w:b/>
          <w:bCs/>
          <w:color w:val="auto"/>
          <w:spacing w:val="-1"/>
          <w:sz w:val="24"/>
          <w:szCs w:val="24"/>
          <w:highlight w:val="none"/>
        </w:rPr>
      </w:pPr>
      <w:bookmarkStart w:id="39" w:name="_Toc16998"/>
      <w:bookmarkStart w:id="40" w:name="_Toc12890"/>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lang w:eastAsia="zh-CN"/>
        </w:rPr>
        <w:t>.</w:t>
      </w:r>
      <w:r>
        <w:rPr>
          <w:rFonts w:hint="eastAsia" w:ascii="宋体" w:hAnsi="宋体" w:eastAsia="宋体" w:cs="宋体"/>
          <w:b/>
          <w:bCs/>
          <w:color w:val="auto"/>
          <w:spacing w:val="-1"/>
          <w:sz w:val="24"/>
          <w:szCs w:val="24"/>
          <w:highlight w:val="none"/>
        </w:rPr>
        <w:t>最高投标限价</w:t>
      </w:r>
      <w:bookmarkEnd w:id="39"/>
      <w:bookmarkEnd w:id="40"/>
    </w:p>
    <w:p w14:paraId="7D8411BA">
      <w:pPr>
        <w:spacing w:before="155" w:line="360"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lang w:eastAsia="zh-CN"/>
        </w:rPr>
        <w:t>最高投标限</w:t>
      </w:r>
      <w:r>
        <w:rPr>
          <w:rFonts w:hint="eastAsia" w:ascii="宋体" w:hAnsi="宋体" w:eastAsia="宋体" w:cs="宋体"/>
          <w:b/>
          <w:bCs/>
          <w:color w:val="auto"/>
          <w:spacing w:val="-1"/>
          <w:sz w:val="24"/>
          <w:szCs w:val="24"/>
          <w:highlight w:val="none"/>
        </w:rPr>
        <w:t>价</w:t>
      </w:r>
      <w:r>
        <w:rPr>
          <w:rFonts w:hint="eastAsia" w:ascii="宋体" w:hAnsi="宋体" w:eastAsia="宋体" w:cs="宋体"/>
          <w:color w:val="auto"/>
          <w:spacing w:val="-1"/>
          <w:sz w:val="24"/>
          <w:szCs w:val="24"/>
          <w:highlight w:val="none"/>
        </w:rPr>
        <w:t>：</w:t>
      </w:r>
    </w:p>
    <w:p w14:paraId="7771E585">
      <w:pPr>
        <w:spacing w:before="157" w:line="36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（1）《建设工程工程量清单计价规范》（GB50500—2013）；</w:t>
      </w:r>
    </w:p>
    <w:p w14:paraId="37010A3E">
      <w:pPr>
        <w:spacing w:before="153" w:line="360" w:lineRule="auto"/>
        <w:ind w:left="9" w:right="16"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14:paraId="3143AC53">
      <w:pPr>
        <w:spacing w:before="154" w:line="36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14:paraId="26942C9D">
      <w:pPr>
        <w:spacing w:before="78" w:line="360" w:lineRule="auto"/>
        <w:ind w:left="502"/>
        <w:rPr>
          <w:rFonts w:hint="eastAsia" w:ascii="宋体" w:hAnsi="宋体" w:eastAsia="宋体" w:cs="宋体"/>
          <w:color w:val="auto"/>
          <w:sz w:val="24"/>
          <w:szCs w:val="24"/>
          <w:highlight w:val="none"/>
        </w:rPr>
      </w:pPr>
      <w:bookmarkStart w:id="41" w:name="bookmark119"/>
      <w:bookmarkEnd w:id="41"/>
      <w:r>
        <w:rPr>
          <w:rFonts w:hint="eastAsia" w:ascii="宋体" w:hAnsi="宋体" w:eastAsia="宋体" w:cs="宋体"/>
          <w:color w:val="auto"/>
          <w:spacing w:val="-2"/>
          <w:sz w:val="24"/>
          <w:szCs w:val="24"/>
          <w:highlight w:val="none"/>
        </w:rPr>
        <w:t>（4）招标文件及招标工程量清单；</w:t>
      </w:r>
    </w:p>
    <w:p w14:paraId="4C7E7F6F">
      <w:pPr>
        <w:spacing w:before="155" w:line="360" w:lineRule="auto"/>
        <w:ind w:left="50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14:paraId="4D821E47">
      <w:pPr>
        <w:spacing w:before="153" w:line="360" w:lineRule="auto"/>
        <w:ind w:left="12" w:right="136"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14:paraId="08839E0D">
      <w:pPr>
        <w:spacing w:before="157" w:line="360" w:lineRule="auto"/>
        <w:ind w:left="50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14:paraId="5E405D0D">
      <w:pPr>
        <w:spacing w:before="79" w:line="360" w:lineRule="auto"/>
        <w:ind w:left="11" w:firstLine="479"/>
        <w:jc w:val="both"/>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8.2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eastAsia="zh-CN"/>
        </w:rPr>
        <w:t>本招标项目最高投标限价、工程量清单、施工图最终以补充公告形式在开标前15天另行发布于相关网站，各投标人可在全国公共资源交易平台（广东省·韶关市）（https://ygp.gdzwfw.gov.cn/ggzy-portal/#/440200/index）自行下载。</w:t>
      </w:r>
    </w:p>
    <w:p w14:paraId="29778293">
      <w:pPr>
        <w:keepNext w:val="0"/>
        <w:keepLines w:val="0"/>
        <w:pageBreakBefore w:val="0"/>
        <w:widowControl w:val="0"/>
        <w:kinsoku w:val="0"/>
        <w:wordWrap/>
        <w:overflowPunct/>
        <w:topLinePunct w:val="0"/>
        <w:autoSpaceDE w:val="0"/>
        <w:autoSpaceDN w:val="0"/>
        <w:bidi w:val="0"/>
        <w:adjustRightInd w:val="0"/>
        <w:snapToGrid w:val="0"/>
        <w:spacing w:before="79" w:line="360" w:lineRule="auto"/>
        <w:ind w:left="11" w:firstLine="479"/>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169F5C58">
      <w:pPr>
        <w:keepNext w:val="0"/>
        <w:keepLines w:val="0"/>
        <w:pageBreakBefore w:val="0"/>
        <w:widowControl w:val="0"/>
        <w:kinsoku w:val="0"/>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1D1A87E1">
      <w:pPr>
        <w:keepNext w:val="0"/>
        <w:keepLines w:val="0"/>
        <w:pageBreakBefore w:val="0"/>
        <w:widowControl w:val="0"/>
        <w:kinsoku w:val="0"/>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当暂估价项目的内容、标准、要求在项目实施过程中得以深化、明确、固定后，按以下原则发包：</w:t>
      </w:r>
    </w:p>
    <w:p w14:paraId="33109C8D">
      <w:pPr>
        <w:keepNext w:val="0"/>
        <w:keepLines w:val="0"/>
        <w:pageBreakBefore w:val="0"/>
        <w:widowControl w:val="0"/>
        <w:kinsoku w:val="0"/>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（1）暂估价项目按工程、货物（指材料或工程设备，下同）的类别分类汇总的金额，达到必须招标规模标准的，由中标人招标，招标人参与管理，确定专业工程承包人（或材料、工程 设备供应商）和合同价格。</w:t>
      </w:r>
    </w:p>
    <w:p w14:paraId="64DAAE36">
      <w:pPr>
        <w:keepNext w:val="0"/>
        <w:keepLines w:val="0"/>
        <w:pageBreakBefore w:val="0"/>
        <w:widowControl w:val="0"/>
        <w:kinsoku w:val="0"/>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76EC6FD1">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11" w:right="65"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同中标人结算原则按本招标文件相关条款执行。</w:t>
      </w:r>
    </w:p>
    <w:p w14:paraId="5C652789">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11" w:right="65"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33A9C25D">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9" w:right="66" w:firstLine="49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2166C88B">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10" w:right="65" w:firstLine="478"/>
        <w:jc w:val="both"/>
        <w:textAlignment w:val="baseline"/>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施工、工期责任，中标人向招标人承担责任。</w:t>
      </w:r>
    </w:p>
    <w:p w14:paraId="28912A05">
      <w:pPr>
        <w:spacing w:before="79" w:line="360" w:lineRule="auto"/>
        <w:ind w:left="487"/>
        <w:outlineLvl w:val="2"/>
        <w:rPr>
          <w:rFonts w:hint="eastAsia" w:ascii="宋体" w:hAnsi="宋体" w:eastAsia="宋体" w:cs="宋体"/>
          <w:color w:val="auto"/>
          <w:sz w:val="24"/>
          <w:szCs w:val="24"/>
          <w:highlight w:val="none"/>
        </w:rPr>
      </w:pPr>
      <w:bookmarkStart w:id="42" w:name="_Toc25884"/>
      <w:bookmarkStart w:id="43" w:name="_Toc23804"/>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lang w:eastAsia="zh-CN"/>
        </w:rPr>
        <w:t>.</w:t>
      </w:r>
      <w:r>
        <w:rPr>
          <w:rFonts w:hint="eastAsia" w:ascii="宋体" w:hAnsi="宋体" w:eastAsia="宋体" w:cs="宋体"/>
          <w:b/>
          <w:bCs/>
          <w:color w:val="auto"/>
          <w:spacing w:val="-8"/>
          <w:sz w:val="24"/>
          <w:szCs w:val="24"/>
          <w:highlight w:val="none"/>
        </w:rPr>
        <w:t>投标报价</w:t>
      </w:r>
      <w:bookmarkEnd w:id="42"/>
      <w:bookmarkEnd w:id="43"/>
    </w:p>
    <w:p w14:paraId="36361E61">
      <w:pPr>
        <w:keepNext w:val="0"/>
        <w:keepLines w:val="0"/>
        <w:pageBreakBefore w:val="0"/>
        <w:widowControl w:val="0"/>
        <w:kinsoku w:val="0"/>
        <w:wordWrap/>
        <w:overflowPunct/>
        <w:topLinePunct w:val="0"/>
        <w:autoSpaceDE w:val="0"/>
        <w:autoSpaceDN w:val="0"/>
        <w:bidi w:val="0"/>
        <w:adjustRightInd w:val="0"/>
        <w:snapToGrid w:val="0"/>
        <w:spacing w:before="157"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14:paraId="4F06C9F5">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（1）《建设工程工程量清单计价规范》（GB50500—2013</w:t>
      </w:r>
      <w:r>
        <w:rPr>
          <w:rFonts w:hint="eastAsia" w:ascii="宋体" w:hAnsi="宋体" w:eastAsia="宋体" w:cs="宋体"/>
          <w:color w:val="auto"/>
          <w:spacing w:val="4"/>
          <w:sz w:val="24"/>
          <w:szCs w:val="24"/>
          <w:highlight w:val="none"/>
        </w:rPr>
        <w:t>）；</w:t>
      </w:r>
    </w:p>
    <w:p w14:paraId="6C7C7907">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9" w:right="65" w:firstLine="49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14:paraId="6DA419D1">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501"/>
        <w:textAlignment w:val="baseline"/>
        <w:rPr>
          <w:rFonts w:hint="eastAsia" w:ascii="宋体" w:hAnsi="宋体" w:eastAsia="宋体" w:cs="宋体"/>
          <w:color w:val="auto"/>
          <w:sz w:val="24"/>
          <w:szCs w:val="24"/>
          <w:highlight w:val="none"/>
        </w:rPr>
      </w:pPr>
      <w:bookmarkStart w:id="44" w:name="bookmark120"/>
      <w:bookmarkEnd w:id="44"/>
      <w:r>
        <w:rPr>
          <w:rFonts w:hint="eastAsia" w:ascii="宋体" w:hAnsi="宋体" w:eastAsia="宋体" w:cs="宋体"/>
          <w:color w:val="auto"/>
          <w:spacing w:val="-3"/>
          <w:sz w:val="24"/>
          <w:szCs w:val="24"/>
          <w:highlight w:val="none"/>
        </w:rPr>
        <w:t>（3）企业定额；</w:t>
      </w:r>
    </w:p>
    <w:p w14:paraId="2A1D6921">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14:paraId="1E239EF3">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14:paraId="4805DE51">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14:paraId="4E1DCFFE">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14:paraId="5825D2D8">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14:paraId="1BDA0FF0">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8" w:right="150" w:firstLine="5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1D39A523">
      <w:pPr>
        <w:spacing w:before="152" w:line="360"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通等情况，以获得一切可能影响到投标的直接资料。投标人应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40D7449B">
      <w:pPr>
        <w:spacing w:before="155" w:line="360" w:lineRule="auto"/>
        <w:ind w:left="10" w:right="15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5FF17A23">
      <w:pPr>
        <w:spacing w:before="154" w:line="360" w:lineRule="auto"/>
        <w:ind w:left="12" w:firstLine="55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18DC44D4">
      <w:pPr>
        <w:keepNext w:val="0"/>
        <w:keepLines w:val="0"/>
        <w:pageBreakBefore w:val="0"/>
        <w:widowControl w:val="0"/>
        <w:kinsoku w:val="0"/>
        <w:wordWrap/>
        <w:overflowPunct/>
        <w:topLinePunct w:val="0"/>
        <w:autoSpaceDE w:val="0"/>
        <w:autoSpaceDN w:val="0"/>
        <w:bidi w:val="0"/>
        <w:adjustRightInd w:val="0"/>
        <w:snapToGrid w:val="0"/>
        <w:spacing w:before="158" w:line="360" w:lineRule="auto"/>
        <w:ind w:left="9" w:right="150" w:firstLine="55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1259ACCC">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7" w:right="120" w:firstLine="480"/>
        <w:textAlignment w:val="baseline"/>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rPr>
        <w:t>最高投标限价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14:paraId="2D9785B9">
      <w:pPr>
        <w:keepNext w:val="0"/>
        <w:keepLines w:val="0"/>
        <w:pageBreakBefore w:val="0"/>
        <w:widowControl w:val="0"/>
        <w:kinsoku w:val="0"/>
        <w:wordWrap/>
        <w:overflowPunct/>
        <w:topLinePunct w:val="0"/>
        <w:autoSpaceDE w:val="0"/>
        <w:autoSpaceDN w:val="0"/>
        <w:bidi w:val="0"/>
        <w:adjustRightInd w:val="0"/>
        <w:snapToGrid w:val="0"/>
        <w:textAlignment w:val="baseline"/>
        <w:rPr>
          <w:rFonts w:hint="eastAsia" w:ascii="宋体" w:hAnsi="宋体" w:eastAsia="宋体" w:cs="宋体"/>
          <w:b/>
          <w:bCs/>
          <w:snapToGrid w:val="0"/>
          <w:color w:val="auto"/>
          <w:spacing w:val="1"/>
          <w:sz w:val="24"/>
          <w:szCs w:val="24"/>
          <w:highlight w:val="none"/>
          <w:lang w:val="en-US" w:eastAsia="zh-CN" w:bidi="ar-SA"/>
        </w:rPr>
      </w:pPr>
      <w:bookmarkStart w:id="45" w:name="_Toc22704"/>
      <w:r>
        <w:rPr>
          <w:rFonts w:hint="eastAsia" w:ascii="宋体" w:hAnsi="宋体" w:eastAsia="宋体" w:cs="宋体"/>
          <w:b/>
          <w:bCs/>
          <w:snapToGrid w:val="0"/>
          <w:color w:val="auto"/>
          <w:spacing w:val="1"/>
          <w:sz w:val="24"/>
          <w:szCs w:val="24"/>
          <w:highlight w:val="none"/>
          <w:lang w:val="en-US" w:eastAsia="zh-CN" w:bidi="ar-SA"/>
        </w:rPr>
        <w:t>投标总价下浮率=（1-投标总价</w:t>
      </w:r>
      <w:r>
        <w:rPr>
          <w:rFonts w:hint="eastAsia" w:ascii="宋体" w:hAnsi="宋体" w:eastAsia="宋体" w:cs="宋体"/>
          <w:b/>
          <w:bCs/>
          <w:snapToGrid w:val="0"/>
          <w:color w:val="auto"/>
          <w:spacing w:val="1"/>
          <w:sz w:val="24"/>
          <w:szCs w:val="24"/>
          <w:highlight w:val="none"/>
          <w:lang w:val="en-US" w:eastAsia="en-US" w:bidi="ar-SA"/>
        </w:rPr>
        <w:t>÷</w:t>
      </w:r>
      <w:r>
        <w:rPr>
          <w:rFonts w:hint="eastAsia" w:ascii="宋体" w:hAnsi="宋体" w:eastAsia="宋体" w:cs="宋体"/>
          <w:b/>
          <w:bCs/>
          <w:snapToGrid w:val="0"/>
          <w:color w:val="auto"/>
          <w:spacing w:val="1"/>
          <w:sz w:val="24"/>
          <w:szCs w:val="24"/>
          <w:highlight w:val="none"/>
          <w:lang w:val="en-US" w:eastAsia="zh-CN" w:bidi="ar-SA"/>
        </w:rPr>
        <w:t>招标控制价）</w:t>
      </w:r>
      <w:r>
        <w:rPr>
          <w:rFonts w:hint="eastAsia" w:ascii="宋体" w:hAnsi="宋体" w:eastAsia="宋体" w:cs="宋体"/>
          <w:b/>
          <w:bCs/>
          <w:snapToGrid w:val="0"/>
          <w:color w:val="auto"/>
          <w:spacing w:val="1"/>
          <w:sz w:val="24"/>
          <w:szCs w:val="24"/>
          <w:highlight w:val="none"/>
          <w:lang w:val="en-US" w:eastAsia="en-US" w:bidi="ar-SA"/>
        </w:rPr>
        <w:t>×</w:t>
      </w:r>
      <w:r>
        <w:rPr>
          <w:rFonts w:hint="eastAsia" w:ascii="宋体" w:hAnsi="宋体" w:eastAsia="宋体" w:cs="宋体"/>
          <w:b/>
          <w:bCs/>
          <w:snapToGrid w:val="0"/>
          <w:color w:val="auto"/>
          <w:spacing w:val="1"/>
          <w:sz w:val="24"/>
          <w:szCs w:val="24"/>
          <w:highlight w:val="none"/>
          <w:lang w:val="en-US" w:eastAsia="zh-CN" w:bidi="ar-SA"/>
        </w:rPr>
        <w:t>100%</w:t>
      </w:r>
      <w:bookmarkEnd w:id="45"/>
    </w:p>
    <w:p w14:paraId="4DC38C7E">
      <w:pPr>
        <w:keepNext w:val="0"/>
        <w:keepLines w:val="0"/>
        <w:pageBreakBefore w:val="0"/>
        <w:widowControl w:val="0"/>
        <w:kinsoku w:val="0"/>
        <w:wordWrap/>
        <w:overflowPunct/>
        <w:topLinePunct w:val="0"/>
        <w:autoSpaceDE w:val="0"/>
        <w:autoSpaceDN w:val="0"/>
        <w:bidi w:val="0"/>
        <w:adjustRightInd w:val="0"/>
        <w:snapToGrid w:val="0"/>
        <w:spacing w:before="146" w:line="360" w:lineRule="auto"/>
        <w:ind w:left="29" w:right="153" w:firstLine="4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9.8  </w:t>
      </w:r>
      <w:r>
        <w:rPr>
          <w:rFonts w:hint="eastAsia" w:ascii="宋体" w:hAnsi="宋体" w:eastAsia="宋体" w:cs="宋体"/>
          <w:color w:val="auto"/>
          <w:sz w:val="24"/>
          <w:szCs w:val="24"/>
          <w:highlight w:val="none"/>
        </w:rPr>
        <w:t>投标人的绿色施工安全防护措施费报价必须达到或超过</w:t>
      </w:r>
      <w:r>
        <w:rPr>
          <w:rFonts w:hint="eastAsia" w:ascii="宋体" w:hAnsi="宋体" w:eastAsia="宋体" w:cs="宋体"/>
          <w:b/>
          <w:bCs/>
          <w:color w:val="auto"/>
          <w:sz w:val="24"/>
          <w:szCs w:val="24"/>
          <w:highlight w:val="none"/>
        </w:rPr>
        <w:t>最高投标限价</w:t>
      </w:r>
      <w:r>
        <w:rPr>
          <w:rFonts w:hint="eastAsia" w:ascii="宋体" w:hAnsi="宋体" w:eastAsia="宋体" w:cs="宋体"/>
          <w:color w:val="auto"/>
          <w:sz w:val="24"/>
          <w:szCs w:val="24"/>
          <w:highlight w:val="none"/>
        </w:rPr>
        <w:t>中</w:t>
      </w:r>
      <w:r>
        <w:rPr>
          <w:rFonts w:hint="eastAsia" w:ascii="宋体" w:hAnsi="宋体" w:eastAsia="宋体" w:cs="宋体"/>
          <w:color w:val="auto"/>
          <w:spacing w:val="-1"/>
          <w:sz w:val="24"/>
          <w:szCs w:val="24"/>
          <w:highlight w:val="none"/>
        </w:rPr>
        <w:t>提供</w:t>
      </w:r>
      <w:r>
        <w:rPr>
          <w:rFonts w:hint="eastAsia" w:ascii="宋体" w:hAnsi="宋体" w:eastAsia="宋体" w:cs="宋体"/>
          <w:color w:val="auto"/>
          <w:spacing w:val="-3"/>
          <w:sz w:val="24"/>
          <w:szCs w:val="24"/>
          <w:highlight w:val="none"/>
        </w:rPr>
        <w:t>的绿色施工安全防护措施费。</w:t>
      </w:r>
    </w:p>
    <w:p w14:paraId="1D4AD06B">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right="99"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6365E107">
      <w:pPr>
        <w:spacing w:before="78" w:line="360" w:lineRule="auto"/>
        <w:ind w:right="99" w:firstLine="478" w:firstLineChars="200"/>
        <w:rPr>
          <w:rFonts w:hint="eastAsia" w:ascii="宋体" w:hAnsi="宋体" w:eastAsia="宋体" w:cs="宋体"/>
          <w:color w:val="auto"/>
          <w:spacing w:val="-3"/>
          <w:sz w:val="24"/>
          <w:szCs w:val="24"/>
          <w:highlight w:val="none"/>
          <w:lang w:eastAsia="zh-CN"/>
        </w:rPr>
      </w:pPr>
      <w:r>
        <w:rPr>
          <w:rFonts w:hint="eastAsia" w:ascii="宋体" w:hAnsi="宋体" w:eastAsia="宋体" w:cs="宋体"/>
          <w:b/>
          <w:bCs/>
          <w:color w:val="auto"/>
          <w:spacing w:val="-1"/>
          <w:sz w:val="24"/>
          <w:szCs w:val="24"/>
          <w:highlight w:val="none"/>
        </w:rPr>
        <w:t>9.10</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预算包干内容一般包括施工雨（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w:t>
      </w:r>
      <w:r>
        <w:rPr>
          <w:rFonts w:hint="eastAsia" w:ascii="宋体" w:hAnsi="宋体" w:eastAsia="宋体" w:cs="宋体"/>
          <w:color w:val="auto"/>
          <w:spacing w:val="-7"/>
          <w:sz w:val="24"/>
          <w:szCs w:val="24"/>
          <w:highlight w:val="none"/>
        </w:rPr>
        <w:t>圾外运等。投标报价时，应按《广东省建设工程计价依据（2018）》规定的费率报价，</w:t>
      </w:r>
      <w:r>
        <w:rPr>
          <w:rFonts w:hint="eastAsia" w:ascii="宋体" w:hAnsi="宋体" w:eastAsia="宋体" w:cs="宋体"/>
          <w:color w:val="auto"/>
          <w:spacing w:val="-2"/>
          <w:sz w:val="24"/>
          <w:szCs w:val="24"/>
          <w:highlight w:val="none"/>
        </w:rPr>
        <w:t>若招标工程量清单明确说明不计算预算包干费或</w:t>
      </w:r>
      <w:r>
        <w:rPr>
          <w:rFonts w:hint="eastAsia" w:ascii="宋体" w:hAnsi="宋体" w:eastAsia="宋体" w:cs="宋体"/>
          <w:color w:val="auto"/>
          <w:spacing w:val="-3"/>
          <w:sz w:val="24"/>
          <w:szCs w:val="24"/>
          <w:highlight w:val="none"/>
        </w:rPr>
        <w:t>另外确定预算包干费费率的，则按招</w:t>
      </w:r>
      <w:r>
        <w:rPr>
          <w:rFonts w:hint="eastAsia" w:ascii="宋体" w:hAnsi="宋体" w:eastAsia="宋体" w:cs="宋体"/>
          <w:color w:val="auto"/>
          <w:spacing w:val="-3"/>
          <w:sz w:val="24"/>
          <w:szCs w:val="24"/>
          <w:highlight w:val="none"/>
          <w:lang w:eastAsia="zh-CN"/>
        </w:rPr>
        <w:t>标工程量清单报价。</w:t>
      </w:r>
    </w:p>
    <w:p w14:paraId="3CE024D8">
      <w:pPr>
        <w:pageBreakBefore w:val="0"/>
        <w:kinsoku/>
        <w:overflowPunct/>
        <w:topLinePunct w:val="0"/>
        <w:autoSpaceDE/>
        <w:autoSpaceDN/>
        <w:bidi w:val="0"/>
        <w:snapToGrid w:val="0"/>
        <w:spacing w:line="360" w:lineRule="auto"/>
        <w:ind w:firstLine="482" w:firstLineChars="200"/>
        <w:rPr>
          <w:rFonts w:hint="eastAsia" w:ascii="宋体" w:hAnsi="宋体" w:eastAsia="宋体" w:cs="宋体"/>
          <w:color w:val="auto"/>
          <w:spacing w:val="-3"/>
          <w:sz w:val="24"/>
          <w:szCs w:val="24"/>
          <w:highlight w:val="none"/>
          <w:lang w:eastAsia="zh-CN"/>
        </w:rPr>
      </w:pPr>
      <w:r>
        <w:rPr>
          <w:rFonts w:hint="eastAsia" w:ascii="宋体" w:hAnsi="宋体" w:eastAsia="宋体" w:cs="宋体"/>
          <w:b/>
          <w:bCs/>
          <w:color w:val="auto"/>
          <w:sz w:val="24"/>
          <w:szCs w:val="24"/>
          <w:lang w:val="en-US" w:eastAsia="zh-CN"/>
        </w:rPr>
        <w:t>9.11</w:t>
      </w:r>
      <w:r>
        <w:rPr>
          <w:rFonts w:hint="eastAsia" w:ascii="宋体" w:hAnsi="宋体" w:eastAsia="宋体" w:cs="宋体"/>
          <w:color w:val="auto"/>
          <w:sz w:val="24"/>
          <w:szCs w:val="24"/>
          <w:lang w:eastAsia="zh-CN"/>
        </w:rPr>
        <w:t>招标代理费和评标专家酬劳的支付：本工程的招标代理费和评标专家酬劳由中标人支付，该费用不再另行报价，由投标人在投标报价时综合考虑在内。中标人在领取中标通知书前须向招标代理机构一次性支付（评标专家酬劳包括食宿费用、交通费、专家评审劳务费等。）</w:t>
      </w:r>
    </w:p>
    <w:p w14:paraId="03BA4414">
      <w:pPr>
        <w:spacing w:before="78" w:line="360" w:lineRule="auto"/>
        <w:ind w:left="496"/>
        <w:outlineLvl w:val="2"/>
        <w:rPr>
          <w:rFonts w:hint="eastAsia" w:ascii="宋体" w:hAnsi="宋体" w:eastAsia="宋体" w:cs="宋体"/>
          <w:color w:val="auto"/>
          <w:sz w:val="24"/>
          <w:szCs w:val="24"/>
          <w:highlight w:val="none"/>
        </w:rPr>
      </w:pPr>
      <w:bookmarkStart w:id="46" w:name="_Toc26296"/>
      <w:bookmarkStart w:id="47" w:name="_Toc9270"/>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lang w:eastAsia="zh-CN"/>
        </w:rPr>
        <w:t>.</w:t>
      </w:r>
      <w:r>
        <w:rPr>
          <w:rFonts w:hint="eastAsia" w:ascii="宋体" w:hAnsi="宋体" w:eastAsia="宋体" w:cs="宋体"/>
          <w:b/>
          <w:bCs/>
          <w:color w:val="auto"/>
          <w:spacing w:val="-6"/>
          <w:sz w:val="24"/>
          <w:szCs w:val="24"/>
          <w:highlight w:val="none"/>
        </w:rPr>
        <w:t>投标文件的编制要求</w:t>
      </w:r>
      <w:bookmarkEnd w:id="46"/>
      <w:bookmarkEnd w:id="47"/>
    </w:p>
    <w:p w14:paraId="0C191376">
      <w:pPr>
        <w:spacing w:before="68" w:line="360" w:lineRule="auto"/>
        <w:ind w:left="11" w:right="99" w:firstLine="563"/>
        <w:rPr>
          <w:rFonts w:hint="eastAsia" w:ascii="宋体" w:hAnsi="宋体" w:eastAsia="宋体" w:cs="宋体"/>
          <w:b w:val="0"/>
          <w:bCs w:val="0"/>
          <w:color w:val="auto"/>
          <w:spacing w:val="-3"/>
          <w:sz w:val="24"/>
          <w:szCs w:val="24"/>
          <w:highlight w:val="none"/>
        </w:rPr>
      </w:pPr>
      <w:bookmarkStart w:id="48" w:name="_Toc20590"/>
      <w:bookmarkStart w:id="49" w:name="_Toc25990"/>
      <w:r>
        <w:rPr>
          <w:rFonts w:hint="eastAsia" w:ascii="宋体" w:hAnsi="宋体" w:eastAsia="宋体" w:cs="宋体"/>
          <w:b/>
          <w:bCs/>
          <w:color w:val="auto"/>
          <w:spacing w:val="-3"/>
          <w:sz w:val="24"/>
          <w:szCs w:val="24"/>
          <w:highlight w:val="none"/>
        </w:rPr>
        <w:t xml:space="preserve">10.1  </w:t>
      </w:r>
      <w:r>
        <w:rPr>
          <w:rFonts w:hint="eastAsia" w:ascii="宋体" w:hAnsi="宋体" w:eastAsia="宋体" w:cs="宋体"/>
          <w:b w:val="0"/>
          <w:bCs w:val="0"/>
          <w:color w:val="auto"/>
          <w:spacing w:val="-3"/>
          <w:sz w:val="24"/>
          <w:szCs w:val="24"/>
          <w:highlight w:val="none"/>
        </w:rPr>
        <w:t>一般要求</w:t>
      </w:r>
      <w:bookmarkEnd w:id="48"/>
      <w:bookmarkEnd w:id="49"/>
    </w:p>
    <w:p w14:paraId="7DC17D36">
      <w:pPr>
        <w:spacing w:before="118" w:line="360" w:lineRule="auto"/>
        <w:ind w:left="11" w:right="99"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00D2071A">
      <w:pPr>
        <w:spacing w:before="68" w:line="360" w:lineRule="auto"/>
        <w:ind w:left="11" w:right="99" w:firstLine="56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6CE89948">
      <w:pPr>
        <w:spacing w:before="123" w:line="360" w:lineRule="auto"/>
        <w:ind w:left="8"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10.1.2  </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交易平台（广东省·韶关市）</w:t>
      </w:r>
      <w:r>
        <w:rPr>
          <w:rFonts w:hint="eastAsia" w:ascii="宋体" w:hAnsi="宋体" w:eastAsia="宋体" w:cs="宋体"/>
          <w:color w:val="auto"/>
          <w:spacing w:val="-2"/>
          <w:sz w:val="24"/>
          <w:szCs w:val="24"/>
          <w:highlight w:val="none"/>
        </w:rPr>
        <w:t>交易指引。</w:t>
      </w:r>
    </w:p>
    <w:p w14:paraId="56ED9FEA">
      <w:pPr>
        <w:spacing w:before="1" w:line="360" w:lineRule="auto"/>
        <w:ind w:left="57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14:paraId="09125407">
      <w:pPr>
        <w:spacing w:before="111" w:line="360" w:lineRule="auto"/>
        <w:ind w:right="133" w:firstLine="57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06844991">
      <w:pPr>
        <w:spacing w:before="112" w:line="360" w:lineRule="auto"/>
        <w:ind w:left="13" w:right="133" w:firstLine="5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14:paraId="56A0EC54">
      <w:pPr>
        <w:spacing w:before="146" w:line="360" w:lineRule="auto"/>
        <w:ind w:left="16" w:right="135" w:firstLine="56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4F952D25">
      <w:pPr>
        <w:spacing w:before="155" w:line="360" w:lineRule="auto"/>
        <w:ind w:left="16" w:right="133" w:firstLine="562"/>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2"/>
          <w:sz w:val="24"/>
          <w:szCs w:val="24"/>
          <w:highlight w:val="none"/>
        </w:rPr>
        <w:t>10.1.3.4</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联合体投标的，除《联合体协议书》外，由联合体牵头人按以上要求签</w:t>
      </w:r>
      <w:r>
        <w:rPr>
          <w:rFonts w:hint="eastAsia" w:ascii="宋体" w:hAnsi="宋体" w:eastAsia="宋体" w:cs="宋体"/>
          <w:color w:val="auto"/>
          <w:spacing w:val="-1"/>
          <w:sz w:val="24"/>
          <w:szCs w:val="24"/>
          <w:highlight w:val="none"/>
        </w:rPr>
        <w:t>亲笔署名或签章（电子印章）即可。</w:t>
      </w:r>
      <w:bookmarkStart w:id="50" w:name="_Toc21271"/>
      <w:bookmarkStart w:id="51" w:name="_Toc15948"/>
    </w:p>
    <w:p w14:paraId="3FEDC4B5">
      <w:pPr>
        <w:spacing w:before="155" w:line="360" w:lineRule="auto"/>
        <w:ind w:left="16" w:right="133" w:firstLine="562"/>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10.2  </w:t>
      </w:r>
      <w:r>
        <w:rPr>
          <w:rFonts w:hint="eastAsia" w:ascii="宋体" w:hAnsi="宋体" w:eastAsia="宋体" w:cs="宋体"/>
          <w:color w:val="auto"/>
          <w:spacing w:val="-2"/>
          <w:sz w:val="24"/>
          <w:szCs w:val="24"/>
          <w:highlight w:val="none"/>
        </w:rPr>
        <w:t>商务标书的编制要求</w:t>
      </w:r>
      <w:bookmarkEnd w:id="50"/>
      <w:bookmarkEnd w:id="51"/>
    </w:p>
    <w:p w14:paraId="0F56AEDA">
      <w:pPr>
        <w:keepNext w:val="0"/>
        <w:keepLines w:val="0"/>
        <w:pageBreakBefore w:val="0"/>
        <w:widowControl w:val="0"/>
        <w:overflowPunct/>
        <w:topLinePunct w:val="0"/>
        <w:bidi w:val="0"/>
        <w:adjustRightInd w:val="0"/>
        <w:snapToGrid w:val="0"/>
        <w:spacing w:before="157" w:line="360" w:lineRule="auto"/>
        <w:ind w:left="581"/>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0AA1DC9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bookmarkStart w:id="52" w:name="bookmark121"/>
      <w:bookmarkEnd w:id="52"/>
      <w:r>
        <w:rPr>
          <w:rFonts w:hint="eastAsia" w:ascii="宋体" w:hAnsi="宋体" w:eastAsia="宋体" w:cs="宋体"/>
          <w:snapToGrid w:val="0"/>
          <w:color w:val="auto"/>
          <w:kern w:val="0"/>
          <w:sz w:val="24"/>
          <w:szCs w:val="24"/>
          <w:highlight w:val="none"/>
        </w:rPr>
        <w:t>（1）封面（格式一）；</w:t>
      </w:r>
    </w:p>
    <w:p w14:paraId="68911AF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67F4068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083F24D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5C538F9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017A17A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770EFBD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投标保证缴纳证明（投标人采用投标保证金的，附建设工程交易系统《缴纳投标保证金通知书》页面截图和银行转账单彩色扫描件；采用投标保证担保的，附银行保函彩色扫描件；采用投标保证保险的，附电子保单和</w:t>
      </w:r>
      <w:r>
        <w:rPr>
          <w:rFonts w:hint="eastAsia" w:ascii="宋体" w:hAnsi="宋体" w:eastAsia="宋体" w:cs="宋体"/>
          <w:b/>
          <w:bCs/>
          <w:snapToGrid w:val="0"/>
          <w:color w:val="auto"/>
          <w:kern w:val="0"/>
          <w:sz w:val="24"/>
          <w:szCs w:val="24"/>
          <w:highlight w:val="none"/>
          <w:lang w:val="en-US" w:eastAsia="zh-CN"/>
        </w:rPr>
        <w:t>《韶关市公共资源交易一体化平台保证金缴纳信息》页面截图）</w:t>
      </w:r>
      <w:r>
        <w:rPr>
          <w:rFonts w:hint="eastAsia" w:ascii="宋体" w:hAnsi="宋体" w:eastAsia="宋体" w:cs="宋体"/>
          <w:snapToGrid w:val="0"/>
          <w:color w:val="auto"/>
          <w:kern w:val="0"/>
          <w:sz w:val="24"/>
          <w:szCs w:val="24"/>
          <w:highlight w:val="none"/>
          <w:lang w:val="en-US" w:eastAsia="zh-CN"/>
        </w:rPr>
        <w:t>；</w:t>
      </w:r>
    </w:p>
    <w:p w14:paraId="6345F3A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）《投标人基本情况表》（格式</w:t>
      </w:r>
      <w:r>
        <w:rPr>
          <w:rFonts w:hint="eastAsia" w:ascii="宋体" w:hAnsi="宋体" w:eastAsia="宋体" w:cs="宋体"/>
          <w:snapToGrid w:val="0"/>
          <w:color w:val="auto"/>
          <w:kern w:val="0"/>
          <w:sz w:val="24"/>
          <w:szCs w:val="24"/>
          <w:highlight w:val="none"/>
          <w:lang w:val="en-US" w:eastAsia="zh-CN"/>
        </w:rPr>
        <w:t>六</w:t>
      </w:r>
      <w:r>
        <w:rPr>
          <w:rFonts w:hint="eastAsia" w:ascii="宋体" w:hAnsi="宋体" w:eastAsia="宋体" w:cs="宋体"/>
          <w:snapToGrid w:val="0"/>
          <w:color w:val="auto"/>
          <w:kern w:val="0"/>
          <w:sz w:val="24"/>
          <w:szCs w:val="24"/>
          <w:highlight w:val="none"/>
        </w:rPr>
        <w:t>）及所附资料；</w:t>
      </w:r>
    </w:p>
    <w:p w14:paraId="77AE3B5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）《项目经理简历表》（格式</w:t>
      </w:r>
      <w:r>
        <w:rPr>
          <w:rFonts w:hint="eastAsia" w:ascii="宋体" w:hAnsi="宋体" w:eastAsia="宋体" w:cs="宋体"/>
          <w:snapToGrid w:val="0"/>
          <w:color w:val="auto"/>
          <w:kern w:val="0"/>
          <w:sz w:val="24"/>
          <w:szCs w:val="24"/>
          <w:highlight w:val="none"/>
          <w:lang w:val="en-US" w:eastAsia="zh-CN"/>
        </w:rPr>
        <w:t>七</w:t>
      </w:r>
      <w:r>
        <w:rPr>
          <w:rFonts w:hint="eastAsia" w:ascii="宋体" w:hAnsi="宋体" w:eastAsia="宋体" w:cs="宋体"/>
          <w:snapToGrid w:val="0"/>
          <w:color w:val="auto"/>
          <w:kern w:val="0"/>
          <w:sz w:val="24"/>
          <w:szCs w:val="24"/>
          <w:highlight w:val="none"/>
        </w:rPr>
        <w:t>）及所附资料；</w:t>
      </w:r>
    </w:p>
    <w:p w14:paraId="2B6A637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w:t>
      </w:r>
      <w:r>
        <w:rPr>
          <w:rFonts w:hint="eastAsia" w:ascii="宋体" w:hAnsi="宋体" w:eastAsia="宋体" w:cs="宋体"/>
          <w:snapToGrid w:val="0"/>
          <w:color w:val="auto"/>
          <w:kern w:val="0"/>
          <w:sz w:val="24"/>
          <w:szCs w:val="24"/>
          <w:highlight w:val="none"/>
        </w:rPr>
        <w:t>）《项目经理任职声明》（格式</w:t>
      </w:r>
      <w:r>
        <w:rPr>
          <w:rFonts w:hint="eastAsia" w:ascii="宋体" w:hAnsi="宋体" w:eastAsia="宋体" w:cs="宋体"/>
          <w:snapToGrid w:val="0"/>
          <w:color w:val="auto"/>
          <w:kern w:val="0"/>
          <w:sz w:val="24"/>
          <w:szCs w:val="24"/>
          <w:highlight w:val="none"/>
          <w:lang w:val="en-US" w:eastAsia="zh-CN"/>
        </w:rPr>
        <w:t>八</w:t>
      </w:r>
      <w:r>
        <w:rPr>
          <w:rFonts w:hint="eastAsia" w:ascii="宋体" w:hAnsi="宋体" w:eastAsia="宋体" w:cs="宋体"/>
          <w:snapToGrid w:val="0"/>
          <w:color w:val="auto"/>
          <w:kern w:val="0"/>
          <w:sz w:val="24"/>
          <w:szCs w:val="24"/>
          <w:highlight w:val="none"/>
        </w:rPr>
        <w:t>）；</w:t>
      </w:r>
    </w:p>
    <w:p w14:paraId="275FFD0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）《项目技术负责人简历表》（格式</w:t>
      </w:r>
      <w:r>
        <w:rPr>
          <w:rFonts w:hint="eastAsia" w:ascii="宋体" w:hAnsi="宋体" w:eastAsia="宋体" w:cs="宋体"/>
          <w:snapToGrid w:val="0"/>
          <w:color w:val="auto"/>
          <w:kern w:val="0"/>
          <w:sz w:val="24"/>
          <w:szCs w:val="24"/>
          <w:highlight w:val="none"/>
          <w:lang w:val="en-US" w:eastAsia="zh-CN"/>
        </w:rPr>
        <w:t>九</w:t>
      </w:r>
      <w:r>
        <w:rPr>
          <w:rFonts w:hint="eastAsia" w:ascii="宋体" w:hAnsi="宋体" w:eastAsia="宋体" w:cs="宋体"/>
          <w:snapToGrid w:val="0"/>
          <w:color w:val="auto"/>
          <w:kern w:val="0"/>
          <w:sz w:val="24"/>
          <w:szCs w:val="24"/>
          <w:highlight w:val="none"/>
        </w:rPr>
        <w:t>）及所附资料；</w:t>
      </w:r>
    </w:p>
    <w:p w14:paraId="78DB844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）《项目管理机构组成表》（格式十）及所附资料；</w:t>
      </w:r>
    </w:p>
    <w:p w14:paraId="775CFAF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）本节“评标方法”要求提供的评审资料；</w:t>
      </w:r>
    </w:p>
    <w:p w14:paraId="239977E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w:t>
      </w:r>
      <w:r>
        <w:rPr>
          <w:rFonts w:hint="eastAsia" w:ascii="宋体" w:hAnsi="宋体" w:eastAsia="宋体" w:cs="宋体"/>
          <w:b/>
          <w:bCs/>
          <w:snapToGrid w:val="0"/>
          <w:color w:val="auto"/>
          <w:kern w:val="0"/>
          <w:sz w:val="24"/>
          <w:szCs w:val="24"/>
          <w:highlight w:val="none"/>
        </w:rPr>
        <w:t>企业所在省、地级市住建部门或其授权的组织（机构）关于企业资质、人员资格有效期自动顺延或延期办理的相关文件等）</w:t>
      </w:r>
      <w:r>
        <w:rPr>
          <w:rFonts w:hint="eastAsia" w:ascii="宋体" w:hAnsi="宋体" w:eastAsia="宋体" w:cs="宋体"/>
          <w:snapToGrid w:val="0"/>
          <w:color w:val="auto"/>
          <w:kern w:val="0"/>
          <w:sz w:val="24"/>
          <w:szCs w:val="24"/>
          <w:highlight w:val="none"/>
        </w:rPr>
        <w:t>。</w:t>
      </w:r>
    </w:p>
    <w:p w14:paraId="6B288EDE">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w:t>
      </w:r>
    </w:p>
    <w:p w14:paraId="2AC83DC3">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商务标书的组成内容按本节第</w:t>
      </w:r>
      <w:r>
        <w:rPr>
          <w:rFonts w:hint="eastAsia" w:ascii="宋体" w:hAnsi="宋体" w:eastAsia="宋体" w:cs="宋体"/>
          <w:b/>
          <w:snapToGrid w:val="0"/>
          <w:color w:val="auto"/>
          <w:kern w:val="0"/>
          <w:sz w:val="24"/>
          <w:szCs w:val="24"/>
          <w:highlight w:val="none"/>
        </w:rPr>
        <w:t>10.2.1</w:t>
      </w:r>
      <w:r>
        <w:rPr>
          <w:rFonts w:hint="eastAsia" w:ascii="宋体" w:hAnsi="宋体" w:eastAsia="宋体" w:cs="宋体"/>
          <w:bCs/>
          <w:snapToGrid w:val="0"/>
          <w:color w:val="auto"/>
          <w:kern w:val="0"/>
          <w:sz w:val="24"/>
          <w:szCs w:val="24"/>
          <w:highlight w:val="none"/>
        </w:rPr>
        <w:t>目规定的顺序整理、编排后，逐页（页码起始从封面开始）连续标记页码</w:t>
      </w:r>
      <w:r>
        <w:rPr>
          <w:rFonts w:hint="eastAsia" w:ascii="宋体" w:hAnsi="宋体" w:eastAsia="宋体" w:cs="宋体"/>
          <w:snapToGrid w:val="0"/>
          <w:color w:val="auto"/>
          <w:kern w:val="0"/>
          <w:sz w:val="24"/>
          <w:szCs w:val="24"/>
          <w:highlight w:val="none"/>
        </w:rPr>
        <w:t>，作成一个PDF格式电子文件</w:t>
      </w:r>
      <w:r>
        <w:rPr>
          <w:rFonts w:hint="eastAsia" w:ascii="宋体" w:hAnsi="宋体" w:eastAsia="宋体" w:cs="宋体"/>
          <w:bCs/>
          <w:snapToGrid w:val="0"/>
          <w:color w:val="auto"/>
          <w:kern w:val="0"/>
          <w:sz w:val="24"/>
          <w:szCs w:val="24"/>
          <w:highlight w:val="none"/>
        </w:rPr>
        <w:t>。</w:t>
      </w:r>
      <w:bookmarkStart w:id="53" w:name="_Hlt69670029"/>
      <w:bookmarkEnd w:id="53"/>
      <w:bookmarkStart w:id="54" w:name="_Hlt87783273"/>
      <w:bookmarkEnd w:id="54"/>
      <w:bookmarkStart w:id="55" w:name="_Toc274313881"/>
    </w:p>
    <w:p w14:paraId="722C6DEB">
      <w:pPr>
        <w:spacing w:before="155" w:line="360" w:lineRule="auto"/>
        <w:ind w:left="16" w:right="133" w:firstLine="562"/>
        <w:rPr>
          <w:rFonts w:hint="eastAsia" w:ascii="宋体" w:hAnsi="宋体" w:eastAsia="宋体" w:cs="宋体"/>
          <w:b/>
          <w:bCs/>
          <w:color w:val="auto"/>
          <w:spacing w:val="-2"/>
          <w:sz w:val="24"/>
          <w:szCs w:val="24"/>
          <w:highlight w:val="none"/>
        </w:rPr>
      </w:pPr>
      <w:bookmarkStart w:id="56" w:name="_Toc20435"/>
      <w:bookmarkStart w:id="57" w:name="_Toc1207"/>
      <w:r>
        <w:rPr>
          <w:rFonts w:hint="eastAsia" w:ascii="宋体" w:hAnsi="宋体" w:eastAsia="宋体" w:cs="宋体"/>
          <w:b/>
          <w:bCs/>
          <w:color w:val="auto"/>
          <w:spacing w:val="-2"/>
          <w:sz w:val="24"/>
          <w:szCs w:val="24"/>
          <w:highlight w:val="none"/>
        </w:rPr>
        <w:t>10.3</w:t>
      </w:r>
      <w:bookmarkStart w:id="58" w:name="_Hlt69670035"/>
      <w:bookmarkEnd w:id="58"/>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b w:val="0"/>
          <w:bCs w:val="0"/>
          <w:color w:val="auto"/>
          <w:spacing w:val="-2"/>
          <w:sz w:val="24"/>
          <w:szCs w:val="24"/>
          <w:highlight w:val="none"/>
        </w:rPr>
        <w:t>经济标书的编制要求</w:t>
      </w:r>
      <w:bookmarkEnd w:id="55"/>
      <w:bookmarkEnd w:id="56"/>
      <w:bookmarkEnd w:id="57"/>
    </w:p>
    <w:p w14:paraId="3316F8EC">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00F2E6C5">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46828E44">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0EEB1714">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color w:val="auto"/>
          <w:sz w:val="24"/>
          <w:szCs w:val="24"/>
          <w:highlight w:val="none"/>
        </w:rPr>
      </w:pPr>
      <w:bookmarkStart w:id="59" w:name="_Hlt69699579"/>
      <w:bookmarkEnd w:id="59"/>
      <w:r>
        <w:rPr>
          <w:rFonts w:hint="eastAsia" w:ascii="宋体" w:hAnsi="宋体" w:eastAsia="宋体" w:cs="宋体"/>
          <w:color w:val="auto"/>
          <w:sz w:val="24"/>
          <w:szCs w:val="24"/>
          <w:highlight w:val="none"/>
        </w:rPr>
        <w:t>（3）《投标总价》；</w:t>
      </w:r>
    </w:p>
    <w:p w14:paraId="1D1AD6AA">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说明：《投标总价》的格式按照《建设工程工程量清单计价规范》（GB50500—2013）执行，并应满足以下要求：</w:t>
      </w:r>
    </w:p>
    <w:p w14:paraId="25D6703B">
      <w:pPr>
        <w:keepNext w:val="0"/>
        <w:keepLines w:val="0"/>
        <w:pageBreakBefore w:val="0"/>
        <w:widowControl/>
        <w:suppressLineNumbers w:val="0"/>
        <w:kinsoku/>
        <w:overflowPunct/>
        <w:autoSpaceDE/>
        <w:autoSpaceDN/>
        <w:bidi w:val="0"/>
        <w:spacing w:line="360" w:lineRule="auto"/>
        <w:ind w:firstLine="723" w:firstLineChars="3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《投标总价扉页》（即扉—3）后应附编制人的造价工程师注册证书</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（须复印或打印至变更注册栏</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bidi="ar"/>
        </w:rPr>
        <w:t>一级造价师或二级造价师均可提供电子证书</w:t>
      </w:r>
      <w:r>
        <w:rPr>
          <w:rFonts w:hint="eastAsia" w:ascii="宋体" w:hAnsi="宋体" w:eastAsia="宋体" w:cs="宋体"/>
          <w:snapToGrid w:val="0"/>
          <w:color w:val="auto"/>
          <w:kern w:val="0"/>
          <w:sz w:val="24"/>
          <w:szCs w:val="24"/>
          <w:highlight w:val="none"/>
        </w:rPr>
        <w:t>）；投标人委托造价咨询单位编制《投标总价》的，在该扉页“投标人”栏目加盖造价咨询人公章，并在该扉页后附造价咨询人的营业执照副本</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w:t>
      </w:r>
    </w:p>
    <w:p w14:paraId="7A6CACCD">
      <w:pPr>
        <w:keepNext w:val="0"/>
        <w:keepLines w:val="0"/>
        <w:pageBreakBefore w:val="0"/>
        <w:kinsoku/>
        <w:wordWrap w:val="0"/>
        <w:overflowPunct/>
        <w:autoSpaceDE/>
        <w:autoSpaceDN/>
        <w:bidi w:val="0"/>
        <w:adjustRightInd w:val="0"/>
        <w:snapToGrid w:val="0"/>
        <w:spacing w:line="360" w:lineRule="auto"/>
        <w:ind w:firstLine="723" w:firstLineChars="3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投标人认为有必要补充的其他资料（例如关于投标总价下浮率超过15%的书面说明和佐证材料）。</w:t>
      </w:r>
    </w:p>
    <w:p w14:paraId="42CA8CBA">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目中所列出的经济标书组成内容中，第（1）至第（3）项所有投标人均应提供</w:t>
      </w:r>
      <w:bookmarkStart w:id="60" w:name="_Hlt145127239"/>
      <w:bookmarkEnd w:id="60"/>
      <w:r>
        <w:rPr>
          <w:rFonts w:hint="eastAsia" w:ascii="宋体" w:hAnsi="宋体" w:eastAsia="宋体" w:cs="宋体"/>
          <w:snapToGrid w:val="0"/>
          <w:color w:val="auto"/>
          <w:kern w:val="0"/>
          <w:sz w:val="24"/>
          <w:szCs w:val="24"/>
          <w:highlight w:val="none"/>
        </w:rPr>
        <w:t>。</w:t>
      </w:r>
    </w:p>
    <w:p w14:paraId="2A012BEE">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kern w:val="0"/>
          <w:sz w:val="24"/>
          <w:szCs w:val="24"/>
          <w:highlight w:val="none"/>
        </w:rPr>
        <w:t xml:space="preserve">10.3.3 </w:t>
      </w:r>
      <w:r>
        <w:rPr>
          <w:rFonts w:hint="eastAsia" w:ascii="宋体" w:hAnsi="宋体" w:eastAsia="宋体" w:cs="宋体"/>
          <w:snapToGrid w:val="0"/>
          <w:color w:val="auto"/>
          <w:kern w:val="0"/>
          <w:sz w:val="24"/>
          <w:szCs w:val="24"/>
          <w:highlight w:val="none"/>
        </w:rPr>
        <w:t>经济标书的组成内容应按本节第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目规定的顺序整理、编排后，逐页（页码起始从封面开始）连续标记页码</w:t>
      </w:r>
      <w:r>
        <w:rPr>
          <w:rFonts w:hint="eastAsia" w:ascii="宋体" w:hAnsi="宋体" w:eastAsia="宋体" w:cs="宋体"/>
          <w:snapToGrid w:val="0"/>
          <w:color w:val="auto"/>
          <w:kern w:val="0"/>
          <w:sz w:val="24"/>
          <w:szCs w:val="24"/>
          <w:highlight w:val="none"/>
          <w:lang w:val="en-US" w:eastAsia="zh-CN" w:bidi="ar-SA"/>
        </w:rPr>
        <w:t>，作成一个PDF格式电子文件</w:t>
      </w:r>
      <w:r>
        <w:rPr>
          <w:rFonts w:hint="eastAsia" w:ascii="宋体" w:hAnsi="宋体" w:eastAsia="宋体" w:cs="宋体"/>
          <w:snapToGrid w:val="0"/>
          <w:color w:val="auto"/>
          <w:kern w:val="0"/>
          <w:sz w:val="24"/>
          <w:szCs w:val="24"/>
          <w:highlight w:val="none"/>
        </w:rPr>
        <w:t>。</w:t>
      </w:r>
    </w:p>
    <w:p w14:paraId="274133CF">
      <w:pPr>
        <w:spacing w:before="155" w:line="360" w:lineRule="auto"/>
        <w:ind w:left="16" w:right="133" w:firstLine="562"/>
        <w:rPr>
          <w:rFonts w:hint="eastAsia" w:ascii="宋体" w:hAnsi="宋体" w:eastAsia="宋体" w:cs="宋体"/>
          <w:b w:val="0"/>
          <w:bCs w:val="0"/>
          <w:color w:val="auto"/>
          <w:spacing w:val="-2"/>
          <w:sz w:val="24"/>
          <w:szCs w:val="24"/>
          <w:highlight w:val="none"/>
        </w:rPr>
      </w:pPr>
      <w:bookmarkStart w:id="61" w:name="_Toc538"/>
      <w:bookmarkStart w:id="62" w:name="_Toc13483"/>
      <w:r>
        <w:rPr>
          <w:rFonts w:hint="eastAsia" w:ascii="宋体" w:hAnsi="宋体" w:eastAsia="宋体" w:cs="宋体"/>
          <w:b/>
          <w:bCs/>
          <w:color w:val="auto"/>
          <w:spacing w:val="-2"/>
          <w:sz w:val="24"/>
          <w:szCs w:val="24"/>
          <w:highlight w:val="none"/>
        </w:rPr>
        <w:t xml:space="preserve">10.4 </w:t>
      </w:r>
      <w:r>
        <w:rPr>
          <w:rFonts w:hint="eastAsia" w:ascii="宋体" w:hAnsi="宋体" w:eastAsia="宋体" w:cs="宋体"/>
          <w:b w:val="0"/>
          <w:bCs w:val="0"/>
          <w:color w:val="auto"/>
          <w:spacing w:val="-2"/>
          <w:sz w:val="24"/>
          <w:szCs w:val="24"/>
          <w:highlight w:val="none"/>
        </w:rPr>
        <w:t>施工组织设计的编制要求</w:t>
      </w:r>
      <w:bookmarkEnd w:id="61"/>
      <w:bookmarkEnd w:id="62"/>
    </w:p>
    <w:p w14:paraId="3B8C9E46">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38F6ED61">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005410FC">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69F87FA0">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58BB025F">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3E83AE7F">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68DD6349">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61A6557C">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40FEEBF6">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6D78AC23">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7F9B099C">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3A07B246">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7A6AFA06">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15DD8330">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3F9F3D44">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rPr>
        <w:t>应对建设单位组织的勘察设计等单位在施工招标文件中列出的危大工程清单(详见格式十</w:t>
      </w:r>
      <w:r>
        <w:rPr>
          <w:rFonts w:hint="eastAsia" w:ascii="宋体" w:hAnsi="宋体" w:eastAsia="宋体" w:cs="宋体"/>
          <w:b/>
          <w:bCs/>
          <w:snapToGrid w:val="0"/>
          <w:color w:val="auto"/>
          <w:kern w:val="0"/>
          <w:sz w:val="24"/>
          <w:szCs w:val="24"/>
          <w:highlight w:val="none"/>
          <w:lang w:val="en-US" w:eastAsia="zh-CN"/>
        </w:rPr>
        <w:t>二</w:t>
      </w:r>
      <w:r>
        <w:rPr>
          <w:rFonts w:hint="eastAsia" w:ascii="宋体" w:hAnsi="宋体" w:eastAsia="宋体" w:cs="宋体"/>
          <w:b/>
          <w:bCs/>
          <w:snapToGrid w:val="0"/>
          <w:color w:val="auto"/>
          <w:kern w:val="0"/>
          <w:sz w:val="24"/>
          <w:szCs w:val="24"/>
          <w:highlight w:val="none"/>
        </w:rPr>
        <w:t>)进行投标文件回应</w:t>
      </w:r>
      <w:r>
        <w:rPr>
          <w:rFonts w:hint="eastAsia" w:ascii="宋体" w:hAnsi="宋体" w:eastAsia="宋体" w:cs="宋体"/>
          <w:b/>
          <w:bCs/>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lang w:val="en-US" w:eastAsia="zh-CN"/>
        </w:rPr>
        <w:t>如有</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w:t>
      </w:r>
    </w:p>
    <w:p w14:paraId="29E32A1C">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w:t>
      </w:r>
      <w:r>
        <w:rPr>
          <w:rFonts w:hint="eastAsia" w:ascii="宋体" w:hAnsi="宋体" w:eastAsia="宋体" w:cs="宋体"/>
          <w:snapToGrid w:val="0"/>
          <w:color w:val="auto"/>
          <w:kern w:val="0"/>
          <w:sz w:val="24"/>
          <w:szCs w:val="24"/>
          <w:highlight w:val="none"/>
          <w:lang w:val="en-US" w:eastAsia="zh-CN"/>
        </w:rPr>
        <w:t>、设备及仓储、供电、供水、卫生、生活、道路、消防等设施的情况和布置）</w:t>
      </w:r>
      <w:r>
        <w:rPr>
          <w:rFonts w:hint="eastAsia" w:ascii="宋体" w:hAnsi="宋体" w:eastAsia="宋体" w:cs="宋体"/>
          <w:snapToGrid w:val="0"/>
          <w:color w:val="auto"/>
          <w:kern w:val="0"/>
          <w:sz w:val="24"/>
          <w:szCs w:val="24"/>
          <w:highlight w:val="none"/>
        </w:rPr>
        <w:t>；</w:t>
      </w:r>
    </w:p>
    <w:p w14:paraId="3B5DA2F6">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79D4DD90">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28BCE066">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54098E7F">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施工组织设计的组成内容按本节第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目规定的顺序整理、编排后，逐页（页码起始从封面开始）连续标记页码。</w:t>
      </w:r>
    </w:p>
    <w:p w14:paraId="3324639D">
      <w:pPr>
        <w:spacing w:before="78" w:line="360" w:lineRule="auto"/>
        <w:ind w:left="496"/>
        <w:outlineLvl w:val="2"/>
        <w:rPr>
          <w:rFonts w:hint="eastAsia" w:ascii="宋体" w:hAnsi="宋体" w:eastAsia="宋体" w:cs="宋体"/>
          <w:color w:val="auto"/>
          <w:sz w:val="24"/>
          <w:szCs w:val="24"/>
          <w:highlight w:val="none"/>
        </w:rPr>
      </w:pPr>
      <w:bookmarkStart w:id="63" w:name="_Toc29307"/>
      <w:bookmarkStart w:id="64" w:name="_Toc4360"/>
      <w:r>
        <w:rPr>
          <w:rFonts w:hint="eastAsia" w:ascii="宋体" w:hAnsi="宋体" w:eastAsia="宋体" w:cs="宋体"/>
          <w:b/>
          <w:bCs/>
          <w:color w:val="auto"/>
          <w:spacing w:val="-9"/>
          <w:sz w:val="24"/>
          <w:szCs w:val="24"/>
          <w:highlight w:val="none"/>
        </w:rPr>
        <w:t>11.电子投标</w:t>
      </w:r>
      <w:bookmarkEnd w:id="63"/>
      <w:bookmarkEnd w:id="64"/>
    </w:p>
    <w:p w14:paraId="25CDC026">
      <w:pPr>
        <w:keepNext w:val="0"/>
        <w:keepLines w:val="0"/>
        <w:pageBreakBefore w:val="0"/>
        <w:widowControl w:val="0"/>
        <w:kinsoku w:val="0"/>
        <w:wordWrap/>
        <w:overflowPunct/>
        <w:topLinePunct w:val="0"/>
        <w:autoSpaceDE w:val="0"/>
        <w:autoSpaceDN w:val="0"/>
        <w:bidi w:val="0"/>
        <w:adjustRightInd w:val="0"/>
        <w:snapToGrid w:val="0"/>
        <w:spacing w:before="112" w:line="360" w:lineRule="auto"/>
        <w:ind w:left="10" w:firstLine="48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2"/>
          <w:sz w:val="24"/>
          <w:szCs w:val="24"/>
          <w:highlight w:val="none"/>
        </w:rPr>
        <w:t>具体操作参照《韶关市公共资源建设工程交易系统-投标人操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书对投标文件进行文件加密，形成加密的投标文件并提交标书。</w:t>
      </w:r>
    </w:p>
    <w:p w14:paraId="35865D19">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10" w:right="81" w:firstLine="485"/>
        <w:textAlignment w:val="baseline"/>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2"/>
          <w:sz w:val="24"/>
          <w:szCs w:val="24"/>
          <w:highlight w:val="none"/>
        </w:rPr>
        <w:t>前将重新上传修改后的电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14:paraId="28C93B4D">
      <w:pPr>
        <w:spacing w:before="78" w:line="360" w:lineRule="auto"/>
        <w:ind w:left="496"/>
        <w:outlineLvl w:val="2"/>
        <w:rPr>
          <w:rFonts w:hint="eastAsia" w:ascii="宋体" w:hAnsi="宋体" w:eastAsia="宋体" w:cs="宋体"/>
          <w:b/>
          <w:bCs/>
          <w:color w:val="auto"/>
          <w:spacing w:val="-9"/>
          <w:sz w:val="24"/>
          <w:szCs w:val="24"/>
          <w:highlight w:val="none"/>
        </w:rPr>
      </w:pPr>
      <w:bookmarkStart w:id="65" w:name="_Toc11460"/>
      <w:bookmarkStart w:id="66" w:name="_Toc15963"/>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9"/>
          <w:sz w:val="24"/>
          <w:szCs w:val="24"/>
          <w:highlight w:val="none"/>
        </w:rPr>
        <w:t>电子投标及投标解密失败及突发情况的补救方案</w:t>
      </w:r>
      <w:bookmarkEnd w:id="65"/>
      <w:bookmarkEnd w:id="66"/>
    </w:p>
    <w:p w14:paraId="7139F667">
      <w:pPr>
        <w:spacing w:before="78" w:line="360" w:lineRule="auto"/>
        <w:ind w:firstLine="478"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pacing w:val="-1"/>
          <w:sz w:val="24"/>
          <w:szCs w:val="24"/>
          <w:highlight w:val="none"/>
        </w:rPr>
        <w:t>0200/index）服务指南栏目发布的最新版操作指引。</w:t>
      </w:r>
    </w:p>
    <w:p w14:paraId="150DE32F">
      <w:pPr>
        <w:spacing w:before="113"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2CAE9A68">
      <w:pPr>
        <w:spacing w:before="115"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76763BF4">
      <w:pPr>
        <w:spacing w:before="115" w:line="360" w:lineRule="auto"/>
        <w:ind w:right="81"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67" w:name="bookmark122"/>
      <w:bookmarkEnd w:id="67"/>
      <w:r>
        <w:rPr>
          <w:rFonts w:hint="eastAsia" w:ascii="宋体" w:hAnsi="宋体" w:eastAsia="宋体" w:cs="宋体"/>
          <w:color w:val="auto"/>
          <w:spacing w:val="-1"/>
          <w:sz w:val="24"/>
          <w:szCs w:val="24"/>
          <w:highlight w:val="none"/>
        </w:rPr>
        <w:t>重新提交投标文件继续开标程序。</w:t>
      </w:r>
    </w:p>
    <w:p w14:paraId="400C2A13">
      <w:pPr>
        <w:spacing w:before="114"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5C5AD13B">
      <w:pPr>
        <w:spacing w:before="114" w:line="360" w:lineRule="auto"/>
        <w:ind w:right="81"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露与评标有关的任何信息与情况。</w:t>
      </w:r>
    </w:p>
    <w:p w14:paraId="13DA5277">
      <w:pPr>
        <w:spacing w:before="69" w:line="360" w:lineRule="auto"/>
        <w:ind w:left="11" w:right="81"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14:paraId="392F6788">
      <w:pPr>
        <w:spacing w:before="78" w:line="360" w:lineRule="auto"/>
        <w:ind w:left="496"/>
        <w:outlineLvl w:val="2"/>
        <w:rPr>
          <w:rFonts w:hint="eastAsia" w:ascii="宋体" w:hAnsi="宋体" w:eastAsia="宋体" w:cs="宋体"/>
          <w:color w:val="auto"/>
          <w:sz w:val="24"/>
          <w:szCs w:val="24"/>
          <w:highlight w:val="none"/>
        </w:rPr>
      </w:pPr>
      <w:bookmarkStart w:id="68" w:name="_Toc1005"/>
      <w:bookmarkStart w:id="69" w:name="_Toc30180"/>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lang w:eastAsia="zh-CN"/>
        </w:rPr>
        <w:t>.</w:t>
      </w:r>
      <w:r>
        <w:rPr>
          <w:rFonts w:hint="eastAsia" w:ascii="宋体" w:hAnsi="宋体" w:eastAsia="宋体" w:cs="宋体"/>
          <w:b/>
          <w:bCs/>
          <w:color w:val="auto"/>
          <w:spacing w:val="-7"/>
          <w:sz w:val="24"/>
          <w:szCs w:val="24"/>
          <w:highlight w:val="none"/>
        </w:rPr>
        <w:t>投标文件的提交</w:t>
      </w:r>
      <w:bookmarkEnd w:id="68"/>
      <w:bookmarkEnd w:id="69"/>
    </w:p>
    <w:p w14:paraId="1C80FDFD">
      <w:pPr>
        <w:keepNext w:val="0"/>
        <w:keepLines w:val="0"/>
        <w:pageBreakBefore w:val="0"/>
        <w:widowControl w:val="0"/>
        <w:kinsoku w:val="0"/>
        <w:wordWrap/>
        <w:overflowPunct/>
        <w:topLinePunct w:val="0"/>
        <w:autoSpaceDE w:val="0"/>
        <w:autoSpaceDN w:val="0"/>
        <w:bidi w:val="0"/>
        <w:adjustRightInd w:val="0"/>
        <w:snapToGrid w:val="0"/>
        <w:spacing w:before="123" w:line="360" w:lineRule="auto"/>
        <w:ind w:left="13" w:right="81" w:firstLine="482"/>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东省·韶关市）将予以拒收。</w:t>
      </w:r>
    </w:p>
    <w:p w14:paraId="3E632623">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26334082">
      <w:pPr>
        <w:keepNext w:val="0"/>
        <w:keepLines w:val="0"/>
        <w:pageBreakBefore w:val="0"/>
        <w:widowControl w:val="0"/>
        <w:kinsoku w:val="0"/>
        <w:wordWrap/>
        <w:overflowPunct/>
        <w:topLinePunct w:val="0"/>
        <w:autoSpaceDE w:val="0"/>
        <w:autoSpaceDN w:val="0"/>
        <w:bidi w:val="0"/>
        <w:adjustRightInd w:val="0"/>
        <w:snapToGrid w:val="0"/>
        <w:spacing w:before="113" w:line="360" w:lineRule="auto"/>
        <w:ind w:left="9" w:right="24" w:firstLine="48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2BD6F997">
      <w:pPr>
        <w:keepNext w:val="0"/>
        <w:keepLines w:val="0"/>
        <w:pageBreakBefore w:val="0"/>
        <w:widowControl w:val="0"/>
        <w:kinsoku w:val="0"/>
        <w:wordWrap/>
        <w:overflowPunct/>
        <w:topLinePunct w:val="0"/>
        <w:autoSpaceDE w:val="0"/>
        <w:autoSpaceDN w:val="0"/>
        <w:bidi w:val="0"/>
        <w:adjustRightInd w:val="0"/>
        <w:snapToGrid w:val="0"/>
        <w:spacing w:before="112" w:line="360" w:lineRule="auto"/>
        <w:ind w:firstLine="478"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68873B8F">
      <w:pPr>
        <w:keepNext w:val="0"/>
        <w:keepLines w:val="0"/>
        <w:pageBreakBefore w:val="0"/>
        <w:widowControl w:val="0"/>
        <w:kinsoku w:val="0"/>
        <w:wordWrap/>
        <w:overflowPunct/>
        <w:topLinePunct w:val="0"/>
        <w:autoSpaceDE w:val="0"/>
        <w:autoSpaceDN w:val="0"/>
        <w:bidi w:val="0"/>
        <w:adjustRightInd w:val="0"/>
        <w:snapToGrid w:val="0"/>
        <w:spacing w:before="116"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14:paraId="00777998">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74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14:paraId="11E2C7ED">
      <w:pPr>
        <w:keepNext w:val="0"/>
        <w:keepLines w:val="0"/>
        <w:pageBreakBefore w:val="0"/>
        <w:widowControl w:val="0"/>
        <w:kinsoku w:val="0"/>
        <w:wordWrap/>
        <w:overflowPunct/>
        <w:topLinePunct w:val="0"/>
        <w:autoSpaceDE w:val="0"/>
        <w:autoSpaceDN w:val="0"/>
        <w:bidi w:val="0"/>
        <w:adjustRightInd w:val="0"/>
        <w:snapToGrid w:val="0"/>
        <w:spacing w:before="114" w:line="360" w:lineRule="auto"/>
        <w:ind w:left="74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14:paraId="0092CD89">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74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41D97A6E">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12BB32A9">
      <w:pPr>
        <w:keepNext w:val="0"/>
        <w:keepLines w:val="0"/>
        <w:pageBreakBefore w:val="0"/>
        <w:widowControl w:val="0"/>
        <w:kinsoku w:val="0"/>
        <w:wordWrap/>
        <w:overflowPunct/>
        <w:topLinePunct w:val="0"/>
        <w:autoSpaceDE w:val="0"/>
        <w:autoSpaceDN w:val="0"/>
        <w:bidi w:val="0"/>
        <w:adjustRightInd w:val="0"/>
        <w:snapToGrid w:val="0"/>
        <w:spacing w:before="113" w:line="360" w:lineRule="auto"/>
        <w:ind w:left="9" w:right="24" w:firstLine="486"/>
        <w:textAlignment w:val="baseline"/>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71293AB0">
      <w:pPr>
        <w:keepNext w:val="0"/>
        <w:keepLines w:val="0"/>
        <w:pageBreakBefore w:val="0"/>
        <w:widowControl w:val="0"/>
        <w:kinsoku w:val="0"/>
        <w:wordWrap/>
        <w:overflowPunct/>
        <w:topLinePunct w:val="0"/>
        <w:autoSpaceDE w:val="0"/>
        <w:autoSpaceDN w:val="0"/>
        <w:bidi w:val="0"/>
        <w:adjustRightInd w:val="0"/>
        <w:snapToGrid w:val="0"/>
        <w:spacing w:before="113" w:line="360" w:lineRule="auto"/>
        <w:ind w:left="9" w:right="24" w:firstLine="48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05BD3EFA">
      <w:pPr>
        <w:spacing w:before="145" w:line="360" w:lineRule="auto"/>
        <w:ind w:left="496"/>
        <w:outlineLvl w:val="2"/>
        <w:rPr>
          <w:rFonts w:hint="eastAsia" w:ascii="宋体" w:hAnsi="宋体" w:eastAsia="宋体" w:cs="宋体"/>
          <w:color w:val="auto"/>
          <w:sz w:val="24"/>
          <w:szCs w:val="24"/>
          <w:highlight w:val="none"/>
        </w:rPr>
      </w:pPr>
      <w:bookmarkStart w:id="70" w:name="_Toc7252"/>
      <w:bookmarkStart w:id="71" w:name="_Toc15544"/>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lang w:eastAsia="zh-CN"/>
        </w:rPr>
        <w:t>.</w:t>
      </w:r>
      <w:r>
        <w:rPr>
          <w:rFonts w:hint="eastAsia" w:ascii="宋体" w:hAnsi="宋体" w:eastAsia="宋体" w:cs="宋体"/>
          <w:b/>
          <w:bCs/>
          <w:color w:val="auto"/>
          <w:spacing w:val="-11"/>
          <w:sz w:val="24"/>
          <w:szCs w:val="24"/>
          <w:highlight w:val="none"/>
        </w:rPr>
        <w:t>开标</w:t>
      </w:r>
      <w:bookmarkEnd w:id="70"/>
      <w:bookmarkEnd w:id="71"/>
    </w:p>
    <w:p w14:paraId="49780A9B">
      <w:pPr>
        <w:keepNext w:val="0"/>
        <w:keepLines w:val="0"/>
        <w:pageBreakBefore w:val="0"/>
        <w:widowControl w:val="0"/>
        <w:kinsoku w:val="0"/>
        <w:overflowPunct/>
        <w:topLinePunct w:val="0"/>
        <w:autoSpaceDE w:val="0"/>
        <w:autoSpaceDN w:val="0"/>
        <w:bidi w:val="0"/>
        <w:adjustRightInd w:val="0"/>
        <w:snapToGrid w:val="0"/>
        <w:spacing w:before="155" w:line="360" w:lineRule="auto"/>
        <w:ind w:left="10" w:right="81" w:firstLine="485"/>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开标，投标人可自主决定是否参加。投标人可登陆交易平台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72" w:name="bookmark123"/>
      <w:bookmarkEnd w:id="72"/>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14:paraId="3B04BEF9">
      <w:pPr>
        <w:keepNext w:val="0"/>
        <w:keepLines w:val="0"/>
        <w:pageBreakBefore w:val="0"/>
        <w:widowControl w:val="0"/>
        <w:kinsoku w:val="0"/>
        <w:overflowPunct/>
        <w:topLinePunct w:val="0"/>
        <w:autoSpaceDE w:val="0"/>
        <w:autoSpaceDN w:val="0"/>
        <w:bidi w:val="0"/>
        <w:adjustRightInd w:val="0"/>
        <w:snapToGrid w:val="0"/>
        <w:spacing w:before="156"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45F6F777">
      <w:pPr>
        <w:keepNext w:val="0"/>
        <w:keepLines w:val="0"/>
        <w:pageBreakBefore w:val="0"/>
        <w:widowControl w:val="0"/>
        <w:kinsoku w:val="0"/>
        <w:wordWrap w:val="0"/>
        <w:overflowPunct/>
        <w:topLinePunct w:val="0"/>
        <w:autoSpaceDE w:val="0"/>
        <w:autoSpaceDN w:val="0"/>
        <w:bidi w:val="0"/>
        <w:adjustRightInd w:val="0"/>
        <w:snapToGrid w:val="0"/>
        <w:spacing w:before="153" w:line="360"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ggzy-portal/#/440200/index）查询是否发布了取</w:t>
      </w:r>
      <w:r>
        <w:rPr>
          <w:rFonts w:hint="eastAsia" w:ascii="宋体" w:hAnsi="宋体" w:eastAsia="宋体" w:cs="宋体"/>
          <w:color w:val="auto"/>
          <w:spacing w:val="-1"/>
          <w:sz w:val="24"/>
          <w:szCs w:val="24"/>
          <w:highlight w:val="none"/>
        </w:rPr>
        <w:t>消开标活动的相关信息。</w:t>
      </w:r>
    </w:p>
    <w:p w14:paraId="3FC91C7D">
      <w:pPr>
        <w:keepNext w:val="0"/>
        <w:keepLines w:val="0"/>
        <w:pageBreakBefore w:val="0"/>
        <w:widowControl w:val="0"/>
        <w:kinsoku w:val="0"/>
        <w:overflowPunct/>
        <w:topLinePunct w:val="0"/>
        <w:autoSpaceDE w:val="0"/>
        <w:autoSpaceDN w:val="0"/>
        <w:bidi w:val="0"/>
        <w:adjustRightInd w:val="0"/>
        <w:snapToGrid w:val="0"/>
        <w:spacing w:before="159" w:line="360" w:lineRule="auto"/>
        <w:ind w:left="10" w:right="80" w:firstLine="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由于投标人原因导致未按投标截至时限上传完整投标文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形导致投标无效的，由投标人自行负责。</w:t>
      </w:r>
    </w:p>
    <w:p w14:paraId="0F9F51F4">
      <w:pPr>
        <w:keepNext w:val="0"/>
        <w:keepLines w:val="0"/>
        <w:pageBreakBefore w:val="0"/>
        <w:widowControl w:val="0"/>
        <w:kinsoku w:val="0"/>
        <w:overflowPunct/>
        <w:topLinePunct w:val="0"/>
        <w:autoSpaceDE w:val="0"/>
        <w:autoSpaceDN w:val="0"/>
        <w:bidi w:val="0"/>
        <w:adjustRightInd w:val="0"/>
        <w:snapToGrid w:val="0"/>
        <w:spacing w:before="152"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20240125">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bookmarkStart w:id="73" w:name="_Toc10291"/>
      <w:bookmarkStart w:id="74" w:name="_Toc10685"/>
      <w:bookmarkStart w:id="75" w:name="_Toc15587"/>
      <w:bookmarkStart w:id="76" w:name="_Toc7725"/>
      <w:r>
        <w:rPr>
          <w:rFonts w:hint="eastAsia" w:ascii="宋体" w:hAnsi="宋体" w:eastAsia="宋体" w:cs="宋体"/>
          <w:sz w:val="24"/>
          <w:szCs w:val="24"/>
        </w:rPr>
        <w:t>（1）主持人（招标人代表或招标人授权的招标代理机构人员）宣读开标纪律。</w:t>
      </w:r>
      <w:bookmarkEnd w:id="73"/>
      <w:bookmarkEnd w:id="74"/>
      <w:bookmarkEnd w:id="75"/>
      <w:bookmarkEnd w:id="76"/>
    </w:p>
    <w:p w14:paraId="42D5FB59">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bookmarkStart w:id="77" w:name="_Toc2011"/>
      <w:bookmarkStart w:id="78" w:name="_Toc16292"/>
      <w:bookmarkStart w:id="79" w:name="_Toc20238"/>
      <w:bookmarkStart w:id="80" w:name="_Toc16768"/>
      <w:r>
        <w:rPr>
          <w:rFonts w:hint="eastAsia" w:ascii="宋体" w:hAnsi="宋体" w:eastAsia="宋体" w:cs="宋体"/>
          <w:sz w:val="24"/>
          <w:szCs w:val="24"/>
        </w:rPr>
        <w:t>（2）主持人宣布唱标人、记录人、见证人、监督人等有关人员姓名。</w:t>
      </w:r>
      <w:bookmarkEnd w:id="77"/>
      <w:bookmarkEnd w:id="78"/>
      <w:bookmarkEnd w:id="79"/>
      <w:bookmarkEnd w:id="80"/>
    </w:p>
    <w:p w14:paraId="26AA2E9E">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bookmarkStart w:id="81" w:name="_Toc17462"/>
      <w:bookmarkStart w:id="82" w:name="_Toc31716"/>
      <w:bookmarkStart w:id="83" w:name="_Toc1974"/>
      <w:bookmarkStart w:id="84" w:name="_Toc7714"/>
      <w:r>
        <w:rPr>
          <w:rFonts w:hint="eastAsia" w:ascii="宋体" w:hAnsi="宋体" w:eastAsia="宋体" w:cs="宋体"/>
          <w:sz w:val="24"/>
          <w:szCs w:val="24"/>
        </w:rPr>
        <w:t>（3）唱标人公布在投标截止时间前进行投标文件的投标人数量和名称</w:t>
      </w:r>
      <w:bookmarkEnd w:id="81"/>
      <w:bookmarkEnd w:id="82"/>
      <w:bookmarkEnd w:id="83"/>
      <w:bookmarkEnd w:id="84"/>
    </w:p>
    <w:p w14:paraId="4A3BFA42">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bookmarkStart w:id="85" w:name="_Toc32728"/>
      <w:bookmarkStart w:id="86" w:name="_Toc20559"/>
      <w:bookmarkStart w:id="87" w:name="_Toc15860"/>
      <w:bookmarkStart w:id="88" w:name="_Toc27967"/>
      <w:r>
        <w:rPr>
          <w:rFonts w:hint="eastAsia" w:ascii="宋体" w:hAnsi="宋体" w:eastAsia="宋体" w:cs="宋体"/>
          <w:sz w:val="24"/>
          <w:szCs w:val="24"/>
        </w:rPr>
        <w:t>（4）招标代理机构会同交易场所工作人员对投标人的电子投标信息进行解密，</w:t>
      </w:r>
      <w:bookmarkEnd w:id="85"/>
      <w:bookmarkEnd w:id="86"/>
      <w:bookmarkEnd w:id="87"/>
      <w:bookmarkEnd w:id="88"/>
    </w:p>
    <w:p w14:paraId="61CFADFE">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建设工程交易系统自动生成《投标保证缴纳情况表》和《开标一览表》。</w:t>
      </w:r>
    </w:p>
    <w:p w14:paraId="34D54FFD">
      <w:pPr>
        <w:keepNext w:val="0"/>
        <w:keepLines w:val="0"/>
        <w:pageBreakBefore w:val="0"/>
        <w:widowControl w:val="0"/>
        <w:kinsoku w:val="0"/>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
          <w:bCs/>
          <w:sz w:val="24"/>
          <w:szCs w:val="24"/>
        </w:rPr>
      </w:pPr>
      <w:bookmarkStart w:id="89" w:name="_Toc28266"/>
      <w:bookmarkStart w:id="90" w:name="_Toc28812"/>
      <w:bookmarkStart w:id="91" w:name="_Toc2199"/>
      <w:bookmarkStart w:id="92" w:name="_Toc20884"/>
      <w:r>
        <w:rPr>
          <w:rFonts w:hint="eastAsia" w:ascii="宋体" w:hAnsi="宋体" w:eastAsia="宋体" w:cs="宋体"/>
          <w:b/>
          <w:bCs/>
          <w:sz w:val="24"/>
          <w:szCs w:val="24"/>
        </w:rPr>
        <w:t>温馨提示：因本项目实行全流程电子化招标投标，投标人无须进行现场签到，可</w:t>
      </w:r>
      <w:bookmarkEnd w:id="89"/>
      <w:bookmarkEnd w:id="90"/>
      <w:bookmarkEnd w:id="91"/>
      <w:r>
        <w:rPr>
          <w:rFonts w:hint="eastAsia" w:ascii="宋体" w:hAnsi="宋体" w:eastAsia="宋体" w:cs="宋体"/>
          <w:b/>
          <w:bCs/>
          <w:sz w:val="24"/>
          <w:szCs w:val="24"/>
        </w:rPr>
        <w:t>登录交易平台观看开标实况、提出异议或进行澄清、确认等操作，对开标事项的异议未在开标期间提出的，招标</w:t>
      </w:r>
      <w:r>
        <w:rPr>
          <w:rFonts w:hint="eastAsia" w:ascii="宋体" w:hAnsi="宋体" w:eastAsia="宋体" w:cs="宋体"/>
          <w:b/>
          <w:bCs/>
          <w:sz w:val="24"/>
          <w:szCs w:val="24"/>
          <w:lang w:eastAsia="zh-CN"/>
        </w:rPr>
        <w:t>人不</w:t>
      </w:r>
      <w:r>
        <w:rPr>
          <w:rFonts w:hint="eastAsia" w:ascii="宋体" w:hAnsi="宋体" w:eastAsia="宋体" w:cs="宋体"/>
          <w:b/>
          <w:bCs/>
          <w:sz w:val="24"/>
          <w:szCs w:val="24"/>
        </w:rPr>
        <w:t>予受理。具体按招标文件和系统操作手册为准。</w:t>
      </w:r>
      <w:bookmarkEnd w:id="92"/>
    </w:p>
    <w:p w14:paraId="71121C40">
      <w:pPr>
        <w:spacing w:before="143" w:line="360" w:lineRule="auto"/>
        <w:ind w:left="11" w:right="8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429DB52E">
      <w:pPr>
        <w:spacing w:before="155" w:line="360" w:lineRule="auto"/>
        <w:ind w:left="8" w:right="82"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14.4</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332FDB46">
      <w:pPr>
        <w:spacing w:before="78" w:line="360" w:lineRule="auto"/>
        <w:ind w:left="496"/>
        <w:outlineLvl w:val="2"/>
        <w:rPr>
          <w:rFonts w:hint="eastAsia" w:ascii="宋体" w:hAnsi="宋体" w:eastAsia="宋体" w:cs="宋体"/>
          <w:color w:val="auto"/>
          <w:highlight w:val="none"/>
        </w:rPr>
      </w:pPr>
      <w:bookmarkStart w:id="93" w:name="_Toc23568"/>
      <w:bookmarkStart w:id="94" w:name="_Toc31540"/>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11"/>
          <w:sz w:val="24"/>
          <w:szCs w:val="24"/>
          <w:highlight w:val="none"/>
          <w:lang w:val="en-US" w:eastAsia="zh-CN"/>
        </w:rPr>
        <w:t>.</w:t>
      </w:r>
      <w:r>
        <w:rPr>
          <w:rFonts w:hint="eastAsia" w:ascii="宋体" w:hAnsi="宋体" w:eastAsia="宋体" w:cs="宋体"/>
          <w:b/>
          <w:bCs/>
          <w:color w:val="auto"/>
          <w:spacing w:val="-11"/>
          <w:sz w:val="24"/>
          <w:szCs w:val="24"/>
          <w:highlight w:val="none"/>
        </w:rPr>
        <w:t>评标</w:t>
      </w:r>
      <w:bookmarkEnd w:id="93"/>
      <w:bookmarkEnd w:id="94"/>
    </w:p>
    <w:p w14:paraId="09BD37D5">
      <w:pPr>
        <w:spacing w:before="78" w:line="360" w:lineRule="auto"/>
        <w:ind w:left="8" w:right="65" w:firstLine="480"/>
        <w:rPr>
          <w:rFonts w:hint="eastAsia" w:ascii="宋体" w:hAnsi="宋体" w:eastAsia="宋体" w:cs="宋体"/>
          <w:color w:val="auto"/>
          <w:sz w:val="24"/>
          <w:szCs w:val="24"/>
          <w:highlight w:val="none"/>
        </w:rPr>
      </w:pPr>
      <w:bookmarkStart w:id="95" w:name="bookmark124"/>
      <w:bookmarkEnd w:id="95"/>
      <w:r>
        <w:rPr>
          <w:rFonts w:hint="eastAsia" w:ascii="宋体" w:hAnsi="宋体" w:eastAsia="宋体" w:cs="宋体"/>
          <w:color w:val="auto"/>
          <w:spacing w:val="-1"/>
          <w:sz w:val="24"/>
          <w:szCs w:val="24"/>
          <w:highlight w:val="none"/>
        </w:rPr>
        <w:t>评标分为初步评审和详细评审两个阶段，由评标委员会</w:t>
      </w:r>
      <w:r>
        <w:rPr>
          <w:rFonts w:hint="eastAsia" w:ascii="宋体" w:hAnsi="宋体" w:eastAsia="宋体" w:cs="宋体"/>
          <w:color w:val="auto"/>
          <w:spacing w:val="-2"/>
          <w:sz w:val="24"/>
          <w:szCs w:val="24"/>
          <w:highlight w:val="none"/>
        </w:rPr>
        <w:t>在有关部门的监督下，严</w:t>
      </w:r>
      <w:r>
        <w:rPr>
          <w:rFonts w:hint="eastAsia" w:ascii="宋体" w:hAnsi="宋体" w:eastAsia="宋体" w:cs="宋体"/>
          <w:color w:val="auto"/>
          <w:spacing w:val="-1"/>
          <w:sz w:val="24"/>
          <w:szCs w:val="24"/>
          <w:highlight w:val="none"/>
        </w:rPr>
        <w:t>格按照本招标文件指定的评标方法，对投标人的投标文件进行审</w:t>
      </w:r>
      <w:r>
        <w:rPr>
          <w:rFonts w:hint="eastAsia" w:ascii="宋体" w:hAnsi="宋体" w:eastAsia="宋体" w:cs="宋体"/>
          <w:color w:val="auto"/>
          <w:spacing w:val="-2"/>
          <w:sz w:val="24"/>
          <w:szCs w:val="24"/>
          <w:highlight w:val="none"/>
        </w:rPr>
        <w:t>查、评审。评标委员</w:t>
      </w:r>
      <w:r>
        <w:rPr>
          <w:rFonts w:hint="eastAsia" w:ascii="宋体" w:hAnsi="宋体" w:eastAsia="宋体" w:cs="宋体"/>
          <w:color w:val="auto"/>
          <w:spacing w:val="2"/>
          <w:sz w:val="24"/>
          <w:szCs w:val="24"/>
          <w:highlight w:val="none"/>
        </w:rPr>
        <w:t>会完成评标后，向招标人推荐</w:t>
      </w:r>
      <w:r>
        <w:rPr>
          <w:rFonts w:hint="eastAsia" w:ascii="宋体" w:hAnsi="宋体" w:eastAsia="宋体" w:cs="宋体"/>
          <w:color w:val="auto"/>
          <w:spacing w:val="2"/>
          <w:sz w:val="24"/>
          <w:szCs w:val="24"/>
          <w:highlight w:val="none"/>
          <w:u w:val="single"/>
        </w:rPr>
        <w:t xml:space="preserve"> 3 </w:t>
      </w:r>
      <w:r>
        <w:rPr>
          <w:rFonts w:hint="eastAsia" w:ascii="宋体" w:hAnsi="宋体" w:eastAsia="宋体" w:cs="宋体"/>
          <w:color w:val="auto"/>
          <w:spacing w:val="2"/>
          <w:sz w:val="24"/>
          <w:szCs w:val="24"/>
          <w:highlight w:val="none"/>
        </w:rPr>
        <w:t>个中标候选人，并向招标人提交由全</w:t>
      </w:r>
      <w:r>
        <w:rPr>
          <w:rFonts w:hint="eastAsia" w:ascii="宋体" w:hAnsi="宋体" w:eastAsia="宋体" w:cs="宋体"/>
          <w:color w:val="auto"/>
          <w:spacing w:val="1"/>
          <w:sz w:val="24"/>
          <w:szCs w:val="24"/>
          <w:highlight w:val="none"/>
        </w:rPr>
        <w:t>体评标委员会</w:t>
      </w:r>
      <w:r>
        <w:rPr>
          <w:rFonts w:hint="eastAsia" w:ascii="宋体" w:hAnsi="宋体" w:eastAsia="宋体" w:cs="宋体"/>
          <w:color w:val="auto"/>
          <w:spacing w:val="-1"/>
          <w:sz w:val="24"/>
          <w:szCs w:val="24"/>
          <w:highlight w:val="none"/>
        </w:rPr>
        <w:t>成员签字的评标报告。</w:t>
      </w:r>
    </w:p>
    <w:p w14:paraId="51680ABE">
      <w:pPr>
        <w:spacing w:before="38"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5F51F9F7">
      <w:pPr>
        <w:spacing w:before="155" w:line="360" w:lineRule="auto"/>
        <w:ind w:left="10" w:right="65"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0</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广东省综合评标评审专家库-韶关区域</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3</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2</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标委员会的其他成员有同等的表决权。</w:t>
      </w:r>
    </w:p>
    <w:p w14:paraId="571A515E">
      <w:pPr>
        <w:spacing w:before="32" w:line="360" w:lineRule="auto"/>
        <w:ind w:left="13" w:right="7"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3843C5CE">
      <w:pPr>
        <w:spacing w:before="154" w:line="36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14:paraId="059A4A5C">
      <w:pPr>
        <w:spacing w:before="153" w:line="36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14:paraId="3E73D76B">
      <w:pPr>
        <w:spacing w:before="155" w:line="36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14:paraId="1AD07FB9">
      <w:pPr>
        <w:spacing w:before="153" w:line="360" w:lineRule="auto"/>
        <w:ind w:left="8" w:right="65"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14:paraId="64310F5B">
      <w:pPr>
        <w:spacing w:before="155" w:line="360" w:lineRule="auto"/>
        <w:ind w:left="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评标委员会成员有以上情形之一的，应主动提出回避。</w:t>
      </w:r>
    </w:p>
    <w:p w14:paraId="3598CEA3">
      <w:pPr>
        <w:spacing w:before="154" w:line="360" w:lineRule="auto"/>
        <w:ind w:left="8" w:right="65"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1F2818F3">
      <w:pPr>
        <w:spacing w:before="157" w:line="360" w:lineRule="auto"/>
        <w:ind w:left="11" w:right="65"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5AEA3030">
      <w:pPr>
        <w:spacing w:before="156" w:line="360" w:lineRule="auto"/>
        <w:ind w:left="8" w:right="65"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707E1AFC">
      <w:pPr>
        <w:spacing w:before="79" w:line="360" w:lineRule="auto"/>
        <w:ind w:left="577"/>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14:paraId="5F03C3DF">
      <w:pPr>
        <w:spacing w:before="78" w:line="360" w:lineRule="auto"/>
        <w:ind w:left="231" w:right="181" w:firstLine="560"/>
        <w:rPr>
          <w:rFonts w:hint="eastAsia" w:ascii="宋体" w:hAnsi="宋体" w:eastAsia="宋体" w:cs="宋体"/>
          <w:color w:val="auto"/>
          <w:highlight w:val="none"/>
        </w:rPr>
      </w:pPr>
      <w:bookmarkStart w:id="96" w:name="bookmark125"/>
      <w:bookmarkEnd w:id="96"/>
      <w:r>
        <w:rPr>
          <w:rFonts w:hint="eastAsia" w:ascii="宋体" w:hAnsi="宋体" w:eastAsia="宋体" w:cs="宋体"/>
          <w:color w:val="auto"/>
          <w:spacing w:val="-4"/>
          <w:sz w:val="24"/>
          <w:szCs w:val="24"/>
          <w:highlight w:val="none"/>
        </w:rPr>
        <w:t>根据有关法律、法规的相关规定，结合本招标项目资金来源和规模特点，本次招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综合评估法</w:t>
      </w:r>
      <w:r>
        <w:rPr>
          <w:rFonts w:hint="eastAsia" w:ascii="宋体" w:hAnsi="宋体" w:eastAsia="宋体" w:cs="宋体"/>
          <w:color w:val="auto"/>
          <w:spacing w:val="-1"/>
          <w:sz w:val="24"/>
          <w:szCs w:val="24"/>
          <w:highlight w:val="none"/>
        </w:rPr>
        <w:t>进行评标。</w:t>
      </w:r>
    </w:p>
    <w:p w14:paraId="307CD212">
      <w:pPr>
        <w:spacing w:before="154" w:line="360" w:lineRule="auto"/>
        <w:ind w:left="220" w:right="33"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评审范围：评标委员会应对所有投标人的投标文件进行评审。</w:t>
      </w:r>
    </w:p>
    <w:p w14:paraId="37A0E03F">
      <w:pPr>
        <w:spacing w:before="153" w:line="360" w:lineRule="auto"/>
        <w:ind w:left="71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14:paraId="081480D6">
      <w:pPr>
        <w:spacing w:before="153" w:line="360" w:lineRule="auto"/>
        <w:ind w:left="70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14:paraId="3D9CFCBF">
      <w:pPr>
        <w:keepNext w:val="0"/>
        <w:keepLines w:val="0"/>
        <w:pageBreakBefore w:val="0"/>
        <w:widowControl w:val="0"/>
        <w:overflowPunct/>
        <w:topLinePunct w:val="0"/>
        <w:bidi w:val="0"/>
        <w:adjustRightInd w:val="0"/>
        <w:snapToGrid w:val="0"/>
        <w:spacing w:before="155" w:line="360" w:lineRule="auto"/>
        <w:ind w:left="719" w:right="6303" w:hanging="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3"/>
          <w:sz w:val="24"/>
          <w:szCs w:val="24"/>
          <w:highlight w:val="none"/>
        </w:rPr>
        <w:t>资格评审</w:t>
      </w:r>
      <w:r>
        <w:rPr>
          <w:rFonts w:hint="eastAsia" w:ascii="宋体" w:hAnsi="宋体" w:eastAsia="宋体" w:cs="宋体"/>
          <w:color w:val="auto"/>
          <w:spacing w:val="-3"/>
          <w:sz w:val="24"/>
          <w:szCs w:val="24"/>
          <w:highlight w:val="none"/>
          <w:lang w:eastAsia="zh-CN"/>
        </w:rPr>
        <w:t>环</w:t>
      </w:r>
      <w:r>
        <w:rPr>
          <w:rFonts w:hint="eastAsia" w:ascii="宋体" w:hAnsi="宋体" w:eastAsia="宋体" w:cs="宋体"/>
          <w:color w:val="auto"/>
          <w:spacing w:val="-3"/>
          <w:sz w:val="24"/>
          <w:szCs w:val="24"/>
          <w:highlight w:val="none"/>
        </w:rPr>
        <w:t>节资格评审事项包括</w:t>
      </w:r>
      <w:r>
        <w:rPr>
          <w:rFonts w:hint="eastAsia" w:ascii="宋体" w:hAnsi="宋体" w:eastAsia="宋体" w:cs="宋体"/>
          <w:color w:val="auto"/>
          <w:spacing w:val="-3"/>
          <w:sz w:val="24"/>
          <w:szCs w:val="24"/>
          <w:highlight w:val="none"/>
          <w:lang w:val="en-US" w:eastAsia="zh-CN"/>
        </w:rPr>
        <w:t>:</w:t>
      </w:r>
    </w:p>
    <w:p w14:paraId="713B8C6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（1）投标人不是本次招标禁止投标条款中的单位，没有本次招标禁止投标条款中规定的任何一种情形。</w:t>
      </w:r>
    </w:p>
    <w:p w14:paraId="354177D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27BC091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w:t>
      </w:r>
      <w:r>
        <w:rPr>
          <w:rFonts w:hint="eastAsia" w:ascii="宋体" w:hAnsi="宋体" w:eastAsia="宋体" w:cs="宋体"/>
          <w:snapToGrid w:val="0"/>
          <w:color w:val="auto"/>
          <w:kern w:val="0"/>
          <w:sz w:val="24"/>
          <w:szCs w:val="24"/>
          <w:highlight w:val="none"/>
          <w:lang w:val="en-US" w:eastAsia="zh-CN"/>
        </w:rPr>
        <w:t>（含实时网页查询页，可参考网址https://zlaq.mohurd.gov.cn/fwmh/bjxcjgl/fwh/pages/construction_safety/qyaqscxkz/qyaqscxkz）</w:t>
      </w:r>
      <w:r>
        <w:rPr>
          <w:rFonts w:hint="eastAsia" w:ascii="宋体" w:hAnsi="宋体" w:eastAsia="宋体" w:cs="宋体"/>
          <w:snapToGrid w:val="0"/>
          <w:color w:val="auto"/>
          <w:kern w:val="0"/>
          <w:sz w:val="24"/>
          <w:szCs w:val="24"/>
          <w:highlight w:val="none"/>
        </w:rPr>
        <w:t>是否合法、有效、准确。</w:t>
      </w:r>
    </w:p>
    <w:p w14:paraId="6323BE1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（4）《项目经理简历表》中拟派项目经理是否与《开标一览表》一致。</w:t>
      </w:r>
    </w:p>
    <w:p w14:paraId="0A6C8D3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r>
        <w:rPr>
          <w:rFonts w:hint="eastAsia" w:ascii="宋体" w:hAnsi="宋体" w:eastAsia="宋体" w:cs="宋体"/>
          <w:snapToGrid w:val="0"/>
          <w:color w:val="auto"/>
          <w:kern w:val="0"/>
          <w:sz w:val="24"/>
          <w:szCs w:val="24"/>
          <w:highlight w:val="none"/>
          <w:lang w:val="en-US" w:eastAsia="zh-CN"/>
        </w:rPr>
        <w:t>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5E22324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Style w:val="48"/>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1902FFE4">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snapToGrid w:val="0"/>
          <w:color w:val="auto"/>
          <w:kern w:val="0"/>
          <w:sz w:val="24"/>
          <w:szCs w:val="24"/>
          <w:highlight w:val="none"/>
        </w:rPr>
      </w:pPr>
      <w:bookmarkStart w:id="97" w:name="_Toc15213"/>
      <w:r>
        <w:rPr>
          <w:rFonts w:hint="eastAsia" w:ascii="宋体" w:hAnsi="宋体" w:eastAsia="宋体" w:cs="宋体"/>
          <w:b/>
          <w:bCs/>
          <w:snapToGrid w:val="0"/>
          <w:color w:val="auto"/>
          <w:kern w:val="0"/>
          <w:sz w:val="24"/>
          <w:szCs w:val="24"/>
          <w:highlight w:val="none"/>
        </w:rPr>
        <w:t xml:space="preserve">15.4.2  </w:t>
      </w:r>
      <w:r>
        <w:rPr>
          <w:rFonts w:hint="eastAsia" w:ascii="宋体" w:hAnsi="宋体" w:eastAsia="宋体" w:cs="宋体"/>
          <w:snapToGrid w:val="0"/>
          <w:color w:val="auto"/>
          <w:kern w:val="0"/>
          <w:sz w:val="24"/>
          <w:szCs w:val="24"/>
          <w:highlight w:val="none"/>
        </w:rPr>
        <w:t>形式评审环节</w:t>
      </w:r>
    </w:p>
    <w:p w14:paraId="53B5F00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形式评审事</w:t>
      </w:r>
      <w:r>
        <w:rPr>
          <w:rFonts w:hint="eastAsia" w:ascii="宋体" w:hAnsi="宋体" w:eastAsia="宋体" w:cs="宋体"/>
          <w:snapToGrid w:val="0"/>
          <w:color w:val="auto"/>
          <w:kern w:val="0"/>
          <w:sz w:val="24"/>
          <w:szCs w:val="24"/>
          <w:highlight w:val="none"/>
          <w:lang w:eastAsia="zh-CN"/>
        </w:rPr>
        <w:t>项包括</w:t>
      </w:r>
      <w:bookmarkEnd w:id="97"/>
      <w:bookmarkStart w:id="98" w:name="_Toc18204"/>
      <w:bookmarkStart w:id="99" w:name="_Toc32114"/>
      <w:bookmarkStart w:id="100" w:name="_Toc19814"/>
      <w:r>
        <w:rPr>
          <w:rFonts w:hint="eastAsia" w:ascii="宋体" w:hAnsi="宋体" w:eastAsia="宋体" w:cs="宋体"/>
          <w:snapToGrid w:val="0"/>
          <w:color w:val="auto"/>
          <w:kern w:val="0"/>
          <w:sz w:val="24"/>
          <w:szCs w:val="24"/>
          <w:highlight w:val="none"/>
          <w:lang w:eastAsia="zh-CN"/>
        </w:rPr>
        <w:t>：</w:t>
      </w:r>
    </w:p>
    <w:p w14:paraId="0A446BAB">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bookmarkStart w:id="101" w:name="_Toc20481"/>
      <w:bookmarkStart w:id="102" w:name="_Toc13304"/>
      <w:bookmarkStart w:id="103" w:name="_Toc23632"/>
      <w:r>
        <w:rPr>
          <w:rFonts w:hint="eastAsia" w:ascii="宋体" w:hAnsi="宋体" w:eastAsia="宋体" w:cs="宋体"/>
          <w:snapToGrid w:val="0"/>
          <w:color w:val="auto"/>
          <w:kern w:val="0"/>
          <w:sz w:val="24"/>
          <w:szCs w:val="24"/>
          <w:highlight w:val="none"/>
          <w:lang w:val="en-US" w:eastAsia="en-US"/>
        </w:rPr>
        <w:t>（1）</w:t>
      </w:r>
      <w:r>
        <w:rPr>
          <w:rFonts w:hint="eastAsia" w:ascii="宋体" w:hAnsi="宋体" w:eastAsia="宋体" w:cs="宋体"/>
          <w:snapToGrid w:val="0"/>
          <w:color w:val="auto"/>
          <w:kern w:val="0"/>
          <w:sz w:val="24"/>
          <w:szCs w:val="24"/>
          <w:highlight w:val="none"/>
        </w:rPr>
        <w:t>各分册是否按招标文件规定加盖电子印章。</w:t>
      </w:r>
      <w:bookmarkEnd w:id="101"/>
      <w:bookmarkEnd w:id="102"/>
      <w:bookmarkEnd w:id="103"/>
      <w:bookmarkStart w:id="104" w:name="_Toc10806"/>
      <w:bookmarkStart w:id="105" w:name="_Toc28409"/>
      <w:bookmarkStart w:id="106" w:name="_Toc27432"/>
    </w:p>
    <w:p w14:paraId="68C4E8E4">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 10.2.2  目、第 10.3.2  目、第 10.4.3  目中规定的“所有投标人均应提</w:t>
      </w:r>
      <w:bookmarkEnd w:id="104"/>
      <w:bookmarkEnd w:id="105"/>
      <w:bookmarkEnd w:id="106"/>
      <w:r>
        <w:rPr>
          <w:rFonts w:hint="eastAsia" w:ascii="宋体" w:hAnsi="宋体" w:eastAsia="宋体" w:cs="宋体"/>
          <w:snapToGrid w:val="0"/>
          <w:color w:val="auto"/>
          <w:kern w:val="0"/>
          <w:sz w:val="24"/>
          <w:szCs w:val="24"/>
          <w:highlight w:val="none"/>
        </w:rPr>
        <w:t>供 ”的组成内容（包括该组成内容的所附资料）是否完整、齐全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bookmarkStart w:id="107" w:name="_Toc22691"/>
      <w:bookmarkStart w:id="108" w:name="_Toc9581"/>
      <w:bookmarkStart w:id="109" w:name="_Toc17918"/>
    </w:p>
    <w:bookmarkEnd w:id="107"/>
    <w:bookmarkEnd w:id="108"/>
    <w:bookmarkEnd w:id="109"/>
    <w:p w14:paraId="06446360">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15.4.3  </w:t>
      </w:r>
      <w:r>
        <w:rPr>
          <w:rFonts w:hint="eastAsia" w:ascii="宋体" w:hAnsi="宋体" w:eastAsia="宋体" w:cs="宋体"/>
          <w:snapToGrid w:val="0"/>
          <w:color w:val="auto"/>
          <w:kern w:val="0"/>
          <w:sz w:val="24"/>
          <w:szCs w:val="24"/>
          <w:highlight w:val="none"/>
        </w:rPr>
        <w:t>响应性评审环节</w:t>
      </w:r>
    </w:p>
    <w:p w14:paraId="5ACF1BBA">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725402C3">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34EA9995">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6A4EB75F">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（3）投标人委托造价咨询单位编制《投标总价》的，是否在</w:t>
      </w:r>
      <w:r>
        <w:rPr>
          <w:rFonts w:hint="eastAsia" w:ascii="宋体" w:hAnsi="宋体" w:eastAsia="宋体" w:cs="宋体"/>
          <w:snapToGrid w:val="0"/>
          <w:color w:val="auto"/>
          <w:kern w:val="0"/>
          <w:sz w:val="24"/>
          <w:szCs w:val="24"/>
          <w:highlight w:val="none"/>
          <w:lang w:val="en-US" w:eastAsia="zh-CN"/>
        </w:rPr>
        <w:t>《投标总价扉页》（即扉—3）“投标人”栏目加盖造价咨询人公章；是否提供造价咨询人的营业执照副本彩色扫描件；</w:t>
      </w:r>
    </w:p>
    <w:p w14:paraId="203652E5">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（4）投标总价是否唯一；投标总价是否超出招标控制价；绿色施工安全防护措施费是否达到最低要求；暂列金额、暂估价是否按照招标工程量清单统一报价；投标人是否以低于成本的价格竞标。</w:t>
      </w:r>
    </w:p>
    <w:p w14:paraId="5276AED6">
      <w:pPr>
        <w:keepNext w:val="0"/>
        <w:keepLines w:val="0"/>
        <w:pageBreakBefore w:val="0"/>
        <w:kinsoku/>
        <w:wordWrap w:val="0"/>
        <w:overflowPunct/>
        <w:autoSpaceDE/>
        <w:autoSpaceDN/>
        <w:bidi w:val="0"/>
        <w:adjustRightInd w:val="0"/>
        <w:snapToGrid w:val="0"/>
        <w:spacing w:line="360" w:lineRule="auto"/>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75995BAD">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bookmarkStart w:id="110" w:name="_Toc14163"/>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施工组织设计的质量、进度保障措施是否符合国家和省市现行有关规范、规定、标准，是否能实现工程质量、进度管理目标。</w:t>
      </w:r>
      <w:bookmarkEnd w:id="110"/>
    </w:p>
    <w:p w14:paraId="76DDDEAC">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sz w:val="24"/>
          <w:szCs w:val="24"/>
          <w:highlight w:val="none"/>
        </w:rPr>
      </w:pPr>
      <w:bookmarkStart w:id="111" w:name="_Toc29261"/>
      <w:r>
        <w:rPr>
          <w:rFonts w:hint="eastAsia" w:ascii="宋体" w:hAnsi="宋体" w:eastAsia="宋体" w:cs="宋体"/>
          <w:b/>
          <w:bCs/>
          <w:snapToGrid w:val="0"/>
          <w:color w:val="auto"/>
          <w:kern w:val="0"/>
          <w:sz w:val="24"/>
          <w:szCs w:val="24"/>
          <w:highlight w:val="none"/>
        </w:rPr>
        <w:t xml:space="preserve">15.4.4  </w:t>
      </w:r>
      <w:r>
        <w:rPr>
          <w:rFonts w:hint="eastAsia" w:ascii="宋体" w:hAnsi="宋体" w:eastAsia="宋体" w:cs="宋体"/>
          <w:b w:val="0"/>
          <w:bCs w:val="0"/>
          <w:snapToGrid w:val="0"/>
          <w:color w:val="auto"/>
          <w:kern w:val="0"/>
          <w:sz w:val="24"/>
          <w:szCs w:val="24"/>
          <w:highlight w:val="none"/>
        </w:rPr>
        <w:t>否决投标说明</w:t>
      </w:r>
      <w:bookmarkEnd w:id="98"/>
      <w:bookmarkEnd w:id="99"/>
      <w:bookmarkEnd w:id="100"/>
      <w:bookmarkEnd w:id="111"/>
    </w:p>
    <w:p w14:paraId="23A70E99">
      <w:pPr>
        <w:keepNext w:val="0"/>
        <w:keepLines w:val="0"/>
        <w:pageBreakBefore w:val="0"/>
        <w:kinsoku/>
        <w:wordWrap w:val="0"/>
        <w:overflowPunct/>
        <w:autoSpaceDE/>
        <w:autoSpaceDN/>
        <w:bidi w:val="0"/>
        <w:adjustRightInd w:val="0"/>
        <w:snapToGrid w:val="0"/>
        <w:spacing w:line="360" w:lineRule="auto"/>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1AC88C47">
      <w:pPr>
        <w:pStyle w:val="12"/>
        <w:keepNext w:val="0"/>
        <w:keepLines w:val="0"/>
        <w:pageBreakBefore w:val="0"/>
        <w:kinsoku/>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温馨提示：依据2017年12月27日修改的《中华人民共和国招标投标法》“第四十二条评标委员会经评审，认为所有投标都不符合招标文件要求的，可以否决所有投标。依法必须进行招标的项目的所有投标被否决的，招标人应当依照本法重新招标。”及2018年11月29日修订的《广东省实施〈中华人民共和国招标投标法〉办法》取消“经评议有效投标的投标人少于三人”必须重新招标的限制。</w:t>
      </w:r>
    </w:p>
    <w:p w14:paraId="33BC85C8">
      <w:pPr>
        <w:spacing w:before="78" w:line="360" w:lineRule="auto"/>
        <w:ind w:left="5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0" distR="0" simplePos="0" relativeHeight="251659264"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1" name="IM 46"/>
            <wp:cNvGraphicFramePr/>
            <a:graphic xmlns:a="http://schemas.openxmlformats.org/drawingml/2006/main">
              <a:graphicData uri="http://schemas.openxmlformats.org/drawingml/2006/picture">
                <pic:pic xmlns:pic="http://schemas.openxmlformats.org/drawingml/2006/picture">
                  <pic:nvPicPr>
                    <pic:cNvPr id="1" name="IM 46"/>
                    <pic:cNvPicPr/>
                  </pic:nvPicPr>
                  <pic:blipFill>
                    <a:blip r:embed="rId6"/>
                    <a:stretch>
                      <a:fillRect/>
                    </a:stretch>
                  </pic:blipFill>
                  <pic:spPr>
                    <a:xfrm>
                      <a:off x="0" y="0"/>
                      <a:ext cx="6350" cy="279400"/>
                    </a:xfrm>
                    <a:prstGeom prst="rect">
                      <a:avLst/>
                    </a:prstGeom>
                    <a:noFill/>
                    <a:ln>
                      <a:noFill/>
                    </a:ln>
                  </pic:spPr>
                </pic:pic>
              </a:graphicData>
            </a:graphic>
          </wp:anchor>
        </w:drawing>
      </w:r>
      <w:bookmarkStart w:id="112" w:name="bookmark128"/>
      <w:bookmarkEnd w:id="112"/>
      <w:r>
        <w:rPr>
          <w:rFonts w:hint="eastAsia" w:ascii="宋体" w:hAnsi="宋体" w:eastAsia="宋体" w:cs="宋体"/>
          <w:b/>
          <w:bCs/>
          <w:color w:val="auto"/>
          <w:spacing w:val="-2"/>
          <w:sz w:val="24"/>
          <w:szCs w:val="24"/>
          <w:highlight w:val="none"/>
        </w:rPr>
        <w:t xml:space="preserve">15.5  </w:t>
      </w:r>
      <w:r>
        <w:rPr>
          <w:rFonts w:hint="eastAsia" w:ascii="宋体" w:hAnsi="宋体" w:eastAsia="宋体" w:cs="宋体"/>
          <w:color w:val="auto"/>
          <w:spacing w:val="-2"/>
          <w:sz w:val="24"/>
          <w:szCs w:val="24"/>
          <w:highlight w:val="none"/>
        </w:rPr>
        <w:t>详细评审阶段</w:t>
      </w:r>
    </w:p>
    <w:p w14:paraId="434E402C">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b w:val="0"/>
          <w:bCs w:val="0"/>
          <w:snapToGrid w:val="0"/>
          <w:color w:val="auto"/>
          <w:kern w:val="0"/>
          <w:sz w:val="24"/>
          <w:szCs w:val="24"/>
          <w:highlight w:val="none"/>
        </w:rPr>
      </w:pPr>
      <w:bookmarkStart w:id="113" w:name="_Toc1868"/>
      <w:bookmarkStart w:id="114" w:name="_Toc28572"/>
      <w:bookmarkStart w:id="115" w:name="_Toc4119"/>
      <w:bookmarkStart w:id="116" w:name="_Toc10503"/>
      <w:r>
        <w:rPr>
          <w:rFonts w:hint="eastAsia" w:ascii="宋体" w:hAnsi="宋体" w:eastAsia="宋体" w:cs="宋体"/>
          <w:b/>
          <w:bCs/>
          <w:snapToGrid w:val="0"/>
          <w:color w:val="auto"/>
          <w:kern w:val="0"/>
          <w:sz w:val="24"/>
          <w:szCs w:val="24"/>
          <w:highlight w:val="none"/>
        </w:rPr>
        <w:t xml:space="preserve">15.5.1  </w:t>
      </w:r>
      <w:r>
        <w:rPr>
          <w:rFonts w:hint="eastAsia" w:ascii="宋体" w:hAnsi="宋体" w:eastAsia="宋体" w:cs="宋体"/>
          <w:b w:val="0"/>
          <w:bCs w:val="0"/>
          <w:snapToGrid w:val="0"/>
          <w:color w:val="auto"/>
          <w:kern w:val="0"/>
          <w:sz w:val="24"/>
          <w:szCs w:val="24"/>
          <w:highlight w:val="none"/>
        </w:rPr>
        <w:t>“综合评估法 ”评审程序</w:t>
      </w:r>
      <w:bookmarkEnd w:id="113"/>
      <w:bookmarkEnd w:id="114"/>
      <w:bookmarkEnd w:id="115"/>
      <w:bookmarkEnd w:id="116"/>
    </w:p>
    <w:p w14:paraId="67130DFF">
      <w:pPr>
        <w:spacing w:before="152" w:line="360" w:lineRule="auto"/>
        <w:ind w:left="14" w:right="81"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%；投标报价满分100分，权重为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。两大部分权重之和应为100%。</w:t>
      </w:r>
    </w:p>
    <w:p w14:paraId="3867D301">
      <w:pPr>
        <w:spacing w:before="153" w:line="360" w:lineRule="auto"/>
        <w:ind w:left="14"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451EA660">
      <w:pPr>
        <w:spacing w:before="152" w:line="360" w:lineRule="auto"/>
        <w:ind w:left="14" w:right="81" w:firstLine="476"/>
        <w:rPr>
          <w:rFonts w:hint="eastAsia" w:ascii="宋体" w:hAnsi="宋体" w:eastAsia="宋体" w:cs="宋体"/>
          <w:color w:val="auto"/>
          <w:spacing w:val="-1"/>
          <w:sz w:val="24"/>
          <w:szCs w:val="24"/>
          <w:highlight w:val="none"/>
        </w:rPr>
      </w:pPr>
      <w:bookmarkStart w:id="117" w:name="_Toc16570"/>
      <w:bookmarkStart w:id="118" w:name="_Toc17510"/>
      <w:bookmarkStart w:id="119" w:name="_Toc22949"/>
      <w:bookmarkStart w:id="120" w:name="_Toc18029"/>
      <w:r>
        <w:rPr>
          <w:rFonts w:hint="eastAsia" w:ascii="宋体" w:hAnsi="宋体" w:eastAsia="宋体" w:cs="宋体"/>
          <w:color w:val="auto"/>
          <w:spacing w:val="-1"/>
          <w:sz w:val="24"/>
          <w:szCs w:val="24"/>
          <w:highlight w:val="none"/>
        </w:rPr>
        <w:t>（1）商务技术得分 M</w:t>
      </w:r>
      <w:bookmarkEnd w:id="117"/>
      <w:bookmarkEnd w:id="118"/>
      <w:bookmarkEnd w:id="119"/>
      <w:bookmarkEnd w:id="120"/>
    </w:p>
    <w:p w14:paraId="2876E1BE">
      <w:pPr>
        <w:spacing w:before="153" w:line="360" w:lineRule="auto"/>
        <w:ind w:left="15" w:right="81"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24"/>
          <w:szCs w:val="24"/>
          <w:highlight w:val="none"/>
        </w:rPr>
        <w:t>1</w:t>
      </w:r>
      <w:r>
        <w:rPr>
          <w:rFonts w:hint="eastAsia" w:ascii="宋体" w:hAnsi="宋体" w:eastAsia="宋体" w:cs="宋体"/>
          <w:color w:val="auto"/>
          <w:spacing w:val="-1"/>
          <w:sz w:val="24"/>
          <w:szCs w:val="24"/>
          <w:highlight w:val="none"/>
        </w:rPr>
        <w:t>。</w:t>
      </w:r>
    </w:p>
    <w:p w14:paraId="563951AA">
      <w:pPr>
        <w:spacing w:before="154" w:line="360" w:lineRule="auto"/>
        <w:ind w:left="12" w:right="8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24"/>
          <w:szCs w:val="24"/>
          <w:highlight w:val="none"/>
        </w:rPr>
        <w:t>2</w:t>
      </w:r>
      <w:r>
        <w:rPr>
          <w:rFonts w:hint="eastAsia" w:ascii="宋体" w:hAnsi="宋体" w:eastAsia="宋体" w:cs="宋体"/>
          <w:color w:val="auto"/>
          <w:spacing w:val="-1"/>
          <w:sz w:val="24"/>
          <w:szCs w:val="24"/>
          <w:highlight w:val="none"/>
        </w:rPr>
        <w:t>。</w:t>
      </w:r>
    </w:p>
    <w:p w14:paraId="2053FBB2">
      <w:pPr>
        <w:spacing w:before="155" w:line="360" w:lineRule="auto"/>
        <w:ind w:left="491"/>
        <w:rPr>
          <w:rFonts w:hint="eastAsia" w:ascii="宋体" w:hAnsi="宋体" w:eastAsia="宋体" w:cs="宋体"/>
          <w:color w:val="auto"/>
          <w:sz w:val="24"/>
          <w:szCs w:val="24"/>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24"/>
          <w:szCs w:val="24"/>
          <w:highlight w:val="none"/>
        </w:rPr>
        <w:t>1</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24"/>
          <w:szCs w:val="24"/>
          <w:highlight w:val="none"/>
        </w:rPr>
        <w:t>2</w:t>
      </w:r>
    </w:p>
    <w:p w14:paraId="2874B8C1">
      <w:pPr>
        <w:spacing w:before="139" w:line="360" w:lineRule="auto"/>
        <w:ind w:left="49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24"/>
          <w:szCs w:val="24"/>
          <w:highlight w:val="none"/>
        </w:rPr>
        <w:t>1</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24"/>
          <w:szCs w:val="24"/>
          <w:highlight w:val="none"/>
        </w:rPr>
        <w:t>2</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2BE6EBBE">
      <w:pPr>
        <w:spacing w:before="106" w:line="360" w:lineRule="auto"/>
        <w:ind w:left="7" w:right="17" w:firstLine="489"/>
        <w:rPr>
          <w:rFonts w:hint="eastAsia" w:ascii="宋体" w:hAnsi="宋体" w:eastAsia="宋体" w:cs="宋体"/>
          <w:color w:val="auto"/>
          <w:spacing w:val="-9"/>
          <w:sz w:val="24"/>
          <w:szCs w:val="24"/>
          <w:highlight w:val="none"/>
        </w:rPr>
      </w:pPr>
      <w:bookmarkStart w:id="121" w:name="_Toc16136"/>
      <w:bookmarkStart w:id="122" w:name="_Toc27609"/>
      <w:bookmarkStart w:id="123" w:name="_Toc3958"/>
      <w:bookmarkStart w:id="124" w:name="_Toc3234"/>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2</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投标报价得分 N</w:t>
      </w:r>
      <w:bookmarkEnd w:id="121"/>
      <w:bookmarkEnd w:id="122"/>
      <w:bookmarkEnd w:id="123"/>
      <w:bookmarkEnd w:id="124"/>
    </w:p>
    <w:p w14:paraId="39B5AE92">
      <w:pPr>
        <w:spacing w:before="106" w:line="360" w:lineRule="auto"/>
        <w:ind w:left="7" w:right="17" w:firstLine="489"/>
        <w:rPr>
          <w:rFonts w:hint="eastAsia" w:ascii="宋体" w:hAnsi="宋体" w:eastAsia="宋体" w:cs="宋体"/>
          <w:color w:val="auto"/>
          <w:spacing w:val="-9"/>
          <w:sz w:val="24"/>
          <w:szCs w:val="24"/>
          <w:highlight w:val="none"/>
        </w:rPr>
      </w:pPr>
      <w:r>
        <w:rPr>
          <w:rFonts w:hint="eastAsia" w:ascii="宋体" w:hAnsi="宋体" w:eastAsia="宋体" w:cs="宋体"/>
          <w:b/>
          <w:bCs/>
          <w:color w:val="auto"/>
          <w:spacing w:val="-9"/>
          <w:sz w:val="24"/>
          <w:szCs w:val="24"/>
          <w:highlight w:val="none"/>
        </w:rPr>
        <w:t>a</w:t>
      </w:r>
      <w:r>
        <w:rPr>
          <w:rFonts w:hint="eastAsia" w:ascii="宋体" w:hAnsi="宋体" w:eastAsia="宋体" w:cs="宋体"/>
          <w:b/>
          <w:bCs/>
          <w:color w:val="auto"/>
          <w:spacing w:val="-9"/>
          <w:sz w:val="24"/>
          <w:szCs w:val="24"/>
          <w:highlight w:val="none"/>
          <w:lang w:eastAsia="zh-CN"/>
        </w:rPr>
        <w:t>.</w:t>
      </w:r>
      <w:r>
        <w:rPr>
          <w:rFonts w:hint="eastAsia" w:ascii="宋体" w:hAnsi="宋体" w:eastAsia="宋体" w:cs="宋体"/>
          <w:color w:val="auto"/>
          <w:spacing w:val="-9"/>
          <w:sz w:val="24"/>
          <w:szCs w:val="24"/>
          <w:highlight w:val="none"/>
        </w:rPr>
        <w:t>评标委员会按照《综合评分表》投标报价部分指定的方法计算评标基准价D。</w:t>
      </w:r>
    </w:p>
    <w:p w14:paraId="67AD0E8C">
      <w:pPr>
        <w:spacing w:before="155" w:line="360" w:lineRule="auto"/>
        <w:ind w:left="12" w:right="83"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标基准价时得100分，每高于评标基准价一个百分点扣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 xml:space="preserve">1 分,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1A1D4778">
      <w:pPr>
        <w:spacing w:before="118" w:line="360" w:lineRule="auto"/>
        <w:ind w:left="2418"/>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12"/>
          <w:position w:val="3"/>
          <w:sz w:val="24"/>
          <w:szCs w:val="24"/>
          <w:highlight w:val="none"/>
        </w:rPr>
        <w:t>－（</w:t>
      </w:r>
      <w:r>
        <w:rPr>
          <w:rFonts w:hint="eastAsia" w:ascii="宋体" w:hAnsi="宋体" w:eastAsia="宋体" w:cs="宋体"/>
          <w:color w:val="auto"/>
          <w:spacing w:val="-6"/>
          <w:position w:val="3"/>
          <w:sz w:val="24"/>
          <w:szCs w:val="24"/>
          <w:highlight w:val="none"/>
        </w:rPr>
        <w:t>|  Di－D</w:t>
      </w:r>
      <w:r>
        <w:rPr>
          <w:rFonts w:hint="eastAsia" w:ascii="宋体" w:hAnsi="宋体" w:eastAsia="宋体" w:cs="宋体"/>
          <w:color w:val="auto"/>
          <w:spacing w:val="9"/>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17"/>
          <w:position w:val="3"/>
          <w:sz w:val="24"/>
          <w:szCs w:val="24"/>
          <w:highlight w:val="none"/>
        </w:rPr>
        <w:t xml:space="preserve">  </w:t>
      </w:r>
      <w:r>
        <w:rPr>
          <w:rFonts w:hint="eastAsia" w:ascii="宋体" w:hAnsi="宋体" w:eastAsia="宋体" w:cs="宋体"/>
          <w:color w:val="auto"/>
          <w:spacing w:val="-6"/>
          <w:position w:val="3"/>
          <w:sz w:val="24"/>
          <w:szCs w:val="24"/>
          <w:highlight w:val="none"/>
        </w:rPr>
        <w:t>÷D）</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30B0BB24">
      <w:pPr>
        <w:spacing w:before="106" w:line="360" w:lineRule="auto"/>
        <w:ind w:left="7" w:right="17"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 为评标基准价；Di为某投标人的投标总价；E</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pacing w:val="-8"/>
          <w:sz w:val="24"/>
          <w:szCs w:val="24"/>
          <w:highlight w:val="none"/>
        </w:rPr>
        <w:t>E＝</w:t>
      </w:r>
      <w:r>
        <w:rPr>
          <w:rFonts w:hint="eastAsia" w:ascii="宋体" w:hAnsi="宋体" w:eastAsia="宋体" w:cs="宋体"/>
          <w:b w:val="0"/>
          <w:bCs w:val="0"/>
          <w:color w:val="auto"/>
          <w:spacing w:val="-8"/>
          <w:sz w:val="24"/>
          <w:szCs w:val="24"/>
          <w:highlight w:val="none"/>
        </w:rPr>
        <w:t>1</w:t>
      </w:r>
      <w:r>
        <w:rPr>
          <w:rFonts w:hint="eastAsia" w:ascii="宋体" w:hAnsi="宋体" w:eastAsia="宋体" w:cs="宋体"/>
          <w:b w:val="0"/>
          <w:bCs w:val="0"/>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w:t>
      </w:r>
      <w:r>
        <w:rPr>
          <w:rFonts w:hint="eastAsia" w:ascii="宋体" w:hAnsi="宋体" w:eastAsia="宋体" w:cs="宋体"/>
          <w:color w:val="auto"/>
          <w:spacing w:val="20"/>
          <w:w w:val="101"/>
          <w:sz w:val="24"/>
          <w:szCs w:val="24"/>
          <w:highlight w:val="none"/>
        </w:rPr>
        <w:t xml:space="preserve"> </w:t>
      </w:r>
      <w:r>
        <w:rPr>
          <w:rFonts w:hint="eastAsia" w:ascii="宋体" w:hAnsi="宋体" w:eastAsia="宋体" w:cs="宋体"/>
          <w:color w:val="auto"/>
          <w:spacing w:val="-8"/>
          <w:sz w:val="24"/>
          <w:szCs w:val="24"/>
          <w:highlight w:val="none"/>
        </w:rPr>
        <w:t>时，E</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b w:val="0"/>
          <w:bCs w:val="0"/>
          <w:color w:val="auto"/>
          <w:spacing w:val="-8"/>
          <w:sz w:val="24"/>
          <w:szCs w:val="24"/>
          <w:highlight w:val="none"/>
        </w:rPr>
        <w:t>0.5</w:t>
      </w:r>
      <w:r>
        <w:rPr>
          <w:rFonts w:hint="eastAsia" w:ascii="宋体" w:hAnsi="宋体" w:eastAsia="宋体" w:cs="宋体"/>
          <w:b/>
          <w:bCs/>
          <w:color w:val="auto"/>
          <w:spacing w:val="-8"/>
          <w:sz w:val="24"/>
          <w:szCs w:val="24"/>
          <w:highlight w:val="none"/>
        </w:rPr>
        <w:t>。</w:t>
      </w:r>
    </w:p>
    <w:p w14:paraId="3235F073">
      <w:pPr>
        <w:spacing w:before="152" w:line="360" w:lineRule="auto"/>
        <w:ind w:left="14" w:right="81" w:firstLine="476"/>
        <w:rPr>
          <w:rFonts w:hint="eastAsia" w:ascii="宋体" w:hAnsi="宋体" w:eastAsia="宋体" w:cs="宋体"/>
          <w:color w:val="auto"/>
          <w:spacing w:val="-1"/>
          <w:sz w:val="24"/>
          <w:szCs w:val="24"/>
          <w:highlight w:val="none"/>
          <w:lang w:eastAsia="zh-CN"/>
        </w:rPr>
      </w:pPr>
      <w:bookmarkStart w:id="125" w:name="_Toc3861"/>
      <w:bookmarkStart w:id="126" w:name="_Toc4990"/>
      <w:bookmarkStart w:id="127" w:name="_Toc23551"/>
      <w:bookmarkStart w:id="128" w:name="_Toc7915"/>
      <w:r>
        <w:rPr>
          <w:rFonts w:hint="eastAsia" w:ascii="宋体" w:hAnsi="宋体" w:eastAsia="宋体" w:cs="宋体"/>
          <w:color w:val="auto"/>
          <w:spacing w:val="-1"/>
          <w:sz w:val="24"/>
          <w:szCs w:val="24"/>
          <w:highlight w:val="none"/>
          <w:lang w:eastAsia="zh-CN"/>
        </w:rPr>
        <w:t>（3）综合得分</w:t>
      </w:r>
      <w:bookmarkEnd w:id="125"/>
      <w:bookmarkEnd w:id="126"/>
      <w:bookmarkEnd w:id="127"/>
      <w:bookmarkEnd w:id="128"/>
    </w:p>
    <w:p w14:paraId="1249D688">
      <w:pPr>
        <w:spacing w:before="153" w:line="360" w:lineRule="auto"/>
        <w:ind w:left="49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08A23B7A">
      <w:pPr>
        <w:spacing w:before="155" w:line="360" w:lineRule="auto"/>
        <w:ind w:left="496" w:right="532" w:hanging="3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 xml:space="preserve">×商务技术权重＋N×投标报价权重式中：M </w:t>
      </w:r>
      <w:r>
        <w:rPr>
          <w:rFonts w:hint="eastAsia" w:ascii="宋体" w:hAnsi="宋体" w:eastAsia="宋体" w:cs="宋体"/>
          <w:color w:val="auto"/>
          <w:sz w:val="24"/>
          <w:szCs w:val="24"/>
          <w:highlight w:val="none"/>
        </w:rPr>
        <w:t>为商务技术得分，N 为投标报价得分。</w:t>
      </w:r>
    </w:p>
    <w:p w14:paraId="7F055B59">
      <w:pPr>
        <w:spacing w:line="360" w:lineRule="auto"/>
        <w:ind w:firstLine="480" w:firstLineChars="200"/>
        <w:rPr>
          <w:rFonts w:hint="eastAsia" w:ascii="宋体" w:hAnsi="宋体" w:eastAsia="宋体" w:cs="宋体"/>
          <w:sz w:val="24"/>
          <w:szCs w:val="24"/>
        </w:rPr>
      </w:pPr>
      <w:bookmarkStart w:id="129" w:name="_Toc16789"/>
      <w:bookmarkStart w:id="130" w:name="_Toc25214"/>
      <w:bookmarkStart w:id="131" w:name="_Toc2885"/>
      <w:bookmarkStart w:id="132" w:name="_Toc30671"/>
      <w:r>
        <w:rPr>
          <w:rFonts w:hint="eastAsia" w:ascii="宋体" w:hAnsi="宋体" w:eastAsia="宋体" w:cs="宋体"/>
          <w:sz w:val="24"/>
          <w:szCs w:val="24"/>
        </w:rPr>
        <w:t>（4）评标委员会汇总、比较所有投标人的综合得分后，取综合得分最高的投标</w:t>
      </w:r>
      <w:bookmarkEnd w:id="129"/>
      <w:bookmarkEnd w:id="130"/>
      <w:bookmarkEnd w:id="131"/>
      <w:bookmarkEnd w:id="132"/>
      <w:r>
        <w:rPr>
          <w:rFonts w:hint="eastAsia" w:ascii="宋体" w:hAnsi="宋体" w:eastAsia="宋体" w:cs="宋体"/>
          <w:sz w:val="24"/>
          <w:szCs w:val="24"/>
        </w:rPr>
        <w:t>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7B2696B7">
      <w:pPr>
        <w:rPr>
          <w:rFonts w:hint="eastAsia" w:ascii="宋体" w:hAnsi="宋体" w:eastAsia="宋体" w:cs="宋体"/>
        </w:rPr>
      </w:pPr>
    </w:p>
    <w:p w14:paraId="2DDFF6F0">
      <w:pPr>
        <w:rPr>
          <w:rFonts w:hint="eastAsia" w:ascii="宋体" w:hAnsi="宋体" w:eastAsia="宋体" w:cs="宋体"/>
        </w:rPr>
      </w:pPr>
    </w:p>
    <w:p w14:paraId="3F251AEE">
      <w:pPr>
        <w:rPr>
          <w:rFonts w:hint="eastAsia" w:ascii="宋体" w:hAnsi="宋体" w:eastAsia="宋体" w:cs="宋体"/>
        </w:rPr>
      </w:pPr>
    </w:p>
    <w:p w14:paraId="24B071AD">
      <w:pPr>
        <w:rPr>
          <w:rFonts w:hint="eastAsia" w:ascii="宋体" w:hAnsi="宋体" w:eastAsia="宋体" w:cs="宋体"/>
        </w:rPr>
      </w:pPr>
    </w:p>
    <w:p w14:paraId="2A80F217">
      <w:pPr>
        <w:pStyle w:val="2"/>
        <w:rPr>
          <w:rFonts w:hint="eastAsia" w:ascii="宋体" w:hAnsi="宋体" w:eastAsia="宋体" w:cs="宋体"/>
        </w:rPr>
      </w:pPr>
    </w:p>
    <w:p w14:paraId="34550F23">
      <w:pPr>
        <w:rPr>
          <w:rFonts w:hint="eastAsia" w:ascii="宋体" w:hAnsi="宋体" w:eastAsia="宋体" w:cs="宋体"/>
        </w:rPr>
      </w:pPr>
    </w:p>
    <w:p w14:paraId="605B6F28">
      <w:pPr>
        <w:pStyle w:val="2"/>
        <w:rPr>
          <w:rFonts w:hint="eastAsia" w:ascii="宋体" w:hAnsi="宋体" w:eastAsia="宋体" w:cs="宋体"/>
        </w:rPr>
      </w:pPr>
    </w:p>
    <w:p w14:paraId="2FDA6170">
      <w:pPr>
        <w:rPr>
          <w:rFonts w:hint="eastAsia"/>
        </w:rPr>
      </w:pPr>
    </w:p>
    <w:p w14:paraId="5C5F14BB">
      <w:pPr>
        <w:rPr>
          <w:rFonts w:hint="eastAsia" w:ascii="宋体" w:hAnsi="宋体" w:eastAsia="宋体" w:cs="宋体"/>
        </w:rPr>
      </w:pPr>
    </w:p>
    <w:p w14:paraId="28D6ABEB">
      <w:pPr>
        <w:rPr>
          <w:rFonts w:hint="eastAsia" w:ascii="宋体" w:hAnsi="宋体" w:eastAsia="宋体" w:cs="宋体"/>
        </w:rPr>
      </w:pPr>
    </w:p>
    <w:p w14:paraId="47C0F882">
      <w:pPr>
        <w:rPr>
          <w:rFonts w:hint="eastAsia" w:ascii="宋体" w:hAnsi="宋体" w:eastAsia="宋体" w:cs="宋体"/>
        </w:rPr>
      </w:pPr>
    </w:p>
    <w:p w14:paraId="6710EB83">
      <w:pPr>
        <w:rPr>
          <w:rFonts w:hint="eastAsia" w:ascii="宋体" w:hAnsi="宋体" w:eastAsia="宋体" w:cs="宋体"/>
        </w:rPr>
      </w:pPr>
    </w:p>
    <w:p w14:paraId="7D0F7DDC">
      <w:pPr>
        <w:rPr>
          <w:rFonts w:hint="eastAsia" w:ascii="宋体" w:hAnsi="宋体" w:eastAsia="宋体" w:cs="宋体"/>
        </w:rPr>
      </w:pPr>
    </w:p>
    <w:p w14:paraId="02693387">
      <w:pPr>
        <w:rPr>
          <w:rFonts w:hint="eastAsia" w:ascii="宋体" w:hAnsi="宋体" w:eastAsia="宋体" w:cs="宋体"/>
        </w:rPr>
      </w:pPr>
    </w:p>
    <w:p w14:paraId="19E281BA">
      <w:pPr>
        <w:rPr>
          <w:rFonts w:hint="eastAsia" w:ascii="宋体" w:hAnsi="宋体" w:eastAsia="宋体" w:cs="宋体"/>
        </w:rPr>
      </w:pPr>
    </w:p>
    <w:p w14:paraId="02FE3D1C">
      <w:pPr>
        <w:rPr>
          <w:rFonts w:hint="eastAsia" w:ascii="宋体" w:hAnsi="宋体" w:eastAsia="宋体" w:cs="宋体"/>
        </w:rPr>
      </w:pPr>
    </w:p>
    <w:p w14:paraId="4FFAC1F8">
      <w:pPr>
        <w:rPr>
          <w:rFonts w:hint="eastAsia" w:ascii="宋体" w:hAnsi="宋体" w:eastAsia="宋体" w:cs="宋体"/>
        </w:rPr>
      </w:pPr>
    </w:p>
    <w:p w14:paraId="6B3EE430">
      <w:pPr>
        <w:pStyle w:val="2"/>
        <w:rPr>
          <w:rFonts w:hint="eastAsia" w:ascii="宋体" w:hAnsi="宋体" w:eastAsia="宋体" w:cs="宋体"/>
        </w:rPr>
      </w:pPr>
    </w:p>
    <w:p w14:paraId="40297A24">
      <w:pPr>
        <w:rPr>
          <w:rFonts w:hint="eastAsia" w:ascii="宋体" w:hAnsi="宋体" w:eastAsia="宋体" w:cs="宋体"/>
        </w:rPr>
      </w:pPr>
    </w:p>
    <w:p w14:paraId="0E3EB317">
      <w:pPr>
        <w:pStyle w:val="2"/>
        <w:rPr>
          <w:rFonts w:hint="eastAsia" w:ascii="宋体" w:hAnsi="宋体" w:eastAsia="宋体" w:cs="宋体"/>
        </w:rPr>
      </w:pPr>
    </w:p>
    <w:p w14:paraId="0AC4B513">
      <w:pPr>
        <w:rPr>
          <w:rFonts w:hint="eastAsia" w:ascii="宋体" w:hAnsi="宋体" w:eastAsia="宋体" w:cs="宋体"/>
        </w:rPr>
      </w:pPr>
    </w:p>
    <w:p w14:paraId="21515695">
      <w:pPr>
        <w:pStyle w:val="2"/>
        <w:rPr>
          <w:rFonts w:hint="eastAsia" w:ascii="宋体" w:hAnsi="宋体" w:eastAsia="宋体" w:cs="宋体"/>
        </w:rPr>
      </w:pPr>
    </w:p>
    <w:p w14:paraId="4D88E782">
      <w:pPr>
        <w:rPr>
          <w:rFonts w:hint="eastAsia" w:ascii="宋体" w:hAnsi="宋体" w:eastAsia="宋体" w:cs="宋体"/>
        </w:rPr>
      </w:pPr>
    </w:p>
    <w:p w14:paraId="550DACA2">
      <w:pPr>
        <w:pStyle w:val="2"/>
        <w:rPr>
          <w:rFonts w:hint="eastAsia"/>
        </w:rPr>
      </w:pPr>
    </w:p>
    <w:p w14:paraId="4FE20EB0">
      <w:pPr>
        <w:rPr>
          <w:rFonts w:hint="eastAsia" w:ascii="宋体" w:hAnsi="宋体" w:eastAsia="宋体" w:cs="宋体"/>
        </w:rPr>
      </w:pPr>
    </w:p>
    <w:p w14:paraId="78B19505">
      <w:pPr>
        <w:rPr>
          <w:rFonts w:hint="eastAsia" w:ascii="宋体" w:hAnsi="宋体" w:eastAsia="宋体" w:cs="宋体"/>
        </w:rPr>
      </w:pPr>
    </w:p>
    <w:p w14:paraId="60C409A5">
      <w:pPr>
        <w:rPr>
          <w:rFonts w:hint="eastAsia" w:ascii="宋体" w:hAnsi="宋体" w:eastAsia="宋体" w:cs="宋体"/>
        </w:rPr>
      </w:pPr>
    </w:p>
    <w:p w14:paraId="0C3033A6">
      <w:pPr>
        <w:rPr>
          <w:rFonts w:hint="eastAsia" w:ascii="宋体" w:hAnsi="宋体" w:eastAsia="宋体" w:cs="宋体"/>
        </w:rPr>
      </w:pPr>
    </w:p>
    <w:p w14:paraId="26FEE077">
      <w:pPr>
        <w:spacing w:before="152" w:line="360" w:lineRule="auto"/>
        <w:ind w:left="14" w:right="81" w:firstLine="476"/>
        <w:jc w:val="center"/>
        <w:rPr>
          <w:rFonts w:hint="eastAsia" w:ascii="宋体" w:hAnsi="宋体" w:eastAsia="宋体" w:cs="宋体"/>
          <w:b/>
          <w:bCs/>
          <w:color w:val="auto"/>
          <w:spacing w:val="-1"/>
          <w:sz w:val="28"/>
          <w:szCs w:val="28"/>
          <w:highlight w:val="none"/>
          <w:lang w:eastAsia="zh-CN"/>
        </w:rPr>
      </w:pPr>
      <w:bookmarkStart w:id="133" w:name="_Toc3020"/>
      <w:bookmarkStart w:id="134" w:name="_Toc3839"/>
      <w:bookmarkStart w:id="135" w:name="_Toc17375"/>
      <w:bookmarkStart w:id="136" w:name="_Toc16801"/>
      <w:r>
        <w:rPr>
          <w:rFonts w:hint="eastAsia" w:ascii="宋体" w:hAnsi="宋体" w:eastAsia="宋体" w:cs="宋体"/>
          <w:b/>
          <w:bCs/>
          <w:color w:val="auto"/>
          <w:spacing w:val="-1"/>
          <w:sz w:val="28"/>
          <w:szCs w:val="28"/>
          <w:highlight w:val="none"/>
        </w:rPr>
        <w:t>综合评分表</w:t>
      </w:r>
      <w:bookmarkEnd w:id="133"/>
      <w:bookmarkEnd w:id="134"/>
      <w:bookmarkEnd w:id="135"/>
      <w:bookmarkEnd w:id="136"/>
    </w:p>
    <w:tbl>
      <w:tblPr>
        <w:tblStyle w:val="24"/>
        <w:tblW w:w="10371" w:type="dxa"/>
        <w:jc w:val="center"/>
        <w:tblLayout w:type="fixed"/>
        <w:tblCellMar>
          <w:top w:w="0" w:type="dxa"/>
          <w:left w:w="108" w:type="dxa"/>
          <w:bottom w:w="0" w:type="dxa"/>
          <w:right w:w="108" w:type="dxa"/>
        </w:tblCellMar>
      </w:tblPr>
      <w:tblGrid>
        <w:gridCol w:w="1447"/>
        <w:gridCol w:w="3982"/>
        <w:gridCol w:w="4942"/>
      </w:tblGrid>
      <w:tr w14:paraId="52BCC6D3">
        <w:tblPrEx>
          <w:tblCellMar>
            <w:top w:w="0" w:type="dxa"/>
            <w:left w:w="108" w:type="dxa"/>
            <w:bottom w:w="0" w:type="dxa"/>
            <w:right w:w="108" w:type="dxa"/>
          </w:tblCellMar>
        </w:tblPrEx>
        <w:trPr>
          <w:trHeight w:val="90" w:hRule="atLeast"/>
          <w:jc w:val="center"/>
        </w:trPr>
        <w:tc>
          <w:tcPr>
            <w:tcW w:w="10371"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23BF7383">
            <w:pPr>
              <w:pStyle w:val="8"/>
              <w:wordWrap w:val="0"/>
              <w:adjustRightInd w:val="0"/>
              <w:snapToGrid w:val="0"/>
              <w:spacing w:after="0" w:line="240" w:lineRule="auto"/>
              <w:rPr>
                <w:rFonts w:hint="eastAsia" w:ascii="宋体" w:hAnsi="宋体" w:eastAsia="宋体" w:cs="宋体"/>
                <w:color w:val="auto"/>
                <w:sz w:val="24"/>
                <w:szCs w:val="24"/>
                <w:highlight w:val="none"/>
                <w:lang w:val="en-US" w:eastAsia="zh-CN"/>
              </w:rPr>
            </w:pPr>
            <w:bookmarkStart w:id="137" w:name="_Toc31744"/>
            <w:bookmarkStart w:id="138" w:name="_Toc178"/>
            <w:bookmarkStart w:id="139" w:name="_Toc5769"/>
            <w:bookmarkStart w:id="140" w:name="_Toc9725"/>
            <w:r>
              <w:rPr>
                <w:rFonts w:hint="eastAsia" w:ascii="宋体" w:hAnsi="宋体" w:eastAsia="宋体" w:cs="宋体"/>
                <w:b/>
                <w:bCs/>
                <w:color w:val="auto"/>
                <w:sz w:val="24"/>
                <w:szCs w:val="24"/>
                <w:highlight w:val="none"/>
                <w:lang w:val="en-US" w:eastAsia="zh-CN"/>
              </w:rPr>
              <w:t>商务部分，满分：</w:t>
            </w:r>
            <w:r>
              <w:rPr>
                <w:rFonts w:hint="eastAsia" w:ascii="宋体" w:hAnsi="宋体" w:eastAsia="宋体" w:cs="宋体"/>
                <w:b/>
                <w:bCs/>
                <w:color w:val="auto"/>
                <w:sz w:val="24"/>
                <w:szCs w:val="24"/>
                <w:highlight w:val="none"/>
                <w:u w:val="single"/>
                <w:lang w:val="en-US" w:eastAsia="zh-CN"/>
              </w:rPr>
              <w:t>80</w:t>
            </w:r>
            <w:r>
              <w:rPr>
                <w:rFonts w:hint="eastAsia" w:ascii="宋体" w:hAnsi="宋体" w:eastAsia="宋体" w:cs="宋体"/>
                <w:b/>
                <w:bCs/>
                <w:color w:val="auto"/>
                <w:sz w:val="24"/>
                <w:szCs w:val="24"/>
                <w:highlight w:val="none"/>
                <w:lang w:val="en-US" w:eastAsia="zh-CN"/>
              </w:rPr>
              <w:t>分。</w:t>
            </w:r>
          </w:p>
        </w:tc>
      </w:tr>
      <w:tr w14:paraId="5CBA6801">
        <w:tblPrEx>
          <w:tblCellMar>
            <w:top w:w="0" w:type="dxa"/>
            <w:left w:w="108" w:type="dxa"/>
            <w:bottom w:w="0" w:type="dxa"/>
            <w:right w:w="108" w:type="dxa"/>
          </w:tblCellMar>
        </w:tblPrEx>
        <w:trPr>
          <w:trHeight w:val="371"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752D2749">
            <w:pPr>
              <w:pStyle w:val="8"/>
              <w:wordWrap w:val="0"/>
              <w:adjustRightInd w:val="0"/>
              <w:snapToGrid w:val="0"/>
              <w:spacing w:after="0" w:line="24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评分因素</w:t>
            </w:r>
          </w:p>
        </w:tc>
        <w:tc>
          <w:tcPr>
            <w:tcW w:w="3982" w:type="dxa"/>
            <w:tcBorders>
              <w:top w:val="single" w:color="auto" w:sz="4" w:space="0"/>
              <w:left w:val="nil"/>
              <w:bottom w:val="single" w:color="auto" w:sz="4" w:space="0"/>
              <w:right w:val="single" w:color="auto" w:sz="4" w:space="0"/>
            </w:tcBorders>
            <w:noWrap w:val="0"/>
            <w:vAlign w:val="center"/>
          </w:tcPr>
          <w:p w14:paraId="2EF0E9FF">
            <w:pPr>
              <w:pStyle w:val="8"/>
              <w:wordWrap w:val="0"/>
              <w:adjustRightInd w:val="0"/>
              <w:snapToGrid w:val="0"/>
              <w:spacing w:after="0" w:line="24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评分标准</w:t>
            </w:r>
          </w:p>
        </w:tc>
        <w:tc>
          <w:tcPr>
            <w:tcW w:w="4942" w:type="dxa"/>
            <w:tcBorders>
              <w:top w:val="single" w:color="auto" w:sz="4" w:space="0"/>
              <w:left w:val="nil"/>
              <w:bottom w:val="single" w:color="auto" w:sz="4" w:space="0"/>
              <w:right w:val="single" w:color="auto" w:sz="4" w:space="0"/>
            </w:tcBorders>
            <w:noWrap w:val="0"/>
            <w:vAlign w:val="center"/>
          </w:tcPr>
          <w:p w14:paraId="5E7FBB43">
            <w:pPr>
              <w:pStyle w:val="8"/>
              <w:wordWrap w:val="0"/>
              <w:adjustRightInd w:val="0"/>
              <w:snapToGrid w:val="0"/>
              <w:spacing w:after="0" w:line="24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备注</w:t>
            </w:r>
          </w:p>
        </w:tc>
      </w:tr>
      <w:tr w14:paraId="5FEFF939">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2FC3ECD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企业奖项</w:t>
            </w:r>
          </w:p>
          <w:p w14:paraId="0C5974B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tc>
        <w:tc>
          <w:tcPr>
            <w:tcW w:w="3982" w:type="dxa"/>
            <w:tcBorders>
              <w:top w:val="single" w:color="auto" w:sz="4" w:space="0"/>
              <w:left w:val="nil"/>
              <w:bottom w:val="single" w:color="auto" w:sz="4" w:space="0"/>
              <w:right w:val="single" w:color="auto" w:sz="4" w:space="0"/>
            </w:tcBorders>
            <w:noWrap w:val="0"/>
            <w:vAlign w:val="center"/>
          </w:tcPr>
          <w:p w14:paraId="66681049">
            <w:pPr>
              <w:wordWrap w:val="0"/>
              <w:adjustRightInd w:val="0"/>
              <w:snapToGrid w:val="0"/>
              <w:spacing w:line="400" w:lineRule="exact"/>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企业近 5 年来（20</w:t>
            </w:r>
            <w:r>
              <w:rPr>
                <w:rFonts w:hint="eastAsia" w:ascii="宋体" w:hAnsi="宋体" w:eastAsia="宋体" w:cs="宋体"/>
                <w:snapToGrid w:val="0"/>
                <w:color w:val="auto"/>
                <w:kern w:val="0"/>
                <w:sz w:val="24"/>
                <w:szCs w:val="24"/>
                <w:highlight w:val="none"/>
                <w:lang w:val="en-US" w:eastAsia="zh-CN"/>
              </w:rPr>
              <w:t>20</w:t>
            </w:r>
            <w:r>
              <w:rPr>
                <w:rFonts w:hint="eastAsia" w:ascii="宋体" w:hAnsi="宋体" w:eastAsia="宋体" w:cs="宋体"/>
                <w:snapToGrid w:val="0"/>
                <w:color w:val="auto"/>
                <w:kern w:val="0"/>
                <w:sz w:val="24"/>
                <w:szCs w:val="24"/>
                <w:highlight w:val="none"/>
              </w:rPr>
              <w:t>年1月1日至今）获得工程类奖项情况：</w:t>
            </w:r>
          </w:p>
          <w:p w14:paraId="0F7457CA">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1．获得国家级奖项的，每个得8分。</w:t>
            </w:r>
          </w:p>
          <w:p w14:paraId="1F0BC4EE">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2．获得省级奖项的，每个得6分。</w:t>
            </w:r>
          </w:p>
          <w:p w14:paraId="11F8F6D7">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3．获得地市级奖项的，每个得4分。</w:t>
            </w:r>
          </w:p>
          <w:p w14:paraId="01AA6E4C">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4．以上奖项均未获得的，不予计分。</w:t>
            </w:r>
          </w:p>
          <w:p w14:paraId="3778FDBB">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5．本项最高得10分。</w:t>
            </w:r>
          </w:p>
          <w:p w14:paraId="17F244A5">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p>
        </w:tc>
        <w:tc>
          <w:tcPr>
            <w:tcW w:w="4942" w:type="dxa"/>
            <w:tcBorders>
              <w:top w:val="single" w:color="auto" w:sz="4" w:space="0"/>
              <w:left w:val="nil"/>
              <w:bottom w:val="single" w:color="auto" w:sz="4" w:space="0"/>
              <w:right w:val="single" w:color="auto" w:sz="4" w:space="0"/>
            </w:tcBorders>
            <w:noWrap w:val="0"/>
            <w:vAlign w:val="center"/>
          </w:tcPr>
          <w:p w14:paraId="637F82F1">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1．允许投标人提交多个业绩（含参建项目），但同一业绩只按最高级别奖项计分一次，不同业绩按照各自最高获奖等级的得分累加。</w:t>
            </w:r>
          </w:p>
          <w:p w14:paraId="1222A735">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2．需附有关奖项证明彩色扫描件，同时提供原件供核对。</w:t>
            </w:r>
          </w:p>
          <w:p w14:paraId="7F3C446D">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3．颁发机构限定以下范围：</w:t>
            </w:r>
          </w:p>
          <w:p w14:paraId="64FB6976">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①国家级奖项：国务院、住建部、中国建筑行业协会、中国市政行业协会、中国建筑安全协会；</w:t>
            </w:r>
          </w:p>
          <w:p w14:paraId="7E2275AD">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②省级奖项：省级人民政府、省级住建部门、省级建筑行业协会、省级市政行业协会、省级建筑安全协会；</w:t>
            </w:r>
          </w:p>
          <w:p w14:paraId="4D9DA49E">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③地市级奖项：地市级人民政府、地市级住建部门、地市级建筑行业协会、地市级市政行业协会、地市级建筑安全协会。</w:t>
            </w:r>
          </w:p>
          <w:p w14:paraId="779ADC3D">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4．获奖时间以奖项证明的落款日期为准。</w:t>
            </w:r>
          </w:p>
          <w:p w14:paraId="19658D4D">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b w:val="0"/>
                <w:bCs w:val="0"/>
                <w:snapToGrid w:val="0"/>
                <w:color w:val="auto"/>
                <w:kern w:val="0"/>
                <w:sz w:val="24"/>
                <w:szCs w:val="24"/>
                <w:highlight w:val="none"/>
                <w:lang w:val="en-US" w:eastAsia="zh-CN"/>
              </w:rPr>
              <w:t>．任一奖项有以下情形之一的，该奖项视为无效，不予计分：</w:t>
            </w:r>
          </w:p>
          <w:p w14:paraId="2E5BAF6F">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①未提供奖项原件的；</w:t>
            </w:r>
          </w:p>
          <w:p w14:paraId="43FD4FFD">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②奖项不属于指定类别的；</w:t>
            </w:r>
          </w:p>
          <w:p w14:paraId="13C35E43">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③颁发机构不符合要求的；</w:t>
            </w:r>
          </w:p>
          <w:p w14:paraId="27373718">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④获奖时间不符合要求的</w:t>
            </w:r>
            <w:r>
              <w:rPr>
                <w:rFonts w:hint="eastAsia" w:ascii="宋体" w:hAnsi="宋体" w:eastAsia="宋体" w:cs="宋体"/>
                <w:snapToGrid w:val="0"/>
                <w:color w:val="auto"/>
                <w:kern w:val="0"/>
                <w:sz w:val="24"/>
                <w:szCs w:val="24"/>
                <w:highlight w:val="none"/>
                <w:lang w:val="en-US" w:eastAsia="zh-CN"/>
              </w:rPr>
              <w:t>。</w:t>
            </w:r>
          </w:p>
          <w:p w14:paraId="75062A88">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说明：以上所称“要求”均指本表评分标准及备注的要求，下同。</w:t>
            </w:r>
          </w:p>
        </w:tc>
      </w:tr>
      <w:tr w14:paraId="146D4AB7">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6BA1842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项目经理</w:t>
            </w:r>
          </w:p>
          <w:p w14:paraId="5EC1728C">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综合素质</w:t>
            </w:r>
          </w:p>
          <w:p w14:paraId="782FA2D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10分</w:t>
            </w:r>
            <w:r>
              <w:rPr>
                <w:rFonts w:hint="eastAsia" w:ascii="宋体" w:hAnsi="宋体" w:eastAsia="宋体" w:cs="宋体"/>
                <w:snapToGrid w:val="0"/>
                <w:color w:val="auto"/>
                <w:kern w:val="0"/>
                <w:sz w:val="24"/>
                <w:szCs w:val="24"/>
                <w:highlight w:val="none"/>
                <w:lang w:eastAsia="zh-CN"/>
              </w:rPr>
              <w:t>）</w:t>
            </w:r>
          </w:p>
        </w:tc>
        <w:tc>
          <w:tcPr>
            <w:tcW w:w="3982" w:type="dxa"/>
            <w:tcBorders>
              <w:top w:val="single" w:color="auto" w:sz="4" w:space="0"/>
              <w:left w:val="nil"/>
              <w:bottom w:val="single" w:color="auto" w:sz="4" w:space="0"/>
              <w:right w:val="single" w:color="auto" w:sz="4" w:space="0"/>
            </w:tcBorders>
            <w:noWrap w:val="0"/>
            <w:vAlign w:val="center"/>
          </w:tcPr>
          <w:p w14:paraId="0B5A3959">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项目经理工程类技术职称情况：</w:t>
            </w:r>
          </w:p>
          <w:p w14:paraId="1564673C">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1.具备工程师或以上职称的，得10分。</w:t>
            </w:r>
          </w:p>
          <w:p w14:paraId="3FE34264">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2.具备助理工程师职称的，得5分。</w:t>
            </w:r>
          </w:p>
          <w:p w14:paraId="6D0240FA">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3.不具备以上职称的，或未提供职称证原件的，不予计分。</w:t>
            </w:r>
          </w:p>
        </w:tc>
        <w:tc>
          <w:tcPr>
            <w:tcW w:w="4942" w:type="dxa"/>
            <w:tcBorders>
              <w:top w:val="single" w:color="auto" w:sz="4" w:space="0"/>
              <w:left w:val="nil"/>
              <w:bottom w:val="single" w:color="auto" w:sz="4" w:space="0"/>
              <w:right w:val="single" w:color="auto" w:sz="4" w:space="0"/>
            </w:tcBorders>
            <w:noWrap w:val="0"/>
            <w:vAlign w:val="center"/>
          </w:tcPr>
          <w:p w14:paraId="39E0056C">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eastAsia="zh-CN"/>
              </w:rPr>
            </w:pPr>
          </w:p>
          <w:p w14:paraId="19CD3A6F">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需附职称证</w:t>
            </w:r>
            <w:r>
              <w:rPr>
                <w:rFonts w:hint="eastAsia" w:ascii="宋体" w:hAnsi="宋体" w:eastAsia="宋体" w:cs="宋体"/>
                <w:snapToGrid w:val="0"/>
                <w:color w:val="auto"/>
                <w:kern w:val="0"/>
                <w:sz w:val="24"/>
                <w:szCs w:val="24"/>
                <w:highlight w:val="none"/>
                <w:lang w:val="en-US" w:eastAsia="zh-CN"/>
              </w:rPr>
              <w:t>彩色</w:t>
            </w:r>
            <w:r>
              <w:rPr>
                <w:rFonts w:hint="eastAsia" w:ascii="宋体" w:hAnsi="宋体" w:eastAsia="宋体" w:cs="宋体"/>
                <w:snapToGrid w:val="0"/>
                <w:color w:val="auto"/>
                <w:kern w:val="0"/>
                <w:sz w:val="24"/>
                <w:szCs w:val="24"/>
                <w:highlight w:val="none"/>
                <w:lang w:eastAsia="zh-CN"/>
              </w:rPr>
              <w:t>扫描件</w:t>
            </w:r>
            <w:r>
              <w:rPr>
                <w:rFonts w:hint="eastAsia" w:ascii="宋体" w:hAnsi="宋体" w:eastAsia="宋体" w:cs="宋体"/>
                <w:snapToGrid w:val="0"/>
                <w:color w:val="auto"/>
                <w:kern w:val="0"/>
                <w:sz w:val="24"/>
                <w:szCs w:val="24"/>
                <w:highlight w:val="none"/>
                <w:lang w:val="en-US" w:eastAsia="zh-CN"/>
              </w:rPr>
              <w:t>或电子证书</w:t>
            </w:r>
            <w:r>
              <w:rPr>
                <w:rFonts w:hint="eastAsia" w:ascii="宋体" w:hAnsi="宋体" w:eastAsia="宋体" w:cs="宋体"/>
                <w:snapToGrid w:val="0"/>
                <w:color w:val="auto"/>
                <w:kern w:val="0"/>
                <w:sz w:val="24"/>
                <w:szCs w:val="24"/>
                <w:highlight w:val="none"/>
              </w:rPr>
              <w:t>，同时提供原件供核对（职称证为电子证书的除外）。</w:t>
            </w:r>
          </w:p>
        </w:tc>
      </w:tr>
      <w:tr w14:paraId="16D67B3C">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02F78FBC">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企业业绩</w:t>
            </w:r>
          </w:p>
          <w:p w14:paraId="4D848DB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tc>
        <w:tc>
          <w:tcPr>
            <w:tcW w:w="3982" w:type="dxa"/>
            <w:tcBorders>
              <w:top w:val="single" w:color="auto" w:sz="4" w:space="0"/>
              <w:left w:val="nil"/>
              <w:bottom w:val="single" w:color="auto" w:sz="4" w:space="0"/>
              <w:right w:val="single" w:color="auto" w:sz="4" w:space="0"/>
            </w:tcBorders>
            <w:noWrap w:val="0"/>
            <w:vAlign w:val="center"/>
          </w:tcPr>
          <w:p w14:paraId="79836650">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企业近5年来（2020年1月1日至今）业绩情况：</w:t>
            </w:r>
          </w:p>
          <w:p w14:paraId="3FEA6CA7">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1.承接过类似工程的，每个得5分。</w:t>
            </w:r>
          </w:p>
          <w:p w14:paraId="62C33D4A">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2.未承接过类似工程的，不予计分。</w:t>
            </w:r>
          </w:p>
          <w:p w14:paraId="3954EC62">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3．本项最高得10分。</w:t>
            </w:r>
          </w:p>
        </w:tc>
        <w:tc>
          <w:tcPr>
            <w:tcW w:w="4942" w:type="dxa"/>
            <w:tcBorders>
              <w:top w:val="single" w:color="auto" w:sz="4" w:space="0"/>
              <w:left w:val="nil"/>
              <w:bottom w:val="single" w:color="auto" w:sz="4" w:space="0"/>
              <w:right w:val="single" w:color="auto" w:sz="4" w:space="0"/>
            </w:tcBorders>
            <w:noWrap w:val="0"/>
            <w:vAlign w:val="center"/>
          </w:tcPr>
          <w:p w14:paraId="1A8785FB">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rPr>
            </w:pPr>
            <w:r>
              <w:rPr>
                <w:rFonts w:hint="eastAsia" w:ascii="宋体" w:hAnsi="宋体" w:eastAsia="宋体" w:cs="宋体"/>
                <w:b w:val="0"/>
                <w:bCs w:val="0"/>
                <w:snapToGrid w:val="0"/>
                <w:color w:val="auto"/>
                <w:kern w:val="0"/>
                <w:sz w:val="24"/>
                <w:szCs w:val="24"/>
                <w:highlight w:val="none"/>
                <w:lang w:val="en-US"/>
              </w:rPr>
              <w:t>1</w:t>
            </w:r>
            <w:r>
              <w:rPr>
                <w:rFonts w:hint="eastAsia" w:ascii="宋体" w:hAnsi="宋体" w:eastAsia="宋体" w:cs="宋体"/>
                <w:b w:val="0"/>
                <w:bCs w:val="0"/>
                <w:snapToGrid w:val="0"/>
                <w:color w:val="auto"/>
                <w:kern w:val="0"/>
                <w:sz w:val="24"/>
                <w:szCs w:val="24"/>
                <w:highlight w:val="none"/>
              </w:rPr>
              <w:t>．类似工程指：</w:t>
            </w:r>
            <w:r>
              <w:rPr>
                <w:rFonts w:hint="eastAsia" w:ascii="宋体" w:hAnsi="宋体" w:eastAsia="宋体" w:cs="宋体"/>
                <w:b w:val="0"/>
                <w:bCs w:val="0"/>
                <w:snapToGrid w:val="0"/>
                <w:color w:val="C00000"/>
                <w:kern w:val="0"/>
                <w:sz w:val="24"/>
                <w:szCs w:val="24"/>
                <w:highlight w:val="none"/>
                <w:lang w:eastAsia="zh-CN"/>
              </w:rPr>
              <w:t>公路工程或</w:t>
            </w:r>
            <w:r>
              <w:rPr>
                <w:rFonts w:hint="eastAsia" w:ascii="宋体" w:hAnsi="宋体" w:eastAsia="宋体" w:cs="宋体"/>
                <w:b w:val="0"/>
                <w:bCs w:val="0"/>
                <w:snapToGrid w:val="0"/>
                <w:color w:val="auto"/>
                <w:kern w:val="0"/>
                <w:sz w:val="24"/>
                <w:szCs w:val="24"/>
                <w:highlight w:val="none"/>
                <w:lang w:val="en-US" w:eastAsia="zh-CN"/>
              </w:rPr>
              <w:t>市政公用工程</w:t>
            </w:r>
            <w:r>
              <w:rPr>
                <w:rFonts w:hint="eastAsia" w:ascii="宋体" w:hAnsi="宋体" w:eastAsia="宋体" w:cs="宋体"/>
                <w:b w:val="0"/>
                <w:bCs w:val="0"/>
                <w:snapToGrid w:val="0"/>
                <w:color w:val="auto"/>
                <w:kern w:val="0"/>
                <w:sz w:val="24"/>
                <w:szCs w:val="24"/>
                <w:highlight w:val="none"/>
              </w:rPr>
              <w:t>。</w:t>
            </w:r>
          </w:p>
          <w:p w14:paraId="5C513AD4">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lang w:val="en-US" w:eastAsia="zh-CN"/>
              </w:rPr>
              <w:t>2</w:t>
            </w:r>
            <w:r>
              <w:rPr>
                <w:rFonts w:hint="eastAsia" w:ascii="宋体" w:hAnsi="宋体" w:eastAsia="宋体" w:cs="宋体"/>
                <w:b w:val="0"/>
                <w:bCs w:val="0"/>
                <w:snapToGrid w:val="0"/>
                <w:color w:val="auto"/>
                <w:kern w:val="0"/>
                <w:sz w:val="24"/>
                <w:szCs w:val="24"/>
                <w:highlight w:val="none"/>
              </w:rPr>
              <w:t>．需附有关业绩（仅限于以施工总承包单位身份</w:t>
            </w:r>
            <w:r>
              <w:rPr>
                <w:rFonts w:hint="eastAsia" w:ascii="宋体" w:hAnsi="宋体" w:eastAsia="宋体" w:cs="宋体"/>
                <w:b w:val="0"/>
                <w:bCs w:val="0"/>
                <w:snapToGrid w:val="0"/>
                <w:color w:val="auto"/>
                <w:kern w:val="0"/>
                <w:sz w:val="24"/>
                <w:szCs w:val="24"/>
                <w:highlight w:val="none"/>
                <w:lang w:val="en-US" w:eastAsia="zh-CN"/>
              </w:rPr>
              <w:t>参</w:t>
            </w:r>
            <w:r>
              <w:rPr>
                <w:rFonts w:hint="eastAsia" w:ascii="宋体" w:hAnsi="宋体" w:eastAsia="宋体" w:cs="宋体"/>
                <w:b w:val="0"/>
                <w:bCs w:val="0"/>
                <w:snapToGrid w:val="0"/>
                <w:color w:val="auto"/>
                <w:kern w:val="0"/>
                <w:sz w:val="24"/>
                <w:szCs w:val="24"/>
                <w:highlight w:val="none"/>
              </w:rPr>
              <w:t>建的项目）合同协议书</w:t>
            </w:r>
            <w:r>
              <w:rPr>
                <w:rFonts w:hint="eastAsia" w:ascii="宋体" w:hAnsi="宋体" w:eastAsia="宋体" w:cs="宋体"/>
                <w:b w:val="0"/>
                <w:bCs w:val="0"/>
                <w:snapToGrid w:val="0"/>
                <w:color w:val="auto"/>
                <w:kern w:val="0"/>
                <w:sz w:val="24"/>
                <w:szCs w:val="24"/>
                <w:highlight w:val="none"/>
                <w:lang w:eastAsia="zh-CN"/>
              </w:rPr>
              <w:t>关键页</w:t>
            </w:r>
            <w:r>
              <w:rPr>
                <w:rFonts w:hint="eastAsia" w:ascii="宋体" w:hAnsi="宋体" w:eastAsia="宋体" w:cs="宋体"/>
                <w:b w:val="0"/>
                <w:bCs w:val="0"/>
                <w:snapToGrid w:val="0"/>
                <w:color w:val="auto"/>
                <w:kern w:val="0"/>
                <w:sz w:val="24"/>
                <w:szCs w:val="24"/>
                <w:highlight w:val="none"/>
              </w:rPr>
              <w:t>的</w:t>
            </w:r>
            <w:r>
              <w:rPr>
                <w:rFonts w:hint="eastAsia" w:ascii="宋体" w:hAnsi="宋体" w:eastAsia="宋体" w:cs="宋体"/>
                <w:b w:val="0"/>
                <w:bCs w:val="0"/>
                <w:snapToGrid w:val="0"/>
                <w:color w:val="auto"/>
                <w:kern w:val="0"/>
                <w:sz w:val="24"/>
                <w:szCs w:val="24"/>
                <w:highlight w:val="none"/>
                <w:lang w:val="en-US" w:eastAsia="zh-CN"/>
              </w:rPr>
              <w:t>彩色</w:t>
            </w:r>
            <w:r>
              <w:rPr>
                <w:rFonts w:hint="eastAsia" w:ascii="宋体" w:hAnsi="宋体" w:eastAsia="宋体" w:cs="宋体"/>
                <w:b w:val="0"/>
                <w:bCs w:val="0"/>
                <w:snapToGrid w:val="0"/>
                <w:color w:val="auto"/>
                <w:kern w:val="0"/>
                <w:sz w:val="24"/>
                <w:szCs w:val="24"/>
                <w:highlight w:val="none"/>
                <w:lang w:eastAsia="zh-CN"/>
              </w:rPr>
              <w:t>扫描件</w:t>
            </w:r>
            <w:r>
              <w:rPr>
                <w:rFonts w:hint="eastAsia" w:ascii="宋体" w:hAnsi="宋体" w:eastAsia="宋体" w:cs="宋体"/>
                <w:b w:val="0"/>
                <w:bCs w:val="0"/>
                <w:snapToGrid w:val="0"/>
                <w:color w:val="auto"/>
                <w:kern w:val="0"/>
                <w:sz w:val="24"/>
                <w:szCs w:val="24"/>
                <w:highlight w:val="none"/>
              </w:rPr>
              <w:t>，同时提供原件供核对。</w:t>
            </w:r>
          </w:p>
          <w:p w14:paraId="4E72E4BA">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lang w:val="en-US" w:eastAsia="zh-CN"/>
              </w:rPr>
              <w:t>3</w:t>
            </w:r>
            <w:r>
              <w:rPr>
                <w:rFonts w:hint="eastAsia" w:ascii="宋体" w:hAnsi="宋体" w:eastAsia="宋体" w:cs="宋体"/>
                <w:b w:val="0"/>
                <w:bCs w:val="0"/>
                <w:snapToGrid w:val="0"/>
                <w:color w:val="auto"/>
                <w:kern w:val="0"/>
                <w:sz w:val="24"/>
                <w:szCs w:val="24"/>
                <w:highlight w:val="none"/>
              </w:rPr>
              <w:t>．业绩时间以合同协议书日期为准。</w:t>
            </w:r>
          </w:p>
          <w:p w14:paraId="06DF7919">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rPr>
            </w:pPr>
            <w:r>
              <w:rPr>
                <w:rFonts w:hint="eastAsia" w:ascii="宋体" w:hAnsi="宋体" w:eastAsia="宋体" w:cs="宋体"/>
                <w:b w:val="0"/>
                <w:bCs w:val="0"/>
                <w:snapToGrid w:val="0"/>
                <w:color w:val="auto"/>
                <w:kern w:val="0"/>
                <w:sz w:val="24"/>
                <w:szCs w:val="24"/>
                <w:highlight w:val="none"/>
                <w:lang w:val="en-US"/>
              </w:rPr>
              <w:t>4</w:t>
            </w:r>
            <w:r>
              <w:rPr>
                <w:rFonts w:hint="eastAsia" w:ascii="宋体" w:hAnsi="宋体" w:eastAsia="宋体" w:cs="宋体"/>
                <w:b w:val="0"/>
                <w:bCs w:val="0"/>
                <w:snapToGrid w:val="0"/>
                <w:color w:val="auto"/>
                <w:kern w:val="0"/>
                <w:sz w:val="24"/>
                <w:szCs w:val="24"/>
                <w:highlight w:val="none"/>
              </w:rPr>
              <w:t>．任一业绩有以下情形之一的，该业绩视为无效，不予计分：</w:t>
            </w:r>
          </w:p>
          <w:p w14:paraId="6A624DE6">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rPr>
            </w:pPr>
            <w:r>
              <w:rPr>
                <w:rFonts w:hint="eastAsia" w:ascii="宋体" w:hAnsi="宋体" w:eastAsia="宋体" w:cs="宋体"/>
                <w:b w:val="0"/>
                <w:bCs w:val="0"/>
                <w:snapToGrid w:val="0"/>
                <w:color w:val="auto"/>
                <w:kern w:val="0"/>
                <w:sz w:val="24"/>
                <w:szCs w:val="24"/>
                <w:highlight w:val="none"/>
              </w:rPr>
              <w:t>①未提供业绩证明材料原件的；</w:t>
            </w:r>
          </w:p>
          <w:p w14:paraId="04A747B7">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②业绩不属于类似工程的；</w:t>
            </w:r>
          </w:p>
          <w:p w14:paraId="49B421E8">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rPr>
            </w:pPr>
            <w:r>
              <w:rPr>
                <w:rFonts w:hint="eastAsia" w:ascii="宋体" w:hAnsi="宋体" w:eastAsia="宋体" w:cs="宋体"/>
                <w:b w:val="0"/>
                <w:bCs w:val="0"/>
                <w:snapToGrid w:val="0"/>
                <w:color w:val="auto"/>
                <w:kern w:val="0"/>
                <w:sz w:val="24"/>
                <w:szCs w:val="24"/>
                <w:highlight w:val="none"/>
                <w:lang w:val="en-US"/>
              </w:rPr>
              <w:t>③不是以指定身份参建的；</w:t>
            </w:r>
          </w:p>
          <w:p w14:paraId="72180080">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④业绩时间不符合要求的。</w:t>
            </w:r>
          </w:p>
        </w:tc>
      </w:tr>
      <w:tr w14:paraId="3BF31589">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746262A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企业银行资信评级</w:t>
            </w:r>
          </w:p>
          <w:p w14:paraId="56518858">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分）</w:t>
            </w:r>
          </w:p>
        </w:tc>
        <w:tc>
          <w:tcPr>
            <w:tcW w:w="3982" w:type="dxa"/>
            <w:tcBorders>
              <w:top w:val="single" w:color="auto" w:sz="4" w:space="0"/>
              <w:left w:val="nil"/>
              <w:bottom w:val="single" w:color="auto" w:sz="4" w:space="0"/>
              <w:right w:val="single" w:color="auto" w:sz="4" w:space="0"/>
            </w:tcBorders>
            <w:noWrap w:val="0"/>
            <w:vAlign w:val="center"/>
          </w:tcPr>
          <w:p w14:paraId="493AA113">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1．银行资信评级AA(含AA+、AA-)或aa(含aa+、aa-)或以上的，得 5 分。</w:t>
            </w:r>
          </w:p>
          <w:p w14:paraId="040E8E36">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2．银行资信评级A(含A+、A-)或a(含a+、a-)得 2 分。</w:t>
            </w:r>
          </w:p>
          <w:p w14:paraId="7C29F683">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3．未获得过以上评级的，或评级证书（证明）无效的，不予计分。</w:t>
            </w:r>
          </w:p>
          <w:p w14:paraId="5E5D2228">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4.本项最高得5分。</w:t>
            </w:r>
          </w:p>
        </w:tc>
        <w:tc>
          <w:tcPr>
            <w:tcW w:w="4942" w:type="dxa"/>
            <w:tcBorders>
              <w:top w:val="single" w:color="auto" w:sz="4" w:space="0"/>
              <w:left w:val="nil"/>
              <w:bottom w:val="single" w:color="auto" w:sz="4" w:space="0"/>
              <w:right w:val="single" w:color="auto" w:sz="4" w:space="0"/>
            </w:tcBorders>
            <w:noWrap w:val="0"/>
            <w:vAlign w:val="center"/>
          </w:tcPr>
          <w:p w14:paraId="74491B56">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1．需附在有效期内的资信评级证书（证明）</w:t>
            </w:r>
            <w:r>
              <w:rPr>
                <w:rFonts w:hint="eastAsia" w:ascii="宋体" w:hAnsi="宋体" w:eastAsia="宋体" w:cs="宋体"/>
                <w:b w:val="0"/>
                <w:bCs w:val="0"/>
                <w:snapToGrid w:val="0"/>
                <w:color w:val="auto"/>
                <w:kern w:val="0"/>
                <w:sz w:val="24"/>
                <w:szCs w:val="24"/>
                <w:highlight w:val="none"/>
                <w:lang w:val="en-US" w:eastAsia="zh-CN"/>
              </w:rPr>
              <w:t>彩色</w:t>
            </w:r>
            <w:r>
              <w:rPr>
                <w:rFonts w:hint="eastAsia" w:ascii="宋体" w:hAnsi="宋体" w:eastAsia="宋体" w:cs="宋体"/>
                <w:b w:val="0"/>
                <w:bCs w:val="0"/>
                <w:snapToGrid w:val="0"/>
                <w:color w:val="auto"/>
                <w:kern w:val="0"/>
                <w:sz w:val="24"/>
                <w:szCs w:val="24"/>
                <w:highlight w:val="none"/>
              </w:rPr>
              <w:t>扫描件，同时提供原件供核对。</w:t>
            </w:r>
          </w:p>
          <w:p w14:paraId="568723D9">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2．评级证书须由企业基本账户开户银行 出具。</w:t>
            </w:r>
          </w:p>
          <w:p w14:paraId="7F159367">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3．评级证书（证明）有以下情形之一的，视为无效：</w:t>
            </w:r>
          </w:p>
          <w:p w14:paraId="322B63A4">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①未提供评级证书（证明）原件的；</w:t>
            </w:r>
          </w:p>
          <w:p w14:paraId="1497F300">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②评级证书（证明）不在有效期内的；</w:t>
            </w:r>
          </w:p>
          <w:p w14:paraId="533CD029">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rPr>
              <w:t>③出具机构不符合要求的。</w:t>
            </w:r>
          </w:p>
        </w:tc>
      </w:tr>
      <w:tr w14:paraId="77CF06FE">
        <w:tblPrEx>
          <w:tblCellMar>
            <w:top w:w="0" w:type="dxa"/>
            <w:left w:w="108" w:type="dxa"/>
            <w:bottom w:w="0" w:type="dxa"/>
            <w:right w:w="108" w:type="dxa"/>
          </w:tblCellMar>
        </w:tblPrEx>
        <w:trPr>
          <w:trHeight w:val="303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4D552C99">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企业管理</w:t>
            </w:r>
          </w:p>
          <w:p w14:paraId="2CD179A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体系认证</w:t>
            </w:r>
          </w:p>
          <w:p w14:paraId="089B30D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tc>
        <w:tc>
          <w:tcPr>
            <w:tcW w:w="3982" w:type="dxa"/>
            <w:tcBorders>
              <w:top w:val="single" w:color="auto" w:sz="4" w:space="0"/>
              <w:left w:val="nil"/>
              <w:bottom w:val="single" w:color="auto" w:sz="4" w:space="0"/>
              <w:right w:val="single" w:color="auto" w:sz="4" w:space="0"/>
            </w:tcBorders>
            <w:noWrap w:val="0"/>
            <w:vAlign w:val="center"/>
          </w:tcPr>
          <w:p w14:paraId="6D3E14B6">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1.质量管理体系认证、职业健康安全管理体系认证、环境管理体系认证中，每获得1项认证得3分，最高得9分。</w:t>
            </w:r>
          </w:p>
          <w:p w14:paraId="1DA9B450">
            <w:pPr>
              <w:widowControl w:val="0"/>
              <w:spacing w:line="360" w:lineRule="auto"/>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color w:val="auto"/>
                <w:sz w:val="24"/>
                <w:szCs w:val="24"/>
                <w:lang w:val="en-US" w:eastAsia="zh-CN"/>
              </w:rPr>
              <w:t>2.未获得以上认证的，不予计分。</w:t>
            </w:r>
          </w:p>
        </w:tc>
        <w:tc>
          <w:tcPr>
            <w:tcW w:w="4942" w:type="dxa"/>
            <w:tcBorders>
              <w:top w:val="single" w:color="auto" w:sz="4" w:space="0"/>
              <w:left w:val="nil"/>
              <w:bottom w:val="single" w:color="auto" w:sz="4" w:space="0"/>
              <w:right w:val="single" w:color="auto" w:sz="4" w:space="0"/>
            </w:tcBorders>
            <w:noWrap w:val="0"/>
            <w:vAlign w:val="center"/>
          </w:tcPr>
          <w:p w14:paraId="0B579735">
            <w:pPr>
              <w:widowControl w:val="0"/>
              <w:spacing w:line="360" w:lineRule="auto"/>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1.需附在有效期内的认证证书彩色扫描件，同时提供原件供核对（证书为电子证书的除外）。</w:t>
            </w:r>
          </w:p>
          <w:p w14:paraId="13ABF85C">
            <w:pPr>
              <w:widowControl w:val="0"/>
              <w:spacing w:line="360" w:lineRule="auto"/>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2.任一认证证书有以下情形之一的，该认证证书视为无效，不予计分：</w:t>
            </w:r>
          </w:p>
          <w:p w14:paraId="2B1E0361">
            <w:pPr>
              <w:widowControl w:val="0"/>
              <w:spacing w:line="360" w:lineRule="auto"/>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①未提供认证证书原件的；</w:t>
            </w:r>
          </w:p>
          <w:p w14:paraId="420F319D">
            <w:pPr>
              <w:widowControl w:val="0"/>
              <w:spacing w:line="360" w:lineRule="auto"/>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color w:val="auto"/>
                <w:sz w:val="24"/>
                <w:szCs w:val="24"/>
                <w:lang w:val="en-US" w:eastAsia="zh-CN"/>
              </w:rPr>
              <w:t>②认证证书不在有效期内的。</w:t>
            </w:r>
          </w:p>
        </w:tc>
      </w:tr>
      <w:tr w14:paraId="272DACAD">
        <w:tblPrEx>
          <w:tblCellMar>
            <w:top w:w="0" w:type="dxa"/>
            <w:left w:w="108" w:type="dxa"/>
            <w:bottom w:w="0" w:type="dxa"/>
            <w:right w:w="108" w:type="dxa"/>
          </w:tblCellMar>
        </w:tblPrEx>
        <w:trPr>
          <w:trHeight w:val="46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29BC4E71">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企业财务状况（</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分）</w:t>
            </w:r>
          </w:p>
        </w:tc>
        <w:tc>
          <w:tcPr>
            <w:tcW w:w="3982" w:type="dxa"/>
            <w:tcBorders>
              <w:top w:val="single" w:color="auto" w:sz="4" w:space="0"/>
              <w:left w:val="nil"/>
              <w:bottom w:val="single" w:color="auto" w:sz="4" w:space="0"/>
              <w:right w:val="single" w:color="auto" w:sz="4" w:space="0"/>
            </w:tcBorders>
            <w:noWrap w:val="0"/>
            <w:vAlign w:val="center"/>
          </w:tcPr>
          <w:p w14:paraId="0EED1D40">
            <w:pPr>
              <w:wordWrap w:val="0"/>
              <w:adjustRightInd w:val="0"/>
              <w:snapToGrid w:val="0"/>
              <w:spacing w:line="400" w:lineRule="exact"/>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提供不少于</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50</w:t>
            </w:r>
            <w:r>
              <w:rPr>
                <w:rFonts w:hint="eastAsia" w:ascii="宋体" w:hAnsi="宋体" w:eastAsia="宋体" w:cs="宋体"/>
                <w:snapToGrid w:val="0"/>
                <w:color w:val="auto"/>
                <w:kern w:val="0"/>
                <w:sz w:val="24"/>
                <w:szCs w:val="24"/>
                <w:highlight w:val="none"/>
                <w:u w:val="single"/>
                <w:lang w:eastAsia="zh-CN"/>
              </w:rPr>
              <w:t xml:space="preserve"> </w:t>
            </w:r>
            <w:r>
              <w:rPr>
                <w:rFonts w:hint="eastAsia" w:ascii="宋体" w:hAnsi="宋体" w:eastAsia="宋体" w:cs="宋体"/>
                <w:snapToGrid w:val="0"/>
                <w:color w:val="auto"/>
                <w:kern w:val="0"/>
                <w:sz w:val="24"/>
                <w:szCs w:val="24"/>
                <w:highlight w:val="none"/>
              </w:rPr>
              <w:t>万元银行授信证明的，得</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分。</w:t>
            </w:r>
          </w:p>
          <w:p w14:paraId="71880340">
            <w:pPr>
              <w:wordWrap w:val="0"/>
              <w:adjustRightInd w:val="0"/>
              <w:snapToGrid w:val="0"/>
              <w:spacing w:line="400" w:lineRule="exact"/>
              <w:jc w:val="both"/>
              <w:rPr>
                <w:rFonts w:hint="eastAsia" w:ascii="宋体" w:hAnsi="宋体" w:eastAsia="宋体" w:cs="宋体"/>
                <w:snapToGrid w:val="0"/>
                <w:color w:val="auto"/>
                <w:kern w:val="0"/>
                <w:sz w:val="24"/>
                <w:szCs w:val="24"/>
                <w:highlight w:val="none"/>
                <w:lang w:val="en-US" w:eastAsia="zh-CN"/>
              </w:rPr>
            </w:pPr>
          </w:p>
        </w:tc>
        <w:tc>
          <w:tcPr>
            <w:tcW w:w="4942" w:type="dxa"/>
            <w:tcBorders>
              <w:top w:val="single" w:color="auto" w:sz="4" w:space="0"/>
              <w:left w:val="nil"/>
              <w:bottom w:val="single" w:color="auto" w:sz="4" w:space="0"/>
              <w:right w:val="single" w:color="auto" w:sz="4" w:space="0"/>
            </w:tcBorders>
            <w:noWrap w:val="0"/>
            <w:vAlign w:val="center"/>
          </w:tcPr>
          <w:p w14:paraId="6B59F144">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1．需附在有效期内的有关证明</w:t>
            </w:r>
            <w:r>
              <w:rPr>
                <w:rFonts w:hint="eastAsia" w:ascii="宋体" w:hAnsi="宋体" w:eastAsia="宋体" w:cs="宋体"/>
                <w:b w:val="0"/>
                <w:bCs w:val="0"/>
                <w:snapToGrid w:val="0"/>
                <w:color w:val="auto"/>
                <w:kern w:val="0"/>
                <w:sz w:val="24"/>
                <w:szCs w:val="24"/>
                <w:highlight w:val="none"/>
                <w:lang w:val="en-US" w:eastAsia="zh-CN"/>
              </w:rPr>
              <w:t>彩色</w:t>
            </w:r>
            <w:r>
              <w:rPr>
                <w:rFonts w:hint="eastAsia" w:ascii="宋体" w:hAnsi="宋体" w:eastAsia="宋体" w:cs="宋体"/>
                <w:b w:val="0"/>
                <w:bCs w:val="0"/>
                <w:snapToGrid w:val="0"/>
                <w:color w:val="auto"/>
                <w:kern w:val="0"/>
                <w:sz w:val="24"/>
                <w:szCs w:val="24"/>
                <w:highlight w:val="none"/>
              </w:rPr>
              <w:t>扫描件，同时提供原件供核对。</w:t>
            </w:r>
          </w:p>
          <w:p w14:paraId="67FF35B7">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2．银行授信证明有以下情形之一的，视为无效，不予计分：</w:t>
            </w:r>
          </w:p>
          <w:p w14:paraId="47CEFA54">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①未提供授信证明原件的；</w:t>
            </w:r>
          </w:p>
          <w:p w14:paraId="4C637063">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②授信证明不在有效期内的；</w:t>
            </w:r>
          </w:p>
          <w:p w14:paraId="1ED21F73">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rPr>
              <w:t>③授信额度不符合要求的</w:t>
            </w:r>
            <w:r>
              <w:rPr>
                <w:rFonts w:hint="eastAsia" w:ascii="宋体" w:hAnsi="宋体" w:eastAsia="宋体" w:cs="宋体"/>
                <w:b w:val="0"/>
                <w:bCs w:val="0"/>
                <w:snapToGrid w:val="0"/>
                <w:color w:val="auto"/>
                <w:kern w:val="0"/>
                <w:sz w:val="24"/>
                <w:szCs w:val="24"/>
                <w:highlight w:val="none"/>
                <w:lang w:eastAsia="zh-CN"/>
              </w:rPr>
              <w:t>。</w:t>
            </w:r>
          </w:p>
        </w:tc>
      </w:tr>
      <w:tr w14:paraId="176CF187">
        <w:tblPrEx>
          <w:tblCellMar>
            <w:top w:w="0" w:type="dxa"/>
            <w:left w:w="108" w:type="dxa"/>
            <w:bottom w:w="0" w:type="dxa"/>
            <w:right w:w="108" w:type="dxa"/>
          </w:tblCellMar>
        </w:tblPrEx>
        <w:trPr>
          <w:trHeight w:val="23" w:hRule="atLeast"/>
          <w:jc w:val="center"/>
        </w:trPr>
        <w:tc>
          <w:tcPr>
            <w:tcW w:w="1447" w:type="dxa"/>
            <w:vMerge w:val="restart"/>
            <w:tcBorders>
              <w:top w:val="single" w:color="auto" w:sz="4" w:space="0"/>
              <w:left w:val="single" w:color="auto" w:sz="4" w:space="0"/>
              <w:right w:val="single" w:color="auto" w:sz="4" w:space="0"/>
            </w:tcBorders>
            <w:noWrap w:val="0"/>
            <w:vAlign w:val="center"/>
          </w:tcPr>
          <w:p w14:paraId="626EC736">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招标人</w:t>
            </w:r>
          </w:p>
          <w:p w14:paraId="6DF1AB01">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自选项</w:t>
            </w:r>
          </w:p>
          <w:p w14:paraId="07F4339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（30分）</w:t>
            </w:r>
          </w:p>
        </w:tc>
        <w:tc>
          <w:tcPr>
            <w:tcW w:w="3982" w:type="dxa"/>
            <w:tcBorders>
              <w:top w:val="single" w:color="auto" w:sz="4" w:space="0"/>
              <w:left w:val="nil"/>
              <w:bottom w:val="single" w:color="auto" w:sz="4" w:space="0"/>
              <w:right w:val="single" w:color="auto" w:sz="4" w:space="0"/>
            </w:tcBorders>
            <w:noWrap w:val="0"/>
            <w:vAlign w:val="center"/>
          </w:tcPr>
          <w:p w14:paraId="4A397D7C">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SA"/>
              </w:rPr>
              <w:t>投标人（2020年至今）连续2年或以上（含2年，其中必须有2023年度）企业获得地级市或以上建筑协会颁发的“优秀典型施工企业”得5分。</w:t>
            </w:r>
          </w:p>
        </w:tc>
        <w:tc>
          <w:tcPr>
            <w:tcW w:w="4942" w:type="dxa"/>
            <w:tcBorders>
              <w:top w:val="single" w:color="auto" w:sz="4" w:space="0"/>
              <w:left w:val="nil"/>
              <w:bottom w:val="single" w:color="auto" w:sz="4" w:space="0"/>
              <w:right w:val="single" w:color="auto" w:sz="4" w:space="0"/>
            </w:tcBorders>
            <w:noWrap w:val="0"/>
            <w:vAlign w:val="center"/>
          </w:tcPr>
          <w:p w14:paraId="0BAA9957">
            <w:pPr>
              <w:widowControl w:val="0"/>
              <w:kinsoku w:val="0"/>
              <w:autoSpaceDE w:val="0"/>
              <w:autoSpaceDN w:val="0"/>
              <w:adjustRightInd w:val="0"/>
              <w:snapToGrid w:val="0"/>
              <w:spacing w:line="360" w:lineRule="auto"/>
              <w:jc w:val="both"/>
              <w:textAlignment w:val="baseline"/>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1.需提供证书彩色扫描件，同时提供证书原件供核对（证书为电子证书的除外）,否则不得分。</w:t>
            </w:r>
          </w:p>
          <w:p w14:paraId="0069AAFD">
            <w:pPr>
              <w:widowControl w:val="0"/>
              <w:kinsoku w:val="0"/>
              <w:autoSpaceDE w:val="0"/>
              <w:autoSpaceDN w:val="0"/>
              <w:adjustRightInd w:val="0"/>
              <w:snapToGrid w:val="0"/>
              <w:spacing w:line="360" w:lineRule="auto"/>
              <w:jc w:val="both"/>
              <w:textAlignment w:val="baseline"/>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2.需提供地级市及以上建设行政主管部门或地级市及以上建筑协会网站截图打印页,否则不得分。</w:t>
            </w:r>
          </w:p>
          <w:p w14:paraId="60184920">
            <w:pPr>
              <w:widowControl w:val="0"/>
              <w:kinsoku w:val="0"/>
              <w:autoSpaceDE w:val="0"/>
              <w:autoSpaceDN w:val="0"/>
              <w:adjustRightInd w:val="0"/>
              <w:snapToGrid w:val="0"/>
              <w:spacing w:line="360" w:lineRule="auto"/>
              <w:jc w:val="both"/>
              <w:textAlignment w:val="baseline"/>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（相关协会需经民政部门备案）</w:t>
            </w:r>
          </w:p>
        </w:tc>
      </w:tr>
      <w:tr w14:paraId="2B7B2B25">
        <w:tblPrEx>
          <w:tblCellMar>
            <w:top w:w="0" w:type="dxa"/>
            <w:left w:w="108" w:type="dxa"/>
            <w:bottom w:w="0" w:type="dxa"/>
            <w:right w:w="108" w:type="dxa"/>
          </w:tblCellMar>
        </w:tblPrEx>
        <w:trPr>
          <w:trHeight w:val="23" w:hRule="atLeast"/>
          <w:jc w:val="center"/>
        </w:trPr>
        <w:tc>
          <w:tcPr>
            <w:tcW w:w="1447" w:type="dxa"/>
            <w:vMerge w:val="continue"/>
            <w:tcBorders>
              <w:left w:val="single" w:color="auto" w:sz="4" w:space="0"/>
              <w:right w:val="single" w:color="auto" w:sz="4" w:space="0"/>
            </w:tcBorders>
            <w:noWrap w:val="0"/>
            <w:vAlign w:val="center"/>
          </w:tcPr>
          <w:p w14:paraId="6C48A6F3">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p>
        </w:tc>
        <w:tc>
          <w:tcPr>
            <w:tcW w:w="3982" w:type="dxa"/>
            <w:tcBorders>
              <w:top w:val="single" w:color="auto" w:sz="4" w:space="0"/>
              <w:left w:val="nil"/>
              <w:bottom w:val="single" w:color="auto" w:sz="4" w:space="0"/>
              <w:right w:val="single" w:color="auto" w:sz="4" w:space="0"/>
            </w:tcBorders>
            <w:noWrap w:val="0"/>
            <w:vAlign w:val="center"/>
          </w:tcPr>
          <w:p w14:paraId="5F99E162">
            <w:pPr>
              <w:widowControl w:val="0"/>
              <w:kinsoku w:val="0"/>
              <w:autoSpaceDE w:val="0"/>
              <w:autoSpaceDN w:val="0"/>
              <w:adjustRightInd w:val="0"/>
              <w:snapToGrid w:val="0"/>
              <w:spacing w:line="360" w:lineRule="auto"/>
              <w:jc w:val="both"/>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投标人（2020</w:t>
            </w:r>
            <w:r>
              <w:rPr>
                <w:rFonts w:hint="eastAsia" w:ascii="宋体" w:hAnsi="宋体" w:eastAsia="宋体" w:cs="宋体"/>
                <w:snapToGrid w:val="0"/>
                <w:color w:val="auto"/>
                <w:kern w:val="0"/>
                <w:sz w:val="24"/>
                <w:szCs w:val="24"/>
                <w:highlight w:val="none"/>
                <w:lang w:val="en-US" w:eastAsia="zh-CN" w:bidi="ar-SA"/>
              </w:rPr>
              <w:t>年至今</w:t>
            </w:r>
            <w:r>
              <w:rPr>
                <w:rFonts w:hint="eastAsia" w:ascii="宋体" w:hAnsi="宋体" w:eastAsia="宋体" w:cs="宋体"/>
                <w:snapToGrid w:val="0"/>
                <w:color w:val="auto"/>
                <w:kern w:val="0"/>
                <w:sz w:val="24"/>
                <w:szCs w:val="24"/>
                <w:highlight w:val="none"/>
                <w:lang w:val="en-US" w:eastAsia="zh-CN"/>
              </w:rPr>
              <w:t>）获得过国级“AAA级信用企业”称号，且证书在有效期内的得1分，每满一年加2分，满分得5分。</w:t>
            </w:r>
          </w:p>
        </w:tc>
        <w:tc>
          <w:tcPr>
            <w:tcW w:w="4942" w:type="dxa"/>
            <w:tcBorders>
              <w:top w:val="single" w:color="auto" w:sz="4" w:space="0"/>
              <w:left w:val="nil"/>
              <w:bottom w:val="single" w:color="auto" w:sz="4" w:space="0"/>
              <w:right w:val="single" w:color="auto" w:sz="4" w:space="0"/>
            </w:tcBorders>
            <w:noWrap w:val="0"/>
            <w:vAlign w:val="center"/>
          </w:tcPr>
          <w:p w14:paraId="6E389C56">
            <w:pPr>
              <w:widowControl w:val="0"/>
              <w:kinsoku w:val="0"/>
              <w:autoSpaceDE w:val="0"/>
              <w:autoSpaceDN w:val="0"/>
              <w:adjustRightInd w:val="0"/>
              <w:snapToGrid w:val="0"/>
              <w:spacing w:line="360" w:lineRule="auto"/>
              <w:jc w:val="both"/>
              <w:textAlignment w:val="baseline"/>
              <w:rPr>
                <w:rFonts w:hint="eastAsia" w:ascii="宋体" w:hAnsi="宋体" w:eastAsia="宋体" w:cs="宋体"/>
                <w:b w:val="0"/>
                <w:bCs w:val="0"/>
                <w:snapToGrid w:val="0"/>
                <w:color w:val="auto"/>
                <w:kern w:val="0"/>
                <w:sz w:val="24"/>
                <w:szCs w:val="24"/>
                <w:highlight w:val="none"/>
                <w:lang w:eastAsia="en-US"/>
              </w:rPr>
            </w:pPr>
            <w:r>
              <w:rPr>
                <w:rFonts w:hint="eastAsia" w:ascii="宋体" w:hAnsi="宋体" w:eastAsia="宋体" w:cs="宋体"/>
                <w:b w:val="0"/>
                <w:bCs w:val="0"/>
                <w:snapToGrid w:val="0"/>
                <w:color w:val="auto"/>
                <w:kern w:val="0"/>
                <w:sz w:val="24"/>
                <w:szCs w:val="24"/>
                <w:highlight w:val="none"/>
                <w:lang w:val="en-US" w:eastAsia="zh-CN"/>
              </w:rPr>
              <w:t>1.需附相关证书彩色扫描件，同时提供原件供核对。</w:t>
            </w:r>
          </w:p>
          <w:p w14:paraId="2F9A7459">
            <w:pPr>
              <w:widowControl w:val="0"/>
              <w:kinsoku w:val="0"/>
              <w:autoSpaceDE w:val="0"/>
              <w:autoSpaceDN w:val="0"/>
              <w:adjustRightInd w:val="0"/>
              <w:snapToGrid w:val="0"/>
              <w:spacing w:line="360" w:lineRule="auto"/>
              <w:jc w:val="both"/>
              <w:textAlignment w:val="baseline"/>
              <w:rPr>
                <w:rFonts w:hint="eastAsia" w:ascii="宋体" w:hAnsi="宋体" w:eastAsia="宋体" w:cs="宋体"/>
                <w:b w:val="0"/>
                <w:bCs w:val="0"/>
                <w:snapToGrid w:val="0"/>
                <w:color w:val="auto"/>
                <w:kern w:val="0"/>
                <w:sz w:val="24"/>
                <w:szCs w:val="24"/>
                <w:highlight w:val="none"/>
                <w:lang w:eastAsia="en-US"/>
              </w:rPr>
            </w:pPr>
            <w:r>
              <w:rPr>
                <w:rFonts w:hint="eastAsia" w:ascii="宋体" w:hAnsi="宋体" w:eastAsia="宋体" w:cs="宋体"/>
                <w:b w:val="0"/>
                <w:bCs w:val="0"/>
                <w:snapToGrid w:val="0"/>
                <w:color w:val="auto"/>
                <w:kern w:val="0"/>
                <w:sz w:val="24"/>
                <w:szCs w:val="24"/>
                <w:highlight w:val="none"/>
                <w:lang w:val="en-US" w:eastAsia="zh-CN"/>
              </w:rPr>
              <w:t>2.证书须由国级企业联合会和企业家协会（需经民政局备案）同时颁发。</w:t>
            </w:r>
          </w:p>
          <w:p w14:paraId="7269EE5D">
            <w:pPr>
              <w:widowControl w:val="0"/>
              <w:kinsoku w:val="0"/>
              <w:autoSpaceDE w:val="0"/>
              <w:autoSpaceDN w:val="0"/>
              <w:adjustRightInd w:val="0"/>
              <w:snapToGrid w:val="0"/>
              <w:spacing w:line="360" w:lineRule="auto"/>
              <w:jc w:val="both"/>
              <w:textAlignment w:val="baseline"/>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3.未提供原件的；颁发机构、获奖时间不符合评分标准和备注规定的，不予得分。</w:t>
            </w:r>
          </w:p>
        </w:tc>
      </w:tr>
      <w:tr w14:paraId="4EC3A8CD">
        <w:tblPrEx>
          <w:tblCellMar>
            <w:top w:w="0" w:type="dxa"/>
            <w:left w:w="108" w:type="dxa"/>
            <w:bottom w:w="0" w:type="dxa"/>
            <w:right w:w="108" w:type="dxa"/>
          </w:tblCellMar>
        </w:tblPrEx>
        <w:trPr>
          <w:trHeight w:val="415" w:hRule="atLeast"/>
          <w:jc w:val="center"/>
        </w:trPr>
        <w:tc>
          <w:tcPr>
            <w:tcW w:w="1447" w:type="dxa"/>
            <w:vMerge w:val="continue"/>
            <w:tcBorders>
              <w:left w:val="single" w:color="auto" w:sz="4" w:space="0"/>
              <w:right w:val="single" w:color="auto" w:sz="4" w:space="0"/>
            </w:tcBorders>
            <w:noWrap w:val="0"/>
            <w:vAlign w:val="center"/>
          </w:tcPr>
          <w:p w14:paraId="2C9881F1">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p>
        </w:tc>
        <w:tc>
          <w:tcPr>
            <w:tcW w:w="3982" w:type="dxa"/>
            <w:tcBorders>
              <w:top w:val="single" w:color="auto" w:sz="4" w:space="0"/>
              <w:left w:val="nil"/>
              <w:bottom w:val="single" w:color="auto" w:sz="4" w:space="0"/>
              <w:right w:val="single" w:color="auto" w:sz="4" w:space="0"/>
            </w:tcBorders>
            <w:shd w:val="clear" w:color="auto" w:fill="auto"/>
            <w:noWrap w:val="0"/>
            <w:vAlign w:val="center"/>
          </w:tcPr>
          <w:p w14:paraId="3A35461E">
            <w:pPr>
              <w:pStyle w:val="8"/>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288" w:lineRule="auto"/>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1.</w:t>
            </w:r>
            <w:r>
              <w:rPr>
                <w:rFonts w:hint="eastAsia" w:ascii="宋体" w:hAnsi="宋体" w:eastAsia="宋体" w:cs="宋体"/>
                <w:b w:val="0"/>
                <w:bCs w:val="0"/>
                <w:snapToGrid w:val="0"/>
                <w:color w:val="auto"/>
                <w:kern w:val="0"/>
                <w:sz w:val="24"/>
                <w:szCs w:val="24"/>
                <w:highlight w:val="none"/>
                <w:lang w:val="en-US" w:eastAsia="zh-CN" w:bidi="ar-SA"/>
              </w:rPr>
              <w:t>投标人</w:t>
            </w:r>
            <w:r>
              <w:rPr>
                <w:rFonts w:hint="eastAsia" w:ascii="宋体" w:hAnsi="宋体" w:eastAsia="宋体" w:cs="宋体"/>
                <w:b w:val="0"/>
                <w:bCs w:val="0"/>
                <w:snapToGrid w:val="0"/>
                <w:color w:val="auto"/>
                <w:kern w:val="0"/>
                <w:sz w:val="24"/>
                <w:szCs w:val="24"/>
                <w:highlight w:val="none"/>
                <w:lang w:val="en-US" w:eastAsia="zh-CN"/>
              </w:rPr>
              <w:t>连续5年或以上（含5年）获得纳税信用A级纳税人的，得5分。(其中必须有2024年度)</w:t>
            </w:r>
          </w:p>
          <w:p w14:paraId="1AD8DF79">
            <w:pPr>
              <w:pStyle w:val="8"/>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288" w:lineRule="auto"/>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2.</w:t>
            </w:r>
            <w:r>
              <w:rPr>
                <w:rFonts w:hint="eastAsia" w:ascii="宋体" w:hAnsi="宋体" w:eastAsia="宋体" w:cs="宋体"/>
                <w:b w:val="0"/>
                <w:bCs w:val="0"/>
                <w:snapToGrid w:val="0"/>
                <w:color w:val="auto"/>
                <w:kern w:val="0"/>
                <w:sz w:val="24"/>
                <w:szCs w:val="24"/>
                <w:highlight w:val="none"/>
                <w:lang w:val="en-US" w:eastAsia="zh-CN" w:bidi="ar-SA"/>
              </w:rPr>
              <w:t>投标人连续</w:t>
            </w:r>
            <w:r>
              <w:rPr>
                <w:rFonts w:hint="eastAsia" w:ascii="宋体" w:hAnsi="宋体" w:eastAsia="宋体" w:cs="宋体"/>
                <w:b w:val="0"/>
                <w:bCs w:val="0"/>
                <w:snapToGrid w:val="0"/>
                <w:color w:val="auto"/>
                <w:kern w:val="0"/>
                <w:sz w:val="24"/>
                <w:szCs w:val="24"/>
                <w:highlight w:val="none"/>
                <w:lang w:val="en-US" w:eastAsia="zh-CN"/>
              </w:rPr>
              <w:t>3-4年获得纳税信用A级纳税人的，得3分。(其中必须有2024年度)</w:t>
            </w:r>
          </w:p>
          <w:p w14:paraId="5C69FC52">
            <w:pPr>
              <w:pStyle w:val="8"/>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288" w:lineRule="auto"/>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3.</w:t>
            </w:r>
            <w:r>
              <w:rPr>
                <w:rFonts w:hint="eastAsia" w:ascii="宋体" w:hAnsi="宋体" w:eastAsia="宋体" w:cs="宋体"/>
                <w:b w:val="0"/>
                <w:bCs w:val="0"/>
                <w:snapToGrid w:val="0"/>
                <w:color w:val="auto"/>
                <w:kern w:val="0"/>
                <w:sz w:val="24"/>
                <w:szCs w:val="24"/>
                <w:highlight w:val="none"/>
                <w:lang w:val="en-US" w:eastAsia="zh-CN" w:bidi="ar-SA"/>
              </w:rPr>
              <w:t>投标人连续</w:t>
            </w:r>
            <w:r>
              <w:rPr>
                <w:rFonts w:hint="eastAsia" w:ascii="宋体" w:hAnsi="宋体" w:eastAsia="宋体" w:cs="宋体"/>
                <w:b w:val="0"/>
                <w:bCs w:val="0"/>
                <w:snapToGrid w:val="0"/>
                <w:color w:val="auto"/>
                <w:kern w:val="0"/>
                <w:sz w:val="24"/>
                <w:szCs w:val="24"/>
                <w:highlight w:val="none"/>
                <w:lang w:val="en-US" w:eastAsia="zh-CN"/>
              </w:rPr>
              <w:t>1-2年获得纳税信用A级纳税人的，得2分。(其中必须有2024年度)</w:t>
            </w:r>
          </w:p>
          <w:p w14:paraId="5E0B65DC">
            <w:pPr>
              <w:pStyle w:val="8"/>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288" w:lineRule="auto"/>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4.</w:t>
            </w:r>
            <w:r>
              <w:rPr>
                <w:rFonts w:hint="eastAsia" w:ascii="宋体" w:hAnsi="宋体" w:eastAsia="宋体" w:cs="宋体"/>
                <w:b w:val="0"/>
                <w:bCs w:val="0"/>
                <w:snapToGrid w:val="0"/>
                <w:color w:val="auto"/>
                <w:kern w:val="0"/>
                <w:sz w:val="24"/>
                <w:szCs w:val="24"/>
                <w:highlight w:val="none"/>
              </w:rPr>
              <w:t>其他情形的，不予计分。</w:t>
            </w:r>
          </w:p>
          <w:p w14:paraId="463CCCDC">
            <w:pPr>
              <w:pStyle w:val="8"/>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288" w:lineRule="auto"/>
              <w:ind w:left="0" w:leftChars="0" w:firstLine="0" w:firstLineChars="0"/>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rPr>
              <w:t>本项最高得5分。</w:t>
            </w:r>
          </w:p>
        </w:tc>
        <w:tc>
          <w:tcPr>
            <w:tcW w:w="4942" w:type="dxa"/>
            <w:tcBorders>
              <w:top w:val="single" w:color="auto" w:sz="4" w:space="0"/>
              <w:left w:val="nil"/>
              <w:bottom w:val="single" w:color="auto" w:sz="4" w:space="0"/>
              <w:right w:val="single" w:color="auto" w:sz="4" w:space="0"/>
            </w:tcBorders>
            <w:shd w:val="clear" w:color="auto" w:fill="auto"/>
            <w:noWrap w:val="0"/>
            <w:vAlign w:val="center"/>
          </w:tcPr>
          <w:p w14:paraId="4E433A96">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 xml:space="preserve">1．必须提供企业纳税信用 A 级纳税人证明材料（或证书）及国家税务总局网上查询截图，否则不得分。 </w:t>
            </w:r>
          </w:p>
          <w:p w14:paraId="22F4C3A1">
            <w:pPr>
              <w:wordWrap w:val="0"/>
              <w:adjustRightInd w:val="0"/>
              <w:snapToGrid w:val="0"/>
              <w:spacing w:line="400" w:lineRule="exact"/>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rPr>
              <w:t>2．只计算投标人自身（不计算投标人的分公司、子公司及分支机构）</w:t>
            </w:r>
          </w:p>
        </w:tc>
      </w:tr>
      <w:tr w14:paraId="5FBE325C">
        <w:tblPrEx>
          <w:tblCellMar>
            <w:top w:w="0" w:type="dxa"/>
            <w:left w:w="108" w:type="dxa"/>
            <w:bottom w:w="0" w:type="dxa"/>
            <w:right w:w="108" w:type="dxa"/>
          </w:tblCellMar>
        </w:tblPrEx>
        <w:trPr>
          <w:trHeight w:val="415" w:hRule="atLeast"/>
          <w:jc w:val="center"/>
        </w:trPr>
        <w:tc>
          <w:tcPr>
            <w:tcW w:w="1447" w:type="dxa"/>
            <w:vMerge w:val="continue"/>
            <w:tcBorders>
              <w:left w:val="single" w:color="auto" w:sz="4" w:space="0"/>
              <w:right w:val="single" w:color="auto" w:sz="4" w:space="0"/>
            </w:tcBorders>
            <w:noWrap w:val="0"/>
            <w:vAlign w:val="center"/>
          </w:tcPr>
          <w:p w14:paraId="0579DA67">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p>
        </w:tc>
        <w:tc>
          <w:tcPr>
            <w:tcW w:w="3982" w:type="dxa"/>
            <w:tcBorders>
              <w:top w:val="single" w:color="auto" w:sz="4" w:space="0"/>
              <w:left w:val="nil"/>
              <w:bottom w:val="single" w:color="auto" w:sz="4" w:space="0"/>
              <w:right w:val="single" w:color="auto" w:sz="4" w:space="0"/>
            </w:tcBorders>
            <w:noWrap w:val="0"/>
            <w:vAlign w:val="center"/>
          </w:tcPr>
          <w:p w14:paraId="1C419D4D">
            <w:pPr>
              <w:widowControl w:val="0"/>
              <w:kinsoku w:val="0"/>
              <w:autoSpaceDE w:val="0"/>
              <w:autoSpaceDN w:val="0"/>
              <w:adjustRightInd w:val="0"/>
              <w:snapToGrid w:val="0"/>
              <w:spacing w:line="360" w:lineRule="auto"/>
              <w:ind w:firstLine="0" w:firstLineChars="0"/>
              <w:jc w:val="both"/>
              <w:textAlignment w:val="baseline"/>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1.投标人近5年度（2020年度~至今）</w:t>
            </w:r>
            <w:r>
              <w:rPr>
                <w:rFonts w:hint="eastAsia" w:ascii="宋体" w:hAnsi="宋体" w:eastAsia="宋体" w:cs="宋体"/>
                <w:snapToGrid w:val="0"/>
                <w:color w:val="000000"/>
                <w:kern w:val="0"/>
                <w:sz w:val="24"/>
                <w:szCs w:val="24"/>
                <w:highlight w:val="none"/>
                <w:lang w:eastAsia="en-US"/>
              </w:rPr>
              <w:t>连续</w:t>
            </w:r>
            <w:r>
              <w:rPr>
                <w:rFonts w:hint="eastAsia" w:ascii="宋体" w:hAnsi="宋体" w:eastAsia="宋体" w:cs="宋体"/>
                <w:snapToGrid w:val="0"/>
                <w:color w:val="000000"/>
                <w:kern w:val="0"/>
                <w:sz w:val="24"/>
                <w:szCs w:val="24"/>
                <w:highlight w:val="none"/>
                <w:lang w:val="en-US" w:eastAsia="zh-CN"/>
              </w:rPr>
              <w:t>2</w:t>
            </w:r>
            <w:r>
              <w:rPr>
                <w:rFonts w:hint="eastAsia" w:ascii="宋体" w:hAnsi="宋体" w:eastAsia="宋体" w:cs="宋体"/>
                <w:snapToGrid w:val="0"/>
                <w:color w:val="000000"/>
                <w:kern w:val="0"/>
                <w:sz w:val="24"/>
                <w:szCs w:val="24"/>
                <w:highlight w:val="none"/>
                <w:lang w:eastAsia="en-US"/>
              </w:rPr>
              <w:t>年获得</w:t>
            </w:r>
            <w:r>
              <w:rPr>
                <w:rFonts w:hint="eastAsia" w:ascii="宋体" w:hAnsi="宋体" w:eastAsia="宋体" w:cs="宋体"/>
                <w:snapToGrid w:val="0"/>
                <w:color w:val="auto"/>
                <w:kern w:val="0"/>
                <w:sz w:val="24"/>
                <w:szCs w:val="24"/>
                <w:highlight w:val="none"/>
                <w:lang w:val="en-US" w:eastAsia="zh-CN" w:bidi="ar-SA"/>
              </w:rPr>
              <w:t>省级或以上商业联合会颁发的诚信兴商企业证书的得5分；</w:t>
            </w:r>
            <w:r>
              <w:rPr>
                <w:rFonts w:hint="eastAsia" w:ascii="宋体" w:hAnsi="宋体" w:eastAsia="宋体" w:cs="宋体"/>
                <w:b w:val="0"/>
                <w:bCs w:val="0"/>
                <w:snapToGrid w:val="0"/>
                <w:color w:val="auto"/>
                <w:kern w:val="0"/>
                <w:sz w:val="24"/>
                <w:szCs w:val="24"/>
                <w:highlight w:val="none"/>
                <w:lang w:val="en-US" w:eastAsia="zh-CN"/>
              </w:rPr>
              <w:t>(其中必须有2024年度)</w:t>
            </w:r>
          </w:p>
          <w:p w14:paraId="33EF2E40">
            <w:pPr>
              <w:widowControl w:val="0"/>
              <w:kinsoku w:val="0"/>
              <w:autoSpaceDE w:val="0"/>
              <w:autoSpaceDN w:val="0"/>
              <w:adjustRightInd w:val="0"/>
              <w:snapToGrid w:val="0"/>
              <w:spacing w:line="360" w:lineRule="auto"/>
              <w:ind w:firstLine="0" w:firstLineChars="0"/>
              <w:jc w:val="both"/>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SA"/>
              </w:rPr>
              <w:t>2.其他情形的，不予计分。</w:t>
            </w:r>
          </w:p>
        </w:tc>
        <w:tc>
          <w:tcPr>
            <w:tcW w:w="4942" w:type="dxa"/>
            <w:tcBorders>
              <w:top w:val="single" w:color="auto" w:sz="4" w:space="0"/>
              <w:left w:val="nil"/>
              <w:bottom w:val="single" w:color="auto" w:sz="4" w:space="0"/>
              <w:right w:val="single" w:color="auto" w:sz="4" w:space="0"/>
            </w:tcBorders>
            <w:noWrap w:val="0"/>
            <w:vAlign w:val="center"/>
          </w:tcPr>
          <w:p w14:paraId="7246B30D">
            <w:pPr>
              <w:widowControl w:val="0"/>
              <w:kinsoku w:val="0"/>
              <w:autoSpaceDE w:val="0"/>
              <w:autoSpaceDN w:val="0"/>
              <w:adjustRightInd w:val="0"/>
              <w:snapToGrid w:val="0"/>
              <w:spacing w:line="360" w:lineRule="auto"/>
              <w:ind w:firstLine="0" w:firstLineChars="0"/>
              <w:jc w:val="both"/>
              <w:textAlignment w:val="baseline"/>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1.证书由省级或以上商业联合会颁发，须提供有关证书彩色扫描件，同时提供原件核对。</w:t>
            </w:r>
          </w:p>
          <w:p w14:paraId="58E04A00">
            <w:pPr>
              <w:widowControl w:val="0"/>
              <w:kinsoku w:val="0"/>
              <w:autoSpaceDE w:val="0"/>
              <w:autoSpaceDN w:val="0"/>
              <w:adjustRightInd w:val="0"/>
              <w:snapToGrid w:val="0"/>
              <w:spacing w:line="360" w:lineRule="auto"/>
              <w:ind w:firstLine="0" w:firstLineChars="0"/>
              <w:jc w:val="both"/>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SA"/>
              </w:rPr>
              <w:t>2.未提供原件的，颁发机构不符合要求的，按第2项标准处理。</w:t>
            </w:r>
          </w:p>
        </w:tc>
      </w:tr>
      <w:tr w14:paraId="4BB991A1">
        <w:tblPrEx>
          <w:tblCellMar>
            <w:top w:w="0" w:type="dxa"/>
            <w:left w:w="108" w:type="dxa"/>
            <w:bottom w:w="0" w:type="dxa"/>
            <w:right w:w="108" w:type="dxa"/>
          </w:tblCellMar>
        </w:tblPrEx>
        <w:trPr>
          <w:trHeight w:val="1699" w:hRule="atLeast"/>
          <w:jc w:val="center"/>
        </w:trPr>
        <w:tc>
          <w:tcPr>
            <w:tcW w:w="1447" w:type="dxa"/>
            <w:vMerge w:val="continue"/>
            <w:tcBorders>
              <w:left w:val="single" w:color="auto" w:sz="4" w:space="0"/>
              <w:right w:val="single" w:color="auto" w:sz="4" w:space="0"/>
            </w:tcBorders>
            <w:noWrap w:val="0"/>
            <w:vAlign w:val="center"/>
          </w:tcPr>
          <w:p w14:paraId="41DC5504">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p>
        </w:tc>
        <w:tc>
          <w:tcPr>
            <w:tcW w:w="3982" w:type="dxa"/>
            <w:tcBorders>
              <w:top w:val="single" w:color="auto" w:sz="4" w:space="0"/>
              <w:left w:val="nil"/>
              <w:bottom w:val="single" w:color="auto" w:sz="4" w:space="0"/>
              <w:right w:val="single" w:color="auto" w:sz="4" w:space="0"/>
            </w:tcBorders>
            <w:noWrap w:val="0"/>
            <w:vAlign w:val="center"/>
          </w:tcPr>
          <w:p w14:paraId="79663D5F">
            <w:pPr>
              <w:widowControl w:val="0"/>
              <w:kinsoku w:val="0"/>
              <w:autoSpaceDE w:val="0"/>
              <w:autoSpaceDN w:val="0"/>
              <w:adjustRightInd w:val="0"/>
              <w:snapToGrid w:val="0"/>
              <w:spacing w:line="360" w:lineRule="auto"/>
              <w:jc w:val="both"/>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投标人近5年来（2020年1月1日至今）企业获得过高新技术企业证书且证书在有效期内的得5分。</w:t>
            </w:r>
          </w:p>
        </w:tc>
        <w:tc>
          <w:tcPr>
            <w:tcW w:w="4942" w:type="dxa"/>
            <w:tcBorders>
              <w:top w:val="single" w:color="auto" w:sz="4" w:space="0"/>
              <w:left w:val="nil"/>
              <w:bottom w:val="single" w:color="auto" w:sz="4" w:space="0"/>
              <w:right w:val="single" w:color="auto" w:sz="4" w:space="0"/>
            </w:tcBorders>
            <w:noWrap w:val="0"/>
            <w:vAlign w:val="center"/>
          </w:tcPr>
          <w:p w14:paraId="32C3F42D">
            <w:pPr>
              <w:widowControl w:val="0"/>
              <w:kinsoku w:val="0"/>
              <w:autoSpaceDE w:val="0"/>
              <w:autoSpaceDN w:val="0"/>
              <w:adjustRightInd w:val="0"/>
              <w:snapToGrid w:val="0"/>
              <w:spacing w:line="360" w:lineRule="auto"/>
              <w:jc w:val="both"/>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kern w:val="0"/>
                <w:sz w:val="24"/>
                <w:szCs w:val="24"/>
                <w:highlight w:val="none"/>
                <w:lang w:val="en-US" w:eastAsia="zh-CN"/>
              </w:rPr>
              <w:t>提供高新技术企业证书彩色扫描件，原件供核对；提供网上查询截图。（证书为电子证书的除外）</w:t>
            </w:r>
          </w:p>
          <w:p w14:paraId="0103E9D1">
            <w:pPr>
              <w:widowControl w:val="0"/>
              <w:kinsoku w:val="0"/>
              <w:autoSpaceDE w:val="0"/>
              <w:autoSpaceDN w:val="0"/>
              <w:adjustRightInd w:val="0"/>
              <w:snapToGrid w:val="0"/>
              <w:spacing w:line="360" w:lineRule="auto"/>
              <w:jc w:val="both"/>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备注：高新企业证书3年有效，非有效期内证书经查询会显示失效。</w:t>
            </w:r>
          </w:p>
        </w:tc>
      </w:tr>
      <w:tr w14:paraId="7B7011A7">
        <w:tblPrEx>
          <w:tblCellMar>
            <w:top w:w="0" w:type="dxa"/>
            <w:left w:w="108" w:type="dxa"/>
            <w:bottom w:w="0" w:type="dxa"/>
            <w:right w:w="108" w:type="dxa"/>
          </w:tblCellMar>
        </w:tblPrEx>
        <w:trPr>
          <w:trHeight w:val="415" w:hRule="atLeast"/>
          <w:jc w:val="center"/>
        </w:trPr>
        <w:tc>
          <w:tcPr>
            <w:tcW w:w="1447" w:type="dxa"/>
            <w:vMerge w:val="continue"/>
            <w:tcBorders>
              <w:left w:val="single" w:color="auto" w:sz="4" w:space="0"/>
              <w:bottom w:val="single" w:color="auto" w:sz="4" w:space="0"/>
              <w:right w:val="single" w:color="auto" w:sz="4" w:space="0"/>
            </w:tcBorders>
            <w:noWrap w:val="0"/>
            <w:vAlign w:val="center"/>
          </w:tcPr>
          <w:p w14:paraId="6D1FEAAC">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p>
        </w:tc>
        <w:tc>
          <w:tcPr>
            <w:tcW w:w="3982" w:type="dxa"/>
            <w:tcBorders>
              <w:top w:val="single" w:color="auto" w:sz="4" w:space="0"/>
              <w:left w:val="nil"/>
              <w:bottom w:val="single" w:color="auto" w:sz="4" w:space="0"/>
              <w:right w:val="single" w:color="auto" w:sz="4" w:space="0"/>
            </w:tcBorders>
            <w:shd w:val="clear" w:color="auto" w:fill="auto"/>
            <w:noWrap w:val="0"/>
            <w:vAlign w:val="center"/>
          </w:tcPr>
          <w:p w14:paraId="69D93E8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近</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年来（</w:t>
            </w:r>
            <w:r>
              <w:rPr>
                <w:rFonts w:hint="eastAsia" w:ascii="宋体" w:hAnsi="宋体" w:eastAsia="宋体" w:cs="宋体"/>
                <w:snapToGrid w:val="0"/>
                <w:color w:val="auto"/>
                <w:kern w:val="0"/>
                <w:sz w:val="24"/>
                <w:szCs w:val="24"/>
                <w:highlight w:val="none"/>
                <w:lang w:val="en-US" w:eastAsia="zh-CN"/>
              </w:rPr>
              <w:t>2020</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日至</w:t>
            </w:r>
            <w:r>
              <w:rPr>
                <w:rFonts w:hint="eastAsia" w:ascii="宋体" w:hAnsi="宋体" w:eastAsia="宋体" w:cs="宋体"/>
                <w:snapToGrid w:val="0"/>
                <w:color w:val="auto"/>
                <w:kern w:val="0"/>
                <w:sz w:val="24"/>
                <w:szCs w:val="24"/>
                <w:highlight w:val="none"/>
                <w:lang w:val="en-US" w:eastAsia="zh-CN"/>
              </w:rPr>
              <w:t>今</w:t>
            </w:r>
            <w:r>
              <w:rPr>
                <w:rFonts w:hint="eastAsia" w:ascii="宋体" w:hAnsi="宋体" w:eastAsia="宋体" w:cs="宋体"/>
                <w:snapToGrid w:val="0"/>
                <w:color w:val="auto"/>
                <w:kern w:val="0"/>
                <w:sz w:val="24"/>
                <w:szCs w:val="24"/>
                <w:highlight w:val="none"/>
              </w:rPr>
              <w:t>）投标人未发生事故等级为一般事故及以上的生产安全事故、一般质量事故及以上的工程质量事故的，或未被市级及以上住房和城乡建设部门发文通报批评的得</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分；</w:t>
            </w:r>
          </w:p>
          <w:p w14:paraId="7B4E024F">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2.其他情形的，不予计分。</w:t>
            </w:r>
          </w:p>
        </w:tc>
        <w:tc>
          <w:tcPr>
            <w:tcW w:w="4942" w:type="dxa"/>
            <w:tcBorders>
              <w:top w:val="single" w:color="auto" w:sz="4" w:space="0"/>
              <w:left w:val="nil"/>
              <w:bottom w:val="single" w:color="auto" w:sz="4" w:space="0"/>
              <w:right w:val="single" w:color="auto" w:sz="4" w:space="0"/>
            </w:tcBorders>
            <w:shd w:val="clear" w:color="auto" w:fill="auto"/>
            <w:noWrap w:val="0"/>
            <w:vAlign w:val="center"/>
          </w:tcPr>
          <w:p w14:paraId="419DF4B8">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需提供本单位承诺书（格式自定）并加盖本单位公章。</w:t>
            </w:r>
          </w:p>
          <w:p w14:paraId="79D973F5">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未提供本单位承诺书并加盖本单位公章的，按第2项标准处理。</w:t>
            </w:r>
          </w:p>
        </w:tc>
      </w:tr>
      <w:tr w14:paraId="461CA2B0">
        <w:tblPrEx>
          <w:tblCellMar>
            <w:top w:w="0" w:type="dxa"/>
            <w:left w:w="108" w:type="dxa"/>
            <w:bottom w:w="0" w:type="dxa"/>
            <w:right w:w="108" w:type="dxa"/>
          </w:tblCellMar>
        </w:tblPrEx>
        <w:trPr>
          <w:trHeight w:val="640" w:hRule="atLeast"/>
          <w:jc w:val="center"/>
        </w:trPr>
        <w:tc>
          <w:tcPr>
            <w:tcW w:w="10371"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7489C9C4">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技术部分（施工组织设计），满分：20分。</w:t>
            </w:r>
          </w:p>
        </w:tc>
      </w:tr>
      <w:tr w14:paraId="1A5C328D">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6C817E4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评分因素</w:t>
            </w:r>
          </w:p>
        </w:tc>
        <w:tc>
          <w:tcPr>
            <w:tcW w:w="3982" w:type="dxa"/>
            <w:tcBorders>
              <w:top w:val="single" w:color="auto" w:sz="4" w:space="0"/>
              <w:left w:val="nil"/>
              <w:bottom w:val="single" w:color="auto" w:sz="4" w:space="0"/>
              <w:right w:val="single" w:color="auto" w:sz="4" w:space="0"/>
            </w:tcBorders>
            <w:noWrap w:val="0"/>
            <w:vAlign w:val="center"/>
          </w:tcPr>
          <w:p w14:paraId="2DDF00D4">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评分标准</w:t>
            </w:r>
          </w:p>
        </w:tc>
        <w:tc>
          <w:tcPr>
            <w:tcW w:w="4942" w:type="dxa"/>
            <w:tcBorders>
              <w:top w:val="single" w:color="auto" w:sz="4" w:space="0"/>
              <w:left w:val="nil"/>
              <w:bottom w:val="single" w:color="auto" w:sz="4" w:space="0"/>
              <w:right w:val="single" w:color="auto" w:sz="4" w:space="0"/>
            </w:tcBorders>
            <w:noWrap w:val="0"/>
            <w:vAlign w:val="center"/>
          </w:tcPr>
          <w:p w14:paraId="49B042D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14:paraId="52F18689">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2170DEE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总体概述</w:t>
            </w:r>
          </w:p>
          <w:p w14:paraId="3A1B434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 分）</w:t>
            </w:r>
          </w:p>
        </w:tc>
        <w:tc>
          <w:tcPr>
            <w:tcW w:w="3982" w:type="dxa"/>
            <w:tcBorders>
              <w:top w:val="single" w:color="auto" w:sz="4" w:space="0"/>
              <w:left w:val="nil"/>
              <w:bottom w:val="single" w:color="auto" w:sz="4" w:space="0"/>
              <w:right w:val="single" w:color="auto" w:sz="4" w:space="0"/>
            </w:tcBorders>
            <w:noWrap w:val="0"/>
            <w:vAlign w:val="center"/>
          </w:tcPr>
          <w:p w14:paraId="4D846E6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7145353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44E5BC8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3CB529F9">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942" w:type="dxa"/>
            <w:tcBorders>
              <w:top w:val="single" w:color="auto" w:sz="4" w:space="0"/>
              <w:left w:val="nil"/>
              <w:bottom w:val="single" w:color="auto" w:sz="4" w:space="0"/>
              <w:right w:val="single" w:color="auto" w:sz="4" w:space="0"/>
            </w:tcBorders>
            <w:noWrap w:val="0"/>
            <w:vAlign w:val="center"/>
          </w:tcPr>
          <w:p w14:paraId="37AE104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【优】对项目总体有深刻认识，表述清晰、完整、严谨、合理，措施先进、具体、有效、成熟，采用了新技术、新工艺、新材料、新设备；施工段划分呼应总体表述，划分清晰、合理，符合规范要求。</w:t>
            </w:r>
          </w:p>
          <w:p w14:paraId="68B667B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【良】对项目总体有一定认识，表述清晰、完整，措施具体有效；施工段划分呼应总体表述，划分清晰，符合规范要求。</w:t>
            </w:r>
          </w:p>
          <w:p w14:paraId="0FBA288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【中】对项目总体有认识，有一定的措施但部分不具体；施工段划分较合理，符合规范要求。</w:t>
            </w:r>
          </w:p>
          <w:p w14:paraId="232C381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【差】对项目认识不足，表述不清晰，措施不具体；施工段划分不合理。</w:t>
            </w:r>
          </w:p>
        </w:tc>
      </w:tr>
      <w:tr w14:paraId="583228C3">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2454DD5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施工总进</w:t>
            </w:r>
          </w:p>
          <w:p w14:paraId="2E6754D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度计划及</w:t>
            </w:r>
          </w:p>
          <w:p w14:paraId="09339A7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保证措施</w:t>
            </w:r>
          </w:p>
          <w:p w14:paraId="750609F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 分）</w:t>
            </w:r>
          </w:p>
        </w:tc>
        <w:tc>
          <w:tcPr>
            <w:tcW w:w="3982" w:type="dxa"/>
            <w:tcBorders>
              <w:top w:val="single" w:color="auto" w:sz="4" w:space="0"/>
              <w:left w:val="nil"/>
              <w:bottom w:val="single" w:color="auto" w:sz="4" w:space="0"/>
              <w:right w:val="single" w:color="auto" w:sz="4" w:space="0"/>
            </w:tcBorders>
            <w:noWrap w:val="0"/>
            <w:vAlign w:val="center"/>
          </w:tcPr>
          <w:p w14:paraId="0C7EDFCC">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5B66F99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69AF2B6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0AF28E49">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942" w:type="dxa"/>
            <w:tcBorders>
              <w:top w:val="single" w:color="auto" w:sz="4" w:space="0"/>
              <w:left w:val="nil"/>
              <w:bottom w:val="single" w:color="auto" w:sz="4" w:space="0"/>
              <w:right w:val="single" w:color="auto" w:sz="4" w:space="0"/>
            </w:tcBorders>
            <w:noWrap w:val="0"/>
            <w:vAlign w:val="center"/>
          </w:tcPr>
          <w:p w14:paraId="712E71B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75446FF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000C6A48">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【中】关键线路基本准确，计划编制基本合理。关键节点的控制措施基本可行。人、材、机需求和进场计划与进度计划相呼应，基本满足施工需要，调配投入计划基本合理。进度违约责任承诺具体。</w:t>
            </w:r>
          </w:p>
          <w:p w14:paraId="4CE9C6DC">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【差】关键线路不准确，计划编制不合理。关键节点的控制不可行。人、材、机需求和进场计划与进度计划不相呼应，不能满足施工需要。没有违约责任承诺。</w:t>
            </w:r>
          </w:p>
        </w:tc>
      </w:tr>
      <w:tr w14:paraId="60574C2E">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7A428DA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w:t>
            </w:r>
          </w:p>
          <w:p w14:paraId="000B26A8">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保证措施</w:t>
            </w:r>
          </w:p>
          <w:p w14:paraId="685EF66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 分）</w:t>
            </w:r>
          </w:p>
        </w:tc>
        <w:tc>
          <w:tcPr>
            <w:tcW w:w="3982" w:type="dxa"/>
            <w:tcBorders>
              <w:top w:val="single" w:color="auto" w:sz="4" w:space="0"/>
              <w:left w:val="nil"/>
              <w:bottom w:val="single" w:color="auto" w:sz="4" w:space="0"/>
              <w:right w:val="single" w:color="auto" w:sz="4" w:space="0"/>
            </w:tcBorders>
            <w:noWrap w:val="0"/>
            <w:vAlign w:val="center"/>
          </w:tcPr>
          <w:p w14:paraId="03156E4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767725E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36C4DCD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6F10301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942" w:type="dxa"/>
            <w:tcBorders>
              <w:top w:val="single" w:color="auto" w:sz="4" w:space="0"/>
              <w:left w:val="nil"/>
              <w:bottom w:val="single" w:color="auto" w:sz="4" w:space="0"/>
              <w:right w:val="single" w:color="auto" w:sz="4" w:space="0"/>
            </w:tcBorders>
            <w:noWrap w:val="0"/>
            <w:vAlign w:val="center"/>
          </w:tcPr>
          <w:p w14:paraId="0EEFFAAC">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【优】应用新技术、新工艺、新材料、新设备，针对项目实际提出先进、可行、具体的保证措施。超过招标文件的质量要求。</w:t>
            </w:r>
          </w:p>
          <w:p w14:paraId="1742F3B4">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【良】针对项目实际提出先进、可行、具体的保证措施。满足招标文件的质量要求。</w:t>
            </w:r>
          </w:p>
          <w:p w14:paraId="0409714F">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【中】具体措施可行。满足招标文件的质量要求。</w:t>
            </w:r>
          </w:p>
          <w:p w14:paraId="32E95691">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【差】措施不可行，没有质量违约责任承诺。</w:t>
            </w:r>
          </w:p>
        </w:tc>
      </w:tr>
      <w:tr w14:paraId="48726383">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1AFAD6A9">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w:t>
            </w:r>
          </w:p>
          <w:p w14:paraId="74C8D60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技术措施</w:t>
            </w:r>
          </w:p>
          <w:p w14:paraId="1251B5B8">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 分）</w:t>
            </w:r>
          </w:p>
        </w:tc>
        <w:tc>
          <w:tcPr>
            <w:tcW w:w="3982" w:type="dxa"/>
            <w:tcBorders>
              <w:top w:val="single" w:color="auto" w:sz="4" w:space="0"/>
              <w:left w:val="nil"/>
              <w:bottom w:val="single" w:color="auto" w:sz="4" w:space="0"/>
              <w:right w:val="single" w:color="auto" w:sz="4" w:space="0"/>
            </w:tcBorders>
            <w:noWrap w:val="0"/>
            <w:vAlign w:val="center"/>
          </w:tcPr>
          <w:p w14:paraId="519A074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65E45E4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61D50C6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1FB44BBC">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942" w:type="dxa"/>
            <w:tcBorders>
              <w:top w:val="single" w:color="auto" w:sz="4" w:space="0"/>
              <w:left w:val="nil"/>
              <w:bottom w:val="single" w:color="auto" w:sz="4" w:space="0"/>
              <w:right w:val="single" w:color="auto" w:sz="4" w:space="0"/>
            </w:tcBorders>
            <w:noWrap w:val="0"/>
            <w:vAlign w:val="center"/>
          </w:tcPr>
          <w:p w14:paraId="4476656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0921AEAB">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1913743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5D32B0B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【差】对项目关键技术有表述，对重点、难点有建议，解决方案不可行。采用的新技术针对性不强或验证材料不可靠，对节约投资、工期没有具体收益。无违约责任承诺。</w:t>
            </w:r>
          </w:p>
        </w:tc>
      </w:tr>
      <w:tr w14:paraId="34D829AD">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057B062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绿色施工、</w:t>
            </w:r>
          </w:p>
          <w:p w14:paraId="4E5CFC0C">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安全防护、</w:t>
            </w:r>
          </w:p>
          <w:p w14:paraId="1CB0685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文明施工</w:t>
            </w:r>
          </w:p>
          <w:p w14:paraId="7A40B4D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措施计划</w:t>
            </w:r>
          </w:p>
          <w:p w14:paraId="3D9ED09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 分）</w:t>
            </w:r>
          </w:p>
        </w:tc>
        <w:tc>
          <w:tcPr>
            <w:tcW w:w="3982" w:type="dxa"/>
            <w:tcBorders>
              <w:top w:val="single" w:color="auto" w:sz="4" w:space="0"/>
              <w:left w:val="nil"/>
              <w:bottom w:val="single" w:color="auto" w:sz="4" w:space="0"/>
              <w:right w:val="single" w:color="auto" w:sz="4" w:space="0"/>
            </w:tcBorders>
            <w:noWrap w:val="0"/>
            <w:vAlign w:val="center"/>
          </w:tcPr>
          <w:p w14:paraId="3418EA7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5F5866F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16D3A63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77A798F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942" w:type="dxa"/>
            <w:tcBorders>
              <w:top w:val="single" w:color="auto" w:sz="4" w:space="0"/>
              <w:left w:val="nil"/>
              <w:bottom w:val="single" w:color="auto" w:sz="4" w:space="0"/>
              <w:right w:val="single" w:color="auto" w:sz="4" w:space="0"/>
            </w:tcBorders>
            <w:noWrap w:val="0"/>
            <w:vAlign w:val="center"/>
          </w:tcPr>
          <w:p w14:paraId="3B6E3B6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【优】针对项目实际情况，有先进、具体、完整、可行的措施，采用规范准确、清晰。</w:t>
            </w:r>
          </w:p>
          <w:p w14:paraId="7DBB7A1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【良】针对项目实际情况，有合理的措施且具体、完整，采用规范准确。</w:t>
            </w:r>
          </w:p>
          <w:p w14:paraId="57FC095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【中】有基本合理的措施，采用规范准确。</w:t>
            </w:r>
          </w:p>
          <w:p w14:paraId="207D689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【差】措施不力，采用规范不正确。</w:t>
            </w:r>
          </w:p>
        </w:tc>
      </w:tr>
      <w:tr w14:paraId="54E49FA7">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33AC3FD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施工平面</w:t>
            </w:r>
          </w:p>
          <w:p w14:paraId="0C04A38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布置和临时设施布置</w:t>
            </w:r>
          </w:p>
          <w:p w14:paraId="4E7AF4D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 分）</w:t>
            </w:r>
          </w:p>
        </w:tc>
        <w:tc>
          <w:tcPr>
            <w:tcW w:w="3982" w:type="dxa"/>
            <w:tcBorders>
              <w:top w:val="single" w:color="auto" w:sz="4" w:space="0"/>
              <w:left w:val="nil"/>
              <w:bottom w:val="single" w:color="auto" w:sz="4" w:space="0"/>
              <w:right w:val="single" w:color="auto" w:sz="4" w:space="0"/>
            </w:tcBorders>
            <w:noWrap w:val="0"/>
            <w:vAlign w:val="center"/>
          </w:tcPr>
          <w:p w14:paraId="08338F58">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411434E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3ECA314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092B497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942" w:type="dxa"/>
            <w:tcBorders>
              <w:top w:val="single" w:color="auto" w:sz="4" w:space="0"/>
              <w:left w:val="nil"/>
              <w:bottom w:val="single" w:color="auto" w:sz="4" w:space="0"/>
              <w:right w:val="single" w:color="auto" w:sz="4" w:space="0"/>
            </w:tcBorders>
            <w:noWrap w:val="0"/>
            <w:vAlign w:val="center"/>
          </w:tcPr>
          <w:p w14:paraId="38BC0BC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【优】总体布置有针对性、合理，较好满足施工需要，符合绿色施工、安全防护、文明施工要求。</w:t>
            </w:r>
          </w:p>
          <w:p w14:paraId="7ACA8BD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【良】总体布置合理，能满足施工需要，基本符合绿色施工、安全防护、文明施工要求。</w:t>
            </w:r>
          </w:p>
          <w:p w14:paraId="0856A26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【中】总体布置基本合理，基本满足施工需要。</w:t>
            </w:r>
          </w:p>
          <w:p w14:paraId="5631ED4B">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【差】总体布置不合理，不符合绿色施工、安全防护、文明施工要求。</w:t>
            </w:r>
          </w:p>
        </w:tc>
      </w:tr>
      <w:tr w14:paraId="52C97CD6">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18BE4348">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w:t>
            </w:r>
          </w:p>
          <w:p w14:paraId="23B8DD78">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管理机构</w:t>
            </w:r>
          </w:p>
          <w:p w14:paraId="5E80910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 分）</w:t>
            </w:r>
          </w:p>
        </w:tc>
        <w:tc>
          <w:tcPr>
            <w:tcW w:w="3982" w:type="dxa"/>
            <w:tcBorders>
              <w:top w:val="single" w:color="auto" w:sz="4" w:space="0"/>
              <w:left w:val="nil"/>
              <w:bottom w:val="single" w:color="auto" w:sz="4" w:space="0"/>
              <w:right w:val="single" w:color="auto" w:sz="4" w:space="0"/>
            </w:tcBorders>
            <w:noWrap w:val="0"/>
            <w:vAlign w:val="center"/>
          </w:tcPr>
          <w:p w14:paraId="7D66466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59D22C8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3D11D33B">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32930419">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942" w:type="dxa"/>
            <w:tcBorders>
              <w:top w:val="single" w:color="auto" w:sz="4" w:space="0"/>
              <w:left w:val="nil"/>
              <w:bottom w:val="single" w:color="auto" w:sz="4" w:space="0"/>
              <w:right w:val="single" w:color="auto" w:sz="4" w:space="0"/>
            </w:tcBorders>
            <w:noWrap w:val="0"/>
            <w:vAlign w:val="center"/>
          </w:tcPr>
          <w:p w14:paraId="61FDEE8F">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【优】组织机构形式合理，有完善的指挥系统，生产及质量、绿色施工、安全、文明施工、创优达标监控系统、联络协调系统，项目管理人员内高级职称人员20%（含20%）以上、中级职称人员</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60%（含60%）以上。</w:t>
            </w:r>
          </w:p>
          <w:p w14:paraId="3E22807C">
            <w:pPr>
              <w:pStyle w:val="44"/>
              <w:wordWrap w:val="0"/>
              <w:adjustRightInd w:val="0"/>
              <w:snapToGrid w:val="0"/>
              <w:spacing w:line="400" w:lineRule="exac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【良】组织机构形式合理，指挥系统，生产及质量、绿色施工、安全、文明施工、创优达标监</w:t>
            </w:r>
            <w:r>
              <w:rPr>
                <w:rFonts w:hint="eastAsia" w:ascii="宋体" w:hAnsi="宋体" w:eastAsia="宋体" w:cs="宋体"/>
                <w:b w:val="0"/>
                <w:bCs w:val="0"/>
                <w:snapToGrid w:val="0"/>
                <w:color w:val="auto"/>
                <w:kern w:val="0"/>
                <w:sz w:val="24"/>
                <w:szCs w:val="24"/>
                <w:highlight w:val="none"/>
              </w:rPr>
              <w:t>控系统、联络协调系统齐全，项目管理人员内高级职称人员15%～20%（含15%）、中级职称及以上职称人员50%～60%（含50%）。</w:t>
            </w:r>
          </w:p>
          <w:p w14:paraId="37E9D6EE">
            <w:pPr>
              <w:pStyle w:val="44"/>
              <w:wordWrap w:val="0"/>
              <w:adjustRightInd w:val="0"/>
              <w:snapToGrid w:val="0"/>
              <w:spacing w:line="400" w:lineRule="exac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中】组织机构形式基本合理，有指挥系统，生产及质量、绿色施工、安全、文明施工、创优达标监控系统、联络协调系统，项目管理人员内高级职称人员10%～15%（含10%）、中级职称人员及以上职称40%～50%（含40%）。</w:t>
            </w:r>
          </w:p>
          <w:p w14:paraId="58F7907F">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【差】组织机构形式合理，指挥系统，生产及质量、绿色施工、安全、文明施工、创优达标监控系统、联络协调系统不齐全，项目管理人员内高级职称人员10%以下、中级职称人员及以上职称40%以下</w:t>
            </w:r>
            <w:r>
              <w:rPr>
                <w:rFonts w:hint="eastAsia" w:ascii="宋体" w:hAnsi="宋体" w:eastAsia="宋体" w:cs="宋体"/>
                <w:snapToGrid w:val="0"/>
                <w:color w:val="auto"/>
                <w:kern w:val="0"/>
                <w:sz w:val="24"/>
                <w:szCs w:val="24"/>
                <w:highlight w:val="none"/>
              </w:rPr>
              <w:t>。</w:t>
            </w:r>
          </w:p>
        </w:tc>
      </w:tr>
      <w:tr w14:paraId="69425C0C">
        <w:tblPrEx>
          <w:tblCellMar>
            <w:top w:w="0" w:type="dxa"/>
            <w:left w:w="108" w:type="dxa"/>
            <w:bottom w:w="0" w:type="dxa"/>
            <w:right w:w="108" w:type="dxa"/>
          </w:tblCellMar>
        </w:tblPrEx>
        <w:trPr>
          <w:trHeight w:val="23" w:hRule="atLeast"/>
          <w:jc w:val="center"/>
        </w:trPr>
        <w:tc>
          <w:tcPr>
            <w:tcW w:w="10371" w:type="dxa"/>
            <w:gridSpan w:val="3"/>
            <w:tcBorders>
              <w:top w:val="single" w:color="auto" w:sz="4" w:space="0"/>
              <w:left w:val="single" w:color="auto" w:sz="4" w:space="0"/>
              <w:bottom w:val="single" w:color="auto" w:sz="4" w:space="0"/>
              <w:right w:val="single" w:color="auto" w:sz="4" w:space="0"/>
            </w:tcBorders>
            <w:noWrap w:val="0"/>
            <w:vAlign w:val="center"/>
          </w:tcPr>
          <w:tbl>
            <w:tblPr>
              <w:tblStyle w:val="24"/>
              <w:tblW w:w="10159" w:type="dxa"/>
              <w:jc w:val="center"/>
              <w:tblLayout w:type="fixed"/>
              <w:tblCellMar>
                <w:top w:w="0" w:type="dxa"/>
                <w:left w:w="108" w:type="dxa"/>
                <w:bottom w:w="0" w:type="dxa"/>
                <w:right w:w="108" w:type="dxa"/>
              </w:tblCellMar>
            </w:tblPr>
            <w:tblGrid>
              <w:gridCol w:w="1562"/>
              <w:gridCol w:w="8597"/>
            </w:tblGrid>
            <w:tr w14:paraId="3820F90D">
              <w:tblPrEx>
                <w:tblCellMar>
                  <w:top w:w="0" w:type="dxa"/>
                  <w:left w:w="108" w:type="dxa"/>
                  <w:bottom w:w="0" w:type="dxa"/>
                  <w:right w:w="108" w:type="dxa"/>
                </w:tblCellMar>
              </w:tblPrEx>
              <w:trPr>
                <w:trHeight w:val="501" w:hRule="atLeast"/>
                <w:jc w:val="center"/>
              </w:trPr>
              <w:tc>
                <w:tcPr>
                  <w:tcW w:w="10159" w:type="dxa"/>
                  <w:gridSpan w:val="2"/>
                  <w:tcBorders>
                    <w:top w:val="single" w:color="auto" w:sz="4" w:space="0"/>
                    <w:left w:val="single" w:color="auto" w:sz="4" w:space="0"/>
                    <w:bottom w:val="single" w:color="auto" w:sz="4" w:space="0"/>
                    <w:right w:val="single" w:color="auto" w:sz="4" w:space="0"/>
                  </w:tcBorders>
                  <w:shd w:val="clear" w:color="auto" w:fill="D9D9D9"/>
                  <w:noWrap w:val="0"/>
                  <w:vAlign w:val="center"/>
                </w:tcPr>
                <w:p w14:paraId="0FD2067B">
                  <w:pPr>
                    <w:wordWrap w:val="0"/>
                    <w:adjustRightInd w:val="0"/>
                    <w:snapToGrid w:val="0"/>
                    <w:spacing w:line="240" w:lineRule="auto"/>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投标报价部分，满分：100分。</w:t>
                  </w:r>
                </w:p>
              </w:tc>
            </w:tr>
            <w:tr w14:paraId="7C1D45B2">
              <w:tblPrEx>
                <w:tblCellMar>
                  <w:top w:w="0" w:type="dxa"/>
                  <w:left w:w="108" w:type="dxa"/>
                  <w:bottom w:w="0" w:type="dxa"/>
                  <w:right w:w="108" w:type="dxa"/>
                </w:tblCellMar>
              </w:tblPrEx>
              <w:trPr>
                <w:trHeight w:val="1790" w:hRule="atLeast"/>
                <w:jc w:val="center"/>
              </w:trPr>
              <w:tc>
                <w:tcPr>
                  <w:tcW w:w="1562" w:type="dxa"/>
                  <w:tcBorders>
                    <w:top w:val="single" w:color="auto" w:sz="4" w:space="0"/>
                    <w:left w:val="single" w:color="auto" w:sz="4" w:space="0"/>
                    <w:bottom w:val="single" w:color="auto" w:sz="4" w:space="0"/>
                    <w:right w:val="single" w:color="auto" w:sz="4" w:space="0"/>
                  </w:tcBorders>
                  <w:noWrap w:val="0"/>
                  <w:vAlign w:val="center"/>
                </w:tcPr>
                <w:p w14:paraId="0A5E9BC5">
                  <w:pPr>
                    <w:pStyle w:val="35"/>
                    <w:wordWrap w:val="0"/>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评标基准价D</w:t>
                  </w:r>
                </w:p>
              </w:tc>
              <w:tc>
                <w:tcPr>
                  <w:tcW w:w="8597" w:type="dxa"/>
                  <w:tcBorders>
                    <w:top w:val="single" w:color="auto" w:sz="4" w:space="0"/>
                    <w:left w:val="nil"/>
                    <w:bottom w:val="single" w:color="auto" w:sz="4" w:space="0"/>
                    <w:right w:val="single" w:color="auto" w:sz="4" w:space="0"/>
                  </w:tcBorders>
                  <w:noWrap w:val="0"/>
                  <w:vAlign w:val="top"/>
                </w:tcPr>
                <w:p w14:paraId="1E3B94C0">
                  <w:pPr>
                    <w:wordWrap w:val="0"/>
                    <w:adjustRightInd w:val="0"/>
                    <w:snapToGrid w:val="0"/>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（1）确定招标控制价下浮系数n：用1～21号球分别代表一个下浮系数，由评委代表从这21个号码中随机抽取 3 次，每次抽取1个号码，抽出的号球不参与下次抽取。所抽取的3个号码对应下浮系数的算术平均值作为招标控制价下浮系数n。具体号码对应的下浮系数可参考下表。</w:t>
                  </w:r>
                </w:p>
                <w:tbl>
                  <w:tblPr>
                    <w:tblStyle w:val="24"/>
                    <w:tblW w:w="0" w:type="auto"/>
                    <w:tblInd w:w="113" w:type="dxa"/>
                    <w:tblLayout w:type="fixed"/>
                    <w:tblCellMar>
                      <w:top w:w="0" w:type="dxa"/>
                      <w:left w:w="108" w:type="dxa"/>
                      <w:bottom w:w="0" w:type="dxa"/>
                      <w:right w:w="108" w:type="dxa"/>
                    </w:tblCellMar>
                  </w:tblPr>
                  <w:tblGrid>
                    <w:gridCol w:w="1907"/>
                    <w:gridCol w:w="976"/>
                    <w:gridCol w:w="795"/>
                    <w:gridCol w:w="777"/>
                    <w:gridCol w:w="868"/>
                    <w:gridCol w:w="885"/>
                    <w:gridCol w:w="850"/>
                    <w:gridCol w:w="697"/>
                  </w:tblGrid>
                  <w:tr w14:paraId="6D33E0CD">
                    <w:tblPrEx>
                      <w:tblCellMar>
                        <w:top w:w="0" w:type="dxa"/>
                        <w:left w:w="108" w:type="dxa"/>
                        <w:bottom w:w="0" w:type="dxa"/>
                        <w:right w:w="108" w:type="dxa"/>
                      </w:tblCellMar>
                    </w:tblPrEx>
                    <w:trPr>
                      <w:trHeight w:val="454" w:hRule="exact"/>
                    </w:trPr>
                    <w:tc>
                      <w:tcPr>
                        <w:tcW w:w="1907" w:type="dxa"/>
                        <w:tcBorders>
                          <w:top w:val="single" w:color="000000" w:sz="4" w:space="0"/>
                          <w:left w:val="single" w:color="000000" w:sz="4" w:space="0"/>
                          <w:bottom w:val="single" w:color="000000" w:sz="4" w:space="0"/>
                          <w:right w:val="single" w:color="000000" w:sz="4" w:space="0"/>
                        </w:tcBorders>
                        <w:noWrap w:val="0"/>
                        <w:vAlign w:val="center"/>
                      </w:tcPr>
                      <w:p w14:paraId="21FF4337">
                        <w:pPr>
                          <w:wordWrap w:val="0"/>
                          <w:adjustRightInd w:val="0"/>
                          <w:snapToGrid w:val="0"/>
                          <w:spacing w:line="40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14:paraId="5A38913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B91AC0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44F2F4A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484B4A4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5EF619B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65781E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64658CEC">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r>
                  <w:tr w14:paraId="2EA6E19E">
                    <w:tblPrEx>
                      <w:tblCellMar>
                        <w:top w:w="0" w:type="dxa"/>
                        <w:left w:w="108" w:type="dxa"/>
                        <w:bottom w:w="0" w:type="dxa"/>
                        <w:right w:w="108" w:type="dxa"/>
                      </w:tblCellMar>
                    </w:tblPrEx>
                    <w:trPr>
                      <w:trHeight w:val="454" w:hRule="exact"/>
                    </w:trPr>
                    <w:tc>
                      <w:tcPr>
                        <w:tcW w:w="1907" w:type="dxa"/>
                        <w:tcBorders>
                          <w:top w:val="single" w:color="000000" w:sz="4" w:space="0"/>
                          <w:left w:val="single" w:color="000000" w:sz="4" w:space="0"/>
                          <w:bottom w:val="single" w:color="000000" w:sz="4" w:space="0"/>
                          <w:right w:val="single" w:color="000000" w:sz="4" w:space="0"/>
                        </w:tcBorders>
                        <w:noWrap w:val="0"/>
                        <w:vAlign w:val="center"/>
                      </w:tcPr>
                      <w:p w14:paraId="2EC9544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14:paraId="6CFA515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2A6B85F">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7365CA0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099C22A9">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4B0AA66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0AE040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6355EDF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r>
                  <w:tr w14:paraId="3D916052">
                    <w:tblPrEx>
                      <w:tblCellMar>
                        <w:top w:w="0" w:type="dxa"/>
                        <w:left w:w="108" w:type="dxa"/>
                        <w:bottom w:w="0" w:type="dxa"/>
                        <w:right w:w="108" w:type="dxa"/>
                      </w:tblCellMar>
                    </w:tblPrEx>
                    <w:trPr>
                      <w:trHeight w:val="454" w:hRule="exact"/>
                    </w:trPr>
                    <w:tc>
                      <w:tcPr>
                        <w:tcW w:w="1907" w:type="dxa"/>
                        <w:tcBorders>
                          <w:top w:val="single" w:color="000000" w:sz="4" w:space="0"/>
                          <w:left w:val="single" w:color="000000" w:sz="4" w:space="0"/>
                          <w:bottom w:val="single" w:color="000000" w:sz="4" w:space="0"/>
                          <w:right w:val="single" w:color="000000" w:sz="4" w:space="0"/>
                        </w:tcBorders>
                        <w:noWrap w:val="0"/>
                        <w:vAlign w:val="center"/>
                      </w:tcPr>
                      <w:p w14:paraId="4343AAE6">
                        <w:pPr>
                          <w:wordWrap w:val="0"/>
                          <w:adjustRightInd w:val="0"/>
                          <w:snapToGrid w:val="0"/>
                          <w:spacing w:line="40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14:paraId="4E93CDB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E6D333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3599755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25F71E86">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0F6720E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C1F88C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0A64E58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r>
                  <w:tr w14:paraId="5D39BAC7">
                    <w:tblPrEx>
                      <w:tblCellMar>
                        <w:top w:w="0" w:type="dxa"/>
                        <w:left w:w="108" w:type="dxa"/>
                        <w:bottom w:w="0" w:type="dxa"/>
                        <w:right w:w="108" w:type="dxa"/>
                      </w:tblCellMar>
                    </w:tblPrEx>
                    <w:trPr>
                      <w:trHeight w:val="454" w:hRule="exact"/>
                    </w:trPr>
                    <w:tc>
                      <w:tcPr>
                        <w:tcW w:w="1907" w:type="dxa"/>
                        <w:tcBorders>
                          <w:top w:val="single" w:color="000000" w:sz="4" w:space="0"/>
                          <w:left w:val="single" w:color="000000" w:sz="4" w:space="0"/>
                          <w:bottom w:val="single" w:color="000000" w:sz="4" w:space="0"/>
                          <w:right w:val="single" w:color="000000" w:sz="4" w:space="0"/>
                        </w:tcBorders>
                        <w:noWrap w:val="0"/>
                        <w:vAlign w:val="center"/>
                      </w:tcPr>
                      <w:p w14:paraId="676219B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14:paraId="0A24F83C">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F56571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3341F1D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2EEA4F3C">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68F40FB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4BCD52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0AC5998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r>
                  <w:tr w14:paraId="72BE3F9D">
                    <w:tblPrEx>
                      <w:tblCellMar>
                        <w:top w:w="0" w:type="dxa"/>
                        <w:left w:w="108" w:type="dxa"/>
                        <w:bottom w:w="0" w:type="dxa"/>
                        <w:right w:w="108" w:type="dxa"/>
                      </w:tblCellMar>
                    </w:tblPrEx>
                    <w:trPr>
                      <w:trHeight w:val="454" w:hRule="exact"/>
                    </w:trPr>
                    <w:tc>
                      <w:tcPr>
                        <w:tcW w:w="1907" w:type="dxa"/>
                        <w:tcBorders>
                          <w:top w:val="single" w:color="000000" w:sz="4" w:space="0"/>
                          <w:left w:val="single" w:color="000000" w:sz="4" w:space="0"/>
                          <w:bottom w:val="single" w:color="000000" w:sz="4" w:space="0"/>
                          <w:right w:val="single" w:color="000000" w:sz="4" w:space="0"/>
                        </w:tcBorders>
                        <w:noWrap w:val="0"/>
                        <w:vAlign w:val="center"/>
                      </w:tcPr>
                      <w:p w14:paraId="7D9698F1">
                        <w:pPr>
                          <w:wordWrap w:val="0"/>
                          <w:adjustRightInd w:val="0"/>
                          <w:snapToGrid w:val="0"/>
                          <w:spacing w:line="40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14:paraId="436A5D1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64F52E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17DC11F6">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7C618E13">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53457933">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8A8D956">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3B264F18">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r>
                  <w:tr w14:paraId="17B10B2D">
                    <w:tblPrEx>
                      <w:tblCellMar>
                        <w:top w:w="0" w:type="dxa"/>
                        <w:left w:w="108" w:type="dxa"/>
                        <w:bottom w:w="0" w:type="dxa"/>
                        <w:right w:w="108" w:type="dxa"/>
                      </w:tblCellMar>
                    </w:tblPrEx>
                    <w:trPr>
                      <w:trHeight w:val="454" w:hRule="exact"/>
                    </w:trPr>
                    <w:tc>
                      <w:tcPr>
                        <w:tcW w:w="1907" w:type="dxa"/>
                        <w:tcBorders>
                          <w:top w:val="single" w:color="000000" w:sz="4" w:space="0"/>
                          <w:left w:val="single" w:color="000000" w:sz="4" w:space="0"/>
                          <w:bottom w:val="single" w:color="000000" w:sz="4" w:space="0"/>
                          <w:right w:val="single" w:color="000000" w:sz="4" w:space="0"/>
                        </w:tcBorders>
                        <w:noWrap w:val="0"/>
                        <w:vAlign w:val="center"/>
                      </w:tcPr>
                      <w:p w14:paraId="51C3ABB1">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14:paraId="6BA68FB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A11D9B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17418EAF">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013303FF">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63F007B9">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2.8</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9975FC9">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2.9</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3F8B5429">
                        <w:pPr>
                          <w:wordWrap w:val="0"/>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w:t>
                        </w:r>
                      </w:p>
                    </w:tc>
                  </w:tr>
                </w:tbl>
                <w:p w14:paraId="4F8DDABD">
                  <w:pPr>
                    <w:rPr>
                      <w:rFonts w:hint="eastAsia" w:ascii="宋体" w:hAnsi="宋体" w:eastAsia="宋体" w:cs="宋体"/>
                      <w:color w:val="auto"/>
                      <w:sz w:val="24"/>
                      <w:szCs w:val="24"/>
                      <w:highlight w:val="none"/>
                    </w:rPr>
                  </w:pPr>
                </w:p>
                <w:p w14:paraId="7EB251C9">
                  <w:pPr>
                    <w:ind w:firstLine="240" w:firstLineChars="1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（2）评标基准价D＝招标控制价×（1－n）</w:t>
                  </w:r>
                </w:p>
              </w:tc>
            </w:tr>
            <w:tr w14:paraId="54B6E7C4">
              <w:tblPrEx>
                <w:tblCellMar>
                  <w:top w:w="0" w:type="dxa"/>
                  <w:left w:w="108" w:type="dxa"/>
                  <w:bottom w:w="0" w:type="dxa"/>
                  <w:right w:w="108" w:type="dxa"/>
                </w:tblCellMar>
              </w:tblPrEx>
              <w:trPr>
                <w:trHeight w:val="23" w:hRule="atLeast"/>
                <w:jc w:val="center"/>
              </w:trPr>
              <w:tc>
                <w:tcPr>
                  <w:tcW w:w="1562" w:type="dxa"/>
                  <w:tcBorders>
                    <w:top w:val="single" w:color="auto" w:sz="4" w:space="0"/>
                    <w:left w:val="single" w:color="auto" w:sz="4" w:space="0"/>
                    <w:bottom w:val="single" w:color="auto" w:sz="4" w:space="0"/>
                    <w:right w:val="single" w:color="auto" w:sz="4" w:space="0"/>
                  </w:tcBorders>
                  <w:noWrap w:val="0"/>
                  <w:vAlign w:val="center"/>
                </w:tcPr>
                <w:p w14:paraId="44AF55D6">
                  <w:pPr>
                    <w:pStyle w:val="35"/>
                    <w:wordWrap w:val="0"/>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投标报价</w:t>
                  </w:r>
                </w:p>
                <w:p w14:paraId="586332F6">
                  <w:pPr>
                    <w:pStyle w:val="35"/>
                    <w:wordWrap w:val="0"/>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得分N</w:t>
                  </w:r>
                </w:p>
              </w:tc>
              <w:tc>
                <w:tcPr>
                  <w:tcW w:w="8597" w:type="dxa"/>
                  <w:tcBorders>
                    <w:top w:val="single" w:color="auto" w:sz="4" w:space="0"/>
                    <w:left w:val="nil"/>
                    <w:bottom w:val="single" w:color="auto" w:sz="4" w:space="0"/>
                    <w:right w:val="single" w:color="auto" w:sz="4" w:space="0"/>
                  </w:tcBorders>
                  <w:noWrap w:val="0"/>
                  <w:vAlign w:val="center"/>
                </w:tcPr>
                <w:p w14:paraId="600538C1">
                  <w:pPr>
                    <w:wordWrap w:val="0"/>
                    <w:adjustRightInd w:val="0"/>
                    <w:snapToGrid w:val="0"/>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采用内插法计算某投标人的投标报价得分N，即当投标人的投标总价等于评标基准价时得100分，每高于评标基准价一个百分点扣1分, 每低于评标基准价一个百分点扣0.5分，扣完为止。公式如下：</w:t>
                  </w:r>
                </w:p>
                <w:p w14:paraId="33753B39">
                  <w:pPr>
                    <w:wordWrap w:val="0"/>
                    <w:adjustRightInd w:val="0"/>
                    <w:snapToGrid w:val="0"/>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N＝100－（| Di－D| ÷D）×100×E</w:t>
                  </w:r>
                </w:p>
                <w:p w14:paraId="2AB90C53">
                  <w:pPr>
                    <w:wordWrap w:val="0"/>
                    <w:adjustRightInd w:val="0"/>
                    <w:snapToGrid w:val="0"/>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式中：D为评标基准价；Di为某投标人的投标总价；E为扣分因子，当Di＞D时，E＝1 ；当Di＜D时，E＝0.5。</w:t>
                  </w:r>
                </w:p>
              </w:tc>
            </w:tr>
          </w:tbl>
          <w:p w14:paraId="5BE654EC">
            <w:pPr>
              <w:wordWrap w:val="0"/>
              <w:adjustRightInd w:val="0"/>
              <w:snapToGrid w:val="0"/>
              <w:rPr>
                <w:rFonts w:hint="eastAsia" w:ascii="宋体" w:hAnsi="宋体" w:eastAsia="宋体" w:cs="宋体"/>
                <w:color w:val="auto"/>
                <w:kern w:val="0"/>
                <w:sz w:val="24"/>
                <w:szCs w:val="24"/>
                <w:highlight w:val="none"/>
              </w:rPr>
            </w:pPr>
          </w:p>
        </w:tc>
      </w:tr>
    </w:tbl>
    <w:p w14:paraId="418D5172">
      <w:pPr>
        <w:spacing w:before="38" w:line="360" w:lineRule="auto"/>
        <w:rPr>
          <w:rFonts w:hint="eastAsia" w:ascii="宋体" w:hAnsi="宋体" w:eastAsia="宋体" w:cs="宋体"/>
          <w:b w:val="0"/>
          <w:bCs w:val="0"/>
          <w:color w:val="auto"/>
          <w:spacing w:val="-2"/>
          <w:sz w:val="24"/>
          <w:szCs w:val="24"/>
          <w:highlight w:val="none"/>
        </w:rPr>
      </w:pPr>
      <w:r>
        <w:rPr>
          <w:rFonts w:hint="eastAsia" w:ascii="宋体" w:hAnsi="宋体" w:eastAsia="宋体" w:cs="宋体"/>
          <w:b/>
          <w:bCs/>
          <w:color w:val="auto"/>
          <w:spacing w:val="-2"/>
          <w:sz w:val="24"/>
          <w:szCs w:val="24"/>
          <w:highlight w:val="none"/>
        </w:rPr>
        <w:t xml:space="preserve">15.5.2  </w:t>
      </w:r>
      <w:r>
        <w:rPr>
          <w:rFonts w:hint="eastAsia" w:ascii="宋体" w:hAnsi="宋体" w:eastAsia="宋体" w:cs="宋体"/>
          <w:b w:val="0"/>
          <w:bCs w:val="0"/>
          <w:color w:val="auto"/>
          <w:spacing w:val="-2"/>
          <w:sz w:val="24"/>
          <w:szCs w:val="24"/>
          <w:highlight w:val="none"/>
        </w:rPr>
        <w:t>否决投标说明</w:t>
      </w:r>
      <w:bookmarkEnd w:id="137"/>
      <w:bookmarkEnd w:id="138"/>
      <w:bookmarkEnd w:id="139"/>
      <w:bookmarkEnd w:id="140"/>
    </w:p>
    <w:p w14:paraId="4FE43509">
      <w:pPr>
        <w:spacing w:before="150" w:line="360" w:lineRule="auto"/>
        <w:ind w:right="195" w:firstLine="46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5"/>
          <w:sz w:val="24"/>
          <w:szCs w:val="24"/>
          <w:highlight w:val="none"/>
        </w:rPr>
        <w:t xml:space="preserve">4 </w:t>
      </w:r>
      <w:r>
        <w:rPr>
          <w:rFonts w:hint="eastAsia" w:ascii="宋体" w:hAnsi="宋体" w:eastAsia="宋体" w:cs="宋体"/>
          <w:color w:val="auto"/>
          <w:spacing w:val="-5"/>
          <w:sz w:val="24"/>
          <w:szCs w:val="24"/>
          <w:highlight w:val="none"/>
        </w:rPr>
        <w:t>条中集</w:t>
      </w:r>
      <w:r>
        <w:rPr>
          <w:rFonts w:hint="eastAsia" w:ascii="宋体" w:hAnsi="宋体" w:eastAsia="宋体" w:cs="宋体"/>
          <w:color w:val="auto"/>
          <w:spacing w:val="-1"/>
          <w:sz w:val="24"/>
          <w:szCs w:val="24"/>
          <w:highlight w:val="none"/>
        </w:rPr>
        <w:t>中列示。投标人有其中所列任何一种情形的，由评标委员会</w:t>
      </w:r>
      <w:r>
        <w:rPr>
          <w:rFonts w:hint="eastAsia" w:ascii="宋体" w:hAnsi="宋体" w:eastAsia="宋体" w:cs="宋体"/>
          <w:color w:val="auto"/>
          <w:spacing w:val="-5"/>
          <w:sz w:val="24"/>
          <w:szCs w:val="24"/>
          <w:highlight w:val="none"/>
        </w:rPr>
        <w:t>否决其投标。评标委员会经评审，认为所有投标都不符合招标文件要求的，可否决所有投标，项目的所有投标被否决的，招标人应依法重新组织招标。</w:t>
      </w:r>
    </w:p>
    <w:p w14:paraId="2B7FCCB7">
      <w:pPr>
        <w:spacing w:before="59" w:line="360" w:lineRule="auto"/>
        <w:ind w:left="10" w:right="195"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14:paraId="2A888BCA">
      <w:pPr>
        <w:spacing w:before="78" w:line="360" w:lineRule="auto"/>
        <w:ind w:left="496"/>
        <w:outlineLvl w:val="2"/>
        <w:rPr>
          <w:rFonts w:hint="eastAsia" w:ascii="宋体" w:hAnsi="宋体" w:eastAsia="宋体" w:cs="宋体"/>
          <w:color w:val="auto"/>
          <w:sz w:val="24"/>
          <w:szCs w:val="24"/>
          <w:highlight w:val="none"/>
        </w:rPr>
      </w:pPr>
      <w:bookmarkStart w:id="141" w:name="bookmark137"/>
      <w:bookmarkEnd w:id="141"/>
      <w:bookmarkStart w:id="142" w:name="_Toc269"/>
      <w:bookmarkStart w:id="143" w:name="_Toc21307"/>
      <w:r>
        <w:rPr>
          <w:rFonts w:hint="eastAsia" w:ascii="宋体" w:hAnsi="宋体" w:eastAsia="宋体" w:cs="宋体"/>
          <w:b/>
          <w:bCs/>
          <w:color w:val="auto"/>
          <w:spacing w:val="-7"/>
          <w:sz w:val="24"/>
          <w:szCs w:val="24"/>
          <w:highlight w:val="none"/>
        </w:rPr>
        <w:t>16</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7"/>
          <w:sz w:val="24"/>
          <w:szCs w:val="24"/>
          <w:highlight w:val="none"/>
        </w:rPr>
        <w:t>中标候选人公示</w:t>
      </w:r>
      <w:bookmarkEnd w:id="142"/>
      <w:bookmarkEnd w:id="143"/>
    </w:p>
    <w:p w14:paraId="14D4EA81">
      <w:pPr>
        <w:spacing w:before="135" w:line="360" w:lineRule="auto"/>
        <w:ind w:left="2" w:right="105" w:firstLine="49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16.1  </w:t>
      </w:r>
      <w:r>
        <w:rPr>
          <w:rFonts w:hint="eastAsia" w:ascii="宋体" w:hAnsi="宋体" w:eastAsia="宋体" w:cs="宋体"/>
          <w:color w:val="auto"/>
          <w:spacing w:val="1"/>
          <w:sz w:val="24"/>
          <w:szCs w:val="24"/>
          <w:highlight w:val="none"/>
        </w:rPr>
        <w:t>招标人自收到评标委员会提交的书面评标报告和中标候选人名单之日起3日</w:t>
      </w:r>
      <w:r>
        <w:rPr>
          <w:rFonts w:hint="eastAsia" w:ascii="宋体" w:hAnsi="宋体" w:eastAsia="宋体" w:cs="宋体"/>
          <w:color w:val="auto"/>
          <w:spacing w:val="-1"/>
          <w:sz w:val="24"/>
          <w:szCs w:val="24"/>
          <w:highlight w:val="none"/>
        </w:rPr>
        <w:t>内，将评标结果（即中标候选人名单）、中标候选人投标</w:t>
      </w:r>
      <w:r>
        <w:rPr>
          <w:rFonts w:hint="eastAsia" w:ascii="宋体" w:hAnsi="宋体" w:eastAsia="宋体" w:cs="宋体"/>
          <w:color w:val="auto"/>
          <w:spacing w:val="-2"/>
          <w:sz w:val="24"/>
          <w:szCs w:val="24"/>
          <w:highlight w:val="none"/>
        </w:rPr>
        <w:t>文件（指商务标书分册）、评</w:t>
      </w:r>
      <w:r>
        <w:rPr>
          <w:rFonts w:hint="eastAsia" w:ascii="宋体" w:hAnsi="宋体" w:eastAsia="宋体" w:cs="宋体"/>
          <w:color w:val="auto"/>
          <w:sz w:val="24"/>
          <w:szCs w:val="24"/>
          <w:highlight w:val="none"/>
        </w:rPr>
        <w:t>标过程（评标专家姓名用代码标记）一并在广东省招标投标监管网（http://zbtb.gd</w:t>
      </w:r>
      <w:r>
        <w:rPr>
          <w:rFonts w:hint="eastAsia" w:ascii="宋体" w:hAnsi="宋体" w:eastAsia="宋体" w:cs="宋体"/>
          <w:color w:val="auto"/>
          <w:spacing w:val="-1"/>
          <w:sz w:val="24"/>
          <w:szCs w:val="24"/>
          <w:highlight w:val="none"/>
        </w:rPr>
        <w:t>.gov.cn）、全国公共资源交易平台（广东省·韶关市</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https://ygp.gdzwfw.gov.cn/ggzy-po</w:t>
      </w:r>
      <w:r>
        <w:rPr>
          <w:rFonts w:hint="eastAsia" w:ascii="宋体" w:hAnsi="宋体" w:eastAsia="宋体" w:cs="宋体"/>
          <w:color w:val="auto"/>
          <w:spacing w:val="-2"/>
          <w:sz w:val="24"/>
          <w:szCs w:val="24"/>
          <w:highlight w:val="none"/>
        </w:rPr>
        <w:t>rta</w:t>
      </w:r>
      <w:r>
        <w:rPr>
          <w:rFonts w:hint="eastAsia" w:ascii="宋体" w:hAnsi="宋体" w:eastAsia="宋体" w:cs="宋体"/>
          <w:color w:val="auto"/>
          <w:sz w:val="24"/>
          <w:szCs w:val="24"/>
          <w:highlight w:val="none"/>
        </w:rPr>
        <w:t>l/#/440200/index）进行</w:t>
      </w:r>
      <w:r>
        <w:rPr>
          <w:rFonts w:hint="eastAsia" w:ascii="宋体" w:hAnsi="宋体" w:eastAsia="宋体" w:cs="宋体"/>
          <w:color w:val="auto"/>
          <w:spacing w:val="-1"/>
          <w:sz w:val="24"/>
          <w:szCs w:val="24"/>
          <w:highlight w:val="none"/>
        </w:rPr>
        <w:t>公示，公示期不得少于3天。</w:t>
      </w:r>
    </w:p>
    <w:p w14:paraId="32B26EFF">
      <w:pPr>
        <w:spacing w:before="78" w:line="360" w:lineRule="auto"/>
        <w:ind w:left="11" w:firstLine="485"/>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16.2 </w:t>
      </w:r>
      <w:r>
        <w:rPr>
          <w:rFonts w:hint="eastAsia" w:ascii="宋体" w:hAnsi="宋体" w:eastAsia="宋体" w:cs="宋体"/>
          <w:color w:val="auto"/>
          <w:spacing w:val="-2"/>
          <w:sz w:val="24"/>
          <w:szCs w:val="24"/>
          <w:highlight w:val="none"/>
        </w:rPr>
        <w:t>投标人对评标结果、中标候选人投标文件、评标过程有异议的，必须在以上内容公示期间向招标人提出</w:t>
      </w:r>
      <w:r>
        <w:rPr>
          <w:rFonts w:hint="eastAsia" w:ascii="宋体" w:hAnsi="宋体" w:eastAsia="宋体" w:cs="宋体"/>
          <w:b/>
          <w:bCs/>
          <w:color w:val="auto"/>
          <w:spacing w:val="-2"/>
          <w:sz w:val="24"/>
          <w:szCs w:val="24"/>
          <w:highlight w:val="none"/>
        </w:rPr>
        <w:t>书面异议</w:t>
      </w:r>
      <w:r>
        <w:rPr>
          <w:rFonts w:hint="eastAsia" w:ascii="宋体" w:hAnsi="宋体" w:eastAsia="宋体" w:cs="宋体"/>
          <w:color w:val="auto"/>
          <w:spacing w:val="-2"/>
          <w:sz w:val="24"/>
          <w:szCs w:val="24"/>
          <w:highlight w:val="none"/>
        </w:rPr>
        <w:t>，否则招标人不予受理。经招标人书面答复，异议人仍不满意的，可在法律规定的时限内向行政监督部门提出书面投诉。异议（投诉）提出、处理的具体办法和要求，按照</w:t>
      </w:r>
      <w:r>
        <w:rPr>
          <w:rFonts w:hint="eastAsia" w:ascii="宋体" w:hAnsi="宋体" w:eastAsia="宋体" w:cs="宋体"/>
          <w:color w:val="auto"/>
          <w:spacing w:val="-2"/>
          <w:sz w:val="24"/>
          <w:szCs w:val="24"/>
          <w:highlight w:val="none"/>
          <w:lang w:val="en-US" w:eastAsia="zh-CN"/>
        </w:rPr>
        <w:t>韶关市发展和改革局关于发布《韶关市工程建设项目招标投标活动异议和投诉处理办法》的通告（韶发改〔2021〕44号）</w:t>
      </w:r>
      <w:r>
        <w:rPr>
          <w:rFonts w:hint="eastAsia" w:ascii="宋体" w:hAnsi="宋体" w:eastAsia="宋体" w:cs="宋体"/>
          <w:color w:val="auto"/>
          <w:spacing w:val="-2"/>
          <w:sz w:val="24"/>
          <w:szCs w:val="24"/>
          <w:highlight w:val="none"/>
        </w:rPr>
        <w:t>执行。</w:t>
      </w:r>
    </w:p>
    <w:p w14:paraId="15623CD0">
      <w:pPr>
        <w:spacing w:before="79" w:line="360" w:lineRule="auto"/>
        <w:ind w:left="12" w:right="42" w:firstLine="483"/>
        <w:rPr>
          <w:rFonts w:hint="eastAsia" w:ascii="宋体" w:hAnsi="宋体" w:eastAsia="宋体" w:cs="宋体"/>
          <w:color w:val="auto"/>
          <w:spacing w:val="-4"/>
          <w:sz w:val="24"/>
          <w:szCs w:val="24"/>
          <w:highlight w:val="none"/>
        </w:rPr>
      </w:pPr>
      <w:r>
        <w:rPr>
          <w:rFonts w:hint="eastAsia" w:ascii="宋体" w:hAnsi="宋体" w:eastAsia="宋体" w:cs="宋体"/>
          <w:b/>
          <w:bCs/>
          <w:color w:val="auto"/>
          <w:spacing w:val="-9"/>
          <w:sz w:val="24"/>
          <w:szCs w:val="24"/>
          <w:highlight w:val="none"/>
        </w:rPr>
        <w:t>16.3</w:t>
      </w:r>
      <w:r>
        <w:rPr>
          <w:rFonts w:hint="eastAsia" w:ascii="宋体" w:hAnsi="宋体" w:eastAsia="宋体" w:cs="宋体"/>
          <w:b/>
          <w:bCs/>
          <w:color w:val="auto"/>
          <w:spacing w:val="24"/>
          <w:w w:val="101"/>
          <w:sz w:val="24"/>
          <w:szCs w:val="24"/>
          <w:highlight w:val="none"/>
        </w:rPr>
        <w:t xml:space="preserve">  </w:t>
      </w:r>
      <w:r>
        <w:rPr>
          <w:rFonts w:hint="eastAsia" w:ascii="宋体" w:hAnsi="宋体" w:eastAsia="宋体" w:cs="宋体"/>
          <w:color w:val="auto"/>
          <w:spacing w:val="-9"/>
          <w:sz w:val="24"/>
          <w:szCs w:val="24"/>
          <w:highlight w:val="none"/>
        </w:rPr>
        <w:t>中标候选人公示期满无异议（投诉）后，招标人确定第一中标候选人为中标人，</w:t>
      </w:r>
      <w:r>
        <w:rPr>
          <w:rFonts w:hint="eastAsia" w:ascii="宋体" w:hAnsi="宋体" w:eastAsia="宋体" w:cs="宋体"/>
          <w:color w:val="auto"/>
          <w:spacing w:val="-2"/>
          <w:sz w:val="24"/>
          <w:szCs w:val="24"/>
          <w:highlight w:val="none"/>
        </w:rPr>
        <w:t>并在中标人确定之日起7日内向中标人发出中标通知书。在中标通知书发出后5个工作日内，韶关市公共资源交易中心将投标保证金（或银行保函）退还给中标候选人以外的</w:t>
      </w:r>
      <w:r>
        <w:rPr>
          <w:rFonts w:hint="eastAsia" w:ascii="宋体" w:hAnsi="宋体" w:eastAsia="宋体" w:cs="宋体"/>
          <w:color w:val="auto"/>
          <w:spacing w:val="-4"/>
          <w:sz w:val="24"/>
          <w:szCs w:val="24"/>
          <w:highlight w:val="none"/>
        </w:rPr>
        <w:t>投标人。</w:t>
      </w:r>
    </w:p>
    <w:p w14:paraId="6D2AF74B">
      <w:pPr>
        <w:rPr>
          <w:rFonts w:hint="eastAsia" w:ascii="宋体" w:hAnsi="宋体" w:eastAsia="宋体" w:cs="宋体"/>
        </w:rPr>
      </w:pPr>
    </w:p>
    <w:p w14:paraId="1DDF265E">
      <w:pPr>
        <w:rPr>
          <w:rFonts w:hint="eastAsia" w:ascii="宋体" w:hAnsi="宋体" w:eastAsia="宋体" w:cs="宋体"/>
        </w:rPr>
      </w:pPr>
    </w:p>
    <w:p w14:paraId="7DF90950">
      <w:pPr>
        <w:rPr>
          <w:rFonts w:hint="eastAsia" w:ascii="宋体" w:hAnsi="宋体" w:eastAsia="宋体" w:cs="宋体"/>
        </w:rPr>
      </w:pPr>
    </w:p>
    <w:p w14:paraId="35E9739C">
      <w:pPr>
        <w:rPr>
          <w:rFonts w:hint="eastAsia" w:ascii="宋体" w:hAnsi="宋体" w:eastAsia="宋体" w:cs="宋体"/>
        </w:rPr>
      </w:pPr>
    </w:p>
    <w:p w14:paraId="4FCD4E13">
      <w:pPr>
        <w:rPr>
          <w:rFonts w:hint="eastAsia" w:ascii="宋体" w:hAnsi="宋体" w:eastAsia="宋体" w:cs="宋体"/>
        </w:rPr>
      </w:pPr>
    </w:p>
    <w:p w14:paraId="0B2D699F">
      <w:pPr>
        <w:pStyle w:val="2"/>
        <w:rPr>
          <w:rFonts w:hint="eastAsia" w:ascii="宋体" w:hAnsi="宋体" w:eastAsia="宋体" w:cs="宋体"/>
        </w:rPr>
      </w:pPr>
    </w:p>
    <w:p w14:paraId="0DC874F7">
      <w:pPr>
        <w:rPr>
          <w:rFonts w:hint="eastAsia" w:ascii="宋体" w:hAnsi="宋体" w:eastAsia="宋体" w:cs="宋体"/>
        </w:rPr>
      </w:pPr>
    </w:p>
    <w:p w14:paraId="6B82BD4E">
      <w:pPr>
        <w:pStyle w:val="2"/>
        <w:rPr>
          <w:rFonts w:hint="eastAsia" w:ascii="宋体" w:hAnsi="宋体" w:eastAsia="宋体" w:cs="宋体"/>
        </w:rPr>
      </w:pPr>
    </w:p>
    <w:p w14:paraId="5DB484B1">
      <w:pPr>
        <w:rPr>
          <w:rFonts w:hint="eastAsia" w:ascii="宋体" w:hAnsi="宋体" w:eastAsia="宋体" w:cs="宋体"/>
        </w:rPr>
      </w:pPr>
    </w:p>
    <w:p w14:paraId="585B94DD">
      <w:pPr>
        <w:pStyle w:val="2"/>
        <w:rPr>
          <w:rFonts w:hint="eastAsia" w:ascii="宋体" w:hAnsi="宋体" w:eastAsia="宋体" w:cs="宋体"/>
        </w:rPr>
      </w:pPr>
    </w:p>
    <w:p w14:paraId="35AC3FED">
      <w:pPr>
        <w:rPr>
          <w:rFonts w:hint="eastAsia" w:ascii="宋体" w:hAnsi="宋体" w:eastAsia="宋体" w:cs="宋体"/>
        </w:rPr>
      </w:pPr>
    </w:p>
    <w:p w14:paraId="2B24C126">
      <w:pPr>
        <w:pStyle w:val="2"/>
        <w:rPr>
          <w:rFonts w:hint="eastAsia" w:ascii="宋体" w:hAnsi="宋体" w:eastAsia="宋体" w:cs="宋体"/>
        </w:rPr>
      </w:pPr>
    </w:p>
    <w:p w14:paraId="574D9728">
      <w:pPr>
        <w:rPr>
          <w:rFonts w:hint="eastAsia" w:ascii="宋体" w:hAnsi="宋体" w:eastAsia="宋体" w:cs="宋体"/>
        </w:rPr>
      </w:pPr>
    </w:p>
    <w:p w14:paraId="217FDEAD">
      <w:pPr>
        <w:pStyle w:val="2"/>
        <w:rPr>
          <w:rFonts w:hint="eastAsia" w:ascii="宋体" w:hAnsi="宋体" w:eastAsia="宋体" w:cs="宋体"/>
        </w:rPr>
      </w:pPr>
    </w:p>
    <w:p w14:paraId="6B57F574">
      <w:pPr>
        <w:rPr>
          <w:rFonts w:hint="eastAsia" w:ascii="宋体" w:hAnsi="宋体" w:eastAsia="宋体" w:cs="宋体"/>
        </w:rPr>
      </w:pPr>
    </w:p>
    <w:p w14:paraId="20300BF0">
      <w:pPr>
        <w:pStyle w:val="2"/>
        <w:rPr>
          <w:rFonts w:hint="eastAsia" w:ascii="宋体" w:hAnsi="宋体" w:eastAsia="宋体" w:cs="宋体"/>
        </w:rPr>
      </w:pPr>
    </w:p>
    <w:p w14:paraId="3FE8D95F">
      <w:pPr>
        <w:rPr>
          <w:rFonts w:hint="eastAsia" w:ascii="宋体" w:hAnsi="宋体" w:eastAsia="宋体" w:cs="宋体"/>
        </w:rPr>
      </w:pPr>
    </w:p>
    <w:p w14:paraId="23DA0AF9">
      <w:pPr>
        <w:pStyle w:val="2"/>
        <w:rPr>
          <w:rFonts w:hint="eastAsia" w:ascii="宋体" w:hAnsi="宋体" w:eastAsia="宋体" w:cs="宋体"/>
        </w:rPr>
      </w:pPr>
    </w:p>
    <w:p w14:paraId="62346565">
      <w:pPr>
        <w:rPr>
          <w:rFonts w:hint="eastAsia" w:ascii="宋体" w:hAnsi="宋体" w:eastAsia="宋体" w:cs="宋体"/>
        </w:rPr>
      </w:pPr>
    </w:p>
    <w:p w14:paraId="157083D5">
      <w:pPr>
        <w:pStyle w:val="2"/>
        <w:rPr>
          <w:rFonts w:hint="eastAsia" w:ascii="宋体" w:hAnsi="宋体" w:eastAsia="宋体" w:cs="宋体"/>
        </w:rPr>
      </w:pPr>
    </w:p>
    <w:p w14:paraId="32D3405B">
      <w:pPr>
        <w:rPr>
          <w:rFonts w:hint="eastAsia" w:ascii="宋体" w:hAnsi="宋体" w:eastAsia="宋体" w:cs="宋体"/>
        </w:rPr>
      </w:pPr>
    </w:p>
    <w:p w14:paraId="4C061E41">
      <w:pPr>
        <w:pStyle w:val="2"/>
        <w:rPr>
          <w:rFonts w:hint="eastAsia" w:ascii="宋体" w:hAnsi="宋体" w:eastAsia="宋体" w:cs="宋体"/>
        </w:rPr>
      </w:pPr>
    </w:p>
    <w:p w14:paraId="61478160">
      <w:pPr>
        <w:rPr>
          <w:rFonts w:hint="eastAsia" w:ascii="宋体" w:hAnsi="宋体" w:eastAsia="宋体" w:cs="宋体"/>
        </w:rPr>
      </w:pPr>
    </w:p>
    <w:p w14:paraId="79EED929">
      <w:pPr>
        <w:spacing w:before="156" w:line="360" w:lineRule="auto"/>
        <w:outlineLvl w:val="1"/>
        <w:rPr>
          <w:rFonts w:hint="eastAsia" w:ascii="宋体" w:hAnsi="宋体" w:eastAsia="宋体" w:cs="宋体"/>
          <w:b/>
          <w:bCs/>
          <w:color w:val="auto"/>
          <w:spacing w:val="-3"/>
          <w:sz w:val="24"/>
          <w:szCs w:val="24"/>
          <w:highlight w:val="none"/>
        </w:rPr>
      </w:pPr>
      <w:bookmarkStart w:id="144" w:name="bookmark138"/>
      <w:bookmarkEnd w:id="144"/>
      <w:bookmarkStart w:id="145" w:name="_Toc28455"/>
      <w:bookmarkStart w:id="146" w:name="_Toc7185"/>
      <w:r>
        <w:rPr>
          <w:rFonts w:hint="eastAsia" w:ascii="宋体" w:hAnsi="宋体" w:eastAsia="宋体" w:cs="宋体"/>
          <w:b/>
          <w:bCs/>
          <w:color w:val="auto"/>
          <w:spacing w:val="-3"/>
          <w:sz w:val="24"/>
          <w:szCs w:val="24"/>
          <w:highlight w:val="none"/>
        </w:rPr>
        <w:t>第四节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否决投标条件</w:t>
      </w:r>
      <w:bookmarkEnd w:id="145"/>
      <w:bookmarkEnd w:id="146"/>
    </w:p>
    <w:p w14:paraId="02741B16">
      <w:pPr>
        <w:spacing w:before="78" w:line="360" w:lineRule="auto"/>
        <w:ind w:left="10" w:right="65"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5898CA3C">
      <w:pPr>
        <w:spacing w:before="34" w:line="360" w:lineRule="auto"/>
        <w:ind w:left="495"/>
        <w:outlineLvl w:val="2"/>
        <w:rPr>
          <w:rFonts w:hint="eastAsia" w:ascii="宋体" w:hAnsi="宋体" w:eastAsia="宋体" w:cs="宋体"/>
          <w:color w:val="auto"/>
          <w:sz w:val="24"/>
          <w:szCs w:val="24"/>
          <w:highlight w:val="none"/>
        </w:rPr>
      </w:pPr>
      <w:bookmarkStart w:id="147" w:name="_Toc8173"/>
      <w:bookmarkStart w:id="148" w:name="_Toc27832"/>
      <w:bookmarkStart w:id="149" w:name="_Toc14475"/>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lang w:eastAsia="zh-CN"/>
        </w:rPr>
        <w:t>.</w:t>
      </w:r>
      <w:r>
        <w:rPr>
          <w:rFonts w:hint="eastAsia" w:ascii="宋体" w:hAnsi="宋体" w:eastAsia="宋体" w:cs="宋体"/>
          <w:b/>
          <w:bCs/>
          <w:color w:val="auto"/>
          <w:spacing w:val="-8"/>
          <w:sz w:val="24"/>
          <w:szCs w:val="24"/>
          <w:highlight w:val="none"/>
        </w:rPr>
        <w:t>资格评审环节</w:t>
      </w:r>
      <w:bookmarkEnd w:id="147"/>
      <w:bookmarkEnd w:id="148"/>
      <w:bookmarkEnd w:id="149"/>
    </w:p>
    <w:p w14:paraId="2CDF8C7C">
      <w:pPr>
        <w:spacing w:before="152" w:line="360" w:lineRule="auto"/>
        <w:ind w:left="13" w:right="65" w:firstLine="47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14:paraId="5B415A91">
      <w:pPr>
        <w:spacing w:before="32" w:line="360" w:lineRule="auto"/>
        <w:ind w:left="5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（1）有本章第三节第</w:t>
      </w:r>
      <w:r>
        <w:rPr>
          <w:rFonts w:hint="eastAsia" w:ascii="宋体" w:hAnsi="宋体" w:eastAsia="宋体" w:cs="宋体"/>
          <w:color w:val="auto"/>
          <w:spacing w:val="-48"/>
          <w:sz w:val="24"/>
          <w:szCs w:val="24"/>
          <w:highlight w:val="none"/>
        </w:rPr>
        <w:t xml:space="preserve"> </w:t>
      </w:r>
      <w:r>
        <w:rPr>
          <w:rFonts w:hint="eastAsia" w:ascii="宋体" w:hAnsi="宋体" w:eastAsia="宋体" w:cs="宋体"/>
          <w:b/>
          <w:bCs/>
          <w:color w:val="auto"/>
          <w:spacing w:val="-2"/>
          <w:sz w:val="24"/>
          <w:szCs w:val="24"/>
          <w:highlight w:val="none"/>
        </w:rPr>
        <w:t xml:space="preserve">2.4 </w:t>
      </w:r>
      <w:r>
        <w:rPr>
          <w:rFonts w:hint="eastAsia" w:ascii="宋体" w:hAnsi="宋体" w:eastAsia="宋体" w:cs="宋体"/>
          <w:color w:val="auto"/>
          <w:spacing w:val="-2"/>
          <w:sz w:val="24"/>
          <w:szCs w:val="24"/>
          <w:highlight w:val="none"/>
        </w:rPr>
        <w:t>条“禁止投标条款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”规定的任何一种情形；</w:t>
      </w:r>
    </w:p>
    <w:p w14:paraId="6E8AB7C8">
      <w:pPr>
        <w:spacing w:before="154" w:line="360" w:lineRule="auto"/>
        <w:ind w:left="5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（2）投标人资质不符合规定的；</w:t>
      </w:r>
    </w:p>
    <w:p w14:paraId="2E25D147">
      <w:pPr>
        <w:keepNext w:val="0"/>
        <w:keepLines w:val="0"/>
        <w:pageBreakBefore w:val="0"/>
        <w:widowControl/>
        <w:kinsoku w:val="0"/>
        <w:wordWrap w:val="0"/>
        <w:overflowPunct/>
        <w:topLinePunct w:val="0"/>
        <w:autoSpaceDE w:val="0"/>
        <w:autoSpaceDN w:val="0"/>
        <w:bidi w:val="0"/>
        <w:adjustRightInd w:val="0"/>
        <w:snapToGrid w:val="0"/>
        <w:spacing w:before="153" w:line="360" w:lineRule="auto"/>
        <w:ind w:right="57" w:firstLine="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（3）投标人名称与营业执照、资质证书、安全生产许可证上的企业名称相互不一</w:t>
      </w:r>
      <w:r>
        <w:rPr>
          <w:rFonts w:hint="eastAsia" w:ascii="宋体" w:hAnsi="宋体" w:eastAsia="宋体" w:cs="宋体"/>
          <w:color w:val="auto"/>
          <w:spacing w:val="-1"/>
          <w:sz w:val="24"/>
          <w:szCs w:val="24"/>
          <w:highlight w:val="none"/>
        </w:rPr>
        <w:t>致的；其资质证书、安全生产许可证不是由住房城乡建设主管部门颁发的；营业执照、资质证书、安全生产许可证（含实时网页查询页，可参考网址https://zlaq.mohurd.gov.cnfwmh/bjxcjgl/fwmh/pages/construction_safety/qyaqscxkz/qyaqscxk）被吊销、暂扣或不在有效期内的；</w:t>
      </w:r>
    </w:p>
    <w:p w14:paraId="4D64198E">
      <w:pPr>
        <w:spacing w:before="153" w:line="360" w:lineRule="auto"/>
        <w:ind w:left="9" w:right="66"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注：投标人已经工商变更，但其企业资质证书、安全生产许可证</w:t>
      </w:r>
      <w:r>
        <w:rPr>
          <w:rFonts w:hint="eastAsia" w:ascii="宋体" w:hAnsi="宋体" w:eastAsia="宋体" w:cs="宋体"/>
          <w:b/>
          <w:bCs/>
          <w:color w:val="auto"/>
          <w:spacing w:val="-5"/>
          <w:sz w:val="24"/>
          <w:szCs w:val="24"/>
          <w:highlight w:val="none"/>
        </w:rPr>
        <w:t>的企业名称未完成</w:t>
      </w:r>
      <w:r>
        <w:rPr>
          <w:rFonts w:hint="eastAsia" w:ascii="宋体" w:hAnsi="宋体" w:eastAsia="宋体" w:cs="宋体"/>
          <w:b/>
          <w:bCs/>
          <w:color w:val="auto"/>
          <w:spacing w:val="-4"/>
          <w:sz w:val="24"/>
          <w:szCs w:val="24"/>
          <w:highlight w:val="none"/>
        </w:rPr>
        <w:t>变更的，不得否决其投标；投标人营业执照、资质证书、安全生产许可证之间登</w:t>
      </w:r>
      <w:r>
        <w:rPr>
          <w:rFonts w:hint="eastAsia" w:ascii="宋体" w:hAnsi="宋体" w:eastAsia="宋体" w:cs="宋体"/>
          <w:b/>
          <w:bCs/>
          <w:color w:val="auto"/>
          <w:spacing w:val="-5"/>
          <w:sz w:val="24"/>
          <w:szCs w:val="24"/>
          <w:highlight w:val="none"/>
        </w:rPr>
        <w:t>记的信</w:t>
      </w:r>
      <w:r>
        <w:rPr>
          <w:rFonts w:hint="eastAsia" w:ascii="宋体" w:hAnsi="宋体" w:eastAsia="宋体" w:cs="宋体"/>
          <w:b/>
          <w:bCs/>
          <w:color w:val="auto"/>
          <w:spacing w:val="-2"/>
          <w:sz w:val="24"/>
          <w:szCs w:val="24"/>
          <w:highlight w:val="none"/>
        </w:rPr>
        <w:t>息不一致，应当允许投标人澄清，不得直接否决其投</w:t>
      </w:r>
      <w:r>
        <w:rPr>
          <w:rFonts w:hint="eastAsia" w:ascii="宋体" w:hAnsi="宋体" w:eastAsia="宋体" w:cs="宋体"/>
          <w:b/>
          <w:bCs/>
          <w:color w:val="auto"/>
          <w:spacing w:val="-3"/>
          <w:sz w:val="24"/>
          <w:szCs w:val="24"/>
          <w:highlight w:val="none"/>
        </w:rPr>
        <w:t>标。</w:t>
      </w:r>
    </w:p>
    <w:p w14:paraId="1E0C4F2F">
      <w:pPr>
        <w:spacing w:before="32" w:line="360" w:lineRule="auto"/>
        <w:ind w:left="10" w:right="65" w:firstLine="490"/>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（4）拟派项目经理、项目技术负责人、专职安全员的条件不符合规定的；拟派专</w:t>
      </w:r>
      <w:r>
        <w:rPr>
          <w:rFonts w:hint="eastAsia" w:ascii="宋体" w:hAnsi="宋体" w:eastAsia="宋体" w:cs="宋体"/>
          <w:color w:val="auto"/>
          <w:spacing w:val="-2"/>
          <w:sz w:val="24"/>
          <w:szCs w:val="24"/>
          <w:highlight w:val="none"/>
        </w:rPr>
        <w:t>职安全员数量不符合规</w:t>
      </w:r>
      <w:r>
        <w:rPr>
          <w:rFonts w:hint="eastAsia" w:ascii="宋体" w:hAnsi="宋体" w:eastAsia="宋体" w:cs="宋体"/>
          <w:color w:val="auto"/>
          <w:spacing w:val="1"/>
          <w:sz w:val="24"/>
          <w:szCs w:val="24"/>
          <w:highlight w:val="none"/>
        </w:rPr>
        <w:t>定的；技术负责人未在投标文件《项目技术负责人简历表》中签</w:t>
      </w:r>
      <w:r>
        <w:rPr>
          <w:rFonts w:hint="eastAsia" w:ascii="宋体" w:hAnsi="宋体" w:eastAsia="宋体" w:cs="宋体"/>
          <w:color w:val="auto"/>
          <w:spacing w:val="1"/>
          <w:sz w:val="24"/>
          <w:szCs w:val="24"/>
          <w:highlight w:val="none"/>
          <w:lang w:eastAsia="zh-CN"/>
        </w:rPr>
        <w:t>字确认。</w:t>
      </w:r>
    </w:p>
    <w:p w14:paraId="0EC64185">
      <w:pPr>
        <w:spacing w:before="34" w:line="360" w:lineRule="auto"/>
        <w:ind w:left="8" w:right="65" w:firstLine="492"/>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（5）《项目经理简历表》中拟派项目经理与</w:t>
      </w:r>
      <w:r>
        <w:rPr>
          <w:rFonts w:hint="eastAsia" w:ascii="宋体" w:hAnsi="宋体" w:eastAsia="宋体" w:cs="宋体"/>
          <w:color w:val="auto"/>
          <w:spacing w:val="-2"/>
          <w:sz w:val="24"/>
          <w:szCs w:val="24"/>
          <w:highlight w:val="none"/>
        </w:rPr>
        <w:t>《开标一览表》不一致的；拟派的项目经理未在投标文件《项目经理简历表》中签字确认；一级建造师的注册证书不是国家住建部颁发的；二级建造师的电子注册证书不是省级住建厅颁发的；建造师的注册单位</w:t>
      </w:r>
      <w:r>
        <w:rPr>
          <w:rFonts w:hint="eastAsia" w:ascii="宋体" w:hAnsi="宋体" w:eastAsia="宋体" w:cs="宋体"/>
          <w:color w:val="auto"/>
          <w:spacing w:val="-8"/>
          <w:sz w:val="24"/>
          <w:szCs w:val="24"/>
          <w:highlight w:val="none"/>
        </w:rPr>
        <w:t>与投标人不一致的；项目管理班子组成人员的各类证书、证件、证明不在有效期内的（建造师注册证书不在使用有效期内的）；擅</w:t>
      </w:r>
      <w:r>
        <w:rPr>
          <w:rFonts w:hint="eastAsia" w:ascii="宋体" w:hAnsi="宋体" w:eastAsia="宋体" w:cs="宋体"/>
          <w:color w:val="auto"/>
          <w:spacing w:val="-2"/>
          <w:sz w:val="24"/>
          <w:szCs w:val="24"/>
          <w:highlight w:val="none"/>
        </w:rPr>
        <w:t>自修改、遗漏《项</w:t>
      </w:r>
      <w:r>
        <w:rPr>
          <w:rFonts w:hint="eastAsia" w:ascii="宋体" w:hAnsi="宋体" w:eastAsia="宋体" w:cs="宋体"/>
          <w:color w:val="auto"/>
          <w:spacing w:val="-3"/>
          <w:sz w:val="24"/>
          <w:szCs w:val="24"/>
          <w:highlight w:val="none"/>
        </w:rPr>
        <w:t>目经理任职声明》实质性内容的；</w:t>
      </w:r>
    </w:p>
    <w:p w14:paraId="5184D12E">
      <w:pPr>
        <w:spacing w:before="1" w:line="360" w:lineRule="auto"/>
        <w:ind w:left="28" w:right="66" w:firstLine="462"/>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注：投标人已经工商变更，但其员工执业资格注册证书的注册单</w:t>
      </w:r>
      <w:r>
        <w:rPr>
          <w:rFonts w:hint="eastAsia" w:ascii="宋体" w:hAnsi="宋体" w:eastAsia="宋体" w:cs="宋体"/>
          <w:b/>
          <w:bCs/>
          <w:color w:val="auto"/>
          <w:spacing w:val="-5"/>
          <w:sz w:val="24"/>
          <w:szCs w:val="24"/>
          <w:highlight w:val="none"/>
        </w:rPr>
        <w:t>位名称未完成变更的，不得否决其投标。</w:t>
      </w:r>
    </w:p>
    <w:p w14:paraId="3ED90A44">
      <w:pPr>
        <w:spacing w:before="1" w:line="360" w:lineRule="auto"/>
        <w:ind w:left="28" w:right="66" w:firstLine="462"/>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鉴于目前继续教育开展的实际情况，建筑和市政工程施工现场专业人员（例如：施</w:t>
      </w:r>
      <w:bookmarkStart w:id="150" w:name="bookmark139"/>
      <w:bookmarkEnd w:id="150"/>
      <w:r>
        <w:rPr>
          <w:rFonts w:hint="eastAsia" w:ascii="宋体" w:hAnsi="宋体" w:eastAsia="宋体" w:cs="宋体"/>
          <w:b/>
          <w:bCs/>
          <w:color w:val="auto"/>
          <w:spacing w:val="-4"/>
          <w:sz w:val="24"/>
          <w:szCs w:val="24"/>
          <w:highlight w:val="none"/>
        </w:rPr>
        <w:t>工员、质量员、材料员、资料员）的岗位证书或培训证书不审查其证书的有效期。</w:t>
      </w:r>
    </w:p>
    <w:p w14:paraId="2B29F3F6">
      <w:pPr>
        <w:spacing w:before="146" w:line="360" w:lineRule="auto"/>
        <w:ind w:left="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（6）招标文件规定不接受联合体投标，但以联合体投标的；</w:t>
      </w:r>
    </w:p>
    <w:p w14:paraId="3741F56B">
      <w:pPr>
        <w:spacing w:before="154" w:line="360" w:lineRule="auto"/>
        <w:ind w:right="94" w:firstLine="49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2"/>
          <w:sz w:val="24"/>
          <w:szCs w:val="24"/>
          <w:highlight w:val="none"/>
        </w:rPr>
        <w:t>（7）联合体投标，未提交《联合体协议书》的；擅自修改</w:t>
      </w:r>
      <w:r>
        <w:rPr>
          <w:rFonts w:hint="eastAsia" w:ascii="宋体" w:hAnsi="宋体" w:eastAsia="宋体" w:cs="宋体"/>
          <w:color w:val="auto"/>
          <w:spacing w:val="-3"/>
          <w:sz w:val="24"/>
          <w:szCs w:val="24"/>
          <w:highlight w:val="none"/>
        </w:rPr>
        <w:t>、遗漏《联合体协议书》</w:t>
      </w:r>
      <w:r>
        <w:rPr>
          <w:rFonts w:hint="eastAsia" w:ascii="宋体" w:hAnsi="宋体" w:eastAsia="宋体" w:cs="宋体"/>
          <w:color w:val="auto"/>
          <w:spacing w:val="-2"/>
          <w:sz w:val="24"/>
          <w:szCs w:val="24"/>
          <w:highlight w:val="none"/>
        </w:rPr>
        <w:t>实质性内容的；联合体成员的数量、资质不符合规定的；联合体成员同时以自己名义单</w:t>
      </w:r>
      <w:r>
        <w:rPr>
          <w:rFonts w:hint="eastAsia" w:ascii="宋体" w:hAnsi="宋体" w:eastAsia="宋体" w:cs="宋体"/>
          <w:color w:val="auto"/>
          <w:spacing w:val="-1"/>
          <w:sz w:val="24"/>
          <w:szCs w:val="24"/>
          <w:highlight w:val="none"/>
        </w:rPr>
        <w:t>独投标或者参加其他联合体投标的</w:t>
      </w:r>
      <w:r>
        <w:rPr>
          <w:rFonts w:hint="eastAsia" w:ascii="宋体" w:hAnsi="宋体" w:eastAsia="宋体" w:cs="宋体"/>
          <w:color w:val="auto"/>
          <w:spacing w:val="-1"/>
          <w:sz w:val="24"/>
          <w:szCs w:val="24"/>
          <w:highlight w:val="none"/>
          <w:lang w:eastAsia="zh-CN"/>
        </w:rPr>
        <w:t>。</w:t>
      </w:r>
    </w:p>
    <w:p w14:paraId="16A42CB0">
      <w:pPr>
        <w:spacing w:before="150" w:line="360" w:lineRule="auto"/>
        <w:ind w:right="200" w:firstLine="4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（8）投标人为外省建筑企业，但未提供“进粤企业和人员诚信信息登记平台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z w:val="24"/>
          <w:szCs w:val="24"/>
          <w:highlight w:val="none"/>
        </w:rPr>
        <w:t>”企</w:t>
      </w:r>
      <w:r>
        <w:rPr>
          <w:rFonts w:hint="eastAsia" w:ascii="宋体" w:hAnsi="宋体" w:eastAsia="宋体" w:cs="宋体"/>
          <w:color w:val="auto"/>
          <w:spacing w:val="-1"/>
          <w:sz w:val="24"/>
          <w:szCs w:val="24"/>
          <w:highlight w:val="none"/>
        </w:rPr>
        <w:t>业和拟派人员信息情况打印页或网页截图的。</w:t>
      </w:r>
    </w:p>
    <w:p w14:paraId="46F2E778">
      <w:pPr>
        <w:spacing w:before="154" w:line="360" w:lineRule="auto"/>
        <w:ind w:left="477"/>
        <w:outlineLvl w:val="2"/>
        <w:rPr>
          <w:rFonts w:hint="eastAsia" w:ascii="宋体" w:hAnsi="宋体" w:eastAsia="宋体" w:cs="宋体"/>
          <w:color w:val="auto"/>
          <w:sz w:val="24"/>
          <w:szCs w:val="24"/>
          <w:highlight w:val="none"/>
        </w:rPr>
      </w:pPr>
      <w:bookmarkStart w:id="151" w:name="_Toc12644"/>
      <w:bookmarkStart w:id="152" w:name="_Toc5819"/>
      <w:bookmarkStart w:id="153" w:name="_Toc29071"/>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b/>
          <w:bCs/>
          <w:color w:val="auto"/>
          <w:spacing w:val="-7"/>
          <w:sz w:val="24"/>
          <w:szCs w:val="24"/>
          <w:highlight w:val="none"/>
        </w:rPr>
        <w:t>形式评审环节</w:t>
      </w:r>
      <w:bookmarkEnd w:id="151"/>
      <w:bookmarkEnd w:id="152"/>
      <w:bookmarkEnd w:id="153"/>
    </w:p>
    <w:p w14:paraId="17FA0E7B">
      <w:pPr>
        <w:spacing w:before="151" w:line="360" w:lineRule="auto"/>
        <w:ind w:right="200" w:firstLine="48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投标人有下列情形之一的，评标委员会应否决其投标。被否决的投标人，不进入响应性评审环节。</w:t>
      </w:r>
    </w:p>
    <w:p w14:paraId="1488D5B8">
      <w:pPr>
        <w:spacing w:before="32" w:line="360" w:lineRule="auto"/>
        <w:ind w:left="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14:paraId="01C21B1D">
      <w:pPr>
        <w:spacing w:before="153" w:line="360" w:lineRule="auto"/>
        <w:ind w:left="1" w:right="200" w:firstLine="49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 xml:space="preserve"> 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14:paraId="7C87715B">
      <w:pPr>
        <w:spacing w:before="136" w:line="360" w:lineRule="auto"/>
        <w:ind w:left="8" w:right="200" w:firstLine="42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否响应招标文件实质性要求的；有涂改、行间插字或删除，但未加盖单位章或由投标人</w:t>
      </w:r>
      <w:r>
        <w:rPr>
          <w:rFonts w:hint="eastAsia" w:ascii="宋体" w:hAnsi="宋体" w:eastAsia="宋体" w:cs="宋体"/>
          <w:color w:val="auto"/>
          <w:spacing w:val="-1"/>
          <w:sz w:val="24"/>
          <w:szCs w:val="24"/>
          <w:highlight w:val="none"/>
        </w:rPr>
        <w:t>的法定代表人或其委托代理人签字确认的；</w:t>
      </w:r>
    </w:p>
    <w:p w14:paraId="64A608C1">
      <w:pPr>
        <w:spacing w:before="209" w:line="360"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14:paraId="5001A17B">
      <w:pPr>
        <w:spacing w:before="206" w:line="360" w:lineRule="auto"/>
        <w:ind w:left="1" w:firstLine="4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（5）招标文件规定施工组织设计采用“暗标</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z w:val="24"/>
          <w:szCs w:val="24"/>
          <w:highlight w:val="none"/>
        </w:rPr>
        <w:t>”方式进行评审，但施工组织设计的</w:t>
      </w:r>
      <w:r>
        <w:rPr>
          <w:rFonts w:hint="eastAsia" w:ascii="宋体" w:hAnsi="宋体" w:eastAsia="宋体" w:cs="宋体"/>
          <w:color w:val="auto"/>
          <w:spacing w:val="-4"/>
          <w:sz w:val="24"/>
          <w:szCs w:val="24"/>
          <w:highlight w:val="none"/>
        </w:rPr>
        <w:t>规格颜色、文字排版、正文篇幅（若有）不符合规定的；其任何部位出现手写以及涂改、</w:t>
      </w:r>
      <w:r>
        <w:rPr>
          <w:rFonts w:hint="eastAsia" w:ascii="宋体" w:hAnsi="宋体" w:eastAsia="宋体" w:cs="宋体"/>
          <w:color w:val="auto"/>
          <w:spacing w:val="-3"/>
          <w:sz w:val="24"/>
          <w:szCs w:val="24"/>
          <w:highlight w:val="none"/>
        </w:rPr>
        <w:t>行间插字或删除痕迹的；其任何部位出现投标人的名称和其它可识别投标人身份的字符、</w:t>
      </w:r>
      <w:r>
        <w:rPr>
          <w:rFonts w:hint="eastAsia" w:ascii="宋体" w:hAnsi="宋体" w:eastAsia="宋体" w:cs="宋体"/>
          <w:color w:val="auto"/>
          <w:spacing w:val="-1"/>
          <w:sz w:val="24"/>
          <w:szCs w:val="24"/>
          <w:highlight w:val="none"/>
        </w:rPr>
        <w:t>徽标、人员名称以及其他特殊标记的。</w:t>
      </w:r>
    </w:p>
    <w:p w14:paraId="7F1D1627">
      <w:pPr>
        <w:spacing w:before="227" w:line="360" w:lineRule="auto"/>
        <w:ind w:left="475"/>
        <w:outlineLvl w:val="2"/>
        <w:rPr>
          <w:rFonts w:hint="eastAsia" w:ascii="宋体" w:hAnsi="宋体" w:eastAsia="宋体" w:cs="宋体"/>
          <w:color w:val="auto"/>
          <w:sz w:val="24"/>
          <w:szCs w:val="24"/>
          <w:highlight w:val="none"/>
        </w:rPr>
      </w:pPr>
      <w:bookmarkStart w:id="154" w:name="_Toc4409"/>
      <w:bookmarkStart w:id="155" w:name="_Toc26522"/>
      <w:bookmarkStart w:id="156" w:name="_Toc11391"/>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b/>
          <w:bCs/>
          <w:color w:val="auto"/>
          <w:spacing w:val="-6"/>
          <w:sz w:val="24"/>
          <w:szCs w:val="24"/>
          <w:highlight w:val="none"/>
        </w:rPr>
        <w:t>响应性评审环节</w:t>
      </w:r>
      <w:bookmarkEnd w:id="154"/>
      <w:bookmarkEnd w:id="155"/>
      <w:bookmarkEnd w:id="156"/>
    </w:p>
    <w:p w14:paraId="54C4FB24">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1" w:right="198" w:firstLine="48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14:paraId="2E235325">
      <w:pPr>
        <w:keepNext w:val="0"/>
        <w:keepLines w:val="0"/>
        <w:pageBreakBefore w:val="0"/>
        <w:widowControl w:val="0"/>
        <w:kinsoku w:val="0"/>
        <w:wordWrap/>
        <w:overflowPunct/>
        <w:topLinePunct w:val="0"/>
        <w:autoSpaceDE w:val="0"/>
        <w:autoSpaceDN w:val="0"/>
        <w:bidi w:val="0"/>
        <w:adjustRightInd w:val="0"/>
        <w:snapToGrid w:val="0"/>
        <w:spacing w:before="31" w:line="360" w:lineRule="auto"/>
        <w:ind w:left="40" w:right="198" w:firstLine="45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自修改、遗漏《投标函》《各项承诺一览表》实质性内容的；</w:t>
      </w:r>
    </w:p>
    <w:p w14:paraId="4086BFDC">
      <w:pPr>
        <w:keepNext w:val="0"/>
        <w:keepLines w:val="0"/>
        <w:pageBreakBefore w:val="0"/>
        <w:widowControl w:val="0"/>
        <w:kinsoku w:val="0"/>
        <w:wordWrap/>
        <w:overflowPunct/>
        <w:topLinePunct w:val="0"/>
        <w:autoSpaceDE w:val="0"/>
        <w:autoSpaceDN w:val="0"/>
        <w:bidi w:val="0"/>
        <w:adjustRightInd w:val="0"/>
        <w:snapToGrid w:val="0"/>
        <w:spacing w:before="157" w:line="360" w:lineRule="auto"/>
        <w:ind w:left="2" w:right="198"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（2）编制《投标总价》的造价工程师，其注册证书不是住建部门颁发的；其注册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14:paraId="2434B2FC">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right="200" w:firstLine="480"/>
        <w:jc w:val="both"/>
        <w:textAlignment w:val="baseline"/>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 10.3.1 中的造价工程师执业（含二级造价工程师）指引相一致。</w:t>
      </w:r>
    </w:p>
    <w:p w14:paraId="10D18E62">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2" w:right="81"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（3）投标人委托造价咨询单位编制《投标总价》，但未在《投标总价扉页》（即扉—3）“投标人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供造价咨询人的营业执照副本彩</w:t>
      </w:r>
      <w:r>
        <w:rPr>
          <w:rFonts w:hint="eastAsia" w:ascii="宋体" w:hAnsi="宋体" w:eastAsia="宋体" w:cs="宋体"/>
          <w:color w:val="auto"/>
          <w:spacing w:val="-3"/>
          <w:sz w:val="24"/>
          <w:szCs w:val="24"/>
          <w:highlight w:val="none"/>
        </w:rPr>
        <w:t>色扫描件；</w:t>
      </w:r>
    </w:p>
    <w:p w14:paraId="63FE82E3">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right="21"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rPr>
        <w:t>最高投标限价</w:t>
      </w:r>
      <w:r>
        <w:rPr>
          <w:rFonts w:hint="eastAsia" w:ascii="宋体" w:hAnsi="宋体" w:eastAsia="宋体" w:cs="宋体"/>
          <w:color w:val="auto"/>
          <w:spacing w:val="-2"/>
          <w:sz w:val="24"/>
          <w:szCs w:val="24"/>
          <w:highlight w:val="none"/>
        </w:rPr>
        <w:t>的；绿色施工安全防护措施费少于规定的；暂列金额、暂估</w:t>
      </w:r>
      <w:r>
        <w:rPr>
          <w:rFonts w:hint="eastAsia" w:ascii="宋体" w:hAnsi="宋体" w:eastAsia="宋体" w:cs="宋体"/>
          <w:color w:val="auto"/>
          <w:spacing w:val="-3"/>
          <w:sz w:val="24"/>
          <w:szCs w:val="24"/>
          <w:highlight w:val="none"/>
        </w:rPr>
        <w:t>价未按照招标工程量清单统一报价的；投标总价下浮率超过15%，又未提供相应书面说</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14:paraId="7A4B5CD1">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right="81"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14:paraId="11590734">
      <w:pPr>
        <w:spacing w:before="151" w:line="360" w:lineRule="auto"/>
        <w:ind w:left="476"/>
        <w:outlineLvl w:val="2"/>
        <w:rPr>
          <w:rFonts w:hint="eastAsia" w:ascii="宋体" w:hAnsi="宋体" w:eastAsia="宋体" w:cs="宋体"/>
          <w:color w:val="auto"/>
          <w:sz w:val="24"/>
          <w:szCs w:val="24"/>
          <w:highlight w:val="none"/>
        </w:rPr>
      </w:pPr>
      <w:bookmarkStart w:id="157" w:name="_Toc21929"/>
      <w:bookmarkStart w:id="158" w:name="_Toc14523"/>
      <w:bookmarkStart w:id="159" w:name="_Toc29500"/>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lang w:eastAsia="zh-CN"/>
        </w:rPr>
        <w:t>.</w:t>
      </w:r>
      <w:r>
        <w:rPr>
          <w:rFonts w:hint="eastAsia" w:ascii="宋体" w:hAnsi="宋体" w:eastAsia="宋体" w:cs="宋体"/>
          <w:b/>
          <w:bCs/>
          <w:color w:val="auto"/>
          <w:spacing w:val="-11"/>
          <w:sz w:val="24"/>
          <w:szCs w:val="24"/>
          <w:highlight w:val="none"/>
        </w:rPr>
        <w:t>其他</w:t>
      </w:r>
      <w:bookmarkEnd w:id="157"/>
      <w:bookmarkEnd w:id="158"/>
      <w:bookmarkEnd w:id="159"/>
    </w:p>
    <w:p w14:paraId="46C810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在任何评标环节（或阶段），投标人有下列情形之一的，评标委员会应否决其投标。被否决的投标人，不进入下一环节（或阶段）。</w:t>
      </w:r>
    </w:p>
    <w:p w14:paraId="6A70F2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（1）不按评标委员会要求澄清、说明或补正的；</w:t>
      </w:r>
    </w:p>
    <w:p w14:paraId="4CBBCC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（2）有下列情形之一，被评标委员会认定属于串通投标的：</w:t>
      </w:r>
    </w:p>
    <w:p w14:paraId="271141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①不同投标人的投标文件两处以上（含两处）错、漏一致；</w:t>
      </w:r>
    </w:p>
    <w:p w14:paraId="55C46F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②不同投标人的投标总价相近且各分项报价、综合单价分析表内容混乱不能相互对应、乱调乱压或乱抬的，而在询标时没有合理的解释或者不能提供计算依据和报价依据；</w:t>
      </w:r>
    </w:p>
    <w:p w14:paraId="087B17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③不同投标人的投标各项报价存在异常一致或者呈规律性变化；</w:t>
      </w:r>
    </w:p>
    <w:p w14:paraId="2919038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④不同投标人的投标文件由同一单位或者同一个人编制；</w:t>
      </w:r>
    </w:p>
    <w:p w14:paraId="724112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⑤不同投标人的投标文件中投标资料（包括电子资料）相互混装或项目班子成员出现同一人；</w:t>
      </w:r>
    </w:p>
    <w:p w14:paraId="2E9AD51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⑥不同投标人的投标文件由同一电脑编制或同一台附属设备打印，或投标报价用同一个预算编制软件密码锁制作或出自同一电子文档；</w:t>
      </w:r>
    </w:p>
    <w:p w14:paraId="6E160A6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⑦不同投标人的投标保证由同一企业或同一账户资金缴纳；</w:t>
      </w:r>
    </w:p>
    <w:p w14:paraId="60106A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⑧不同投标人委托同一个人或注册在同一家企业的注册人员或同一家企业为其投标提供投标咨询、商务报价、技术咨询（招标项目本身要求采用专有技术的除外）等服务。</w:t>
      </w:r>
    </w:p>
    <w:p w14:paraId="53EB2D8B">
      <w:pPr>
        <w:spacing w:before="78" w:line="360" w:lineRule="auto"/>
        <w:jc w:val="center"/>
        <w:outlineLvl w:val="0"/>
        <w:rPr>
          <w:rFonts w:hint="eastAsia" w:ascii="宋体" w:hAnsi="宋体" w:eastAsia="宋体" w:cs="宋体"/>
          <w:b/>
          <w:bCs/>
          <w:color w:val="auto"/>
          <w:spacing w:val="-3"/>
          <w:sz w:val="24"/>
          <w:szCs w:val="24"/>
          <w:highlight w:val="none"/>
        </w:rPr>
      </w:pPr>
      <w:bookmarkStart w:id="160" w:name="bookmark57"/>
      <w:bookmarkEnd w:id="160"/>
      <w:bookmarkStart w:id="161" w:name="_Toc20640"/>
      <w:bookmarkStart w:id="162" w:name="_Toc20000"/>
      <w:r>
        <w:rPr>
          <w:rFonts w:hint="eastAsia" w:ascii="宋体" w:hAnsi="宋体" w:eastAsia="宋体" w:cs="宋体"/>
          <w:b/>
          <w:bCs/>
          <w:color w:val="auto"/>
          <w:spacing w:val="-3"/>
          <w:sz w:val="24"/>
          <w:szCs w:val="24"/>
          <w:highlight w:val="none"/>
        </w:rPr>
        <w:t>第二章</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中标人须知</w:t>
      </w:r>
      <w:bookmarkEnd w:id="161"/>
      <w:bookmarkEnd w:id="162"/>
    </w:p>
    <w:p w14:paraId="33D1480D">
      <w:pPr>
        <w:spacing w:before="151" w:line="360" w:lineRule="auto"/>
        <w:ind w:left="476"/>
        <w:outlineLvl w:val="2"/>
        <w:rPr>
          <w:rFonts w:hint="eastAsia" w:ascii="宋体" w:hAnsi="宋体" w:eastAsia="宋体" w:cs="宋体"/>
          <w:b/>
          <w:bCs/>
          <w:color w:val="auto"/>
          <w:spacing w:val="-11"/>
          <w:sz w:val="24"/>
          <w:szCs w:val="24"/>
          <w:highlight w:val="none"/>
        </w:rPr>
      </w:pPr>
      <w:bookmarkStart w:id="163" w:name="_Toc11992"/>
      <w:bookmarkStart w:id="164" w:name="_Toc9110"/>
      <w:r>
        <w:rPr>
          <w:rFonts w:hint="eastAsia" w:ascii="宋体" w:hAnsi="宋体" w:eastAsia="宋体" w:cs="宋体"/>
          <w:b/>
          <w:bCs/>
          <w:color w:val="auto"/>
          <w:spacing w:val="-11"/>
          <w:sz w:val="24"/>
          <w:szCs w:val="24"/>
          <w:highlight w:val="none"/>
        </w:rPr>
        <w:t>1</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中标通知书</w:t>
      </w:r>
      <w:bookmarkEnd w:id="163"/>
      <w:bookmarkEnd w:id="164"/>
    </w:p>
    <w:p w14:paraId="51329CD9">
      <w:pPr>
        <w:spacing w:before="152" w:line="360" w:lineRule="auto"/>
        <w:ind w:left="17" w:firstLine="559"/>
        <w:jc w:val="both"/>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招标人确定第一中标候选人为中标人，并在中标人确定之日起7日内向中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6832A809">
      <w:pPr>
        <w:spacing w:before="151" w:line="360" w:lineRule="auto"/>
        <w:ind w:left="476"/>
        <w:outlineLvl w:val="2"/>
        <w:rPr>
          <w:rFonts w:hint="eastAsia" w:ascii="宋体" w:hAnsi="宋体" w:eastAsia="宋体" w:cs="宋体"/>
          <w:b/>
          <w:bCs/>
          <w:color w:val="auto"/>
          <w:spacing w:val="-11"/>
          <w:sz w:val="24"/>
          <w:szCs w:val="24"/>
          <w:highlight w:val="none"/>
        </w:rPr>
      </w:pPr>
      <w:bookmarkStart w:id="165" w:name="_Toc10616"/>
      <w:bookmarkStart w:id="166" w:name="_Toc7161"/>
      <w:r>
        <w:rPr>
          <w:rFonts w:hint="eastAsia" w:ascii="宋体" w:hAnsi="宋体" w:eastAsia="宋体" w:cs="宋体"/>
          <w:b/>
          <w:bCs/>
          <w:color w:val="auto"/>
          <w:spacing w:val="-11"/>
          <w:sz w:val="24"/>
          <w:szCs w:val="24"/>
          <w:highlight w:val="none"/>
        </w:rPr>
        <w:t>2</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中标结果公示</w:t>
      </w:r>
      <w:bookmarkEnd w:id="165"/>
      <w:bookmarkEnd w:id="166"/>
    </w:p>
    <w:p w14:paraId="5173095A">
      <w:pPr>
        <w:spacing w:before="115" w:line="360" w:lineRule="auto"/>
        <w:ind w:left="2" w:right="203" w:firstLine="595"/>
        <w:jc w:val="both"/>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w:t>
      </w:r>
      <w:r>
        <w:rPr>
          <w:rFonts w:hint="eastAsia" w:ascii="宋体" w:hAnsi="宋体" w:eastAsia="宋体" w:cs="宋体"/>
          <w:color w:val="auto"/>
          <w:spacing w:val="50"/>
          <w:w w:val="101"/>
          <w:sz w:val="24"/>
          <w:szCs w:val="24"/>
          <w:highlight w:val="none"/>
        </w:rPr>
        <w:t xml:space="preserve"> </w:t>
      </w:r>
      <w:r>
        <w:rPr>
          <w:rFonts w:hint="eastAsia" w:ascii="宋体" w:hAnsi="宋体" w:eastAsia="宋体" w:cs="宋体"/>
          <w:color w:val="auto"/>
          <w:spacing w:val="-2"/>
          <w:sz w:val="24"/>
          <w:szCs w:val="24"/>
          <w:highlight w:val="none"/>
        </w:rPr>
        <w:t>日内，招标人应将中标结果在广东省招标投标</w:t>
      </w:r>
      <w:r>
        <w:rPr>
          <w:rFonts w:hint="eastAsia" w:ascii="宋体" w:hAnsi="宋体" w:eastAsia="宋体" w:cs="宋体"/>
          <w:color w:val="auto"/>
          <w:spacing w:val="-3"/>
          <w:sz w:val="24"/>
          <w:szCs w:val="24"/>
          <w:highlight w:val="none"/>
        </w:rPr>
        <w:t>监管网（http:</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//zbtb.gd.gov.cn）、全国公共资源交易平台（广东省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14:paraId="4AC0E276">
      <w:pPr>
        <w:spacing w:before="151" w:line="360" w:lineRule="auto"/>
        <w:ind w:left="476"/>
        <w:outlineLvl w:val="2"/>
        <w:rPr>
          <w:rFonts w:hint="eastAsia" w:ascii="宋体" w:hAnsi="宋体" w:eastAsia="宋体" w:cs="宋体"/>
          <w:b/>
          <w:bCs/>
          <w:color w:val="auto"/>
          <w:spacing w:val="-11"/>
          <w:sz w:val="24"/>
          <w:szCs w:val="24"/>
          <w:highlight w:val="none"/>
        </w:rPr>
      </w:pPr>
      <w:bookmarkStart w:id="167" w:name="_Toc28533"/>
      <w:bookmarkStart w:id="168" w:name="_Toc15464"/>
      <w:r>
        <w:rPr>
          <w:rFonts w:hint="eastAsia" w:ascii="宋体" w:hAnsi="宋体" w:eastAsia="宋体" w:cs="宋体"/>
          <w:b/>
          <w:bCs/>
          <w:color w:val="auto"/>
          <w:spacing w:val="-11"/>
          <w:sz w:val="24"/>
          <w:szCs w:val="24"/>
          <w:highlight w:val="none"/>
        </w:rPr>
        <w:t>3</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履约保证</w:t>
      </w:r>
      <w:bookmarkEnd w:id="167"/>
      <w:bookmarkEnd w:id="168"/>
    </w:p>
    <w:p w14:paraId="6B965CAC">
      <w:pPr>
        <w:keepNext w:val="0"/>
        <w:keepLines w:val="0"/>
        <w:pageBreakBefore w:val="0"/>
        <w:widowControl/>
        <w:kinsoku w:val="0"/>
        <w:wordWrap/>
        <w:overflowPunct/>
        <w:topLinePunct w:val="0"/>
        <w:autoSpaceDE w:val="0"/>
        <w:autoSpaceDN w:val="0"/>
        <w:bidi w:val="0"/>
        <w:adjustRightInd w:val="0"/>
        <w:snapToGrid w:val="0"/>
        <w:spacing w:before="153" w:line="360" w:lineRule="auto"/>
        <w:ind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10</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5</w:t>
      </w:r>
      <w:r>
        <w:rPr>
          <w:rFonts w:hint="eastAsia" w:ascii="宋体" w:hAnsi="宋体" w:eastAsia="宋体" w:cs="宋体"/>
          <w:color w:val="auto"/>
          <w:spacing w:val="-1"/>
          <w:position w:val="2"/>
          <w:sz w:val="24"/>
          <w:szCs w:val="24"/>
          <w:highlight w:val="none"/>
          <w:u w:val="single"/>
        </w:rPr>
        <w:t>%</w:t>
      </w:r>
      <w:r>
        <w:rPr>
          <w:rFonts w:hint="eastAsia" w:ascii="宋体" w:hAnsi="宋体" w:eastAsia="宋体" w:cs="宋体"/>
          <w:color w:val="auto"/>
          <w:spacing w:val="-1"/>
          <w:position w:val="2"/>
          <w:sz w:val="24"/>
          <w:szCs w:val="24"/>
          <w:highlight w:val="none"/>
        </w:rPr>
        <w:t>的履约保证。联合体中标的，由联合体牵头人提交。</w:t>
      </w:r>
    </w:p>
    <w:p w14:paraId="419293D0">
      <w:pPr>
        <w:keepNext w:val="0"/>
        <w:keepLines w:val="0"/>
        <w:pageBreakBefore w:val="0"/>
        <w:widowControl w:val="0"/>
        <w:kinsoku w:val="0"/>
        <w:overflowPunct/>
        <w:topLinePunct w:val="0"/>
        <w:autoSpaceDE w:val="0"/>
        <w:autoSpaceDN w:val="0"/>
        <w:bidi w:val="0"/>
        <w:adjustRightInd w:val="0"/>
        <w:snapToGrid w:val="0"/>
        <w:spacing w:before="89" w:line="360" w:lineRule="auto"/>
        <w:ind w:left="12" w:right="108" w:firstLine="473"/>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
          <w:sz w:val="24"/>
          <w:szCs w:val="24"/>
          <w:highlight w:val="none"/>
        </w:rPr>
        <w:t>有效期应当自合同生效之日起至项目通过竣工验收之日后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 天止。</w:t>
      </w:r>
    </w:p>
    <w:p w14:paraId="29CA7BCE">
      <w:pPr>
        <w:keepNext w:val="0"/>
        <w:keepLines w:val="0"/>
        <w:pageBreakBefore w:val="0"/>
        <w:widowControl w:val="0"/>
        <w:kinsoku w:val="0"/>
        <w:wordWrap w:val="0"/>
        <w:overflowPunct/>
        <w:topLinePunct w:val="0"/>
        <w:autoSpaceDE w:val="0"/>
        <w:autoSpaceDN w:val="0"/>
        <w:bidi w:val="0"/>
        <w:adjustRightInd w:val="0"/>
        <w:snapToGrid w:val="0"/>
        <w:spacing w:line="360" w:lineRule="auto"/>
        <w:ind w:firstLine="562"/>
        <w:textAlignment w:val="baseline"/>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注：中标通知书发出时，招标人发起收缴履约保证金并填写保证金金额、缴交时限和项目工期；由中标人在建设工程交易系统中自主选择一种进行缴交。项目竣工后，由招标人发起退保。）</w:t>
      </w:r>
    </w:p>
    <w:p w14:paraId="0C149FC0">
      <w:pPr>
        <w:keepNext w:val="0"/>
        <w:keepLines w:val="0"/>
        <w:pageBreakBefore w:val="0"/>
        <w:widowControl w:val="0"/>
        <w:kinsoku w:val="0"/>
        <w:overflowPunct/>
        <w:topLinePunct w:val="0"/>
        <w:autoSpaceDE w:val="0"/>
        <w:autoSpaceDN w:val="0"/>
        <w:bidi w:val="0"/>
        <w:adjustRightInd w:val="0"/>
        <w:snapToGrid w:val="0"/>
        <w:spacing w:before="145" w:line="360" w:lineRule="auto"/>
        <w:ind w:left="12" w:right="108" w:firstLine="47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中标人在领取中标通知书之日起10个工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出第一次提醒函；在领取中标通知书之日起15个工作日内仍未提交的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二次提醒函；在领取中标通知书之日起20个工作日内仍未提交的，视其放弃中标。并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03CC3AE0">
      <w:pPr>
        <w:keepNext w:val="0"/>
        <w:keepLines w:val="0"/>
        <w:pageBreakBefore w:val="0"/>
        <w:widowControl w:val="0"/>
        <w:kinsoku w:val="0"/>
        <w:overflowPunct/>
        <w:topLinePunct w:val="0"/>
        <w:autoSpaceDE w:val="0"/>
        <w:autoSpaceDN w:val="0"/>
        <w:bidi w:val="0"/>
        <w:adjustRightInd w:val="0"/>
        <w:snapToGrid w:val="0"/>
        <w:spacing w:before="152" w:line="360" w:lineRule="auto"/>
        <w:ind w:left="12" w:right="108"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3E738746">
      <w:pPr>
        <w:keepNext w:val="0"/>
        <w:keepLines w:val="0"/>
        <w:pageBreakBefore w:val="0"/>
        <w:widowControl w:val="0"/>
        <w:kinsoku w:val="0"/>
        <w:overflowPunct/>
        <w:topLinePunct w:val="0"/>
        <w:autoSpaceDE w:val="0"/>
        <w:autoSpaceDN w:val="0"/>
        <w:bidi w:val="0"/>
        <w:adjustRightInd w:val="0"/>
        <w:snapToGrid w:val="0"/>
        <w:spacing w:before="154" w:line="360" w:lineRule="auto"/>
        <w:ind w:left="486"/>
        <w:textAlignment w:val="baseline"/>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 天内，发包人将履</w:t>
      </w:r>
      <w:r>
        <w:rPr>
          <w:rFonts w:hint="eastAsia" w:ascii="宋体" w:hAnsi="宋体" w:eastAsia="宋体" w:cs="宋体"/>
          <w:color w:val="auto"/>
          <w:spacing w:val="-1"/>
          <w:sz w:val="24"/>
          <w:szCs w:val="24"/>
          <w:highlight w:val="none"/>
        </w:rPr>
        <w:t>约保证退还给承包人。</w:t>
      </w:r>
    </w:p>
    <w:p w14:paraId="2AC22F1D">
      <w:pPr>
        <w:spacing w:before="151" w:line="360" w:lineRule="auto"/>
        <w:ind w:left="476"/>
        <w:outlineLvl w:val="2"/>
        <w:rPr>
          <w:rFonts w:hint="eastAsia" w:ascii="宋体" w:hAnsi="宋体" w:eastAsia="宋体" w:cs="宋体"/>
          <w:b/>
          <w:bCs/>
          <w:color w:val="auto"/>
          <w:spacing w:val="-11"/>
          <w:sz w:val="24"/>
          <w:szCs w:val="24"/>
          <w:highlight w:val="none"/>
        </w:rPr>
      </w:pPr>
      <w:bookmarkStart w:id="169" w:name="_Toc23236"/>
      <w:bookmarkStart w:id="170" w:name="_Toc8851"/>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合同订立</w:t>
      </w:r>
      <w:bookmarkEnd w:id="169"/>
      <w:bookmarkEnd w:id="170"/>
    </w:p>
    <w:p w14:paraId="7ECD82C0">
      <w:pPr>
        <w:spacing w:before="150" w:line="360" w:lineRule="auto"/>
        <w:ind w:left="13"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6CC66F44">
      <w:pPr>
        <w:spacing w:before="150" w:line="360" w:lineRule="auto"/>
        <w:ind w:left="13" w:right="108" w:firstLine="474"/>
        <w:rPr>
          <w:rFonts w:hint="eastAsia" w:ascii="宋体" w:hAnsi="宋体" w:eastAsia="宋体" w:cs="宋体"/>
          <w:b w:val="0"/>
          <w:bCs w:val="0"/>
          <w:color w:val="auto"/>
          <w:sz w:val="24"/>
          <w:szCs w:val="24"/>
          <w:highlight w:val="none"/>
        </w:rPr>
      </w:pPr>
      <w:bookmarkStart w:id="171" w:name="_Toc24043"/>
      <w:r>
        <w:rPr>
          <w:rFonts w:hint="eastAsia" w:ascii="宋体" w:hAnsi="宋体" w:eastAsia="宋体" w:cs="宋体"/>
          <w:b/>
          <w:bCs/>
          <w:color w:val="auto"/>
          <w:sz w:val="24"/>
          <w:szCs w:val="24"/>
          <w:highlight w:val="none"/>
        </w:rPr>
        <w:t xml:space="preserve">4.2  </w:t>
      </w:r>
      <w:r>
        <w:rPr>
          <w:rFonts w:hint="eastAsia" w:ascii="宋体" w:hAnsi="宋体" w:eastAsia="宋体" w:cs="宋体"/>
          <w:b w:val="0"/>
          <w:bCs w:val="0"/>
          <w:color w:val="auto"/>
          <w:sz w:val="24"/>
          <w:szCs w:val="24"/>
          <w:highlight w:val="none"/>
        </w:rPr>
        <w:t>不正常报价的梳理和确认</w:t>
      </w:r>
      <w:bookmarkEnd w:id="171"/>
    </w:p>
    <w:p w14:paraId="0F0E66BC">
      <w:pPr>
        <w:spacing w:before="154" w:line="360" w:lineRule="auto"/>
        <w:ind w:left="14" w:right="64"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权编制本项目招标控制价的造价咨询单位实施。</w:t>
      </w:r>
    </w:p>
    <w:p w14:paraId="60493062">
      <w:pPr>
        <w:spacing w:before="121" w:line="360" w:lineRule="auto"/>
        <w:ind w:left="14" w:right="65"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7BB0AF98">
      <w:pPr>
        <w:spacing w:before="157" w:line="360" w:lineRule="auto"/>
        <w:ind w:left="12" w:right="66"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1AF8E3BC">
      <w:pPr>
        <w:spacing w:before="121" w:line="360" w:lineRule="auto"/>
        <w:ind w:firstLine="490"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不平衡报价的认定。经修正算术性错误后的中标人已标价工程量清单中，对于投标报价中综合单价相对招标控制价《分部分项工程和单价措施项目清单与计价表》中对应综合单价的偏差大于±15%的清</w:t>
      </w:r>
      <w:r>
        <w:rPr>
          <w:rFonts w:hint="eastAsia" w:ascii="宋体" w:hAnsi="宋体" w:eastAsia="宋体" w:cs="宋体"/>
          <w:color w:val="auto"/>
          <w:spacing w:val="-3"/>
          <w:sz w:val="24"/>
          <w:szCs w:val="24"/>
          <w:highlight w:val="none"/>
        </w:rPr>
        <w:t>单项目，视为不平衡报价项目。</w:t>
      </w:r>
    </w:p>
    <w:p w14:paraId="48F72EBF">
      <w:pPr>
        <w:spacing w:before="146" w:line="360" w:lineRule="auto"/>
        <w:ind w:left="10" w:right="65" w:firstLine="478"/>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4.2.5 </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489EB373">
      <w:pPr>
        <w:spacing w:before="34" w:line="360" w:lineRule="auto"/>
        <w:ind w:left="12" w:right="65" w:firstLine="47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4.2.6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46FD6D81">
      <w:pPr>
        <w:spacing w:before="33" w:line="360" w:lineRule="auto"/>
        <w:ind w:left="12" w:right="38" w:firstLine="476"/>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4.2.7  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3442E2E5">
      <w:pPr>
        <w:spacing w:before="120" w:line="360" w:lineRule="auto"/>
        <w:ind w:left="11" w:right="28" w:firstLine="476"/>
        <w:rPr>
          <w:rFonts w:hint="eastAsia" w:ascii="宋体" w:hAnsi="宋体" w:eastAsia="宋体" w:cs="宋体"/>
          <w:b/>
          <w:bCs/>
          <w:color w:val="auto"/>
          <w:spacing w:val="-4"/>
          <w:sz w:val="24"/>
          <w:szCs w:val="24"/>
          <w:highlight w:val="none"/>
        </w:rPr>
      </w:pPr>
      <w:bookmarkStart w:id="172" w:name="_Toc17784"/>
      <w:r>
        <w:rPr>
          <w:rFonts w:hint="eastAsia" w:ascii="宋体" w:hAnsi="宋体" w:eastAsia="宋体" w:cs="宋体"/>
          <w:b/>
          <w:bCs/>
          <w:color w:val="auto"/>
          <w:spacing w:val="-4"/>
          <w:sz w:val="24"/>
          <w:szCs w:val="24"/>
          <w:highlight w:val="none"/>
        </w:rPr>
        <w:t xml:space="preserve">4.3  </w:t>
      </w:r>
      <w:r>
        <w:rPr>
          <w:rFonts w:hint="eastAsia" w:ascii="宋体" w:hAnsi="宋体" w:eastAsia="宋体" w:cs="宋体"/>
          <w:b w:val="0"/>
          <w:bCs w:val="0"/>
          <w:color w:val="auto"/>
          <w:spacing w:val="-4"/>
          <w:sz w:val="24"/>
          <w:szCs w:val="24"/>
          <w:highlight w:val="none"/>
        </w:rPr>
        <w:t>本招标项目合同计价方式为：</w:t>
      </w:r>
      <w:r>
        <w:rPr>
          <w:rFonts w:hint="eastAsia" w:ascii="宋体" w:hAnsi="宋体" w:eastAsia="宋体" w:cs="宋体"/>
          <w:b w:val="0"/>
          <w:bCs w:val="0"/>
          <w:color w:val="auto"/>
          <w:spacing w:val="-4"/>
          <w:sz w:val="24"/>
          <w:szCs w:val="24"/>
          <w:highlight w:val="none"/>
          <w:u w:val="single"/>
          <w:lang w:eastAsia="zh-CN"/>
        </w:rPr>
        <w:t>单</w:t>
      </w:r>
      <w:r>
        <w:rPr>
          <w:rFonts w:hint="eastAsia" w:ascii="宋体" w:hAnsi="宋体" w:eastAsia="宋体" w:cs="宋体"/>
          <w:b w:val="0"/>
          <w:bCs w:val="0"/>
          <w:color w:val="auto"/>
          <w:spacing w:val="-4"/>
          <w:sz w:val="24"/>
          <w:szCs w:val="24"/>
          <w:highlight w:val="none"/>
          <w:u w:val="single"/>
        </w:rPr>
        <w:t>价</w:t>
      </w:r>
      <w:r>
        <w:rPr>
          <w:rFonts w:hint="eastAsia" w:ascii="宋体" w:hAnsi="宋体" w:eastAsia="宋体" w:cs="宋体"/>
          <w:b w:val="0"/>
          <w:bCs w:val="0"/>
          <w:color w:val="auto"/>
          <w:spacing w:val="-4"/>
          <w:sz w:val="24"/>
          <w:szCs w:val="24"/>
          <w:highlight w:val="none"/>
        </w:rPr>
        <w:t>合同。</w:t>
      </w:r>
      <w:bookmarkEnd w:id="172"/>
    </w:p>
    <w:p w14:paraId="2F349CEC">
      <w:pPr>
        <w:spacing w:before="120" w:line="360" w:lineRule="auto"/>
        <w:ind w:left="11" w:right="28"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7B139D88">
      <w:pPr>
        <w:spacing w:before="158" w:line="360" w:lineRule="auto"/>
        <w:ind w:left="12" w:right="9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 天内仍未签订，视其放弃中标。</w:t>
      </w:r>
    </w:p>
    <w:p w14:paraId="5665F3E1">
      <w:pPr>
        <w:spacing w:before="155" w:line="360" w:lineRule="auto"/>
        <w:ind w:left="12" w:right="82" w:firstLine="474"/>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在书面合同订立之日起2个工作日内，由中标人或招标代理机构将合同上传至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建设工程交易系统，并发起退还投标保证的申请。韶关市公共资源交易中心在收到申请之日起3个工作日内，将投标保证金（或银行保函）退还给中标人和其他中标候选人。</w:t>
      </w:r>
    </w:p>
    <w:p w14:paraId="2C73A4D6">
      <w:pPr>
        <w:spacing w:before="151" w:line="360" w:lineRule="auto"/>
        <w:ind w:left="476"/>
        <w:outlineLvl w:val="2"/>
        <w:rPr>
          <w:rFonts w:hint="eastAsia" w:ascii="宋体" w:hAnsi="宋体" w:eastAsia="宋体" w:cs="宋体"/>
          <w:b/>
          <w:bCs/>
          <w:color w:val="auto"/>
          <w:spacing w:val="-11"/>
          <w:sz w:val="24"/>
          <w:szCs w:val="24"/>
          <w:highlight w:val="none"/>
        </w:rPr>
      </w:pPr>
      <w:bookmarkStart w:id="173" w:name="_Toc21620"/>
      <w:bookmarkStart w:id="174" w:name="_Toc23772"/>
      <w:r>
        <w:rPr>
          <w:rFonts w:hint="eastAsia" w:ascii="宋体" w:hAnsi="宋体" w:eastAsia="宋体" w:cs="宋体"/>
          <w:b/>
          <w:bCs/>
          <w:color w:val="auto"/>
          <w:spacing w:val="-11"/>
          <w:sz w:val="24"/>
          <w:szCs w:val="24"/>
          <w:highlight w:val="none"/>
        </w:rPr>
        <w:t>5</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放弃中标的处理</w:t>
      </w:r>
      <w:bookmarkEnd w:id="173"/>
      <w:bookmarkEnd w:id="174"/>
    </w:p>
    <w:p w14:paraId="6DEC4651">
      <w:pPr>
        <w:spacing w:before="150" w:line="360" w:lineRule="auto"/>
        <w:ind w:left="12" w:right="91" w:firstLine="47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招标人重新招标的，招标人可不接受该弃标人再次投标。同时，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395ACED5">
      <w:pPr>
        <w:spacing w:before="79" w:line="360" w:lineRule="auto"/>
        <w:ind w:left="10" w:right="91" w:firstLine="479"/>
        <w:rPr>
          <w:rFonts w:hint="default" w:ascii="宋体" w:hAnsi="宋体" w:eastAsia="宋体" w:cs="宋体"/>
          <w:lang w:val="en-US" w:eastAsia="zh-CN"/>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75" w:name="bookmark84"/>
      <w:bookmarkEnd w:id="175"/>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14:paraId="326B6CF0">
      <w:pPr>
        <w:rPr>
          <w:rFonts w:hint="eastAsia" w:ascii="宋体" w:hAnsi="宋体" w:eastAsia="宋体" w:cs="宋体"/>
          <w:lang w:val="en-US" w:eastAsia="zh-CN"/>
        </w:rPr>
      </w:pPr>
    </w:p>
    <w:p w14:paraId="5B389023">
      <w:pPr>
        <w:rPr>
          <w:rFonts w:hint="eastAsia" w:ascii="宋体" w:hAnsi="宋体" w:eastAsia="宋体" w:cs="宋体"/>
          <w:lang w:val="en-US" w:eastAsia="zh-CN"/>
        </w:rPr>
      </w:pPr>
    </w:p>
    <w:p w14:paraId="6444F542">
      <w:pPr>
        <w:rPr>
          <w:rFonts w:hint="eastAsia" w:ascii="宋体" w:hAnsi="宋体" w:eastAsia="宋体" w:cs="宋体"/>
          <w:lang w:val="en-US" w:eastAsia="zh-CN"/>
        </w:rPr>
      </w:pPr>
    </w:p>
    <w:p w14:paraId="33DC35FD">
      <w:pPr>
        <w:rPr>
          <w:rFonts w:hint="eastAsia" w:ascii="宋体" w:hAnsi="宋体" w:eastAsia="宋体" w:cs="宋体"/>
          <w:lang w:val="en-US" w:eastAsia="zh-CN"/>
        </w:rPr>
      </w:pPr>
    </w:p>
    <w:p w14:paraId="6E838CFD">
      <w:pPr>
        <w:rPr>
          <w:rFonts w:hint="eastAsia" w:ascii="宋体" w:hAnsi="宋体" w:eastAsia="宋体" w:cs="宋体"/>
          <w:lang w:val="en-US" w:eastAsia="zh-CN"/>
        </w:rPr>
      </w:pPr>
    </w:p>
    <w:p w14:paraId="1778A1B0">
      <w:pPr>
        <w:rPr>
          <w:rFonts w:hint="eastAsia" w:ascii="宋体" w:hAnsi="宋体" w:eastAsia="宋体" w:cs="宋体"/>
          <w:lang w:val="en-US" w:eastAsia="zh-CN"/>
        </w:rPr>
      </w:pPr>
    </w:p>
    <w:p w14:paraId="18DDD488">
      <w:pPr>
        <w:rPr>
          <w:rFonts w:hint="eastAsia" w:ascii="宋体" w:hAnsi="宋体" w:eastAsia="宋体" w:cs="宋体"/>
          <w:lang w:val="en-US" w:eastAsia="zh-CN"/>
        </w:rPr>
      </w:pPr>
    </w:p>
    <w:p w14:paraId="79F60456">
      <w:pPr>
        <w:pStyle w:val="2"/>
        <w:rPr>
          <w:rFonts w:hint="eastAsia" w:ascii="宋体" w:hAnsi="宋体" w:eastAsia="宋体" w:cs="宋体"/>
          <w:lang w:val="en-US" w:eastAsia="zh-CN"/>
        </w:rPr>
      </w:pPr>
    </w:p>
    <w:p w14:paraId="464C7AD6">
      <w:pPr>
        <w:rPr>
          <w:rFonts w:hint="eastAsia" w:ascii="宋体" w:hAnsi="宋体" w:eastAsia="宋体" w:cs="宋体"/>
          <w:lang w:val="en-US" w:eastAsia="zh-CN"/>
        </w:rPr>
      </w:pPr>
    </w:p>
    <w:p w14:paraId="74C00C7D">
      <w:pPr>
        <w:pStyle w:val="2"/>
        <w:rPr>
          <w:rFonts w:hint="eastAsia"/>
          <w:lang w:val="en-US" w:eastAsia="zh-CN"/>
        </w:rPr>
      </w:pPr>
    </w:p>
    <w:p w14:paraId="43A791B5">
      <w:pPr>
        <w:rPr>
          <w:rFonts w:hint="eastAsia" w:ascii="宋体" w:hAnsi="宋体" w:eastAsia="宋体" w:cs="宋体"/>
          <w:lang w:val="en-US" w:eastAsia="zh-CN"/>
        </w:rPr>
      </w:pPr>
    </w:p>
    <w:p w14:paraId="21CE945E">
      <w:pPr>
        <w:rPr>
          <w:rFonts w:hint="eastAsia" w:ascii="宋体" w:hAnsi="宋体" w:eastAsia="宋体" w:cs="宋体"/>
          <w:lang w:val="en-US" w:eastAsia="zh-CN"/>
        </w:rPr>
      </w:pPr>
    </w:p>
    <w:p w14:paraId="36A6D888">
      <w:pPr>
        <w:rPr>
          <w:rFonts w:hint="eastAsia" w:ascii="宋体" w:hAnsi="宋体" w:eastAsia="宋体" w:cs="宋体"/>
          <w:lang w:val="en-US" w:eastAsia="zh-CN"/>
        </w:rPr>
      </w:pPr>
    </w:p>
    <w:p w14:paraId="32A3C541">
      <w:pPr>
        <w:spacing w:before="78" w:line="360" w:lineRule="auto"/>
        <w:ind w:left="2923"/>
        <w:outlineLvl w:val="0"/>
        <w:rPr>
          <w:rFonts w:hint="eastAsia" w:ascii="宋体" w:hAnsi="宋体" w:eastAsia="宋体" w:cs="宋体"/>
          <w:color w:val="auto"/>
          <w:highlight w:val="none"/>
        </w:rPr>
      </w:pPr>
      <w:bookmarkStart w:id="176" w:name="bookmark86"/>
      <w:bookmarkEnd w:id="176"/>
      <w:bookmarkStart w:id="177" w:name="_Toc24083"/>
      <w:bookmarkStart w:id="178" w:name="_Toc6714"/>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拟签订合同的主要条款</w:t>
      </w:r>
      <w:bookmarkEnd w:id="177"/>
      <w:bookmarkEnd w:id="178"/>
    </w:p>
    <w:p w14:paraId="3ABC111F">
      <w:pPr>
        <w:spacing w:before="151" w:line="360" w:lineRule="auto"/>
        <w:ind w:left="476"/>
        <w:outlineLvl w:val="2"/>
        <w:rPr>
          <w:rFonts w:hint="eastAsia" w:ascii="宋体" w:hAnsi="宋体" w:eastAsia="宋体" w:cs="宋体"/>
          <w:b/>
          <w:bCs/>
          <w:color w:val="auto"/>
          <w:spacing w:val="-11"/>
          <w:sz w:val="24"/>
          <w:szCs w:val="24"/>
          <w:highlight w:val="none"/>
        </w:rPr>
      </w:pPr>
      <w:bookmarkStart w:id="179" w:name="_Toc9967"/>
      <w:bookmarkStart w:id="180" w:name="_Toc16212"/>
      <w:r>
        <w:rPr>
          <w:rFonts w:hint="eastAsia" w:ascii="宋体" w:hAnsi="宋体" w:eastAsia="宋体" w:cs="宋体"/>
          <w:b/>
          <w:bCs/>
          <w:color w:val="auto"/>
          <w:spacing w:val="-11"/>
          <w:sz w:val="24"/>
          <w:szCs w:val="24"/>
          <w:highlight w:val="none"/>
        </w:rPr>
        <w:t>1</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工程承包方式</w:t>
      </w:r>
      <w:bookmarkEnd w:id="179"/>
      <w:bookmarkEnd w:id="180"/>
    </w:p>
    <w:p w14:paraId="44A100EA">
      <w:pPr>
        <w:spacing w:before="153" w:line="360" w:lineRule="auto"/>
        <w:ind w:left="11" w:right="295" w:firstLine="487"/>
        <w:rPr>
          <w:rFonts w:hint="eastAsia" w:ascii="宋体" w:hAnsi="宋体" w:eastAsia="宋体" w:cs="宋体"/>
          <w:sz w:val="24"/>
          <w:szCs w:val="24"/>
        </w:rPr>
      </w:pPr>
      <w:r>
        <w:rPr>
          <w:rFonts w:hint="eastAsia" w:ascii="宋体" w:hAnsi="宋体" w:eastAsia="宋体" w:cs="宋体"/>
          <w:b/>
          <w:bCs/>
          <w:color w:val="auto"/>
          <w:sz w:val="24"/>
          <w:szCs w:val="24"/>
          <w:highlight w:val="none"/>
        </w:rPr>
        <w:t xml:space="preserve">1.1  </w:t>
      </w:r>
      <w:r>
        <w:rPr>
          <w:rFonts w:hint="eastAsia" w:ascii="宋体" w:hAnsi="宋体" w:eastAsia="宋体" w:cs="宋体"/>
          <w:sz w:val="24"/>
          <w:szCs w:val="24"/>
        </w:rPr>
        <w:t>承包人以中标价按包工包料、包质量、包安全包文明施工、包工期方式总承包施工，不允许转包和违法分包，如果确需分包须与发包人协商，在得到发包人和监理单位同意后报建设行政主管部门备案。</w:t>
      </w:r>
    </w:p>
    <w:p w14:paraId="357A5275">
      <w:pPr>
        <w:spacing w:before="153"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498F9F49">
      <w:pPr>
        <w:spacing w:before="156"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7B11DC55">
      <w:pPr>
        <w:spacing w:before="153"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2599FB52">
      <w:pPr>
        <w:spacing w:before="154" w:line="360" w:lineRule="auto"/>
        <w:ind w:left="580"/>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325AF9D0">
      <w:pPr>
        <w:spacing w:before="151" w:line="360" w:lineRule="auto"/>
        <w:ind w:left="476"/>
        <w:outlineLvl w:val="2"/>
        <w:rPr>
          <w:rFonts w:hint="eastAsia" w:ascii="宋体" w:hAnsi="宋体" w:eastAsia="宋体" w:cs="宋体"/>
          <w:b/>
          <w:bCs/>
          <w:color w:val="auto"/>
          <w:spacing w:val="-11"/>
          <w:sz w:val="24"/>
          <w:szCs w:val="24"/>
          <w:highlight w:val="none"/>
        </w:rPr>
      </w:pPr>
      <w:bookmarkStart w:id="181" w:name="bookmark88"/>
      <w:bookmarkEnd w:id="181"/>
      <w:bookmarkStart w:id="182" w:name="_Toc4294"/>
      <w:bookmarkStart w:id="183" w:name="_Toc32757"/>
      <w:r>
        <w:rPr>
          <w:rFonts w:hint="eastAsia" w:ascii="宋体" w:hAnsi="宋体" w:eastAsia="宋体" w:cs="宋体"/>
          <w:b/>
          <w:bCs/>
          <w:color w:val="auto"/>
          <w:spacing w:val="-11"/>
          <w:sz w:val="24"/>
          <w:szCs w:val="24"/>
          <w:highlight w:val="none"/>
        </w:rPr>
        <w:t>2</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工程结算原则</w:t>
      </w:r>
      <w:bookmarkEnd w:id="182"/>
      <w:bookmarkEnd w:id="183"/>
    </w:p>
    <w:p w14:paraId="6CAE90BE">
      <w:pPr>
        <w:spacing w:before="155" w:line="360" w:lineRule="auto"/>
        <w:ind w:left="12" w:right="231" w:firstLine="476"/>
        <w:rPr>
          <w:rFonts w:hint="eastAsia" w:ascii="宋体" w:hAnsi="宋体" w:eastAsia="宋体" w:cs="宋体"/>
          <w:b w:val="0"/>
          <w:bCs w:val="0"/>
          <w:color w:val="auto"/>
          <w:spacing w:val="2"/>
          <w:sz w:val="24"/>
          <w:szCs w:val="24"/>
          <w:highlight w:val="none"/>
        </w:rPr>
      </w:pPr>
      <w:bookmarkStart w:id="184" w:name="_Toc15115"/>
      <w:r>
        <w:rPr>
          <w:rFonts w:hint="eastAsia" w:ascii="宋体" w:hAnsi="宋体" w:eastAsia="宋体" w:cs="宋体"/>
          <w:b/>
          <w:bCs/>
          <w:color w:val="auto"/>
          <w:spacing w:val="2"/>
          <w:sz w:val="24"/>
          <w:szCs w:val="24"/>
          <w:highlight w:val="none"/>
        </w:rPr>
        <w:t xml:space="preserve">2.1 </w:t>
      </w:r>
      <w:r>
        <w:rPr>
          <w:rFonts w:hint="eastAsia" w:ascii="宋体" w:hAnsi="宋体" w:eastAsia="宋体" w:cs="宋体"/>
          <w:b w:val="0"/>
          <w:bCs w:val="0"/>
          <w:color w:val="auto"/>
          <w:spacing w:val="2"/>
          <w:sz w:val="24"/>
          <w:szCs w:val="24"/>
          <w:highlight w:val="none"/>
        </w:rPr>
        <w:t>承包人的投标总价为中标价，即为签约合同价。</w:t>
      </w:r>
      <w:bookmarkEnd w:id="184"/>
    </w:p>
    <w:p w14:paraId="467FC701">
      <w:pPr>
        <w:spacing w:before="155" w:line="360" w:lineRule="auto"/>
        <w:ind w:left="12" w:right="231"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量按《建设工程工程量清单计价规范》（GB50500—2013）对工程计量的规定进行计量，</w:t>
      </w:r>
      <w:r>
        <w:rPr>
          <w:rFonts w:hint="eastAsia" w:ascii="宋体" w:hAnsi="宋体" w:eastAsia="宋体" w:cs="宋体"/>
          <w:color w:val="auto"/>
          <w:spacing w:val="-2"/>
          <w:sz w:val="24"/>
          <w:szCs w:val="24"/>
          <w:highlight w:val="none"/>
        </w:rPr>
        <w:t>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198451DE">
      <w:pPr>
        <w:keepNext w:val="0"/>
        <w:keepLines w:val="0"/>
        <w:pageBreakBefore w:val="0"/>
        <w:widowControl w:val="0"/>
        <w:kinsoku w:val="0"/>
        <w:wordWrap/>
        <w:overflowPunct/>
        <w:topLinePunct w:val="0"/>
        <w:autoSpaceDE w:val="0"/>
        <w:autoSpaceDN w:val="0"/>
        <w:bidi w:val="0"/>
        <w:adjustRightInd w:val="0"/>
        <w:snapToGrid w:val="0"/>
        <w:spacing w:before="38" w:line="360" w:lineRule="auto"/>
        <w:ind w:left="12" w:right="183" w:firstLine="4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54A4EF37">
      <w:pPr>
        <w:keepNext w:val="0"/>
        <w:keepLines w:val="0"/>
        <w:pageBreakBefore w:val="0"/>
        <w:widowControl w:val="0"/>
        <w:kinsoku w:val="0"/>
        <w:wordWrap/>
        <w:overflowPunct/>
        <w:topLinePunct w:val="0"/>
        <w:autoSpaceDE w:val="0"/>
        <w:autoSpaceDN w:val="0"/>
        <w:bidi w:val="0"/>
        <w:adjustRightInd w:val="0"/>
        <w:snapToGrid w:val="0"/>
        <w:spacing w:before="227"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56C8E9DF">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left="10" w:right="183"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基准日之后，因国家法律、法规、规章和政策发生变化引起工程造价增减变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491AEAF4">
      <w:pPr>
        <w:keepNext w:val="0"/>
        <w:keepLines w:val="0"/>
        <w:pageBreakBefore w:val="0"/>
        <w:widowControl w:val="0"/>
        <w:kinsoku w:val="0"/>
        <w:wordWrap/>
        <w:overflowPunct/>
        <w:topLinePunct w:val="0"/>
        <w:autoSpaceDE w:val="0"/>
        <w:autoSpaceDN w:val="0"/>
        <w:bidi w:val="0"/>
        <w:adjustRightInd w:val="0"/>
        <w:snapToGrid w:val="0"/>
        <w:spacing w:before="157" w:line="360" w:lineRule="auto"/>
        <w:ind w:left="12" w:right="183" w:firstLine="479"/>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”）前28天。</w:t>
      </w:r>
    </w:p>
    <w:p w14:paraId="4F023809">
      <w:pPr>
        <w:keepNext w:val="0"/>
        <w:keepLines w:val="0"/>
        <w:pageBreakBefore w:val="0"/>
        <w:widowControl w:val="0"/>
        <w:kinsoku w:val="0"/>
        <w:wordWrap/>
        <w:overflowPunct/>
        <w:topLinePunct w:val="0"/>
        <w:autoSpaceDE w:val="0"/>
        <w:autoSpaceDN w:val="0"/>
        <w:bidi w:val="0"/>
        <w:adjustRightInd w:val="0"/>
        <w:snapToGrid w:val="0"/>
        <w:spacing w:before="33" w:line="360" w:lineRule="auto"/>
        <w:ind w:left="11"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.3.1.1</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1EE4469D">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0ED2F0AF">
      <w:pPr>
        <w:keepNext w:val="0"/>
        <w:keepLines w:val="0"/>
        <w:pageBreakBefore w:val="0"/>
        <w:widowControl w:val="0"/>
        <w:kinsoku w:val="0"/>
        <w:wordWrap/>
        <w:overflowPunct/>
        <w:topLinePunct w:val="0"/>
        <w:autoSpaceDE w:val="0"/>
        <w:autoSpaceDN w:val="0"/>
        <w:bidi w:val="0"/>
        <w:adjustRightInd w:val="0"/>
        <w:snapToGrid w:val="0"/>
        <w:spacing w:before="158" w:line="360" w:lineRule="auto"/>
        <w:ind w:left="10" w:right="183"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合同履行期间，当应予计算的实际工程量与招标工程量清单出现偏差或因工程变更引起已标价工程量清单项目的工程数量发生变化时，工程量偏差或变化在15%以</w:t>
      </w:r>
      <w:r>
        <w:rPr>
          <w:rFonts w:hint="eastAsia" w:ascii="宋体" w:hAnsi="宋体" w:eastAsia="宋体" w:cs="宋体"/>
          <w:color w:val="auto"/>
          <w:spacing w:val="-4"/>
          <w:sz w:val="24"/>
          <w:szCs w:val="24"/>
          <w:highlight w:val="none"/>
        </w:rPr>
        <w:t>内（含15%）的，其综合单价不予调整；工程量偏差或变化超过15%的，按照以下规定</w:t>
      </w:r>
      <w:r>
        <w:rPr>
          <w:rFonts w:hint="eastAsia" w:ascii="宋体" w:hAnsi="宋体" w:eastAsia="宋体" w:cs="宋体"/>
          <w:color w:val="auto"/>
          <w:spacing w:val="-3"/>
          <w:sz w:val="24"/>
          <w:szCs w:val="24"/>
          <w:highlight w:val="none"/>
        </w:rPr>
        <w:t>调整：</w:t>
      </w:r>
    </w:p>
    <w:p w14:paraId="0C3E80FB">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2" w:firstLine="478"/>
        <w:jc w:val="both"/>
        <w:textAlignment w:val="baseline"/>
        <w:rPr>
          <w:rFonts w:hint="eastAsia" w:ascii="宋体" w:hAnsi="宋体" w:eastAsia="宋体" w:cs="宋体"/>
          <w:color w:val="auto"/>
          <w:sz w:val="24"/>
          <w:szCs w:val="24"/>
          <w:highlight w:val="none"/>
        </w:rPr>
      </w:pPr>
      <w:bookmarkStart w:id="185" w:name="bookmark142"/>
      <w:bookmarkEnd w:id="185"/>
      <w:r>
        <w:rPr>
          <w:rFonts w:hint="eastAsia" w:ascii="宋体" w:hAnsi="宋体" w:eastAsia="宋体" w:cs="宋体"/>
          <w:color w:val="auto"/>
          <w:spacing w:val="-3"/>
          <w:sz w:val="24"/>
          <w:szCs w:val="24"/>
          <w:highlight w:val="none"/>
        </w:rPr>
        <w:t>对于合理报价的清单项目，当工程量增加超过15%时，增加部分的工程量的综合单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分部分项工程和单价措施项目清单与计价表》中综合单价为基价调低3%；当工程量减少超过15%时，减少后剩余部分的工程量的综合单价以投标报价《分部分项工程和单价措施项目清单与计价表》中综合单价为基价调高3%</w:t>
      </w:r>
      <w:r>
        <w:rPr>
          <w:rFonts w:hint="eastAsia" w:ascii="宋体" w:hAnsi="宋体" w:eastAsia="宋体" w:cs="宋体"/>
          <w:color w:val="auto"/>
          <w:spacing w:val="-1"/>
          <w:sz w:val="24"/>
          <w:szCs w:val="24"/>
          <w:highlight w:val="none"/>
        </w:rPr>
        <w:t>。</w:t>
      </w:r>
    </w:p>
    <w:p w14:paraId="592BA3DF">
      <w:pPr>
        <w:spacing w:before="97" w:line="360" w:lineRule="auto"/>
        <w:ind w:left="13" w:right="179"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单价按照以下方法调整：</w:t>
      </w:r>
    </w:p>
    <w:p w14:paraId="06C0A7F8">
      <w:pPr>
        <w:spacing w:before="36" w:line="360" w:lineRule="auto"/>
        <w:ind w:firstLine="462"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以招标控制价中《分部分项工程和单价措施项目清单与计价表》子目相对应综合单</w:t>
      </w:r>
      <w:r>
        <w:rPr>
          <w:rFonts w:hint="eastAsia" w:ascii="宋体" w:hAnsi="宋体" w:eastAsia="宋体" w:cs="宋体"/>
          <w:b/>
          <w:bCs/>
          <w:color w:val="auto"/>
          <w:spacing w:val="-3"/>
          <w:sz w:val="24"/>
          <w:szCs w:val="24"/>
          <w:highlight w:val="none"/>
        </w:rPr>
        <w:t>价×（1-中标下浮率）。</w:t>
      </w:r>
    </w:p>
    <w:p w14:paraId="61298CCC">
      <w:pPr>
        <w:spacing w:before="36" w:line="360" w:lineRule="auto"/>
        <w:ind w:firstLine="462" w:firstLineChars="200"/>
        <w:rPr>
          <w:rFonts w:hint="eastAsia" w:ascii="宋体" w:hAnsi="宋体" w:eastAsia="宋体" w:cs="宋体"/>
          <w:b/>
          <w:bCs/>
          <w:color w:val="auto"/>
          <w:spacing w:val="-5"/>
          <w:sz w:val="24"/>
          <w:szCs w:val="24"/>
          <w:highlight w:val="none"/>
        </w:rPr>
      </w:pPr>
      <w:bookmarkStart w:id="186" w:name="_Toc12035"/>
      <w:bookmarkStart w:id="187" w:name="_Toc18478"/>
      <w:bookmarkStart w:id="188" w:name="_Toc13345"/>
      <w:r>
        <w:rPr>
          <w:rFonts w:hint="eastAsia" w:ascii="宋体" w:hAnsi="宋体" w:eastAsia="宋体" w:cs="宋体"/>
          <w:b/>
          <w:bCs/>
          <w:color w:val="auto"/>
          <w:spacing w:val="-5"/>
          <w:sz w:val="24"/>
          <w:szCs w:val="24"/>
          <w:highlight w:val="none"/>
        </w:rPr>
        <w:t>中标下浮率=[1-（中标价-中标绿色施工安全防护措施费-暂列金额-暂估价）/（</w:t>
      </w:r>
      <w:bookmarkEnd w:id="186"/>
      <w:bookmarkEnd w:id="187"/>
      <w:bookmarkStart w:id="189" w:name="_Toc15512"/>
      <w:bookmarkStart w:id="190" w:name="_Toc13602"/>
      <w:r>
        <w:rPr>
          <w:rFonts w:hint="eastAsia" w:ascii="宋体" w:hAnsi="宋体" w:eastAsia="宋体" w:cs="宋体"/>
          <w:b/>
          <w:bCs/>
          <w:color w:val="auto"/>
          <w:spacing w:val="-5"/>
          <w:sz w:val="24"/>
          <w:szCs w:val="24"/>
          <w:highlight w:val="none"/>
        </w:rPr>
        <w:t>招标控制价-控制价绿色施工安全防护措施费-暂列金额-暂估价）] ×100%</w:t>
      </w:r>
      <w:bookmarkEnd w:id="188"/>
      <w:bookmarkEnd w:id="189"/>
      <w:bookmarkEnd w:id="190"/>
    </w:p>
    <w:p w14:paraId="39BE2C13">
      <w:pPr>
        <w:spacing w:before="123" w:line="360" w:lineRule="auto"/>
        <w:ind w:left="10" w:right="116" w:firstLine="48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若修正后的该部分《分部分项工程和单价措施项目清单与计价表》总金额大于原投</w:t>
      </w:r>
      <w:r>
        <w:rPr>
          <w:rFonts w:hint="eastAsia" w:ascii="宋体" w:hAnsi="宋体" w:eastAsia="宋体" w:cs="宋体"/>
          <w:color w:val="auto"/>
          <w:spacing w:val="-1"/>
          <w:sz w:val="24"/>
          <w:szCs w:val="24"/>
          <w:highlight w:val="none"/>
        </w:rPr>
        <w:t>标报价中的该部分总金额，则从投标报价需</w:t>
      </w:r>
      <w:r>
        <w:rPr>
          <w:rFonts w:hint="eastAsia" w:ascii="宋体" w:hAnsi="宋体" w:eastAsia="宋体" w:cs="宋体"/>
          <w:color w:val="auto"/>
          <w:spacing w:val="-2"/>
          <w:sz w:val="24"/>
          <w:szCs w:val="24"/>
          <w:highlight w:val="none"/>
        </w:rPr>
        <w:t>调高的综合单价中选择偏离最大的清单开始</w:t>
      </w:r>
      <w:r>
        <w:rPr>
          <w:rFonts w:hint="eastAsia" w:ascii="宋体" w:hAnsi="宋体" w:eastAsia="宋体" w:cs="宋体"/>
          <w:color w:val="auto"/>
          <w:spacing w:val="-1"/>
          <w:sz w:val="24"/>
          <w:szCs w:val="24"/>
          <w:highlight w:val="none"/>
        </w:rPr>
        <w:t>调整，调整幅度逐步减少，直至修正后的该</w:t>
      </w:r>
      <w:r>
        <w:rPr>
          <w:rFonts w:hint="eastAsia" w:ascii="宋体" w:hAnsi="宋体" w:eastAsia="宋体" w:cs="宋体"/>
          <w:color w:val="auto"/>
          <w:spacing w:val="-2"/>
          <w:sz w:val="24"/>
          <w:szCs w:val="24"/>
          <w:highlight w:val="none"/>
        </w:rPr>
        <w:t>部分《分部分项工程和单价措施项目清单与</w:t>
      </w:r>
      <w:r>
        <w:rPr>
          <w:rFonts w:hint="eastAsia" w:ascii="宋体" w:hAnsi="宋体" w:eastAsia="宋体" w:cs="宋体"/>
          <w:color w:val="auto"/>
          <w:spacing w:val="-1"/>
          <w:sz w:val="24"/>
          <w:szCs w:val="24"/>
          <w:highlight w:val="none"/>
        </w:rPr>
        <w:t>计价表》总金额与原投标报价中的该部分总</w:t>
      </w:r>
      <w:r>
        <w:rPr>
          <w:rFonts w:hint="eastAsia" w:ascii="宋体" w:hAnsi="宋体" w:eastAsia="宋体" w:cs="宋体"/>
          <w:color w:val="auto"/>
          <w:spacing w:val="-2"/>
          <w:sz w:val="24"/>
          <w:szCs w:val="24"/>
          <w:highlight w:val="none"/>
        </w:rPr>
        <w:t>金额一致；若修正后的该部分《分部分项工</w:t>
      </w:r>
      <w:r>
        <w:rPr>
          <w:rFonts w:hint="eastAsia" w:ascii="宋体" w:hAnsi="宋体" w:eastAsia="宋体" w:cs="宋体"/>
          <w:color w:val="auto"/>
          <w:spacing w:val="-1"/>
          <w:sz w:val="24"/>
          <w:szCs w:val="24"/>
          <w:highlight w:val="none"/>
        </w:rPr>
        <w:t>程和单价措施项目清单与计价表》总金额小</w:t>
      </w:r>
      <w:r>
        <w:rPr>
          <w:rFonts w:hint="eastAsia" w:ascii="宋体" w:hAnsi="宋体" w:eastAsia="宋体" w:cs="宋体"/>
          <w:color w:val="auto"/>
          <w:spacing w:val="-2"/>
          <w:sz w:val="24"/>
          <w:szCs w:val="24"/>
          <w:highlight w:val="none"/>
        </w:rPr>
        <w:t>于原投标报价中的该部分总金额，则从投标</w:t>
      </w:r>
      <w:r>
        <w:rPr>
          <w:rFonts w:hint="eastAsia" w:ascii="宋体" w:hAnsi="宋体" w:eastAsia="宋体" w:cs="宋体"/>
          <w:color w:val="auto"/>
          <w:spacing w:val="-1"/>
          <w:sz w:val="24"/>
          <w:szCs w:val="24"/>
          <w:highlight w:val="none"/>
        </w:rPr>
        <w:t>报价需调低的综合单价中选择偏离最大的清</w:t>
      </w:r>
      <w:r>
        <w:rPr>
          <w:rFonts w:hint="eastAsia" w:ascii="宋体" w:hAnsi="宋体" w:eastAsia="宋体" w:cs="宋体"/>
          <w:color w:val="auto"/>
          <w:spacing w:val="-2"/>
          <w:sz w:val="24"/>
          <w:szCs w:val="24"/>
          <w:highlight w:val="none"/>
        </w:rPr>
        <w:t>单开始调整，调整幅度逐步减少，直至修正</w:t>
      </w:r>
      <w:r>
        <w:rPr>
          <w:rFonts w:hint="eastAsia" w:ascii="宋体" w:hAnsi="宋体" w:eastAsia="宋体" w:cs="宋体"/>
          <w:color w:val="auto"/>
          <w:spacing w:val="-1"/>
          <w:sz w:val="24"/>
          <w:szCs w:val="24"/>
          <w:highlight w:val="none"/>
        </w:rPr>
        <w:t>后的该部分《分部分项工程和单价措施项目</w:t>
      </w:r>
      <w:r>
        <w:rPr>
          <w:rFonts w:hint="eastAsia" w:ascii="宋体" w:hAnsi="宋体" w:eastAsia="宋体" w:cs="宋体"/>
          <w:color w:val="auto"/>
          <w:spacing w:val="-2"/>
          <w:sz w:val="24"/>
          <w:szCs w:val="24"/>
          <w:highlight w:val="none"/>
        </w:rPr>
        <w:t>清单与计价表》总金额与原投标报价中的该</w:t>
      </w:r>
      <w:r>
        <w:rPr>
          <w:rFonts w:hint="eastAsia" w:ascii="宋体" w:hAnsi="宋体" w:eastAsia="宋体" w:cs="宋体"/>
          <w:color w:val="auto"/>
          <w:spacing w:val="-12"/>
          <w:sz w:val="24"/>
          <w:szCs w:val="24"/>
          <w:highlight w:val="none"/>
        </w:rPr>
        <w:t>部分总金额一致。修正后的总造价应与总中标价保持一致，形成《不平衡报价修正报告》，</w:t>
      </w:r>
      <w:r>
        <w:rPr>
          <w:rFonts w:hint="eastAsia" w:ascii="宋体" w:hAnsi="宋体" w:eastAsia="宋体" w:cs="宋体"/>
          <w:color w:val="auto"/>
          <w:spacing w:val="-1"/>
          <w:sz w:val="24"/>
          <w:szCs w:val="24"/>
          <w:highlight w:val="none"/>
        </w:rPr>
        <w:t>并由招标人和中标人共同签章确认。</w:t>
      </w:r>
    </w:p>
    <w:p w14:paraId="782B9F57">
      <w:pPr>
        <w:keepNext w:val="0"/>
        <w:keepLines w:val="0"/>
        <w:pageBreakBefore w:val="0"/>
        <w:widowControl w:val="0"/>
        <w:kinsoku w:val="0"/>
        <w:wordWrap/>
        <w:overflowPunct/>
        <w:topLinePunct w:val="0"/>
        <w:autoSpaceDE w:val="0"/>
        <w:autoSpaceDN w:val="0"/>
        <w:bidi w:val="0"/>
        <w:adjustRightInd w:val="0"/>
        <w:snapToGrid w:val="0"/>
        <w:spacing w:before="129" w:line="360" w:lineRule="auto"/>
        <w:ind w:left="12" w:right="179"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如果工程量出现本章第</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2.3.2.1</w:t>
      </w:r>
      <w:r>
        <w:rPr>
          <w:rFonts w:hint="eastAsia" w:ascii="宋体" w:hAnsi="宋体" w:eastAsia="宋体" w:cs="宋体"/>
          <w:color w:val="auto"/>
          <w:spacing w:val="1"/>
          <w:sz w:val="24"/>
          <w:szCs w:val="24"/>
          <w:highlight w:val="none"/>
        </w:rPr>
        <w:t>子目的变化，且该变化引起相关措施项目相</w:t>
      </w:r>
      <w:r>
        <w:rPr>
          <w:rFonts w:hint="eastAsia" w:ascii="宋体" w:hAnsi="宋体" w:eastAsia="宋体" w:cs="宋体"/>
          <w:color w:val="auto"/>
          <w:spacing w:val="-2"/>
          <w:sz w:val="24"/>
          <w:szCs w:val="24"/>
          <w:highlight w:val="none"/>
        </w:rPr>
        <w:t>应发生变化时，按系数或单一总价方式计价的，工程量增加的措施项目费调增，工程量</w:t>
      </w:r>
      <w:r>
        <w:rPr>
          <w:rFonts w:hint="eastAsia" w:ascii="宋体" w:hAnsi="宋体" w:eastAsia="宋体" w:cs="宋体"/>
          <w:color w:val="auto"/>
          <w:spacing w:val="-1"/>
          <w:sz w:val="24"/>
          <w:szCs w:val="24"/>
          <w:highlight w:val="none"/>
        </w:rPr>
        <w:t>减少的措施项目费调减。</w:t>
      </w:r>
    </w:p>
    <w:p w14:paraId="7886ACB1">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29131641">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19" w:right="179" w:firstLine="468"/>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2F17D402">
      <w:pPr>
        <w:keepNext w:val="0"/>
        <w:keepLines w:val="0"/>
        <w:pageBreakBefore w:val="0"/>
        <w:widowControl w:val="0"/>
        <w:numPr>
          <w:ilvl w:val="0"/>
          <w:numId w:val="1"/>
        </w:numPr>
        <w:kinsoku w:val="0"/>
        <w:wordWrap/>
        <w:overflowPunct/>
        <w:topLinePunct w:val="0"/>
        <w:autoSpaceDE w:val="0"/>
        <w:autoSpaceDN w:val="0"/>
        <w:bidi w:val="0"/>
        <w:adjustRightInd w:val="0"/>
        <w:snapToGrid w:val="0"/>
        <w:spacing w:before="78" w:line="360" w:lineRule="auto"/>
        <w:ind w:firstLine="242" w:firstLineChars="100"/>
        <w:textAlignment w:val="baseline"/>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91" w:name="bookmark143"/>
      <w:bookmarkEnd w:id="191"/>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b/>
          <w:bCs/>
          <w:color w:val="auto"/>
          <w:spacing w:val="-8"/>
          <w:sz w:val="24"/>
          <w:szCs w:val="24"/>
          <w:highlight w:val="none"/>
        </w:rPr>
        <w:t>4.2条被认定为不平衡报价的清单项目，</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本章2.3.2.1的</w:t>
      </w:r>
      <w:r>
        <w:rPr>
          <w:rFonts w:hint="eastAsia" w:ascii="宋体" w:hAnsi="宋体" w:eastAsia="宋体" w:cs="宋体"/>
          <w:b/>
          <w:bCs/>
          <w:color w:val="auto"/>
          <w:spacing w:val="-2"/>
          <w:sz w:val="24"/>
          <w:szCs w:val="24"/>
          <w:highlight w:val="none"/>
        </w:rPr>
        <w:t>方法调整。】</w:t>
      </w:r>
    </w:p>
    <w:p w14:paraId="5D4EF1F6">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78" w:line="360" w:lineRule="auto"/>
        <w:ind w:firstLine="237"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4"/>
          <w:sz w:val="24"/>
          <w:szCs w:val="24"/>
          <w:highlight w:val="none"/>
        </w:rPr>
        <w:t>条被认定为不平衡报价的清单项目，变更工程项目的单价按照本章2.3.2.1的方法调整。</w:t>
      </w:r>
    </w:p>
    <w:p w14:paraId="4FD06660">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38" w:line="360" w:lineRule="auto"/>
        <w:ind w:right="81" w:rightChars="0" w:firstLine="242" w:firstLineChars="1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0D466BC9">
      <w:pPr>
        <w:keepNext w:val="0"/>
        <w:keepLines w:val="0"/>
        <w:pageBreakBefore w:val="0"/>
        <w:widowControl w:val="0"/>
        <w:kinsoku w:val="0"/>
        <w:wordWrap/>
        <w:overflowPunct/>
        <w:topLinePunct w:val="0"/>
        <w:autoSpaceDE w:val="0"/>
        <w:autoSpaceDN w:val="0"/>
        <w:bidi w:val="0"/>
        <w:adjustRightInd w:val="0"/>
        <w:snapToGrid w:val="0"/>
        <w:spacing w:before="126" w:line="360" w:lineRule="auto"/>
        <w:ind w:left="29" w:right="21" w:firstLine="50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中标下浮率=[1-（中标价-中标绿色施工安全防护措施费-暂列</w:t>
      </w:r>
      <w:r>
        <w:rPr>
          <w:rFonts w:hint="eastAsia" w:ascii="宋体" w:hAnsi="宋体" w:eastAsia="宋体" w:cs="宋体"/>
          <w:b/>
          <w:bCs/>
          <w:color w:val="auto"/>
          <w:spacing w:val="-3"/>
          <w:sz w:val="24"/>
          <w:szCs w:val="24"/>
          <w:highlight w:val="none"/>
        </w:rPr>
        <w:t>金额-暂估价）/（招标控制价-控制价绿色施工安全防护措施费-暂列金额-暂估价）]×100%</w:t>
      </w:r>
    </w:p>
    <w:p w14:paraId="313D8513">
      <w:pPr>
        <w:spacing w:before="145" w:line="360" w:lineRule="auto"/>
        <w:ind w:right="81" w:firstLine="242" w:firstLineChars="1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已标价工程量清单中没有适用也没有类似于变更工程项目，且施工当月项目</w:t>
      </w:r>
      <w:r>
        <w:rPr>
          <w:rFonts w:hint="eastAsia" w:ascii="宋体" w:hAnsi="宋体" w:eastAsia="宋体" w:cs="宋体"/>
          <w:color w:val="auto"/>
          <w:spacing w:val="-1"/>
          <w:sz w:val="24"/>
          <w:szCs w:val="24"/>
          <w:highlight w:val="none"/>
        </w:rPr>
        <w:t>所在地工程造价管理机构发布的价格信息缺</w:t>
      </w:r>
      <w:r>
        <w:rPr>
          <w:rFonts w:hint="eastAsia" w:ascii="宋体" w:hAnsi="宋体" w:eastAsia="宋体" w:cs="宋体"/>
          <w:color w:val="auto"/>
          <w:spacing w:val="-2"/>
          <w:sz w:val="24"/>
          <w:szCs w:val="24"/>
          <w:highlight w:val="none"/>
        </w:rPr>
        <w:t>项的，由承包人根据变更工程资料、计量规</w:t>
      </w:r>
      <w:r>
        <w:rPr>
          <w:rFonts w:hint="eastAsia" w:ascii="宋体" w:hAnsi="宋体" w:eastAsia="宋体" w:cs="宋体"/>
          <w:color w:val="auto"/>
          <w:spacing w:val="-1"/>
          <w:sz w:val="24"/>
          <w:szCs w:val="24"/>
          <w:highlight w:val="none"/>
        </w:rPr>
        <w:t>则、计价办法和通过市场调查等取得有合法</w:t>
      </w:r>
      <w:r>
        <w:rPr>
          <w:rFonts w:hint="eastAsia" w:ascii="宋体" w:hAnsi="宋体" w:eastAsia="宋体" w:cs="宋体"/>
          <w:color w:val="auto"/>
          <w:spacing w:val="-2"/>
          <w:sz w:val="24"/>
          <w:szCs w:val="24"/>
          <w:highlight w:val="none"/>
        </w:rPr>
        <w:t>依据的市场价格提出变更工程项目的单价，</w:t>
      </w:r>
      <w:r>
        <w:rPr>
          <w:rFonts w:hint="eastAsia" w:ascii="宋体" w:hAnsi="宋体" w:eastAsia="宋体" w:cs="宋体"/>
          <w:color w:val="auto"/>
          <w:spacing w:val="-1"/>
          <w:sz w:val="24"/>
          <w:szCs w:val="24"/>
          <w:highlight w:val="none"/>
        </w:rPr>
        <w:t>报发包人确认后调整。</w:t>
      </w:r>
    </w:p>
    <w:p w14:paraId="4CB9A71B">
      <w:pPr>
        <w:spacing w:before="156" w:line="360" w:lineRule="auto"/>
        <w:ind w:left="7" w:right="81"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54AFFB1B">
      <w:pPr>
        <w:spacing w:before="152" w:line="360" w:lineRule="auto"/>
        <w:ind w:left="49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（1）绿色施工安全防护措施费应按照实际发生变化的措施项目计算。</w:t>
      </w:r>
    </w:p>
    <w:p w14:paraId="6BE2B1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（2）采用单价计算的措施项目费，应按照实际发生变化的措施项目，按本章</w:t>
      </w:r>
      <w:r>
        <w:rPr>
          <w:rFonts w:hint="eastAsia" w:ascii="宋体" w:hAnsi="宋体" w:eastAsia="宋体" w:cs="宋体"/>
          <w:sz w:val="24"/>
          <w:szCs w:val="24"/>
          <w:lang w:eastAsia="zh-CN"/>
        </w:rPr>
        <w:t>第</w:t>
      </w:r>
      <w:r>
        <w:rPr>
          <w:rFonts w:hint="eastAsia" w:ascii="宋体" w:hAnsi="宋体" w:eastAsia="宋体" w:cs="宋体"/>
          <w:sz w:val="24"/>
          <w:szCs w:val="24"/>
        </w:rPr>
        <w:t>2.3.3.1子目的规定确定单价。</w:t>
      </w:r>
    </w:p>
    <w:p w14:paraId="245221E6">
      <w:pPr>
        <w:spacing w:before="154" w:line="360" w:lineRule="auto"/>
        <w:ind w:left="8"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考虑中标下浮率因素，即调整金额＝按照实际变化调整后的金额×（1-中标下浮率）。</w:t>
      </w:r>
    </w:p>
    <w:p w14:paraId="3A0EE7AE">
      <w:pPr>
        <w:spacing w:before="157" w:line="360" w:lineRule="auto"/>
        <w:ind w:left="21" w:right="81" w:firstLine="47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70B170F6">
      <w:pPr>
        <w:spacing w:before="35" w:line="360" w:lineRule="auto"/>
        <w:ind w:right="81"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6426E076">
      <w:pPr>
        <w:spacing w:before="155"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181F3456">
      <w:pPr>
        <w:spacing w:before="78" w:line="360" w:lineRule="auto"/>
        <w:ind w:left="8" w:right="108" w:firstLine="480"/>
        <w:jc w:val="both"/>
        <w:rPr>
          <w:rFonts w:hint="eastAsia" w:ascii="宋体" w:hAnsi="宋体" w:eastAsia="宋体" w:cs="宋体"/>
          <w:color w:val="auto"/>
          <w:sz w:val="24"/>
          <w:szCs w:val="24"/>
          <w:highlight w:val="none"/>
        </w:rPr>
      </w:pPr>
      <w:bookmarkStart w:id="192" w:name="bookmark144"/>
      <w:bookmarkEnd w:id="192"/>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b/>
          <w:bCs/>
          <w:color w:val="auto"/>
          <w:sz w:val="24"/>
          <w:szCs w:val="24"/>
          <w:highlight w:val="none"/>
        </w:rPr>
        <w:t>2.3.3</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4B87AA0B">
      <w:pPr>
        <w:spacing w:before="38" w:line="360"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7D9446FA">
      <w:pPr>
        <w:spacing w:before="152" w:line="360" w:lineRule="auto"/>
        <w:ind w:left="9" w:right="56"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color w:val="auto"/>
          <w:spacing w:val="-39"/>
          <w:sz w:val="24"/>
          <w:szCs w:val="24"/>
          <w:highlight w:val="none"/>
        </w:rPr>
        <w:t xml:space="preserve"> </w:t>
      </w:r>
      <w:r>
        <w:rPr>
          <w:rFonts w:hint="eastAsia" w:ascii="宋体" w:hAnsi="宋体" w:eastAsia="宋体" w:cs="宋体"/>
          <w:b/>
          <w:bCs/>
          <w:color w:val="auto"/>
          <w:spacing w:val="-1"/>
          <w:sz w:val="24"/>
          <w:szCs w:val="24"/>
          <w:highlight w:val="none"/>
        </w:rPr>
        <w:t>2.3.3.1</w:t>
      </w:r>
      <w:r>
        <w:rPr>
          <w:rFonts w:hint="eastAsia" w:ascii="宋体" w:hAnsi="宋体" w:eastAsia="宋体" w:cs="宋体"/>
          <w:color w:val="auto"/>
          <w:spacing w:val="-1"/>
          <w:sz w:val="24"/>
          <w:szCs w:val="24"/>
          <w:highlight w:val="none"/>
        </w:rPr>
        <w:t>子目的规定确定单价，并调整合同价款。</w:t>
      </w:r>
    </w:p>
    <w:p w14:paraId="28F35D72">
      <w:pPr>
        <w:spacing w:before="157" w:line="360"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 xml:space="preserve">3.3.2 </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38301309">
      <w:pPr>
        <w:spacing w:before="156" w:line="360" w:lineRule="auto"/>
        <w:ind w:left="13" w:right="108" w:firstLine="471"/>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color w:val="auto"/>
          <w:spacing w:val="-36"/>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 xml:space="preserve">2.3.3.2 </w:t>
      </w:r>
      <w:r>
        <w:rPr>
          <w:rFonts w:hint="eastAsia" w:ascii="宋体" w:hAnsi="宋体" w:eastAsia="宋体" w:cs="宋体"/>
          <w:color w:val="auto"/>
          <w:spacing w:val="-1"/>
          <w:sz w:val="24"/>
          <w:szCs w:val="24"/>
          <w:highlight w:val="none"/>
        </w:rPr>
        <w:t>子目的规定调整合同价款。</w:t>
      </w:r>
    </w:p>
    <w:p w14:paraId="32D6DE66">
      <w:pPr>
        <w:wordWrap w:val="0"/>
        <w:adjustRightInd w:val="0"/>
        <w:snapToGrid w:val="0"/>
        <w:spacing w:line="360" w:lineRule="auto"/>
        <w:ind w:firstLine="482" w:firstLineChars="200"/>
        <w:rPr>
          <w:rFonts w:hint="eastAsia" w:ascii="宋体" w:hAnsi="宋体" w:eastAsia="宋体" w:cs="宋体"/>
          <w:bCs/>
          <w:snapToGrid w:val="0"/>
          <w:color w:val="000000"/>
          <w:kern w:val="0"/>
          <w:sz w:val="24"/>
          <w:szCs w:val="24"/>
          <w:highlight w:val="none"/>
        </w:rPr>
      </w:pPr>
      <w:r>
        <w:rPr>
          <w:rFonts w:hint="eastAsia" w:ascii="宋体" w:hAnsi="宋体" w:eastAsia="宋体" w:cs="宋体"/>
          <w:b/>
          <w:snapToGrid w:val="0"/>
          <w:color w:val="000000"/>
          <w:kern w:val="0"/>
          <w:sz w:val="24"/>
          <w:szCs w:val="24"/>
          <w:highlight w:val="none"/>
        </w:rPr>
        <w:t>2.3.6</w:t>
      </w:r>
      <w:r>
        <w:rPr>
          <w:rFonts w:hint="eastAsia" w:ascii="宋体" w:hAnsi="宋体" w:eastAsia="宋体" w:cs="宋体"/>
          <w:bCs/>
          <w:snapToGrid w:val="0"/>
          <w:color w:val="000000"/>
          <w:kern w:val="0"/>
          <w:sz w:val="24"/>
          <w:szCs w:val="24"/>
          <w:highlight w:val="none"/>
        </w:rPr>
        <w:t xml:space="preserve"> 物价变化</w:t>
      </w:r>
    </w:p>
    <w:p w14:paraId="355D11F6">
      <w:pPr>
        <w:wordWrap w:val="0"/>
        <w:adjustRightInd w:val="0"/>
        <w:snapToGrid w:val="0"/>
        <w:spacing w:line="360" w:lineRule="auto"/>
        <w:ind w:firstLine="482" w:firstLineChars="200"/>
        <w:rPr>
          <w:rFonts w:hint="eastAsia" w:ascii="宋体" w:hAnsi="宋体" w:eastAsia="宋体" w:cs="宋体"/>
          <w:bCs/>
          <w:snapToGrid w:val="0"/>
          <w:color w:val="000000"/>
          <w:kern w:val="0"/>
          <w:sz w:val="24"/>
          <w:szCs w:val="24"/>
          <w:highlight w:val="none"/>
        </w:rPr>
      </w:pPr>
      <w:r>
        <w:rPr>
          <w:rFonts w:hint="eastAsia" w:ascii="宋体" w:hAnsi="宋体" w:eastAsia="宋体" w:cs="宋体"/>
          <w:b/>
          <w:snapToGrid w:val="0"/>
          <w:color w:val="000000"/>
          <w:kern w:val="0"/>
          <w:sz w:val="24"/>
          <w:szCs w:val="24"/>
          <w:highlight w:val="none"/>
        </w:rPr>
        <w:t>2.3.6.1</w:t>
      </w:r>
      <w:r>
        <w:rPr>
          <w:rFonts w:hint="eastAsia" w:ascii="宋体" w:hAnsi="宋体" w:eastAsia="宋体" w:cs="宋体"/>
          <w:bCs/>
          <w:snapToGrid w:val="0"/>
          <w:color w:val="000000"/>
          <w:kern w:val="0"/>
          <w:sz w:val="24"/>
          <w:szCs w:val="24"/>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000000"/>
          <w:kern w:val="0"/>
          <w:sz w:val="24"/>
          <w:szCs w:val="24"/>
          <w:highlight w:val="none"/>
        </w:rPr>
        <w:t>以下简称“中标人工费”</w:t>
      </w:r>
      <w:r>
        <w:rPr>
          <w:rFonts w:hint="eastAsia" w:ascii="宋体" w:hAnsi="宋体" w:eastAsia="宋体" w:cs="宋体"/>
          <w:bCs/>
          <w:snapToGrid w:val="0"/>
          <w:color w:val="000000"/>
          <w:kern w:val="0"/>
          <w:sz w:val="24"/>
          <w:szCs w:val="24"/>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284BC422">
      <w:pPr>
        <w:wordWrap w:val="0"/>
        <w:adjustRightInd w:val="0"/>
        <w:snapToGrid w:val="0"/>
        <w:spacing w:line="360" w:lineRule="auto"/>
        <w:ind w:firstLine="480" w:firstLineChars="200"/>
        <w:jc w:val="center"/>
        <w:rPr>
          <w:rFonts w:hint="eastAsia" w:ascii="宋体" w:hAnsi="宋体" w:eastAsia="宋体" w:cs="宋体"/>
          <w:bCs/>
          <w:snapToGrid w:val="0"/>
          <w:color w:val="000000"/>
          <w:kern w:val="0"/>
          <w:sz w:val="24"/>
          <w:szCs w:val="24"/>
          <w:highlight w:val="none"/>
        </w:rPr>
      </w:pPr>
      <w:r>
        <w:rPr>
          <w:rFonts w:hint="eastAsia" w:ascii="宋体" w:hAnsi="宋体" w:eastAsia="宋体" w:cs="宋体"/>
          <w:bCs/>
          <w:snapToGrid w:val="0"/>
          <w:color w:val="000000"/>
          <w:kern w:val="0"/>
          <w:sz w:val="24"/>
          <w:szCs w:val="24"/>
          <w:highlight w:val="none"/>
        </w:rPr>
        <w:t>结算人工费＝中标人工费×F</w:t>
      </w:r>
      <w:r>
        <w:rPr>
          <w:rFonts w:hint="eastAsia" w:ascii="宋体" w:hAnsi="宋体" w:eastAsia="宋体" w:cs="宋体"/>
          <w:bCs/>
          <w:snapToGrid w:val="0"/>
          <w:color w:val="000000"/>
          <w:kern w:val="0"/>
          <w:sz w:val="24"/>
          <w:szCs w:val="24"/>
          <w:highlight w:val="none"/>
          <w:vertAlign w:val="subscript"/>
        </w:rPr>
        <w:t>1</w:t>
      </w:r>
    </w:p>
    <w:p w14:paraId="4A78476B">
      <w:pPr>
        <w:wordWrap w:val="0"/>
        <w:adjustRightInd w:val="0"/>
        <w:snapToGrid w:val="0"/>
        <w:spacing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Cs/>
          <w:snapToGrid w:val="0"/>
          <w:color w:val="000000"/>
          <w:kern w:val="0"/>
          <w:sz w:val="24"/>
          <w:szCs w:val="24"/>
          <w:highlight w:val="none"/>
        </w:rPr>
        <w:t>式中，F</w:t>
      </w:r>
      <w:r>
        <w:rPr>
          <w:rFonts w:hint="eastAsia" w:ascii="宋体" w:hAnsi="宋体" w:eastAsia="宋体" w:cs="宋体"/>
          <w:bCs/>
          <w:snapToGrid w:val="0"/>
          <w:color w:val="000000"/>
          <w:kern w:val="0"/>
          <w:sz w:val="24"/>
          <w:szCs w:val="24"/>
          <w:highlight w:val="none"/>
          <w:vertAlign w:val="subscript"/>
        </w:rPr>
        <w:t>1</w:t>
      </w:r>
      <w:r>
        <w:rPr>
          <w:rFonts w:hint="eastAsia" w:ascii="宋体" w:hAnsi="宋体" w:eastAsia="宋体" w:cs="宋体"/>
          <w:bCs/>
          <w:snapToGrid w:val="0"/>
          <w:color w:val="000000"/>
          <w:kern w:val="0"/>
          <w:sz w:val="24"/>
          <w:szCs w:val="24"/>
          <w:highlight w:val="none"/>
        </w:rPr>
        <w:t>为施工当月项目所在地工程造价管理机构发布的动态人工调整系数。</w:t>
      </w:r>
    </w:p>
    <w:p w14:paraId="7E20A54D">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2.3.6.2</w:t>
      </w:r>
      <w:r>
        <w:rPr>
          <w:rFonts w:hint="eastAsia" w:ascii="宋体" w:hAnsi="宋体" w:eastAsia="宋体" w:cs="宋体"/>
          <w:snapToGrid w:val="0"/>
          <w:color w:val="000000"/>
          <w:kern w:val="0"/>
          <w:sz w:val="24"/>
          <w:szCs w:val="24"/>
          <w:highlight w:val="none"/>
        </w:rPr>
        <w:t xml:space="preserve"> 本招标项目约定，材料、工程设备单价涨跌风险幅度值A为</w:t>
      </w:r>
      <w:r>
        <w:rPr>
          <w:rFonts w:hint="eastAsia" w:ascii="宋体" w:hAnsi="宋体" w:eastAsia="宋体" w:cs="宋体"/>
          <w:snapToGrid w:val="0"/>
          <w:color w:val="000000"/>
          <w:kern w:val="0"/>
          <w:sz w:val="24"/>
          <w:szCs w:val="24"/>
          <w:highlight w:val="none"/>
          <w:u w:val="single"/>
        </w:rPr>
        <w:t xml:space="preserve"> 5% </w:t>
      </w:r>
      <w:r>
        <w:rPr>
          <w:rFonts w:hint="eastAsia" w:ascii="宋体" w:hAnsi="宋体" w:eastAsia="宋体" w:cs="宋体"/>
          <w:snapToGrid w:val="0"/>
          <w:color w:val="000000"/>
          <w:kern w:val="0"/>
          <w:sz w:val="24"/>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739995F">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a</w:t>
      </w:r>
      <w:r>
        <w:rPr>
          <w:rFonts w:hint="eastAsia" w:ascii="宋体" w:hAnsi="宋体" w:eastAsia="宋体" w:cs="宋体"/>
          <w:snapToGrid w:val="0"/>
          <w:color w:val="000000"/>
          <w:kern w:val="0"/>
          <w:sz w:val="24"/>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79394416">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25" o:spt="75" type="#_x0000_t75" style="height:33.95pt;width:200.95pt;" o:ole="t" filled="f" stroked="f" coordsize="21600,21600">
            <v:path/>
            <v:fill on="f" focussize="0,0"/>
            <v:stroke on="f"/>
            <v:imagedata r:id="rId8" o:title=""/>
            <o:lock v:ext="edit" grouping="f" rotation="f" text="f" aspectratio="t"/>
            <w10:wrap type="none"/>
            <w10:anchorlock/>
          </v:shape>
          <o:OLEObject Type="Embed" ProgID="Equation.KSEE3" ShapeID="_x0000_i1025" DrawAspect="Content" ObjectID="_1468075725" r:id="rId7">
            <o:LockedField>false</o:LockedField>
          </o:OLEObject>
        </w:object>
      </w:r>
    </w:p>
    <w:p w14:paraId="0E0A46F1">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26" o:spt="75" type="#_x0000_t75" style="height:33.95pt;width:198.95pt;" o:ole="t" filled="f" stroked="f" coordsize="21600,21600">
            <v:path/>
            <v:fill on="f" focussize="0,0"/>
            <v:stroke on="f"/>
            <v:imagedata r:id="rId10" o:title=""/>
            <o:lock v:ext="edit" grouping="f" rotation="f" text="f" aspectratio="t"/>
            <w10:wrap type="none"/>
            <w10:anchorlock/>
          </v:shape>
          <o:OLEObject Type="Embed" ProgID="Equation.KSEE3" ShapeID="_x0000_i1026" DrawAspect="Content" ObjectID="_1468075726" r:id="rId9">
            <o:LockedField>false</o:LockedField>
          </o:OLEObject>
        </w:object>
      </w:r>
    </w:p>
    <w:p w14:paraId="469FBED9">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b</w:t>
      </w:r>
      <w:r>
        <w:rPr>
          <w:rFonts w:hint="eastAsia" w:ascii="宋体" w:hAnsi="宋体" w:eastAsia="宋体" w:cs="宋体"/>
          <w:snapToGrid w:val="0"/>
          <w:color w:val="000000"/>
          <w:kern w:val="0"/>
          <w:sz w:val="24"/>
          <w:szCs w:val="24"/>
          <w:highlight w:val="none"/>
        </w:rPr>
        <w:t>．如果中标单价高于基准单价，该材料、工程设备的结算单价调整公式为：</w:t>
      </w:r>
    </w:p>
    <w:p w14:paraId="05E199EB">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27" o:spt="75" type="#_x0000_t75" style="height:33.95pt;width:198.95pt;" o:ole="t" filled="f" stroked="f" coordsize="21600,21600">
            <v:path/>
            <v:fill on="f" focussize="0,0"/>
            <v:stroke on="f"/>
            <v:imagedata r:id="rId12" o:title=""/>
            <o:lock v:ext="edit" grouping="f" rotation="f" text="f" aspectratio="t"/>
            <w10:wrap type="none"/>
            <w10:anchorlock/>
          </v:shape>
          <o:OLEObject Type="Embed" ProgID="Equation.KSEE3" ShapeID="_x0000_i1027" DrawAspect="Content" ObjectID="_1468075727" r:id="rId11">
            <o:LockedField>false</o:LockedField>
          </o:OLEObject>
        </w:object>
      </w:r>
    </w:p>
    <w:p w14:paraId="650BCA82">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28" o:spt="75" type="#_x0000_t75" style="height:33.95pt;width:200.95pt;" o:ole="t" filled="f" stroked="f" coordsize="21600,21600">
            <v:path/>
            <v:fill on="f" focussize="0,0"/>
            <v:stroke on="f"/>
            <v:imagedata r:id="rId14" o:title=""/>
            <o:lock v:ext="edit" grouping="f" rotation="f" text="f" aspectratio="t"/>
            <w10:wrap type="none"/>
            <w10:anchorlock/>
          </v:shape>
          <o:OLEObject Type="Embed" ProgID="Equation.KSEE3" ShapeID="_x0000_i1028" DrawAspect="Content" ObjectID="_1468075728" r:id="rId13">
            <o:LockedField>false</o:LockedField>
          </o:OLEObject>
        </w:object>
      </w:r>
    </w:p>
    <w:p w14:paraId="7D15EB0B">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c</w:t>
      </w:r>
      <w:r>
        <w:rPr>
          <w:rFonts w:hint="eastAsia" w:ascii="宋体" w:hAnsi="宋体" w:eastAsia="宋体" w:cs="宋体"/>
          <w:snapToGrid w:val="0"/>
          <w:color w:val="000000"/>
          <w:kern w:val="0"/>
          <w:sz w:val="24"/>
          <w:szCs w:val="24"/>
          <w:highlight w:val="none"/>
        </w:rPr>
        <w:t>．如果中标单价等于基准单价，该材料、工程设备的结算单价调整公式为：</w:t>
      </w:r>
    </w:p>
    <w:p w14:paraId="033882D4">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29" o:spt="75" type="#_x0000_t75" style="height:33.95pt;width:200.95pt;" o:ole="t" filled="f" stroked="f" coordsize="21600,21600">
            <v:path/>
            <v:fill on="f" focussize="0,0"/>
            <v:stroke on="f"/>
            <v:imagedata r:id="rId16" o:title=""/>
            <o:lock v:ext="edit" grouping="f" rotation="f" text="f" aspectratio="t"/>
            <w10:wrap type="none"/>
            <w10:anchorlock/>
          </v:shape>
          <o:OLEObject Type="Embed" ProgID="Equation.KSEE3" ShapeID="_x0000_i1029" DrawAspect="Content" ObjectID="_1468075729" r:id="rId15">
            <o:LockedField>false</o:LockedField>
          </o:OLEObject>
        </w:object>
      </w:r>
    </w:p>
    <w:p w14:paraId="3D754D31">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30" o:spt="75" type="#_x0000_t75" style="height:33.95pt;width:200.95pt;" o:ole="t" filled="f" o:preferrelative="t" stroked="f" coordsize="21600,21600">
            <v:path/>
            <v:fill on="f" focussize="0,0"/>
            <v:stroke on="f"/>
            <v:imagedata r:id="rId18" o:title=""/>
            <o:lock v:ext="edit" grouping="f" rotation="f" text="f" aspectratio="t"/>
            <w10:wrap type="none"/>
            <w10:anchorlock/>
          </v:shape>
          <o:OLEObject Type="Embed" ProgID="Equation.KSEE3" ShapeID="_x0000_i1030" DrawAspect="Content" ObjectID="_1468075730" r:id="rId17">
            <o:LockedField>false</o:LockedField>
          </o:OLEObject>
        </w:object>
      </w:r>
    </w:p>
    <w:p w14:paraId="4DA4E11E">
      <w:pPr>
        <w:wordWrap w:val="0"/>
        <w:adjustRightInd w:val="0"/>
        <w:snapToGrid w:val="0"/>
        <w:spacing w:line="360" w:lineRule="auto"/>
        <w:ind w:firstLine="480" w:firstLineChars="200"/>
        <w:rPr>
          <w:rFonts w:hint="eastAsia" w:ascii="宋体" w:hAnsi="宋体" w:eastAsia="宋体" w:cs="宋体"/>
          <w:bCs/>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以上公式中，</w:t>
      </w:r>
      <w:r>
        <w:rPr>
          <w:rFonts w:hint="eastAsia" w:ascii="宋体" w:hAnsi="宋体" w:eastAsia="宋体" w:cs="宋体"/>
          <w:bCs/>
          <w:snapToGrid w:val="0"/>
          <w:color w:val="000000"/>
          <w:kern w:val="0"/>
          <w:sz w:val="24"/>
          <w:szCs w:val="24"/>
          <w:highlight w:val="none"/>
        </w:rPr>
        <w:t>F</w:t>
      </w:r>
      <w:r>
        <w:rPr>
          <w:rFonts w:hint="eastAsia" w:ascii="宋体" w:hAnsi="宋体" w:eastAsia="宋体" w:cs="宋体"/>
          <w:bCs/>
          <w:snapToGrid w:val="0"/>
          <w:color w:val="000000"/>
          <w:kern w:val="0"/>
          <w:sz w:val="24"/>
          <w:szCs w:val="24"/>
          <w:highlight w:val="none"/>
          <w:vertAlign w:val="subscript"/>
        </w:rPr>
        <w:t>1</w:t>
      </w:r>
      <w:r>
        <w:rPr>
          <w:rFonts w:hint="eastAsia" w:ascii="宋体" w:hAnsi="宋体" w:eastAsia="宋体" w:cs="宋体"/>
          <w:bCs/>
          <w:snapToGrid w:val="0"/>
          <w:color w:val="000000"/>
          <w:kern w:val="0"/>
          <w:sz w:val="24"/>
          <w:szCs w:val="24"/>
          <w:highlight w:val="none"/>
        </w:rPr>
        <w:t>为中标单价；F</w:t>
      </w:r>
      <w:r>
        <w:rPr>
          <w:rFonts w:hint="eastAsia" w:ascii="宋体" w:hAnsi="宋体" w:eastAsia="宋体" w:cs="宋体"/>
          <w:bCs/>
          <w:snapToGrid w:val="0"/>
          <w:color w:val="000000"/>
          <w:kern w:val="0"/>
          <w:sz w:val="24"/>
          <w:szCs w:val="24"/>
          <w:highlight w:val="none"/>
          <w:vertAlign w:val="subscript"/>
        </w:rPr>
        <w:t>0</w:t>
      </w:r>
      <w:r>
        <w:rPr>
          <w:rFonts w:hint="eastAsia" w:ascii="宋体" w:hAnsi="宋体" w:eastAsia="宋体" w:cs="宋体"/>
          <w:bCs/>
          <w:snapToGrid w:val="0"/>
          <w:color w:val="000000"/>
          <w:kern w:val="0"/>
          <w:sz w:val="24"/>
          <w:szCs w:val="24"/>
          <w:highlight w:val="none"/>
        </w:rPr>
        <w:t>为基准单价； F</w:t>
      </w:r>
      <w:r>
        <w:rPr>
          <w:rFonts w:hint="eastAsia" w:ascii="宋体" w:hAnsi="宋体" w:eastAsia="宋体" w:cs="宋体"/>
          <w:bCs/>
          <w:snapToGrid w:val="0"/>
          <w:color w:val="000000"/>
          <w:kern w:val="0"/>
          <w:sz w:val="24"/>
          <w:szCs w:val="24"/>
          <w:highlight w:val="none"/>
          <w:vertAlign w:val="subscript"/>
        </w:rPr>
        <w:t>2</w:t>
      </w:r>
      <w:r>
        <w:rPr>
          <w:rFonts w:hint="eastAsia" w:ascii="宋体" w:hAnsi="宋体" w:eastAsia="宋体" w:cs="宋体"/>
          <w:bCs/>
          <w:snapToGrid w:val="0"/>
          <w:color w:val="000000"/>
          <w:kern w:val="0"/>
          <w:sz w:val="24"/>
          <w:szCs w:val="24"/>
          <w:highlight w:val="none"/>
        </w:rPr>
        <w:t>为施工当月项目所在地工程造价管理机构发布的材料、工程设备单价；A为合同约定的材料、工程设备单价涨跌风险幅度值。</w:t>
      </w:r>
    </w:p>
    <w:p w14:paraId="58C8CA6D">
      <w:pPr>
        <w:wordWrap w:val="0"/>
        <w:adjustRightInd w:val="0"/>
        <w:snapToGrid w:val="0"/>
        <w:spacing w:line="360" w:lineRule="auto"/>
        <w:ind w:firstLine="482" w:firstLineChars="200"/>
        <w:rPr>
          <w:rFonts w:hint="eastAsia" w:ascii="宋体" w:hAnsi="宋体" w:eastAsia="宋体" w:cs="宋体"/>
          <w:bCs/>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2.3.6.3</w:t>
      </w:r>
      <w:r>
        <w:rPr>
          <w:rFonts w:hint="eastAsia" w:ascii="宋体" w:hAnsi="宋体" w:eastAsia="宋体" w:cs="宋体"/>
          <w:snapToGrid w:val="0"/>
          <w:color w:val="000000"/>
          <w:kern w:val="0"/>
          <w:sz w:val="24"/>
          <w:szCs w:val="24"/>
          <w:highlight w:val="none"/>
        </w:rPr>
        <w:t xml:space="preserve"> 合同履行期间，当《发包人提供材料和工程设备一览表》（详见招标工程量清单）中的材料、工程设备单价发生变化时，由发包人按照实际变化调整，并列入合同价款。</w:t>
      </w:r>
    </w:p>
    <w:p w14:paraId="4CB6A37E">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2.3.6.4</w:t>
      </w:r>
      <w:r>
        <w:rPr>
          <w:rFonts w:hint="eastAsia" w:ascii="宋体" w:hAnsi="宋体" w:eastAsia="宋体" w:cs="宋体"/>
          <w:snapToGrid w:val="0"/>
          <w:color w:val="000000"/>
          <w:kern w:val="0"/>
          <w:sz w:val="24"/>
          <w:szCs w:val="24"/>
          <w:highlight w:val="none"/>
        </w:rPr>
        <w:t xml:space="preserve"> 本招标项目约定，施工机具台班单价涨跌风险幅度值B为</w:t>
      </w:r>
      <w:r>
        <w:rPr>
          <w:rFonts w:hint="eastAsia" w:ascii="宋体" w:hAnsi="宋体" w:eastAsia="宋体" w:cs="宋体"/>
          <w:snapToGrid w:val="0"/>
          <w:color w:val="000000"/>
          <w:kern w:val="0"/>
          <w:sz w:val="24"/>
          <w:szCs w:val="24"/>
          <w:highlight w:val="none"/>
          <w:u w:val="single"/>
        </w:rPr>
        <w:t>10%</w:t>
      </w:r>
      <w:r>
        <w:rPr>
          <w:rFonts w:hint="eastAsia" w:ascii="宋体" w:hAnsi="宋体" w:eastAsia="宋体" w:cs="宋体"/>
          <w:snapToGrid w:val="0"/>
          <w:color w:val="000000"/>
          <w:kern w:val="0"/>
          <w:sz w:val="24"/>
          <w:szCs w:val="24"/>
          <w:highlight w:val="none"/>
        </w:rPr>
        <w:t>。合同履行期间，当施工机具台班单价涨跌幅度等于或低于B值时，该施工机具台班单价不予调整；超过B值时，其超过部分可以调整。相关费用按有关规定进行相应调整。</w:t>
      </w:r>
    </w:p>
    <w:p w14:paraId="55FE91E4">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a</w:t>
      </w:r>
      <w:r>
        <w:rPr>
          <w:rFonts w:hint="eastAsia" w:ascii="宋体" w:hAnsi="宋体" w:eastAsia="宋体" w:cs="宋体"/>
          <w:snapToGrid w:val="0"/>
          <w:color w:val="000000"/>
          <w:kern w:val="0"/>
          <w:sz w:val="24"/>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6F72566B">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31" o:spt="75" type="#_x0000_t75" style="height:33.95pt;width:200.95pt;" o:ole="t" filled="f" o:preferrelative="t" stroked="f" coordsize="21600,21600">
            <v:path/>
            <v:fill on="f" focussize="0,0"/>
            <v:stroke on="f"/>
            <v:imagedata r:id="rId20" o:title=""/>
            <o:lock v:ext="edit" grouping="f" rotation="f" text="f" aspectratio="t"/>
            <w10:wrap type="none"/>
            <w10:anchorlock/>
          </v:shape>
          <o:OLEObject Type="Embed" ProgID="Equation.KSEE3" ShapeID="_x0000_i1031" DrawAspect="Content" ObjectID="_1468075731" r:id="rId19">
            <o:LockedField>false</o:LockedField>
          </o:OLEObject>
        </w:object>
      </w:r>
    </w:p>
    <w:p w14:paraId="15496D82">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32" o:spt="75" type="#_x0000_t75" style="height:33.95pt;width:198pt;" o:ole="t" filled="f" o:preferrelative="t" stroked="f" coordsize="21600,21600">
            <v:path/>
            <v:fill on="f" focussize="0,0"/>
            <v:stroke on="f"/>
            <v:imagedata r:id="rId22" o:title=""/>
            <o:lock v:ext="edit" grouping="f" rotation="f" text="f" aspectratio="t"/>
            <w10:wrap type="none"/>
            <w10:anchorlock/>
          </v:shape>
          <o:OLEObject Type="Embed" ProgID="Equation.KSEE3" ShapeID="_x0000_i1032" DrawAspect="Content" ObjectID="_1468075732" r:id="rId21">
            <o:LockedField>false</o:LockedField>
          </o:OLEObject>
        </w:object>
      </w:r>
    </w:p>
    <w:p w14:paraId="4C10EA31">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b</w:t>
      </w:r>
      <w:r>
        <w:rPr>
          <w:rFonts w:hint="eastAsia" w:ascii="宋体" w:hAnsi="宋体" w:eastAsia="宋体" w:cs="宋体"/>
          <w:snapToGrid w:val="0"/>
          <w:color w:val="000000"/>
          <w:kern w:val="0"/>
          <w:sz w:val="24"/>
          <w:szCs w:val="24"/>
          <w:highlight w:val="none"/>
        </w:rPr>
        <w:t>．如果中标单价高于基准单价，该施工机具台班的结算单价调整公式为：</w:t>
      </w:r>
    </w:p>
    <w:p w14:paraId="23826AEA">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33" o:spt="75" type="#_x0000_t75" style="height:33.95pt;width:198pt;" o:ole="t" filled="f" o:preferrelative="t" stroked="f" coordsize="21600,21600">
            <v:path/>
            <v:fill on="f" focussize="0,0"/>
            <v:stroke on="f"/>
            <v:imagedata r:id="rId24" o:title=""/>
            <o:lock v:ext="edit" grouping="f" rotation="f" text="f" aspectratio="t"/>
            <w10:wrap type="none"/>
            <w10:anchorlock/>
          </v:shape>
          <o:OLEObject Type="Embed" ProgID="Equation.KSEE3" ShapeID="_x0000_i1033" DrawAspect="Content" ObjectID="_1468075733" r:id="rId23">
            <o:LockedField>false</o:LockedField>
          </o:OLEObject>
        </w:object>
      </w:r>
    </w:p>
    <w:p w14:paraId="741F3071">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34" o:spt="75" type="#_x0000_t75" style="height:33.95pt;width:200.95pt;" o:ole="t" filled="f" o:preferrelative="t" stroked="f" coordsize="21600,21600">
            <v:path/>
            <v:fill on="f" focussize="0,0"/>
            <v:stroke on="f"/>
            <v:imagedata r:id="rId26" o:title=""/>
            <o:lock v:ext="edit" grouping="f" rotation="f" text="f" aspectratio="t"/>
            <w10:wrap type="none"/>
            <w10:anchorlock/>
          </v:shape>
          <o:OLEObject Type="Embed" ProgID="Equation.KSEE3" ShapeID="_x0000_i1034" DrawAspect="Content" ObjectID="_1468075734" r:id="rId25">
            <o:LockedField>false</o:LockedField>
          </o:OLEObject>
        </w:object>
      </w:r>
    </w:p>
    <w:p w14:paraId="1CBB2058">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c</w:t>
      </w:r>
      <w:r>
        <w:rPr>
          <w:rFonts w:hint="eastAsia" w:ascii="宋体" w:hAnsi="宋体" w:eastAsia="宋体" w:cs="宋体"/>
          <w:snapToGrid w:val="0"/>
          <w:color w:val="000000"/>
          <w:kern w:val="0"/>
          <w:sz w:val="24"/>
          <w:szCs w:val="24"/>
          <w:highlight w:val="none"/>
        </w:rPr>
        <w:t>．如果中标单价等于基准单价，该施工机具台班的结算单价调整公式为：</w:t>
      </w:r>
    </w:p>
    <w:p w14:paraId="2ED02F89">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35" o:spt="75" type="#_x0000_t75" style="height:33.95pt;width:200.95pt;" o:ole="t" filled="f" o:preferrelative="t" stroked="f" coordsize="21600,21600">
            <v:path/>
            <v:fill on="f" focussize="0,0"/>
            <v:stroke on="f"/>
            <v:imagedata r:id="rId28" o:title=""/>
            <o:lock v:ext="edit" grouping="f" rotation="f" text="f" aspectratio="t"/>
            <w10:wrap type="none"/>
            <w10:anchorlock/>
          </v:shape>
          <o:OLEObject Type="Embed" ProgID="Equation.KSEE3" ShapeID="_x0000_i1035" DrawAspect="Content" ObjectID="_1468075735" r:id="rId27">
            <o:LockedField>false</o:LockedField>
          </o:OLEObject>
        </w:object>
      </w:r>
    </w:p>
    <w:p w14:paraId="7A262BF7">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36" o:spt="75" type="#_x0000_t75" style="height:33.95pt;width:200.95pt;" o:ole="t" filled="f" o:preferrelative="t" stroked="f" coordsize="21600,21600">
            <v:path/>
            <v:fill on="f" focussize="0,0"/>
            <v:stroke on="f"/>
            <v:imagedata r:id="rId30" o:title=""/>
            <o:lock v:ext="edit" grouping="f" rotation="f" text="f" aspectratio="t"/>
            <w10:wrap type="none"/>
            <w10:anchorlock/>
          </v:shape>
          <o:OLEObject Type="Embed" ProgID="Equation.KSEE3" ShapeID="_x0000_i1036" DrawAspect="Content" ObjectID="_1468075736" r:id="rId29">
            <o:LockedField>false</o:LockedField>
          </o:OLEObject>
        </w:object>
      </w:r>
    </w:p>
    <w:p w14:paraId="577AAC91">
      <w:pPr>
        <w:spacing w:before="39" w:line="360" w:lineRule="auto"/>
        <w:ind w:left="484"/>
        <w:rPr>
          <w:rFonts w:hint="eastAsia" w:ascii="宋体" w:hAnsi="宋体" w:eastAsia="宋体" w:cs="宋体"/>
          <w:bCs/>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以上公式中，</w:t>
      </w:r>
      <w:r>
        <w:rPr>
          <w:rFonts w:hint="eastAsia" w:ascii="宋体" w:hAnsi="宋体" w:eastAsia="宋体" w:cs="宋体"/>
          <w:bCs/>
          <w:snapToGrid w:val="0"/>
          <w:color w:val="000000"/>
          <w:kern w:val="0"/>
          <w:sz w:val="24"/>
          <w:szCs w:val="24"/>
          <w:highlight w:val="none"/>
        </w:rPr>
        <w:t>F</w:t>
      </w:r>
      <w:r>
        <w:rPr>
          <w:rFonts w:hint="eastAsia" w:ascii="宋体" w:hAnsi="宋体" w:eastAsia="宋体" w:cs="宋体"/>
          <w:bCs/>
          <w:snapToGrid w:val="0"/>
          <w:color w:val="000000"/>
          <w:kern w:val="0"/>
          <w:sz w:val="24"/>
          <w:szCs w:val="24"/>
          <w:highlight w:val="none"/>
          <w:vertAlign w:val="subscript"/>
        </w:rPr>
        <w:t>1</w:t>
      </w:r>
      <w:r>
        <w:rPr>
          <w:rFonts w:hint="eastAsia" w:ascii="宋体" w:hAnsi="宋体" w:eastAsia="宋体" w:cs="宋体"/>
          <w:bCs/>
          <w:snapToGrid w:val="0"/>
          <w:color w:val="000000"/>
          <w:kern w:val="0"/>
          <w:sz w:val="24"/>
          <w:szCs w:val="24"/>
          <w:highlight w:val="none"/>
        </w:rPr>
        <w:t>为中标单价；F</w:t>
      </w:r>
      <w:r>
        <w:rPr>
          <w:rFonts w:hint="eastAsia" w:ascii="宋体" w:hAnsi="宋体" w:eastAsia="宋体" w:cs="宋体"/>
          <w:bCs/>
          <w:snapToGrid w:val="0"/>
          <w:color w:val="000000"/>
          <w:kern w:val="0"/>
          <w:sz w:val="24"/>
          <w:szCs w:val="24"/>
          <w:highlight w:val="none"/>
          <w:vertAlign w:val="subscript"/>
        </w:rPr>
        <w:t>0</w:t>
      </w:r>
      <w:r>
        <w:rPr>
          <w:rFonts w:hint="eastAsia" w:ascii="宋体" w:hAnsi="宋体" w:eastAsia="宋体" w:cs="宋体"/>
          <w:bCs/>
          <w:snapToGrid w:val="0"/>
          <w:color w:val="000000"/>
          <w:kern w:val="0"/>
          <w:sz w:val="24"/>
          <w:szCs w:val="24"/>
          <w:highlight w:val="none"/>
        </w:rPr>
        <w:t>为基准单价；F</w:t>
      </w:r>
      <w:r>
        <w:rPr>
          <w:rFonts w:hint="eastAsia" w:ascii="宋体" w:hAnsi="宋体" w:eastAsia="宋体" w:cs="宋体"/>
          <w:bCs/>
          <w:snapToGrid w:val="0"/>
          <w:color w:val="000000"/>
          <w:kern w:val="0"/>
          <w:sz w:val="24"/>
          <w:szCs w:val="24"/>
          <w:highlight w:val="none"/>
          <w:vertAlign w:val="subscript"/>
        </w:rPr>
        <w:t>2</w:t>
      </w:r>
      <w:r>
        <w:rPr>
          <w:rFonts w:hint="eastAsia" w:ascii="宋体" w:hAnsi="宋体" w:eastAsia="宋体" w:cs="宋体"/>
          <w:bCs/>
          <w:snapToGrid w:val="0"/>
          <w:color w:val="000000"/>
          <w:kern w:val="0"/>
          <w:sz w:val="24"/>
          <w:szCs w:val="24"/>
          <w:highlight w:val="none"/>
        </w:rPr>
        <w:t>为施工当月项目所在地工程造价管理机构发布的施工机具台班单价；B为合同约定的施工机具台班单价涨跌风险幅度值。</w:t>
      </w:r>
    </w:p>
    <w:p w14:paraId="2EB022DF">
      <w:pPr>
        <w:spacing w:before="39"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488A20FF">
      <w:pPr>
        <w:spacing w:before="154" w:line="360" w:lineRule="auto"/>
        <w:ind w:left="7" w:right="57"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暂估价项目按第一章第三节“投标人须知正文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2"/>
          <w:sz w:val="24"/>
          <w:szCs w:val="24"/>
          <w:highlight w:val="none"/>
        </w:rPr>
        <w:t xml:space="preserve">8.5 </w:t>
      </w:r>
      <w:r>
        <w:rPr>
          <w:rFonts w:hint="eastAsia" w:ascii="宋体" w:hAnsi="宋体" w:eastAsia="宋体" w:cs="宋体"/>
          <w:color w:val="auto"/>
          <w:spacing w:val="-2"/>
          <w:sz w:val="24"/>
          <w:szCs w:val="24"/>
          <w:highlight w:val="none"/>
        </w:rPr>
        <w:t>条</w:t>
      </w:r>
      <w:r>
        <w:rPr>
          <w:rFonts w:hint="eastAsia" w:ascii="宋体" w:hAnsi="宋体" w:eastAsia="宋体" w:cs="宋体"/>
          <w:color w:val="auto"/>
          <w:spacing w:val="-3"/>
          <w:sz w:val="24"/>
          <w:szCs w:val="24"/>
          <w:highlight w:val="none"/>
        </w:rPr>
        <w:t>的规定确定专业工</w:t>
      </w:r>
      <w:r>
        <w:rPr>
          <w:rFonts w:hint="eastAsia" w:ascii="宋体" w:hAnsi="宋体" w:eastAsia="宋体" w:cs="宋体"/>
          <w:color w:val="auto"/>
          <w:spacing w:val="-1"/>
          <w:sz w:val="24"/>
          <w:szCs w:val="24"/>
          <w:highlight w:val="none"/>
        </w:rPr>
        <w:t>程承包人（或材料供应商、工程设备供应商）后，将专业工</w:t>
      </w:r>
      <w:r>
        <w:rPr>
          <w:rFonts w:hint="eastAsia" w:ascii="宋体" w:hAnsi="宋体" w:eastAsia="宋体" w:cs="宋体"/>
          <w:color w:val="auto"/>
          <w:spacing w:val="-2"/>
          <w:sz w:val="24"/>
          <w:szCs w:val="24"/>
          <w:highlight w:val="none"/>
        </w:rPr>
        <w:t>程合同价款（或材料单价、</w:t>
      </w:r>
      <w:r>
        <w:rPr>
          <w:rFonts w:hint="eastAsia" w:ascii="宋体" w:hAnsi="宋体" w:eastAsia="宋体" w:cs="宋体"/>
          <w:color w:val="auto"/>
          <w:spacing w:val="-1"/>
          <w:sz w:val="24"/>
          <w:szCs w:val="24"/>
          <w:highlight w:val="none"/>
        </w:rPr>
        <w:t>工程设备单价）取代相应暂估价，并调整合同价款。</w:t>
      </w:r>
    </w:p>
    <w:p w14:paraId="605E5E80">
      <w:pPr>
        <w:spacing w:before="153" w:line="360" w:lineRule="auto"/>
        <w:ind w:left="8" w:right="2"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7CC8E5E0">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2.3.8</w:t>
      </w:r>
      <w:r>
        <w:rPr>
          <w:rFonts w:hint="eastAsia" w:ascii="宋体" w:hAnsi="宋体" w:eastAsia="宋体" w:cs="宋体"/>
          <w:sz w:val="24"/>
          <w:szCs w:val="24"/>
        </w:rPr>
        <w:t xml:space="preserve"> 预算包干费按照分部分项的人工费与施工机具费之和及投标费率计取。本招标项目的预算包干内容包括：施工雨水、污水的排除；因地形影响造成的场内料具二次运输</w:t>
      </w:r>
      <w:r>
        <w:rPr>
          <w:rFonts w:hint="eastAsia" w:ascii="宋体" w:hAnsi="宋体" w:eastAsia="宋体" w:cs="宋体"/>
          <w:sz w:val="24"/>
          <w:szCs w:val="24"/>
          <w:lang w:eastAsia="zh-CN"/>
        </w:rPr>
        <w:t>，2</w:t>
      </w:r>
      <w:r>
        <w:rPr>
          <w:rFonts w:hint="eastAsia" w:ascii="宋体" w:hAnsi="宋体" w:eastAsia="宋体" w:cs="宋体"/>
          <w:sz w:val="24"/>
          <w:szCs w:val="24"/>
        </w:rPr>
        <w:t>0米高以下的工程用水加压措施；施工材料堆放场地的整理；机电安装后的补洞(槽料费；工程成品保护费；施工中的临时停水停电；基础埋深 2 米以内挖土方的塌</w:t>
      </w:r>
      <w:r>
        <w:rPr>
          <w:rFonts w:hint="eastAsia" w:ascii="宋体" w:hAnsi="宋体" w:eastAsia="宋体" w:cs="宋体"/>
          <w:sz w:val="24"/>
          <w:szCs w:val="24"/>
          <w:lang w:eastAsia="zh-CN"/>
        </w:rPr>
        <w:t>方；日间</w:t>
      </w:r>
      <w:r>
        <w:rPr>
          <w:rFonts w:hint="eastAsia" w:ascii="宋体" w:hAnsi="宋体" w:eastAsia="宋体" w:cs="宋体"/>
          <w:sz w:val="24"/>
          <w:szCs w:val="24"/>
        </w:rPr>
        <w:t>照明施工增加费(不包括地下室和特殊工程)；完工清场后的垃圾外运；地上(地下)设</w:t>
      </w:r>
      <w:r>
        <w:rPr>
          <w:rFonts w:hint="eastAsia" w:ascii="宋体" w:hAnsi="宋体" w:eastAsia="宋体" w:cs="宋体"/>
          <w:sz w:val="24"/>
          <w:szCs w:val="24"/>
          <w:lang w:eastAsia="zh-CN"/>
        </w:rPr>
        <w:t>施，</w:t>
      </w:r>
      <w:r>
        <w:rPr>
          <w:rFonts w:hint="eastAsia" w:ascii="宋体" w:hAnsi="宋体" w:eastAsia="宋体" w:cs="宋体"/>
          <w:sz w:val="24"/>
          <w:szCs w:val="24"/>
        </w:rPr>
        <w:t>建筑物的临时保护设施费和二次加工基地设施费；雨季施工增加费</w:t>
      </w:r>
      <w:r>
        <w:rPr>
          <w:rFonts w:hint="eastAsia" w:ascii="宋体" w:hAnsi="宋体" w:eastAsia="宋体" w:cs="宋体"/>
          <w:sz w:val="24"/>
          <w:szCs w:val="24"/>
          <w:lang w:eastAsia="zh-CN"/>
        </w:rPr>
        <w:t>；已完成及设备保护等。</w:t>
      </w:r>
    </w:p>
    <w:p w14:paraId="7AEE3F33">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2.3.9</w:t>
      </w:r>
      <w:r>
        <w:rPr>
          <w:rFonts w:hint="eastAsia" w:ascii="宋体" w:hAnsi="宋体" w:eastAsia="宋体" w:cs="宋体"/>
          <w:sz w:val="24"/>
          <w:szCs w:val="24"/>
        </w:rPr>
        <w:t xml:space="preserve">  其余事项（如不可抗力、索赔、现场签证等）的调整原则按照《建设工程工程量清单计价规范》（GB50500—2013）有关规定执行。</w:t>
      </w:r>
    </w:p>
    <w:p w14:paraId="15441A8E">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2.4</w:t>
      </w:r>
      <w:r>
        <w:rPr>
          <w:rFonts w:hint="eastAsia" w:ascii="宋体" w:hAnsi="宋体" w:eastAsia="宋体" w:cs="宋体"/>
          <w:sz w:val="24"/>
          <w:szCs w:val="24"/>
        </w:rPr>
        <w:t xml:space="preserve">  凡将引起合同价款调增的事项，承包人必须于拟实施 14 天前，将详细的报价书（含拟实施项目名称、变更部位、理由、预计造价等）报监理单位审核和发包人批准后方可实施。</w:t>
      </w:r>
    </w:p>
    <w:p w14:paraId="549727DF">
      <w:pPr>
        <w:spacing w:before="153" w:line="360" w:lineRule="auto"/>
        <w:ind w:left="9" w:right="102"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7F4A8BAC">
      <w:pPr>
        <w:spacing w:before="154" w:line="360" w:lineRule="auto"/>
        <w:ind w:left="10" w:right="63"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62B57CA7">
      <w:pPr>
        <w:spacing w:before="155" w:line="360" w:lineRule="auto"/>
        <w:ind w:left="12" w:right="65"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按照《建设工程工程量清单计价规范》（GB50500—2013）和国家、省、市的有关规定</w:t>
      </w:r>
      <w:r>
        <w:rPr>
          <w:rFonts w:hint="eastAsia" w:ascii="宋体" w:hAnsi="宋体" w:eastAsia="宋体" w:cs="宋体"/>
          <w:color w:val="auto"/>
          <w:spacing w:val="-2"/>
          <w:sz w:val="24"/>
          <w:szCs w:val="24"/>
          <w:highlight w:val="none"/>
        </w:rPr>
        <w:t>办理竣工结算。</w:t>
      </w:r>
    </w:p>
    <w:p w14:paraId="6BF7AA13">
      <w:pPr>
        <w:spacing w:before="152" w:line="360" w:lineRule="auto"/>
        <w:ind w:left="8" w:right="38" w:firstLine="55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pacing w:val="-1"/>
          <w:sz w:val="24"/>
          <w:szCs w:val="24"/>
          <w:highlight w:val="none"/>
        </w:rPr>
        <w:t>加的费用和（或）工期延误由承包人承担。</w:t>
      </w:r>
    </w:p>
    <w:p w14:paraId="3BFF8CF0">
      <w:pPr>
        <w:spacing w:before="152" w:line="360" w:lineRule="auto"/>
        <w:ind w:left="8" w:right="38" w:firstLine="55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2CF9924F">
      <w:pPr>
        <w:spacing w:before="151" w:line="360" w:lineRule="auto"/>
        <w:ind w:left="476"/>
        <w:outlineLvl w:val="2"/>
        <w:rPr>
          <w:rFonts w:hint="eastAsia" w:ascii="宋体" w:hAnsi="宋体" w:eastAsia="宋体" w:cs="宋体"/>
          <w:b/>
          <w:bCs/>
          <w:color w:val="auto"/>
          <w:spacing w:val="-11"/>
          <w:sz w:val="24"/>
          <w:szCs w:val="24"/>
          <w:highlight w:val="none"/>
        </w:rPr>
      </w:pPr>
      <w:bookmarkStart w:id="193" w:name="_Toc1816"/>
      <w:bookmarkStart w:id="194" w:name="_Toc13494"/>
      <w:bookmarkStart w:id="195" w:name="_Toc10496"/>
      <w:r>
        <w:rPr>
          <w:rFonts w:hint="eastAsia" w:ascii="宋体" w:hAnsi="宋体" w:eastAsia="宋体" w:cs="宋体"/>
          <w:b/>
          <w:bCs/>
          <w:color w:val="auto"/>
          <w:spacing w:val="-11"/>
          <w:sz w:val="24"/>
          <w:szCs w:val="24"/>
          <w:highlight w:val="none"/>
        </w:rPr>
        <w:t>3. 工程付款办法</w:t>
      </w:r>
      <w:bookmarkEnd w:id="193"/>
      <w:bookmarkEnd w:id="194"/>
    </w:p>
    <w:p w14:paraId="6C19C70B">
      <w:pPr>
        <w:spacing w:before="155" w:line="360" w:lineRule="auto"/>
        <w:ind w:left="12" w:right="231" w:firstLine="476"/>
        <w:rPr>
          <w:rFonts w:hint="eastAsia" w:ascii="宋体" w:hAnsi="宋体" w:eastAsia="宋体" w:cs="宋体"/>
          <w:b/>
          <w:bCs/>
          <w:color w:val="auto"/>
          <w:spacing w:val="2"/>
          <w:sz w:val="24"/>
          <w:szCs w:val="24"/>
          <w:highlight w:val="none"/>
        </w:rPr>
      </w:pPr>
      <w:bookmarkStart w:id="196" w:name="_Toc5331"/>
      <w:r>
        <w:rPr>
          <w:rFonts w:hint="eastAsia" w:ascii="宋体" w:hAnsi="宋体" w:eastAsia="宋体" w:cs="宋体"/>
          <w:b/>
          <w:bCs/>
          <w:color w:val="auto"/>
          <w:spacing w:val="2"/>
          <w:sz w:val="24"/>
          <w:szCs w:val="24"/>
          <w:highlight w:val="none"/>
        </w:rPr>
        <w:t>3.1</w:t>
      </w:r>
      <w:r>
        <w:rPr>
          <w:rFonts w:hint="eastAsia" w:ascii="宋体" w:hAnsi="宋体" w:eastAsia="宋体" w:cs="宋体"/>
          <w:b/>
          <w:bCs/>
          <w:color w:val="auto"/>
          <w:spacing w:val="2"/>
          <w:sz w:val="24"/>
          <w:szCs w:val="24"/>
          <w:highlight w:val="none"/>
          <w:lang w:val="en-US" w:eastAsia="zh-CN"/>
        </w:rPr>
        <w:t xml:space="preserve"> </w:t>
      </w:r>
      <w:r>
        <w:rPr>
          <w:rFonts w:hint="eastAsia" w:ascii="宋体" w:hAnsi="宋体" w:eastAsia="宋体" w:cs="宋体"/>
          <w:b w:val="0"/>
          <w:bCs w:val="0"/>
          <w:color w:val="auto"/>
          <w:spacing w:val="2"/>
          <w:sz w:val="24"/>
          <w:szCs w:val="24"/>
          <w:highlight w:val="none"/>
        </w:rPr>
        <w:t>本项目</w:t>
      </w:r>
      <w:r>
        <w:rPr>
          <w:rFonts w:hint="eastAsia" w:ascii="宋体" w:hAnsi="宋体" w:eastAsia="宋体" w:cs="宋体"/>
          <w:b w:val="0"/>
          <w:bCs w:val="0"/>
          <w:color w:val="auto"/>
          <w:spacing w:val="2"/>
          <w:sz w:val="24"/>
          <w:szCs w:val="24"/>
          <w:highlight w:val="none"/>
          <w:u w:val="single"/>
        </w:rPr>
        <w:t>支付</w:t>
      </w:r>
      <w:r>
        <w:rPr>
          <w:rFonts w:hint="eastAsia" w:ascii="宋体" w:hAnsi="宋体" w:eastAsia="宋体" w:cs="宋体"/>
          <w:b w:val="0"/>
          <w:bCs w:val="0"/>
          <w:color w:val="auto"/>
          <w:spacing w:val="2"/>
          <w:sz w:val="24"/>
          <w:szCs w:val="24"/>
          <w:highlight w:val="none"/>
        </w:rPr>
        <w:t>施工预付款。</w:t>
      </w:r>
      <w:bookmarkEnd w:id="196"/>
    </w:p>
    <w:p w14:paraId="22B84E87">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1"/>
          <w:sz w:val="24"/>
          <w:szCs w:val="24"/>
          <w:highlight w:val="none"/>
        </w:rPr>
        <w:t xml:space="preserve">3.2 </w:t>
      </w:r>
      <w:r>
        <w:rPr>
          <w:rStyle w:val="48"/>
          <w:rFonts w:hint="eastAsia" w:ascii="宋体" w:hAnsi="宋体" w:eastAsia="宋体" w:cs="宋体"/>
          <w:color w:val="auto"/>
          <w:kern w:val="0"/>
          <w:sz w:val="24"/>
          <w:szCs w:val="24"/>
          <w:highlight w:val="none"/>
        </w:rPr>
        <w:t>施工预付款必须专用于合同工程，并按以下原则支付和抵扣：</w:t>
      </w:r>
    </w:p>
    <w:p w14:paraId="349A7BD1">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rPr>
        <w:t xml:space="preserve">3.2.1 </w:t>
      </w:r>
      <w:r>
        <w:rPr>
          <w:rStyle w:val="48"/>
          <w:rFonts w:hint="eastAsia" w:ascii="宋体" w:hAnsi="宋体" w:eastAsia="宋体" w:cs="宋体"/>
          <w:color w:val="auto"/>
          <w:kern w:val="0"/>
          <w:sz w:val="24"/>
          <w:szCs w:val="24"/>
          <w:highlight w:val="none"/>
        </w:rPr>
        <w:t>施工预付款支付比例为：按施工合同价的</w:t>
      </w:r>
      <w:r>
        <w:rPr>
          <w:rStyle w:val="48"/>
          <w:rFonts w:hint="eastAsia" w:ascii="宋体" w:hAnsi="宋体" w:eastAsia="宋体" w:cs="宋体"/>
          <w:b/>
          <w:bCs/>
          <w:color w:val="auto"/>
          <w:kern w:val="0"/>
          <w:sz w:val="24"/>
          <w:szCs w:val="24"/>
          <w:highlight w:val="none"/>
          <w:u w:val="single"/>
        </w:rPr>
        <w:t>30%</w:t>
      </w:r>
      <w:r>
        <w:rPr>
          <w:rStyle w:val="48"/>
          <w:rFonts w:hint="eastAsia" w:ascii="宋体" w:hAnsi="宋体" w:eastAsia="宋体" w:cs="宋体"/>
          <w:color w:val="auto"/>
          <w:kern w:val="0"/>
          <w:sz w:val="24"/>
          <w:szCs w:val="24"/>
          <w:highlight w:val="none"/>
        </w:rPr>
        <w:t>支付（暂列金除外</w:t>
      </w:r>
      <w:r>
        <w:rPr>
          <w:rStyle w:val="48"/>
          <w:rFonts w:hint="eastAsia" w:ascii="宋体" w:hAnsi="宋体" w:eastAsia="宋体" w:cs="宋体"/>
          <w:color w:val="auto"/>
          <w:kern w:val="0"/>
          <w:sz w:val="24"/>
          <w:szCs w:val="24"/>
          <w:highlight w:val="none"/>
          <w:lang w:eastAsia="zh-CN"/>
        </w:rPr>
        <w:t>)</w:t>
      </w:r>
      <w:r>
        <w:rPr>
          <w:rStyle w:val="48"/>
          <w:rFonts w:hint="eastAsia" w:ascii="宋体" w:hAnsi="宋体" w:eastAsia="宋体" w:cs="宋体"/>
          <w:color w:val="auto"/>
          <w:kern w:val="0"/>
          <w:sz w:val="24"/>
          <w:szCs w:val="24"/>
          <w:highlight w:val="none"/>
        </w:rPr>
        <w:t>。</w:t>
      </w:r>
    </w:p>
    <w:p w14:paraId="7BF7F0FD">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Style w:val="48"/>
          <w:rFonts w:hint="eastAsia" w:ascii="宋体" w:hAnsi="宋体" w:eastAsia="宋体" w:cs="宋体"/>
          <w:color w:val="auto"/>
          <w:kern w:val="0"/>
          <w:sz w:val="24"/>
          <w:szCs w:val="24"/>
          <w:highlight w:val="none"/>
          <w:lang w:eastAsia="zh-CN"/>
        </w:rPr>
      </w:pPr>
      <w:r>
        <w:rPr>
          <w:rStyle w:val="48"/>
          <w:rFonts w:hint="eastAsia" w:ascii="宋体" w:hAnsi="宋体" w:eastAsia="宋体" w:cs="宋体"/>
          <w:b/>
          <w:bCs/>
          <w:color w:val="auto"/>
          <w:kern w:val="0"/>
          <w:sz w:val="24"/>
          <w:szCs w:val="24"/>
          <w:highlight w:val="none"/>
        </w:rPr>
        <w:t>3.2.2</w:t>
      </w:r>
      <w:r>
        <w:rPr>
          <w:rStyle w:val="48"/>
          <w:rFonts w:hint="eastAsia" w:ascii="宋体" w:hAnsi="宋体" w:eastAsia="宋体" w:cs="宋体"/>
          <w:color w:val="auto"/>
          <w:kern w:val="0"/>
          <w:sz w:val="24"/>
          <w:szCs w:val="24"/>
          <w:highlight w:val="none"/>
        </w:rPr>
        <w:t xml:space="preserve"> </w:t>
      </w:r>
      <w:r>
        <w:rPr>
          <w:rStyle w:val="48"/>
          <w:rFonts w:hint="eastAsia" w:ascii="宋体" w:hAnsi="宋体" w:eastAsia="宋体" w:cs="宋体"/>
          <w:b w:val="0"/>
          <w:bCs w:val="0"/>
          <w:color w:val="auto"/>
          <w:kern w:val="0"/>
          <w:sz w:val="24"/>
          <w:szCs w:val="24"/>
          <w:highlight w:val="none"/>
        </w:rPr>
        <w:t>本招标项目</w:t>
      </w:r>
      <w:r>
        <w:rPr>
          <w:rStyle w:val="48"/>
          <w:rFonts w:hint="eastAsia" w:ascii="宋体" w:hAnsi="宋体" w:eastAsia="宋体" w:cs="宋体"/>
          <w:b/>
          <w:bCs/>
          <w:color w:val="auto"/>
          <w:kern w:val="0"/>
          <w:sz w:val="24"/>
          <w:szCs w:val="24"/>
          <w:highlight w:val="none"/>
          <w:u w:val="single"/>
          <w:lang w:val="en-US" w:eastAsia="zh-CN" w:bidi="ar-SA"/>
        </w:rPr>
        <w:t>要求</w:t>
      </w:r>
      <w:r>
        <w:rPr>
          <w:rStyle w:val="48"/>
          <w:rFonts w:hint="eastAsia" w:ascii="宋体" w:hAnsi="宋体" w:eastAsia="宋体" w:cs="宋体"/>
          <w:b w:val="0"/>
          <w:bCs w:val="0"/>
          <w:color w:val="auto"/>
          <w:kern w:val="0"/>
          <w:sz w:val="24"/>
          <w:szCs w:val="24"/>
          <w:highlight w:val="none"/>
        </w:rPr>
        <w:t>承包人提</w:t>
      </w:r>
      <w:r>
        <w:rPr>
          <w:rStyle w:val="48"/>
          <w:rFonts w:hint="eastAsia" w:ascii="宋体" w:hAnsi="宋体" w:eastAsia="宋体" w:cs="宋体"/>
          <w:color w:val="auto"/>
          <w:kern w:val="0"/>
          <w:sz w:val="24"/>
          <w:szCs w:val="24"/>
          <w:highlight w:val="none"/>
        </w:rPr>
        <w:t>供与预付款等额的预付款保函</w:t>
      </w:r>
      <w:r>
        <w:rPr>
          <w:rStyle w:val="48"/>
          <w:rFonts w:hint="eastAsia" w:ascii="宋体" w:hAnsi="宋体" w:eastAsia="宋体" w:cs="宋体"/>
          <w:color w:val="auto"/>
          <w:kern w:val="0"/>
          <w:sz w:val="24"/>
          <w:szCs w:val="24"/>
          <w:highlight w:val="none"/>
          <w:lang w:eastAsia="zh-CN"/>
        </w:rPr>
        <w:t>，</w:t>
      </w:r>
      <w:r>
        <w:rPr>
          <w:rStyle w:val="48"/>
          <w:rFonts w:hint="eastAsia" w:ascii="宋体" w:hAnsi="宋体" w:eastAsia="宋体" w:cs="宋体"/>
          <w:color w:val="auto"/>
          <w:kern w:val="0"/>
          <w:sz w:val="24"/>
          <w:szCs w:val="24"/>
          <w:highlight w:val="none"/>
        </w:rPr>
        <w:t>且预付款保函期限原则上不少于总工期的一半，且承包单位的预付款保函有效期应保证在扣回预付款前有效，未扣回预付款但保函过期的承包人应重新开具预付款保函。</w:t>
      </w:r>
    </w:p>
    <w:p w14:paraId="413BF5F8">
      <w:pPr>
        <w:keepNext w:val="0"/>
        <w:keepLines w:val="0"/>
        <w:widowControl/>
        <w:suppressLineNumbers w:val="0"/>
        <w:spacing w:line="360" w:lineRule="auto"/>
        <w:ind w:firstLine="482" w:firstLineChars="200"/>
        <w:jc w:val="left"/>
        <w:rPr>
          <w:rStyle w:val="48"/>
          <w:rFonts w:hint="eastAsia" w:ascii="宋体" w:hAnsi="宋体" w:eastAsia="宋体" w:cs="宋体"/>
          <w:b w:val="0"/>
          <w:bCs w:val="0"/>
          <w:color w:val="auto"/>
          <w:kern w:val="0"/>
          <w:sz w:val="24"/>
          <w:szCs w:val="24"/>
          <w:highlight w:val="none"/>
        </w:rPr>
      </w:pPr>
      <w:r>
        <w:rPr>
          <w:rStyle w:val="48"/>
          <w:rFonts w:hint="eastAsia" w:ascii="宋体" w:hAnsi="宋体" w:eastAsia="宋体" w:cs="宋体"/>
          <w:b/>
          <w:bCs/>
          <w:color w:val="auto"/>
          <w:kern w:val="0"/>
          <w:sz w:val="24"/>
          <w:szCs w:val="24"/>
          <w:highlight w:val="none"/>
        </w:rPr>
        <w:t>3.2.3</w:t>
      </w:r>
      <w:r>
        <w:rPr>
          <w:rStyle w:val="48"/>
          <w:rFonts w:hint="eastAsia" w:ascii="宋体" w:hAnsi="宋体" w:eastAsia="宋体" w:cs="宋体"/>
          <w:color w:val="auto"/>
          <w:kern w:val="0"/>
          <w:sz w:val="24"/>
          <w:szCs w:val="24"/>
          <w:highlight w:val="none"/>
        </w:rPr>
        <w:t xml:space="preserve"> </w:t>
      </w:r>
      <w:r>
        <w:rPr>
          <w:rStyle w:val="48"/>
          <w:rFonts w:hint="eastAsia" w:ascii="宋体" w:hAnsi="宋体" w:eastAsia="宋体" w:cs="宋体"/>
          <w:b w:val="0"/>
          <w:bCs w:val="0"/>
          <w:color w:val="auto"/>
          <w:kern w:val="0"/>
          <w:sz w:val="24"/>
          <w:szCs w:val="24"/>
          <w:highlight w:val="none"/>
        </w:rPr>
        <w:t>承包人应在签订合同后，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31F7B5D4">
      <w:pPr>
        <w:keepNext w:val="0"/>
        <w:keepLines w:val="0"/>
        <w:widowControl/>
        <w:suppressLineNumbers w:val="0"/>
        <w:spacing w:line="360" w:lineRule="auto"/>
        <w:ind w:firstLine="482" w:firstLineChars="200"/>
        <w:jc w:val="left"/>
        <w:rPr>
          <w:rStyle w:val="48"/>
          <w:rFonts w:hint="eastAsia" w:ascii="宋体" w:hAnsi="宋体" w:eastAsia="宋体" w:cs="宋体"/>
          <w:b w:val="0"/>
          <w:bCs w:val="0"/>
          <w:color w:val="auto"/>
          <w:kern w:val="0"/>
          <w:sz w:val="24"/>
          <w:szCs w:val="24"/>
          <w:highlight w:val="none"/>
          <w:lang w:eastAsia="zh-CN"/>
        </w:rPr>
      </w:pPr>
      <w:r>
        <w:rPr>
          <w:rStyle w:val="48"/>
          <w:rFonts w:hint="eastAsia" w:ascii="宋体" w:hAnsi="宋体" w:eastAsia="宋体" w:cs="宋体"/>
          <w:b/>
          <w:bCs/>
          <w:color w:val="auto"/>
          <w:kern w:val="0"/>
          <w:sz w:val="24"/>
          <w:szCs w:val="24"/>
          <w:highlight w:val="none"/>
          <w:lang w:val="en-US" w:eastAsia="zh-CN"/>
        </w:rPr>
        <w:t>3.2.4</w:t>
      </w:r>
      <w:r>
        <w:rPr>
          <w:rStyle w:val="48"/>
          <w:rFonts w:hint="eastAsia" w:ascii="宋体" w:hAnsi="宋体" w:eastAsia="宋体" w:cs="宋体"/>
          <w:b w:val="0"/>
          <w:bCs w:val="0"/>
          <w:color w:val="auto"/>
          <w:kern w:val="0"/>
          <w:sz w:val="24"/>
          <w:szCs w:val="24"/>
          <w:highlight w:val="none"/>
          <w:lang w:val="en-US" w:eastAsia="zh-CN"/>
        </w:rPr>
        <w:t xml:space="preserve"> </w:t>
      </w:r>
      <w:r>
        <w:rPr>
          <w:rStyle w:val="48"/>
          <w:rFonts w:hint="eastAsia" w:ascii="宋体" w:hAnsi="宋体" w:eastAsia="宋体" w:cs="宋体"/>
          <w:b w:val="0"/>
          <w:bCs w:val="0"/>
          <w:color w:val="auto"/>
          <w:kern w:val="0"/>
          <w:sz w:val="24"/>
          <w:szCs w:val="24"/>
          <w:highlight w:val="none"/>
          <w:lang w:eastAsia="zh-CN"/>
        </w:rPr>
        <w:t>发包人没有按时支付预付款的，承包人可催告发包人支付；发包人在付款期满后的 7 天内仍未支付的，承包人可在付款期满后的第 8 天起暂停施工。发包人应向承包人支付应付款的利息（从付款期满后之日起计算，利率按同期银行贷款利率计算），并承担违约责任。</w:t>
      </w:r>
    </w:p>
    <w:p w14:paraId="40274CA2">
      <w:pPr>
        <w:keepNext w:val="0"/>
        <w:keepLines w:val="0"/>
        <w:widowControl/>
        <w:suppressLineNumbers w:val="0"/>
        <w:spacing w:line="360" w:lineRule="auto"/>
        <w:ind w:firstLine="482" w:firstLineChars="200"/>
        <w:jc w:val="left"/>
        <w:rPr>
          <w:rFonts w:hint="eastAsia" w:ascii="宋体" w:hAnsi="宋体" w:eastAsia="宋体" w:cs="宋体"/>
          <w:snapToGrid w:val="0"/>
          <w:color w:val="auto"/>
          <w:kern w:val="0"/>
          <w:sz w:val="24"/>
          <w:szCs w:val="24"/>
          <w:highlight w:val="none"/>
        </w:rPr>
      </w:pPr>
      <w:r>
        <w:rPr>
          <w:rStyle w:val="48"/>
          <w:rFonts w:hint="eastAsia" w:ascii="宋体" w:hAnsi="宋体" w:eastAsia="宋体" w:cs="宋体"/>
          <w:b/>
          <w:bCs/>
          <w:color w:val="auto"/>
          <w:sz w:val="24"/>
          <w:szCs w:val="24"/>
          <w:highlight w:val="none"/>
        </w:rPr>
        <w:t>3.2.</w:t>
      </w:r>
      <w:r>
        <w:rPr>
          <w:rStyle w:val="48"/>
          <w:rFonts w:hint="eastAsia" w:ascii="宋体" w:hAnsi="宋体" w:eastAsia="宋体" w:cs="宋体"/>
          <w:b/>
          <w:bCs/>
          <w:color w:val="auto"/>
          <w:sz w:val="24"/>
          <w:szCs w:val="24"/>
          <w:highlight w:val="none"/>
          <w:lang w:val="en-US" w:eastAsia="zh-CN"/>
        </w:rPr>
        <w:t>5</w:t>
      </w:r>
      <w:r>
        <w:rPr>
          <w:rFonts w:hint="eastAsia" w:ascii="宋体" w:hAnsi="宋体" w:eastAsia="宋体" w:cs="宋体"/>
          <w:snapToGrid w:val="0"/>
          <w:color w:val="auto"/>
          <w:kern w:val="0"/>
          <w:sz w:val="24"/>
          <w:szCs w:val="24"/>
          <w:highlight w:val="none"/>
        </w:rPr>
        <w:t xml:space="preserve"> 预付款应从每支付期应支付给承包人的工程进度款中扣回，直到扣回的金额达到合同约定的预付款金额为止。</w:t>
      </w:r>
    </w:p>
    <w:p w14:paraId="5BC15050">
      <w:pPr>
        <w:pStyle w:val="51"/>
        <w:keepNext w:val="0"/>
        <w:keepLines w:val="0"/>
        <w:pageBreakBefore w:val="0"/>
        <w:widowControl/>
        <w:kinsoku/>
        <w:wordWrap/>
        <w:overflowPunct/>
        <w:topLinePunct w:val="0"/>
        <w:autoSpaceDE/>
        <w:autoSpaceDN/>
        <w:bidi w:val="0"/>
        <w:adjustRightIn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Style w:val="48"/>
          <w:rFonts w:hint="eastAsia" w:ascii="宋体" w:hAnsi="宋体" w:eastAsia="宋体" w:cs="宋体"/>
          <w:b/>
          <w:bCs/>
          <w:color w:val="auto"/>
          <w:kern w:val="1"/>
          <w:sz w:val="24"/>
          <w:szCs w:val="24"/>
          <w:highlight w:val="none"/>
        </w:rPr>
        <w:t xml:space="preserve">3.3 </w:t>
      </w:r>
      <w:r>
        <w:rPr>
          <w:rFonts w:hint="eastAsia" w:ascii="宋体" w:hAnsi="宋体" w:eastAsia="宋体" w:cs="宋体"/>
          <w:snapToGrid w:val="0"/>
          <w:color w:val="auto"/>
          <w:kern w:val="0"/>
          <w:sz w:val="24"/>
          <w:szCs w:val="24"/>
          <w:highlight w:val="none"/>
        </w:rPr>
        <w:t>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6E13288A">
      <w:pPr>
        <w:pStyle w:val="51"/>
        <w:keepNext w:val="0"/>
        <w:keepLines w:val="0"/>
        <w:pageBreakBefore w:val="0"/>
        <w:kinsoku/>
        <w:overflowPunct/>
        <w:autoSpaceDE/>
        <w:autoSpaceDN/>
        <w:bidi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Style w:val="48"/>
          <w:rFonts w:hint="eastAsia" w:ascii="宋体" w:hAnsi="宋体" w:eastAsia="宋体" w:cs="宋体"/>
          <w:b/>
          <w:bCs/>
          <w:color w:val="auto"/>
          <w:kern w:val="1"/>
          <w:sz w:val="24"/>
          <w:szCs w:val="24"/>
          <w:highlight w:val="none"/>
          <w:lang w:val="en-US" w:eastAsia="zh-CN"/>
        </w:rPr>
        <w:t xml:space="preserve">3.4 </w:t>
      </w:r>
      <w:r>
        <w:rPr>
          <w:rFonts w:hint="eastAsia" w:ascii="宋体" w:hAnsi="宋体" w:eastAsia="宋体" w:cs="宋体"/>
          <w:snapToGrid w:val="0"/>
          <w:color w:val="auto"/>
          <w:kern w:val="0"/>
          <w:sz w:val="24"/>
          <w:szCs w:val="24"/>
          <w:highlight w:val="none"/>
        </w:rPr>
        <w:t>每月的工程进度款按</w:t>
      </w:r>
      <w:r>
        <w:rPr>
          <w:rFonts w:hint="eastAsia" w:ascii="宋体" w:hAnsi="宋体" w:eastAsia="宋体" w:cs="宋体"/>
          <w:snapToGrid w:val="0"/>
          <w:color w:val="auto"/>
          <w:kern w:val="0"/>
          <w:sz w:val="24"/>
          <w:szCs w:val="24"/>
          <w:highlight w:val="none"/>
          <w:lang w:eastAsia="zh-CN"/>
        </w:rPr>
        <w:t>工程实际完成工程量</w:t>
      </w:r>
      <w:r>
        <w:rPr>
          <w:rFonts w:hint="eastAsia" w:ascii="宋体" w:hAnsi="宋体" w:eastAsia="宋体" w:cs="宋体"/>
          <w:snapToGrid w:val="0"/>
          <w:color w:val="auto"/>
          <w:kern w:val="0"/>
          <w:sz w:val="24"/>
          <w:szCs w:val="24"/>
          <w:highlight w:val="none"/>
        </w:rPr>
        <w:t>的</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u w:val="single"/>
          <w:lang w:val="en-US" w:eastAsia="zh-CN"/>
        </w:rPr>
        <w:t>80%</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rPr>
        <w:t>支付，工程</w:t>
      </w:r>
      <w:r>
        <w:rPr>
          <w:rFonts w:hint="eastAsia" w:ascii="宋体" w:hAnsi="宋体" w:eastAsia="宋体" w:cs="宋体"/>
          <w:snapToGrid w:val="0"/>
          <w:color w:val="auto"/>
          <w:kern w:val="0"/>
          <w:sz w:val="24"/>
          <w:szCs w:val="24"/>
          <w:highlight w:val="none"/>
          <w:lang w:eastAsia="zh-CN"/>
        </w:rPr>
        <w:t>进度</w:t>
      </w:r>
      <w:r>
        <w:rPr>
          <w:rFonts w:hint="eastAsia" w:ascii="宋体" w:hAnsi="宋体" w:eastAsia="宋体" w:cs="宋体"/>
          <w:snapToGrid w:val="0"/>
          <w:color w:val="auto"/>
          <w:kern w:val="0"/>
          <w:sz w:val="24"/>
          <w:szCs w:val="24"/>
          <w:highlight w:val="none"/>
        </w:rPr>
        <w:t>款中的作业工人工资款项由发包人单独足额拨付到承包人的工资专户</w:t>
      </w:r>
      <w:r>
        <w:rPr>
          <w:rFonts w:hint="eastAsia" w:ascii="宋体" w:hAnsi="宋体" w:eastAsia="宋体" w:cs="宋体"/>
          <w:snapToGrid w:val="0"/>
          <w:color w:val="auto"/>
          <w:kern w:val="0"/>
          <w:sz w:val="24"/>
          <w:szCs w:val="24"/>
          <w:highlight w:val="none"/>
          <w:lang w:eastAsia="zh-CN"/>
        </w:rPr>
        <w:t>。</w:t>
      </w:r>
    </w:p>
    <w:p w14:paraId="00A86063">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1"/>
          <w:sz w:val="24"/>
          <w:szCs w:val="24"/>
          <w:highlight w:val="none"/>
        </w:rPr>
      </w:pPr>
      <w:r>
        <w:rPr>
          <w:rStyle w:val="48"/>
          <w:rFonts w:hint="eastAsia" w:ascii="宋体" w:hAnsi="宋体" w:eastAsia="宋体" w:cs="宋体"/>
          <w:b/>
          <w:bCs/>
          <w:color w:val="auto"/>
          <w:kern w:val="1"/>
          <w:sz w:val="24"/>
          <w:szCs w:val="24"/>
          <w:highlight w:val="none"/>
        </w:rPr>
        <w:t>3.</w:t>
      </w:r>
      <w:r>
        <w:rPr>
          <w:rStyle w:val="48"/>
          <w:rFonts w:hint="eastAsia" w:ascii="宋体" w:hAnsi="宋体" w:eastAsia="宋体" w:cs="宋体"/>
          <w:b/>
          <w:bCs/>
          <w:color w:val="auto"/>
          <w:kern w:val="1"/>
          <w:sz w:val="24"/>
          <w:szCs w:val="24"/>
          <w:highlight w:val="none"/>
          <w:lang w:val="en-US" w:eastAsia="zh-CN"/>
        </w:rPr>
        <w:t>5</w:t>
      </w:r>
      <w:r>
        <w:rPr>
          <w:rStyle w:val="48"/>
          <w:rFonts w:hint="eastAsia" w:ascii="宋体" w:hAnsi="宋体" w:eastAsia="宋体" w:cs="宋体"/>
          <w:b w:val="0"/>
          <w:bCs w:val="0"/>
          <w:color w:val="auto"/>
          <w:kern w:val="1"/>
          <w:sz w:val="24"/>
          <w:szCs w:val="24"/>
          <w:highlight w:val="none"/>
          <w:lang w:val="en-US" w:eastAsia="zh-CN"/>
        </w:rPr>
        <w:t xml:space="preserve"> </w:t>
      </w:r>
      <w:r>
        <w:rPr>
          <w:rFonts w:hint="eastAsia" w:ascii="宋体" w:hAnsi="宋体" w:eastAsia="宋体" w:cs="宋体"/>
          <w:b w:val="0"/>
          <w:bCs w:val="0"/>
          <w:snapToGrid w:val="0"/>
          <w:color w:val="auto"/>
          <w:kern w:val="0"/>
          <w:sz w:val="24"/>
          <w:szCs w:val="24"/>
          <w:highlight w:val="none"/>
        </w:rPr>
        <w:t>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77F8B5C9">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1"/>
          <w:sz w:val="24"/>
          <w:szCs w:val="24"/>
          <w:highlight w:val="none"/>
        </w:rPr>
      </w:pPr>
      <w:r>
        <w:rPr>
          <w:rStyle w:val="48"/>
          <w:rFonts w:hint="eastAsia" w:ascii="宋体" w:hAnsi="宋体" w:eastAsia="宋体" w:cs="宋体"/>
          <w:b/>
          <w:bCs/>
          <w:color w:val="auto"/>
          <w:kern w:val="1"/>
          <w:sz w:val="24"/>
          <w:szCs w:val="24"/>
          <w:highlight w:val="none"/>
        </w:rPr>
        <w:t>3.</w:t>
      </w:r>
      <w:r>
        <w:rPr>
          <w:rStyle w:val="48"/>
          <w:rFonts w:hint="eastAsia" w:ascii="宋体" w:hAnsi="宋体" w:eastAsia="宋体" w:cs="宋体"/>
          <w:b/>
          <w:bCs/>
          <w:color w:val="auto"/>
          <w:kern w:val="1"/>
          <w:sz w:val="24"/>
          <w:szCs w:val="24"/>
          <w:highlight w:val="none"/>
          <w:lang w:val="en-US" w:eastAsia="zh-CN"/>
        </w:rPr>
        <w:t xml:space="preserve">6 </w:t>
      </w:r>
      <w:r>
        <w:rPr>
          <w:rStyle w:val="48"/>
          <w:rFonts w:hint="eastAsia" w:ascii="宋体" w:hAnsi="宋体" w:eastAsia="宋体" w:cs="宋体"/>
          <w:b w:val="0"/>
          <w:bCs w:val="0"/>
          <w:color w:val="auto"/>
          <w:kern w:val="0"/>
          <w:sz w:val="24"/>
          <w:szCs w:val="24"/>
          <w:highlight w:val="none"/>
        </w:rPr>
        <w:t>变更工程造价必须经监理单位核实，并经发包人核定后方可支付。</w:t>
      </w:r>
    </w:p>
    <w:p w14:paraId="473868BA">
      <w:pPr>
        <w:keepNext w:val="0"/>
        <w:keepLines w:val="0"/>
        <w:pageBreakBefore w:val="0"/>
        <w:kinsoku/>
        <w:overflowPunct/>
        <w:autoSpaceDE/>
        <w:autoSpaceDN/>
        <w:bidi w:val="0"/>
        <w:snapToGrid w:val="0"/>
        <w:spacing w:line="360" w:lineRule="auto"/>
        <w:ind w:firstLine="482" w:firstLineChars="200"/>
        <w:rPr>
          <w:rFonts w:hint="eastAsia" w:ascii="宋体" w:hAnsi="宋体" w:eastAsia="宋体" w:cs="宋体"/>
          <w:b w:val="0"/>
          <w:bCs w:val="0"/>
          <w:caps w:val="0"/>
          <w:smallCaps w:val="0"/>
          <w:snapToGrid w:val="0"/>
          <w:color w:val="auto"/>
          <w:spacing w:val="0"/>
          <w:kern w:val="0"/>
          <w:sz w:val="24"/>
          <w:szCs w:val="24"/>
          <w:highlight w:val="none"/>
          <w:lang w:val="en-US" w:eastAsia="zh-CN"/>
        </w:rPr>
      </w:pPr>
      <w:r>
        <w:rPr>
          <w:rStyle w:val="48"/>
          <w:rFonts w:hint="eastAsia" w:ascii="宋体" w:hAnsi="宋体" w:eastAsia="宋体" w:cs="宋体"/>
          <w:b/>
          <w:bCs/>
          <w:color w:val="auto"/>
          <w:kern w:val="1"/>
          <w:sz w:val="24"/>
          <w:szCs w:val="24"/>
          <w:highlight w:val="none"/>
        </w:rPr>
        <w:t>3.</w:t>
      </w:r>
      <w:r>
        <w:rPr>
          <w:rStyle w:val="48"/>
          <w:rFonts w:hint="eastAsia" w:ascii="宋体" w:hAnsi="宋体" w:eastAsia="宋体" w:cs="宋体"/>
          <w:b/>
          <w:bCs/>
          <w:color w:val="auto"/>
          <w:kern w:val="1"/>
          <w:sz w:val="24"/>
          <w:szCs w:val="24"/>
          <w:highlight w:val="none"/>
          <w:lang w:val="en-US" w:eastAsia="zh-CN"/>
        </w:rPr>
        <w:t>7</w:t>
      </w:r>
      <w:r>
        <w:rPr>
          <w:rStyle w:val="48"/>
          <w:rFonts w:hint="eastAsia" w:ascii="宋体" w:hAnsi="宋体" w:eastAsia="宋体" w:cs="宋体"/>
          <w:b w:val="0"/>
          <w:bCs w:val="0"/>
          <w:color w:val="auto"/>
          <w:kern w:val="1"/>
          <w:sz w:val="24"/>
          <w:szCs w:val="24"/>
          <w:highlight w:val="none"/>
        </w:rPr>
        <w:t xml:space="preserve"> </w:t>
      </w:r>
      <w:r>
        <w:rPr>
          <w:rFonts w:hint="eastAsia" w:ascii="宋体" w:hAnsi="宋体" w:eastAsia="宋体" w:cs="宋体"/>
          <w:b w:val="0"/>
          <w:bCs w:val="0"/>
          <w:caps w:val="0"/>
          <w:smallCaps w:val="0"/>
          <w:snapToGrid w:val="0"/>
          <w:color w:val="auto"/>
          <w:spacing w:val="0"/>
          <w:kern w:val="0"/>
          <w:sz w:val="24"/>
          <w:szCs w:val="24"/>
          <w:highlight w:val="none"/>
          <w:lang w:eastAsia="zh-CN"/>
        </w:rPr>
        <w:t>结算审核完成后，于次月支付至审核价格的</w:t>
      </w:r>
      <w:r>
        <w:rPr>
          <w:rFonts w:hint="eastAsia" w:ascii="宋体" w:hAnsi="宋体" w:eastAsia="宋体" w:cs="宋体"/>
          <w:b w:val="0"/>
          <w:bCs w:val="0"/>
          <w:caps w:val="0"/>
          <w:smallCaps w:val="0"/>
          <w:snapToGrid w:val="0"/>
          <w:color w:val="auto"/>
          <w:spacing w:val="0"/>
          <w:kern w:val="0"/>
          <w:sz w:val="24"/>
          <w:szCs w:val="24"/>
          <w:highlight w:val="none"/>
          <w:u w:val="single"/>
          <w:lang w:eastAsia="zh-CN"/>
        </w:rPr>
        <w:t>97%</w:t>
      </w:r>
      <w:r>
        <w:rPr>
          <w:rFonts w:hint="eastAsia" w:ascii="宋体" w:hAnsi="宋体" w:eastAsia="宋体" w:cs="宋体"/>
          <w:b w:val="0"/>
          <w:bCs w:val="0"/>
          <w:caps w:val="0"/>
          <w:smallCaps w:val="0"/>
          <w:snapToGrid w:val="0"/>
          <w:color w:val="auto"/>
          <w:spacing w:val="0"/>
          <w:kern w:val="0"/>
          <w:sz w:val="24"/>
          <w:szCs w:val="24"/>
          <w:highlight w:val="none"/>
          <w:lang w:eastAsia="zh-CN"/>
        </w:rPr>
        <w:t>，剩余</w:t>
      </w:r>
      <w:r>
        <w:rPr>
          <w:rFonts w:hint="eastAsia" w:ascii="宋体" w:hAnsi="宋体" w:eastAsia="宋体" w:cs="宋体"/>
          <w:b w:val="0"/>
          <w:bCs w:val="0"/>
          <w:caps w:val="0"/>
          <w:smallCaps w:val="0"/>
          <w:snapToGrid w:val="0"/>
          <w:color w:val="auto"/>
          <w:spacing w:val="0"/>
          <w:kern w:val="0"/>
          <w:sz w:val="24"/>
          <w:szCs w:val="24"/>
          <w:highlight w:val="none"/>
          <w:u w:val="single"/>
          <w:lang w:eastAsia="zh-CN"/>
        </w:rPr>
        <w:t>3%</w:t>
      </w:r>
      <w:r>
        <w:rPr>
          <w:rFonts w:hint="eastAsia" w:ascii="宋体" w:hAnsi="宋体" w:eastAsia="宋体" w:cs="宋体"/>
          <w:b w:val="0"/>
          <w:bCs w:val="0"/>
          <w:caps w:val="0"/>
          <w:smallCaps w:val="0"/>
          <w:snapToGrid w:val="0"/>
          <w:color w:val="auto"/>
          <w:spacing w:val="0"/>
          <w:kern w:val="0"/>
          <w:sz w:val="24"/>
          <w:szCs w:val="24"/>
          <w:highlight w:val="none"/>
          <w:lang w:eastAsia="zh-CN"/>
        </w:rPr>
        <w:t>转为质量保证金；承包人提交了等额质量保证担保或质量保证保险的，于次月一次性结清合同价格。</w:t>
      </w:r>
    </w:p>
    <w:p w14:paraId="1FD286FD">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2" w:firstLineChars="200"/>
        <w:textAlignment w:val="auto"/>
        <w:rPr>
          <w:rFonts w:hint="eastAsia" w:ascii="宋体" w:hAnsi="宋体" w:eastAsia="宋体" w:cs="宋体"/>
          <w:b w:val="0"/>
          <w:bCs w:val="0"/>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3.8</w:t>
      </w:r>
      <w:r>
        <w:rPr>
          <w:rFonts w:hint="eastAsia" w:ascii="宋体" w:hAnsi="宋体" w:eastAsia="宋体" w:cs="宋体"/>
          <w:b w:val="0"/>
          <w:bCs w:val="0"/>
          <w:caps w:val="0"/>
          <w:smallCaps w:val="0"/>
          <w:snapToGrid w:val="0"/>
          <w:color w:val="auto"/>
          <w:spacing w:val="0"/>
          <w:kern w:val="0"/>
          <w:sz w:val="24"/>
          <w:szCs w:val="24"/>
          <w:highlight w:val="none"/>
          <w:lang w:val="en-US" w:eastAsia="zh-CN"/>
        </w:rPr>
        <w:t xml:space="preserve"> 本工程缺陷责任期为 2 年（自通过竣工验收之日起计）。缺陷责任期到期后，承包人向发包人申请退还质量保证金。发包人收到退还申请后，于 14 天内会同承包人进行核实。经双方核实且均无异议后，发包人在核实之日起 14 天内将应返保证金（或质量保证担保或质量保证保险）退还承包人。</w:t>
      </w:r>
    </w:p>
    <w:p w14:paraId="250F0574">
      <w:pPr>
        <w:spacing w:before="151" w:line="360" w:lineRule="auto"/>
        <w:ind w:left="476"/>
        <w:outlineLvl w:val="2"/>
        <w:rPr>
          <w:rFonts w:hint="eastAsia" w:ascii="宋体" w:hAnsi="宋体" w:eastAsia="宋体" w:cs="宋体"/>
          <w:b/>
          <w:bCs/>
          <w:color w:val="auto"/>
          <w:spacing w:val="-11"/>
          <w:sz w:val="24"/>
          <w:szCs w:val="24"/>
          <w:highlight w:val="none"/>
        </w:rPr>
      </w:pPr>
      <w:bookmarkStart w:id="197" w:name="_Toc24375"/>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其他专用合同条款</w:t>
      </w:r>
      <w:bookmarkEnd w:id="195"/>
      <w:bookmarkEnd w:id="197"/>
    </w:p>
    <w:p w14:paraId="66D497E1">
      <w:pPr>
        <w:keepNext w:val="0"/>
        <w:keepLines w:val="0"/>
        <w:pageBreakBefore w:val="0"/>
        <w:kinsoku/>
        <w:overflowPunct/>
        <w:topLinePunct w:val="0"/>
        <w:autoSpaceDE/>
        <w:autoSpaceDN/>
        <w:bidi w:val="0"/>
        <w:snapToGrid w:val="0"/>
        <w:spacing w:line="360" w:lineRule="auto"/>
        <w:ind w:firstLine="480" w:firstLineChars="200"/>
        <w:rPr>
          <w:rFonts w:hint="eastAsia" w:ascii="宋体" w:hAnsi="宋体" w:eastAsia="宋体" w:cs="宋体"/>
          <w:b w:val="0"/>
          <w:snapToGrid w:val="0"/>
          <w:color w:val="auto"/>
          <w:kern w:val="0"/>
          <w:sz w:val="24"/>
          <w:szCs w:val="24"/>
          <w:highlight w:val="none"/>
          <w:u w:val="single"/>
          <w:lang w:val="en-US" w:eastAsia="zh-CN" w:bidi="ar-SA"/>
        </w:rPr>
      </w:pPr>
      <w:r>
        <w:rPr>
          <w:rFonts w:hint="eastAsia" w:ascii="宋体" w:hAnsi="宋体" w:eastAsia="宋体" w:cs="宋体"/>
          <w:b w:val="0"/>
          <w:snapToGrid w:val="0"/>
          <w:color w:val="auto"/>
          <w:kern w:val="0"/>
          <w:sz w:val="24"/>
          <w:szCs w:val="24"/>
          <w:highlight w:val="none"/>
          <w:u w:val="single"/>
          <w:lang w:val="en-US" w:eastAsia="zh-CN" w:bidi="ar-SA"/>
        </w:rPr>
        <w:t>由招标人根据本工程实际情况和地方政策与中标人自行协商签定相关专用合同条款。</w:t>
      </w:r>
    </w:p>
    <w:p w14:paraId="7C0E449D">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b w:val="0"/>
          <w:bCs w:val="0"/>
          <w:snapToGrid w:val="0"/>
          <w:color w:val="auto"/>
          <w:kern w:val="0"/>
          <w:sz w:val="24"/>
          <w:szCs w:val="24"/>
          <w:highlight w:val="none"/>
          <w:lang w:val="en-US" w:eastAsia="zh-CN"/>
        </w:rPr>
      </w:pPr>
      <w:bookmarkStart w:id="198" w:name="_Toc10299"/>
      <w:r>
        <w:rPr>
          <w:rFonts w:hint="eastAsia" w:ascii="宋体" w:hAnsi="宋体" w:eastAsia="宋体" w:cs="宋体"/>
          <w:b/>
          <w:bCs/>
          <w:snapToGrid w:val="0"/>
          <w:color w:val="auto"/>
          <w:kern w:val="0"/>
          <w:sz w:val="24"/>
          <w:szCs w:val="24"/>
          <w:highlight w:val="none"/>
          <w:lang w:val="en-US" w:eastAsia="zh-CN"/>
        </w:rPr>
        <w:t>4.1</w:t>
      </w:r>
      <w:r>
        <w:rPr>
          <w:rFonts w:hint="eastAsia" w:ascii="宋体" w:hAnsi="宋体" w:eastAsia="宋体" w:cs="宋体"/>
          <w:b w:val="0"/>
          <w:bCs w:val="0"/>
          <w:snapToGrid w:val="0"/>
          <w:color w:val="auto"/>
          <w:kern w:val="0"/>
          <w:sz w:val="24"/>
          <w:szCs w:val="24"/>
          <w:highlight w:val="none"/>
          <w:lang w:val="en-US" w:eastAsia="zh-CN"/>
        </w:rPr>
        <w:t>专业工程分包</w:t>
      </w:r>
      <w:bookmarkEnd w:id="198"/>
    </w:p>
    <w:p w14:paraId="09D90C92">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6EFBAFD8">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b w:val="0"/>
          <w:bCs w:val="0"/>
          <w:snapToGrid w:val="0"/>
          <w:color w:val="auto"/>
          <w:kern w:val="0"/>
          <w:sz w:val="24"/>
          <w:szCs w:val="24"/>
          <w:highlight w:val="none"/>
          <w:lang w:val="en-US" w:eastAsia="en-US"/>
        </w:rPr>
      </w:pPr>
      <w:bookmarkStart w:id="199" w:name="_Toc15504"/>
      <w:bookmarkStart w:id="200" w:name="_Toc7163"/>
      <w:bookmarkStart w:id="201" w:name="_Toc4288"/>
      <w:bookmarkStart w:id="202" w:name="_Toc23958"/>
      <w:bookmarkStart w:id="203" w:name="_Toc24421"/>
      <w:r>
        <w:rPr>
          <w:rFonts w:hint="eastAsia" w:ascii="宋体" w:hAnsi="宋体" w:eastAsia="宋体" w:cs="宋体"/>
          <w:b/>
          <w:bCs/>
          <w:snapToGrid w:val="0"/>
          <w:color w:val="auto"/>
          <w:kern w:val="0"/>
          <w:sz w:val="24"/>
          <w:szCs w:val="24"/>
          <w:highlight w:val="none"/>
          <w:lang w:val="en-US" w:eastAsia="zh-CN"/>
        </w:rPr>
        <w:t>4.2</w:t>
      </w:r>
      <w:r>
        <w:rPr>
          <w:rFonts w:hint="eastAsia" w:ascii="宋体" w:hAnsi="宋体" w:eastAsia="宋体" w:cs="宋体"/>
          <w:b w:val="0"/>
          <w:bCs w:val="0"/>
          <w:snapToGrid w:val="0"/>
          <w:color w:val="auto"/>
          <w:kern w:val="0"/>
          <w:sz w:val="24"/>
          <w:szCs w:val="24"/>
          <w:highlight w:val="none"/>
          <w:lang w:val="en-US" w:eastAsia="zh-CN"/>
        </w:rPr>
        <w:t xml:space="preserve"> </w:t>
      </w:r>
      <w:r>
        <w:rPr>
          <w:rFonts w:hint="eastAsia" w:ascii="宋体" w:hAnsi="宋体" w:eastAsia="宋体" w:cs="宋体"/>
          <w:b w:val="0"/>
          <w:bCs w:val="0"/>
          <w:snapToGrid w:val="0"/>
          <w:color w:val="auto"/>
          <w:kern w:val="0"/>
          <w:sz w:val="24"/>
          <w:szCs w:val="24"/>
          <w:highlight w:val="none"/>
          <w:lang w:val="en-US" w:eastAsia="en-US"/>
        </w:rPr>
        <w:t>工人工资支付专用账户</w:t>
      </w:r>
      <w:bookmarkEnd w:id="199"/>
      <w:bookmarkEnd w:id="200"/>
      <w:bookmarkEnd w:id="201"/>
      <w:bookmarkEnd w:id="202"/>
      <w:bookmarkEnd w:id="203"/>
    </w:p>
    <w:p w14:paraId="39CC6A01">
      <w:pPr>
        <w:keepNext w:val="0"/>
        <w:keepLines w:val="0"/>
        <w:pageBreakBefore w:val="0"/>
        <w:kinsoku/>
        <w:wordWrap w:val="0"/>
        <w:overflowPunct/>
        <w:topLinePunct w:val="0"/>
        <w:bidi w:val="0"/>
        <w:adjustRightInd w:val="0"/>
        <w:snapToGrid w:val="0"/>
        <w:spacing w:line="360" w:lineRule="auto"/>
        <w:ind w:firstLine="482" w:firstLineChars="200"/>
        <w:rPr>
          <w:rFonts w:hint="eastAsia" w:ascii="宋体" w:hAnsi="宋体" w:eastAsia="宋体" w:cs="宋体"/>
          <w:b w:val="0"/>
          <w:bCs w:val="0"/>
          <w:snapToGrid w:val="0"/>
          <w:color w:val="auto"/>
          <w:kern w:val="0"/>
          <w:sz w:val="24"/>
          <w:szCs w:val="24"/>
          <w:highlight w:val="none"/>
          <w:lang w:val="en-US" w:eastAsia="en-US" w:bidi="ar-SA"/>
        </w:rPr>
      </w:pPr>
      <w:r>
        <w:rPr>
          <w:rFonts w:hint="eastAsia" w:ascii="宋体" w:hAnsi="宋体" w:eastAsia="宋体" w:cs="宋体"/>
          <w:b/>
          <w:bCs/>
          <w:snapToGrid w:val="0"/>
          <w:color w:val="auto"/>
          <w:kern w:val="0"/>
          <w:sz w:val="24"/>
          <w:szCs w:val="24"/>
          <w:highlight w:val="none"/>
          <w:lang w:val="en-US" w:eastAsia="zh-CN" w:bidi="ar-SA"/>
        </w:rPr>
        <w:t>4.2</w:t>
      </w:r>
      <w:r>
        <w:rPr>
          <w:rFonts w:hint="eastAsia" w:ascii="宋体" w:hAnsi="宋体" w:eastAsia="宋体" w:cs="宋体"/>
          <w:b/>
          <w:bCs/>
          <w:snapToGrid w:val="0"/>
          <w:color w:val="auto"/>
          <w:kern w:val="0"/>
          <w:sz w:val="24"/>
          <w:szCs w:val="24"/>
          <w:highlight w:val="none"/>
          <w:lang w:val="en-US" w:eastAsia="en-US" w:bidi="ar-SA"/>
        </w:rPr>
        <w:t>.1</w:t>
      </w:r>
      <w:r>
        <w:rPr>
          <w:rFonts w:hint="eastAsia" w:ascii="宋体" w:hAnsi="宋体" w:eastAsia="宋体" w:cs="宋体"/>
          <w:b w:val="0"/>
          <w:bCs w:val="0"/>
          <w:snapToGrid w:val="0"/>
          <w:color w:val="auto"/>
          <w:kern w:val="0"/>
          <w:sz w:val="24"/>
          <w:szCs w:val="24"/>
          <w:highlight w:val="none"/>
          <w:lang w:val="en-US" w:eastAsia="en-US" w:bidi="ar-SA"/>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52B3B8ED">
      <w:pPr>
        <w:keepNext w:val="0"/>
        <w:keepLines w:val="0"/>
        <w:pageBreakBefore w:val="0"/>
        <w:widowControl/>
        <w:suppressLineNumbers w:val="0"/>
        <w:kinsoku/>
        <w:overflowPunct/>
        <w:topLinePunct w:val="0"/>
        <w:bidi w:val="0"/>
        <w:spacing w:line="360" w:lineRule="auto"/>
        <w:ind w:firstLine="482"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strike w:val="0"/>
          <w:dstrike w:val="0"/>
          <w:snapToGrid w:val="0"/>
          <w:color w:val="auto"/>
          <w:kern w:val="0"/>
          <w:sz w:val="24"/>
          <w:szCs w:val="24"/>
          <w:highlight w:val="none"/>
          <w:lang w:val="en-US" w:eastAsia="zh-CN"/>
        </w:rPr>
        <w:t>4.2</w:t>
      </w:r>
      <w:r>
        <w:rPr>
          <w:rFonts w:hint="eastAsia" w:ascii="宋体" w:hAnsi="宋体" w:eastAsia="宋体" w:cs="宋体"/>
          <w:b/>
          <w:bCs/>
          <w:strike w:val="0"/>
          <w:dstrike w:val="0"/>
          <w:snapToGrid w:val="0"/>
          <w:color w:val="auto"/>
          <w:kern w:val="0"/>
          <w:sz w:val="24"/>
          <w:szCs w:val="24"/>
          <w:highlight w:val="none"/>
        </w:rPr>
        <w:t>.2</w:t>
      </w:r>
      <w:r>
        <w:rPr>
          <w:rFonts w:hint="eastAsia" w:ascii="宋体" w:hAnsi="宋体" w:eastAsia="宋体" w:cs="宋体"/>
          <w:color w:val="auto"/>
          <w:kern w:val="0"/>
          <w:sz w:val="24"/>
          <w:szCs w:val="24"/>
          <w:highlight w:val="none"/>
          <w:lang w:val="en-US" w:eastAsia="zh-CN" w:bidi="ar"/>
        </w:rPr>
        <w:t>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75121020">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按韶关市人力资源和社会、保障局韶关市住房和城乡建设管理局、韶关市交通运输局、韶关市水务局、韶关市金融工作局、国家金融监督管理总局韶关监管分局关于印发《韶关市工程建设领域农民工工资保证金管理实施细则》的通知(韶人社规〔2023〕2号)及《韶关市工程建设领域农民工工资保证金管理实施细则》（韶法审〔2023〕19号）规定执行。承包人在签订工程施工承包合同后一个月内必须办妥该事项，并将办妥回执交发包人。</w:t>
      </w:r>
    </w:p>
    <w:p w14:paraId="72B308BD">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w:t>
      </w:r>
    </w:p>
    <w:p w14:paraId="3D1AEF70">
      <w:pPr>
        <w:keepNext w:val="0"/>
        <w:keepLines w:val="0"/>
        <w:pageBreakBefore w:val="0"/>
        <w:widowControl/>
        <w:suppressLineNumbers w:val="0"/>
        <w:kinsoku/>
        <w:overflowPunct/>
        <w:topLinePunct w:val="0"/>
        <w:bidi w:val="0"/>
        <w:spacing w:line="360" w:lineRule="auto"/>
        <w:ind w:firstLine="241" w:firstLineChars="100"/>
        <w:jc w:val="left"/>
        <w:rPr>
          <w:rFonts w:hint="eastAsia" w:ascii="宋体" w:hAnsi="宋体" w:eastAsia="宋体" w:cs="宋体"/>
          <w:color w:val="auto"/>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4.2</w:t>
      </w:r>
      <w:r>
        <w:rPr>
          <w:rFonts w:hint="eastAsia" w:ascii="宋体" w:hAnsi="宋体" w:eastAsia="宋体" w:cs="宋体"/>
          <w:b/>
          <w:bCs/>
          <w:strike w:val="0"/>
          <w:dstrike w:val="0"/>
          <w:snapToGrid w:val="0"/>
          <w:color w:val="auto"/>
          <w:kern w:val="0"/>
          <w:sz w:val="24"/>
          <w:szCs w:val="24"/>
          <w:highlight w:val="none"/>
        </w:rPr>
        <w:t>.3</w:t>
      </w:r>
      <w:r>
        <w:rPr>
          <w:rFonts w:hint="eastAsia" w:ascii="宋体" w:hAnsi="宋体" w:eastAsia="宋体" w:cs="宋体"/>
          <w:strike w:val="0"/>
          <w:dstrike w:val="0"/>
          <w:snapToGrid w:val="0"/>
          <w:color w:val="auto"/>
          <w:kern w:val="0"/>
          <w:sz w:val="24"/>
          <w:szCs w:val="24"/>
          <w:highlight w:val="none"/>
        </w:rPr>
        <w:t xml:space="preserve"> </w:t>
      </w:r>
      <w:r>
        <w:rPr>
          <w:rFonts w:hint="eastAsia" w:ascii="宋体" w:hAnsi="宋体" w:eastAsia="宋体" w:cs="宋体"/>
          <w:color w:val="auto"/>
          <w:kern w:val="0"/>
          <w:sz w:val="24"/>
          <w:szCs w:val="24"/>
          <w:highlight w:val="none"/>
          <w:lang w:val="en-US" w:eastAsia="zh-CN" w:bidi="ar"/>
        </w:rPr>
        <w:t>承包人应在工资专户开立后2个工作日内，将开户银行及其账号、开户协议等资料提交给发包人。</w:t>
      </w:r>
    </w:p>
    <w:p w14:paraId="558B9954">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（1）用人单位应当在建设项目动工前，在建设项目所在地商业银行设立工人工资支付专用账户。</w:t>
      </w:r>
    </w:p>
    <w:p w14:paraId="5B108B2D">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（2）用人单位应当在用工之日起 15 日内为每一位工人办理个人银行账户。</w:t>
      </w:r>
    </w:p>
    <w:p w14:paraId="42CD3A43">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（3）用人单位应当指定专人负责建设项目施工现场台账管理，真实、准确记录工人名册、劳务合同、劳动合同、工程进度、工时台账、劳务承包款和工人工资支付等信息，并保存两年以上备查。</w:t>
      </w:r>
    </w:p>
    <w:p w14:paraId="4645E9C1">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1ECE605D">
      <w:pPr>
        <w:keepNext w:val="0"/>
        <w:keepLines w:val="0"/>
        <w:pageBreakBefore w:val="0"/>
        <w:widowControl/>
        <w:suppressLineNumbers w:val="0"/>
        <w:kinsoku/>
        <w:overflowPunct/>
        <w:topLinePunct w:val="0"/>
        <w:bidi w:val="0"/>
        <w:spacing w:line="360" w:lineRule="auto"/>
        <w:ind w:firstLine="482" w:firstLineChars="200"/>
        <w:jc w:val="left"/>
        <w:rPr>
          <w:rStyle w:val="48"/>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 xml:space="preserve">4.2.4 </w:t>
      </w:r>
      <w:r>
        <w:rPr>
          <w:rFonts w:hint="eastAsia" w:ascii="宋体" w:hAnsi="宋体" w:eastAsia="宋体" w:cs="宋体"/>
          <w:color w:val="auto"/>
          <w:kern w:val="0"/>
          <w:sz w:val="24"/>
          <w:szCs w:val="24"/>
          <w:highlight w:val="none"/>
          <w:lang w:val="en-US" w:eastAsia="zh-CN" w:bidi="ar"/>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5D35AD0">
      <w:pPr>
        <w:spacing w:before="151" w:line="360" w:lineRule="auto"/>
        <w:ind w:left="476"/>
        <w:outlineLvl w:val="2"/>
        <w:rPr>
          <w:rFonts w:hint="eastAsia" w:ascii="宋体" w:hAnsi="宋体" w:eastAsia="宋体" w:cs="宋体"/>
          <w:b/>
          <w:bCs/>
          <w:color w:val="auto"/>
          <w:spacing w:val="-11"/>
          <w:sz w:val="24"/>
          <w:szCs w:val="24"/>
          <w:highlight w:val="none"/>
        </w:rPr>
      </w:pPr>
      <w:bookmarkStart w:id="204" w:name="_Toc16211"/>
      <w:r>
        <w:rPr>
          <w:rFonts w:hint="eastAsia" w:ascii="宋体" w:hAnsi="宋体" w:eastAsia="宋体" w:cs="宋体"/>
          <w:b/>
          <w:bCs/>
          <w:color w:val="auto"/>
          <w:spacing w:val="-11"/>
          <w:sz w:val="24"/>
          <w:szCs w:val="24"/>
          <w:highlight w:val="none"/>
          <w:lang w:val="en-US" w:eastAsia="zh-CN"/>
        </w:rPr>
        <w:t>5.</w:t>
      </w:r>
      <w:r>
        <w:rPr>
          <w:rFonts w:hint="eastAsia" w:ascii="宋体" w:hAnsi="宋体" w:eastAsia="宋体" w:cs="宋体"/>
          <w:b/>
          <w:bCs/>
          <w:color w:val="auto"/>
          <w:spacing w:val="-11"/>
          <w:sz w:val="24"/>
          <w:szCs w:val="24"/>
          <w:highlight w:val="none"/>
        </w:rPr>
        <w:t>工期进度</w:t>
      </w:r>
      <w:bookmarkEnd w:id="204"/>
    </w:p>
    <w:p w14:paraId="0ED9DECC">
      <w:pPr>
        <w:snapToGrid w:val="0"/>
        <w:spacing w:line="360" w:lineRule="auto"/>
        <w:ind w:firstLine="482" w:firstLineChars="20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5</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lang w:eastAsia="zh-CN"/>
        </w:rPr>
        <w:t>本工程施工招标工期为</w:t>
      </w:r>
      <w:r>
        <w:rPr>
          <w:rStyle w:val="48"/>
          <w:rFonts w:hint="eastAsia" w:ascii="宋体" w:hAnsi="宋体" w:eastAsia="宋体" w:cs="宋体"/>
          <w:color w:val="auto"/>
          <w:kern w:val="0"/>
          <w:sz w:val="24"/>
          <w:szCs w:val="24"/>
          <w:highlight w:val="none"/>
          <w:lang w:val="en-US" w:eastAsia="zh-CN"/>
        </w:rPr>
        <w:t>60</w:t>
      </w:r>
      <w:r>
        <w:rPr>
          <w:rStyle w:val="48"/>
          <w:rFonts w:hint="eastAsia" w:ascii="宋体" w:hAnsi="宋体" w:eastAsia="宋体" w:cs="宋体"/>
          <w:color w:val="auto"/>
          <w:kern w:val="0"/>
          <w:sz w:val="24"/>
          <w:szCs w:val="24"/>
          <w:highlight w:val="none"/>
          <w:lang w:eastAsia="zh-CN"/>
        </w:rPr>
        <w:t>个日历天。</w:t>
      </w:r>
      <w:r>
        <w:rPr>
          <w:rStyle w:val="48"/>
          <w:rFonts w:hint="eastAsia" w:ascii="宋体" w:hAnsi="宋体" w:eastAsia="宋体" w:cs="宋体"/>
          <w:color w:val="auto"/>
          <w:kern w:val="0"/>
          <w:sz w:val="24"/>
          <w:szCs w:val="24"/>
          <w:highlight w:val="none"/>
        </w:rPr>
        <w:t>承包人必须在招标工期内完成本工程招标范围内的全部内容。</w:t>
      </w:r>
    </w:p>
    <w:p w14:paraId="4A0D1E64">
      <w:pPr>
        <w:snapToGrid w:val="0"/>
        <w:spacing w:line="360" w:lineRule="auto"/>
        <w:ind w:firstLine="482" w:firstLineChars="20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5</w:t>
      </w:r>
      <w:r>
        <w:rPr>
          <w:rStyle w:val="48"/>
          <w:rFonts w:hint="eastAsia" w:ascii="宋体" w:hAnsi="宋体" w:eastAsia="宋体" w:cs="宋体"/>
          <w:b/>
          <w:bCs/>
          <w:color w:val="auto"/>
          <w:kern w:val="0"/>
          <w:sz w:val="24"/>
          <w:szCs w:val="24"/>
          <w:highlight w:val="none"/>
        </w:rPr>
        <w:t>.2</w:t>
      </w:r>
      <w:r>
        <w:rPr>
          <w:rStyle w:val="48"/>
          <w:rFonts w:hint="eastAsia" w:ascii="宋体" w:hAnsi="宋体" w:eastAsia="宋体" w:cs="宋体"/>
          <w:color w:val="auto"/>
          <w:kern w:val="0"/>
          <w:sz w:val="24"/>
          <w:szCs w:val="24"/>
          <w:highlight w:val="none"/>
        </w:rPr>
        <w:t xml:space="preserve"> 施工工期从承包人收到监理单位签发的开工令之日起计，至竣工验收合格之日止。</w:t>
      </w:r>
    </w:p>
    <w:p w14:paraId="455E5A89">
      <w:pPr>
        <w:snapToGrid w:val="0"/>
        <w:spacing w:line="360" w:lineRule="auto"/>
        <w:ind w:firstLine="482" w:firstLineChars="200"/>
        <w:rPr>
          <w:rFonts w:hint="eastAsia" w:ascii="宋体" w:hAnsi="宋体" w:eastAsia="宋体" w:cs="宋体"/>
          <w:color w:val="auto"/>
          <w:highlight w:val="none"/>
        </w:rPr>
      </w:pPr>
      <w:r>
        <w:rPr>
          <w:rStyle w:val="48"/>
          <w:rFonts w:hint="eastAsia" w:ascii="宋体" w:hAnsi="宋体" w:eastAsia="宋体" w:cs="宋体"/>
          <w:b/>
          <w:bCs/>
          <w:color w:val="auto"/>
          <w:kern w:val="0"/>
          <w:sz w:val="24"/>
          <w:szCs w:val="24"/>
          <w:highlight w:val="none"/>
          <w:lang w:val="en-US" w:eastAsia="zh-CN"/>
        </w:rPr>
        <w:t>5</w:t>
      </w:r>
      <w:r>
        <w:rPr>
          <w:rStyle w:val="48"/>
          <w:rFonts w:hint="eastAsia" w:ascii="宋体" w:hAnsi="宋体" w:eastAsia="宋体" w:cs="宋体"/>
          <w:b/>
          <w:bCs/>
          <w:color w:val="auto"/>
          <w:kern w:val="0"/>
          <w:sz w:val="24"/>
          <w:szCs w:val="24"/>
          <w:highlight w:val="none"/>
        </w:rPr>
        <w:t>.3</w:t>
      </w:r>
      <w:r>
        <w:rPr>
          <w:rStyle w:val="48"/>
          <w:rFonts w:hint="eastAsia" w:ascii="宋体" w:hAnsi="宋体" w:eastAsia="宋体" w:cs="宋体"/>
          <w:color w:val="auto"/>
          <w:kern w:val="0"/>
          <w:sz w:val="24"/>
          <w:szCs w:val="24"/>
          <w:highlight w:val="none"/>
        </w:rPr>
        <w:t xml:space="preserve"> 由于承包人原因造成工期延误的，承包人须在逾期第壹天起每天按合同价的</w:t>
      </w:r>
      <w:r>
        <w:rPr>
          <w:rStyle w:val="48"/>
          <w:rFonts w:hint="eastAsia" w:ascii="宋体" w:hAnsi="宋体" w:eastAsia="宋体" w:cs="宋体"/>
          <w:color w:val="auto"/>
          <w:kern w:val="0"/>
          <w:sz w:val="24"/>
          <w:szCs w:val="24"/>
          <w:highlight w:val="none"/>
          <w:u w:val="single"/>
          <w:lang w:val="en-US" w:eastAsia="zh-CN"/>
        </w:rPr>
        <w:t>3</w:t>
      </w:r>
      <w:r>
        <w:rPr>
          <w:rStyle w:val="48"/>
          <w:rFonts w:hint="eastAsia" w:ascii="宋体" w:hAnsi="宋体" w:eastAsia="宋体" w:cs="宋体"/>
          <w:color w:val="auto"/>
          <w:kern w:val="0"/>
          <w:sz w:val="24"/>
          <w:szCs w:val="24"/>
          <w:highlight w:val="none"/>
          <w:u w:val="single"/>
        </w:rPr>
        <w:t>‰</w:t>
      </w:r>
      <w:r>
        <w:rPr>
          <w:rStyle w:val="48"/>
          <w:rFonts w:hint="eastAsia" w:ascii="宋体" w:hAnsi="宋体" w:eastAsia="宋体" w:cs="宋体"/>
          <w:color w:val="auto"/>
          <w:kern w:val="0"/>
          <w:sz w:val="24"/>
          <w:szCs w:val="24"/>
          <w:highlight w:val="none"/>
        </w:rPr>
        <w:t>向招标人返纳逾期竣工违约金。</w:t>
      </w:r>
    </w:p>
    <w:p w14:paraId="55CDADE5">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05" w:name="_Toc4690"/>
      <w:r>
        <w:rPr>
          <w:rFonts w:hint="eastAsia" w:ascii="宋体" w:hAnsi="宋体" w:eastAsia="宋体" w:cs="宋体"/>
          <w:b/>
          <w:bCs/>
          <w:color w:val="auto"/>
          <w:spacing w:val="-11"/>
          <w:sz w:val="24"/>
          <w:szCs w:val="24"/>
          <w:highlight w:val="none"/>
          <w:lang w:val="en-US" w:eastAsia="zh-CN"/>
        </w:rPr>
        <w:t>6.项目管理机构</w:t>
      </w:r>
      <w:bookmarkEnd w:id="205"/>
    </w:p>
    <w:p w14:paraId="43840DFE">
      <w:pPr>
        <w:snapToGrid w:val="0"/>
        <w:spacing w:line="360" w:lineRule="auto"/>
        <w:ind w:firstLine="482" w:firstLineChars="20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6</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rPr>
        <w:t xml:space="preserve"> 承包人派驻的项目管理班子成员必须为其投标文件确定的人员，否则发包人有权终止合同。</w:t>
      </w:r>
    </w:p>
    <w:p w14:paraId="50A7E8C9">
      <w:pPr>
        <w:snapToGrid w:val="0"/>
        <w:spacing w:line="360" w:lineRule="auto"/>
        <w:ind w:firstLine="482" w:firstLineChars="200"/>
        <w:rPr>
          <w:rStyle w:val="48"/>
          <w:rFonts w:hint="eastAsia" w:ascii="宋体" w:hAnsi="宋体" w:eastAsia="宋体" w:cs="宋体"/>
          <w:b w:val="0"/>
          <w:bCs w:val="0"/>
          <w:color w:val="auto"/>
          <w:kern w:val="0"/>
          <w:sz w:val="24"/>
          <w:szCs w:val="24"/>
          <w:highlight w:val="none"/>
          <w:lang w:val="en-US" w:eastAsia="zh-CN"/>
        </w:rPr>
      </w:pPr>
      <w:bookmarkStart w:id="206" w:name="_Toc32659"/>
      <w:r>
        <w:rPr>
          <w:rStyle w:val="48"/>
          <w:rFonts w:hint="eastAsia" w:ascii="宋体" w:hAnsi="宋体" w:eastAsia="宋体" w:cs="宋体"/>
          <w:b/>
          <w:bCs/>
          <w:color w:val="auto"/>
          <w:kern w:val="0"/>
          <w:sz w:val="24"/>
          <w:szCs w:val="24"/>
          <w:highlight w:val="none"/>
          <w:lang w:val="en-US" w:eastAsia="zh-CN"/>
        </w:rPr>
        <w:t xml:space="preserve">6.2 </w:t>
      </w:r>
      <w:r>
        <w:rPr>
          <w:rStyle w:val="48"/>
          <w:rFonts w:hint="eastAsia" w:ascii="宋体" w:hAnsi="宋体" w:eastAsia="宋体" w:cs="宋体"/>
          <w:b w:val="0"/>
          <w:bCs w:val="0"/>
          <w:color w:val="auto"/>
          <w:kern w:val="0"/>
          <w:sz w:val="24"/>
          <w:szCs w:val="24"/>
          <w:highlight w:val="none"/>
          <w:lang w:val="en-US" w:eastAsia="zh-CN"/>
        </w:rPr>
        <w:t>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bookmarkEnd w:id="206"/>
    </w:p>
    <w:p w14:paraId="768123B5">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7" w:name="_Toc18634"/>
      <w:r>
        <w:rPr>
          <w:rFonts w:hint="eastAsia" w:ascii="宋体" w:hAnsi="宋体" w:eastAsia="宋体" w:cs="宋体"/>
          <w:b/>
          <w:bCs/>
          <w:color w:val="auto"/>
          <w:spacing w:val="-11"/>
          <w:sz w:val="24"/>
          <w:szCs w:val="24"/>
          <w:highlight w:val="none"/>
          <w:lang w:val="en-US" w:eastAsia="zh-CN"/>
        </w:rPr>
        <w:t>7.现场管理</w:t>
      </w:r>
      <w:bookmarkEnd w:id="207"/>
    </w:p>
    <w:p w14:paraId="46D4FAC0">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48"/>
          <w:rFonts w:hint="eastAsia" w:ascii="宋体" w:hAnsi="宋体" w:eastAsia="宋体" w:cs="宋体"/>
          <w:b w:val="0"/>
          <w:bCs w:val="0"/>
          <w:color w:val="auto"/>
          <w:kern w:val="0"/>
          <w:sz w:val="24"/>
          <w:szCs w:val="24"/>
          <w:highlight w:val="none"/>
          <w:lang w:val="en-US" w:eastAsia="zh-CN"/>
        </w:rPr>
      </w:pPr>
      <w:bookmarkStart w:id="208" w:name="_Toc7562"/>
      <w:r>
        <w:rPr>
          <w:rStyle w:val="48"/>
          <w:rFonts w:hint="eastAsia" w:ascii="宋体" w:hAnsi="宋体" w:eastAsia="宋体" w:cs="宋体"/>
          <w:b/>
          <w:bCs/>
          <w:color w:val="auto"/>
          <w:kern w:val="0"/>
          <w:sz w:val="24"/>
          <w:szCs w:val="24"/>
          <w:highlight w:val="none"/>
          <w:lang w:val="en-US" w:eastAsia="zh-CN"/>
        </w:rPr>
        <w:t xml:space="preserve">7.1 </w:t>
      </w:r>
      <w:r>
        <w:rPr>
          <w:rStyle w:val="48"/>
          <w:rFonts w:hint="eastAsia" w:ascii="宋体" w:hAnsi="宋体" w:eastAsia="宋体" w:cs="宋体"/>
          <w:b w:val="0"/>
          <w:bCs w:val="0"/>
          <w:color w:val="auto"/>
          <w:kern w:val="0"/>
          <w:sz w:val="24"/>
          <w:szCs w:val="24"/>
          <w:highlight w:val="none"/>
          <w:lang w:val="en-US" w:eastAsia="zh-CN"/>
        </w:rPr>
        <w:t>承包人在施工期间应严格遵守国家、广东省、韶关市有关绿色施工、文明施工、噪音扬尘、消防爆破、环境卫生、渣土清运、防火和治安保卫等方面的规定，并建立相应规章制度和保障措施。否则由此造成的经济损失和法律责任，均由承包人承担。</w:t>
      </w:r>
      <w:bookmarkEnd w:id="208"/>
    </w:p>
    <w:p w14:paraId="0CB4CBB7">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7</w:t>
      </w:r>
      <w:r>
        <w:rPr>
          <w:rStyle w:val="48"/>
          <w:rFonts w:hint="eastAsia" w:ascii="宋体" w:hAnsi="宋体" w:eastAsia="宋体" w:cs="宋体"/>
          <w:b/>
          <w:bCs/>
          <w:color w:val="auto"/>
          <w:kern w:val="0"/>
          <w:sz w:val="24"/>
          <w:szCs w:val="24"/>
          <w:highlight w:val="none"/>
        </w:rPr>
        <w:t>.2</w:t>
      </w:r>
      <w:r>
        <w:rPr>
          <w:rStyle w:val="48"/>
          <w:rFonts w:hint="eastAsia" w:ascii="宋体" w:hAnsi="宋体" w:eastAsia="宋体" w:cs="宋体"/>
          <w:color w:val="auto"/>
          <w:kern w:val="0"/>
          <w:sz w:val="24"/>
          <w:szCs w:val="24"/>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17AF49BA">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7</w:t>
      </w:r>
      <w:r>
        <w:rPr>
          <w:rStyle w:val="48"/>
          <w:rFonts w:hint="eastAsia" w:ascii="宋体" w:hAnsi="宋体" w:eastAsia="宋体" w:cs="宋体"/>
          <w:b/>
          <w:bCs/>
          <w:color w:val="auto"/>
          <w:kern w:val="0"/>
          <w:sz w:val="24"/>
          <w:szCs w:val="24"/>
          <w:highlight w:val="none"/>
        </w:rPr>
        <w:t>.3</w:t>
      </w:r>
      <w:r>
        <w:rPr>
          <w:rStyle w:val="48"/>
          <w:rFonts w:hint="eastAsia" w:ascii="宋体" w:hAnsi="宋体" w:eastAsia="宋体" w:cs="宋体"/>
          <w:color w:val="auto"/>
          <w:kern w:val="0"/>
          <w:sz w:val="24"/>
          <w:szCs w:val="24"/>
          <w:highlight w:val="none"/>
        </w:rPr>
        <w:t xml:space="preserve"> 为保证施工现场的环境卫生，承包人在本工程施工过程中，所有的车辆必须按发包人规定的行车路线行驶。</w:t>
      </w:r>
    </w:p>
    <w:p w14:paraId="043DEA37">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9" w:name="_Toc15027"/>
      <w:r>
        <w:rPr>
          <w:rFonts w:hint="eastAsia" w:ascii="宋体" w:hAnsi="宋体" w:eastAsia="宋体" w:cs="宋体"/>
          <w:b/>
          <w:bCs/>
          <w:color w:val="auto"/>
          <w:spacing w:val="-11"/>
          <w:sz w:val="24"/>
          <w:szCs w:val="24"/>
          <w:highlight w:val="none"/>
          <w:lang w:val="en-US" w:eastAsia="zh-CN"/>
        </w:rPr>
        <w:t>8.监督实施</w:t>
      </w:r>
      <w:bookmarkEnd w:id="209"/>
    </w:p>
    <w:p w14:paraId="7D8C2402">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6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151C2662">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10" w:name="_Toc31222"/>
      <w:r>
        <w:rPr>
          <w:rFonts w:hint="eastAsia" w:ascii="宋体" w:hAnsi="宋体" w:eastAsia="宋体" w:cs="宋体"/>
          <w:b/>
          <w:bCs/>
          <w:color w:val="auto"/>
          <w:spacing w:val="-11"/>
          <w:sz w:val="24"/>
          <w:szCs w:val="24"/>
          <w:highlight w:val="none"/>
          <w:lang w:val="en-US" w:eastAsia="zh-CN"/>
        </w:rPr>
        <w:t>9.主材的采购和使用</w:t>
      </w:r>
      <w:bookmarkEnd w:id="210"/>
    </w:p>
    <w:p w14:paraId="243E5AB1">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6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6495185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11" w:name="_Toc15970"/>
      <w:r>
        <w:rPr>
          <w:rFonts w:hint="eastAsia" w:ascii="宋体" w:hAnsi="宋体" w:eastAsia="宋体" w:cs="宋体"/>
          <w:b/>
          <w:bCs/>
          <w:color w:val="auto"/>
          <w:spacing w:val="-11"/>
          <w:sz w:val="24"/>
          <w:szCs w:val="24"/>
          <w:highlight w:val="none"/>
          <w:lang w:val="en-US" w:eastAsia="zh-CN"/>
        </w:rPr>
        <w:t>10.竣工资料移交</w:t>
      </w:r>
      <w:bookmarkEnd w:id="211"/>
    </w:p>
    <w:p w14:paraId="317FC39D">
      <w:pPr>
        <w:widowControl w:val="0"/>
        <w:wordWrap w:val="0"/>
        <w:adjustRightInd w:val="0"/>
        <w:snapToGrid w:val="0"/>
        <w:spacing w:line="360" w:lineRule="auto"/>
        <w:ind w:firstLine="560"/>
        <w:textAlignment w:val="auto"/>
        <w:rPr>
          <w:rStyle w:val="48"/>
          <w:rFonts w:hint="eastAsia" w:ascii="宋体" w:hAnsi="宋体" w:eastAsia="宋体" w:cs="宋体"/>
          <w:b/>
          <w:bCs/>
          <w:color w:val="auto"/>
          <w:kern w:val="0"/>
          <w:sz w:val="24"/>
          <w:szCs w:val="24"/>
          <w:highlight w:val="none"/>
        </w:rPr>
      </w:pPr>
      <w:r>
        <w:rPr>
          <w:rFonts w:hint="eastAsia" w:ascii="宋体" w:hAnsi="宋体" w:eastAsia="宋体" w:cs="宋体"/>
          <w:bCs/>
          <w:snapToGrid w:val="0"/>
          <w:color w:val="auto"/>
          <w:kern w:val="0"/>
          <w:sz w:val="24"/>
          <w:szCs w:val="24"/>
          <w:highlight w:val="none"/>
        </w:rPr>
        <w:t>项目竣工验收时，</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人应向监理单位和</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人提供符合国家档案部门备案要求的，编制成册的竣工图及有关的技术档案资料（含声像档案）一式</w:t>
      </w:r>
      <w:r>
        <w:rPr>
          <w:rFonts w:hint="eastAsia" w:ascii="宋体" w:hAnsi="宋体" w:eastAsia="宋体" w:cs="宋体"/>
          <w:bCs/>
          <w:snapToGrid w:val="0"/>
          <w:color w:val="auto"/>
          <w:kern w:val="0"/>
          <w:sz w:val="24"/>
          <w:szCs w:val="24"/>
          <w:highlight w:val="none"/>
          <w:u w:val="single"/>
        </w:rPr>
        <w:t xml:space="preserve"> 八 </w:t>
      </w:r>
      <w:r>
        <w:rPr>
          <w:rFonts w:hint="eastAsia" w:ascii="宋体" w:hAnsi="宋体" w:eastAsia="宋体" w:cs="宋体"/>
          <w:bCs/>
          <w:snapToGrid w:val="0"/>
          <w:color w:val="auto"/>
          <w:kern w:val="0"/>
          <w:sz w:val="24"/>
          <w:szCs w:val="24"/>
          <w:highlight w:val="none"/>
        </w:rPr>
        <w:t>份。</w:t>
      </w:r>
    </w:p>
    <w:p w14:paraId="788DAA2C">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12" w:name="_Toc26354"/>
      <w:r>
        <w:rPr>
          <w:rFonts w:hint="eastAsia" w:ascii="宋体" w:hAnsi="宋体" w:eastAsia="宋体" w:cs="宋体"/>
          <w:b/>
          <w:bCs/>
          <w:color w:val="auto"/>
          <w:spacing w:val="-11"/>
          <w:sz w:val="24"/>
          <w:szCs w:val="24"/>
          <w:highlight w:val="none"/>
          <w:lang w:val="en-US" w:eastAsia="zh-CN"/>
        </w:rPr>
        <w:t>11.质量保证</w:t>
      </w:r>
      <w:bookmarkEnd w:id="212"/>
    </w:p>
    <w:p w14:paraId="67CE75A3">
      <w:pPr>
        <w:snapToGrid w:val="0"/>
        <w:spacing w:line="360" w:lineRule="auto"/>
        <w:ind w:firstLine="56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rPr>
        <w:t xml:space="preserve"> 本工程缺陷责任期为</w:t>
      </w:r>
      <w:r>
        <w:rPr>
          <w:rStyle w:val="48"/>
          <w:rFonts w:hint="eastAsia" w:ascii="宋体" w:hAnsi="宋体" w:eastAsia="宋体" w:cs="宋体"/>
          <w:color w:val="auto"/>
          <w:kern w:val="0"/>
          <w:sz w:val="24"/>
          <w:szCs w:val="24"/>
          <w:highlight w:val="none"/>
          <w:u w:val="single"/>
          <w:lang w:val="en-US" w:eastAsia="zh-CN"/>
        </w:rPr>
        <w:t xml:space="preserve"> 2 </w:t>
      </w:r>
      <w:r>
        <w:rPr>
          <w:rStyle w:val="48"/>
          <w:rFonts w:hint="eastAsia" w:ascii="宋体" w:hAnsi="宋体" w:eastAsia="宋体" w:cs="宋体"/>
          <w:color w:val="auto"/>
          <w:kern w:val="0"/>
          <w:sz w:val="24"/>
          <w:szCs w:val="24"/>
          <w:highlight w:val="none"/>
        </w:rPr>
        <w:t>年（自通过竣工验收之日起计），在此期间预留金额为结算价</w:t>
      </w:r>
      <w:r>
        <w:rPr>
          <w:rStyle w:val="48"/>
          <w:rFonts w:hint="eastAsia" w:ascii="宋体" w:hAnsi="宋体" w:eastAsia="宋体" w:cs="宋体"/>
          <w:color w:val="auto"/>
          <w:kern w:val="0"/>
          <w:sz w:val="24"/>
          <w:szCs w:val="24"/>
          <w:highlight w:val="none"/>
          <w:u w:val="single"/>
        </w:rPr>
        <w:t xml:space="preserve">3% </w:t>
      </w:r>
      <w:r>
        <w:rPr>
          <w:rStyle w:val="48"/>
          <w:rFonts w:hint="eastAsia" w:ascii="宋体" w:hAnsi="宋体" w:eastAsia="宋体" w:cs="宋体"/>
          <w:color w:val="auto"/>
          <w:kern w:val="0"/>
          <w:sz w:val="24"/>
          <w:szCs w:val="24"/>
          <w:highlight w:val="none"/>
        </w:rPr>
        <w:t>的质量保证。</w:t>
      </w:r>
    </w:p>
    <w:p w14:paraId="07ABFEEE">
      <w:pPr>
        <w:snapToGrid w:val="0"/>
        <w:spacing w:line="360" w:lineRule="auto"/>
        <w:ind w:firstLine="56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.2</w:t>
      </w:r>
      <w:r>
        <w:rPr>
          <w:rStyle w:val="48"/>
          <w:rFonts w:hint="eastAsia" w:ascii="宋体" w:hAnsi="宋体" w:eastAsia="宋体" w:cs="宋体"/>
          <w:color w:val="auto"/>
          <w:kern w:val="0"/>
          <w:sz w:val="24"/>
          <w:szCs w:val="24"/>
          <w:highlight w:val="none"/>
        </w:rPr>
        <w:t xml:space="preserve"> 质量保证的形式包括质量保证金、质量保证担保、质量保证保险三种，由承包人自主选择。</w:t>
      </w:r>
    </w:p>
    <w:p w14:paraId="64E4142E">
      <w:pPr>
        <w:snapToGrid w:val="0"/>
        <w:spacing w:line="360" w:lineRule="auto"/>
        <w:ind w:firstLine="480" w:firstLineChars="200"/>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（1）采用质量保证金形式的，在结清审定总造价时一次性扣留相应金额作为质量保证金。</w:t>
      </w:r>
    </w:p>
    <w:p w14:paraId="55DF4775">
      <w:pPr>
        <w:keepNext w:val="0"/>
        <w:keepLines w:val="0"/>
        <w:pageBreakBefore w:val="0"/>
        <w:widowControl w:val="0"/>
        <w:wordWrap/>
        <w:overflowPunct/>
        <w:topLinePunct w:val="0"/>
        <w:bidi w:val="0"/>
        <w:snapToGrid w:val="0"/>
        <w:spacing w:line="360" w:lineRule="auto"/>
        <w:ind w:firstLine="480" w:firstLineChars="20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（2）采用质量保证担保或质量保证保险的，承包人应在竣工验收时向发包人提交有效的</w:t>
      </w:r>
      <w:r>
        <w:rPr>
          <w:rFonts w:hint="eastAsia" w:ascii="宋体" w:hAnsi="宋体" w:eastAsia="宋体" w:cs="宋体"/>
          <w:b w:val="0"/>
          <w:bCs/>
          <w:caps w:val="0"/>
          <w:smallCaps w:val="0"/>
          <w:snapToGrid w:val="0"/>
          <w:color w:val="auto"/>
          <w:spacing w:val="0"/>
          <w:kern w:val="0"/>
          <w:sz w:val="24"/>
          <w:szCs w:val="24"/>
          <w:highlight w:val="none"/>
          <w:lang w:val="en-US" w:eastAsia="zh-CN"/>
        </w:rPr>
        <w:t>商业保函、</w:t>
      </w:r>
      <w:r>
        <w:rPr>
          <w:rStyle w:val="48"/>
          <w:rFonts w:hint="eastAsia" w:ascii="宋体" w:hAnsi="宋体" w:eastAsia="宋体" w:cs="宋体"/>
          <w:color w:val="auto"/>
          <w:kern w:val="0"/>
          <w:sz w:val="24"/>
          <w:szCs w:val="24"/>
          <w:highlight w:val="none"/>
        </w:rPr>
        <w:t>银行保函或保险合同（或保险单）原件，</w:t>
      </w:r>
      <w:r>
        <w:rPr>
          <w:rFonts w:hint="eastAsia" w:ascii="宋体" w:hAnsi="宋体" w:eastAsia="宋体" w:cs="宋体"/>
          <w:b w:val="0"/>
          <w:bCs/>
          <w:caps w:val="0"/>
          <w:smallCaps w:val="0"/>
          <w:snapToGrid w:val="0"/>
          <w:color w:val="auto"/>
          <w:spacing w:val="0"/>
          <w:kern w:val="0"/>
          <w:sz w:val="24"/>
          <w:szCs w:val="24"/>
          <w:highlight w:val="none"/>
          <w:lang w:val="en-US" w:eastAsia="zh-CN"/>
        </w:rPr>
        <w:t>商业保函、</w:t>
      </w:r>
      <w:r>
        <w:rPr>
          <w:rStyle w:val="48"/>
          <w:rFonts w:hint="eastAsia" w:ascii="宋体" w:hAnsi="宋体" w:eastAsia="宋体" w:cs="宋体"/>
          <w:color w:val="auto"/>
          <w:kern w:val="0"/>
          <w:sz w:val="24"/>
          <w:szCs w:val="24"/>
          <w:highlight w:val="none"/>
        </w:rPr>
        <w:t>银行保函或保险合同（或保险单）的有效期不得短于缺陷责任期。</w:t>
      </w:r>
    </w:p>
    <w:p w14:paraId="36C61C54">
      <w:pPr>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.3</w:t>
      </w:r>
      <w:r>
        <w:rPr>
          <w:rStyle w:val="48"/>
          <w:rFonts w:hint="eastAsia" w:ascii="宋体" w:hAnsi="宋体" w:eastAsia="宋体" w:cs="宋体"/>
          <w:color w:val="auto"/>
          <w:kern w:val="0"/>
          <w:sz w:val="24"/>
          <w:szCs w:val="24"/>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7B5D93C6">
      <w:pPr>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由他人原因造成的缺陷，发包人负责组织维修，承包人不承担费用，且发包人不得从质量保证中扣除费用。</w:t>
      </w:r>
    </w:p>
    <w:p w14:paraId="7F18C339">
      <w:pPr>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.4</w:t>
      </w:r>
      <w:r>
        <w:rPr>
          <w:rStyle w:val="48"/>
          <w:rFonts w:hint="eastAsia" w:ascii="宋体" w:hAnsi="宋体" w:eastAsia="宋体" w:cs="宋体"/>
          <w:color w:val="auto"/>
          <w:kern w:val="0"/>
          <w:sz w:val="24"/>
          <w:szCs w:val="24"/>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7C0FEC34">
      <w:pPr>
        <w:keepNext w:val="0"/>
        <w:keepLines w:val="0"/>
        <w:pageBreakBefore w:val="0"/>
        <w:widowControl w:val="0"/>
        <w:wordWrap/>
        <w:overflowPunct/>
        <w:topLinePunct w:val="0"/>
        <w:bidi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13" w:name="_Toc22137"/>
      <w:r>
        <w:rPr>
          <w:rFonts w:hint="eastAsia" w:ascii="宋体" w:hAnsi="宋体" w:eastAsia="宋体" w:cs="宋体"/>
          <w:b/>
          <w:bCs/>
          <w:color w:val="auto"/>
          <w:spacing w:val="-11"/>
          <w:sz w:val="24"/>
          <w:szCs w:val="24"/>
          <w:highlight w:val="none"/>
          <w:lang w:val="en-US" w:eastAsia="zh-CN"/>
        </w:rPr>
        <w:t>12.不良行为处理</w:t>
      </w:r>
      <w:bookmarkEnd w:id="213"/>
    </w:p>
    <w:p w14:paraId="78E3ACC1">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586697AB">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bookmarkStart w:id="214" w:name="_Toc3225"/>
      <w:r>
        <w:rPr>
          <w:rStyle w:val="48"/>
          <w:rFonts w:hint="eastAsia" w:ascii="宋体" w:hAnsi="宋体" w:eastAsia="宋体" w:cs="宋体"/>
          <w:color w:val="auto"/>
          <w:kern w:val="0"/>
          <w:sz w:val="24"/>
          <w:szCs w:val="24"/>
          <w:highlight w:val="none"/>
        </w:rPr>
        <w:t>（1）转包、违法分包或违反投标承诺分包工程的；</w:t>
      </w:r>
      <w:bookmarkEnd w:id="214"/>
    </w:p>
    <w:p w14:paraId="1A9C58E1">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2D8D422B">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（3）投标文件确定的大型机械设备没有进入施工现场的；</w:t>
      </w:r>
    </w:p>
    <w:p w14:paraId="53C54715">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（4）与建设单位、监理单位串通，签认虚假工程量或工程造价的；</w:t>
      </w:r>
    </w:p>
    <w:p w14:paraId="2BEAE447">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（5）项目经理施工现场管理不到位的；</w:t>
      </w:r>
    </w:p>
    <w:p w14:paraId="173C6611">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（6）项目经理在非本人资格证书注册单位从事工程项目施工管理的；</w:t>
      </w:r>
    </w:p>
    <w:p w14:paraId="0E5B61CF">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（7）项目经理同时承担超过一项工程项目的；</w:t>
      </w:r>
    </w:p>
    <w:p w14:paraId="0BD83746">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color w:val="auto"/>
          <w:kern w:val="0"/>
          <w:sz w:val="24"/>
          <w:szCs w:val="24"/>
          <w:highlight w:val="none"/>
        </w:rPr>
        <w:t>（8）违反有关法律、法规、规章规定的其它行为。</w:t>
      </w:r>
    </w:p>
    <w:p w14:paraId="590CD6A6">
      <w:pPr>
        <w:keepNext w:val="0"/>
        <w:keepLines w:val="0"/>
        <w:pageBreakBefore w:val="0"/>
        <w:widowControl w:val="0"/>
        <w:wordWrap/>
        <w:overflowPunct/>
        <w:topLinePunct w:val="0"/>
        <w:bidi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15" w:name="_Toc11310"/>
      <w:r>
        <w:rPr>
          <w:rFonts w:hint="eastAsia" w:ascii="宋体" w:hAnsi="宋体" w:eastAsia="宋体" w:cs="宋体"/>
          <w:b/>
          <w:bCs/>
          <w:color w:val="auto"/>
          <w:spacing w:val="-11"/>
          <w:sz w:val="24"/>
          <w:szCs w:val="24"/>
          <w:highlight w:val="none"/>
          <w:lang w:val="en-US" w:eastAsia="zh-CN"/>
        </w:rPr>
        <w:t>13.信用评价条款内容</w:t>
      </w:r>
      <w:bookmarkEnd w:id="215"/>
    </w:p>
    <w:p w14:paraId="13FEAC6B">
      <w:pPr>
        <w:pStyle w:val="54"/>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b/>
          <w:bCs/>
          <w:color w:val="auto"/>
          <w:sz w:val="24"/>
          <w:szCs w:val="24"/>
          <w:highlight w:val="none"/>
        </w:rPr>
      </w:pPr>
      <w:r>
        <w:rPr>
          <w:rStyle w:val="48"/>
          <w:rFonts w:hint="eastAsia" w:ascii="宋体" w:hAnsi="宋体" w:eastAsia="宋体" w:cs="宋体"/>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59463365">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16" w:name="_Toc24160"/>
      <w:r>
        <w:rPr>
          <w:rFonts w:hint="eastAsia" w:ascii="宋体" w:hAnsi="宋体" w:eastAsia="宋体" w:cs="宋体"/>
          <w:b/>
          <w:bCs/>
          <w:color w:val="auto"/>
          <w:spacing w:val="-11"/>
          <w:sz w:val="24"/>
          <w:szCs w:val="24"/>
          <w:highlight w:val="none"/>
          <w:lang w:val="en-US" w:eastAsia="zh-CN"/>
        </w:rPr>
        <w:t>14.其他事项</w:t>
      </w:r>
      <w:bookmarkEnd w:id="216"/>
    </w:p>
    <w:p w14:paraId="06DEBF62">
      <w:pPr>
        <w:snapToGrid w:val="0"/>
        <w:spacing w:line="360" w:lineRule="auto"/>
        <w:ind w:firstLine="560"/>
        <w:rPr>
          <w:rStyle w:val="48"/>
          <w:rFonts w:hint="eastAsia" w:ascii="宋体" w:hAnsi="宋体" w:eastAsia="宋体" w:cs="宋体"/>
          <w:b w:val="0"/>
          <w:bCs w:val="0"/>
          <w:color w:val="auto"/>
          <w:kern w:val="0"/>
          <w:sz w:val="24"/>
          <w:szCs w:val="24"/>
          <w:highlight w:val="none"/>
          <w:lang w:val="en-US" w:eastAsia="zh-CN"/>
        </w:rPr>
      </w:pPr>
      <w:bookmarkStart w:id="217" w:name="_Toc6606"/>
      <w:r>
        <w:rPr>
          <w:rStyle w:val="48"/>
          <w:rFonts w:hint="eastAsia" w:ascii="宋体" w:hAnsi="宋体" w:eastAsia="宋体" w:cs="宋体"/>
          <w:b/>
          <w:bCs/>
          <w:color w:val="auto"/>
          <w:kern w:val="0"/>
          <w:sz w:val="24"/>
          <w:szCs w:val="24"/>
          <w:highlight w:val="none"/>
          <w:lang w:val="en-US" w:eastAsia="zh-CN"/>
        </w:rPr>
        <w:t>14.1</w:t>
      </w:r>
      <w:r>
        <w:rPr>
          <w:rStyle w:val="48"/>
          <w:rFonts w:hint="eastAsia" w:ascii="宋体" w:hAnsi="宋体" w:eastAsia="宋体" w:cs="宋体"/>
          <w:b w:val="0"/>
          <w:bCs w:val="0"/>
          <w:color w:val="auto"/>
          <w:kern w:val="0"/>
          <w:sz w:val="24"/>
          <w:szCs w:val="24"/>
          <w:highlight w:val="none"/>
          <w:lang w:val="en-US" w:eastAsia="zh-CN"/>
        </w:rPr>
        <w:t>危险性较大的分部分项工程安全管理约定</w:t>
      </w:r>
      <w:bookmarkEnd w:id="217"/>
    </w:p>
    <w:p w14:paraId="2438AA34">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4CA69CD9">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中标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和《广东省安全生产委员会办公室广东省住房和城乡建设厅关于&lt;严格落实危险性较大的分部分项工程“六不施工”要求的通知&gt;》（粤安办〔2020〕151号）等有关危险性较大的分部分项工程的法规规定通知，履行建设工程安全生产管理职责。</w:t>
      </w:r>
    </w:p>
    <w:p w14:paraId="7070AC0C">
      <w:pPr>
        <w:pStyle w:val="36"/>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lang w:val="en-US" w:eastAsia="zh-CN"/>
        </w:rPr>
        <w:t xml:space="preserve"> </w:t>
      </w:r>
      <w:r>
        <w:rPr>
          <w:rFonts w:hint="eastAsia" w:ascii="宋体" w:hAnsi="宋体" w:eastAsia="宋体" w:cs="宋体"/>
          <w:color w:val="auto"/>
          <w:sz w:val="24"/>
          <w:szCs w:val="24"/>
          <w:highlight w:val="none"/>
          <w:shd w:val="clear" w:color="auto" w:fill="FFFFFF"/>
        </w:rPr>
        <w:t>中标人在工程实施过程中，按照国家、省、市的相关规定制定相关的专项安全施工方案（如高支模、基坑支护、沉井等），编制专项施工方案报监理人、招标人审批后方可开展专项工程的施工。</w:t>
      </w:r>
    </w:p>
    <w:p w14:paraId="6D2A5FCD">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 xml:space="preserve">3 </w:t>
      </w:r>
      <w:r>
        <w:rPr>
          <w:rFonts w:hint="eastAsia" w:ascii="宋体" w:hAnsi="宋体" w:eastAsia="宋体" w:cs="宋体"/>
          <w:color w:val="auto"/>
          <w:sz w:val="24"/>
          <w:szCs w:val="24"/>
          <w:highlight w:val="none"/>
          <w:shd w:val="clear" w:color="auto" w:fill="FFFFFF"/>
        </w:rPr>
        <w:t>中标人须按照《韶关市建筑垃圾管理条例》（2021年5月1日起施行），将弃土运至招标人指定的场所，否则招标人有权要求中标人无条件将弃土从违约弃土点运至招标人指定的场所并扣除违约金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eastAsia="宋体" w:cs="宋体"/>
          <w:color w:val="auto"/>
          <w:sz w:val="24"/>
          <w:szCs w:val="24"/>
          <w:highlight w:val="none"/>
          <w:u w:val="single"/>
          <w:shd w:val="clear" w:color="auto" w:fill="FFFFFF"/>
        </w:rPr>
        <w:t xml:space="preserve"> </w:t>
      </w:r>
      <w:r>
        <w:rPr>
          <w:rFonts w:hint="eastAsia" w:ascii="宋体" w:hAnsi="宋体" w:eastAsia="宋体" w:cs="宋体"/>
          <w:color w:val="auto"/>
          <w:sz w:val="24"/>
          <w:szCs w:val="24"/>
          <w:highlight w:val="none"/>
          <w:u w:val="single"/>
          <w:shd w:val="clear" w:color="auto" w:fill="FFFFFF"/>
          <w:lang w:val="en-US" w:eastAsia="zh-CN"/>
        </w:rPr>
        <w:t>1</w:t>
      </w:r>
      <w:r>
        <w:rPr>
          <w:rFonts w:hint="eastAsia" w:ascii="宋体" w:hAnsi="宋体" w:eastAsia="宋体" w:cs="宋体"/>
          <w:color w:val="auto"/>
          <w:sz w:val="24"/>
          <w:szCs w:val="24"/>
          <w:highlight w:val="none"/>
          <w:u w:val="single"/>
          <w:shd w:val="clear" w:color="auto" w:fill="FFFFFF"/>
        </w:rPr>
        <w:t xml:space="preserve"> </w:t>
      </w:r>
      <w:r>
        <w:rPr>
          <w:rFonts w:hint="eastAsia" w:ascii="宋体" w:hAnsi="宋体" w:eastAsia="宋体" w:cs="宋体"/>
          <w:color w:val="auto"/>
          <w:sz w:val="24"/>
          <w:szCs w:val="24"/>
          <w:highlight w:val="none"/>
          <w:shd w:val="clear" w:color="auto" w:fill="FFFFFF"/>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5247F26A">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.4 </w:t>
      </w:r>
      <w:r>
        <w:rPr>
          <w:rFonts w:hint="eastAsia" w:ascii="宋体" w:hAnsi="宋体" w:eastAsia="宋体" w:cs="宋体"/>
          <w:color w:val="auto"/>
          <w:sz w:val="24"/>
          <w:szCs w:val="24"/>
          <w:highlight w:val="none"/>
          <w:shd w:val="clear" w:color="auto" w:fill="FFFFFF"/>
        </w:rPr>
        <w:t>工程竣工验收后15日内，中标人应按城建档案馆的要求（质量、数量），将编制成册的施工档案资料（含声像档案和电子档案）提供给招标人、城建档案馆、住建管理局、管养单位及监理单位，并承担档案涉及的所有费用（制作标准和相关要求按城建档案馆的有关规定执行）。中标人提交符合城建档案馆要求的竣工资料经招标人确认签收后，即可办理工程结算手续。</w:t>
      </w:r>
    </w:p>
    <w:p w14:paraId="0C655EFC">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.5</w:t>
      </w:r>
      <w:r>
        <w:rPr>
          <w:rFonts w:hint="eastAsia" w:ascii="宋体" w:hAnsi="宋体" w:eastAsia="宋体" w:cs="宋体"/>
          <w:color w:val="auto"/>
          <w:sz w:val="24"/>
          <w:szCs w:val="24"/>
          <w:highlight w:val="none"/>
          <w:shd w:val="clear" w:color="auto" w:fill="FFFFFF"/>
        </w:rPr>
        <w:t>（一）用人单位应当在建设项目动工前，在建设项目所在地</w:t>
      </w:r>
      <w:r>
        <w:rPr>
          <w:rFonts w:hint="eastAsia" w:ascii="宋体" w:hAnsi="宋体" w:eastAsia="宋体" w:cs="宋体"/>
          <w:color w:val="auto"/>
          <w:sz w:val="24"/>
          <w:szCs w:val="24"/>
          <w:highlight w:val="none"/>
          <w:shd w:val="clear" w:color="auto" w:fill="FFFFFF"/>
          <w:lang w:val="en-US" w:eastAsia="zh-CN"/>
        </w:rPr>
        <w:t>符合招标人要求的</w:t>
      </w:r>
      <w:r>
        <w:rPr>
          <w:rFonts w:hint="eastAsia" w:ascii="宋体" w:hAnsi="宋体" w:eastAsia="宋体" w:cs="宋体"/>
          <w:color w:val="auto"/>
          <w:sz w:val="24"/>
          <w:szCs w:val="24"/>
          <w:highlight w:val="none"/>
          <w:shd w:val="clear" w:color="auto" w:fill="FFFFFF"/>
        </w:rPr>
        <w:t>银行设立工人工资支付专用账户。</w:t>
      </w:r>
    </w:p>
    <w:p w14:paraId="6129E7E1">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（二）用人单位应当在用工之日起15日内为每一位工人办理个人银行账户。</w:t>
      </w:r>
    </w:p>
    <w:p w14:paraId="4E3CC787">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（三）用人单位应当指定专人负责建设项目施工现场台账管理，真实、准确记录工人名册、劳务合同、劳动合同、工程进度、工时台账、劳务承包款和工人工资支付等信息，并保存两年以上备查。</w:t>
      </w:r>
    </w:p>
    <w:p w14:paraId="7327A14E">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02DC67D3">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用人单位未建立、保存用工管理台账，或者伪造相关台账的，按照《广东省劳动保障监察条例》第五十条的规定，由人力资源社会保障部门责令改正，并可处以二千元以上二万元以下的人民币罚款。</w:t>
      </w:r>
    </w:p>
    <w:p w14:paraId="06835395">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val="0"/>
          <w:bCs w:val="0"/>
          <w:snapToGrid w:val="0"/>
          <w:color w:val="auto"/>
          <w:kern w:val="0"/>
          <w:sz w:val="24"/>
          <w:szCs w:val="24"/>
          <w:highlight w:val="none"/>
        </w:rPr>
        <w:t>（五）每次申请工程进度款要提供上期工人工资发放明细表、上期工人工资发放公示等材料，并将应付工程款的30%（且不低于当月应发工人工资的金额）作为工人工资拨入到中标人设立的工人工资支付专用账户。</w:t>
      </w:r>
    </w:p>
    <w:p w14:paraId="0EC59835">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.6 </w:t>
      </w:r>
      <w:r>
        <w:rPr>
          <w:rFonts w:hint="eastAsia" w:ascii="宋体" w:hAnsi="宋体" w:eastAsia="宋体" w:cs="宋体"/>
          <w:color w:val="auto"/>
          <w:sz w:val="24"/>
          <w:szCs w:val="24"/>
          <w:highlight w:val="none"/>
          <w:shd w:val="clear" w:color="auto" w:fill="FFFFFF"/>
        </w:rPr>
        <w:t>中标人应做好周边设施（含军用光缆、燃气、供电、供水、排水、排污、人行道、路灯、治安监控、交通电警等）的成品保护并及时与周边设施的权属单位协调解决，如因中标人原因导致上述设施发生损坏，中标人无条件按招标人规定的期限内修复，涉及成品保护费、索赔等一切费用全部由中标人自行解决。</w:t>
      </w:r>
    </w:p>
    <w:p w14:paraId="0B29B5A7">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.7</w:t>
      </w:r>
      <w:r>
        <w:rPr>
          <w:rFonts w:hint="eastAsia" w:ascii="宋体" w:hAnsi="宋体" w:eastAsia="宋体" w:cs="宋体"/>
          <w:color w:val="auto"/>
          <w:sz w:val="24"/>
          <w:szCs w:val="24"/>
          <w:highlight w:val="none"/>
          <w:shd w:val="clear" w:color="auto" w:fill="FFFFFF"/>
        </w:rPr>
        <w:t>中标人中标后必须按规定及时缴交工人工资保证金、环保噪声排污费等。</w:t>
      </w:r>
    </w:p>
    <w:p w14:paraId="619E056E">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8</w:t>
      </w:r>
      <w:r>
        <w:rPr>
          <w:rFonts w:hint="eastAsia" w:ascii="宋体" w:hAnsi="宋体" w:eastAsia="宋体" w:cs="宋体"/>
          <w:color w:val="auto"/>
          <w:sz w:val="24"/>
          <w:szCs w:val="24"/>
          <w:highlight w:val="none"/>
          <w:shd w:val="clear" w:color="auto" w:fill="FFFFFF"/>
        </w:rPr>
        <w:t>工程质量保修期按《中华人民共和国建筑法》、《建设工程质量管理条例》等相关规定实施。</w:t>
      </w:r>
    </w:p>
    <w:p w14:paraId="0C746642">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9</w:t>
      </w:r>
      <w:r>
        <w:rPr>
          <w:rFonts w:hint="eastAsia" w:ascii="宋体" w:hAnsi="宋体" w:eastAsia="宋体" w:cs="宋体"/>
          <w:color w:val="auto"/>
          <w:sz w:val="24"/>
          <w:szCs w:val="24"/>
          <w:highlight w:val="none"/>
          <w:shd w:val="clear" w:color="auto" w:fill="FFFFFF"/>
        </w:rPr>
        <w:t xml:space="preserve"> 如项目实施过程中发生了工程变更及工程签证，中标人需根据招标人发布的《工程变更管理办法》和《工程签证管理办法》完善工程变更签证相关程序。其纳入变更管理属于需要进一步办理审批的，应按照规定程序办理变更审批手续。因施工单位主要责任造成的工程变更调整原则上不予审批，由施工单位自行承担相关责任和费用</w:t>
      </w:r>
    </w:p>
    <w:p w14:paraId="6BC10B7A">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0</w:t>
      </w:r>
      <w:r>
        <w:rPr>
          <w:rFonts w:hint="eastAsia" w:ascii="宋体" w:hAnsi="宋体" w:eastAsia="宋体" w:cs="宋体"/>
          <w:color w:val="auto"/>
          <w:sz w:val="24"/>
          <w:szCs w:val="24"/>
          <w:highlight w:val="none"/>
          <w:shd w:val="clear" w:color="auto" w:fill="FFFFFF"/>
        </w:rPr>
        <w:t xml:space="preserve"> 中标人需按相关规定要求，设置本工程符合相关要求的永久性标牌及规划公示牌，投标人在投标报价时综合考虑在报价内，招标人不另行支付该部分费用。</w:t>
      </w:r>
    </w:p>
    <w:p w14:paraId="68778A07">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1</w:t>
      </w:r>
      <w:r>
        <w:rPr>
          <w:rFonts w:hint="eastAsia" w:ascii="宋体" w:hAnsi="宋体" w:eastAsia="宋体" w:cs="宋体"/>
          <w:color w:val="auto"/>
          <w:sz w:val="24"/>
          <w:szCs w:val="24"/>
          <w:highlight w:val="none"/>
          <w:shd w:val="clear" w:color="auto" w:fill="FFFFFF"/>
        </w:rPr>
        <w:t xml:space="preserve"> 中标人应在项目所在地住建管理部门办理诚信登记，招标人将严格按住建管理部门诚信登记管理办法对中标人履约情况进行考核。</w:t>
      </w:r>
    </w:p>
    <w:p w14:paraId="41A7BB68">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rPr>
        <w:t xml:space="preserve"> 中标人应按住房和城乡建设管理局、人力资源和社会保障局等职能部门对用工实名制的相关规定,落实工人及相关软硬件设施要求。</w:t>
      </w:r>
    </w:p>
    <w:p w14:paraId="1A26121F">
      <w:pPr>
        <w:pStyle w:val="36"/>
        <w:snapToGrid w:val="0"/>
        <w:spacing w:line="360" w:lineRule="auto"/>
        <w:ind w:firstLine="482" w:firstLineChars="200"/>
        <w:rPr>
          <w:rFonts w:hint="eastAsia" w:ascii="宋体" w:hAnsi="宋体" w:eastAsia="宋体" w:cs="宋体"/>
          <w:b w:val="0"/>
          <w:bCs w:val="0"/>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3</w:t>
      </w:r>
      <w:r>
        <w:rPr>
          <w:rFonts w:hint="eastAsia" w:ascii="宋体" w:hAnsi="宋体" w:eastAsia="宋体" w:cs="宋体"/>
          <w:color w:val="auto"/>
          <w:sz w:val="24"/>
          <w:szCs w:val="24"/>
          <w:highlight w:val="none"/>
          <w:shd w:val="clear" w:color="auto" w:fill="FFFFFF"/>
        </w:rPr>
        <w:t xml:space="preserve"> 如采用银行保函方式缴纳履约保证金，在保函到期前一个月，中标人须主动办理续期手续或提交新的银行保函；如中标人未及时主动办理续期手续或提交新的银行保函，招标人有权按履约保证金金额的扣留进度款（工人工资除外）作为</w:t>
      </w:r>
      <w:r>
        <w:rPr>
          <w:rFonts w:hint="eastAsia" w:ascii="宋体" w:hAnsi="宋体" w:eastAsia="宋体" w:cs="宋体"/>
          <w:b w:val="0"/>
          <w:bCs w:val="0"/>
          <w:color w:val="auto"/>
          <w:sz w:val="24"/>
          <w:szCs w:val="24"/>
          <w:highlight w:val="none"/>
          <w:shd w:val="clear" w:color="auto" w:fill="FFFFFF"/>
        </w:rPr>
        <w:t>履约保证金，直至中标人提交新的银行保函或达到履约保证金退还条件。</w:t>
      </w:r>
    </w:p>
    <w:p w14:paraId="3789AE9F">
      <w:pPr>
        <w:pStyle w:val="36"/>
        <w:snapToGrid w:val="0"/>
        <w:spacing w:line="360" w:lineRule="auto"/>
        <w:ind w:firstLine="482" w:firstLineChars="200"/>
        <w:rPr>
          <w:rFonts w:hint="eastAsia" w:ascii="宋体" w:hAnsi="宋体" w:eastAsia="宋体" w:cs="宋体"/>
          <w:bCs/>
          <w:color w:val="auto"/>
          <w:sz w:val="24"/>
          <w:szCs w:val="24"/>
          <w:highlight w:val="none"/>
          <w:lang w:bidi="ar"/>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 </w:t>
      </w:r>
      <w:r>
        <w:rPr>
          <w:rFonts w:hint="eastAsia" w:ascii="宋体" w:hAnsi="宋体" w:eastAsia="宋体" w:cs="宋体"/>
          <w:color w:val="auto"/>
          <w:sz w:val="24"/>
          <w:szCs w:val="24"/>
          <w:highlight w:val="none"/>
          <w:lang w:val="zh-CN"/>
        </w:rPr>
        <w:t>依据人力资源社会保障部等十部门印发的《工程建设领域农民工工资专用账户管理暂行办法》（人社部发〔2021〕53号）</w:t>
      </w:r>
      <w:r>
        <w:rPr>
          <w:rFonts w:hint="eastAsia" w:ascii="宋体" w:hAnsi="宋体" w:eastAsia="宋体" w:cs="宋体"/>
          <w:b w:val="0"/>
          <w:bCs w:val="0"/>
          <w:color w:val="auto"/>
          <w:sz w:val="24"/>
          <w:szCs w:val="24"/>
          <w:highlight w:val="none"/>
          <w:shd w:val="clear" w:color="auto" w:fill="FFFFFF"/>
        </w:rPr>
        <w:t>文件规定，中标人中标后，须到银行设立工人工资支付专用账户，用于支付工人工资。发包人支付工程款时，将按工程款（不含工人工资）和工人工资两部分分开支付，工人工资支付至专用账户。中标人应建立劳动用工管理台</w:t>
      </w:r>
      <w:r>
        <w:rPr>
          <w:rFonts w:hint="eastAsia" w:ascii="宋体" w:hAnsi="宋体" w:eastAsia="宋体" w:cs="宋体"/>
          <w:b w:val="0"/>
          <w:bCs w:val="0"/>
          <w:color w:val="auto"/>
          <w:sz w:val="24"/>
          <w:szCs w:val="24"/>
          <w:highlight w:val="none"/>
          <w:lang w:bidi="ar"/>
        </w:rPr>
        <w:t>账，并按</w:t>
      </w:r>
      <w:r>
        <w:rPr>
          <w:rFonts w:hint="eastAsia" w:ascii="宋体" w:hAnsi="宋体" w:eastAsia="宋体" w:cs="宋体"/>
          <w:bCs/>
          <w:color w:val="auto"/>
          <w:sz w:val="24"/>
          <w:szCs w:val="24"/>
          <w:highlight w:val="none"/>
          <w:lang w:bidi="ar"/>
        </w:rPr>
        <w:t>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0FBEE672">
      <w:pPr>
        <w:pStyle w:val="36"/>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bidi="ar"/>
        </w:rPr>
      </w:pPr>
      <w:r>
        <w:rPr>
          <w:rFonts w:hint="eastAsia" w:ascii="宋体" w:hAnsi="宋体" w:eastAsia="宋体" w:cs="宋体"/>
          <w:color w:val="auto"/>
          <w:sz w:val="24"/>
          <w:szCs w:val="24"/>
          <w:highlight w:val="none"/>
          <w:lang w:val="zh-CN"/>
        </w:rPr>
        <w:t>根据韶关市人力资源和社会保障局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韶关市住房和城乡建设管理局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韶关市交通运输局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韶关市水务局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韶关市金融工作局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国家金融监督管理总局韶关监管分局关于印发《韶关市工程建设领域农民工工资保证金管理实施细则》的通知(韶人社</w:t>
      </w:r>
      <w:r>
        <w:rPr>
          <w:rFonts w:hint="eastAsia" w:ascii="宋体" w:hAnsi="宋体" w:eastAsia="宋体" w:cs="宋体"/>
          <w:color w:val="auto"/>
          <w:sz w:val="24"/>
          <w:szCs w:val="24"/>
          <w:highlight w:val="none"/>
          <w:lang w:val="en-US" w:eastAsia="zh-CN"/>
        </w:rPr>
        <w:t>规[</w:t>
      </w:r>
      <w:r>
        <w:rPr>
          <w:rFonts w:hint="eastAsia" w:ascii="宋体" w:hAnsi="宋体" w:eastAsia="宋体" w:cs="宋体"/>
          <w:color w:val="auto"/>
          <w:sz w:val="24"/>
          <w:szCs w:val="24"/>
          <w:highlight w:val="none"/>
          <w:lang w:val="zh-CN"/>
        </w:rPr>
        <w:t>202</w:t>
      </w: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lang w:val="zh-CN"/>
        </w:rPr>
        <w:t>号)</w:t>
      </w:r>
      <w:r>
        <w:rPr>
          <w:rFonts w:hint="eastAsia" w:ascii="宋体" w:hAnsi="宋体" w:eastAsia="宋体" w:cs="宋体"/>
          <w:bCs/>
          <w:color w:val="auto"/>
          <w:sz w:val="24"/>
          <w:szCs w:val="24"/>
          <w:highlight w:val="none"/>
          <w:lang w:bidi="ar"/>
        </w:rPr>
        <w:t>文件规定，中标人中标后，应将工人工资保证金存入银行专用存款账户。逾期未交纳的，招标人将扣留与本项目工人工资保证金等额的工程款（工人工资除外），直至中标人按《韶关市建设领域施工企业工人工资支付保证金管理办法》相关文件要求缴纳工人工资保证金。在中标人未按要求缴纳工人工资保证金期间，招标人扣留的工程款将作为工人工资保证金的预备资金，招标人有权将该部分资金用于处理该项目工人工资拖欠等情况的问题。</w:t>
      </w:r>
    </w:p>
    <w:p w14:paraId="2F70127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val="0"/>
          <w:bCs w:val="0"/>
          <w:snapToGrid w:val="0"/>
          <w:color w:val="auto"/>
          <w:kern w:val="0"/>
          <w:sz w:val="24"/>
          <w:szCs w:val="24"/>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w:t>
      </w:r>
      <w:r>
        <w:rPr>
          <w:rFonts w:hint="eastAsia" w:ascii="宋体" w:hAnsi="宋体" w:eastAsia="宋体" w:cs="宋体"/>
          <w:color w:val="auto"/>
          <w:sz w:val="24"/>
          <w:szCs w:val="24"/>
          <w:highlight w:val="none"/>
          <w:lang w:bidi="ar"/>
        </w:rPr>
        <w:t>所垫付的民工工资2倍向发包人支付违约金。</w:t>
      </w:r>
    </w:p>
    <w:p w14:paraId="389051A6">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5</w:t>
      </w:r>
      <w:r>
        <w:rPr>
          <w:rFonts w:hint="eastAsia" w:ascii="宋体" w:hAnsi="宋体" w:eastAsia="宋体" w:cs="宋体"/>
          <w:color w:val="auto"/>
          <w:sz w:val="24"/>
          <w:szCs w:val="24"/>
          <w:highlight w:val="none"/>
          <w:lang w:bidi="ar"/>
        </w:rPr>
        <w:t>中标人应当确保施工扬尘污染防治措施费用和用工实名管理费用专款专用，在财务管理中单独列出施工扬尘污染防治措施费用和用工实名管理费用使用清单报招标人备案核查。</w:t>
      </w:r>
    </w:p>
    <w:p w14:paraId="1133FBF0">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6</w:t>
      </w:r>
      <w:r>
        <w:rPr>
          <w:rFonts w:hint="eastAsia" w:ascii="宋体" w:hAnsi="宋体" w:eastAsia="宋体" w:cs="宋体"/>
          <w:color w:val="auto"/>
          <w:sz w:val="24"/>
          <w:szCs w:val="24"/>
          <w:highlight w:val="none"/>
          <w:lang w:bidi="ar"/>
        </w:rPr>
        <w:t>中标人需按相关规定要求，设置本工程符合相关要求的永久性标牌及规划公示牌，投标人在投标报价时综合考虑在报价内，招标人不另行支付该部分费用。</w:t>
      </w:r>
    </w:p>
    <w:p w14:paraId="31483E7B">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17</w:t>
      </w:r>
      <w:r>
        <w:rPr>
          <w:rFonts w:hint="eastAsia" w:ascii="宋体" w:hAnsi="宋体" w:eastAsia="宋体" w:cs="宋体"/>
          <w:color w:val="auto"/>
          <w:sz w:val="24"/>
          <w:szCs w:val="24"/>
          <w:highlight w:val="none"/>
          <w:lang w:bidi="ar"/>
        </w:rPr>
        <w:t xml:space="preserve"> 中标人须为招标人、监理、全过程造价咨询单位提供现场办公管理的便利。按工程需要配置办公室、会议室、监理休息室及办公家具、生活设施，配备满足工程监理工作需要的办公设备（电脑、打印机、复印机、传真机、办公用品等）。中标人不得以任何理由提出任何费用及补偿要求。</w:t>
      </w:r>
    </w:p>
    <w:p w14:paraId="4129B0D5">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18 </w:t>
      </w:r>
      <w:r>
        <w:rPr>
          <w:rFonts w:hint="eastAsia" w:ascii="宋体" w:hAnsi="宋体" w:eastAsia="宋体" w:cs="宋体"/>
          <w:color w:val="auto"/>
          <w:sz w:val="24"/>
          <w:szCs w:val="24"/>
          <w:highlight w:val="none"/>
          <w:lang w:bidi="ar"/>
        </w:rPr>
        <w:t>中标人需在签订合同后5个工作日内向招标人免费提交投标文件副本</w:t>
      </w:r>
      <w:r>
        <w:rPr>
          <w:rFonts w:hint="eastAsia" w:ascii="宋体" w:hAnsi="宋体" w:eastAsia="宋体" w:cs="宋体"/>
          <w:color w:val="auto"/>
          <w:sz w:val="24"/>
          <w:szCs w:val="24"/>
          <w:highlight w:val="none"/>
          <w:lang w:eastAsia="zh-CN" w:bidi="ar"/>
        </w:rPr>
        <w:t>五</w:t>
      </w:r>
      <w:r>
        <w:rPr>
          <w:rFonts w:hint="eastAsia" w:ascii="宋体" w:hAnsi="宋体" w:eastAsia="宋体" w:cs="宋体"/>
          <w:color w:val="auto"/>
          <w:sz w:val="24"/>
          <w:szCs w:val="24"/>
          <w:highlight w:val="none"/>
          <w:lang w:bidi="ar"/>
        </w:rPr>
        <w:t>份。</w:t>
      </w:r>
    </w:p>
    <w:p w14:paraId="1F0C48C8">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19</w:t>
      </w:r>
      <w:r>
        <w:rPr>
          <w:rFonts w:hint="eastAsia" w:ascii="宋体" w:hAnsi="宋体" w:eastAsia="宋体" w:cs="宋体"/>
          <w:color w:val="auto"/>
          <w:sz w:val="24"/>
          <w:szCs w:val="24"/>
          <w:highlight w:val="none"/>
          <w:lang w:bidi="ar"/>
        </w:rPr>
        <w:t xml:space="preserve"> 中标人中标后招标人将对项目经理、法人代表或其授权委托人进行廉政谈话。</w:t>
      </w:r>
    </w:p>
    <w:p w14:paraId="45E89133">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20 </w:t>
      </w:r>
      <w:r>
        <w:rPr>
          <w:rFonts w:hint="eastAsia" w:ascii="宋体" w:hAnsi="宋体" w:eastAsia="宋体" w:cs="宋体"/>
          <w:color w:val="auto"/>
          <w:sz w:val="24"/>
          <w:szCs w:val="24"/>
          <w:highlight w:val="none"/>
          <w:lang w:bidi="ar"/>
        </w:rPr>
        <w:t>中标人应已详细了解本项目的前期工作，同时也应已勘察施工现场、周围环境、地形、地貌、水文、交通等情况。中标人投标报价应已充分考虑在施工中由于招标人原因造成停工或工期延误等因素所产生的相关费用，招标人不予另计费；中标人不得以不完全了解项目的前期工作及现场情况为理由，提出因外界因素造成停工或工期延误的额外付款要求；对此类要求，招标人不作任何考虑及答复。</w:t>
      </w:r>
    </w:p>
    <w:p w14:paraId="3049589D">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14.21</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如因招标人原因（自然灾害等不可抗力因素除外），工程不能按期开工，或开工后全部停滞，工期按相关规定予以顺延。停工发生后，若可复工时，中标人应在收到招标人发出的复工通知书后3日内开始复工。</w:t>
      </w:r>
    </w:p>
    <w:p w14:paraId="3D2E5DF8">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2</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中标人须为招标人提供现场管理的交通便利（开工至质保期满）。中标人不得以任何理由提出任何费用及补偿要求。</w:t>
      </w:r>
    </w:p>
    <w:p w14:paraId="0823A903">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3</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中标人必须做好施工场地地下地上管线和邻近建筑物、构筑物（包括文物保护建筑）、名树名木（如有）的保护工作。</w:t>
      </w:r>
    </w:p>
    <w:p w14:paraId="1063DD06">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中标单位必须在中标通知书发出之日起一个月内完成现场临时设施（施工用水用电、围蔽、板房、洗车槽、相关公示牌等）施工，因中标人原因导致逾期的，逾期第壹天起每天按2000元作违约处理。</w:t>
      </w:r>
    </w:p>
    <w:p w14:paraId="7D7FFC4E">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 xml:space="preserve">5 </w:t>
      </w:r>
      <w:r>
        <w:rPr>
          <w:rFonts w:hint="eastAsia" w:ascii="宋体" w:hAnsi="宋体" w:eastAsia="宋体" w:cs="宋体"/>
          <w:color w:val="auto"/>
          <w:sz w:val="24"/>
          <w:szCs w:val="24"/>
          <w:highlight w:val="none"/>
          <w:lang w:bidi="ar"/>
        </w:rPr>
        <w:t>为保证施工现场的环境卫生，中标人在本工程施工过程中，所有的车辆必须按招标人规定的行车路线行驶。并负责施工现场及受施工影响周边道路的卫生。</w:t>
      </w:r>
    </w:p>
    <w:p w14:paraId="7B02C5C2">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26</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招标人有权根据本项目建设的实际情况调整建设规模或减少建设内容，如出现因特殊原因取消某子项目的建设，则该子项目未完成的工作内容及费用相应扣减，中标人应在投标报价中综合考虑该因素，中标后不得因此向招标人提出额外的费用补偿或索赔</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并且必须按调整后的规模及内容完成工程建设。</w:t>
      </w:r>
    </w:p>
    <w:p w14:paraId="52D8CB65">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27 </w:t>
      </w:r>
      <w:r>
        <w:rPr>
          <w:rFonts w:hint="eastAsia" w:ascii="宋体" w:hAnsi="宋体" w:eastAsia="宋体" w:cs="宋体"/>
          <w:color w:val="auto"/>
          <w:sz w:val="24"/>
          <w:szCs w:val="24"/>
          <w:highlight w:val="none"/>
          <w:lang w:bidi="ar"/>
        </w:rPr>
        <w:t>中标人在施工过程中应及时发现现场缺项漏项变更签证等影响造价的事项，应及时跟招标人报告（书面、微信等），</w:t>
      </w:r>
      <w:r>
        <w:rPr>
          <w:rFonts w:hint="eastAsia" w:ascii="宋体" w:hAnsi="宋体" w:eastAsia="宋体" w:cs="宋体"/>
          <w:color w:val="auto"/>
          <w:sz w:val="24"/>
          <w:szCs w:val="24"/>
          <w:highlight w:val="none"/>
          <w:lang w:eastAsia="zh-CN" w:bidi="ar"/>
        </w:rPr>
        <w:t>并按照招标人的程序确认后才能进行施工，</w:t>
      </w:r>
      <w:r>
        <w:rPr>
          <w:rFonts w:hint="eastAsia" w:ascii="宋体" w:hAnsi="宋体" w:eastAsia="宋体" w:cs="宋体"/>
          <w:color w:val="auto"/>
          <w:sz w:val="24"/>
          <w:szCs w:val="24"/>
          <w:highlight w:val="none"/>
          <w:lang w:bidi="ar"/>
        </w:rPr>
        <w:t>若因中标人不及时报告</w:t>
      </w:r>
      <w:r>
        <w:rPr>
          <w:rFonts w:hint="eastAsia" w:ascii="宋体" w:hAnsi="宋体" w:eastAsia="宋体" w:cs="宋体"/>
          <w:color w:val="auto"/>
          <w:sz w:val="24"/>
          <w:szCs w:val="24"/>
          <w:highlight w:val="none"/>
          <w:lang w:eastAsia="zh-CN" w:bidi="ar"/>
        </w:rPr>
        <w:t>擅自施工，</w:t>
      </w:r>
      <w:r>
        <w:rPr>
          <w:rFonts w:hint="eastAsia" w:ascii="宋体" w:hAnsi="宋体" w:eastAsia="宋体" w:cs="宋体"/>
          <w:color w:val="auto"/>
          <w:sz w:val="24"/>
          <w:szCs w:val="24"/>
          <w:highlight w:val="none"/>
          <w:lang w:bidi="ar"/>
        </w:rPr>
        <w:t>导致的不良后果，由中标人承担。</w:t>
      </w:r>
    </w:p>
    <w:p w14:paraId="30597FF5">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28</w:t>
      </w:r>
      <w:r>
        <w:rPr>
          <w:rFonts w:hint="eastAsia" w:ascii="宋体" w:hAnsi="宋体" w:eastAsia="宋体" w:cs="宋体"/>
          <w:color w:val="auto"/>
          <w:sz w:val="24"/>
          <w:szCs w:val="24"/>
          <w:highlight w:val="none"/>
          <w:lang w:val="en-US" w:eastAsia="zh-CN" w:bidi="ar"/>
        </w:rPr>
        <w:t xml:space="preserve"> 因项目用地的不可控因素，造成建设用地延期交付，导致产生的费用不予补偿，仅顺延工期。</w:t>
      </w:r>
    </w:p>
    <w:p w14:paraId="7ECB994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29 </w:t>
      </w:r>
      <w:r>
        <w:rPr>
          <w:rFonts w:hint="eastAsia" w:ascii="宋体" w:hAnsi="宋体" w:eastAsia="宋体" w:cs="宋体"/>
          <w:color w:val="auto"/>
          <w:sz w:val="24"/>
          <w:szCs w:val="24"/>
          <w:highlight w:val="none"/>
          <w:lang w:val="en-US" w:eastAsia="zh-CN" w:bidi="ar"/>
        </w:rPr>
        <w:t>中标人须参与图纸会审并及时提出涉及设计修改或变更方面的相关方案或意见，否则由此造成的后果由中标人自行负责。</w:t>
      </w:r>
    </w:p>
    <w:p w14:paraId="69A10442">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w:t>
      </w:r>
      <w:r>
        <w:rPr>
          <w:rFonts w:hint="eastAsia" w:ascii="宋体" w:hAnsi="宋体" w:eastAsia="宋体" w:cs="宋体"/>
          <w:color w:val="auto"/>
          <w:sz w:val="24"/>
          <w:szCs w:val="24"/>
          <w:highlight w:val="none"/>
          <w:lang w:val="en-US" w:eastAsia="zh-CN" w:bidi="ar"/>
        </w:rPr>
        <w:t xml:space="preserve"> 对于招标工程量清单、招标控制价发生的以下事项，招标人有权在合同签订前按以下原则进行修订：</w:t>
      </w:r>
    </w:p>
    <w:p w14:paraId="010288E4">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14.30.1</w:t>
      </w:r>
      <w:r>
        <w:rPr>
          <w:rFonts w:hint="eastAsia" w:ascii="宋体" w:hAnsi="宋体" w:eastAsia="宋体" w:cs="宋体"/>
          <w:color w:val="auto"/>
          <w:sz w:val="24"/>
          <w:szCs w:val="24"/>
          <w:highlight w:val="none"/>
          <w:lang w:val="en-US" w:eastAsia="zh-CN" w:bidi="ar"/>
        </w:rPr>
        <w:t xml:space="preserve"> 招标工程量清单描述有误：招标人有权修正工程量清单描述错误部分，工程量清单综合单价以投标人报价为准。</w:t>
      </w:r>
    </w:p>
    <w:p w14:paraId="368B766F">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14.30.2</w:t>
      </w:r>
      <w:r>
        <w:rPr>
          <w:rFonts w:hint="eastAsia" w:ascii="宋体" w:hAnsi="宋体" w:eastAsia="宋体" w:cs="宋体"/>
          <w:color w:val="auto"/>
          <w:sz w:val="24"/>
          <w:szCs w:val="24"/>
          <w:highlight w:val="none"/>
          <w:lang w:val="en-US" w:eastAsia="zh-CN" w:bidi="ar"/>
        </w:rPr>
        <w:t xml:space="preserve"> 招标工程量计量错误：以实际发生工程量为准，工程量清单综合单价以投标人报价为准。</w:t>
      </w:r>
    </w:p>
    <w:p w14:paraId="18E0E323">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14.30.3</w:t>
      </w:r>
      <w:r>
        <w:rPr>
          <w:rFonts w:hint="eastAsia" w:ascii="宋体" w:hAnsi="宋体" w:eastAsia="宋体" w:cs="宋体"/>
          <w:color w:val="auto"/>
          <w:sz w:val="24"/>
          <w:szCs w:val="24"/>
          <w:highlight w:val="none"/>
          <w:lang w:val="en-US" w:eastAsia="zh-CN" w:bidi="ar"/>
        </w:rPr>
        <w:t xml:space="preserve"> 相同子目综合单价在不同单位工程中单价不一致：以投标报价低价为准。</w:t>
      </w:r>
    </w:p>
    <w:p w14:paraId="1361271D">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 xml:space="preserve">14.30.4 </w:t>
      </w:r>
      <w:r>
        <w:rPr>
          <w:rFonts w:hint="eastAsia" w:ascii="宋体" w:hAnsi="宋体" w:eastAsia="宋体" w:cs="宋体"/>
          <w:color w:val="auto"/>
          <w:sz w:val="24"/>
          <w:szCs w:val="24"/>
          <w:highlight w:val="none"/>
          <w:lang w:val="en-US" w:eastAsia="zh-CN" w:bidi="ar"/>
        </w:rPr>
        <w:t>招标工程量清单漏项（图纸有而清单漏项）：按工程量按实计算，综合单价以招标人委托的第三方造价咨询公司按本项目招标控制价编制原则编制，并按投标总价下浮率下浮计算。</w:t>
      </w:r>
    </w:p>
    <w:p w14:paraId="22836D52">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14.31</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施工合同签订备案后，承包人应一个月内将安全防护、文明施工措施项目费、工人工资保证金、工程排污费等涉及办理建筑工程施工许可证的缴费项目，缴纳至相应管理部门，办结相关手续，并提供缴费凭据等相关资料复印件给发包人，到商业银行办理安全防护、文明施工措施费及工人工资专用账户，同时承包人应向发包人提供符合韶关市相关行业行政主管部门规定的有效劳务分包合同。</w:t>
      </w:r>
    </w:p>
    <w:p w14:paraId="79BD32F7">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32 </w:t>
      </w:r>
      <w:r>
        <w:rPr>
          <w:rFonts w:hint="eastAsia" w:ascii="宋体" w:hAnsi="宋体" w:eastAsia="宋体" w:cs="宋体"/>
          <w:color w:val="auto"/>
          <w:sz w:val="24"/>
          <w:szCs w:val="24"/>
          <w:highlight w:val="none"/>
          <w:lang w:bidi="ar"/>
        </w:rPr>
        <w:t>承包人应充分考虑施工对接情况，为本工程的其他参建单位提供工作便利、配合及服务（如水源、电源接口等），并有针对性地组织施工；承包人与为本工程的其他参建单位就协调、配合、服务等不能达成一致的，由监理工程师协调，并遵照监理工程师指令执行；承包人应负责统筹安排本工程范围内的各项工程的协调与配合，确保工程建设有序进行。承包人由此增加的费用应认为已包括在承包人的投标报价之中，发包人不另行支付。</w:t>
      </w:r>
    </w:p>
    <w:p w14:paraId="0F1E6214">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33 </w:t>
      </w:r>
      <w:r>
        <w:rPr>
          <w:rFonts w:hint="eastAsia" w:ascii="宋体" w:hAnsi="宋体" w:eastAsia="宋体" w:cs="宋体"/>
          <w:color w:val="auto"/>
          <w:sz w:val="24"/>
          <w:szCs w:val="24"/>
          <w:highlight w:val="none"/>
          <w:lang w:bidi="ar"/>
        </w:rPr>
        <w:t>工程完工后，为了本项目整体竣工验收的需要，承包人必须在发包人的统筹安排下，与为本项目其他工程服务的单位进行协同配合，做好竣工验收的各项工作，交付的工程必须符合各专业工程管养单位的相关要求。</w:t>
      </w:r>
    </w:p>
    <w:p w14:paraId="261D3301">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14.34 </w:t>
      </w:r>
      <w:r>
        <w:rPr>
          <w:rFonts w:hint="eastAsia" w:ascii="宋体" w:hAnsi="宋体" w:eastAsia="宋体" w:cs="宋体"/>
          <w:color w:val="auto"/>
          <w:sz w:val="24"/>
          <w:szCs w:val="24"/>
          <w:highlight w:val="none"/>
          <w:lang w:val="en-US" w:eastAsia="zh-CN" w:bidi="ar"/>
        </w:rPr>
        <w:t>本工程评标专家酬劳由中标人支付，该费用不再另行报价，由投标人在投标报价时综合考虑在内。中标人在领取中标通知书前须向招标代理机构评标专家酬劳。</w:t>
      </w:r>
    </w:p>
    <w:p w14:paraId="32222D77">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14.35 </w:t>
      </w:r>
      <w:r>
        <w:rPr>
          <w:rFonts w:hint="eastAsia" w:ascii="宋体" w:hAnsi="宋体" w:eastAsia="宋体" w:cs="宋体"/>
          <w:color w:val="auto"/>
          <w:sz w:val="24"/>
          <w:szCs w:val="24"/>
          <w:highlight w:val="none"/>
          <w:lang w:val="en-US" w:eastAsia="zh-CN" w:bidi="ar"/>
        </w:rPr>
        <w:t>发包人仅在征地红线范围内提供场地，其他一切场地费用由承包人自行负责（含临时道路），因实施合同工程的需要，承包人须占用场地外的道路及修建场外用地、设施等，均由承包人自行负责。承包人自行办理所需的申请手续，并承担一切所需的费用，承包人须负责保持场内外的临时道路畅通，提供指示牌、警告告示、灯号及所需之交通指导员等一切安全措施以保障行人安全及车辆安全行驶，并承担因其失责引起之所有索偿。基坑开挖期间，承包人须于基坑至工地出入口设置挖运土（石）方的专用便道，便道须作填硬质渣土或浇混凝土路面等加硬处理，以确保雨天仍能安全施工。该费用已包含在合同单价中；超大件和超重件运输所需的一切费用包括但不限于道路和桥梁临时加固改造费用等均由承包人自行负责。</w:t>
      </w:r>
    </w:p>
    <w:p w14:paraId="24A5F30F">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14.36</w:t>
      </w:r>
      <w:r>
        <w:rPr>
          <w:rFonts w:hint="eastAsia" w:ascii="宋体" w:hAnsi="宋体" w:eastAsia="宋体" w:cs="宋体"/>
          <w:color w:val="auto"/>
          <w:sz w:val="24"/>
          <w:szCs w:val="24"/>
          <w:highlight w:val="none"/>
          <w:lang w:val="en-US" w:eastAsia="zh-CN" w:bidi="ar"/>
        </w:rPr>
        <w:t xml:space="preserve"> 承包人应对所有现场作业、所有施工方法和全部工程的完备性、稳定性和安全性负责，负责施工场地安全保卫工作，防止因工程施工造成的人身伤害和财产损失，提供和维修施工照明、围栏设施及要约标志以满足现场实际需要。</w:t>
      </w:r>
    </w:p>
    <w:p w14:paraId="38B047E6">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14.37</w:t>
      </w:r>
      <w:r>
        <w:rPr>
          <w:rFonts w:hint="eastAsia" w:ascii="宋体" w:hAnsi="宋体" w:eastAsia="宋体" w:cs="宋体"/>
          <w:color w:val="auto"/>
          <w:sz w:val="24"/>
          <w:szCs w:val="24"/>
          <w:highlight w:val="none"/>
          <w:lang w:val="en-US" w:eastAsia="zh-CN" w:bidi="ar"/>
        </w:rPr>
        <w:t xml:space="preserve"> 遵守国家、广东省及韶关市现行的法律、条例、规定和通知，并办理所需的申请和支付有关的法定费用和税项（包括但不限于营业税及其附加税/增值税及其附加税或其他任何因履行合同需由承包商承担的相关税金）。包括但不限于施工场地交通、余泥排放、环境保护、安全防护、文明施工、施工噪音管理、夜间施工、排水许可、施工爆破许可等的申请及支付有关费用。</w:t>
      </w:r>
    </w:p>
    <w:p w14:paraId="59914E1C">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14.38</w:t>
      </w:r>
      <w:r>
        <w:rPr>
          <w:rFonts w:hint="eastAsia" w:ascii="宋体" w:hAnsi="宋体" w:eastAsia="宋体" w:cs="宋体"/>
          <w:color w:val="auto"/>
          <w:sz w:val="24"/>
          <w:szCs w:val="24"/>
          <w:highlight w:val="none"/>
          <w:lang w:val="en-US" w:eastAsia="zh-CN" w:bidi="ar"/>
        </w:rPr>
        <w:t xml:space="preserve"> 遵守政府部门有关环境卫生的管理规定，保证施工场地的清洁和交工前施工现场的清理，并承担因自身责任造成的损失和罚款。</w:t>
      </w:r>
    </w:p>
    <w:p w14:paraId="431EA3D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14.39</w:t>
      </w:r>
      <w:r>
        <w:rPr>
          <w:rFonts w:hint="eastAsia" w:ascii="宋体" w:hAnsi="宋体" w:eastAsia="宋体" w:cs="宋体"/>
          <w:color w:val="auto"/>
          <w:sz w:val="24"/>
          <w:szCs w:val="24"/>
          <w:highlight w:val="none"/>
          <w:lang w:val="en-US" w:eastAsia="zh-CN" w:bidi="ar"/>
        </w:rPr>
        <w:t xml:space="preserve"> 工程完工后，应按照合同约定提交竣工验收申请报告、竣工图纸和资料及竣工结算文件。本项目的工程竣工图亦须由承包人负责编制及提交，相关费用和利润视作已考虑在合同价款内。</w:t>
      </w:r>
    </w:p>
    <w:p w14:paraId="6687362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14.40 </w:t>
      </w:r>
      <w:r>
        <w:rPr>
          <w:rFonts w:hint="eastAsia" w:ascii="宋体" w:hAnsi="宋体" w:eastAsia="宋体" w:cs="宋体"/>
          <w:color w:val="auto"/>
          <w:sz w:val="24"/>
          <w:szCs w:val="24"/>
          <w:highlight w:val="none"/>
          <w:lang w:val="en-US" w:eastAsia="zh-CN" w:bidi="ar"/>
        </w:rPr>
        <w:t>自行办理本工程施工所需的道路占用手续（包括开路口），负责有关申请及维持占用道路所需的一切费用，并负责本工程的红线外的一切场地使用费用。</w:t>
      </w:r>
    </w:p>
    <w:p w14:paraId="5E27658A">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14.41</w:t>
      </w:r>
      <w:r>
        <w:rPr>
          <w:rFonts w:hint="eastAsia" w:ascii="宋体" w:hAnsi="宋体" w:eastAsia="宋体" w:cs="宋体"/>
          <w:color w:val="auto"/>
          <w:sz w:val="24"/>
          <w:szCs w:val="24"/>
          <w:highlight w:val="none"/>
          <w:lang w:val="en-US" w:eastAsia="zh-CN" w:bidi="ar"/>
        </w:rPr>
        <w:t xml:space="preserve"> 对于承包人或其指定分包人所雇用的工人或任何其它人员的伤亡或赔偿，承包人应保证发包人免负该等责任，且保证发包人不负担涉及这类伤亡与赔偿或与此有关的索赔和诉讼，损害赔偿、诉讼费、赔偿费及其它费用均由承包人自行负责，另承包人由于伤亡事故而造成本工程停工的，发包人将不予顺延工期，其所有损失由承包人自负。但由于发包人或监理工程师的行为失误所造成的伤亡除外。</w:t>
      </w:r>
    </w:p>
    <w:p w14:paraId="602FFB26">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14.42 </w:t>
      </w:r>
      <w:r>
        <w:rPr>
          <w:rFonts w:hint="eastAsia" w:ascii="宋体" w:hAnsi="宋体" w:eastAsia="宋体" w:cs="宋体"/>
          <w:color w:val="auto"/>
          <w:sz w:val="24"/>
          <w:szCs w:val="24"/>
          <w:highlight w:val="none"/>
          <w:lang w:val="en-US" w:eastAsia="zh-CN" w:bidi="ar"/>
        </w:rPr>
        <w:t>应发包人要求对所有隐蔽工程施工进行录像并刻录成光盘，于工程验收时一并提交。</w:t>
      </w:r>
    </w:p>
    <w:p w14:paraId="279A2CB1">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14.43</w:t>
      </w:r>
      <w:r>
        <w:rPr>
          <w:rFonts w:hint="eastAsia" w:ascii="宋体" w:hAnsi="宋体" w:eastAsia="宋体" w:cs="宋体"/>
          <w:color w:val="auto"/>
          <w:sz w:val="24"/>
          <w:szCs w:val="24"/>
          <w:highlight w:val="none"/>
          <w:lang w:val="en-US" w:eastAsia="zh-CN" w:bidi="ar"/>
        </w:rPr>
        <w:t xml:space="preserve"> 本工程竣工交付予发包人，或合同终止之日起30天内时，承包人应将全部场地清理干净退还发包人。如承包人逾期未退还场地，承包人须按每天5元/m2向发包人缴纳场地占用费。</w:t>
      </w:r>
    </w:p>
    <w:p w14:paraId="2984EDE1">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14.44 </w:t>
      </w:r>
      <w:r>
        <w:rPr>
          <w:rFonts w:hint="eastAsia" w:ascii="宋体" w:hAnsi="宋体" w:eastAsia="宋体" w:cs="宋体"/>
          <w:color w:val="auto"/>
          <w:sz w:val="24"/>
          <w:szCs w:val="24"/>
          <w:highlight w:val="none"/>
          <w:lang w:val="en-US" w:eastAsia="zh-CN" w:bidi="ar"/>
        </w:rPr>
        <w:t>承包人必须参加各专业工程的图纸会审，对于专业工程与土建工程有冲突的地方，有义务提出修改建议和解决方案，否则，因此产生的费用将不予签证和工程设计变更。</w:t>
      </w:r>
    </w:p>
    <w:p w14:paraId="36F8BF5F">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14.45</w:t>
      </w:r>
      <w:r>
        <w:rPr>
          <w:rFonts w:hint="eastAsia" w:ascii="宋体" w:hAnsi="宋体" w:eastAsia="宋体" w:cs="宋体"/>
          <w:color w:val="auto"/>
          <w:sz w:val="24"/>
          <w:szCs w:val="24"/>
          <w:highlight w:val="none"/>
          <w:lang w:val="en-US" w:eastAsia="zh-CN" w:bidi="ar"/>
        </w:rPr>
        <w:t xml:space="preserve"> 承包人应根据发包人提供的正式变更资料及时进行工程变更，工程变更完成并由监理工程师和发包人书面确认后，承包人在30天内向发包人和造价工程师提出工程变更预算(包括经确认完成的变更证明资料及相应图纸、计算明细及单价组成等)，在30天内未提交的，视为变更不涉及费用的增加和工期的延长。承包人需按发包人的要求在每月20日前对设计变更及现场签证的事项台账及预算台账进行更新填报，若承包人漏报，发包人将视为该工作或签证不涉及费用的增加及工期的延长。承包人不得高估冒算，承包人预（结）算的送审价高出发包人审定价20%，承包人按以下方式承担违约金：违约金＝(承包人预（结）算送审造价－发包人预（结）算审定价×1.2)×10%，在预（结）算款项中以违约金形式扣除。</w:t>
      </w:r>
    </w:p>
    <w:p w14:paraId="504EC47F">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14.46</w:t>
      </w:r>
      <w:r>
        <w:rPr>
          <w:rFonts w:hint="eastAsia" w:ascii="宋体" w:hAnsi="宋体" w:eastAsia="宋体" w:cs="宋体"/>
          <w:color w:val="auto"/>
          <w:sz w:val="24"/>
          <w:szCs w:val="24"/>
          <w:highlight w:val="none"/>
          <w:lang w:val="en-US" w:eastAsia="zh-CN" w:bidi="ar"/>
        </w:rPr>
        <w:t xml:space="preserve"> 在展开任何工作或订购任何材料设备前，承包人须核实图纸上及现场所有尺寸，及审核现场、图纸、标准、规范之间有没有不符，若发现有任何错漏、疏忽或偏差，必须立即以书面形式通知发包人和监理工程师，由发包人给予指示。发包人的任何指示皆不会免除或减轻承包人按合同所承担的义务和责任。发包人不负责承包人未有充分审核而引致的虚耗材料设备、工作或进度拖延。</w:t>
      </w:r>
    </w:p>
    <w:p w14:paraId="4739858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14.47</w:t>
      </w:r>
      <w:r>
        <w:rPr>
          <w:rFonts w:hint="eastAsia" w:ascii="宋体" w:hAnsi="宋体" w:eastAsia="宋体" w:cs="宋体"/>
          <w:color w:val="auto"/>
          <w:sz w:val="24"/>
          <w:szCs w:val="24"/>
          <w:highlight w:val="none"/>
          <w:lang w:val="en-US" w:eastAsia="zh-CN" w:bidi="ar"/>
        </w:rPr>
        <w:t xml:space="preserve"> 合同价款已包括探明、打碎及移去所有在施工期间所遇到的地下障碍物如石块、结构混凝土、素混凝土、砖块、坟头等，及用经认可的土壤回填于空位内，合同价款亦已包括因上述障碍物而引致工人及机械窝工的费用及其它一切费用。</w:t>
      </w:r>
    </w:p>
    <w:p w14:paraId="129BD866">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14.48</w:t>
      </w:r>
      <w:r>
        <w:rPr>
          <w:rFonts w:hint="eastAsia" w:ascii="宋体" w:hAnsi="宋体" w:eastAsia="宋体" w:cs="宋体"/>
          <w:color w:val="auto"/>
          <w:sz w:val="24"/>
          <w:szCs w:val="24"/>
          <w:highlight w:val="none"/>
          <w:lang w:val="en-US" w:eastAsia="zh-CN" w:bidi="ar"/>
        </w:rPr>
        <w:t xml:space="preserve"> 合同履行期间，除分部分项工程量清单内人工及模板人工（不包含机械费中的人工）与分部分项工程清单内的商品混凝土、商品砂浆、钢筋、结构用型钢、砌体、在约定的条件下可调整价差外，合同价款及单价不会因任何物价或汇率的变动而作调整。</w:t>
      </w:r>
    </w:p>
    <w:p w14:paraId="43E2910D">
      <w:pPr>
        <w:pStyle w:val="36"/>
        <w:wordWrap w:val="0"/>
        <w:adjustRightInd w:val="0"/>
        <w:snapToGrid w:val="0"/>
        <w:spacing w:line="360" w:lineRule="auto"/>
        <w:ind w:firstLine="56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bidi="ar"/>
        </w:rPr>
        <w:t>14.49</w:t>
      </w:r>
      <w:r>
        <w:rPr>
          <w:rFonts w:hint="eastAsia" w:ascii="宋体" w:hAnsi="宋体" w:eastAsia="宋体" w:cs="宋体"/>
          <w:color w:val="auto"/>
          <w:sz w:val="24"/>
          <w:szCs w:val="24"/>
          <w:highlight w:val="none"/>
          <w:lang w:val="en-US" w:eastAsia="zh-CN" w:bidi="ar"/>
        </w:rPr>
        <w:t xml:space="preserve"> 承包人应积极配合发包人进行与自行施工范围有关的变更、签证“一月一清”工作。</w:t>
      </w:r>
    </w:p>
    <w:p w14:paraId="387C6D7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18" w:name="_Toc3399"/>
      <w:bookmarkStart w:id="219" w:name="_Toc9877"/>
      <w:r>
        <w:rPr>
          <w:rFonts w:hint="eastAsia" w:ascii="宋体" w:hAnsi="宋体" w:eastAsia="宋体" w:cs="宋体"/>
          <w:b/>
          <w:bCs/>
          <w:color w:val="auto"/>
          <w:spacing w:val="-11"/>
          <w:sz w:val="24"/>
          <w:szCs w:val="24"/>
          <w:highlight w:val="none"/>
          <w:lang w:val="en-US" w:eastAsia="zh-CN"/>
        </w:rPr>
        <w:t>15.违约及质量保证条款</w:t>
      </w:r>
      <w:bookmarkEnd w:id="218"/>
    </w:p>
    <w:p w14:paraId="6C4CDE94">
      <w:pPr>
        <w:pStyle w:val="36"/>
        <w:wordWrap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15.1 </w:t>
      </w:r>
      <w:r>
        <w:rPr>
          <w:rFonts w:hint="eastAsia" w:ascii="宋体" w:hAnsi="宋体" w:eastAsia="宋体" w:cs="宋体"/>
          <w:b w:val="0"/>
          <w:bCs w:val="0"/>
          <w:color w:val="auto"/>
          <w:sz w:val="24"/>
          <w:szCs w:val="24"/>
          <w:highlight w:val="none"/>
          <w:lang w:val="en-US" w:eastAsia="zh-CN" w:bidi="ar"/>
        </w:rPr>
        <w:t>工程移交延误违约</w:t>
      </w:r>
      <w:bookmarkEnd w:id="219"/>
    </w:p>
    <w:p w14:paraId="0D7B8051">
      <w:pPr>
        <w:pStyle w:val="36"/>
        <w:snapToGrid w:val="0"/>
        <w:spacing w:line="360" w:lineRule="auto"/>
        <w:ind w:firstLine="560"/>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lang w:val="en-US" w:eastAsia="zh-CN"/>
        </w:rPr>
        <w:t>15.1.1</w:t>
      </w:r>
      <w:r>
        <w:rPr>
          <w:rFonts w:hint="eastAsia" w:ascii="宋体" w:hAnsi="宋体" w:eastAsia="宋体" w:cs="宋体"/>
          <w:b w:val="0"/>
          <w:bCs w:val="0"/>
          <w:snapToGrid w:val="0"/>
          <w:color w:val="auto"/>
          <w:kern w:val="0"/>
          <w:sz w:val="24"/>
          <w:szCs w:val="24"/>
          <w:highlight w:val="none"/>
          <w:lang w:val="en-US" w:eastAsia="zh-CN"/>
        </w:rPr>
        <w:t>因承包人原因，工程没有按期竣工时，承包人须在逾期第壹天起每天按合同价的</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lang w:val="en-US" w:eastAsia="zh-CN"/>
        </w:rPr>
        <w:t>向发包人返纳逾期竣工违约金。逾期竣工违约金的最高限额为合同价款的</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lang w:val="en-US" w:eastAsia="zh-CN"/>
        </w:rPr>
        <w:t>。</w:t>
      </w:r>
    </w:p>
    <w:p w14:paraId="0C5D91D8">
      <w:pPr>
        <w:spacing w:line="360" w:lineRule="auto"/>
        <w:ind w:firstLine="475" w:firstLineChars="19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.1.2</w:t>
      </w:r>
      <w:r>
        <w:rPr>
          <w:rFonts w:hint="eastAsia" w:ascii="宋体" w:hAnsi="宋体" w:eastAsia="宋体" w:cs="宋体"/>
          <w:iCs/>
          <w:color w:val="auto"/>
          <w:sz w:val="24"/>
          <w:szCs w:val="24"/>
          <w:highlight w:val="none"/>
        </w:rPr>
        <w:t>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w:t>
      </w:r>
      <w:r>
        <w:rPr>
          <w:rFonts w:hint="eastAsia" w:ascii="宋体" w:hAnsi="宋体" w:eastAsia="宋体" w:cs="宋体"/>
          <w:color w:val="auto"/>
          <w:sz w:val="24"/>
          <w:szCs w:val="24"/>
          <w:highlight w:val="none"/>
        </w:rPr>
        <w:t>每次按2000元缴纳违约金给发包人，在结算中一并扣除。</w:t>
      </w:r>
    </w:p>
    <w:p w14:paraId="538FADF2">
      <w:pPr>
        <w:pStyle w:val="36"/>
        <w:snapToGrid w:val="0"/>
        <w:spacing w:line="360" w:lineRule="auto"/>
        <w:ind w:firstLine="56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rPr>
        <w:t>15</w:t>
      </w:r>
      <w:r>
        <w:rPr>
          <w:rFonts w:hint="eastAsia" w:ascii="宋体" w:hAnsi="宋体" w:eastAsia="宋体" w:cs="宋体"/>
          <w:b/>
          <w:bCs/>
          <w:snapToGrid w:val="0"/>
          <w:color w:val="auto"/>
          <w:kern w:val="0"/>
          <w:sz w:val="24"/>
          <w:szCs w:val="24"/>
          <w:highlight w:val="none"/>
        </w:rPr>
        <w:t>.1.3</w:t>
      </w:r>
      <w:r>
        <w:rPr>
          <w:rFonts w:hint="eastAsia" w:ascii="宋体" w:hAnsi="宋体" w:eastAsia="宋体" w:cs="宋体"/>
          <w:color w:val="auto"/>
          <w:sz w:val="24"/>
          <w:szCs w:val="24"/>
          <w:highlight w:val="none"/>
        </w:rPr>
        <w:t>承包人在进场后7天内提交施工进度计划，并注明主要施工节点时间，送监理单位及发包人审核后，作为工期考核的阶段性指标。</w:t>
      </w:r>
    </w:p>
    <w:p w14:paraId="11486E20">
      <w:pPr>
        <w:pStyle w:val="36"/>
        <w:keepNext w:val="0"/>
        <w:keepLines w:val="0"/>
        <w:pageBreakBefore w:val="0"/>
        <w:widowControl/>
        <w:wordWrap w:val="0"/>
        <w:overflowPunct/>
        <w:bidi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bookmarkStart w:id="220" w:name="_Toc25518"/>
      <w:r>
        <w:rPr>
          <w:rFonts w:hint="eastAsia" w:ascii="宋体" w:hAnsi="宋体" w:eastAsia="宋体" w:cs="宋体"/>
          <w:b/>
          <w:bCs/>
          <w:color w:val="auto"/>
          <w:sz w:val="24"/>
          <w:szCs w:val="24"/>
          <w:highlight w:val="none"/>
          <w:lang w:val="en-US" w:eastAsia="zh-CN" w:bidi="ar"/>
        </w:rPr>
        <w:t xml:space="preserve">15.2 </w:t>
      </w:r>
      <w:r>
        <w:rPr>
          <w:rFonts w:hint="eastAsia" w:ascii="宋体" w:hAnsi="宋体" w:eastAsia="宋体" w:cs="宋体"/>
          <w:b w:val="0"/>
          <w:bCs w:val="0"/>
          <w:color w:val="auto"/>
          <w:sz w:val="24"/>
          <w:szCs w:val="24"/>
          <w:highlight w:val="none"/>
          <w:lang w:val="en-US" w:eastAsia="zh-CN" w:bidi="ar"/>
        </w:rPr>
        <w:t>质量违约</w:t>
      </w:r>
      <w:bookmarkEnd w:id="220"/>
    </w:p>
    <w:p w14:paraId="1D9615D2">
      <w:pPr>
        <w:keepNext w:val="0"/>
        <w:keepLines w:val="0"/>
        <w:pageBreakBefore w:val="0"/>
        <w:widowControl w:val="0"/>
        <w:kinsoku w:val="0"/>
        <w:wordWrap/>
        <w:overflowPunct/>
        <w:autoSpaceDE w:val="0"/>
        <w:autoSpaceDN w:val="0"/>
        <w:bidi w:val="0"/>
        <w:adjustRightInd w:val="0"/>
        <w:snapToGrid w:val="0"/>
        <w:spacing w:line="360" w:lineRule="auto"/>
        <w:ind w:firstLine="475" w:firstLineChars="19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材料违约处理：若发现材料不符合国家标准或发包人在技术规范中规定的标准，视为承包人违约，按现行《建设工程质量管理条例》处理。</w:t>
      </w:r>
    </w:p>
    <w:p w14:paraId="181B02AC">
      <w:pPr>
        <w:pStyle w:val="37"/>
        <w:keepNext w:val="0"/>
        <w:keepLines w:val="0"/>
        <w:pageBreakBefore w:val="0"/>
        <w:widowControl w:val="0"/>
        <w:kinsoku w:val="0"/>
        <w:wordWrap/>
        <w:overflowPunct/>
        <w:autoSpaceDE w:val="0"/>
        <w:autoSpaceDN w:val="0"/>
        <w:bidi w:val="0"/>
        <w:adjustRightInd w:val="0"/>
        <w:snapToGrid w:val="0"/>
        <w:spacing w:line="360" w:lineRule="auto"/>
        <w:ind w:firstLine="490"/>
        <w:textAlignment w:val="baseline"/>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15</w:t>
      </w:r>
      <w:r>
        <w:rPr>
          <w:rFonts w:hint="eastAsia" w:ascii="宋体" w:hAnsi="宋体" w:eastAsia="宋体" w:cs="宋体"/>
          <w:b/>
          <w:color w:val="auto"/>
          <w:sz w:val="24"/>
          <w:szCs w:val="24"/>
          <w:highlight w:val="none"/>
        </w:rPr>
        <w:t>.2.1.1</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color w:val="auto"/>
          <w:sz w:val="24"/>
          <w:szCs w:val="24"/>
          <w:highlight w:val="none"/>
        </w:rPr>
        <w:t>成品采购项目在采购前，承包人必须先行书面征求监理人、发包人的同意并一起看样定版后方能实施。未经监理人、发包人同意擅自先行采购和实施的，否则因不符合设计要求返工造成的费用由承包人承担。</w:t>
      </w:r>
    </w:p>
    <w:p w14:paraId="633665CF">
      <w:pPr>
        <w:keepNext w:val="0"/>
        <w:keepLines w:val="0"/>
        <w:pageBreakBefore w:val="0"/>
        <w:widowControl w:val="0"/>
        <w:kinsoku w:val="0"/>
        <w:wordWrap/>
        <w:overflowPunct/>
        <w:autoSpaceDE w:val="0"/>
        <w:autoSpaceDN w:val="0"/>
        <w:bidi w:val="0"/>
        <w:adjustRightInd w:val="0"/>
        <w:snapToGrid w:val="0"/>
        <w:spacing w:line="360" w:lineRule="auto"/>
        <w:ind w:firstLine="475" w:firstLineChars="19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工程质量违约：</w:t>
      </w:r>
    </w:p>
    <w:p w14:paraId="589C1495">
      <w:pPr>
        <w:keepNext w:val="0"/>
        <w:keepLines w:val="0"/>
        <w:pageBreakBefore w:val="0"/>
        <w:widowControl w:val="0"/>
        <w:kinsoku w:val="0"/>
        <w:wordWrap/>
        <w:overflowPunct/>
        <w:autoSpaceDE w:val="0"/>
        <w:autoSpaceDN w:val="0"/>
        <w:bidi w:val="0"/>
        <w:adjustRightInd w:val="0"/>
        <w:snapToGrid w:val="0"/>
        <w:spacing w:line="360" w:lineRule="auto"/>
        <w:ind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在施工过程中经监理单位日常巡查或抽检发现未达到合格标准，责令承包人进行整改，如未按规定时间进行整改或整改不到位的，每次按5000元缴纳违约金给发包人，在进度款或结算款中一并扣除。</w:t>
      </w:r>
    </w:p>
    <w:p w14:paraId="204A6E6F">
      <w:pPr>
        <w:keepNext w:val="0"/>
        <w:keepLines w:val="0"/>
        <w:pageBreakBefore w:val="0"/>
        <w:widowControl w:val="0"/>
        <w:kinsoku w:val="0"/>
        <w:wordWrap/>
        <w:overflowPunct/>
        <w:autoSpaceDE w:val="0"/>
        <w:autoSpaceDN w:val="0"/>
        <w:bidi w:val="0"/>
        <w:adjustRightInd w:val="0"/>
        <w:snapToGrid w:val="0"/>
        <w:spacing w:line="360" w:lineRule="auto"/>
        <w:ind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工程质量标准须</w:t>
      </w:r>
      <w:r>
        <w:rPr>
          <w:rFonts w:hint="eastAsia" w:ascii="宋体" w:hAnsi="宋体" w:eastAsia="宋体" w:cs="宋体"/>
          <w:color w:val="auto"/>
          <w:sz w:val="24"/>
          <w:szCs w:val="24"/>
          <w:highlight w:val="none"/>
          <w:lang w:eastAsia="zh-CN"/>
        </w:rPr>
        <w:t>达到《建筑工程施工质量验收统一标准》(GB50300-2013)和《建筑与市政工程施工质量控制通用规范》（GB55032-2022）合格</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如未达到合格标准，除无偿返工至合格外，还要按合同价款的1%向招标人支付质量违约金，工期不予顺延。</w:t>
      </w:r>
    </w:p>
    <w:p w14:paraId="7E9A0895">
      <w:pPr>
        <w:pStyle w:val="36"/>
        <w:wordWrap w:val="0"/>
        <w:adjustRightInd w:val="0"/>
        <w:snapToGrid w:val="0"/>
        <w:spacing w:line="360" w:lineRule="auto"/>
        <w:ind w:firstLine="560"/>
        <w:rPr>
          <w:rFonts w:hint="eastAsia" w:ascii="宋体" w:hAnsi="宋体" w:eastAsia="宋体" w:cs="宋体"/>
          <w:b w:val="0"/>
          <w:bCs w:val="0"/>
          <w:color w:val="auto"/>
          <w:sz w:val="24"/>
          <w:szCs w:val="24"/>
          <w:highlight w:val="none"/>
          <w:lang w:val="en-US" w:eastAsia="zh-CN" w:bidi="ar"/>
        </w:rPr>
      </w:pPr>
      <w:bookmarkStart w:id="221" w:name="_Toc6857"/>
      <w:r>
        <w:rPr>
          <w:rFonts w:hint="eastAsia" w:ascii="宋体" w:hAnsi="宋体" w:eastAsia="宋体" w:cs="宋体"/>
          <w:b/>
          <w:bCs/>
          <w:color w:val="auto"/>
          <w:sz w:val="24"/>
          <w:szCs w:val="24"/>
          <w:highlight w:val="none"/>
          <w:lang w:val="en-US" w:eastAsia="zh-CN" w:bidi="ar"/>
        </w:rPr>
        <w:t xml:space="preserve">15.3 </w:t>
      </w:r>
      <w:r>
        <w:rPr>
          <w:rFonts w:hint="eastAsia" w:ascii="宋体" w:hAnsi="宋体" w:eastAsia="宋体" w:cs="宋体"/>
          <w:b w:val="0"/>
          <w:bCs w:val="0"/>
          <w:color w:val="auto"/>
          <w:sz w:val="24"/>
          <w:szCs w:val="24"/>
          <w:highlight w:val="none"/>
          <w:lang w:val="en-US" w:eastAsia="zh-CN" w:bidi="ar"/>
        </w:rPr>
        <w:t>重大责任事故违约</w:t>
      </w:r>
      <w:bookmarkEnd w:id="221"/>
    </w:p>
    <w:p w14:paraId="2C4DF0E6">
      <w:pPr>
        <w:spacing w:line="360" w:lineRule="auto"/>
        <w:ind w:firstLine="475" w:firstLineChars="19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.3.1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承包人因违反国家安全质量法规及合同有关条款约定,出现火灾、坍塌、人员重伤、死亡等重大责任事故,则承包人应承担全部损失,并按相关法规接受行政处罚；如造成发包人及对第三人利益的损害,该等损害赔偿责任均由承包人承担。</w:t>
      </w:r>
    </w:p>
    <w:p w14:paraId="71FC9DF1">
      <w:pPr>
        <w:pStyle w:val="36"/>
        <w:wordWrap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bookmarkStart w:id="222" w:name="_Toc8249"/>
      <w:r>
        <w:rPr>
          <w:rFonts w:hint="eastAsia" w:ascii="宋体" w:hAnsi="宋体" w:eastAsia="宋体" w:cs="宋体"/>
          <w:b/>
          <w:bCs/>
          <w:color w:val="auto"/>
          <w:sz w:val="24"/>
          <w:szCs w:val="24"/>
          <w:highlight w:val="none"/>
          <w:lang w:val="en-US" w:eastAsia="zh-CN" w:bidi="ar"/>
        </w:rPr>
        <w:t xml:space="preserve">15.4 </w:t>
      </w:r>
      <w:r>
        <w:rPr>
          <w:rFonts w:hint="eastAsia" w:ascii="宋体" w:hAnsi="宋体" w:eastAsia="宋体" w:cs="宋体"/>
          <w:b w:val="0"/>
          <w:bCs w:val="0"/>
          <w:color w:val="auto"/>
          <w:sz w:val="24"/>
          <w:szCs w:val="24"/>
          <w:highlight w:val="none"/>
          <w:lang w:val="en-US" w:eastAsia="zh-CN" w:bidi="ar"/>
        </w:rPr>
        <w:t>用工违约</w:t>
      </w:r>
      <w:bookmarkEnd w:id="222"/>
    </w:p>
    <w:p w14:paraId="1FA6EAFA">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.4.1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在合同履行期间，如经查实承包人拖欠或克扣农民工或劳务工工资，导致劳资纠纷或发生危及公共安全或正常社会秩序的事件的，按承包人违约处理，按人民币10000元/次从工程进度款中扣除。承包人必须无条件确保民工工资得到及时发放，无拖欠民工工资现象，并采取发包人认为切实可行的措施确保无劳资纠纷事件发生，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违约金在下期进度款中扣除。未在下期进度款扣除或承包人在发包人处已经无款可扣的，起计逾期支付利息。发包人可以在承包人其他任何款项中扣除所垫付的工资和相应的违约金与利息。承包人对提供的资料真实性负责，如发现虚假不实情况，承包人须向发包人支付违约金20000元/次。</w:t>
      </w:r>
    </w:p>
    <w:p w14:paraId="7B54F001">
      <w:pPr>
        <w:spacing w:line="360" w:lineRule="auto"/>
        <w:ind w:firstLine="475" w:firstLineChars="197"/>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.4.2</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承包人应积极落实有关部门关于用工实名制管理工作的要求，未按规定落实农民工工资专户及实用工实名制要求，经有关部门警告或处罚的，按违约金人民币10000元/次从工程进度款中扣除。</w:t>
      </w:r>
      <w:bookmarkStart w:id="223" w:name="_Toc28116"/>
    </w:p>
    <w:p w14:paraId="7A158BB3">
      <w:pPr>
        <w:spacing w:line="360" w:lineRule="auto"/>
        <w:ind w:firstLine="475" w:firstLineChars="197"/>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15.5 </w:t>
      </w:r>
      <w:r>
        <w:rPr>
          <w:rFonts w:hint="eastAsia" w:ascii="宋体" w:hAnsi="宋体" w:eastAsia="宋体" w:cs="宋体"/>
          <w:b w:val="0"/>
          <w:bCs w:val="0"/>
          <w:color w:val="auto"/>
          <w:sz w:val="24"/>
          <w:szCs w:val="24"/>
          <w:highlight w:val="none"/>
          <w:lang w:val="en-US" w:eastAsia="zh-CN" w:bidi="ar"/>
        </w:rPr>
        <w:t>安全文明施工违约</w:t>
      </w:r>
      <w:bookmarkEnd w:id="223"/>
    </w:p>
    <w:p w14:paraId="46AC7959">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承包人应严格遵守国家、省、市有关防火、爆破和施工安全以及文明施工、深夜施工、环卫和城市管理等规定，建立规章制度和防护措施，并组织施工。</w:t>
      </w:r>
    </w:p>
    <w:p w14:paraId="729C277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.5.2</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现场施工人员存在野蛮施工行为，经现场发包人（含监理单位）管理人员确认后，承包人须按10000元/次缴纳违约金；如因野蛮施工行为，引起投诉或网络问政的，承包人须按5000元/次缴纳违约金；并承担因野蛮施工行为所造成的全部责任。</w:t>
      </w:r>
    </w:p>
    <w:p w14:paraId="12C9CB6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.5.3</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承包人必须接受发包人及监理单位组织的安全、文明施工的检查，检查中的不合格项目、安全隐患必须在规定的时间内整改完成，否则每拖延一天处以10000元人民币违约金，直至整改合格。</w:t>
      </w:r>
    </w:p>
    <w:p w14:paraId="51E817EA">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.5.4</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承包人施工现场发生工伤或其他责任事故的，承包人按下列标准缴纳违约金：</w:t>
      </w:r>
    </w:p>
    <w:p w14:paraId="0E86324F">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①一次事故或全年累计死亡3人及以上：项目部必须撤换项目经理、主管安全副经理和安全主管，一次或全年累计缴纳违约金100万元人民币；</w:t>
      </w:r>
    </w:p>
    <w:p w14:paraId="754DC732">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②一次事故或全年累计死亡2人：安全第一责任人在韶关市地区建设范围内公开检查；承包人必须撤换项目主管安全副经理或安全主管；一次或全年累计缴纳违约金60万元人民币；</w:t>
      </w:r>
    </w:p>
    <w:p w14:paraId="6C672175">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③全年死亡1人：安全第一责任人在韶关市地区建设范围内公开检查，并报其上级单位；承包人必须撤换项目安全主管；缴纳违约金30万元人民币。</w:t>
      </w:r>
    </w:p>
    <w:p w14:paraId="1A320279">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④重伤事故、造成10人及以上集体中毒住院、经济损失重大的火灾、设备及交通事故，缴纳违约金30万元人民币。</w:t>
      </w:r>
    </w:p>
    <w:p w14:paraId="23976D75">
      <w:pPr>
        <w:spacing w:line="360" w:lineRule="auto"/>
        <w:ind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⑤因施工造成的道路交通中断、通讯中断、管线漏水漏气等全部责任事故，由承包人承担责任，并缴纳违约金1万元人民币。</w:t>
      </w:r>
      <w:bookmarkStart w:id="224" w:name="_Toc4275"/>
    </w:p>
    <w:p w14:paraId="62930D9D">
      <w:pPr>
        <w:spacing w:line="360" w:lineRule="auto"/>
        <w:ind w:firstLine="475" w:firstLineChars="197"/>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15.6 </w:t>
      </w:r>
      <w:r>
        <w:rPr>
          <w:rFonts w:hint="eastAsia" w:ascii="宋体" w:hAnsi="宋体" w:eastAsia="宋体" w:cs="宋体"/>
          <w:b w:val="0"/>
          <w:bCs w:val="0"/>
          <w:color w:val="auto"/>
          <w:sz w:val="24"/>
          <w:szCs w:val="24"/>
          <w:highlight w:val="none"/>
          <w:lang w:val="en-US" w:eastAsia="zh-CN" w:bidi="ar"/>
        </w:rPr>
        <w:t>其他违约</w:t>
      </w:r>
      <w:bookmarkEnd w:id="224"/>
    </w:p>
    <w:p w14:paraId="3F885637">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安排在施工场地的主要管理人员（主要指项目经理、项目技术负责人和专职安全生产管理人员）应与承包人投标文件承诺的名单一致，并保持相对稳定。未经总监理工程师批准，上述人员不应无故不到位或被替换。如果擅自更换项目负责人或项目技术负责人，承包人每更换一人次，需支付20000元违约金给发包人，如果擅自更换主要施工管理人员，每更换一人次，承包人需支付10000元违约金给发包人。若确实无法到位或需替换，需经总监理工程师审核并报发包人批准后，承包人可安排同等资历的人员替换；考勤采用人脸识别打卡每月累计不到位次数超过10天，按5000元/人/天缴纳违约金给发包人；在日常检查及相关会议中主要管理人员不到岗，按违约金人民币1000元/人/次从工程进度款中扣除。</w:t>
      </w:r>
    </w:p>
    <w:p w14:paraId="70AAA128">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.6.2</w:t>
      </w:r>
      <w:r>
        <w:rPr>
          <w:rFonts w:hint="eastAsia" w:ascii="宋体" w:hAnsi="宋体" w:eastAsia="宋体" w:cs="宋体"/>
          <w:bCs/>
          <w:color w:val="auto"/>
          <w:sz w:val="24"/>
          <w:szCs w:val="24"/>
          <w:highlight w:val="none"/>
        </w:rPr>
        <w:t xml:space="preserve"> 承包人施工资料必须与形象进度同步，如发包人在日常检查中发现不同步的现象的，视为违约并按违约金人民币1000元/次从工程进度款中扣除。</w:t>
      </w:r>
    </w:p>
    <w:p w14:paraId="7E2B002B">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.6.3</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发包人要求承包人替换项目部中不称职人员或能力有异议，而承包人不予替换，视为承包人违约，承包人须按承包人项目部主要管理人员（主要指项目经理、项目技术负责人和专职安全生产管理人员）20000元/人次缴纳违约金给发包人。</w:t>
      </w:r>
    </w:p>
    <w:p w14:paraId="1454ACB7">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.6.4</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发包人对上述约定中的规定并不免除承包人接受国家、地方政府相关部门依法对承包人的处罚。</w:t>
      </w:r>
    </w:p>
    <w:p w14:paraId="131B29AE">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.6.5</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承包人没有正当合理的理由中途退场，可扣除承包人已递交的所有履约保证金作为违约金。</w:t>
      </w:r>
    </w:p>
    <w:p w14:paraId="18C370B0">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.6.6</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有下列情况之一的，承包人在一年内不得参与发包人的任何工程任务，并勒令从现施工的工地退场，同时按违约金人民币50000元从工程进度款中扣除：</w:t>
      </w:r>
    </w:p>
    <w:p w14:paraId="13573040">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A、路面沉降、开裂超过规范要求并造成不良社会影响的；</w:t>
      </w:r>
    </w:p>
    <w:p w14:paraId="2D6F4834">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B、发生重大责任安全事故的；</w:t>
      </w:r>
    </w:p>
    <w:p w14:paraId="3C314A72">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C、不能在合同规定的期限内竣工的；</w:t>
      </w:r>
    </w:p>
    <w:p w14:paraId="6C9E5A92">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D、承包人所承担的施工任务在施工期间，由于工程质量或工程进度原因，监理单位发出10个以上﹙含10个﹚停工令的；</w:t>
      </w:r>
    </w:p>
    <w:p w14:paraId="571A4F11">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E、质量监督部门在抽检时发出5个以上（含5个）由于工程质量原因通报的；</w:t>
      </w:r>
    </w:p>
    <w:p w14:paraId="3C08B80A">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F、业主组织的质量大检查发现由于工程质量原因而通报二次以上（含二次）的；</w:t>
      </w:r>
    </w:p>
    <w:p w14:paraId="300ADEC7">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.6.7</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必须严格塔吊、起重机等机械设备及货梯、提升机等机电设备的安装、拆卸和使用运行管理。必须落实持证上岗、专人操作、专人检查，严格落实每天操作前和操作后的检查，检查发现未落实相关措施和规定的，按违约金人民币2000元/次从工程进度款中扣除。</w:t>
      </w:r>
    </w:p>
    <w:p w14:paraId="0F1810E3">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.6.8</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承包人应加强生活用电管理，检查发现私拉乱接电线的，承包人须按人民币500元/次缴纳违约金给发包人。</w:t>
      </w:r>
    </w:p>
    <w:p w14:paraId="168FAA31">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.6.9</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承包人应加强建设范围内因雨季造成临时积水部位的管理，防止发生淹亡、溺亡事故，若因措施不严造成的后果全部由承包人承担。</w:t>
      </w:r>
    </w:p>
    <w:p w14:paraId="67A9EE07">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.6.10</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国家发生疫情或其他重大风险期间，承包人不执行有关部门关于特殊时期管控规定、不落实相关措施的，承包人须按人民币1000元/人/次缴纳违约金给发包人。</w:t>
      </w:r>
    </w:p>
    <w:p w14:paraId="6F9DB328">
      <w:pPr>
        <w:spacing w:line="360" w:lineRule="auto"/>
        <w:ind w:firstLine="352" w:firstLineChars="14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承包人因上述违约行为而须缴纳的违约金在工程进度款中或结算时一并扣除。</w:t>
      </w:r>
    </w:p>
    <w:p w14:paraId="4D4FD0C2">
      <w:pPr>
        <w:pStyle w:val="7"/>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lang w:eastAsia="zh-CN"/>
        </w:rPr>
        <w:t>.7</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lang w:eastAsia="zh-CN"/>
        </w:rPr>
        <w:t>专业工程发包：</w:t>
      </w:r>
      <w:r>
        <w:rPr>
          <w:rFonts w:hint="eastAsia" w:ascii="宋体" w:hAnsi="宋体" w:eastAsia="宋体" w:cs="宋体"/>
          <w:bCs/>
          <w:color w:val="auto"/>
          <w:sz w:val="24"/>
          <w:szCs w:val="24"/>
          <w:highlight w:val="none"/>
        </w:rPr>
        <w:t>合同范围内的工程未经发包人同意一律不得发包，一经发现，取消承包人的承包资格，由此引起的一切经济损失和法律责任由承包人自行承担。若有专业工程必须发包的，发包人不另行支付总包服务费；其发包合同由承包人与对方签订，发包人不参与承包人与对方之间的结算，该部分工程的造价仍按承包人与发包人签订的合同的有关条款进行结算。注：本项目包含电力部分及电力附属部分内容，应由执有电力相关专业资质的单位承接，若达到必须招标规模标准的，由中标人招标，招标人参与管理，确定电力专业工程承包人和合同价格。</w:t>
      </w:r>
      <w:bookmarkStart w:id="225" w:name="_Toc21685"/>
    </w:p>
    <w:p w14:paraId="4678F62D">
      <w:pPr>
        <w:pStyle w:val="7"/>
        <w:spacing w:line="360" w:lineRule="auto"/>
        <w:ind w:firstLine="482" w:firstLineChars="200"/>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15.8  </w:t>
      </w:r>
      <w:r>
        <w:rPr>
          <w:rFonts w:hint="eastAsia" w:ascii="宋体" w:hAnsi="宋体" w:eastAsia="宋体" w:cs="宋体"/>
          <w:b w:val="0"/>
          <w:bCs w:val="0"/>
          <w:color w:val="auto"/>
          <w:sz w:val="24"/>
          <w:szCs w:val="24"/>
          <w:highlight w:val="none"/>
          <w:lang w:val="en-US" w:eastAsia="zh-CN" w:bidi="ar"/>
        </w:rPr>
        <w:t>质量保证</w:t>
      </w:r>
      <w:bookmarkEnd w:id="225"/>
    </w:p>
    <w:p w14:paraId="73C841B6">
      <w:pPr>
        <w:wordWrap w:val="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.8.1</w:t>
      </w:r>
      <w:r>
        <w:rPr>
          <w:rFonts w:hint="eastAsia" w:ascii="宋体" w:hAnsi="宋体" w:eastAsia="宋体" w:cs="宋体"/>
          <w:color w:val="auto"/>
          <w:sz w:val="24"/>
          <w:szCs w:val="24"/>
          <w:highlight w:val="none"/>
          <w:lang w:eastAsia="zh-CN"/>
        </w:rPr>
        <w:t xml:space="preserve"> 本招标项目缺陷责任期为</w:t>
      </w:r>
      <w:r>
        <w:rPr>
          <w:rFonts w:hint="eastAsia" w:ascii="宋体" w:hAnsi="宋体" w:eastAsia="宋体" w:cs="宋体"/>
          <w:color w:val="auto"/>
          <w:sz w:val="24"/>
          <w:szCs w:val="24"/>
          <w:highlight w:val="none"/>
          <w:u w:val="single"/>
          <w:lang w:val="en-US" w:eastAsia="zh-CN"/>
        </w:rPr>
        <w:t xml:space="preserve"> 2 </w:t>
      </w:r>
      <w:r>
        <w:rPr>
          <w:rFonts w:hint="eastAsia" w:ascii="宋体" w:hAnsi="宋体" w:eastAsia="宋体" w:cs="宋体"/>
          <w:color w:val="auto"/>
          <w:sz w:val="24"/>
          <w:szCs w:val="24"/>
          <w:highlight w:val="none"/>
          <w:lang w:eastAsia="zh-CN"/>
        </w:rPr>
        <w:t>年（自通过竣工验收之日起计），在此期间预留金额为结算价 3%的质量保证。</w:t>
      </w:r>
    </w:p>
    <w:p w14:paraId="4136F31C">
      <w:pPr>
        <w:wordWrap w:val="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.8.2</w:t>
      </w:r>
      <w:r>
        <w:rPr>
          <w:rFonts w:hint="eastAsia" w:ascii="宋体" w:hAnsi="宋体" w:eastAsia="宋体" w:cs="宋体"/>
          <w:color w:val="auto"/>
          <w:sz w:val="24"/>
          <w:szCs w:val="24"/>
          <w:highlight w:val="none"/>
          <w:lang w:eastAsia="zh-CN"/>
        </w:rPr>
        <w:t xml:space="preserve"> 质量保证的形式包括质量保证金、质量保证担保、质量保证保险三种，由承包人自主选择。（1）采用质量保证金形式的，在结清审定总造价时一次性扣留相应金额作为质量保证金。（2）采用质量保证担保或质量保证保险的，承包人应在竣工验收时向发包人提交有效的商业保函、银行保函或保险合同（或保险单）原件，商业保函、银行保函或保险合同（或保险单）的有效期不得短于缺陷责任期。</w:t>
      </w:r>
    </w:p>
    <w:p w14:paraId="365BFA4C">
      <w:pPr>
        <w:wordWrap w:val="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 xml:space="preserve">.8.3 </w:t>
      </w:r>
      <w:r>
        <w:rPr>
          <w:rFonts w:hint="eastAsia" w:ascii="宋体" w:hAnsi="宋体" w:eastAsia="宋体" w:cs="宋体"/>
          <w:color w:val="auto"/>
          <w:sz w:val="24"/>
          <w:szCs w:val="24"/>
          <w:highlight w:val="none"/>
          <w:lang w:eastAsia="zh-CN"/>
        </w:rPr>
        <w:t>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由他人原因造成的缺陷，发包人负责组织维修，承包人不承担费用，且发包人不得从质量保证中扣除费用。</w:t>
      </w:r>
    </w:p>
    <w:p w14:paraId="354BEC50">
      <w:pPr>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 xml:space="preserve">.8.4 </w:t>
      </w:r>
      <w:r>
        <w:rPr>
          <w:rFonts w:hint="eastAsia" w:ascii="宋体" w:hAnsi="宋体" w:eastAsia="宋体" w:cs="宋体"/>
          <w:color w:val="auto"/>
          <w:sz w:val="24"/>
          <w:szCs w:val="24"/>
          <w:highlight w:val="none"/>
          <w:lang w:eastAsia="zh-CN"/>
        </w:rPr>
        <w:t>缺陷责任期内，承包人应认真履行合同约定的责任。缺陷责任期到期后，承包人向发包人申请退还质量保证，发包人应按照《建设工程质量保证金管理办法》有关规定将质量保证退还给承包人。</w:t>
      </w:r>
    </w:p>
    <w:p w14:paraId="56A03A06">
      <w:pPr>
        <w:spacing w:line="360" w:lineRule="auto"/>
        <w:ind w:firstLine="480" w:firstLineChars="200"/>
        <w:rPr>
          <w:rFonts w:hint="eastAsia" w:ascii="宋体" w:hAnsi="宋体" w:eastAsia="宋体" w:cs="宋体"/>
          <w:color w:val="auto"/>
          <w:sz w:val="24"/>
          <w:szCs w:val="24"/>
          <w:highlight w:val="none"/>
          <w:lang w:eastAsia="zh-CN"/>
        </w:rPr>
      </w:pPr>
    </w:p>
    <w:p w14:paraId="0F9B2EB7">
      <w:pPr>
        <w:spacing w:line="360" w:lineRule="auto"/>
        <w:ind w:firstLine="480" w:firstLineChars="200"/>
        <w:rPr>
          <w:rFonts w:hint="eastAsia" w:ascii="宋体" w:hAnsi="宋体" w:eastAsia="宋体" w:cs="宋体"/>
          <w:color w:val="auto"/>
          <w:sz w:val="24"/>
          <w:szCs w:val="24"/>
          <w:highlight w:val="none"/>
          <w:lang w:eastAsia="zh-CN"/>
        </w:rPr>
      </w:pPr>
    </w:p>
    <w:p w14:paraId="5B57DCB1">
      <w:pPr>
        <w:spacing w:line="360" w:lineRule="auto"/>
        <w:ind w:firstLine="480" w:firstLineChars="200"/>
        <w:rPr>
          <w:rFonts w:hint="eastAsia" w:ascii="宋体" w:hAnsi="宋体" w:eastAsia="宋体" w:cs="宋体"/>
          <w:color w:val="auto"/>
          <w:sz w:val="24"/>
          <w:szCs w:val="24"/>
          <w:highlight w:val="none"/>
          <w:lang w:eastAsia="zh-CN"/>
        </w:rPr>
      </w:pPr>
    </w:p>
    <w:p w14:paraId="7604307F">
      <w:pPr>
        <w:spacing w:line="360" w:lineRule="auto"/>
        <w:ind w:firstLine="480" w:firstLineChars="200"/>
        <w:rPr>
          <w:rFonts w:hint="eastAsia" w:ascii="宋体" w:hAnsi="宋体" w:eastAsia="宋体" w:cs="宋体"/>
          <w:color w:val="auto"/>
          <w:sz w:val="24"/>
          <w:szCs w:val="24"/>
          <w:highlight w:val="none"/>
          <w:lang w:eastAsia="zh-CN"/>
        </w:rPr>
      </w:pPr>
    </w:p>
    <w:p w14:paraId="016D3BA5">
      <w:pPr>
        <w:spacing w:line="360" w:lineRule="auto"/>
        <w:ind w:firstLine="480" w:firstLineChars="200"/>
        <w:rPr>
          <w:rFonts w:hint="eastAsia" w:ascii="宋体" w:hAnsi="宋体" w:eastAsia="宋体" w:cs="宋体"/>
          <w:color w:val="auto"/>
          <w:sz w:val="24"/>
          <w:szCs w:val="24"/>
          <w:highlight w:val="none"/>
          <w:lang w:eastAsia="zh-CN"/>
        </w:rPr>
      </w:pPr>
    </w:p>
    <w:p w14:paraId="7FFAA869">
      <w:pPr>
        <w:spacing w:line="360" w:lineRule="auto"/>
        <w:ind w:firstLine="480" w:firstLineChars="200"/>
        <w:rPr>
          <w:rFonts w:hint="eastAsia" w:ascii="宋体" w:hAnsi="宋体" w:eastAsia="宋体" w:cs="宋体"/>
          <w:color w:val="auto"/>
          <w:sz w:val="24"/>
          <w:szCs w:val="24"/>
          <w:highlight w:val="none"/>
          <w:lang w:eastAsia="zh-CN"/>
        </w:rPr>
      </w:pPr>
    </w:p>
    <w:p w14:paraId="5698301C">
      <w:pPr>
        <w:spacing w:line="360" w:lineRule="auto"/>
        <w:ind w:firstLine="480" w:firstLineChars="200"/>
        <w:rPr>
          <w:rFonts w:hint="eastAsia" w:ascii="宋体" w:hAnsi="宋体" w:eastAsia="宋体" w:cs="宋体"/>
          <w:color w:val="auto"/>
          <w:sz w:val="24"/>
          <w:szCs w:val="24"/>
          <w:highlight w:val="none"/>
          <w:lang w:eastAsia="zh-CN"/>
        </w:rPr>
      </w:pPr>
    </w:p>
    <w:p w14:paraId="76D92239">
      <w:pPr>
        <w:spacing w:line="360" w:lineRule="auto"/>
        <w:ind w:firstLine="480" w:firstLineChars="200"/>
        <w:rPr>
          <w:rFonts w:hint="eastAsia" w:ascii="宋体" w:hAnsi="宋体" w:eastAsia="宋体" w:cs="宋体"/>
          <w:color w:val="auto"/>
          <w:sz w:val="24"/>
          <w:szCs w:val="24"/>
          <w:highlight w:val="none"/>
          <w:lang w:eastAsia="zh-CN"/>
        </w:rPr>
      </w:pPr>
    </w:p>
    <w:p w14:paraId="606B3126">
      <w:pPr>
        <w:spacing w:line="360" w:lineRule="auto"/>
        <w:ind w:firstLine="480" w:firstLineChars="200"/>
        <w:rPr>
          <w:rFonts w:hint="eastAsia" w:ascii="宋体" w:hAnsi="宋体" w:eastAsia="宋体" w:cs="宋体"/>
          <w:color w:val="auto"/>
          <w:sz w:val="24"/>
          <w:szCs w:val="24"/>
          <w:highlight w:val="none"/>
          <w:lang w:eastAsia="zh-CN"/>
        </w:rPr>
      </w:pPr>
    </w:p>
    <w:p w14:paraId="38FF5BE1">
      <w:pPr>
        <w:spacing w:line="360" w:lineRule="auto"/>
        <w:ind w:firstLine="480" w:firstLineChars="200"/>
        <w:rPr>
          <w:rFonts w:hint="eastAsia" w:ascii="宋体" w:hAnsi="宋体" w:eastAsia="宋体" w:cs="宋体"/>
          <w:color w:val="auto"/>
          <w:sz w:val="24"/>
          <w:szCs w:val="24"/>
          <w:highlight w:val="none"/>
          <w:lang w:eastAsia="zh-CN"/>
        </w:rPr>
      </w:pPr>
    </w:p>
    <w:p w14:paraId="41B3DFD3">
      <w:pPr>
        <w:spacing w:line="360" w:lineRule="auto"/>
        <w:ind w:firstLine="480" w:firstLineChars="200"/>
        <w:rPr>
          <w:rFonts w:hint="eastAsia" w:ascii="宋体" w:hAnsi="宋体" w:eastAsia="宋体" w:cs="宋体"/>
          <w:color w:val="auto"/>
          <w:sz w:val="24"/>
          <w:szCs w:val="24"/>
          <w:highlight w:val="none"/>
          <w:lang w:eastAsia="zh-CN"/>
        </w:rPr>
      </w:pPr>
    </w:p>
    <w:p w14:paraId="7E6A5CEF">
      <w:pPr>
        <w:spacing w:line="360" w:lineRule="auto"/>
        <w:ind w:firstLine="480" w:firstLineChars="200"/>
        <w:rPr>
          <w:rFonts w:hint="eastAsia" w:ascii="宋体" w:hAnsi="宋体" w:eastAsia="宋体" w:cs="宋体"/>
          <w:color w:val="auto"/>
          <w:sz w:val="24"/>
          <w:szCs w:val="24"/>
          <w:highlight w:val="none"/>
          <w:lang w:eastAsia="zh-CN"/>
        </w:rPr>
      </w:pPr>
    </w:p>
    <w:p w14:paraId="235CDC6A">
      <w:pPr>
        <w:spacing w:line="360" w:lineRule="auto"/>
        <w:ind w:firstLine="480" w:firstLineChars="200"/>
        <w:rPr>
          <w:rFonts w:hint="eastAsia" w:ascii="宋体" w:hAnsi="宋体" w:eastAsia="宋体" w:cs="宋体"/>
          <w:color w:val="auto"/>
          <w:sz w:val="24"/>
          <w:szCs w:val="24"/>
          <w:highlight w:val="none"/>
          <w:lang w:eastAsia="zh-CN"/>
        </w:rPr>
      </w:pPr>
    </w:p>
    <w:p w14:paraId="06DCCBCB">
      <w:pPr>
        <w:spacing w:line="360" w:lineRule="auto"/>
        <w:ind w:firstLine="480" w:firstLineChars="200"/>
        <w:rPr>
          <w:rFonts w:hint="eastAsia" w:ascii="宋体" w:hAnsi="宋体" w:eastAsia="宋体" w:cs="宋体"/>
          <w:color w:val="auto"/>
          <w:sz w:val="24"/>
          <w:szCs w:val="24"/>
          <w:highlight w:val="none"/>
          <w:lang w:eastAsia="zh-CN"/>
        </w:rPr>
      </w:pPr>
    </w:p>
    <w:p w14:paraId="5BC91E32">
      <w:pPr>
        <w:spacing w:line="360" w:lineRule="auto"/>
        <w:ind w:firstLine="480" w:firstLineChars="200"/>
        <w:rPr>
          <w:rFonts w:hint="eastAsia" w:ascii="宋体" w:hAnsi="宋体" w:eastAsia="宋体" w:cs="宋体"/>
          <w:color w:val="auto"/>
          <w:sz w:val="24"/>
          <w:szCs w:val="24"/>
          <w:highlight w:val="none"/>
          <w:lang w:eastAsia="zh-CN"/>
        </w:rPr>
      </w:pPr>
    </w:p>
    <w:p w14:paraId="254F12FE">
      <w:pPr>
        <w:spacing w:line="360" w:lineRule="auto"/>
        <w:ind w:firstLine="480" w:firstLineChars="200"/>
        <w:rPr>
          <w:rFonts w:hint="eastAsia" w:ascii="宋体" w:hAnsi="宋体" w:eastAsia="宋体" w:cs="宋体"/>
          <w:color w:val="auto"/>
          <w:sz w:val="24"/>
          <w:szCs w:val="24"/>
          <w:highlight w:val="none"/>
          <w:lang w:eastAsia="zh-CN"/>
        </w:rPr>
      </w:pPr>
    </w:p>
    <w:p w14:paraId="3E6983AC">
      <w:pPr>
        <w:spacing w:line="360" w:lineRule="auto"/>
        <w:ind w:firstLine="480" w:firstLineChars="200"/>
        <w:rPr>
          <w:rFonts w:hint="eastAsia" w:ascii="宋体" w:hAnsi="宋体" w:eastAsia="宋体" w:cs="宋体"/>
          <w:color w:val="auto"/>
          <w:sz w:val="24"/>
          <w:szCs w:val="24"/>
          <w:highlight w:val="none"/>
          <w:lang w:eastAsia="zh-CN"/>
        </w:rPr>
      </w:pPr>
    </w:p>
    <w:p w14:paraId="664322AA">
      <w:pPr>
        <w:spacing w:line="360" w:lineRule="auto"/>
        <w:ind w:firstLine="480" w:firstLineChars="200"/>
        <w:rPr>
          <w:rFonts w:hint="eastAsia" w:ascii="宋体" w:hAnsi="宋体" w:eastAsia="宋体" w:cs="宋体"/>
          <w:color w:val="auto"/>
          <w:sz w:val="24"/>
          <w:szCs w:val="24"/>
          <w:highlight w:val="none"/>
          <w:lang w:eastAsia="zh-CN"/>
        </w:rPr>
      </w:pPr>
    </w:p>
    <w:p w14:paraId="50F145BE">
      <w:pPr>
        <w:spacing w:line="360" w:lineRule="auto"/>
        <w:ind w:firstLine="480" w:firstLineChars="200"/>
        <w:rPr>
          <w:rFonts w:hint="eastAsia" w:ascii="宋体" w:hAnsi="宋体" w:eastAsia="宋体" w:cs="宋体"/>
          <w:color w:val="auto"/>
          <w:sz w:val="24"/>
          <w:szCs w:val="24"/>
          <w:highlight w:val="none"/>
          <w:lang w:eastAsia="zh-CN"/>
        </w:rPr>
      </w:pPr>
    </w:p>
    <w:p w14:paraId="4D9B0381">
      <w:pPr>
        <w:spacing w:line="360" w:lineRule="auto"/>
        <w:ind w:firstLine="480" w:firstLineChars="200"/>
        <w:rPr>
          <w:rFonts w:hint="eastAsia" w:ascii="宋体" w:hAnsi="宋体" w:eastAsia="宋体" w:cs="宋体"/>
          <w:color w:val="auto"/>
          <w:sz w:val="24"/>
          <w:szCs w:val="24"/>
          <w:highlight w:val="none"/>
          <w:lang w:eastAsia="zh-CN"/>
        </w:rPr>
      </w:pPr>
    </w:p>
    <w:p w14:paraId="68FDB2A8">
      <w:pPr>
        <w:spacing w:line="360" w:lineRule="auto"/>
        <w:ind w:firstLine="480" w:firstLineChars="200"/>
        <w:rPr>
          <w:rFonts w:hint="eastAsia" w:ascii="宋体" w:hAnsi="宋体" w:eastAsia="宋体" w:cs="宋体"/>
          <w:color w:val="auto"/>
          <w:sz w:val="24"/>
          <w:szCs w:val="24"/>
          <w:highlight w:val="none"/>
          <w:lang w:eastAsia="zh-CN"/>
        </w:rPr>
      </w:pPr>
    </w:p>
    <w:p w14:paraId="2898C678">
      <w:pPr>
        <w:spacing w:line="360" w:lineRule="auto"/>
        <w:ind w:firstLine="480" w:firstLineChars="200"/>
        <w:rPr>
          <w:rFonts w:hint="eastAsia" w:ascii="宋体" w:hAnsi="宋体" w:eastAsia="宋体" w:cs="宋体"/>
          <w:color w:val="auto"/>
          <w:sz w:val="24"/>
          <w:szCs w:val="24"/>
          <w:highlight w:val="none"/>
          <w:lang w:eastAsia="zh-CN"/>
        </w:rPr>
      </w:pPr>
    </w:p>
    <w:p w14:paraId="0FF7667E">
      <w:pPr>
        <w:spacing w:line="360" w:lineRule="auto"/>
        <w:ind w:firstLine="480" w:firstLineChars="200"/>
        <w:rPr>
          <w:rFonts w:hint="eastAsia" w:ascii="宋体" w:hAnsi="宋体" w:eastAsia="宋体" w:cs="宋体"/>
          <w:color w:val="auto"/>
          <w:sz w:val="24"/>
          <w:szCs w:val="24"/>
          <w:highlight w:val="none"/>
          <w:lang w:eastAsia="zh-CN"/>
        </w:rPr>
      </w:pPr>
    </w:p>
    <w:p w14:paraId="14D4DD06">
      <w:pPr>
        <w:spacing w:line="360" w:lineRule="auto"/>
        <w:ind w:firstLine="480" w:firstLineChars="200"/>
        <w:rPr>
          <w:rFonts w:hint="eastAsia" w:ascii="宋体" w:hAnsi="宋体" w:eastAsia="宋体" w:cs="宋体"/>
          <w:color w:val="auto"/>
          <w:sz w:val="24"/>
          <w:szCs w:val="24"/>
          <w:highlight w:val="none"/>
          <w:lang w:eastAsia="zh-CN"/>
        </w:rPr>
      </w:pPr>
    </w:p>
    <w:p w14:paraId="4323E36F">
      <w:pPr>
        <w:spacing w:line="360" w:lineRule="auto"/>
        <w:ind w:firstLine="480" w:firstLineChars="200"/>
        <w:rPr>
          <w:rFonts w:hint="eastAsia" w:ascii="宋体" w:hAnsi="宋体" w:eastAsia="宋体" w:cs="宋体"/>
          <w:color w:val="auto"/>
          <w:sz w:val="24"/>
          <w:szCs w:val="24"/>
          <w:highlight w:val="none"/>
          <w:lang w:eastAsia="zh-CN"/>
        </w:rPr>
      </w:pPr>
    </w:p>
    <w:p w14:paraId="163BDC48">
      <w:pPr>
        <w:spacing w:line="360" w:lineRule="auto"/>
        <w:ind w:firstLine="480" w:firstLineChars="200"/>
        <w:rPr>
          <w:rFonts w:hint="eastAsia" w:ascii="宋体" w:hAnsi="宋体" w:eastAsia="宋体" w:cs="宋体"/>
          <w:color w:val="auto"/>
          <w:sz w:val="24"/>
          <w:szCs w:val="24"/>
          <w:highlight w:val="none"/>
          <w:lang w:eastAsia="zh-CN"/>
        </w:rPr>
      </w:pPr>
    </w:p>
    <w:p w14:paraId="65AD97CC">
      <w:pPr>
        <w:spacing w:line="360" w:lineRule="auto"/>
        <w:ind w:firstLine="480" w:firstLineChars="200"/>
        <w:rPr>
          <w:rFonts w:hint="eastAsia" w:ascii="宋体" w:hAnsi="宋体" w:eastAsia="宋体" w:cs="宋体"/>
          <w:color w:val="auto"/>
          <w:sz w:val="24"/>
          <w:szCs w:val="24"/>
          <w:highlight w:val="none"/>
          <w:lang w:eastAsia="zh-CN"/>
        </w:rPr>
      </w:pPr>
    </w:p>
    <w:p w14:paraId="58D94BAD">
      <w:pPr>
        <w:rPr>
          <w:rFonts w:hint="eastAsia" w:ascii="宋体" w:hAnsi="宋体" w:eastAsia="宋体" w:cs="宋体"/>
          <w:lang w:val="en-US" w:eastAsia="zh-CN"/>
        </w:rPr>
      </w:pPr>
    </w:p>
    <w:p w14:paraId="7FCFD948">
      <w:pPr>
        <w:rPr>
          <w:rFonts w:hint="eastAsia" w:ascii="宋体" w:hAnsi="宋体" w:eastAsia="宋体" w:cs="宋体"/>
          <w:lang w:val="en-US" w:eastAsia="zh-CN"/>
        </w:rPr>
      </w:pPr>
    </w:p>
    <w:p w14:paraId="53B52D89">
      <w:pPr>
        <w:pStyle w:val="3"/>
        <w:tabs>
          <w:tab w:val="left" w:pos="885"/>
        </w:tabs>
        <w:wordWrap w:val="0"/>
        <w:autoSpaceDE/>
        <w:autoSpaceDN/>
        <w:snapToGrid w:val="0"/>
        <w:spacing w:line="360" w:lineRule="auto"/>
        <w:ind w:left="885" w:hanging="885"/>
        <w:jc w:val="center"/>
        <w:rPr>
          <w:rFonts w:hint="eastAsia" w:ascii="宋体" w:hAnsi="宋体" w:eastAsia="宋体" w:cs="宋体"/>
          <w:b/>
          <w:snapToGrid w:val="0"/>
          <w:color w:val="auto"/>
          <w:kern w:val="0"/>
          <w:highlight w:val="none"/>
        </w:rPr>
      </w:pPr>
      <w:bookmarkStart w:id="226" w:name="_Toc10521"/>
      <w:bookmarkStart w:id="227" w:name="_Toc20941"/>
      <w:r>
        <w:rPr>
          <w:rFonts w:hint="eastAsia" w:ascii="宋体" w:hAnsi="宋体" w:eastAsia="宋体" w:cs="宋体"/>
          <w:b/>
          <w:snapToGrid w:val="0"/>
          <w:color w:val="auto"/>
          <w:sz w:val="24"/>
          <w:highlight w:val="none"/>
        </w:rPr>
        <w:t>第四章</w:t>
      </w:r>
      <w:bookmarkStart w:id="228" w:name="_Hlt87793853"/>
      <w:bookmarkEnd w:id="228"/>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技术要求</w:t>
      </w:r>
      <w:bookmarkEnd w:id="226"/>
      <w:bookmarkEnd w:id="227"/>
      <w:bookmarkStart w:id="229" w:name="_Hlt69265216"/>
      <w:bookmarkEnd w:id="229"/>
      <w:bookmarkStart w:id="230" w:name="_Hlt68774758"/>
      <w:bookmarkEnd w:id="230"/>
      <w:bookmarkStart w:id="231" w:name="_Hlt75685840"/>
      <w:bookmarkEnd w:id="231"/>
      <w:bookmarkStart w:id="232" w:name="_Hlt80411122"/>
      <w:bookmarkEnd w:id="232"/>
      <w:bookmarkStart w:id="233" w:name="_Hlt66104926"/>
      <w:bookmarkEnd w:id="233"/>
      <w:bookmarkStart w:id="234" w:name="_Hlt69357851"/>
      <w:bookmarkEnd w:id="234"/>
      <w:bookmarkStart w:id="235" w:name="_Hlt87793370"/>
      <w:bookmarkEnd w:id="235"/>
      <w:bookmarkStart w:id="236" w:name="_Hlt69358207"/>
      <w:bookmarkEnd w:id="236"/>
      <w:bookmarkStart w:id="237" w:name="_Hlt69116854"/>
      <w:bookmarkEnd w:id="237"/>
      <w:bookmarkStart w:id="238" w:name="_Hlt87793346"/>
      <w:bookmarkEnd w:id="238"/>
      <w:bookmarkStart w:id="239" w:name="_Hlt69359335"/>
      <w:bookmarkEnd w:id="239"/>
    </w:p>
    <w:p w14:paraId="734D1832">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40" w:name="_Toc27517"/>
      <w:bookmarkStart w:id="241" w:name="_Toc17047"/>
      <w:r>
        <w:rPr>
          <w:rFonts w:hint="eastAsia" w:ascii="宋体" w:hAnsi="宋体" w:eastAsia="宋体" w:cs="宋体"/>
          <w:b/>
          <w:bCs/>
          <w:color w:val="auto"/>
          <w:spacing w:val="-11"/>
          <w:sz w:val="24"/>
          <w:szCs w:val="24"/>
          <w:highlight w:val="none"/>
          <w:lang w:val="en-US" w:eastAsia="zh-CN"/>
        </w:rPr>
        <w:t>1.房屋建筑工程建设项目</w:t>
      </w:r>
      <w:bookmarkEnd w:id="240"/>
      <w:bookmarkEnd w:id="241"/>
    </w:p>
    <w:p w14:paraId="218F8398">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bookmarkStart w:id="242" w:name="_Hlt69358458"/>
      <w:bookmarkEnd w:id="242"/>
      <w:bookmarkStart w:id="243" w:name="_Hlt69116858"/>
      <w:bookmarkEnd w:id="243"/>
      <w:bookmarkStart w:id="244" w:name="_Hlt69359086"/>
      <w:bookmarkEnd w:id="244"/>
      <w:bookmarkStart w:id="245" w:name="_Hlt69359245"/>
      <w:bookmarkEnd w:id="245"/>
      <w:bookmarkStart w:id="246" w:name="_Hlt78709799"/>
      <w:bookmarkEnd w:id="246"/>
      <w:bookmarkStart w:id="247" w:name="_Hlt69635252"/>
      <w:bookmarkEnd w:id="247"/>
      <w:bookmarkStart w:id="248" w:name="_Hlt69359243"/>
      <w:bookmarkEnd w:id="248"/>
      <w:r>
        <w:rPr>
          <w:rFonts w:hint="eastAsia" w:ascii="宋体" w:hAnsi="宋体" w:eastAsia="宋体" w:cs="宋体"/>
          <w:bCs/>
          <w:snapToGrid w:val="0"/>
          <w:color w:val="auto"/>
          <w:kern w:val="0"/>
          <w:sz w:val="24"/>
          <w:szCs w:val="24"/>
          <w:highlight w:val="none"/>
        </w:rPr>
        <w:t>房屋建筑工程建设项目必须执行的现行技术规范，包括且不限于：</w:t>
      </w:r>
    </w:p>
    <w:p w14:paraId="4E5A4EB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（1）《建筑工程施工质量验收统一标准》；</w:t>
      </w:r>
    </w:p>
    <w:p w14:paraId="51C3229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（2）《建筑地基基础工程施工质量验收规范》；</w:t>
      </w:r>
    </w:p>
    <w:p w14:paraId="35B95C0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（3）《砌体工程施工质量验收规范》；</w:t>
      </w:r>
    </w:p>
    <w:p w14:paraId="43D0081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（4）《混凝土结构工程施工质量验收规范》；</w:t>
      </w:r>
    </w:p>
    <w:p w14:paraId="6C4C169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（5）《屋面工程质量验收规范》；</w:t>
      </w:r>
    </w:p>
    <w:p w14:paraId="6612E9C8">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（6）《地下防水工程质量验收规范》；</w:t>
      </w:r>
    </w:p>
    <w:p w14:paraId="070A69D2">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（7）《建筑地面工程施工质量验收规范》；</w:t>
      </w:r>
    </w:p>
    <w:p w14:paraId="18D7882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（8）《建筑装饰装修工程施工质量验收规范》；</w:t>
      </w:r>
    </w:p>
    <w:p w14:paraId="5AA4B15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（9）《建筑给排水及采暖工程施工质量验收规范》；</w:t>
      </w:r>
    </w:p>
    <w:p w14:paraId="2A65A6B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（10）《建筑电气工程施工质量验收规范》；</w:t>
      </w:r>
    </w:p>
    <w:p w14:paraId="6DBB2AD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（11）《住建部绿色建筑评价标准》；</w:t>
      </w:r>
    </w:p>
    <w:p w14:paraId="3DA12AF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（12）《建筑节能与可再生能源利用通用规范》（GB55015-2021）；</w:t>
      </w:r>
    </w:p>
    <w:p w14:paraId="398E5EF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9" w:name="_Toc2709"/>
      <w:r>
        <w:rPr>
          <w:rFonts w:hint="eastAsia" w:ascii="宋体" w:hAnsi="宋体" w:eastAsia="宋体" w:cs="宋体"/>
          <w:bCs/>
          <w:snapToGrid w:val="0"/>
          <w:color w:val="auto"/>
          <w:kern w:val="0"/>
          <w:sz w:val="24"/>
          <w:szCs w:val="24"/>
          <w:highlight w:val="none"/>
          <w:lang w:val="en-US" w:eastAsia="zh-CN"/>
        </w:rPr>
        <w:t>（13）《建筑环境通用规范》；</w:t>
      </w:r>
      <w:bookmarkEnd w:id="249"/>
    </w:p>
    <w:p w14:paraId="031802A8">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（14）《建筑与市政工程无障碍通用规范》 GB 55019-2021；</w:t>
      </w:r>
    </w:p>
    <w:p w14:paraId="3D94675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0" w:name="_Toc11217"/>
      <w:r>
        <w:rPr>
          <w:rFonts w:hint="eastAsia" w:ascii="宋体" w:hAnsi="宋体" w:eastAsia="宋体" w:cs="宋体"/>
          <w:bCs/>
          <w:snapToGrid w:val="0"/>
          <w:color w:val="auto"/>
          <w:kern w:val="0"/>
          <w:sz w:val="24"/>
          <w:szCs w:val="24"/>
          <w:highlight w:val="none"/>
          <w:lang w:val="en-US" w:eastAsia="zh-CN"/>
        </w:rPr>
        <w:t>（15）《建筑防火通用规范》GB 55037-2022；</w:t>
      </w:r>
      <w:bookmarkEnd w:id="250"/>
    </w:p>
    <w:p w14:paraId="2947DFF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（16）《建筑与市政工程抗震通用规范》GB55002-2001；</w:t>
      </w:r>
    </w:p>
    <w:p w14:paraId="46BF576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（17）《建筑与市政地基基础通用规范》GB55003-2001；</w:t>
      </w:r>
    </w:p>
    <w:p w14:paraId="098A9110">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（18）《广东省住房和城乡建设厅绿色施工导则》；</w:t>
      </w:r>
    </w:p>
    <w:p w14:paraId="1DDCA89D">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（19）《广东省建筑工程绿色施工评价标准》；</w:t>
      </w:r>
    </w:p>
    <w:p w14:paraId="663B1A0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（20）《广东省建筑节能与绿色建筑工程施工质量验收规范》；</w:t>
      </w:r>
    </w:p>
    <w:p w14:paraId="4804FA7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（21）其他现行国家、广东省关于房建工程的施工及验收规范、定额、规程、标准。</w:t>
      </w:r>
    </w:p>
    <w:p w14:paraId="59DEDCF1">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51" w:name="_Toc30825"/>
      <w:bookmarkStart w:id="252" w:name="_Toc6102"/>
      <w:r>
        <w:rPr>
          <w:rFonts w:hint="eastAsia" w:ascii="宋体" w:hAnsi="宋体" w:eastAsia="宋体" w:cs="宋体"/>
          <w:b/>
          <w:bCs/>
          <w:color w:val="auto"/>
          <w:spacing w:val="-11"/>
          <w:sz w:val="24"/>
          <w:szCs w:val="24"/>
          <w:highlight w:val="none"/>
          <w:lang w:val="en-US" w:eastAsia="zh-CN"/>
        </w:rPr>
        <w:t>2.市政基础设施工程建设项目</w:t>
      </w:r>
      <w:bookmarkEnd w:id="251"/>
      <w:bookmarkEnd w:id="252"/>
    </w:p>
    <w:p w14:paraId="2CEB27A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市政基础设施工程建设项目必须执行的现行技术规范，包括且不限于：</w:t>
      </w:r>
    </w:p>
    <w:p w14:paraId="558C1C0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（1）《公路路基施工技术规范》；</w:t>
      </w:r>
    </w:p>
    <w:p w14:paraId="482B841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（2）《市政道路工程质量检验评定标准》；</w:t>
      </w:r>
    </w:p>
    <w:p w14:paraId="524F194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（3）《市政排水管渠工程质量检验评定标准》；</w:t>
      </w:r>
    </w:p>
    <w:p w14:paraId="607991AD">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（4）《给水排水管道工程施工及验收规范》；</w:t>
      </w:r>
    </w:p>
    <w:p w14:paraId="52AF864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3" w:name="_Toc28136"/>
      <w:r>
        <w:rPr>
          <w:rFonts w:hint="eastAsia" w:ascii="宋体" w:hAnsi="宋体" w:eastAsia="宋体" w:cs="宋体"/>
          <w:bCs/>
          <w:snapToGrid w:val="0"/>
          <w:color w:val="auto"/>
          <w:kern w:val="0"/>
          <w:sz w:val="24"/>
          <w:szCs w:val="24"/>
          <w:highlight w:val="none"/>
          <w:lang w:val="en-US" w:eastAsia="zh-CN"/>
        </w:rPr>
        <w:t>（5）《城市道路路基工程施工及验收规范》；</w:t>
      </w:r>
      <w:bookmarkEnd w:id="253"/>
    </w:p>
    <w:p w14:paraId="25D5746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4" w:name="_Toc30468"/>
      <w:r>
        <w:rPr>
          <w:rFonts w:hint="eastAsia" w:ascii="宋体" w:hAnsi="宋体" w:eastAsia="宋体" w:cs="宋体"/>
          <w:bCs/>
          <w:snapToGrid w:val="0"/>
          <w:color w:val="auto"/>
          <w:kern w:val="0"/>
          <w:sz w:val="24"/>
          <w:szCs w:val="24"/>
          <w:highlight w:val="none"/>
          <w:lang w:val="en-US" w:eastAsia="zh-CN"/>
        </w:rPr>
        <w:t>（6）《水泥砼路面施工及验收规范》；</w:t>
      </w:r>
      <w:bookmarkEnd w:id="254"/>
      <w:bookmarkStart w:id="255" w:name="_Toc27799"/>
    </w:p>
    <w:p w14:paraId="74C6897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（7）《公路水泥砼路面施工技术规范》；</w:t>
      </w:r>
      <w:bookmarkEnd w:id="255"/>
    </w:p>
    <w:p w14:paraId="19CC251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6" w:name="_Toc12308"/>
      <w:r>
        <w:rPr>
          <w:rFonts w:hint="eastAsia" w:ascii="宋体" w:hAnsi="宋体" w:eastAsia="宋体" w:cs="宋体"/>
          <w:bCs/>
          <w:snapToGrid w:val="0"/>
          <w:color w:val="auto"/>
          <w:kern w:val="0"/>
          <w:sz w:val="24"/>
          <w:szCs w:val="24"/>
          <w:highlight w:val="none"/>
          <w:lang w:val="en-US" w:eastAsia="zh-CN"/>
        </w:rPr>
        <w:t>（8）《埋地硬聚氯乙烯排水管道工程技术规程》；</w:t>
      </w:r>
      <w:bookmarkEnd w:id="256"/>
    </w:p>
    <w:p w14:paraId="34D4253E">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7" w:name="_Toc13357"/>
      <w:r>
        <w:rPr>
          <w:rFonts w:hint="eastAsia" w:ascii="宋体" w:hAnsi="宋体" w:eastAsia="宋体" w:cs="宋体"/>
          <w:bCs/>
          <w:snapToGrid w:val="0"/>
          <w:color w:val="auto"/>
          <w:kern w:val="0"/>
          <w:sz w:val="24"/>
          <w:szCs w:val="24"/>
          <w:highlight w:val="none"/>
          <w:lang w:val="en-US" w:eastAsia="zh-CN"/>
        </w:rPr>
        <w:t>（9）《沥青路面施工及验收规范》；</w:t>
      </w:r>
      <w:bookmarkEnd w:id="257"/>
    </w:p>
    <w:p w14:paraId="010FCBB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8" w:name="_Toc19104"/>
      <w:r>
        <w:rPr>
          <w:rFonts w:hint="eastAsia" w:ascii="宋体" w:hAnsi="宋体" w:eastAsia="宋体" w:cs="宋体"/>
          <w:bCs/>
          <w:snapToGrid w:val="0"/>
          <w:color w:val="auto"/>
          <w:kern w:val="0"/>
          <w:sz w:val="24"/>
          <w:szCs w:val="24"/>
          <w:highlight w:val="none"/>
          <w:lang w:val="en-US" w:eastAsia="zh-CN"/>
        </w:rPr>
        <w:t>（10）《广东省市政工程施工质量技术资料统一用表》。</w:t>
      </w:r>
      <w:bookmarkEnd w:id="258"/>
    </w:p>
    <w:p w14:paraId="6F64952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9" w:name="_Toc13247"/>
      <w:r>
        <w:rPr>
          <w:rFonts w:hint="eastAsia" w:ascii="宋体" w:hAnsi="宋体" w:eastAsia="宋体" w:cs="宋体"/>
          <w:bCs/>
          <w:snapToGrid w:val="0"/>
          <w:color w:val="auto"/>
          <w:kern w:val="0"/>
          <w:sz w:val="24"/>
          <w:szCs w:val="24"/>
          <w:highlight w:val="none"/>
          <w:lang w:val="en-US" w:eastAsia="zh-CN"/>
        </w:rPr>
        <w:t>（11）《建筑与市政工程无障碍通用规范》 GB 55019-2021；</w:t>
      </w:r>
      <w:bookmarkEnd w:id="259"/>
    </w:p>
    <w:p w14:paraId="1E71A5A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0" w:name="_Toc29931"/>
      <w:r>
        <w:rPr>
          <w:rFonts w:hint="eastAsia" w:ascii="宋体" w:hAnsi="宋体" w:eastAsia="宋体" w:cs="宋体"/>
          <w:bCs/>
          <w:snapToGrid w:val="0"/>
          <w:color w:val="auto"/>
          <w:kern w:val="0"/>
          <w:sz w:val="24"/>
          <w:szCs w:val="24"/>
          <w:highlight w:val="none"/>
          <w:lang w:val="en-US" w:eastAsia="zh-CN"/>
        </w:rPr>
        <w:t>（12）《建筑防火通用规范》GB 55037-2022</w:t>
      </w:r>
      <w:bookmarkEnd w:id="260"/>
      <w:r>
        <w:rPr>
          <w:rFonts w:hint="eastAsia" w:ascii="宋体" w:hAnsi="宋体" w:eastAsia="宋体" w:cs="宋体"/>
          <w:bCs/>
          <w:snapToGrid w:val="0"/>
          <w:color w:val="auto"/>
          <w:kern w:val="0"/>
          <w:sz w:val="24"/>
          <w:szCs w:val="24"/>
          <w:highlight w:val="none"/>
          <w:lang w:val="en-US" w:eastAsia="zh-CN"/>
        </w:rPr>
        <w:t>；</w:t>
      </w:r>
    </w:p>
    <w:p w14:paraId="0A32268F">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1" w:name="_Toc30206"/>
      <w:r>
        <w:rPr>
          <w:rFonts w:hint="eastAsia" w:ascii="宋体" w:hAnsi="宋体" w:eastAsia="宋体" w:cs="宋体"/>
          <w:bCs/>
          <w:snapToGrid w:val="0"/>
          <w:color w:val="auto"/>
          <w:kern w:val="0"/>
          <w:sz w:val="24"/>
          <w:szCs w:val="24"/>
          <w:highlight w:val="none"/>
          <w:lang w:val="en-US" w:eastAsia="zh-CN"/>
        </w:rPr>
        <w:t>（13）《建筑与市政工程抗震通用规范》GB55002-2001</w:t>
      </w:r>
      <w:bookmarkEnd w:id="261"/>
      <w:r>
        <w:rPr>
          <w:rFonts w:hint="eastAsia" w:ascii="宋体" w:hAnsi="宋体" w:eastAsia="宋体" w:cs="宋体"/>
          <w:bCs/>
          <w:snapToGrid w:val="0"/>
          <w:color w:val="auto"/>
          <w:kern w:val="0"/>
          <w:sz w:val="24"/>
          <w:szCs w:val="24"/>
          <w:highlight w:val="none"/>
          <w:lang w:val="en-US" w:eastAsia="zh-CN"/>
        </w:rPr>
        <w:t>；</w:t>
      </w:r>
    </w:p>
    <w:p w14:paraId="298D3072">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2" w:name="_Toc13940"/>
      <w:r>
        <w:rPr>
          <w:rFonts w:hint="eastAsia" w:ascii="宋体" w:hAnsi="宋体" w:eastAsia="宋体" w:cs="宋体"/>
          <w:bCs/>
          <w:snapToGrid w:val="0"/>
          <w:color w:val="auto"/>
          <w:kern w:val="0"/>
          <w:sz w:val="24"/>
          <w:szCs w:val="24"/>
          <w:highlight w:val="none"/>
          <w:lang w:val="en-US" w:eastAsia="zh-CN"/>
        </w:rPr>
        <w:t>（14）《建筑与市政地基基础通用规范》GB55003-200</w:t>
      </w:r>
      <w:bookmarkEnd w:id="262"/>
      <w:r>
        <w:rPr>
          <w:rFonts w:hint="eastAsia" w:ascii="宋体" w:hAnsi="宋体" w:eastAsia="宋体" w:cs="宋体"/>
          <w:bCs/>
          <w:snapToGrid w:val="0"/>
          <w:color w:val="auto"/>
          <w:kern w:val="0"/>
          <w:sz w:val="24"/>
          <w:szCs w:val="24"/>
          <w:highlight w:val="none"/>
          <w:lang w:val="en-US" w:eastAsia="zh-CN"/>
        </w:rPr>
        <w:t>；</w:t>
      </w:r>
    </w:p>
    <w:p w14:paraId="7F5C686A">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3" w:name="_Toc13747"/>
      <w:r>
        <w:rPr>
          <w:rFonts w:hint="eastAsia" w:ascii="宋体" w:hAnsi="宋体" w:eastAsia="宋体" w:cs="宋体"/>
          <w:bCs/>
          <w:snapToGrid w:val="0"/>
          <w:color w:val="auto"/>
          <w:kern w:val="0"/>
          <w:sz w:val="24"/>
          <w:szCs w:val="24"/>
          <w:highlight w:val="none"/>
          <w:lang w:val="en-US" w:eastAsia="zh-CN"/>
        </w:rPr>
        <w:t>（15）《城市道路照明设计标准》（CJJ45-2015）；</w:t>
      </w:r>
      <w:bookmarkEnd w:id="263"/>
    </w:p>
    <w:p w14:paraId="0F139841">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4" w:name="_Toc4862"/>
      <w:r>
        <w:rPr>
          <w:rFonts w:hint="eastAsia" w:ascii="宋体" w:hAnsi="宋体" w:eastAsia="宋体" w:cs="宋体"/>
          <w:bCs/>
          <w:snapToGrid w:val="0"/>
          <w:color w:val="auto"/>
          <w:kern w:val="0"/>
          <w:sz w:val="24"/>
          <w:szCs w:val="24"/>
          <w:highlight w:val="none"/>
          <w:lang w:val="en-US" w:eastAsia="zh-CN"/>
        </w:rPr>
        <w:t>（16）《低压配电设计规范》（GB50054-2011）；</w:t>
      </w:r>
      <w:bookmarkEnd w:id="264"/>
    </w:p>
    <w:p w14:paraId="521230EA">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5" w:name="_Toc21300"/>
      <w:r>
        <w:rPr>
          <w:rFonts w:hint="eastAsia" w:ascii="宋体" w:hAnsi="宋体" w:eastAsia="宋体" w:cs="宋体"/>
          <w:bCs/>
          <w:snapToGrid w:val="0"/>
          <w:color w:val="auto"/>
          <w:kern w:val="0"/>
          <w:sz w:val="24"/>
          <w:szCs w:val="24"/>
          <w:highlight w:val="none"/>
          <w:lang w:val="en-US" w:eastAsia="zh-CN"/>
        </w:rPr>
        <w:t>（17）《城市道路照明工程施工及验收规程》（CJJ89-2012）；</w:t>
      </w:r>
      <w:bookmarkEnd w:id="265"/>
    </w:p>
    <w:p w14:paraId="5DA9A4A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6" w:name="_Toc3776"/>
      <w:r>
        <w:rPr>
          <w:rFonts w:hint="eastAsia" w:ascii="宋体" w:hAnsi="宋体" w:eastAsia="宋体" w:cs="宋体"/>
          <w:bCs/>
          <w:snapToGrid w:val="0"/>
          <w:color w:val="auto"/>
          <w:kern w:val="0"/>
          <w:sz w:val="24"/>
          <w:szCs w:val="24"/>
          <w:highlight w:val="none"/>
          <w:lang w:val="en-US" w:eastAsia="zh-CN"/>
        </w:rPr>
        <w:t>（18）《LED 道路照明工程技术规范》（DB44/T 1898-2016）；</w:t>
      </w:r>
      <w:bookmarkEnd w:id="266"/>
    </w:p>
    <w:p w14:paraId="026D962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7" w:name="_Toc6724"/>
      <w:r>
        <w:rPr>
          <w:rFonts w:hint="eastAsia" w:ascii="宋体" w:hAnsi="宋体" w:eastAsia="宋体" w:cs="宋体"/>
          <w:bCs/>
          <w:snapToGrid w:val="0"/>
          <w:color w:val="auto"/>
          <w:kern w:val="0"/>
          <w:sz w:val="24"/>
          <w:szCs w:val="24"/>
          <w:highlight w:val="none"/>
          <w:lang w:val="en-US" w:eastAsia="zh-CN"/>
        </w:rPr>
        <w:t>（19）《灯具第 1 部分：一般要求与试验》（GB7000.1-2015）；</w:t>
      </w:r>
      <w:bookmarkEnd w:id="267"/>
    </w:p>
    <w:p w14:paraId="62E09E9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8" w:name="_Toc25902"/>
      <w:r>
        <w:rPr>
          <w:rFonts w:hint="eastAsia" w:ascii="宋体" w:hAnsi="宋体" w:eastAsia="宋体" w:cs="宋体"/>
          <w:bCs/>
          <w:snapToGrid w:val="0"/>
          <w:color w:val="auto"/>
          <w:kern w:val="0"/>
          <w:sz w:val="24"/>
          <w:szCs w:val="24"/>
          <w:highlight w:val="none"/>
          <w:lang w:val="en-US" w:eastAsia="zh-CN"/>
        </w:rPr>
        <w:t>（20）《电缆工程电缆设计标准》（GB50217-2018）；</w:t>
      </w:r>
      <w:bookmarkEnd w:id="268"/>
    </w:p>
    <w:p w14:paraId="2D96973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9" w:name="_Toc1090"/>
      <w:r>
        <w:rPr>
          <w:rFonts w:hint="eastAsia" w:ascii="宋体" w:hAnsi="宋体" w:eastAsia="宋体" w:cs="宋体"/>
          <w:bCs/>
          <w:snapToGrid w:val="0"/>
          <w:color w:val="auto"/>
          <w:kern w:val="0"/>
          <w:sz w:val="24"/>
          <w:szCs w:val="24"/>
          <w:highlight w:val="none"/>
          <w:lang w:val="en-US" w:eastAsia="zh-CN"/>
        </w:rPr>
        <w:t>（21）其他现行国家、广东省关于市政工程的技术及验收规范、定额、规程、标准。</w:t>
      </w:r>
      <w:bookmarkEnd w:id="269"/>
    </w:p>
    <w:p w14:paraId="7F176370">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70" w:name="_Toc3836"/>
      <w:bookmarkStart w:id="271" w:name="_Toc22781"/>
      <w:r>
        <w:rPr>
          <w:rFonts w:hint="eastAsia" w:ascii="宋体" w:hAnsi="宋体" w:eastAsia="宋体" w:cs="宋体"/>
          <w:b/>
          <w:bCs/>
          <w:color w:val="auto"/>
          <w:spacing w:val="-11"/>
          <w:sz w:val="24"/>
          <w:szCs w:val="24"/>
          <w:highlight w:val="none"/>
          <w:lang w:val="en-US" w:eastAsia="zh-CN"/>
        </w:rPr>
        <w:t>3.备查要求</w:t>
      </w:r>
      <w:bookmarkEnd w:id="270"/>
      <w:bookmarkEnd w:id="271"/>
    </w:p>
    <w:p w14:paraId="7C248B02">
      <w:pPr>
        <w:wordWrap w:val="0"/>
        <w:adjustRightInd w:val="0"/>
        <w:snapToGrid w:val="0"/>
        <w:spacing w:line="360" w:lineRule="auto"/>
        <w:ind w:firstLine="560"/>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人必须在施工现场准备至少一套上述规范，</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人和监理单位可随时检查</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人的上述规范，并监督</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人按规范要求执行</w:t>
      </w:r>
      <w:bookmarkStart w:id="272" w:name="_Hlt69670335"/>
      <w:bookmarkEnd w:id="272"/>
      <w:r>
        <w:rPr>
          <w:rFonts w:hint="eastAsia" w:ascii="宋体" w:hAnsi="宋体" w:eastAsia="宋体" w:cs="宋体"/>
          <w:bCs/>
          <w:snapToGrid w:val="0"/>
          <w:color w:val="auto"/>
          <w:kern w:val="0"/>
          <w:sz w:val="24"/>
          <w:szCs w:val="24"/>
          <w:highlight w:val="none"/>
          <w:lang w:eastAsia="zh-CN"/>
        </w:rPr>
        <w:t>。</w:t>
      </w:r>
    </w:p>
    <w:p w14:paraId="272C0D8A">
      <w:pPr>
        <w:rPr>
          <w:rFonts w:hint="eastAsia" w:ascii="宋体" w:hAnsi="宋体" w:eastAsia="宋体" w:cs="宋体"/>
          <w:lang w:eastAsia="zh-CN"/>
        </w:rPr>
      </w:pPr>
    </w:p>
    <w:p w14:paraId="5DF324EC">
      <w:pPr>
        <w:rPr>
          <w:rFonts w:hint="eastAsia" w:ascii="宋体" w:hAnsi="宋体" w:eastAsia="宋体" w:cs="宋体"/>
          <w:lang w:eastAsia="zh-CN"/>
        </w:rPr>
      </w:pPr>
    </w:p>
    <w:p w14:paraId="19FEA4E7">
      <w:pPr>
        <w:rPr>
          <w:rFonts w:hint="eastAsia" w:ascii="宋体" w:hAnsi="宋体" w:eastAsia="宋体" w:cs="宋体"/>
          <w:lang w:eastAsia="zh-CN"/>
        </w:rPr>
      </w:pPr>
    </w:p>
    <w:p w14:paraId="58FBF145">
      <w:pPr>
        <w:rPr>
          <w:rFonts w:hint="eastAsia" w:ascii="宋体" w:hAnsi="宋体" w:eastAsia="宋体" w:cs="宋体"/>
          <w:lang w:eastAsia="zh-CN"/>
        </w:rPr>
      </w:pPr>
    </w:p>
    <w:p w14:paraId="69EF7EFC">
      <w:pPr>
        <w:rPr>
          <w:rFonts w:hint="eastAsia" w:ascii="宋体" w:hAnsi="宋体" w:eastAsia="宋体" w:cs="宋体"/>
          <w:lang w:eastAsia="zh-CN"/>
        </w:rPr>
      </w:pPr>
    </w:p>
    <w:p w14:paraId="0BE24F3A">
      <w:pPr>
        <w:rPr>
          <w:rFonts w:hint="eastAsia" w:ascii="宋体" w:hAnsi="宋体" w:eastAsia="宋体" w:cs="宋体"/>
          <w:lang w:eastAsia="zh-CN"/>
        </w:rPr>
      </w:pPr>
    </w:p>
    <w:p w14:paraId="291010C6">
      <w:pPr>
        <w:rPr>
          <w:rFonts w:hint="eastAsia" w:ascii="宋体" w:hAnsi="宋体" w:eastAsia="宋体" w:cs="宋体"/>
          <w:lang w:eastAsia="zh-CN"/>
        </w:rPr>
      </w:pPr>
    </w:p>
    <w:p w14:paraId="79499EC9">
      <w:pPr>
        <w:rPr>
          <w:rFonts w:hint="eastAsia" w:ascii="宋体" w:hAnsi="宋体" w:eastAsia="宋体" w:cs="宋体"/>
          <w:lang w:eastAsia="zh-CN"/>
        </w:rPr>
      </w:pPr>
    </w:p>
    <w:p w14:paraId="5963324A">
      <w:pPr>
        <w:rPr>
          <w:rFonts w:hint="eastAsia" w:ascii="宋体" w:hAnsi="宋体" w:eastAsia="宋体" w:cs="宋体"/>
          <w:lang w:eastAsia="zh-CN"/>
        </w:rPr>
      </w:pPr>
    </w:p>
    <w:p w14:paraId="3E051E01">
      <w:pPr>
        <w:rPr>
          <w:rFonts w:hint="eastAsia" w:ascii="宋体" w:hAnsi="宋体" w:eastAsia="宋体" w:cs="宋体"/>
          <w:lang w:eastAsia="zh-CN"/>
        </w:rPr>
      </w:pPr>
    </w:p>
    <w:p w14:paraId="3296A7D0">
      <w:pPr>
        <w:rPr>
          <w:rFonts w:hint="eastAsia" w:ascii="宋体" w:hAnsi="宋体" w:eastAsia="宋体" w:cs="宋体"/>
          <w:lang w:eastAsia="zh-CN"/>
        </w:rPr>
      </w:pPr>
    </w:p>
    <w:p w14:paraId="73A36266">
      <w:pPr>
        <w:rPr>
          <w:rFonts w:hint="eastAsia" w:ascii="宋体" w:hAnsi="宋体" w:eastAsia="宋体" w:cs="宋体"/>
          <w:lang w:eastAsia="zh-CN"/>
        </w:rPr>
      </w:pPr>
    </w:p>
    <w:p w14:paraId="5D5C3951">
      <w:pPr>
        <w:rPr>
          <w:rFonts w:hint="eastAsia" w:ascii="宋体" w:hAnsi="宋体" w:eastAsia="宋体" w:cs="宋体"/>
          <w:lang w:eastAsia="zh-CN"/>
        </w:rPr>
      </w:pPr>
    </w:p>
    <w:p w14:paraId="4E10EEC1">
      <w:pPr>
        <w:rPr>
          <w:rFonts w:hint="eastAsia" w:ascii="宋体" w:hAnsi="宋体" w:eastAsia="宋体" w:cs="宋体"/>
          <w:lang w:eastAsia="zh-CN"/>
        </w:rPr>
      </w:pPr>
    </w:p>
    <w:p w14:paraId="187BE5FD">
      <w:pPr>
        <w:rPr>
          <w:rFonts w:hint="eastAsia" w:ascii="宋体" w:hAnsi="宋体" w:eastAsia="宋体" w:cs="宋体"/>
          <w:lang w:eastAsia="zh-CN"/>
        </w:rPr>
      </w:pPr>
    </w:p>
    <w:p w14:paraId="65F8FDE4">
      <w:pPr>
        <w:rPr>
          <w:rFonts w:hint="eastAsia" w:ascii="宋体" w:hAnsi="宋体" w:eastAsia="宋体" w:cs="宋体"/>
          <w:lang w:eastAsia="zh-CN"/>
        </w:rPr>
      </w:pPr>
    </w:p>
    <w:p w14:paraId="27B8E0EE">
      <w:pPr>
        <w:rPr>
          <w:rFonts w:hint="eastAsia" w:ascii="宋体" w:hAnsi="宋体" w:eastAsia="宋体" w:cs="宋体"/>
          <w:lang w:eastAsia="zh-CN"/>
        </w:rPr>
      </w:pPr>
    </w:p>
    <w:p w14:paraId="744B5637">
      <w:pPr>
        <w:rPr>
          <w:rFonts w:hint="eastAsia" w:ascii="宋体" w:hAnsi="宋体" w:eastAsia="宋体" w:cs="宋体"/>
          <w:lang w:eastAsia="zh-CN"/>
        </w:rPr>
      </w:pPr>
    </w:p>
    <w:p w14:paraId="3BBD4F7B">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
          <w:snapToGrid w:val="0"/>
          <w:color w:val="auto"/>
          <w:sz w:val="24"/>
          <w:highlight w:val="none"/>
        </w:rPr>
      </w:pPr>
      <w:bookmarkStart w:id="273" w:name="_Toc27553"/>
      <w:bookmarkStart w:id="274" w:name="_Toc30652"/>
      <w:r>
        <w:rPr>
          <w:rFonts w:hint="eastAsia" w:ascii="宋体" w:hAnsi="宋体" w:eastAsia="宋体" w:cs="宋体"/>
          <w:b/>
          <w:snapToGrid w:val="0"/>
          <w:color w:val="auto"/>
          <w:sz w:val="24"/>
          <w:highlight w:val="none"/>
        </w:rPr>
        <w:t>第五章</w:t>
      </w:r>
      <w:bookmarkStart w:id="275" w:name="_Hlt87793860"/>
      <w:bookmarkEnd w:id="275"/>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图纸和招标工程</w:t>
      </w:r>
      <w:bookmarkStart w:id="276" w:name="_Hlt69669215"/>
      <w:bookmarkEnd w:id="276"/>
      <w:r>
        <w:rPr>
          <w:rFonts w:hint="eastAsia" w:ascii="宋体" w:hAnsi="宋体" w:eastAsia="宋体" w:cs="宋体"/>
          <w:b/>
          <w:snapToGrid w:val="0"/>
          <w:color w:val="auto"/>
          <w:sz w:val="24"/>
          <w:highlight w:val="none"/>
        </w:rPr>
        <w:t>量清单</w:t>
      </w:r>
      <w:bookmarkEnd w:id="273"/>
      <w:bookmarkEnd w:id="274"/>
    </w:p>
    <w:p w14:paraId="30EC790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bCs/>
          <w:snapToGrid w:val="0"/>
          <w:color w:val="auto"/>
          <w:kern w:val="0"/>
          <w:sz w:val="24"/>
          <w:szCs w:val="24"/>
          <w:highlight w:val="none"/>
        </w:rPr>
      </w:pPr>
      <w:bookmarkStart w:id="277" w:name="_Hlt75747203"/>
      <w:bookmarkEnd w:id="277"/>
      <w:bookmarkStart w:id="278" w:name="_Hlt69669182"/>
      <w:bookmarkEnd w:id="278"/>
      <w:bookmarkStart w:id="279" w:name="_Hlt87793868"/>
      <w:bookmarkEnd w:id="279"/>
      <w:bookmarkStart w:id="280" w:name="_Hlt66104919"/>
      <w:bookmarkEnd w:id="280"/>
      <w:r>
        <w:rPr>
          <w:rFonts w:hint="eastAsia" w:ascii="宋体" w:hAnsi="宋体" w:eastAsia="宋体" w:cs="宋体"/>
          <w:b w:val="0"/>
          <w:bCs w:val="0"/>
          <w:snapToGrid w:val="0"/>
          <w:color w:val="auto"/>
          <w:kern w:val="0"/>
          <w:sz w:val="24"/>
          <w:szCs w:val="24"/>
          <w:highlight w:val="none"/>
          <w:lang w:val="en-US" w:eastAsia="zh-CN"/>
        </w:rPr>
        <w:t>□有，另附复印件        ☑有，自行网上下载(浏览)         □无</w:t>
      </w:r>
    </w:p>
    <w:p w14:paraId="301EE95D">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81" w:name="_Toc30554"/>
      <w:r>
        <w:rPr>
          <w:rFonts w:hint="eastAsia" w:ascii="宋体" w:hAnsi="宋体" w:eastAsia="宋体" w:cs="宋体"/>
          <w:b/>
          <w:bCs/>
          <w:color w:val="auto"/>
          <w:spacing w:val="-11"/>
          <w:sz w:val="24"/>
          <w:szCs w:val="24"/>
          <w:highlight w:val="none"/>
          <w:lang w:val="en-US" w:eastAsia="zh-CN"/>
        </w:rPr>
        <w:t>1.图纸</w:t>
      </w:r>
      <w:bookmarkEnd w:id="281"/>
    </w:p>
    <w:p w14:paraId="64DC08B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2" w:name="_Toc30574"/>
      <w:r>
        <w:rPr>
          <w:rFonts w:hint="eastAsia" w:ascii="宋体" w:hAnsi="宋体" w:eastAsia="宋体" w:cs="宋体"/>
          <w:bCs/>
          <w:snapToGrid w:val="0"/>
          <w:color w:val="auto"/>
          <w:kern w:val="0"/>
          <w:sz w:val="24"/>
          <w:szCs w:val="24"/>
          <w:highlight w:val="none"/>
          <w:lang w:val="en-US" w:eastAsia="zh-CN"/>
        </w:rPr>
        <w:t>本工程图纸在投标截止时间前 15 天以补充公告的形式在广东省招标投标监管网(kttRs://ww·&amp;dzww.gov.&amp;/ztbi&amp;-Rgrkal/#/index)、全国公共资源交易平台·(广东省···韶关市)(https://X:&amp;dzww.gov.cgg2x-portal/#/440200/index)网站公布，各投标人可在上述网站上自行下载。</w:t>
      </w:r>
    </w:p>
    <w:p w14:paraId="055C8AC2">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r>
        <w:rPr>
          <w:rFonts w:hint="eastAsia" w:ascii="宋体" w:hAnsi="宋体" w:eastAsia="宋体" w:cs="宋体"/>
          <w:b/>
          <w:bCs/>
          <w:color w:val="auto"/>
          <w:spacing w:val="-11"/>
          <w:sz w:val="24"/>
          <w:szCs w:val="24"/>
          <w:highlight w:val="none"/>
          <w:lang w:val="en-US" w:eastAsia="zh-CN"/>
        </w:rPr>
        <w:t>2.招标工程量清单</w:t>
      </w:r>
      <w:bookmarkEnd w:id="282"/>
    </w:p>
    <w:p w14:paraId="6D1595F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2.1 本工程招标工程里清单在投标截止时间前 15天以补充公告的形式在广东省招标投标监管网(https: //wwmw.&amp;dzwtw.gov.cnztbig-portal/#/index)、全国公共资源交易平台·(广东省·.韶关市)(httRs://X8R,&amp;dzww,gov,&amp;n&amp;&amp;zx-paxtal/#/440200/index)网站公布，各投标人可在上述网站上自行下载。</w:t>
      </w:r>
    </w:p>
    <w:p w14:paraId="52DCD21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3" w:name="_Toc7961"/>
      <w:r>
        <w:rPr>
          <w:rFonts w:hint="eastAsia" w:ascii="宋体" w:hAnsi="宋体" w:eastAsia="宋体" w:cs="宋体"/>
          <w:bCs/>
          <w:snapToGrid w:val="0"/>
          <w:color w:val="auto"/>
          <w:kern w:val="0"/>
          <w:sz w:val="24"/>
          <w:szCs w:val="24"/>
          <w:highlight w:val="none"/>
          <w:lang w:val="en-US" w:eastAsia="zh-CN"/>
        </w:rPr>
        <w:t>2.2 本工程按照以下依据编制招标工程量清单、招标控制价：</w:t>
      </w:r>
      <w:bookmarkEnd w:id="283"/>
    </w:p>
    <w:p w14:paraId="2CDCC34F">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4" w:name="_Toc32626"/>
      <w:r>
        <w:rPr>
          <w:rFonts w:hint="eastAsia" w:ascii="宋体" w:hAnsi="宋体" w:eastAsia="宋体" w:cs="宋体"/>
          <w:bCs/>
          <w:snapToGrid w:val="0"/>
          <w:color w:val="auto"/>
          <w:kern w:val="0"/>
          <w:sz w:val="24"/>
          <w:szCs w:val="24"/>
          <w:highlight w:val="none"/>
          <w:lang w:val="en-US" w:eastAsia="zh-CN"/>
        </w:rPr>
        <w:t>（1）《建设工程工程量清单计价规范》（GB50500—2013）；</w:t>
      </w:r>
      <w:bookmarkEnd w:id="284"/>
    </w:p>
    <w:p w14:paraId="01774E4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5" w:name="_Toc32632"/>
      <w:r>
        <w:rPr>
          <w:rFonts w:hint="eastAsia" w:ascii="宋体" w:hAnsi="宋体" w:eastAsia="宋体" w:cs="宋体"/>
          <w:bCs/>
          <w:snapToGrid w:val="0"/>
          <w:color w:val="auto"/>
          <w:kern w:val="0"/>
          <w:sz w:val="24"/>
          <w:szCs w:val="24"/>
          <w:highlight w:val="none"/>
          <w:lang w:val="en-US" w:eastAsia="zh-CN"/>
        </w:rPr>
        <w:t>（2）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投标人经过检查和复核以后认为招标人提供的工程量清单存在差异，则投标人应将此类差异的详细情况连同按“投标须知”规定提交的要求招标人澄清的其他问题一起提交给招标人，招标人将根据实际情况决定是否颁发工程量清单、招标控制价的补充和(或)修改文件。</w:t>
      </w:r>
      <w:bookmarkEnd w:id="285"/>
      <w:r>
        <w:rPr>
          <w:rFonts w:hint="eastAsia" w:ascii="宋体" w:hAnsi="宋体" w:eastAsia="宋体" w:cs="宋体"/>
          <w:bCs/>
          <w:snapToGrid w:val="0"/>
          <w:color w:val="auto"/>
          <w:kern w:val="0"/>
          <w:sz w:val="24"/>
          <w:szCs w:val="24"/>
          <w:highlight w:val="none"/>
          <w:lang w:val="en-US" w:eastAsia="zh-CN"/>
        </w:rPr>
        <w:t xml:space="preserve"> </w:t>
      </w:r>
    </w:p>
    <w:p w14:paraId="0496BAE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6" w:name="_Toc12902"/>
      <w:r>
        <w:rPr>
          <w:rFonts w:hint="eastAsia" w:ascii="宋体" w:hAnsi="宋体" w:eastAsia="宋体" w:cs="宋体"/>
          <w:bCs/>
          <w:snapToGrid w:val="0"/>
          <w:color w:val="auto"/>
          <w:kern w:val="0"/>
          <w:sz w:val="24"/>
          <w:szCs w:val="24"/>
          <w:highlight w:val="none"/>
          <w:lang w:val="en-US" w:eastAsia="zh-CN"/>
        </w:rPr>
        <w:t>（3）本招标工程量清单措施项目中的绿色施工安全防护措施费、暂列金额、暂估价不得作为竞争性费用，投标报价必须按本招标工程量清单规定的金额填报。</w:t>
      </w:r>
      <w:bookmarkEnd w:id="286"/>
    </w:p>
    <w:p w14:paraId="2D3BD3AE">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7" w:name="_Toc32266"/>
      <w:r>
        <w:rPr>
          <w:rFonts w:hint="eastAsia" w:ascii="宋体" w:hAnsi="宋体" w:eastAsia="宋体" w:cs="宋体"/>
          <w:bCs/>
          <w:snapToGrid w:val="0"/>
          <w:color w:val="auto"/>
          <w:kern w:val="0"/>
          <w:sz w:val="24"/>
          <w:szCs w:val="24"/>
          <w:highlight w:val="none"/>
          <w:lang w:val="en-US" w:eastAsia="zh-CN"/>
        </w:rPr>
        <w:t>（4）投标报价使用的表格格式须按照 GB50500-2013《建设工程工程量清单计价规范》。</w:t>
      </w:r>
      <w:bookmarkEnd w:id="287"/>
    </w:p>
    <w:p w14:paraId="3F52F0C8">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8" w:name="_Toc13700"/>
      <w:r>
        <w:rPr>
          <w:rFonts w:hint="eastAsia" w:ascii="宋体" w:hAnsi="宋体" w:eastAsia="宋体" w:cs="宋体"/>
          <w:bCs/>
          <w:snapToGrid w:val="0"/>
          <w:color w:val="auto"/>
          <w:kern w:val="0"/>
          <w:sz w:val="24"/>
          <w:szCs w:val="24"/>
          <w:highlight w:val="none"/>
          <w:lang w:val="en-US" w:eastAsia="zh-CN"/>
        </w:rPr>
        <w:t>（5）《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bookmarkEnd w:id="288"/>
    </w:p>
    <w:p w14:paraId="49B1030A">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9" w:name="_Toc10455"/>
      <w:r>
        <w:rPr>
          <w:rFonts w:hint="eastAsia" w:ascii="宋体" w:hAnsi="宋体" w:eastAsia="宋体" w:cs="宋体"/>
          <w:bCs/>
          <w:snapToGrid w:val="0"/>
          <w:color w:val="auto"/>
          <w:kern w:val="0"/>
          <w:sz w:val="24"/>
          <w:szCs w:val="24"/>
          <w:highlight w:val="none"/>
          <w:lang w:val="en-US" w:eastAsia="zh-CN"/>
        </w:rPr>
        <w:t>（6）施工图及相关资料；</w:t>
      </w:r>
      <w:bookmarkEnd w:id="289"/>
    </w:p>
    <w:p w14:paraId="2E0315EC">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90" w:name="_Toc1743"/>
      <w:r>
        <w:rPr>
          <w:rFonts w:hint="eastAsia" w:ascii="宋体" w:hAnsi="宋体" w:eastAsia="宋体" w:cs="宋体"/>
          <w:bCs/>
          <w:snapToGrid w:val="0"/>
          <w:color w:val="auto"/>
          <w:kern w:val="0"/>
          <w:sz w:val="24"/>
          <w:szCs w:val="24"/>
          <w:highlight w:val="none"/>
          <w:lang w:val="en-US" w:eastAsia="zh-CN"/>
        </w:rPr>
        <w:t>（7）招标文件；</w:t>
      </w:r>
      <w:bookmarkEnd w:id="290"/>
    </w:p>
    <w:p w14:paraId="5357C6CC">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91" w:name="_Toc30083"/>
      <w:r>
        <w:rPr>
          <w:rFonts w:hint="eastAsia" w:ascii="宋体" w:hAnsi="宋体" w:eastAsia="宋体" w:cs="宋体"/>
          <w:bCs/>
          <w:snapToGrid w:val="0"/>
          <w:color w:val="auto"/>
          <w:kern w:val="0"/>
          <w:sz w:val="24"/>
          <w:szCs w:val="24"/>
          <w:highlight w:val="none"/>
          <w:lang w:val="en-US" w:eastAsia="zh-CN"/>
        </w:rPr>
        <w:t>（8）施工现场情况、地勘水文资料、工程特点及常规施工方案；</w:t>
      </w:r>
      <w:bookmarkEnd w:id="291"/>
    </w:p>
    <w:p w14:paraId="416327A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92" w:name="_Toc15937"/>
      <w:r>
        <w:rPr>
          <w:rFonts w:hint="eastAsia" w:ascii="宋体" w:hAnsi="宋体" w:eastAsia="宋体" w:cs="宋体"/>
          <w:bCs/>
          <w:snapToGrid w:val="0"/>
          <w:color w:val="auto"/>
          <w:kern w:val="0"/>
          <w:sz w:val="24"/>
          <w:szCs w:val="24"/>
          <w:highlight w:val="none"/>
          <w:lang w:val="en-US" w:eastAsia="zh-CN"/>
        </w:rPr>
        <w:t>（9）与建设工程有关的标准、规范、技术资料、材料设备信息价或市场价格等。</w:t>
      </w:r>
      <w:bookmarkEnd w:id="292"/>
    </w:p>
    <w:p w14:paraId="312D3A83">
      <w:pPr>
        <w:rPr>
          <w:rFonts w:hint="eastAsia" w:ascii="宋体" w:hAnsi="宋体" w:eastAsia="宋体" w:cs="宋体"/>
          <w:lang w:val="en-US" w:eastAsia="zh-CN"/>
        </w:rPr>
      </w:pPr>
    </w:p>
    <w:p w14:paraId="52A4AAD7">
      <w:pPr>
        <w:rPr>
          <w:rFonts w:hint="eastAsia" w:ascii="宋体" w:hAnsi="宋体" w:eastAsia="宋体" w:cs="宋体"/>
          <w:lang w:val="en-US" w:eastAsia="zh-CN"/>
        </w:rPr>
      </w:pPr>
    </w:p>
    <w:p w14:paraId="140BCE1C">
      <w:pPr>
        <w:rPr>
          <w:rFonts w:hint="eastAsia" w:ascii="宋体" w:hAnsi="宋体" w:eastAsia="宋体" w:cs="宋体"/>
          <w:lang w:val="en-US" w:eastAsia="zh-CN"/>
        </w:rPr>
      </w:pPr>
    </w:p>
    <w:p w14:paraId="53B1D3DD">
      <w:pPr>
        <w:pStyle w:val="2"/>
        <w:rPr>
          <w:rFonts w:hint="eastAsia" w:ascii="宋体" w:hAnsi="宋体" w:eastAsia="宋体" w:cs="宋体"/>
          <w:lang w:val="en-US" w:eastAsia="zh-CN"/>
        </w:rPr>
      </w:pPr>
    </w:p>
    <w:p w14:paraId="1A81D625">
      <w:pPr>
        <w:rPr>
          <w:rFonts w:hint="eastAsia" w:ascii="宋体" w:hAnsi="宋体" w:eastAsia="宋体" w:cs="宋体"/>
          <w:lang w:val="en-US" w:eastAsia="zh-CN"/>
        </w:rPr>
      </w:pPr>
    </w:p>
    <w:p w14:paraId="4163980B">
      <w:pPr>
        <w:pStyle w:val="2"/>
        <w:rPr>
          <w:rFonts w:hint="eastAsia" w:ascii="宋体" w:hAnsi="宋体" w:eastAsia="宋体" w:cs="宋体"/>
          <w:lang w:val="en-US" w:eastAsia="zh-CN"/>
        </w:rPr>
      </w:pPr>
    </w:p>
    <w:p w14:paraId="27397413">
      <w:pPr>
        <w:rPr>
          <w:rFonts w:hint="eastAsia" w:ascii="宋体" w:hAnsi="宋体" w:eastAsia="宋体" w:cs="宋体"/>
          <w:lang w:val="en-US" w:eastAsia="zh-CN"/>
        </w:rPr>
      </w:pPr>
    </w:p>
    <w:p w14:paraId="317F5C80">
      <w:pPr>
        <w:pStyle w:val="2"/>
        <w:rPr>
          <w:rFonts w:hint="eastAsia" w:ascii="宋体" w:hAnsi="宋体" w:eastAsia="宋体" w:cs="宋体"/>
          <w:lang w:val="en-US" w:eastAsia="zh-CN"/>
        </w:rPr>
      </w:pPr>
    </w:p>
    <w:p w14:paraId="6814A315">
      <w:pPr>
        <w:rPr>
          <w:rFonts w:hint="eastAsia" w:ascii="宋体" w:hAnsi="宋体" w:eastAsia="宋体" w:cs="宋体"/>
          <w:lang w:val="en-US" w:eastAsia="zh-CN"/>
        </w:rPr>
      </w:pPr>
    </w:p>
    <w:p w14:paraId="7396983C">
      <w:pPr>
        <w:pStyle w:val="2"/>
        <w:rPr>
          <w:rFonts w:hint="eastAsia" w:ascii="宋体" w:hAnsi="宋体" w:eastAsia="宋体" w:cs="宋体"/>
          <w:lang w:val="en-US" w:eastAsia="zh-CN"/>
        </w:rPr>
      </w:pPr>
    </w:p>
    <w:p w14:paraId="3AAAD6B1">
      <w:pPr>
        <w:rPr>
          <w:rFonts w:hint="eastAsia" w:ascii="宋体" w:hAnsi="宋体" w:eastAsia="宋体" w:cs="宋体"/>
          <w:lang w:val="en-US" w:eastAsia="zh-CN"/>
        </w:rPr>
      </w:pPr>
    </w:p>
    <w:p w14:paraId="5DA77B35">
      <w:pPr>
        <w:pStyle w:val="2"/>
        <w:rPr>
          <w:rFonts w:hint="eastAsia" w:ascii="宋体" w:hAnsi="宋体" w:eastAsia="宋体" w:cs="宋体"/>
          <w:lang w:val="en-US" w:eastAsia="zh-CN"/>
        </w:rPr>
      </w:pPr>
    </w:p>
    <w:p w14:paraId="3B20246C">
      <w:pPr>
        <w:rPr>
          <w:rFonts w:hint="eastAsia" w:ascii="宋体" w:hAnsi="宋体" w:eastAsia="宋体" w:cs="宋体"/>
          <w:lang w:val="en-US" w:eastAsia="zh-CN"/>
        </w:rPr>
      </w:pPr>
    </w:p>
    <w:p w14:paraId="427C0E39">
      <w:pPr>
        <w:pStyle w:val="2"/>
        <w:rPr>
          <w:rFonts w:hint="eastAsia" w:ascii="宋体" w:hAnsi="宋体" w:eastAsia="宋体" w:cs="宋体"/>
          <w:lang w:val="en-US" w:eastAsia="zh-CN"/>
        </w:rPr>
      </w:pPr>
    </w:p>
    <w:p w14:paraId="626A1819">
      <w:pPr>
        <w:rPr>
          <w:rFonts w:hint="eastAsia" w:ascii="宋体" w:hAnsi="宋体" w:eastAsia="宋体" w:cs="宋体"/>
          <w:lang w:val="en-US" w:eastAsia="zh-CN"/>
        </w:rPr>
      </w:pPr>
    </w:p>
    <w:p w14:paraId="67F69205">
      <w:pPr>
        <w:pStyle w:val="2"/>
        <w:rPr>
          <w:rFonts w:hint="eastAsia" w:ascii="宋体" w:hAnsi="宋体" w:eastAsia="宋体" w:cs="宋体"/>
          <w:lang w:val="en-US" w:eastAsia="zh-CN"/>
        </w:rPr>
      </w:pPr>
    </w:p>
    <w:p w14:paraId="65DA9294">
      <w:pPr>
        <w:rPr>
          <w:rFonts w:hint="eastAsia" w:ascii="宋体" w:hAnsi="宋体" w:eastAsia="宋体" w:cs="宋体"/>
          <w:lang w:val="en-US" w:eastAsia="zh-CN"/>
        </w:rPr>
      </w:pPr>
    </w:p>
    <w:p w14:paraId="5D4254AB">
      <w:pPr>
        <w:pStyle w:val="2"/>
        <w:rPr>
          <w:rFonts w:hint="eastAsia" w:ascii="宋体" w:hAnsi="宋体" w:eastAsia="宋体" w:cs="宋体"/>
          <w:lang w:val="en-US" w:eastAsia="zh-CN"/>
        </w:rPr>
      </w:pPr>
    </w:p>
    <w:p w14:paraId="698397A0">
      <w:pPr>
        <w:rPr>
          <w:rFonts w:hint="eastAsia" w:ascii="宋体" w:hAnsi="宋体" w:eastAsia="宋体" w:cs="宋体"/>
          <w:lang w:val="en-US" w:eastAsia="zh-CN"/>
        </w:rPr>
      </w:pPr>
    </w:p>
    <w:p w14:paraId="7E2DCE8C">
      <w:pPr>
        <w:pStyle w:val="2"/>
        <w:rPr>
          <w:rFonts w:hint="eastAsia" w:ascii="宋体" w:hAnsi="宋体" w:eastAsia="宋体" w:cs="宋体"/>
          <w:lang w:val="en-US" w:eastAsia="zh-CN"/>
        </w:rPr>
      </w:pPr>
    </w:p>
    <w:p w14:paraId="7BA8A55B">
      <w:pPr>
        <w:rPr>
          <w:rFonts w:hint="eastAsia" w:ascii="宋体" w:hAnsi="宋体" w:eastAsia="宋体" w:cs="宋体"/>
          <w:lang w:val="en-US" w:eastAsia="zh-CN"/>
        </w:rPr>
      </w:pPr>
    </w:p>
    <w:p w14:paraId="63FE85E0">
      <w:pPr>
        <w:pStyle w:val="2"/>
        <w:rPr>
          <w:rFonts w:hint="eastAsia" w:ascii="宋体" w:hAnsi="宋体" w:eastAsia="宋体" w:cs="宋体"/>
          <w:lang w:val="en-US" w:eastAsia="zh-CN"/>
        </w:rPr>
      </w:pPr>
    </w:p>
    <w:p w14:paraId="2E1E806F">
      <w:pPr>
        <w:rPr>
          <w:rFonts w:hint="eastAsia" w:ascii="宋体" w:hAnsi="宋体" w:eastAsia="宋体" w:cs="宋体"/>
          <w:lang w:val="en-US" w:eastAsia="zh-CN"/>
        </w:rPr>
      </w:pPr>
    </w:p>
    <w:p w14:paraId="6B429EEA">
      <w:pPr>
        <w:pStyle w:val="2"/>
        <w:rPr>
          <w:rFonts w:hint="eastAsia" w:ascii="宋体" w:hAnsi="宋体" w:eastAsia="宋体" w:cs="宋体"/>
          <w:lang w:val="en-US" w:eastAsia="zh-CN"/>
        </w:rPr>
      </w:pPr>
    </w:p>
    <w:p w14:paraId="49138A83">
      <w:pPr>
        <w:rPr>
          <w:rFonts w:hint="eastAsia" w:ascii="宋体" w:hAnsi="宋体" w:eastAsia="宋体" w:cs="宋体"/>
          <w:lang w:val="en-US" w:eastAsia="zh-CN"/>
        </w:rPr>
      </w:pPr>
    </w:p>
    <w:p w14:paraId="6F04E204">
      <w:pPr>
        <w:pStyle w:val="2"/>
        <w:rPr>
          <w:rFonts w:hint="eastAsia" w:ascii="宋体" w:hAnsi="宋体" w:eastAsia="宋体" w:cs="宋体"/>
          <w:lang w:val="en-US" w:eastAsia="zh-CN"/>
        </w:rPr>
      </w:pPr>
    </w:p>
    <w:p w14:paraId="3351D868">
      <w:pPr>
        <w:rPr>
          <w:rFonts w:hint="eastAsia" w:ascii="宋体" w:hAnsi="宋体" w:eastAsia="宋体" w:cs="宋体"/>
          <w:lang w:val="en-US" w:eastAsia="zh-CN"/>
        </w:rPr>
      </w:pPr>
    </w:p>
    <w:p w14:paraId="60A11F69">
      <w:pPr>
        <w:pStyle w:val="2"/>
        <w:rPr>
          <w:rFonts w:hint="eastAsia" w:ascii="宋体" w:hAnsi="宋体" w:eastAsia="宋体" w:cs="宋体"/>
          <w:lang w:val="en-US" w:eastAsia="zh-CN"/>
        </w:rPr>
      </w:pPr>
    </w:p>
    <w:p w14:paraId="11AA27E7">
      <w:pPr>
        <w:rPr>
          <w:rFonts w:hint="eastAsia" w:ascii="宋体" w:hAnsi="宋体" w:eastAsia="宋体" w:cs="宋体"/>
          <w:lang w:val="en-US" w:eastAsia="zh-CN"/>
        </w:rPr>
      </w:pPr>
    </w:p>
    <w:p w14:paraId="37939796">
      <w:pPr>
        <w:pStyle w:val="2"/>
        <w:rPr>
          <w:rFonts w:hint="eastAsia" w:ascii="宋体" w:hAnsi="宋体" w:eastAsia="宋体" w:cs="宋体"/>
          <w:lang w:val="en-US" w:eastAsia="zh-CN"/>
        </w:rPr>
      </w:pPr>
    </w:p>
    <w:p w14:paraId="53CF1642">
      <w:pPr>
        <w:rPr>
          <w:rFonts w:hint="eastAsia" w:ascii="宋体" w:hAnsi="宋体" w:eastAsia="宋体" w:cs="宋体"/>
          <w:lang w:val="en-US" w:eastAsia="zh-CN"/>
        </w:rPr>
      </w:pPr>
    </w:p>
    <w:p w14:paraId="5955493F">
      <w:pPr>
        <w:pStyle w:val="2"/>
        <w:rPr>
          <w:rFonts w:hint="eastAsia" w:ascii="宋体" w:hAnsi="宋体" w:eastAsia="宋体" w:cs="宋体"/>
          <w:lang w:val="en-US" w:eastAsia="zh-CN"/>
        </w:rPr>
      </w:pPr>
    </w:p>
    <w:p w14:paraId="78EAFC9A">
      <w:pPr>
        <w:rPr>
          <w:rFonts w:hint="eastAsia" w:ascii="宋体" w:hAnsi="宋体" w:eastAsia="宋体" w:cs="宋体"/>
          <w:lang w:val="en-US" w:eastAsia="zh-CN"/>
        </w:rPr>
      </w:pPr>
    </w:p>
    <w:p w14:paraId="4C8967AA">
      <w:pPr>
        <w:pStyle w:val="2"/>
        <w:rPr>
          <w:rFonts w:hint="eastAsia" w:ascii="宋体" w:hAnsi="宋体" w:eastAsia="宋体" w:cs="宋体"/>
          <w:lang w:val="en-US" w:eastAsia="zh-CN"/>
        </w:rPr>
      </w:pPr>
    </w:p>
    <w:p w14:paraId="567CE373">
      <w:pPr>
        <w:rPr>
          <w:rFonts w:hint="eastAsia" w:ascii="宋体" w:hAnsi="宋体" w:eastAsia="宋体" w:cs="宋体"/>
          <w:lang w:val="en-US" w:eastAsia="zh-CN"/>
        </w:rPr>
      </w:pPr>
    </w:p>
    <w:p w14:paraId="321209EF">
      <w:pPr>
        <w:pStyle w:val="2"/>
        <w:rPr>
          <w:rFonts w:hint="eastAsia" w:ascii="宋体" w:hAnsi="宋体" w:eastAsia="宋体" w:cs="宋体"/>
          <w:lang w:val="en-US" w:eastAsia="zh-CN"/>
        </w:rPr>
      </w:pPr>
    </w:p>
    <w:p w14:paraId="1BB5D194">
      <w:pPr>
        <w:rPr>
          <w:rFonts w:hint="eastAsia"/>
          <w:lang w:val="en-US" w:eastAsia="zh-CN"/>
        </w:rPr>
      </w:pPr>
    </w:p>
    <w:p w14:paraId="4A87BCA8">
      <w:pPr>
        <w:rPr>
          <w:rFonts w:hint="eastAsia" w:ascii="宋体" w:hAnsi="宋体" w:eastAsia="宋体" w:cs="宋体"/>
          <w:lang w:val="en-US" w:eastAsia="zh-CN"/>
        </w:rPr>
      </w:pPr>
    </w:p>
    <w:p w14:paraId="055BD2B2">
      <w:pPr>
        <w:rPr>
          <w:rFonts w:hint="eastAsia" w:ascii="宋体" w:hAnsi="宋体" w:eastAsia="宋体" w:cs="宋体"/>
          <w:lang w:val="en-US" w:eastAsia="zh-CN"/>
        </w:rPr>
      </w:pPr>
    </w:p>
    <w:p w14:paraId="4811ADCA">
      <w:pPr>
        <w:rPr>
          <w:rFonts w:hint="eastAsia" w:ascii="宋体" w:hAnsi="宋体" w:eastAsia="宋体" w:cs="宋体"/>
          <w:lang w:val="en-US" w:eastAsia="zh-CN"/>
        </w:rPr>
      </w:pPr>
    </w:p>
    <w:p w14:paraId="4947C4AC">
      <w:pPr>
        <w:pStyle w:val="3"/>
        <w:wordWrap w:val="0"/>
        <w:autoSpaceDE/>
        <w:autoSpaceDN/>
        <w:snapToGrid w:val="0"/>
        <w:spacing w:line="360" w:lineRule="auto"/>
        <w:jc w:val="center"/>
        <w:rPr>
          <w:rFonts w:hint="eastAsia" w:ascii="宋体" w:hAnsi="宋体" w:eastAsia="宋体" w:cs="宋体"/>
          <w:color w:val="auto"/>
          <w:highlight w:val="none"/>
        </w:rPr>
      </w:pPr>
      <w:bookmarkStart w:id="293" w:name="_Toc744"/>
      <w:bookmarkStart w:id="294" w:name="_Toc6239"/>
      <w:r>
        <w:rPr>
          <w:rFonts w:hint="eastAsia" w:ascii="宋体" w:hAnsi="宋体" w:eastAsia="宋体" w:cs="宋体"/>
          <w:b/>
          <w:snapToGrid w:val="0"/>
          <w:color w:val="auto"/>
          <w:sz w:val="24"/>
          <w:highlight w:val="none"/>
        </w:rPr>
        <w:t>第六章</w:t>
      </w:r>
      <w:bookmarkStart w:id="295" w:name="_Hlt75747044"/>
      <w:bookmarkEnd w:id="295"/>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投标文件格式</w:t>
      </w:r>
      <w:bookmarkEnd w:id="293"/>
      <w:bookmarkEnd w:id="294"/>
      <w:bookmarkStart w:id="296" w:name="_附件一：投标函"/>
      <w:bookmarkEnd w:id="296"/>
      <w:bookmarkStart w:id="297" w:name="_附件四：工期承诺书"/>
      <w:bookmarkEnd w:id="297"/>
      <w:bookmarkStart w:id="298" w:name="_附件五：综合评审合理低价法"/>
      <w:bookmarkEnd w:id="298"/>
      <w:bookmarkStart w:id="299" w:name="_附件一：对招标文件条款自愿接受承诺书"/>
      <w:bookmarkEnd w:id="299"/>
      <w:bookmarkStart w:id="300" w:name="_附件二：工期承诺书"/>
      <w:bookmarkEnd w:id="300"/>
      <w:bookmarkStart w:id="301" w:name="_附件二：近三年度主要施工项目（竣工及在建）一览表"/>
      <w:bookmarkEnd w:id="301"/>
      <w:bookmarkStart w:id="302" w:name="_Toc200338097"/>
      <w:bookmarkStart w:id="303" w:name="_Toc137621693"/>
      <w:bookmarkStart w:id="304" w:name="_Toc66849200"/>
      <w:bookmarkStart w:id="305" w:name="_Hlt66847557"/>
    </w:p>
    <w:p w14:paraId="35D43320">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06" w:name="_Toc7436"/>
      <w:bookmarkStart w:id="307" w:name="_Toc5248"/>
      <w:r>
        <w:rPr>
          <w:rFonts w:hint="eastAsia" w:ascii="宋体" w:hAnsi="宋体" w:eastAsia="宋体" w:cs="宋体"/>
          <w:b/>
          <w:bCs/>
          <w:color w:val="auto"/>
          <w:spacing w:val="-11"/>
          <w:sz w:val="24"/>
          <w:szCs w:val="24"/>
          <w:highlight w:val="none"/>
          <w:lang w:val="en-US" w:eastAsia="zh-CN"/>
        </w:rPr>
        <w:t>格式一   封面</w:t>
      </w:r>
      <w:bookmarkEnd w:id="306"/>
      <w:bookmarkEnd w:id="307"/>
    </w:p>
    <w:p w14:paraId="2C41E55F">
      <w:pPr>
        <w:pStyle w:val="60"/>
        <w:widowControl w:val="0"/>
        <w:wordWrap w:val="0"/>
        <w:adjustRightInd w:val="0"/>
        <w:snapToGrid w:val="0"/>
        <w:spacing w:line="360" w:lineRule="auto"/>
        <w:rPr>
          <w:rFonts w:hint="eastAsia" w:ascii="宋体" w:hAnsi="宋体" w:eastAsia="宋体" w:cs="宋体"/>
          <w:b/>
          <w:snapToGrid w:val="0"/>
          <w:color w:val="auto"/>
          <w:sz w:val="24"/>
          <w:highlight w:val="none"/>
        </w:rPr>
      </w:pPr>
    </w:p>
    <w:p w14:paraId="64F599D5">
      <w:pPr>
        <w:pStyle w:val="60"/>
        <w:widowControl w:val="0"/>
        <w:wordWrap w:val="0"/>
        <w:adjustRightInd w:val="0"/>
        <w:snapToGrid w:val="0"/>
        <w:spacing w:line="360" w:lineRule="auto"/>
        <w:jc w:val="both"/>
        <w:rPr>
          <w:rFonts w:hint="eastAsia" w:ascii="宋体" w:hAnsi="宋体" w:eastAsia="宋体" w:cs="宋体"/>
          <w:b/>
          <w:snapToGrid w:val="0"/>
          <w:color w:val="auto"/>
          <w:sz w:val="24"/>
          <w:highlight w:val="none"/>
        </w:rPr>
      </w:pPr>
    </w:p>
    <w:p w14:paraId="264A32FC">
      <w:pPr>
        <w:pStyle w:val="60"/>
        <w:widowControl w:val="0"/>
        <w:wordWrap w:val="0"/>
        <w:adjustRightInd w:val="0"/>
        <w:snapToGrid w:val="0"/>
        <w:spacing w:line="360" w:lineRule="auto"/>
        <w:rPr>
          <w:rFonts w:hint="eastAsia" w:ascii="宋体" w:hAnsi="宋体" w:eastAsia="宋体" w:cs="宋体"/>
          <w:b/>
          <w:snapToGrid w:val="0"/>
          <w:color w:val="auto"/>
          <w:sz w:val="24"/>
          <w:highlight w:val="none"/>
        </w:rPr>
      </w:pPr>
    </w:p>
    <w:p w14:paraId="01047916">
      <w:pPr>
        <w:pStyle w:val="60"/>
        <w:widowControl w:val="0"/>
        <w:wordWrap w:val="0"/>
        <w:adjustRightInd w:val="0"/>
        <w:snapToGrid w:val="0"/>
        <w:spacing w:line="360" w:lineRule="auto"/>
        <w:rPr>
          <w:rFonts w:hint="eastAsia" w:ascii="宋体" w:hAnsi="宋体" w:eastAsia="宋体" w:cs="宋体"/>
          <w:b/>
          <w:snapToGrid w:val="0"/>
          <w:color w:val="auto"/>
          <w:sz w:val="24"/>
          <w:highlight w:val="none"/>
        </w:rPr>
      </w:pPr>
    </w:p>
    <w:p w14:paraId="68318CBB">
      <w:pPr>
        <w:keepNext w:val="0"/>
        <w:keepLines w:val="0"/>
        <w:widowControl/>
        <w:suppressLineNumbers w:val="0"/>
        <w:spacing w:line="360" w:lineRule="auto"/>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（项目名称）</w:t>
      </w:r>
      <w:r>
        <w:rPr>
          <w:rFonts w:hint="eastAsia" w:ascii="宋体" w:hAnsi="宋体" w:eastAsia="宋体" w:cs="宋体"/>
          <w:b/>
          <w:snapToGrid w:val="0"/>
          <w:color w:val="auto"/>
          <w:sz w:val="48"/>
          <w:szCs w:val="48"/>
          <w:highlight w:val="none"/>
          <w:lang w:val="en-US" w:eastAsia="zh-CN"/>
        </w:rPr>
        <w:t>工程施工</w:t>
      </w:r>
      <w:r>
        <w:rPr>
          <w:rFonts w:hint="eastAsia" w:ascii="宋体" w:hAnsi="宋体" w:eastAsia="宋体" w:cs="宋体"/>
          <w:b/>
          <w:snapToGrid w:val="0"/>
          <w:color w:val="auto"/>
          <w:sz w:val="48"/>
          <w:szCs w:val="48"/>
          <w:highlight w:val="none"/>
        </w:rPr>
        <w:t>招标</w:t>
      </w:r>
    </w:p>
    <w:p w14:paraId="3BFA3CCF">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32"/>
          <w:highlight w:val="none"/>
        </w:rPr>
      </w:pPr>
    </w:p>
    <w:p w14:paraId="539028DF">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44CCF37F">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32"/>
          <w:highlight w:val="none"/>
        </w:rPr>
      </w:pPr>
    </w:p>
    <w:p w14:paraId="1CBA27F3">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3D95CC72">
      <w:pPr>
        <w:pStyle w:val="60"/>
        <w:widowControl w:val="0"/>
        <w:wordWrap w:val="0"/>
        <w:adjustRightInd w:val="0"/>
        <w:snapToGrid w:val="0"/>
        <w:spacing w:line="360" w:lineRule="auto"/>
        <w:rPr>
          <w:rFonts w:hint="eastAsia" w:ascii="宋体" w:hAnsi="宋体" w:eastAsia="宋体" w:cs="宋体"/>
          <w:b/>
          <w:snapToGrid w:val="0"/>
          <w:color w:val="auto"/>
          <w:highlight w:val="none"/>
        </w:rPr>
      </w:pPr>
    </w:p>
    <w:p w14:paraId="71A1C0CC">
      <w:pPr>
        <w:pStyle w:val="60"/>
        <w:widowControl w:val="0"/>
        <w:wordWrap w:val="0"/>
        <w:adjustRightInd w:val="0"/>
        <w:snapToGrid w:val="0"/>
        <w:spacing w:line="360" w:lineRule="auto"/>
        <w:rPr>
          <w:rFonts w:hint="eastAsia" w:ascii="宋体" w:hAnsi="宋体" w:eastAsia="宋体" w:cs="宋体"/>
          <w:b/>
          <w:snapToGrid w:val="0"/>
          <w:color w:val="auto"/>
          <w:sz w:val="32"/>
          <w:highlight w:val="none"/>
        </w:rPr>
      </w:pPr>
    </w:p>
    <w:p w14:paraId="56947D7C">
      <w:pPr>
        <w:pStyle w:val="60"/>
        <w:widowControl w:val="0"/>
        <w:wordWrap w:val="0"/>
        <w:adjustRightInd w:val="0"/>
        <w:snapToGrid w:val="0"/>
        <w:spacing w:line="360" w:lineRule="auto"/>
        <w:rPr>
          <w:rFonts w:hint="eastAsia" w:ascii="宋体" w:hAnsi="宋体" w:eastAsia="宋体" w:cs="宋体"/>
          <w:b/>
          <w:snapToGrid w:val="0"/>
          <w:color w:val="auto"/>
          <w:sz w:val="32"/>
          <w:highlight w:val="none"/>
        </w:rPr>
      </w:pPr>
    </w:p>
    <w:p w14:paraId="452183E4">
      <w:pPr>
        <w:pStyle w:val="60"/>
        <w:widowControl w:val="0"/>
        <w:wordWrap w:val="0"/>
        <w:adjustRightInd w:val="0"/>
        <w:snapToGrid w:val="0"/>
        <w:spacing w:line="360" w:lineRule="auto"/>
        <w:rPr>
          <w:rFonts w:hint="eastAsia" w:ascii="宋体" w:hAnsi="宋体" w:eastAsia="宋体" w:cs="宋体"/>
          <w:b/>
          <w:snapToGrid w:val="0"/>
          <w:color w:val="auto"/>
          <w:sz w:val="32"/>
          <w:highlight w:val="none"/>
        </w:rPr>
      </w:pPr>
    </w:p>
    <w:p w14:paraId="63A9DDCA">
      <w:pPr>
        <w:pStyle w:val="6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06234196">
      <w:pPr>
        <w:pStyle w:val="60"/>
        <w:widowControl w:val="0"/>
        <w:wordWrap w:val="0"/>
        <w:adjustRightInd w:val="0"/>
        <w:snapToGrid w:val="0"/>
        <w:spacing w:line="360" w:lineRule="auto"/>
        <w:ind w:firstLine="0"/>
        <w:jc w:val="both"/>
        <w:rPr>
          <w:rFonts w:hint="eastAsia" w:ascii="宋体" w:hAnsi="宋体" w:eastAsia="宋体" w:cs="宋体"/>
          <w:bCs/>
          <w:snapToGrid w:val="0"/>
          <w:color w:val="auto"/>
          <w:sz w:val="32"/>
          <w:highlight w:val="none"/>
        </w:rPr>
      </w:pPr>
    </w:p>
    <w:p w14:paraId="2D081AA0">
      <w:pPr>
        <w:pStyle w:val="6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56D1462D">
      <w:pPr>
        <w:pStyle w:val="60"/>
        <w:widowControl w:val="0"/>
        <w:wordWrap w:val="0"/>
        <w:adjustRightInd w:val="0"/>
        <w:snapToGrid w:val="0"/>
        <w:spacing w:line="360" w:lineRule="auto"/>
        <w:ind w:firstLine="0"/>
        <w:jc w:val="both"/>
        <w:rPr>
          <w:rFonts w:hint="eastAsia" w:ascii="宋体" w:hAnsi="宋体" w:eastAsia="宋体" w:cs="宋体"/>
          <w:bCs/>
          <w:snapToGrid w:val="0"/>
          <w:color w:val="auto"/>
          <w:sz w:val="32"/>
          <w:highlight w:val="none"/>
          <w:u w:val="single"/>
        </w:rPr>
      </w:pPr>
    </w:p>
    <w:p w14:paraId="673B1733">
      <w:pPr>
        <w:pStyle w:val="6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2F36BE3D">
      <w:pPr>
        <w:rPr>
          <w:rFonts w:hint="eastAsia" w:ascii="宋体" w:hAnsi="宋体" w:eastAsia="宋体" w:cs="宋体"/>
        </w:rPr>
      </w:pPr>
      <w:bookmarkStart w:id="308" w:name="_Toc15092"/>
      <w:bookmarkStart w:id="309" w:name="_Toc104711098"/>
      <w:bookmarkStart w:id="310" w:name="_Toc106418843"/>
    </w:p>
    <w:p w14:paraId="6832A50E">
      <w:pPr>
        <w:rPr>
          <w:rFonts w:hint="eastAsia" w:ascii="宋体" w:hAnsi="宋体" w:eastAsia="宋体" w:cs="宋体"/>
        </w:rPr>
      </w:pPr>
    </w:p>
    <w:p w14:paraId="4E5A5E31">
      <w:pPr>
        <w:rPr>
          <w:rFonts w:hint="eastAsia" w:ascii="宋体" w:hAnsi="宋体" w:eastAsia="宋体" w:cs="宋体"/>
        </w:rPr>
      </w:pPr>
    </w:p>
    <w:p w14:paraId="024AE31D">
      <w:pPr>
        <w:rPr>
          <w:rFonts w:hint="eastAsia" w:ascii="宋体" w:hAnsi="宋体" w:eastAsia="宋体" w:cs="宋体"/>
        </w:rPr>
      </w:pPr>
    </w:p>
    <w:p w14:paraId="33966578">
      <w:pPr>
        <w:rPr>
          <w:rFonts w:hint="eastAsia" w:ascii="宋体" w:hAnsi="宋体" w:eastAsia="宋体" w:cs="宋体"/>
        </w:rPr>
      </w:pPr>
    </w:p>
    <w:p w14:paraId="7100C261">
      <w:pPr>
        <w:rPr>
          <w:rFonts w:hint="eastAsia" w:ascii="宋体" w:hAnsi="宋体" w:eastAsia="宋体" w:cs="宋体"/>
        </w:rPr>
      </w:pPr>
    </w:p>
    <w:p w14:paraId="4FDFF029">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1" w:name="_Toc14807"/>
      <w:r>
        <w:rPr>
          <w:rFonts w:hint="eastAsia" w:ascii="宋体" w:hAnsi="宋体" w:eastAsia="宋体" w:cs="宋体"/>
          <w:b/>
          <w:bCs/>
          <w:color w:val="auto"/>
          <w:spacing w:val="-11"/>
          <w:sz w:val="24"/>
          <w:szCs w:val="24"/>
          <w:highlight w:val="none"/>
          <w:lang w:val="en-US" w:eastAsia="zh-CN"/>
        </w:rPr>
        <w:t>格式</w:t>
      </w:r>
      <w:bookmarkStart w:id="312" w:name="_Hlt97526007"/>
      <w:bookmarkEnd w:id="312"/>
      <w:r>
        <w:rPr>
          <w:rFonts w:hint="eastAsia" w:ascii="宋体" w:hAnsi="宋体" w:eastAsia="宋体" w:cs="宋体"/>
          <w:b/>
          <w:bCs/>
          <w:color w:val="auto"/>
          <w:spacing w:val="-11"/>
          <w:sz w:val="24"/>
          <w:szCs w:val="24"/>
          <w:highlight w:val="none"/>
          <w:lang w:val="en-US" w:eastAsia="zh-CN"/>
        </w:rPr>
        <w:t>二   投标函</w:t>
      </w:r>
      <w:bookmarkEnd w:id="308"/>
      <w:bookmarkEnd w:id="311"/>
    </w:p>
    <w:p w14:paraId="07C295E9">
      <w:pPr>
        <w:wordWrap w:val="0"/>
        <w:adjustRightInd w:val="0"/>
        <w:snapToGrid w:val="0"/>
        <w:spacing w:before="260" w:after="260" w:line="360" w:lineRule="auto"/>
        <w:jc w:val="center"/>
        <w:rPr>
          <w:rFonts w:hint="eastAsia" w:ascii="宋体" w:hAnsi="宋体" w:eastAsia="宋体" w:cs="宋体"/>
          <w:b/>
          <w:snapToGrid w:val="0"/>
          <w:color w:val="auto"/>
          <w:kern w:val="0"/>
          <w:sz w:val="30"/>
          <w:highlight w:val="none"/>
        </w:rPr>
      </w:pPr>
      <w:r>
        <w:rPr>
          <w:rFonts w:hint="eastAsia" w:ascii="宋体" w:hAnsi="宋体" w:eastAsia="宋体" w:cs="宋体"/>
          <w:b/>
          <w:snapToGrid w:val="0"/>
          <w:color w:val="auto"/>
          <w:kern w:val="0"/>
          <w:sz w:val="30"/>
          <w:highlight w:val="none"/>
        </w:rPr>
        <w:t>投  标  函</w:t>
      </w:r>
      <w:bookmarkEnd w:id="309"/>
      <w:bookmarkEnd w:id="310"/>
    </w:p>
    <w:p w14:paraId="37577B2E">
      <w:pPr>
        <w:wordWrap w:val="0"/>
        <w:adjustRightInd w:val="0"/>
        <w:snapToGrid w:val="0"/>
        <w:spacing w:line="360" w:lineRule="auto"/>
        <w:jc w:val="center"/>
        <w:rPr>
          <w:rFonts w:hint="eastAsia" w:ascii="宋体" w:hAnsi="宋体" w:eastAsia="宋体" w:cs="宋体"/>
          <w:b/>
          <w:snapToGrid w:val="0"/>
          <w:color w:val="auto"/>
          <w:kern w:val="0"/>
          <w:highlight w:val="none"/>
        </w:rPr>
      </w:pPr>
    </w:p>
    <w:p w14:paraId="72CE9446">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1BB50ABC">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7CC51F54">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在我方的上述投标总价中，包括：绿色施工安全防护措施费¥</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color w:val="auto"/>
          <w:kern w:val="0"/>
          <w:szCs w:val="24"/>
          <w:highlight w:val="none"/>
          <w:lang w:bidi="ar"/>
        </w:rPr>
        <w:t>暂列金额</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53D8C7E3">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6B88A785">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23012583">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4AA735D9">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我方在此承诺，所递交投标文件的全部内容均为真实、有效、准确的，并愿意承担因我方就此弄虚作假所引起的一切法律后果，同时理解和同意有可能被要求提供更多的资料。</w:t>
      </w:r>
    </w:p>
    <w:p w14:paraId="72DE2632">
      <w:pPr>
        <w:wordWrap w:val="0"/>
        <w:adjustRightInd w:val="0"/>
        <w:snapToGrid w:val="0"/>
        <w:spacing w:line="360" w:lineRule="auto"/>
        <w:ind w:firstLine="570"/>
        <w:rPr>
          <w:rFonts w:hint="eastAsia" w:ascii="宋体" w:hAnsi="宋体" w:eastAsia="宋体" w:cs="宋体"/>
          <w:snapToGrid w:val="0"/>
          <w:color w:val="auto"/>
          <w:kern w:val="0"/>
          <w:highlight w:val="none"/>
        </w:rPr>
      </w:pPr>
      <w:bookmarkStart w:id="313" w:name="_Hlt68771070"/>
      <w:bookmarkEnd w:id="313"/>
      <w:r>
        <w:rPr>
          <w:rFonts w:hint="eastAsia" w:ascii="宋体" w:hAnsi="宋体" w:eastAsia="宋体" w:cs="宋体"/>
          <w:snapToGrid w:val="0"/>
          <w:color w:val="auto"/>
          <w:kern w:val="0"/>
          <w:highlight w:val="none"/>
        </w:rPr>
        <w:t xml:space="preserve">6. 我方理解你方不一定要接纳收到的最低投标总价或任何投标总价的投标人中标，也不要求你方解释我方是否中标的原因。  </w:t>
      </w:r>
    </w:p>
    <w:p w14:paraId="286754D7">
      <w:pPr>
        <w:wordWrap w:val="0"/>
        <w:adjustRightInd w:val="0"/>
        <w:snapToGrid w:val="0"/>
        <w:spacing w:line="360" w:lineRule="auto"/>
        <w:rPr>
          <w:rFonts w:hint="eastAsia" w:ascii="宋体" w:hAnsi="宋体" w:eastAsia="宋体" w:cs="宋体"/>
          <w:snapToGrid w:val="0"/>
          <w:color w:val="auto"/>
          <w:kern w:val="0"/>
          <w:highlight w:val="none"/>
        </w:rPr>
      </w:pPr>
    </w:p>
    <w:p w14:paraId="4C19F572">
      <w:pPr>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02FADCC8">
      <w:pPr>
        <w:wordWrap w:val="0"/>
        <w:adjustRightInd w:val="0"/>
        <w:snapToGrid w:val="0"/>
        <w:spacing w:line="360" w:lineRule="auto"/>
        <w:jc w:val="both"/>
        <w:rPr>
          <w:rFonts w:hint="eastAsia" w:ascii="宋体" w:hAnsi="宋体" w:eastAsia="宋体" w:cs="宋体"/>
          <w:snapToGrid w:val="0"/>
          <w:color w:val="auto"/>
          <w:kern w:val="0"/>
          <w:highlight w:val="none"/>
        </w:rPr>
      </w:pPr>
    </w:p>
    <w:p w14:paraId="21A9E1B3">
      <w:pPr>
        <w:wordWrap w:val="0"/>
        <w:adjustRightInd w:val="0"/>
        <w:snapToGrid w:val="0"/>
        <w:spacing w:line="360" w:lineRule="auto"/>
        <w:ind w:firstLine="42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64C5BD80">
      <w:pPr>
        <w:wordWrap w:val="0"/>
        <w:adjustRightInd w:val="0"/>
        <w:snapToGrid w:val="0"/>
        <w:spacing w:line="360" w:lineRule="auto"/>
        <w:ind w:firstLine="420" w:firstLineChars="200"/>
        <w:jc w:val="right"/>
        <w:rPr>
          <w:rFonts w:hint="eastAsia" w:ascii="宋体" w:hAnsi="宋体" w:eastAsia="宋体" w:cs="宋体"/>
          <w:snapToGrid w:val="0"/>
          <w:color w:val="auto"/>
          <w:kern w:val="0"/>
          <w:highlight w:val="none"/>
        </w:rPr>
      </w:pPr>
    </w:p>
    <w:p w14:paraId="16BA2C90">
      <w:pPr>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723254A">
      <w:pPr>
        <w:rPr>
          <w:rFonts w:hint="eastAsia" w:ascii="宋体" w:hAnsi="宋体" w:eastAsia="宋体" w:cs="宋体"/>
        </w:rPr>
      </w:pPr>
    </w:p>
    <w:p w14:paraId="651C624D">
      <w:pPr>
        <w:rPr>
          <w:rFonts w:hint="eastAsia" w:ascii="宋体" w:hAnsi="宋体" w:eastAsia="宋体" w:cs="宋体"/>
        </w:rPr>
      </w:pPr>
    </w:p>
    <w:p w14:paraId="2AB6725F">
      <w:pPr>
        <w:rPr>
          <w:rFonts w:hint="eastAsia" w:ascii="宋体" w:hAnsi="宋体" w:eastAsia="宋体" w:cs="宋体"/>
        </w:rPr>
      </w:pPr>
    </w:p>
    <w:p w14:paraId="55FAC9DF">
      <w:pPr>
        <w:rPr>
          <w:rFonts w:hint="eastAsia" w:ascii="宋体" w:hAnsi="宋体" w:eastAsia="宋体" w:cs="宋体"/>
        </w:rPr>
      </w:pPr>
    </w:p>
    <w:p w14:paraId="197EDB44">
      <w:pPr>
        <w:rPr>
          <w:rFonts w:hint="eastAsia" w:ascii="宋体" w:hAnsi="宋体" w:eastAsia="宋体" w:cs="宋体"/>
        </w:rPr>
      </w:pPr>
    </w:p>
    <w:p w14:paraId="3C10911C">
      <w:pPr>
        <w:rPr>
          <w:rFonts w:hint="eastAsia" w:ascii="宋体" w:hAnsi="宋体" w:eastAsia="宋体" w:cs="宋体"/>
        </w:rPr>
      </w:pPr>
    </w:p>
    <w:p w14:paraId="797BAF72">
      <w:pPr>
        <w:rPr>
          <w:rFonts w:hint="eastAsia" w:ascii="宋体" w:hAnsi="宋体" w:eastAsia="宋体" w:cs="宋体"/>
        </w:rPr>
      </w:pPr>
    </w:p>
    <w:p w14:paraId="458AF8B9">
      <w:pPr>
        <w:rPr>
          <w:rFonts w:hint="eastAsia" w:ascii="宋体" w:hAnsi="宋体" w:eastAsia="宋体" w:cs="宋体"/>
        </w:rPr>
      </w:pPr>
    </w:p>
    <w:p w14:paraId="797ED5A1">
      <w:pPr>
        <w:rPr>
          <w:rFonts w:hint="eastAsia" w:ascii="宋体" w:hAnsi="宋体" w:eastAsia="宋体" w:cs="宋体"/>
        </w:rPr>
      </w:pPr>
    </w:p>
    <w:p w14:paraId="5C1E69FC">
      <w:pPr>
        <w:rPr>
          <w:rFonts w:hint="eastAsia" w:ascii="宋体" w:hAnsi="宋体" w:eastAsia="宋体" w:cs="宋体"/>
        </w:rPr>
      </w:pPr>
    </w:p>
    <w:p w14:paraId="53BA4DC2">
      <w:pPr>
        <w:rPr>
          <w:rFonts w:hint="eastAsia" w:ascii="宋体" w:hAnsi="宋体" w:eastAsia="宋体" w:cs="宋体"/>
        </w:rPr>
      </w:pPr>
    </w:p>
    <w:p w14:paraId="6F3792C5">
      <w:pPr>
        <w:rPr>
          <w:rFonts w:hint="eastAsia" w:ascii="宋体" w:hAnsi="宋体" w:eastAsia="宋体" w:cs="宋体"/>
        </w:rPr>
      </w:pPr>
    </w:p>
    <w:p w14:paraId="32CD095F">
      <w:pPr>
        <w:rPr>
          <w:rFonts w:hint="eastAsia" w:ascii="宋体" w:hAnsi="宋体" w:eastAsia="宋体" w:cs="宋体"/>
        </w:rPr>
      </w:pPr>
    </w:p>
    <w:p w14:paraId="747A1937">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4" w:name="_Toc6212"/>
      <w:bookmarkStart w:id="315" w:name="_Toc32516"/>
      <w:r>
        <w:rPr>
          <w:rFonts w:hint="eastAsia" w:ascii="宋体" w:hAnsi="宋体" w:eastAsia="宋体" w:cs="宋体"/>
          <w:b/>
          <w:bCs/>
          <w:color w:val="auto"/>
          <w:spacing w:val="-11"/>
          <w:sz w:val="24"/>
          <w:szCs w:val="24"/>
          <w:highlight w:val="none"/>
          <w:lang w:val="en-US" w:eastAsia="zh-CN"/>
        </w:rPr>
        <w:t>格式三   各项承诺一览表</w:t>
      </w:r>
      <w:bookmarkEnd w:id="314"/>
      <w:bookmarkEnd w:id="315"/>
    </w:p>
    <w:p w14:paraId="1E50F52C">
      <w:pPr>
        <w:wordWrap w:val="0"/>
        <w:adjustRightInd w:val="0"/>
        <w:snapToGrid w:val="0"/>
        <w:spacing w:before="260" w:after="260" w:line="360" w:lineRule="auto"/>
        <w:jc w:val="center"/>
        <w:rPr>
          <w:rFonts w:hint="eastAsia" w:ascii="宋体" w:hAnsi="宋体" w:eastAsia="宋体" w:cs="宋体"/>
          <w:b/>
          <w:snapToGrid w:val="0"/>
          <w:color w:val="auto"/>
          <w:kern w:val="0"/>
          <w:sz w:val="30"/>
          <w:highlight w:val="none"/>
        </w:rPr>
      </w:pPr>
      <w:r>
        <w:rPr>
          <w:rFonts w:hint="eastAsia" w:ascii="宋体" w:hAnsi="宋体" w:eastAsia="宋体" w:cs="宋体"/>
          <w:b/>
          <w:snapToGrid w:val="0"/>
          <w:color w:val="auto"/>
          <w:kern w:val="0"/>
          <w:sz w:val="30"/>
          <w:highlight w:val="none"/>
        </w:rPr>
        <w:t>各项承诺一览表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606D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716" w:type="dxa"/>
            <w:noWrap w:val="0"/>
            <w:vAlign w:val="center"/>
          </w:tcPr>
          <w:p w14:paraId="42B41F15">
            <w:pPr>
              <w:pStyle w:val="61"/>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28B2AB86">
            <w:pPr>
              <w:pStyle w:val="61"/>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17F76C2A">
            <w:pPr>
              <w:pStyle w:val="61"/>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4019" w:type="dxa"/>
            <w:noWrap w:val="0"/>
            <w:vAlign w:val="center"/>
          </w:tcPr>
          <w:p w14:paraId="688DFD5B">
            <w:pPr>
              <w:pStyle w:val="61"/>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04D2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6" w:type="dxa"/>
            <w:noWrap w:val="0"/>
            <w:vAlign w:val="center"/>
          </w:tcPr>
          <w:p w14:paraId="5958BEF9">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3487A474">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0BED1AE0">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02708758">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14:paraId="74CEC527">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636A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6" w:hRule="atLeast"/>
          <w:jc w:val="center"/>
        </w:trPr>
        <w:tc>
          <w:tcPr>
            <w:tcW w:w="716" w:type="dxa"/>
            <w:noWrap w:val="0"/>
            <w:vAlign w:val="center"/>
          </w:tcPr>
          <w:p w14:paraId="4C234E39">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7B709FA7">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0EC178BC">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1C927612">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4019" w:type="dxa"/>
            <w:noWrap w:val="0"/>
            <w:vAlign w:val="center"/>
          </w:tcPr>
          <w:p w14:paraId="414B34FF">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35F6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3" w:hRule="atLeast"/>
          <w:jc w:val="center"/>
        </w:trPr>
        <w:tc>
          <w:tcPr>
            <w:tcW w:w="716" w:type="dxa"/>
            <w:noWrap w:val="0"/>
            <w:vAlign w:val="center"/>
          </w:tcPr>
          <w:p w14:paraId="248211D3">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5115D9C4">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7D11496D">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4288B067">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3709780C">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14:paraId="6E87702E">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7414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3" w:hRule="atLeast"/>
          <w:jc w:val="center"/>
        </w:trPr>
        <w:tc>
          <w:tcPr>
            <w:tcW w:w="716" w:type="dxa"/>
            <w:noWrap w:val="0"/>
            <w:vAlign w:val="center"/>
          </w:tcPr>
          <w:p w14:paraId="31EAA839">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346FC519">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7AC888FE">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124AC659">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14:paraId="6293E7F5">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0F90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16" w:type="dxa"/>
            <w:noWrap w:val="0"/>
            <w:vAlign w:val="center"/>
          </w:tcPr>
          <w:p w14:paraId="1EDFD2C6">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53216285">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575AB90A">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42AB3134">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4019" w:type="dxa"/>
            <w:noWrap w:val="0"/>
            <w:vAlign w:val="center"/>
          </w:tcPr>
          <w:p w14:paraId="51609CB5">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7C18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6B31AF3E">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05E969B8">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7291B7F4">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1B9704D9">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我方提供完整的电子文件。如果我方成为本项目中标候选人，我方同意并授权招标人在评标结果公示期内公开我方商务标书的全部内容。</w:t>
            </w:r>
          </w:p>
        </w:tc>
        <w:tc>
          <w:tcPr>
            <w:tcW w:w="4019" w:type="dxa"/>
            <w:tcBorders>
              <w:bottom w:val="single" w:color="auto" w:sz="4" w:space="0"/>
            </w:tcBorders>
            <w:noWrap w:val="0"/>
            <w:vAlign w:val="center"/>
            <mc:AlternateContent>
              <mc:Choice Requires="wpsCustomData">
                <wpsCustomData:diagonals>
                  <wpsCustomData:diagonal from="20000" to="0">
                    <wpsCustomData:border w:val="single" w:color="auto" w:sz="4" w:space="0"/>
                  </wpsCustomData:diagonal>
                </wpsCustomData:diagonals>
              </mc:Choice>
            </mc:AlternateContent>
          </w:tcPr>
          <w:p w14:paraId="78231BCB">
            <w:pPr>
              <w:pStyle w:val="62"/>
              <w:wordWrap w:val="0"/>
              <w:adjustRightInd w:val="0"/>
              <w:snapToGrid w:val="0"/>
              <w:spacing w:line="360" w:lineRule="auto"/>
              <w:ind w:firstLine="0" w:firstLineChars="0"/>
              <w:jc w:val="left"/>
              <mc:AlternateContent>
                <mc:Choice Requires="wpsCustomData">
                  <wpsCustomData:diagonalParaType/>
                </mc:Choice>
              </mc:AlternateContent>
              <w:rPr>
                <w:rFonts w:hint="eastAsia" w:ascii="宋体" w:hAnsi="宋体" w:eastAsia="宋体" w:cs="宋体"/>
                <w:snapToGrid w:val="0"/>
                <w:color w:val="auto"/>
                <w:kern w:val="0"/>
                <w:sz w:val="21"/>
                <w:szCs w:val="21"/>
                <w:highlight w:val="none"/>
              </w:rPr>
            </w:pPr>
          </w:p>
          <w:p w14:paraId="4CC2F0D7">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75F82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043514C3">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235F3116">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59E6BB78">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04907DD5">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70E0D9D1">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p w14:paraId="189C95F2">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6BFC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727DA8FA">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0D21C7D0">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18281251">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0EFF3052">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4019" w:type="dxa"/>
            <w:noWrap w:val="0"/>
            <w:vAlign w:val="center"/>
          </w:tcPr>
          <w:p w14:paraId="5019C284">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2DDE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105C35A9">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01E74381">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07DC4A37">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5A06FEEF">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14:paraId="1FD7AE5E">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24D3237B">
      <w:pPr>
        <w:pStyle w:val="61"/>
        <w:wordWrap w:val="0"/>
        <w:adjustRightInd w:val="0"/>
        <w:snapToGrid w:val="0"/>
        <w:spacing w:line="360" w:lineRule="auto"/>
        <w:jc w:val="left"/>
        <w:rPr>
          <w:rFonts w:hint="eastAsia" w:ascii="宋体" w:hAnsi="宋体" w:eastAsia="宋体" w:cs="宋体"/>
          <w:snapToGrid w:val="0"/>
          <w:color w:val="auto"/>
          <w:kern w:val="0"/>
          <w:highlight w:val="none"/>
        </w:rPr>
      </w:pPr>
    </w:p>
    <w:p w14:paraId="046F0F03">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484E4F6D">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0F7A98C2">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2229334B">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6E81400B">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26E5072B">
      <w:pPr>
        <w:pStyle w:val="14"/>
        <w:wordWrap w:val="0"/>
        <w:adjustRightInd w:val="0"/>
        <w:snapToGrid w:val="0"/>
        <w:spacing w:line="360" w:lineRule="auto"/>
        <w:ind w:firstLine="420" w:firstLineChars="200"/>
        <w:rPr>
          <w:rFonts w:hint="eastAsia" w:ascii="宋体" w:hAnsi="宋体" w:eastAsia="宋体" w:cs="宋体"/>
          <w:snapToGrid w:val="0"/>
          <w:color w:val="auto"/>
          <w:kern w:val="0"/>
          <w:szCs w:val="24"/>
          <w:highlight w:val="none"/>
        </w:rPr>
      </w:pPr>
    </w:p>
    <w:p w14:paraId="74AA5DC2">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5C841019">
      <w:pPr>
        <w:rPr>
          <w:rFonts w:hint="eastAsia" w:ascii="宋体" w:hAnsi="宋体" w:eastAsia="宋体" w:cs="宋体"/>
        </w:rPr>
      </w:pPr>
    </w:p>
    <w:p w14:paraId="628D37FD">
      <w:pPr>
        <w:rPr>
          <w:rFonts w:hint="eastAsia" w:ascii="宋体" w:hAnsi="宋体" w:eastAsia="宋体" w:cs="宋体"/>
        </w:rPr>
      </w:pPr>
    </w:p>
    <w:p w14:paraId="05699BF2">
      <w:pPr>
        <w:rPr>
          <w:rFonts w:hint="eastAsia" w:ascii="宋体" w:hAnsi="宋体" w:eastAsia="宋体" w:cs="宋体"/>
        </w:rPr>
      </w:pPr>
    </w:p>
    <w:p w14:paraId="74DED8EF">
      <w:pPr>
        <w:rPr>
          <w:rFonts w:hint="eastAsia" w:ascii="宋体" w:hAnsi="宋体" w:eastAsia="宋体" w:cs="宋体"/>
        </w:rPr>
      </w:pPr>
    </w:p>
    <w:p w14:paraId="255CDE9C">
      <w:pPr>
        <w:rPr>
          <w:rFonts w:hint="eastAsia" w:ascii="宋体" w:hAnsi="宋体" w:eastAsia="宋体" w:cs="宋体"/>
        </w:rPr>
      </w:pPr>
    </w:p>
    <w:p w14:paraId="6C88DCBC">
      <w:pPr>
        <w:rPr>
          <w:rFonts w:hint="eastAsia" w:ascii="宋体" w:hAnsi="宋体" w:eastAsia="宋体" w:cs="宋体"/>
        </w:rPr>
      </w:pPr>
    </w:p>
    <w:p w14:paraId="716F8935">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6" w:name="_Toc27327"/>
      <w:bookmarkStart w:id="317" w:name="_Toc1343"/>
      <w:r>
        <w:rPr>
          <w:rFonts w:hint="eastAsia" w:ascii="宋体" w:hAnsi="宋体" w:eastAsia="宋体" w:cs="宋体"/>
          <w:b/>
          <w:bCs/>
          <w:color w:val="auto"/>
          <w:spacing w:val="-11"/>
          <w:sz w:val="24"/>
          <w:szCs w:val="24"/>
          <w:highlight w:val="none"/>
          <w:lang w:val="en-US" w:eastAsia="zh-CN"/>
        </w:rPr>
        <w:t>格式四   授权委托书</w:t>
      </w:r>
      <w:bookmarkEnd w:id="316"/>
      <w:bookmarkEnd w:id="317"/>
    </w:p>
    <w:p w14:paraId="66087581">
      <w:pPr>
        <w:wordWrap w:val="0"/>
        <w:adjustRightInd w:val="0"/>
        <w:snapToGrid w:val="0"/>
        <w:spacing w:before="260" w:after="260" w:line="360" w:lineRule="auto"/>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68A237FF">
      <w:pPr>
        <w:wordWrap w:val="0"/>
        <w:adjustRightInd w:val="0"/>
        <w:snapToGrid w:val="0"/>
        <w:spacing w:line="360" w:lineRule="auto"/>
        <w:rPr>
          <w:rFonts w:hint="eastAsia" w:ascii="宋体" w:hAnsi="宋体" w:eastAsia="宋体" w:cs="宋体"/>
          <w:snapToGrid w:val="0"/>
          <w:color w:val="auto"/>
          <w:kern w:val="0"/>
          <w:szCs w:val="28"/>
          <w:highlight w:val="none"/>
        </w:rPr>
      </w:pPr>
    </w:p>
    <w:p w14:paraId="572DC2E8">
      <w:pPr>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5B8DDD93">
      <w:pPr>
        <w:wordWrap w:val="0"/>
        <w:adjustRightInd w:val="0"/>
        <w:snapToGrid w:val="0"/>
        <w:spacing w:line="360" w:lineRule="auto"/>
        <w:ind w:firstLine="420" w:firstLineChars="200"/>
        <w:rPr>
          <w:rFonts w:hint="eastAsia" w:ascii="宋体" w:hAnsi="宋体" w:eastAsia="宋体" w:cs="宋体"/>
          <w:b w:val="0"/>
          <w:bCs w:val="0"/>
          <w:i w:val="0"/>
          <w:iCs w:val="0"/>
          <w:snapToGrid w:val="0"/>
          <w:color w:val="auto"/>
          <w:kern w:val="0"/>
          <w:szCs w:val="21"/>
          <w:highlight w:val="none"/>
        </w:rPr>
      </w:pPr>
      <w:r>
        <w:rPr>
          <w:rFonts w:hint="eastAsia" w:ascii="宋体" w:hAnsi="宋体" w:eastAsia="宋体" w:cs="宋体"/>
          <w:b w:val="0"/>
          <w:bCs w:val="0"/>
          <w:i w:val="0"/>
          <w:iCs w:val="0"/>
          <w:snapToGrid w:val="0"/>
          <w:color w:val="auto"/>
          <w:kern w:val="0"/>
          <w:szCs w:val="21"/>
          <w:highlight w:val="none"/>
        </w:rPr>
        <w:t>委托期限：</w:t>
      </w:r>
      <w:r>
        <w:rPr>
          <w:rFonts w:hint="eastAsia" w:ascii="宋体" w:hAnsi="宋体" w:eastAsia="宋体" w:cs="宋体"/>
          <w:b w:val="0"/>
          <w:bCs w:val="0"/>
          <w:i w:val="0"/>
          <w:iCs w:val="0"/>
          <w:snapToGrid w:val="0"/>
          <w:color w:val="auto"/>
          <w:kern w:val="0"/>
          <w:szCs w:val="21"/>
          <w:highlight w:val="none"/>
          <w:lang w:val="en-US" w:eastAsia="zh-CN"/>
        </w:rPr>
        <w:t>至</w:t>
      </w:r>
      <w:r>
        <w:rPr>
          <w:rFonts w:hint="eastAsia" w:ascii="宋体" w:hAnsi="宋体" w:eastAsia="宋体" w:cs="宋体"/>
          <w:b w:val="0"/>
          <w:bCs w:val="0"/>
          <w:i w:val="0"/>
          <w:iCs w:val="0"/>
          <w:snapToGrid w:val="0"/>
          <w:color w:val="auto"/>
          <w:kern w:val="0"/>
          <w:szCs w:val="21"/>
          <w:highlight w:val="none"/>
          <w:u w:val="single"/>
        </w:rPr>
        <w:t xml:space="preserve">     </w:t>
      </w:r>
      <w:r>
        <w:rPr>
          <w:rFonts w:hint="eastAsia" w:ascii="宋体" w:hAnsi="宋体" w:eastAsia="宋体" w:cs="宋体"/>
          <w:b w:val="0"/>
          <w:bCs w:val="0"/>
          <w:i w:val="0"/>
          <w:iCs w:val="0"/>
          <w:snapToGrid w:val="0"/>
          <w:color w:val="auto"/>
          <w:kern w:val="0"/>
          <w:szCs w:val="21"/>
          <w:highlight w:val="none"/>
          <w:lang w:val="en-US" w:eastAsia="zh-CN"/>
        </w:rPr>
        <w:t>年</w:t>
      </w:r>
      <w:r>
        <w:rPr>
          <w:rFonts w:hint="eastAsia" w:ascii="宋体" w:hAnsi="宋体" w:eastAsia="宋体" w:cs="宋体"/>
          <w:b w:val="0"/>
          <w:bCs w:val="0"/>
          <w:i w:val="0"/>
          <w:iCs w:val="0"/>
          <w:snapToGrid w:val="0"/>
          <w:color w:val="auto"/>
          <w:kern w:val="0"/>
          <w:szCs w:val="21"/>
          <w:highlight w:val="none"/>
          <w:u w:val="single"/>
        </w:rPr>
        <w:t xml:space="preserve">     </w:t>
      </w:r>
      <w:r>
        <w:rPr>
          <w:rFonts w:hint="eastAsia" w:ascii="宋体" w:hAnsi="宋体" w:eastAsia="宋体" w:cs="宋体"/>
          <w:b w:val="0"/>
          <w:bCs w:val="0"/>
          <w:i w:val="0"/>
          <w:iCs w:val="0"/>
          <w:snapToGrid w:val="0"/>
          <w:color w:val="auto"/>
          <w:kern w:val="0"/>
          <w:szCs w:val="21"/>
          <w:highlight w:val="none"/>
          <w:lang w:val="en-US" w:eastAsia="zh-CN"/>
        </w:rPr>
        <w:t>月</w:t>
      </w:r>
      <w:r>
        <w:rPr>
          <w:rFonts w:hint="eastAsia" w:ascii="宋体" w:hAnsi="宋体" w:eastAsia="宋体" w:cs="宋体"/>
          <w:b w:val="0"/>
          <w:bCs w:val="0"/>
          <w:i w:val="0"/>
          <w:iCs w:val="0"/>
          <w:snapToGrid w:val="0"/>
          <w:color w:val="auto"/>
          <w:kern w:val="0"/>
          <w:szCs w:val="21"/>
          <w:highlight w:val="none"/>
          <w:u w:val="single"/>
        </w:rPr>
        <w:t xml:space="preserve">     </w:t>
      </w:r>
      <w:r>
        <w:rPr>
          <w:rFonts w:hint="eastAsia" w:ascii="宋体" w:hAnsi="宋体" w:eastAsia="宋体" w:cs="宋体"/>
          <w:b w:val="0"/>
          <w:bCs w:val="0"/>
          <w:i w:val="0"/>
          <w:iCs w:val="0"/>
          <w:snapToGrid w:val="0"/>
          <w:color w:val="auto"/>
          <w:kern w:val="0"/>
          <w:szCs w:val="21"/>
          <w:highlight w:val="none"/>
          <w:lang w:val="en-US" w:eastAsia="zh-CN"/>
        </w:rPr>
        <w:t>日</w:t>
      </w:r>
      <w:r>
        <w:rPr>
          <w:rFonts w:hint="eastAsia" w:ascii="宋体" w:hAnsi="宋体" w:eastAsia="宋体" w:cs="宋体"/>
          <w:b w:val="0"/>
          <w:bCs w:val="0"/>
          <w:i w:val="0"/>
          <w:iCs w:val="0"/>
          <w:snapToGrid w:val="0"/>
          <w:color w:val="auto"/>
          <w:kern w:val="0"/>
          <w:szCs w:val="21"/>
          <w:highlight w:val="none"/>
          <w:u w:val="single"/>
          <w:lang w:val="en-US" w:eastAsia="zh-CN"/>
        </w:rPr>
        <w:t>（不得短于招标文件规定的投标有效期）</w:t>
      </w:r>
      <w:r>
        <w:rPr>
          <w:rFonts w:hint="eastAsia" w:ascii="宋体" w:hAnsi="宋体" w:eastAsia="宋体" w:cs="宋体"/>
          <w:b w:val="0"/>
          <w:bCs w:val="0"/>
          <w:i w:val="0"/>
          <w:iCs w:val="0"/>
          <w:snapToGrid w:val="0"/>
          <w:color w:val="auto"/>
          <w:kern w:val="0"/>
          <w:szCs w:val="21"/>
          <w:highlight w:val="none"/>
          <w:lang w:val="en-US" w:eastAsia="zh-CN"/>
        </w:rPr>
        <w:t>。</w:t>
      </w:r>
    </w:p>
    <w:p w14:paraId="756D8030">
      <w:pPr>
        <w:wordWrap w:val="0"/>
        <w:adjustRightInd w:val="0"/>
        <w:snapToGrid w:val="0"/>
        <w:spacing w:line="360" w:lineRule="auto"/>
        <w:ind w:firstLine="422" w:firstLineChars="200"/>
        <w:rPr>
          <w:rFonts w:hint="eastAsia" w:ascii="宋体" w:hAnsi="宋体" w:eastAsia="宋体" w:cs="宋体"/>
          <w:b/>
          <w:bCs/>
          <w:i w:val="0"/>
          <w:iCs w:val="0"/>
          <w:snapToGrid w:val="0"/>
          <w:color w:val="auto"/>
          <w:kern w:val="0"/>
          <w:szCs w:val="21"/>
          <w:highlight w:val="none"/>
        </w:rPr>
      </w:pPr>
    </w:p>
    <w:p w14:paraId="2A192204">
      <w:pPr>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0415E772">
      <w:pPr>
        <w:wordWrap w:val="0"/>
        <w:adjustRightInd w:val="0"/>
        <w:snapToGrid w:val="0"/>
        <w:spacing w:line="360" w:lineRule="auto"/>
        <w:ind w:firstLine="420" w:firstLineChars="200"/>
        <w:rPr>
          <w:rFonts w:hint="eastAsia" w:ascii="宋体" w:hAnsi="宋体" w:eastAsia="宋体" w:cs="宋体"/>
          <w:snapToGrid w:val="0"/>
          <w:color w:val="auto"/>
          <w:kern w:val="0"/>
          <w:szCs w:val="21"/>
          <w:highlight w:val="none"/>
        </w:rPr>
      </w:pPr>
    </w:p>
    <w:p w14:paraId="1C8A9DF5">
      <w:pPr>
        <w:wordWrap w:val="0"/>
        <w:adjustRightInd w:val="0"/>
        <w:snapToGrid w:val="0"/>
        <w:spacing w:line="360" w:lineRule="auto"/>
        <w:ind w:firstLine="420" w:firstLineChars="200"/>
        <w:rPr>
          <w:rFonts w:hint="eastAsia" w:ascii="宋体" w:hAnsi="宋体" w:eastAsia="宋体" w:cs="宋体"/>
          <w:snapToGrid w:val="0"/>
          <w:color w:val="auto"/>
          <w:kern w:val="0"/>
          <w:szCs w:val="21"/>
          <w:highlight w:val="none"/>
        </w:rPr>
      </w:pPr>
    </w:p>
    <w:p w14:paraId="6259FD5E">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6A252D18">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3BADAF4">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56C03AB1">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188ECF2A">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4D7910DF">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96BD1BF">
      <w:pPr>
        <w:rPr>
          <w:rFonts w:hint="eastAsia" w:ascii="宋体" w:hAnsi="宋体" w:eastAsia="宋体" w:cs="宋体"/>
        </w:rPr>
      </w:pPr>
    </w:p>
    <w:p w14:paraId="10596A54">
      <w:pPr>
        <w:rPr>
          <w:rFonts w:hint="eastAsia" w:ascii="宋体" w:hAnsi="宋体" w:eastAsia="宋体" w:cs="宋体"/>
        </w:rPr>
      </w:pPr>
    </w:p>
    <w:p w14:paraId="0C542C18">
      <w:pPr>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3"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5ED4BC5">
                            <w:pPr>
                              <w:jc w:val="center"/>
                              <w:rPr>
                                <w:rFonts w:hint="eastAsia"/>
                                <w:szCs w:val="21"/>
                              </w:rPr>
                            </w:pPr>
                          </w:p>
                          <w:p w14:paraId="201C270E">
                            <w:pPr>
                              <w:jc w:val="both"/>
                              <w:rPr>
                                <w:rFonts w:hint="eastAsia"/>
                                <w:szCs w:val="21"/>
                              </w:rPr>
                            </w:pPr>
                          </w:p>
                          <w:p w14:paraId="6CB2FB26">
                            <w:pPr>
                              <w:jc w:val="center"/>
                              <w:rPr>
                                <w:szCs w:val="21"/>
                              </w:rPr>
                            </w:pPr>
                            <w:r>
                              <w:rPr>
                                <w:rFonts w:hint="eastAsia"/>
                                <w:szCs w:val="21"/>
                              </w:rPr>
                              <w:t>委托代理人身份证彩色扫描件正、反面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lEvVCYCAABUBAAADgAAAGRycy9lMm9Eb2MueG1srVRN&#10;rtMwEN4jcQfLe5qkpdBGTZ/QK2WD4EkPDjB1nMaS/7DdJt2xQ5yBHUvuALd5EtyCsVP6fmDRBV44&#10;Y3v8zXzfjLO46JUke+68MLqixSinhGtmaqG3FX3/bv1kRokPoGuQRvOKHrinF8vHjxadLfnYtEbW&#10;3BEE0b7sbEXbEGyZZZ61XIEfGcs1HjbGKQi4dNusdtAhupLZOM+fZZ1xtXWGce9xdzUc0iOiOwfQ&#10;NI1gfGXYTnEdBlTHJQSk5FthPV2mbJuGs/C2aTwPRFYUmYY0YxC0N3HOlgsotw5sK9gxBTgnhQec&#10;FAiNQU9QKwhAdk78BaUEc8abJoyYUdlAJCmCLIr8gTbXLVieuKDU3p5E9/8Plr3ZXzki6opOKNGg&#10;sOA/P3379fHzzZcfN9+/kmIeJeqsL9Hz2l6548qjGfn2jVPxi0xIn2Q9nGTlfSAMNyfFPJ89n1LC&#10;8KyYzp5OxtOImt1et86HV9woEo2KNtJ0ly248EIG7jQEfjU0TNIY9q99GO7/uRdT8EaKei2kTAu3&#10;3VxKR/aAhV+ncQx5z01q0lV0PsWECAPs5ga7CE1lURGvtynevRv+LnCexr+AY2Ir8O2QQEKIblAq&#10;gYyS1XKoX+qahINF1TU+NhqTUbymRHJ8m9FKngGEPMcTBZUadY3lGgoUrdBveoSJ5sbUByx3h/2O&#10;9D7swGHMnXVi26LqRSIS/bDZUnmODyN28911CnH7M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BaUS9UJgIAAFQEAAAOAAAAAAAAAAEAIAAAACcBAABkcnMvZTJvRG9jLnhtbFBLBQYAAAAA&#10;BgAGAFkBAAC/BQAAAAA=&#10;">
                <v:fill on="t" focussize="0,0"/>
                <v:stroke color="#000000" joinstyle="miter"/>
                <v:imagedata o:title=""/>
                <o:lock v:ext="edit" aspectratio="f"/>
                <v:textbox>
                  <w:txbxContent>
                    <w:p w14:paraId="35ED4BC5">
                      <w:pPr>
                        <w:jc w:val="center"/>
                        <w:rPr>
                          <w:rFonts w:hint="eastAsia"/>
                          <w:szCs w:val="21"/>
                        </w:rPr>
                      </w:pPr>
                    </w:p>
                    <w:p w14:paraId="201C270E">
                      <w:pPr>
                        <w:jc w:val="both"/>
                        <w:rPr>
                          <w:rFonts w:hint="eastAsia"/>
                          <w:szCs w:val="21"/>
                        </w:rPr>
                      </w:pPr>
                    </w:p>
                    <w:p w14:paraId="6CB2FB26">
                      <w:pPr>
                        <w:jc w:val="center"/>
                        <w:rPr>
                          <w:szCs w:val="21"/>
                        </w:rPr>
                      </w:pPr>
                      <w:r>
                        <w:rPr>
                          <w:rFonts w:hint="eastAsia"/>
                          <w:szCs w:val="21"/>
                        </w:rPr>
                        <w:t>委托代理人身份证彩色扫描件正、反面</w:t>
                      </w:r>
                    </w:p>
                  </w:txbxContent>
                </v:textbox>
              </v:shape>
            </w:pict>
          </mc:Fallback>
        </mc:AlternateContent>
      </w:r>
    </w:p>
    <w:p w14:paraId="61BED0D8">
      <w:pPr>
        <w:rPr>
          <w:rFonts w:hint="eastAsia" w:ascii="宋体" w:hAnsi="宋体" w:eastAsia="宋体" w:cs="宋体"/>
        </w:rPr>
      </w:pPr>
    </w:p>
    <w:p w14:paraId="6DCC7A25">
      <w:pPr>
        <w:rPr>
          <w:rFonts w:hint="eastAsia" w:ascii="宋体" w:hAnsi="宋体" w:eastAsia="宋体" w:cs="宋体"/>
        </w:rPr>
      </w:pPr>
    </w:p>
    <w:p w14:paraId="6A1F5D3C">
      <w:pPr>
        <w:rPr>
          <w:rFonts w:hint="eastAsia" w:ascii="宋体" w:hAnsi="宋体" w:eastAsia="宋体" w:cs="宋体"/>
        </w:rPr>
      </w:pPr>
    </w:p>
    <w:p w14:paraId="02ECA28D">
      <w:pPr>
        <w:rPr>
          <w:rFonts w:hint="eastAsia" w:ascii="宋体" w:hAnsi="宋体" w:eastAsia="宋体" w:cs="宋体"/>
        </w:rPr>
      </w:pPr>
    </w:p>
    <w:p w14:paraId="683343FB">
      <w:pPr>
        <w:rPr>
          <w:rFonts w:hint="eastAsia" w:ascii="宋体" w:hAnsi="宋体" w:eastAsia="宋体" w:cs="宋体"/>
        </w:rPr>
      </w:pPr>
    </w:p>
    <w:p w14:paraId="3E5D6803">
      <w:pPr>
        <w:rPr>
          <w:rFonts w:hint="eastAsia" w:ascii="宋体" w:hAnsi="宋体" w:eastAsia="宋体" w:cs="宋体"/>
        </w:rPr>
      </w:pPr>
    </w:p>
    <w:p w14:paraId="3D6B16A0">
      <w:pPr>
        <w:rPr>
          <w:rFonts w:hint="eastAsia" w:ascii="宋体" w:hAnsi="宋体" w:eastAsia="宋体" w:cs="宋体"/>
        </w:rPr>
      </w:pPr>
    </w:p>
    <w:p w14:paraId="6B336B49">
      <w:pPr>
        <w:rPr>
          <w:rFonts w:hint="eastAsia" w:ascii="宋体" w:hAnsi="宋体" w:eastAsia="宋体" w:cs="宋体"/>
        </w:rPr>
      </w:pPr>
    </w:p>
    <w:p w14:paraId="6A08C93E">
      <w:pPr>
        <w:rPr>
          <w:rFonts w:hint="eastAsia" w:ascii="宋体" w:hAnsi="宋体" w:eastAsia="宋体" w:cs="宋体"/>
        </w:rPr>
      </w:pPr>
    </w:p>
    <w:p w14:paraId="77315177">
      <w:pPr>
        <w:rPr>
          <w:rFonts w:hint="eastAsia" w:ascii="宋体" w:hAnsi="宋体" w:eastAsia="宋体" w:cs="宋体"/>
        </w:rPr>
      </w:pPr>
    </w:p>
    <w:p w14:paraId="47167783">
      <w:pPr>
        <w:rPr>
          <w:rFonts w:hint="eastAsia" w:ascii="宋体" w:hAnsi="宋体" w:eastAsia="宋体" w:cs="宋体"/>
        </w:rPr>
      </w:pPr>
    </w:p>
    <w:p w14:paraId="3E918856">
      <w:pPr>
        <w:rPr>
          <w:rFonts w:hint="eastAsia" w:ascii="宋体" w:hAnsi="宋体" w:eastAsia="宋体" w:cs="宋体"/>
        </w:rPr>
      </w:pPr>
    </w:p>
    <w:p w14:paraId="67BC31A3">
      <w:pPr>
        <w:rPr>
          <w:rFonts w:hint="eastAsia" w:ascii="宋体" w:hAnsi="宋体" w:eastAsia="宋体" w:cs="宋体"/>
        </w:rPr>
      </w:pPr>
    </w:p>
    <w:p w14:paraId="5DEF4393">
      <w:pPr>
        <w:rPr>
          <w:rFonts w:hint="eastAsia" w:ascii="宋体" w:hAnsi="宋体" w:eastAsia="宋体" w:cs="宋体"/>
        </w:rPr>
      </w:pPr>
    </w:p>
    <w:p w14:paraId="0F7FAC28">
      <w:pPr>
        <w:rPr>
          <w:rFonts w:hint="eastAsia" w:ascii="宋体" w:hAnsi="宋体" w:eastAsia="宋体" w:cs="宋体"/>
        </w:rPr>
      </w:pPr>
    </w:p>
    <w:p w14:paraId="0EFBE34F">
      <w:pPr>
        <w:rPr>
          <w:rFonts w:hint="eastAsia" w:ascii="宋体" w:hAnsi="宋体" w:eastAsia="宋体" w:cs="宋体"/>
        </w:rPr>
      </w:pPr>
    </w:p>
    <w:p w14:paraId="196529BF">
      <w:pPr>
        <w:rPr>
          <w:rFonts w:hint="eastAsia" w:ascii="宋体" w:hAnsi="宋体" w:eastAsia="宋体" w:cs="宋体"/>
        </w:rPr>
      </w:pPr>
    </w:p>
    <w:p w14:paraId="4FC40903">
      <w:pPr>
        <w:rPr>
          <w:rFonts w:hint="eastAsia" w:ascii="宋体" w:hAnsi="宋体" w:eastAsia="宋体" w:cs="宋体"/>
        </w:rPr>
      </w:pPr>
    </w:p>
    <w:p w14:paraId="3E17E85F">
      <w:pPr>
        <w:rPr>
          <w:rFonts w:hint="eastAsia" w:ascii="宋体" w:hAnsi="宋体" w:eastAsia="宋体" w:cs="宋体"/>
        </w:rPr>
      </w:pPr>
    </w:p>
    <w:p w14:paraId="3705CA0A">
      <w:pPr>
        <w:rPr>
          <w:rFonts w:hint="eastAsia" w:ascii="宋体" w:hAnsi="宋体" w:eastAsia="宋体" w:cs="宋体"/>
        </w:rPr>
      </w:pPr>
    </w:p>
    <w:p w14:paraId="14B86FF1">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8" w:name="_Toc14327"/>
      <w:bookmarkStart w:id="319" w:name="_Toc24252"/>
      <w:r>
        <w:rPr>
          <w:rFonts w:hint="eastAsia" w:ascii="宋体" w:hAnsi="宋体" w:eastAsia="宋体" w:cs="宋体"/>
          <w:b/>
          <w:bCs/>
          <w:color w:val="auto"/>
          <w:spacing w:val="-11"/>
          <w:sz w:val="24"/>
          <w:szCs w:val="24"/>
          <w:highlight w:val="none"/>
          <w:lang w:val="en-US" w:eastAsia="zh-CN"/>
        </w:rPr>
        <w:t>格式五   法定代表人身份证明</w:t>
      </w:r>
      <w:bookmarkEnd w:id="318"/>
      <w:bookmarkEnd w:id="319"/>
    </w:p>
    <w:p w14:paraId="09613183">
      <w:pPr>
        <w:wordWrap w:val="0"/>
        <w:adjustRightInd w:val="0"/>
        <w:snapToGrid w:val="0"/>
        <w:spacing w:before="260" w:after="260" w:line="360" w:lineRule="auto"/>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58A9CFE4">
      <w:pPr>
        <w:wordWrap w:val="0"/>
        <w:adjustRightInd w:val="0"/>
        <w:snapToGrid w:val="0"/>
        <w:spacing w:line="360" w:lineRule="auto"/>
        <w:rPr>
          <w:rFonts w:hint="eastAsia" w:ascii="宋体" w:hAnsi="宋体" w:eastAsia="宋体" w:cs="宋体"/>
          <w:snapToGrid w:val="0"/>
          <w:color w:val="auto"/>
          <w:kern w:val="0"/>
          <w:szCs w:val="21"/>
          <w:highlight w:val="none"/>
        </w:rPr>
      </w:pPr>
    </w:p>
    <w:p w14:paraId="540C6373">
      <w:pPr>
        <w:wordWrap w:val="0"/>
        <w:adjustRightInd w:val="0"/>
        <w:snapToGrid w:val="0"/>
        <w:spacing w:line="360" w:lineRule="auto"/>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3AB35966">
      <w:pPr>
        <w:wordWrap w:val="0"/>
        <w:adjustRightInd w:val="0"/>
        <w:snapToGrid w:val="0"/>
        <w:spacing w:line="360" w:lineRule="auto"/>
        <w:ind w:firstLine="1050" w:firstLineChars="5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7481C7F6">
      <w:pPr>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14AE9157">
      <w:pPr>
        <w:wordWrap w:val="0"/>
        <w:adjustRightInd w:val="0"/>
        <w:snapToGrid w:val="0"/>
        <w:spacing w:line="360" w:lineRule="auto"/>
        <w:rPr>
          <w:rFonts w:hint="eastAsia" w:ascii="宋体" w:hAnsi="宋体" w:eastAsia="宋体" w:cs="宋体"/>
          <w:snapToGrid w:val="0"/>
          <w:color w:val="auto"/>
          <w:kern w:val="0"/>
          <w:szCs w:val="21"/>
          <w:highlight w:val="none"/>
        </w:rPr>
      </w:pPr>
    </w:p>
    <w:p w14:paraId="13D37778">
      <w:pPr>
        <w:wordWrap w:val="0"/>
        <w:adjustRightInd w:val="0"/>
        <w:snapToGrid w:val="0"/>
        <w:spacing w:line="360" w:lineRule="auto"/>
        <w:rPr>
          <w:rFonts w:hint="eastAsia" w:ascii="宋体" w:hAnsi="宋体" w:eastAsia="宋体" w:cs="宋体"/>
          <w:snapToGrid w:val="0"/>
          <w:color w:val="auto"/>
          <w:kern w:val="0"/>
          <w:szCs w:val="21"/>
          <w:highlight w:val="none"/>
        </w:rPr>
      </w:pPr>
    </w:p>
    <w:p w14:paraId="51B836BE">
      <w:pPr>
        <w:wordWrap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3BD0D72E">
      <w:pPr>
        <w:wordWrap w:val="0"/>
        <w:adjustRightInd w:val="0"/>
        <w:snapToGrid w:val="0"/>
        <w:spacing w:line="360" w:lineRule="auto"/>
        <w:jc w:val="right"/>
        <w:rPr>
          <w:rFonts w:hint="eastAsia" w:ascii="宋体" w:hAnsi="宋体" w:eastAsia="宋体" w:cs="宋体"/>
          <w:snapToGrid w:val="0"/>
          <w:color w:val="auto"/>
          <w:kern w:val="0"/>
          <w:szCs w:val="21"/>
          <w:highlight w:val="none"/>
        </w:rPr>
      </w:pPr>
    </w:p>
    <w:p w14:paraId="26453FAF">
      <w:pPr>
        <w:wordWrap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77CFA69C">
      <w:pPr>
        <w:wordWrap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4B16DAD1">
      <w:pPr>
        <w:wordWrap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36F7072C">
      <w:pPr>
        <w:wordWrap w:val="0"/>
        <w:adjustRightInd w:val="0"/>
        <w:snapToGrid w:val="0"/>
        <w:spacing w:line="360" w:lineRule="auto"/>
        <w:ind w:firstLine="210" w:firstLineChars="1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0919DBBA">
      <w:pPr>
        <w:rPr>
          <w:rFonts w:hint="eastAsia" w:ascii="宋体" w:hAnsi="宋体" w:eastAsia="宋体" w:cs="宋体"/>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12653D35">
      <w:pPr>
        <w:rPr>
          <w:rFonts w:hint="eastAsia" w:ascii="宋体" w:hAnsi="宋体" w:eastAsia="宋体" w:cs="宋体"/>
        </w:rPr>
      </w:pPr>
    </w:p>
    <w:p w14:paraId="4C25B00A">
      <w:pPr>
        <w:rPr>
          <w:rFonts w:hint="eastAsia" w:ascii="宋体" w:hAnsi="宋体" w:eastAsia="宋体" w:cs="宋体"/>
        </w:rPr>
      </w:pPr>
    </w:p>
    <w:p w14:paraId="26C1E0A4">
      <w:pPr>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2"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32125E3">
                            <w:pPr>
                              <w:jc w:val="both"/>
                              <w:rPr>
                                <w:rFonts w:hint="eastAsia"/>
                                <w:szCs w:val="21"/>
                              </w:rPr>
                            </w:pPr>
                          </w:p>
                          <w:p w14:paraId="2F711A31">
                            <w:pPr>
                              <w:jc w:val="center"/>
                              <w:rPr>
                                <w:rFonts w:hint="eastAsia"/>
                                <w:szCs w:val="21"/>
                              </w:rPr>
                            </w:pPr>
                          </w:p>
                          <w:p w14:paraId="20F0F4F4">
                            <w:pPr>
                              <w:jc w:val="center"/>
                              <w:rPr>
                                <w:szCs w:val="21"/>
                              </w:rPr>
                            </w:pPr>
                            <w:r>
                              <w:rPr>
                                <w:rFonts w:hint="eastAsia"/>
                                <w:szCs w:val="21"/>
                              </w:rPr>
                              <w:t>法定代表人身份证彩色扫描件正、反面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60288;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ZqgFCUCAABUBAAADgAAAGRycy9lMm9Eb2MueG1srVRN&#10;rtMwEN4jcQfLe5omUFSipk/olbJBUOnBAaaOk1jyH7bbpDt2iDOwY8kdHrd5EtyCsVP6fmDRBV44&#10;Y3v8zXzfjLO4GJQke+68MLqi+WRKCdfM1EK3Ff3wfv1kTokPoGuQRvOKHrinF8vHjxa9LXlhOiNr&#10;7giCaF/2tqJdCLbMMs86rsBPjOUaDxvjFARcujarHfSIrmRWTKfPs9642jrDuPe4uxoP6RHRnQNo&#10;mkYwvjJsp7gOI6rjEgJS8p2wni5Ttk3DWXjXNJ4HIiuKTEOaMQja2zhnywWUrQPbCXZMAc5J4QEn&#10;BUJj0BPUCgKQnRN/QSnBnPGmCRNmVDYSSYogi3z6QJurDixPXFBqb0+i+/8Hy97uN46IuqIFJRoU&#10;Fvzn5++/Pn25+frj5vobyedRot76Ej2v7MYdVx7NyHdonIpfZEKGJOvhJCsfAmG4WcyLWZ7PKGF4&#10;ls/mz54Ws4ia3V63zofX3CgSjYo20vSXHbjwUgbuNAS+GRsmaQz7Nz6M9//ciyl4I0W9FlKmhWu3&#10;l9KRPWDh12kcQ95zk5r0FX0xw4QIA+zmBrsITWVREa/bFO/eDX8XeJrGv4BjYivw3ZhAQohuUCqB&#10;jJLVcahf6ZqEg0XVNT42GpNRvKZEcnyb0UqeAYQ8xxMFlRp1jeUaCxStMGwHhInm1tQHLHeP/Y70&#10;Pu7AYcyddaLtUPU8EYl+2GypPMeHEbv57jqFuP0Z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hXUptgAAAAJAQAADwAAAAAAAAABACAAAAAiAAAAZHJzL2Rvd25yZXYueG1sUEsBAhQAFAAAAAgA&#10;h07iQP2aoBQlAgAAVAQAAA4AAAAAAAAAAQAgAAAAJwEAAGRycy9lMm9Eb2MueG1sUEsFBgAAAAAG&#10;AAYAWQEAAL4FAAAAAA==&#10;">
                <v:fill on="t" focussize="0,0"/>
                <v:stroke color="#000000" joinstyle="miter"/>
                <v:imagedata o:title=""/>
                <o:lock v:ext="edit" aspectratio="f"/>
                <v:textbox>
                  <w:txbxContent>
                    <w:p w14:paraId="532125E3">
                      <w:pPr>
                        <w:jc w:val="both"/>
                        <w:rPr>
                          <w:rFonts w:hint="eastAsia"/>
                          <w:szCs w:val="21"/>
                        </w:rPr>
                      </w:pPr>
                    </w:p>
                    <w:p w14:paraId="2F711A31">
                      <w:pPr>
                        <w:jc w:val="center"/>
                        <w:rPr>
                          <w:rFonts w:hint="eastAsia"/>
                          <w:szCs w:val="21"/>
                        </w:rPr>
                      </w:pPr>
                    </w:p>
                    <w:p w14:paraId="20F0F4F4">
                      <w:pPr>
                        <w:jc w:val="center"/>
                        <w:rPr>
                          <w:szCs w:val="21"/>
                        </w:rPr>
                      </w:pPr>
                      <w:r>
                        <w:rPr>
                          <w:rFonts w:hint="eastAsia"/>
                          <w:szCs w:val="21"/>
                        </w:rPr>
                        <w:t>法定代表人身份证彩色扫描件正、反面</w:t>
                      </w:r>
                    </w:p>
                  </w:txbxContent>
                </v:textbox>
              </v:shape>
            </w:pict>
          </mc:Fallback>
        </mc:AlternateContent>
      </w:r>
    </w:p>
    <w:p w14:paraId="6BB36E90">
      <w:pPr>
        <w:rPr>
          <w:rFonts w:hint="eastAsia" w:ascii="宋体" w:hAnsi="宋体" w:eastAsia="宋体" w:cs="宋体"/>
        </w:rPr>
      </w:pPr>
    </w:p>
    <w:p w14:paraId="001E54A3">
      <w:pPr>
        <w:rPr>
          <w:rFonts w:hint="eastAsia" w:ascii="宋体" w:hAnsi="宋体" w:eastAsia="宋体" w:cs="宋体"/>
        </w:rPr>
      </w:pPr>
    </w:p>
    <w:p w14:paraId="632F3628">
      <w:pPr>
        <w:rPr>
          <w:rFonts w:hint="eastAsia" w:ascii="宋体" w:hAnsi="宋体" w:eastAsia="宋体" w:cs="宋体"/>
        </w:rPr>
      </w:pPr>
    </w:p>
    <w:p w14:paraId="330D22E7">
      <w:pPr>
        <w:rPr>
          <w:rFonts w:hint="eastAsia" w:ascii="宋体" w:hAnsi="宋体" w:eastAsia="宋体" w:cs="宋体"/>
        </w:rPr>
      </w:pPr>
    </w:p>
    <w:p w14:paraId="4BB9672C">
      <w:pPr>
        <w:rPr>
          <w:rFonts w:hint="eastAsia" w:ascii="宋体" w:hAnsi="宋体" w:eastAsia="宋体" w:cs="宋体"/>
        </w:rPr>
      </w:pPr>
    </w:p>
    <w:p w14:paraId="2994404E">
      <w:pPr>
        <w:rPr>
          <w:rFonts w:hint="eastAsia" w:ascii="宋体" w:hAnsi="宋体" w:eastAsia="宋体" w:cs="宋体"/>
        </w:rPr>
      </w:pPr>
    </w:p>
    <w:p w14:paraId="5F31FA10">
      <w:pPr>
        <w:rPr>
          <w:rFonts w:hint="eastAsia" w:ascii="宋体" w:hAnsi="宋体" w:eastAsia="宋体" w:cs="宋体"/>
        </w:rPr>
      </w:pPr>
    </w:p>
    <w:p w14:paraId="6144B3B2">
      <w:pPr>
        <w:rPr>
          <w:rFonts w:hint="eastAsia" w:ascii="宋体" w:hAnsi="宋体" w:eastAsia="宋体" w:cs="宋体"/>
        </w:rPr>
      </w:pPr>
    </w:p>
    <w:p w14:paraId="33375A46">
      <w:pPr>
        <w:rPr>
          <w:rFonts w:hint="eastAsia" w:ascii="宋体" w:hAnsi="宋体" w:eastAsia="宋体" w:cs="宋体"/>
        </w:rPr>
      </w:pPr>
    </w:p>
    <w:p w14:paraId="6A658622">
      <w:pPr>
        <w:rPr>
          <w:rFonts w:hint="eastAsia" w:ascii="宋体" w:hAnsi="宋体" w:eastAsia="宋体" w:cs="宋体"/>
        </w:rPr>
      </w:pPr>
    </w:p>
    <w:p w14:paraId="24F286FA">
      <w:pPr>
        <w:rPr>
          <w:rFonts w:hint="eastAsia" w:ascii="宋体" w:hAnsi="宋体" w:eastAsia="宋体" w:cs="宋体"/>
        </w:rPr>
      </w:pPr>
    </w:p>
    <w:p w14:paraId="693204F3">
      <w:pPr>
        <w:rPr>
          <w:rFonts w:hint="eastAsia" w:ascii="宋体" w:hAnsi="宋体" w:eastAsia="宋体" w:cs="宋体"/>
        </w:rPr>
      </w:pPr>
    </w:p>
    <w:p w14:paraId="32FB5CA0">
      <w:pPr>
        <w:rPr>
          <w:rFonts w:hint="eastAsia" w:ascii="宋体" w:hAnsi="宋体" w:eastAsia="宋体" w:cs="宋体"/>
        </w:rPr>
      </w:pPr>
    </w:p>
    <w:p w14:paraId="573B2C2E">
      <w:pPr>
        <w:rPr>
          <w:rFonts w:hint="eastAsia" w:ascii="宋体" w:hAnsi="宋体" w:eastAsia="宋体" w:cs="宋体"/>
        </w:rPr>
      </w:pPr>
    </w:p>
    <w:p w14:paraId="6755B165">
      <w:pPr>
        <w:rPr>
          <w:rFonts w:hint="eastAsia" w:ascii="宋体" w:hAnsi="宋体" w:eastAsia="宋体" w:cs="宋体"/>
        </w:rPr>
      </w:pPr>
    </w:p>
    <w:p w14:paraId="55A5C2D2">
      <w:pPr>
        <w:rPr>
          <w:rFonts w:hint="eastAsia" w:ascii="宋体" w:hAnsi="宋体" w:eastAsia="宋体" w:cs="宋体"/>
        </w:rPr>
      </w:pPr>
    </w:p>
    <w:p w14:paraId="14382192">
      <w:pPr>
        <w:rPr>
          <w:rFonts w:hint="eastAsia" w:ascii="宋体" w:hAnsi="宋体" w:eastAsia="宋体" w:cs="宋体"/>
        </w:rPr>
      </w:pPr>
    </w:p>
    <w:p w14:paraId="7AB00C9F">
      <w:pPr>
        <w:rPr>
          <w:rFonts w:hint="eastAsia" w:ascii="宋体" w:hAnsi="宋体" w:eastAsia="宋体" w:cs="宋体"/>
        </w:rPr>
      </w:pPr>
    </w:p>
    <w:p w14:paraId="2ACFF5F0">
      <w:pPr>
        <w:rPr>
          <w:rFonts w:hint="eastAsia" w:ascii="宋体" w:hAnsi="宋体" w:eastAsia="宋体" w:cs="宋体"/>
        </w:rPr>
      </w:pPr>
    </w:p>
    <w:p w14:paraId="3D27C896">
      <w:pPr>
        <w:rPr>
          <w:rFonts w:hint="eastAsia" w:ascii="宋体" w:hAnsi="宋体" w:eastAsia="宋体" w:cs="宋体"/>
        </w:rPr>
      </w:pPr>
    </w:p>
    <w:p w14:paraId="5DAD38EF">
      <w:pPr>
        <w:rPr>
          <w:rFonts w:hint="eastAsia" w:ascii="宋体" w:hAnsi="宋体" w:eastAsia="宋体" w:cs="宋体"/>
        </w:rPr>
      </w:pPr>
    </w:p>
    <w:p w14:paraId="1EBEE754">
      <w:pPr>
        <w:rPr>
          <w:rFonts w:hint="eastAsia" w:ascii="宋体" w:hAnsi="宋体" w:eastAsia="宋体" w:cs="宋体"/>
        </w:rPr>
      </w:pPr>
    </w:p>
    <w:p w14:paraId="09679D34">
      <w:pPr>
        <w:rPr>
          <w:rFonts w:hint="eastAsia" w:ascii="宋体" w:hAnsi="宋体" w:eastAsia="宋体" w:cs="宋体"/>
        </w:rPr>
      </w:pPr>
    </w:p>
    <w:p w14:paraId="54EDEFDB">
      <w:pPr>
        <w:rPr>
          <w:rFonts w:hint="eastAsia" w:ascii="宋体" w:hAnsi="宋体" w:eastAsia="宋体" w:cs="宋体"/>
        </w:rPr>
      </w:pPr>
    </w:p>
    <w:p w14:paraId="143AB60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20" w:name="_Toc102"/>
      <w:bookmarkStart w:id="321" w:name="_Toc15233"/>
      <w:r>
        <w:rPr>
          <w:rFonts w:hint="eastAsia" w:ascii="宋体" w:hAnsi="宋体" w:eastAsia="宋体" w:cs="宋体"/>
          <w:b/>
          <w:bCs/>
          <w:color w:val="auto"/>
          <w:spacing w:val="-11"/>
          <w:sz w:val="24"/>
          <w:szCs w:val="24"/>
          <w:highlight w:val="none"/>
          <w:lang w:val="en-US" w:eastAsia="zh-CN"/>
        </w:rPr>
        <w:t>格式六    投标人基本情况表</w:t>
      </w:r>
      <w:bookmarkEnd w:id="320"/>
      <w:bookmarkEnd w:id="321"/>
    </w:p>
    <w:p w14:paraId="53B6A321">
      <w:pPr>
        <w:pStyle w:val="60"/>
        <w:widowControl w:val="0"/>
        <w:wordWrap w:val="0"/>
        <w:adjustRightInd w:val="0"/>
        <w:snapToGrid w:val="0"/>
        <w:spacing w:before="260" w:after="260" w:line="240" w:lineRule="auto"/>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1409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noWrap w:val="0"/>
            <w:vAlign w:val="center"/>
          </w:tcPr>
          <w:p w14:paraId="1F5E6A1E">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投标人名称</w:t>
            </w:r>
          </w:p>
        </w:tc>
        <w:tc>
          <w:tcPr>
            <w:tcW w:w="7020" w:type="dxa"/>
            <w:gridSpan w:val="8"/>
            <w:noWrap w:val="0"/>
            <w:vAlign w:val="center"/>
          </w:tcPr>
          <w:p w14:paraId="338CD7A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50CE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noWrap w:val="0"/>
            <w:vAlign w:val="center"/>
          </w:tcPr>
          <w:p w14:paraId="4F3A345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注册地址</w:t>
            </w:r>
          </w:p>
        </w:tc>
        <w:tc>
          <w:tcPr>
            <w:tcW w:w="3389" w:type="dxa"/>
            <w:gridSpan w:val="3"/>
            <w:noWrap w:val="0"/>
            <w:vAlign w:val="center"/>
          </w:tcPr>
          <w:p w14:paraId="4824853B">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0762499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邮政编码</w:t>
            </w:r>
          </w:p>
        </w:tc>
        <w:tc>
          <w:tcPr>
            <w:tcW w:w="2385" w:type="dxa"/>
            <w:gridSpan w:val="3"/>
            <w:noWrap w:val="0"/>
            <w:vAlign w:val="center"/>
          </w:tcPr>
          <w:p w14:paraId="29AEF494">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2819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1485" w:type="dxa"/>
            <w:vMerge w:val="restart"/>
            <w:noWrap w:val="0"/>
            <w:vAlign w:val="center"/>
          </w:tcPr>
          <w:p w14:paraId="005A109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联系方式</w:t>
            </w:r>
          </w:p>
        </w:tc>
        <w:tc>
          <w:tcPr>
            <w:tcW w:w="897" w:type="dxa"/>
            <w:noWrap w:val="0"/>
            <w:vAlign w:val="center"/>
          </w:tcPr>
          <w:p w14:paraId="1CDD002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联系人</w:t>
            </w:r>
          </w:p>
        </w:tc>
        <w:tc>
          <w:tcPr>
            <w:tcW w:w="2492" w:type="dxa"/>
            <w:gridSpan w:val="2"/>
            <w:noWrap w:val="0"/>
            <w:vAlign w:val="center"/>
          </w:tcPr>
          <w:p w14:paraId="7A1F704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7B9A7A9B">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  话</w:t>
            </w:r>
          </w:p>
        </w:tc>
        <w:tc>
          <w:tcPr>
            <w:tcW w:w="2385" w:type="dxa"/>
            <w:gridSpan w:val="3"/>
            <w:noWrap w:val="0"/>
            <w:vAlign w:val="center"/>
          </w:tcPr>
          <w:p w14:paraId="66A6231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0A0D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vMerge w:val="continue"/>
            <w:noWrap w:val="0"/>
            <w:vAlign w:val="center"/>
          </w:tcPr>
          <w:p w14:paraId="2F52E13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897" w:type="dxa"/>
            <w:noWrap w:val="0"/>
            <w:vAlign w:val="center"/>
          </w:tcPr>
          <w:p w14:paraId="4AF67B2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传  真</w:t>
            </w:r>
          </w:p>
        </w:tc>
        <w:tc>
          <w:tcPr>
            <w:tcW w:w="2492" w:type="dxa"/>
            <w:gridSpan w:val="2"/>
            <w:noWrap w:val="0"/>
            <w:vAlign w:val="center"/>
          </w:tcPr>
          <w:p w14:paraId="63F7C35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1E86FE0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电子邮箱</w:t>
            </w:r>
          </w:p>
        </w:tc>
        <w:tc>
          <w:tcPr>
            <w:tcW w:w="2385" w:type="dxa"/>
            <w:gridSpan w:val="3"/>
            <w:noWrap w:val="0"/>
            <w:vAlign w:val="center"/>
          </w:tcPr>
          <w:p w14:paraId="0D1A343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CC4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1485" w:type="dxa"/>
            <w:noWrap w:val="0"/>
            <w:vAlign w:val="center"/>
          </w:tcPr>
          <w:p w14:paraId="1D074B8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单位性质</w:t>
            </w:r>
          </w:p>
        </w:tc>
        <w:tc>
          <w:tcPr>
            <w:tcW w:w="7020" w:type="dxa"/>
            <w:gridSpan w:val="8"/>
            <w:noWrap w:val="0"/>
            <w:vAlign w:val="center"/>
          </w:tcPr>
          <w:p w14:paraId="17E2BE7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79D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61900B6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法定代表人</w:t>
            </w:r>
          </w:p>
        </w:tc>
        <w:tc>
          <w:tcPr>
            <w:tcW w:w="897" w:type="dxa"/>
            <w:noWrap w:val="0"/>
            <w:vAlign w:val="center"/>
          </w:tcPr>
          <w:p w14:paraId="0DD2431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姓名</w:t>
            </w:r>
          </w:p>
        </w:tc>
        <w:tc>
          <w:tcPr>
            <w:tcW w:w="1689" w:type="dxa"/>
            <w:noWrap w:val="0"/>
            <w:vAlign w:val="center"/>
          </w:tcPr>
          <w:p w14:paraId="6B968462">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noWrap w:val="0"/>
            <w:vAlign w:val="center"/>
          </w:tcPr>
          <w:p w14:paraId="58E84C41">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技术职称</w:t>
            </w:r>
          </w:p>
        </w:tc>
        <w:tc>
          <w:tcPr>
            <w:tcW w:w="1220" w:type="dxa"/>
            <w:gridSpan w:val="2"/>
            <w:noWrap w:val="0"/>
            <w:vAlign w:val="center"/>
          </w:tcPr>
          <w:p w14:paraId="33B8317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709" w:type="dxa"/>
            <w:noWrap w:val="0"/>
            <w:vAlign w:val="center"/>
          </w:tcPr>
          <w:p w14:paraId="6E6CA87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电话</w:t>
            </w:r>
          </w:p>
        </w:tc>
        <w:tc>
          <w:tcPr>
            <w:tcW w:w="1416" w:type="dxa"/>
            <w:noWrap w:val="0"/>
            <w:vAlign w:val="center"/>
          </w:tcPr>
          <w:p w14:paraId="6C8B591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643C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noWrap w:val="0"/>
            <w:vAlign w:val="center"/>
          </w:tcPr>
          <w:p w14:paraId="0A8DF084">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成立时间</w:t>
            </w:r>
          </w:p>
        </w:tc>
        <w:tc>
          <w:tcPr>
            <w:tcW w:w="2586" w:type="dxa"/>
            <w:gridSpan w:val="2"/>
            <w:noWrap w:val="0"/>
            <w:vAlign w:val="center"/>
          </w:tcPr>
          <w:p w14:paraId="5104AEE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4434" w:type="dxa"/>
            <w:gridSpan w:val="6"/>
            <w:noWrap w:val="0"/>
            <w:vAlign w:val="center"/>
          </w:tcPr>
          <w:p w14:paraId="21133CC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员工总人数（个）：</w:t>
            </w:r>
          </w:p>
        </w:tc>
      </w:tr>
      <w:tr w14:paraId="17A0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exact"/>
          <w:jc w:val="center"/>
        </w:trPr>
        <w:tc>
          <w:tcPr>
            <w:tcW w:w="1485" w:type="dxa"/>
            <w:noWrap w:val="0"/>
            <w:vAlign w:val="center"/>
          </w:tcPr>
          <w:p w14:paraId="7DAA4B3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企业资质</w:t>
            </w:r>
          </w:p>
          <w:p w14:paraId="3060BCD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类型和等级</w:t>
            </w:r>
          </w:p>
        </w:tc>
        <w:tc>
          <w:tcPr>
            <w:tcW w:w="2586" w:type="dxa"/>
            <w:gridSpan w:val="2"/>
            <w:noWrap w:val="0"/>
            <w:vAlign w:val="center"/>
          </w:tcPr>
          <w:p w14:paraId="69FFFC2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restart"/>
            <w:noWrap w:val="0"/>
            <w:vAlign w:val="center"/>
          </w:tcPr>
          <w:p w14:paraId="2951E8B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其中</w:t>
            </w:r>
          </w:p>
        </w:tc>
        <w:tc>
          <w:tcPr>
            <w:tcW w:w="1929" w:type="dxa"/>
            <w:gridSpan w:val="3"/>
            <w:noWrap w:val="0"/>
            <w:vAlign w:val="center"/>
          </w:tcPr>
          <w:p w14:paraId="10A76B0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项目经理</w:t>
            </w:r>
          </w:p>
        </w:tc>
        <w:tc>
          <w:tcPr>
            <w:tcW w:w="1416" w:type="dxa"/>
            <w:noWrap w:val="0"/>
            <w:vAlign w:val="center"/>
          </w:tcPr>
          <w:p w14:paraId="31D0B562">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829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1485" w:type="dxa"/>
            <w:noWrap w:val="0"/>
            <w:vAlign w:val="center"/>
          </w:tcPr>
          <w:p w14:paraId="5B9824B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营业执照号</w:t>
            </w:r>
          </w:p>
        </w:tc>
        <w:tc>
          <w:tcPr>
            <w:tcW w:w="2586" w:type="dxa"/>
            <w:gridSpan w:val="2"/>
            <w:noWrap w:val="0"/>
            <w:vAlign w:val="center"/>
          </w:tcPr>
          <w:p w14:paraId="791A985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4D71DDB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6D1569DE">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高级职称人员</w:t>
            </w:r>
          </w:p>
        </w:tc>
        <w:tc>
          <w:tcPr>
            <w:tcW w:w="1416" w:type="dxa"/>
            <w:noWrap w:val="0"/>
            <w:vAlign w:val="center"/>
          </w:tcPr>
          <w:p w14:paraId="7D0B54C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C3B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85" w:type="dxa"/>
            <w:noWrap w:val="0"/>
            <w:vAlign w:val="center"/>
          </w:tcPr>
          <w:p w14:paraId="13245F5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注册资金</w:t>
            </w:r>
          </w:p>
        </w:tc>
        <w:tc>
          <w:tcPr>
            <w:tcW w:w="2586" w:type="dxa"/>
            <w:gridSpan w:val="2"/>
            <w:noWrap w:val="0"/>
            <w:vAlign w:val="center"/>
          </w:tcPr>
          <w:p w14:paraId="4BBE96E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7B0EB2E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1D277CA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中级职称人员</w:t>
            </w:r>
          </w:p>
        </w:tc>
        <w:tc>
          <w:tcPr>
            <w:tcW w:w="1416" w:type="dxa"/>
            <w:noWrap w:val="0"/>
            <w:vAlign w:val="center"/>
          </w:tcPr>
          <w:p w14:paraId="5DB1AC0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802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jc w:val="center"/>
        </w:trPr>
        <w:tc>
          <w:tcPr>
            <w:tcW w:w="1485" w:type="dxa"/>
            <w:noWrap w:val="0"/>
            <w:vAlign w:val="center"/>
          </w:tcPr>
          <w:p w14:paraId="10815DE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基本账户</w:t>
            </w:r>
          </w:p>
          <w:p w14:paraId="0FBBE56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开户银行</w:t>
            </w:r>
          </w:p>
        </w:tc>
        <w:tc>
          <w:tcPr>
            <w:tcW w:w="2586" w:type="dxa"/>
            <w:gridSpan w:val="2"/>
            <w:noWrap w:val="0"/>
            <w:vAlign w:val="center"/>
          </w:tcPr>
          <w:p w14:paraId="7177D23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102FD1A0">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03E2601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初级职称人员</w:t>
            </w:r>
          </w:p>
        </w:tc>
        <w:tc>
          <w:tcPr>
            <w:tcW w:w="1416" w:type="dxa"/>
            <w:noWrap w:val="0"/>
            <w:vAlign w:val="center"/>
          </w:tcPr>
          <w:p w14:paraId="59C9DAB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54D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jc w:val="center"/>
        </w:trPr>
        <w:tc>
          <w:tcPr>
            <w:tcW w:w="1485" w:type="dxa"/>
            <w:noWrap w:val="0"/>
            <w:vAlign w:val="center"/>
          </w:tcPr>
          <w:p w14:paraId="7059B49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基本账户</w:t>
            </w:r>
          </w:p>
          <w:p w14:paraId="4476743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银行账号</w:t>
            </w:r>
          </w:p>
        </w:tc>
        <w:tc>
          <w:tcPr>
            <w:tcW w:w="2586" w:type="dxa"/>
            <w:gridSpan w:val="2"/>
            <w:noWrap w:val="0"/>
            <w:vAlign w:val="center"/>
          </w:tcPr>
          <w:p w14:paraId="375D098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6520508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573D8441">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技术员</w:t>
            </w:r>
          </w:p>
        </w:tc>
        <w:tc>
          <w:tcPr>
            <w:tcW w:w="1416" w:type="dxa"/>
            <w:noWrap w:val="0"/>
            <w:vAlign w:val="center"/>
          </w:tcPr>
          <w:p w14:paraId="3B0533B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6491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485" w:type="dxa"/>
            <w:noWrap w:val="0"/>
            <w:vAlign w:val="center"/>
          </w:tcPr>
          <w:p w14:paraId="6BDB8E90">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经营范围</w:t>
            </w:r>
          </w:p>
        </w:tc>
        <w:tc>
          <w:tcPr>
            <w:tcW w:w="7020" w:type="dxa"/>
            <w:gridSpan w:val="8"/>
            <w:noWrap w:val="0"/>
            <w:vAlign w:val="center"/>
          </w:tcPr>
          <w:p w14:paraId="2CA0F450">
            <w:pPr>
              <w:pStyle w:val="63"/>
              <w:wordWrap w:val="0"/>
              <w:adjustRightInd w:val="0"/>
              <w:snapToGrid w:val="0"/>
              <w:spacing w:line="360" w:lineRule="auto"/>
              <w:jc w:val="left"/>
              <w:rPr>
                <w:rFonts w:hint="eastAsia" w:ascii="宋体" w:hAnsi="宋体" w:eastAsia="宋体" w:cs="宋体"/>
                <w:snapToGrid w:val="0"/>
                <w:color w:val="auto"/>
                <w:kern w:val="0"/>
                <w:szCs w:val="21"/>
                <w:highlight w:val="none"/>
              </w:rPr>
            </w:pPr>
          </w:p>
        </w:tc>
      </w:tr>
      <w:tr w14:paraId="52E8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1485" w:type="dxa"/>
            <w:noWrap w:val="0"/>
            <w:vAlign w:val="center"/>
          </w:tcPr>
          <w:p w14:paraId="4E31F12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关联企业情况</w:t>
            </w:r>
          </w:p>
        </w:tc>
        <w:tc>
          <w:tcPr>
            <w:tcW w:w="7020" w:type="dxa"/>
            <w:gridSpan w:val="8"/>
            <w:noWrap w:val="0"/>
            <w:vAlign w:val="center"/>
          </w:tcPr>
          <w:p w14:paraId="61991BD2">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包括但不限于与投标人存在以下关系的不同单位：</w:t>
            </w:r>
          </w:p>
          <w:p w14:paraId="25823A94">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法定代表人为同一人的。</w:t>
            </w:r>
          </w:p>
          <w:p w14:paraId="4A80F19E">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2</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存在控股、管理关系的。</w:t>
            </w:r>
          </w:p>
          <w:p w14:paraId="546624C5">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3</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主要人员相互任职的。</w:t>
            </w:r>
          </w:p>
        </w:tc>
      </w:tr>
      <w:tr w14:paraId="116F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85" w:type="dxa"/>
            <w:noWrap w:val="0"/>
            <w:vAlign w:val="center"/>
          </w:tcPr>
          <w:p w14:paraId="584EA06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备注</w:t>
            </w:r>
          </w:p>
        </w:tc>
        <w:tc>
          <w:tcPr>
            <w:tcW w:w="7020" w:type="dxa"/>
            <w:gridSpan w:val="8"/>
            <w:noWrap w:val="0"/>
            <w:vAlign w:val="center"/>
          </w:tcPr>
          <w:p w14:paraId="124B712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bl>
    <w:p w14:paraId="4939D955">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说明：</w:t>
      </w:r>
    </w:p>
    <w:p w14:paraId="2014D061">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Cs w:val="21"/>
          <w:highlight w:val="none"/>
        </w:rPr>
      </w:pPr>
      <w:bookmarkStart w:id="322" w:name="_Toc32526"/>
      <w:r>
        <w:rPr>
          <w:rFonts w:hint="eastAsia" w:ascii="宋体" w:hAnsi="宋体" w:eastAsia="宋体" w:cs="宋体"/>
          <w:snapToGrid w:val="0"/>
          <w:color w:val="auto"/>
          <w:kern w:val="0"/>
          <w:szCs w:val="21"/>
          <w:highlight w:val="none"/>
        </w:rPr>
        <w:t>1</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《投标人基本情况表》后应附以下资料：</w:t>
      </w:r>
      <w:bookmarkEnd w:id="322"/>
    </w:p>
    <w:p w14:paraId="5FC0DE77">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（1）企业营业执照、资质证书、安全生产许可证的</w:t>
      </w:r>
      <w:r>
        <w:rPr>
          <w:rFonts w:hint="eastAsia" w:ascii="宋体" w:hAnsi="宋体" w:eastAsia="宋体" w:cs="宋体"/>
          <w:snapToGrid w:val="0"/>
          <w:color w:val="auto"/>
          <w:kern w:val="0"/>
          <w:szCs w:val="21"/>
          <w:highlight w:val="none"/>
          <w:lang w:val="en-US" w:eastAsia="zh-CN"/>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企业的安全生产许可证实时网页查询路径：登录“中华人民共和国住房和城乡建设部”，进入 “全国工程质量安全监管信息平台公共服务门户”版块，具体网址为：https://zlaq.mohurd.gov.cn，进入后点击“安全生产许可证信息”，输入企业名称和统一社会信用代码即可查询。如中标后，投标单位安全生产许可证发生被暂扣情形，需双方另行协商）</w:t>
      </w:r>
      <w:r>
        <w:rPr>
          <w:rFonts w:hint="eastAsia" w:ascii="宋体" w:hAnsi="宋体" w:eastAsia="宋体" w:cs="宋体"/>
          <w:snapToGrid w:val="0"/>
          <w:color w:val="auto"/>
          <w:kern w:val="0"/>
          <w:szCs w:val="21"/>
          <w:highlight w:val="none"/>
        </w:rPr>
        <w:t>；</w:t>
      </w:r>
    </w:p>
    <w:p w14:paraId="07D556BE">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Cs w:val="21"/>
          <w:highlight w:val="none"/>
        </w:rPr>
        <w:t>（2）“进粤企业和人员诚信信</w:t>
      </w:r>
      <w:r>
        <w:rPr>
          <w:rFonts w:hint="eastAsia" w:ascii="宋体" w:hAnsi="宋体" w:eastAsia="宋体" w:cs="宋体"/>
          <w:snapToGrid w:val="0"/>
          <w:color w:val="auto"/>
          <w:kern w:val="0"/>
          <w:highlight w:val="none"/>
        </w:rPr>
        <w:t>息登记平台”企业信息情况打印页彩色扫描件或网页截图。（适用于省外建筑企业）；</w:t>
      </w:r>
    </w:p>
    <w:p w14:paraId="0280223A">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Cs w:val="21"/>
          <w:highlight w:val="none"/>
        </w:rPr>
        <w:t>（3）</w:t>
      </w:r>
      <w:r>
        <w:rPr>
          <w:rFonts w:hint="eastAsia" w:ascii="宋体" w:hAnsi="宋体" w:eastAsia="宋体" w:cs="宋体"/>
          <w:snapToGrid w:val="0"/>
          <w:color w:val="auto"/>
          <w:kern w:val="0"/>
          <w:highlight w:val="none"/>
        </w:rPr>
        <w:t>《法人和非法人组织公共信用信息报告》(在“信用中国”网站企业查询界面中下载) 。</w:t>
      </w:r>
    </w:p>
    <w:p w14:paraId="17DD4076">
      <w:pPr>
        <w:pStyle w:val="6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highlight w:val="none"/>
        </w:rPr>
      </w:pPr>
    </w:p>
    <w:p w14:paraId="426AAF63">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23" w:name="_Toc8882"/>
      <w:bookmarkStart w:id="324" w:name="_Toc23039"/>
      <w:r>
        <w:rPr>
          <w:rFonts w:hint="eastAsia" w:ascii="宋体" w:hAnsi="宋体" w:eastAsia="宋体" w:cs="宋体"/>
          <w:b/>
          <w:bCs/>
          <w:color w:val="auto"/>
          <w:spacing w:val="-11"/>
          <w:sz w:val="24"/>
          <w:szCs w:val="24"/>
          <w:highlight w:val="none"/>
          <w:lang w:val="en-US" w:eastAsia="zh-CN"/>
        </w:rPr>
        <w:t>格式七   项目经理简历表</w:t>
      </w:r>
      <w:bookmarkEnd w:id="323"/>
      <w:bookmarkEnd w:id="324"/>
    </w:p>
    <w:tbl>
      <w:tblPr>
        <w:tblStyle w:val="24"/>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CB61F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B56E75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7A85DF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183A75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D4225F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CA00F7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119A79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69C63A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D5BABF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A3C9DB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96336A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24FF960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BA84EC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484DC2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3E0CC2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1E1C2C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C4DCE3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E576E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B9EDB8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95D64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23C2143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3413EC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63FE25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00952E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C1CBA6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EC89A3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A7962D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A928A3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6653FD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926741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345822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3AD82C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49ADCE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09924B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2DC386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2475D5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2ABFA7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520A4C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A91C04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A2077B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518EA9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AF2ECC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280BA6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9C3E40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2E7052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82ABA0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6DB0CB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856575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C2617E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1F5CA8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CB66F2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F1A1B4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75A391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5F9564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24D199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2E536B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bl>
    <w:p w14:paraId="6CEDCDC0">
      <w:pPr>
        <w:jc w:val="center"/>
        <w:rPr>
          <w:rFonts w:hint="eastAsia" w:ascii="宋体" w:hAnsi="宋体" w:eastAsia="宋体" w:cs="宋体"/>
          <w:b/>
          <w:bCs/>
          <w:sz w:val="30"/>
          <w:szCs w:val="30"/>
        </w:rPr>
      </w:pPr>
      <w:bookmarkStart w:id="325" w:name="_Toc30114"/>
      <w:r>
        <w:rPr>
          <w:rFonts w:hint="eastAsia" w:ascii="宋体" w:hAnsi="宋体" w:eastAsia="宋体" w:cs="宋体"/>
          <w:b/>
          <w:bCs/>
          <w:sz w:val="30"/>
          <w:szCs w:val="30"/>
        </w:rPr>
        <w:t>项目经理简历表</w:t>
      </w:r>
      <w:bookmarkEnd w:id="325"/>
    </w:p>
    <w:p w14:paraId="5C260890">
      <w:pPr>
        <w:wordWrap w:val="0"/>
        <w:adjustRightInd w:val="0"/>
        <w:snapToGrid w:val="0"/>
        <w:spacing w:line="360" w:lineRule="auto"/>
        <w:ind w:firstLine="570"/>
        <w:rPr>
          <w:rFonts w:hint="eastAsia" w:ascii="宋体" w:hAnsi="宋体" w:eastAsia="宋体" w:cs="宋体"/>
          <w:snapToGrid w:val="0"/>
          <w:color w:val="auto"/>
          <w:kern w:val="0"/>
          <w:szCs w:val="28"/>
          <w:highlight w:val="none"/>
        </w:rPr>
      </w:pPr>
    </w:p>
    <w:p w14:paraId="7A758A19">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0CE73ABD">
      <w:pPr>
        <w:pStyle w:val="61"/>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113DCC34">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3F546439">
      <w:pPr>
        <w:pStyle w:val="61"/>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6A2A543C">
      <w:pPr>
        <w:wordWrap w:val="0"/>
        <w:adjustRightInd w:val="0"/>
        <w:snapToGrid w:val="0"/>
        <w:spacing w:line="360" w:lineRule="auto"/>
        <w:ind w:firstLine="570"/>
        <w:rPr>
          <w:rFonts w:hint="eastAsia" w:ascii="宋体" w:hAnsi="宋体" w:eastAsia="宋体" w:cs="宋体"/>
          <w:snapToGrid w:val="0"/>
          <w:color w:val="auto"/>
          <w:kern w:val="0"/>
          <w:szCs w:val="28"/>
          <w:highlight w:val="none"/>
        </w:rPr>
      </w:pPr>
    </w:p>
    <w:p w14:paraId="59A691F7">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说明：《项目经理简历表》后应附拟派项目经理以下资料：</w:t>
      </w:r>
    </w:p>
    <w:p w14:paraId="5C22EF16">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bookmarkStart w:id="326" w:name="_Toc950"/>
      <w:r>
        <w:rPr>
          <w:rFonts w:hint="eastAsia" w:ascii="宋体" w:hAnsi="宋体" w:eastAsia="宋体" w:cs="宋体"/>
          <w:snapToGrid w:val="0"/>
          <w:color w:val="auto"/>
          <w:kern w:val="0"/>
          <w:sz w:val="21"/>
          <w:szCs w:val="28"/>
          <w:highlight w:val="none"/>
        </w:rPr>
        <w:t>1</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身份证彩色扫描件；</w:t>
      </w:r>
      <w:bookmarkEnd w:id="326"/>
    </w:p>
    <w:p w14:paraId="137698AC">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建造师电子注册证书（在使用有效期内的有效电子证书）；</w:t>
      </w:r>
    </w:p>
    <w:p w14:paraId="2F647E35">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3</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B类安全生产考核合格证书彩色扫描件或广东省建筑施工企业管理人员安全生产考核系统考核合格信息；</w:t>
      </w:r>
    </w:p>
    <w:p w14:paraId="6A6DA73D">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4</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至少一个月，其中必须有2025年</w:t>
      </w:r>
      <w:r>
        <w:rPr>
          <w:rFonts w:hint="eastAsia" w:ascii="宋体" w:hAnsi="宋体" w:eastAsia="宋体" w:cs="宋体"/>
          <w:snapToGrid w:val="0"/>
          <w:color w:val="auto"/>
          <w:kern w:val="0"/>
          <w:sz w:val="21"/>
          <w:szCs w:val="28"/>
          <w:highlight w:val="none"/>
          <w:lang w:val="en-US" w:eastAsia="zh-CN"/>
        </w:rPr>
        <w:t>7</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）彩色扫描件。拟派项目经理为退休返聘人员无法提供社保证明的，提供退休证和劳动合同彩色扫描件。</w:t>
      </w:r>
    </w:p>
    <w:p w14:paraId="1A0A328B">
      <w:pPr>
        <w:wordWrap w:val="0"/>
        <w:adjustRightInd w:val="0"/>
        <w:snapToGrid w:val="0"/>
        <w:spacing w:line="360" w:lineRule="auto"/>
        <w:ind w:firstLine="420" w:firstLineChars="200"/>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szCs w:val="28"/>
          <w:highlight w:val="none"/>
        </w:rPr>
        <w:t>5</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highlight w:val="none"/>
        </w:rPr>
        <w:t>“进粤企业和人员诚信信息登记平台”个人（项目经理等）信息情况截图。（适用于省外建筑企业）</w:t>
      </w:r>
    </w:p>
    <w:p w14:paraId="3BC740CB">
      <w:pPr>
        <w:rPr>
          <w:rFonts w:hint="eastAsia" w:ascii="宋体" w:hAnsi="宋体" w:eastAsia="宋体" w:cs="宋体"/>
        </w:rPr>
      </w:pPr>
    </w:p>
    <w:p w14:paraId="78BD32D6">
      <w:pPr>
        <w:rPr>
          <w:rFonts w:hint="eastAsia" w:ascii="宋体" w:hAnsi="宋体" w:eastAsia="宋体" w:cs="宋体"/>
        </w:rPr>
      </w:pPr>
    </w:p>
    <w:p w14:paraId="5A2A6006">
      <w:pPr>
        <w:rPr>
          <w:rFonts w:hint="eastAsia" w:ascii="宋体" w:hAnsi="宋体" w:eastAsia="宋体" w:cs="宋体"/>
        </w:rPr>
      </w:pPr>
    </w:p>
    <w:p w14:paraId="79CFF234">
      <w:pPr>
        <w:rPr>
          <w:rFonts w:hint="eastAsia" w:ascii="宋体" w:hAnsi="宋体" w:eastAsia="宋体" w:cs="宋体"/>
        </w:rPr>
      </w:pPr>
    </w:p>
    <w:p w14:paraId="161307C0">
      <w:pPr>
        <w:rPr>
          <w:rFonts w:hint="eastAsia" w:ascii="宋体" w:hAnsi="宋体" w:eastAsia="宋体" w:cs="宋体"/>
        </w:rPr>
      </w:pPr>
    </w:p>
    <w:p w14:paraId="53B5F7AD">
      <w:pPr>
        <w:rPr>
          <w:rFonts w:hint="eastAsia" w:ascii="宋体" w:hAnsi="宋体" w:eastAsia="宋体" w:cs="宋体"/>
        </w:rPr>
      </w:pPr>
    </w:p>
    <w:p w14:paraId="18551E3D">
      <w:pPr>
        <w:rPr>
          <w:rFonts w:hint="eastAsia" w:ascii="宋体" w:hAnsi="宋体" w:eastAsia="宋体" w:cs="宋体"/>
        </w:rPr>
      </w:pPr>
    </w:p>
    <w:p w14:paraId="582DBCE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27" w:name="_Toc25955"/>
      <w:bookmarkStart w:id="328" w:name="_Toc20129"/>
      <w:r>
        <w:rPr>
          <w:rFonts w:hint="eastAsia" w:ascii="宋体" w:hAnsi="宋体" w:eastAsia="宋体" w:cs="宋体"/>
          <w:b/>
          <w:bCs/>
          <w:color w:val="auto"/>
          <w:spacing w:val="-11"/>
          <w:sz w:val="24"/>
          <w:szCs w:val="24"/>
          <w:highlight w:val="none"/>
          <w:lang w:val="en-US" w:eastAsia="zh-CN"/>
        </w:rPr>
        <w:t>格式八   项目经理任职声明</w:t>
      </w:r>
      <w:bookmarkEnd w:id="327"/>
      <w:bookmarkEnd w:id="328"/>
    </w:p>
    <w:p w14:paraId="6509A88D">
      <w:pPr>
        <w:wordWrap w:val="0"/>
        <w:adjustRightInd w:val="0"/>
        <w:snapToGrid w:val="0"/>
        <w:spacing w:before="260" w:after="260" w:line="360" w:lineRule="auto"/>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73DA9097">
      <w:pPr>
        <w:wordWrap w:val="0"/>
        <w:adjustRightInd w:val="0"/>
        <w:snapToGrid w:val="0"/>
        <w:spacing w:line="360" w:lineRule="auto"/>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699AA83C">
      <w:pPr>
        <w:wordWrap w:val="0"/>
        <w:adjustRightInd w:val="0"/>
        <w:snapToGrid w:val="0"/>
        <w:spacing w:line="360" w:lineRule="auto"/>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5575BC8B">
      <w:pPr>
        <w:wordWrap w:val="0"/>
        <w:adjustRightInd w:val="0"/>
        <w:snapToGrid w:val="0"/>
        <w:spacing w:line="360" w:lineRule="auto"/>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60348B3F">
      <w:pPr>
        <w:wordWrap w:val="0"/>
        <w:adjustRightInd w:val="0"/>
        <w:snapToGrid w:val="0"/>
        <w:spacing w:line="360" w:lineRule="auto"/>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10BE7076">
      <w:pPr>
        <w:wordWrap w:val="0"/>
        <w:adjustRightInd w:val="0"/>
        <w:snapToGrid w:val="0"/>
        <w:spacing w:line="360" w:lineRule="auto"/>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5BFD446E">
      <w:pPr>
        <w:rPr>
          <w:rFonts w:hint="eastAsia" w:ascii="宋体" w:hAnsi="宋体" w:eastAsia="宋体" w:cs="宋体"/>
        </w:rPr>
      </w:pPr>
      <w:r>
        <w:rPr>
          <w:rFonts w:hint="eastAsia" w:ascii="宋体" w:hAnsi="宋体" w:eastAsia="宋体" w:cs="宋体"/>
          <w:snapToGrid w:val="0"/>
          <w:color w:val="auto"/>
          <w:kern w:val="0"/>
          <w:szCs w:val="28"/>
          <w:highlight w:val="none"/>
        </w:rPr>
        <w:t>　</w:t>
      </w:r>
    </w:p>
    <w:p w14:paraId="37BD09A4">
      <w:pPr>
        <w:rPr>
          <w:rFonts w:hint="eastAsia" w:ascii="宋体" w:hAnsi="宋体" w:eastAsia="宋体" w:cs="宋体"/>
        </w:rPr>
      </w:pPr>
      <w:r>
        <w:rPr>
          <w:rFonts w:hint="eastAsia" w:ascii="宋体" w:hAnsi="宋体" w:eastAsia="宋体" w:cs="宋体"/>
        </w:rPr>
        <w:t>　</w:t>
      </w:r>
    </w:p>
    <w:p w14:paraId="38BA62EC">
      <w:pPr>
        <w:wordWrap w:val="0"/>
        <w:adjustRightInd w:val="0"/>
        <w:snapToGrid w:val="0"/>
        <w:spacing w:line="360" w:lineRule="auto"/>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2D3E5E4F">
      <w:pPr>
        <w:wordWrap w:val="0"/>
        <w:adjustRightInd w:val="0"/>
        <w:snapToGrid w:val="0"/>
        <w:spacing w:line="360" w:lineRule="auto"/>
        <w:jc w:val="right"/>
        <w:rPr>
          <w:rFonts w:hint="eastAsia" w:ascii="宋体" w:hAnsi="宋体" w:eastAsia="宋体" w:cs="宋体"/>
          <w:snapToGrid w:val="0"/>
          <w:color w:val="auto"/>
          <w:kern w:val="0"/>
          <w:szCs w:val="28"/>
          <w:highlight w:val="none"/>
        </w:rPr>
      </w:pPr>
    </w:p>
    <w:p w14:paraId="4EE621C8">
      <w:pPr>
        <w:wordWrap w:val="0"/>
        <w:adjustRightInd w:val="0"/>
        <w:snapToGrid w:val="0"/>
        <w:spacing w:line="360" w:lineRule="auto"/>
        <w:jc w:val="right"/>
        <w:rPr>
          <w:rFonts w:hint="eastAsia" w:ascii="宋体" w:hAnsi="宋体" w:eastAsia="宋体" w:cs="宋体"/>
          <w:snapToGrid w:val="0"/>
          <w:color w:val="auto"/>
          <w:kern w:val="0"/>
          <w:szCs w:val="28"/>
          <w:highlight w:val="none"/>
        </w:rPr>
      </w:pPr>
    </w:p>
    <w:p w14:paraId="1BD82FD6">
      <w:pPr>
        <w:wordWrap w:val="0"/>
        <w:adjustRightInd w:val="0"/>
        <w:snapToGrid w:val="0"/>
        <w:spacing w:line="360" w:lineRule="auto"/>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3E30BC6E">
      <w:pPr>
        <w:wordWrap w:val="0"/>
        <w:adjustRightInd w:val="0"/>
        <w:snapToGrid w:val="0"/>
        <w:spacing w:line="360" w:lineRule="auto"/>
        <w:jc w:val="right"/>
        <w:rPr>
          <w:rFonts w:hint="eastAsia" w:ascii="宋体" w:hAnsi="宋体" w:eastAsia="宋体" w:cs="宋体"/>
          <w:snapToGrid w:val="0"/>
          <w:color w:val="auto"/>
          <w:kern w:val="0"/>
          <w:szCs w:val="28"/>
          <w:highlight w:val="none"/>
        </w:rPr>
      </w:pPr>
    </w:p>
    <w:p w14:paraId="2EEA4A8A">
      <w:pPr>
        <w:wordWrap w:val="0"/>
        <w:adjustRightInd w:val="0"/>
        <w:snapToGrid w:val="0"/>
        <w:spacing w:line="360" w:lineRule="auto"/>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1CBEEDFF">
      <w:pPr>
        <w:rPr>
          <w:rFonts w:hint="eastAsia" w:ascii="宋体" w:hAnsi="宋体" w:eastAsia="宋体" w:cs="宋体"/>
        </w:rPr>
      </w:pPr>
    </w:p>
    <w:p w14:paraId="4C3B3340">
      <w:pPr>
        <w:rPr>
          <w:rFonts w:hint="eastAsia" w:ascii="宋体" w:hAnsi="宋体" w:eastAsia="宋体" w:cs="宋体"/>
        </w:rPr>
      </w:pPr>
    </w:p>
    <w:p w14:paraId="3085189B">
      <w:pPr>
        <w:rPr>
          <w:rFonts w:hint="eastAsia" w:ascii="宋体" w:hAnsi="宋体" w:eastAsia="宋体" w:cs="宋体"/>
        </w:rPr>
      </w:pPr>
    </w:p>
    <w:p w14:paraId="28919134">
      <w:pPr>
        <w:rPr>
          <w:rFonts w:hint="eastAsia" w:ascii="宋体" w:hAnsi="宋体" w:eastAsia="宋体" w:cs="宋体"/>
        </w:rPr>
      </w:pPr>
    </w:p>
    <w:p w14:paraId="6F63443F">
      <w:pPr>
        <w:rPr>
          <w:rFonts w:hint="eastAsia" w:ascii="宋体" w:hAnsi="宋体" w:eastAsia="宋体" w:cs="宋体"/>
        </w:rPr>
      </w:pPr>
    </w:p>
    <w:p w14:paraId="7826462E">
      <w:pPr>
        <w:rPr>
          <w:rFonts w:hint="eastAsia" w:ascii="宋体" w:hAnsi="宋体" w:eastAsia="宋体" w:cs="宋体"/>
        </w:rPr>
      </w:pPr>
    </w:p>
    <w:p w14:paraId="47844A6D">
      <w:pPr>
        <w:rPr>
          <w:rFonts w:hint="eastAsia" w:ascii="宋体" w:hAnsi="宋体" w:eastAsia="宋体" w:cs="宋体"/>
        </w:rPr>
      </w:pPr>
    </w:p>
    <w:p w14:paraId="0AC09AE7">
      <w:pPr>
        <w:rPr>
          <w:rFonts w:hint="eastAsia" w:ascii="宋体" w:hAnsi="宋体" w:eastAsia="宋体" w:cs="宋体"/>
        </w:rPr>
      </w:pPr>
    </w:p>
    <w:p w14:paraId="08929D72">
      <w:pPr>
        <w:rPr>
          <w:rFonts w:hint="eastAsia" w:ascii="宋体" w:hAnsi="宋体" w:eastAsia="宋体" w:cs="宋体"/>
        </w:rPr>
      </w:pPr>
    </w:p>
    <w:p w14:paraId="7B5D25EE">
      <w:pPr>
        <w:rPr>
          <w:rFonts w:hint="eastAsia" w:ascii="宋体" w:hAnsi="宋体" w:eastAsia="宋体" w:cs="宋体"/>
        </w:rPr>
      </w:pPr>
    </w:p>
    <w:p w14:paraId="3341094E">
      <w:pPr>
        <w:rPr>
          <w:rFonts w:hint="eastAsia" w:ascii="宋体" w:hAnsi="宋体" w:eastAsia="宋体" w:cs="宋体"/>
        </w:rPr>
      </w:pPr>
    </w:p>
    <w:p w14:paraId="37995BE5">
      <w:pPr>
        <w:rPr>
          <w:rFonts w:hint="eastAsia" w:ascii="宋体" w:hAnsi="宋体" w:eastAsia="宋体" w:cs="宋体"/>
        </w:rPr>
      </w:pPr>
    </w:p>
    <w:p w14:paraId="3F9FE769">
      <w:pPr>
        <w:rPr>
          <w:rFonts w:hint="eastAsia" w:ascii="宋体" w:hAnsi="宋体" w:eastAsia="宋体" w:cs="宋体"/>
        </w:rPr>
      </w:pPr>
    </w:p>
    <w:p w14:paraId="6B60A7C9">
      <w:pPr>
        <w:rPr>
          <w:rFonts w:hint="eastAsia" w:ascii="宋体" w:hAnsi="宋体" w:eastAsia="宋体" w:cs="宋体"/>
        </w:rPr>
      </w:pPr>
    </w:p>
    <w:p w14:paraId="217BAFFE">
      <w:pPr>
        <w:rPr>
          <w:rFonts w:hint="eastAsia" w:ascii="宋体" w:hAnsi="宋体" w:eastAsia="宋体" w:cs="宋体"/>
        </w:rPr>
      </w:pPr>
    </w:p>
    <w:p w14:paraId="35AEEA01">
      <w:pPr>
        <w:rPr>
          <w:rFonts w:hint="eastAsia" w:ascii="宋体" w:hAnsi="宋体" w:eastAsia="宋体" w:cs="宋体"/>
        </w:rPr>
      </w:pPr>
    </w:p>
    <w:p w14:paraId="377F15E3">
      <w:pPr>
        <w:rPr>
          <w:rFonts w:hint="eastAsia" w:ascii="宋体" w:hAnsi="宋体" w:eastAsia="宋体" w:cs="宋体"/>
        </w:rPr>
      </w:pPr>
    </w:p>
    <w:p w14:paraId="262F290D">
      <w:pPr>
        <w:rPr>
          <w:rFonts w:hint="eastAsia" w:ascii="宋体" w:hAnsi="宋体" w:eastAsia="宋体" w:cs="宋体"/>
        </w:rPr>
      </w:pPr>
    </w:p>
    <w:p w14:paraId="2C8F7B84">
      <w:pPr>
        <w:rPr>
          <w:rFonts w:hint="eastAsia" w:ascii="宋体" w:hAnsi="宋体" w:eastAsia="宋体" w:cs="宋体"/>
        </w:rPr>
      </w:pPr>
    </w:p>
    <w:p w14:paraId="06F11753">
      <w:pPr>
        <w:rPr>
          <w:rFonts w:hint="eastAsia" w:ascii="宋体" w:hAnsi="宋体" w:eastAsia="宋体" w:cs="宋体"/>
        </w:rPr>
      </w:pPr>
    </w:p>
    <w:p w14:paraId="6089CE80">
      <w:pPr>
        <w:rPr>
          <w:rFonts w:hint="eastAsia" w:ascii="宋体" w:hAnsi="宋体" w:eastAsia="宋体" w:cs="宋体"/>
        </w:rPr>
      </w:pPr>
    </w:p>
    <w:p w14:paraId="2331CFC2">
      <w:pPr>
        <w:rPr>
          <w:rFonts w:hint="eastAsia" w:ascii="宋体" w:hAnsi="宋体" w:eastAsia="宋体" w:cs="宋体"/>
        </w:rPr>
      </w:pPr>
    </w:p>
    <w:p w14:paraId="1BAA40A1">
      <w:pPr>
        <w:rPr>
          <w:rFonts w:hint="eastAsia" w:ascii="宋体" w:hAnsi="宋体" w:eastAsia="宋体" w:cs="宋体"/>
        </w:rPr>
      </w:pPr>
    </w:p>
    <w:p w14:paraId="1AA3FA13">
      <w:pPr>
        <w:rPr>
          <w:rFonts w:hint="eastAsia" w:ascii="宋体" w:hAnsi="宋体" w:eastAsia="宋体" w:cs="宋体"/>
        </w:rPr>
      </w:pPr>
    </w:p>
    <w:p w14:paraId="7451E2F5">
      <w:pPr>
        <w:rPr>
          <w:rFonts w:hint="eastAsia" w:ascii="宋体" w:hAnsi="宋体" w:eastAsia="宋体" w:cs="宋体"/>
        </w:rPr>
      </w:pPr>
    </w:p>
    <w:p w14:paraId="7EE4AA48">
      <w:pPr>
        <w:rPr>
          <w:rFonts w:hint="eastAsia" w:ascii="宋体" w:hAnsi="宋体" w:eastAsia="宋体" w:cs="宋体"/>
        </w:rPr>
      </w:pPr>
    </w:p>
    <w:p w14:paraId="2707167B">
      <w:pPr>
        <w:rPr>
          <w:rFonts w:hint="eastAsia" w:ascii="宋体" w:hAnsi="宋体" w:eastAsia="宋体" w:cs="宋体"/>
        </w:rPr>
      </w:pPr>
    </w:p>
    <w:p w14:paraId="4B8AAD12">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29" w:name="_Toc24090"/>
      <w:bookmarkStart w:id="330" w:name="_Toc8772"/>
      <w:r>
        <w:rPr>
          <w:rFonts w:hint="eastAsia" w:ascii="宋体" w:hAnsi="宋体" w:eastAsia="宋体" w:cs="宋体"/>
          <w:b/>
          <w:bCs/>
          <w:color w:val="auto"/>
          <w:spacing w:val="-11"/>
          <w:sz w:val="24"/>
          <w:szCs w:val="24"/>
          <w:highlight w:val="none"/>
          <w:lang w:val="en-US" w:eastAsia="zh-CN"/>
        </w:rPr>
        <w:t>格式九   项目技术负责人简历表</w:t>
      </w:r>
      <w:bookmarkEnd w:id="329"/>
      <w:bookmarkEnd w:id="330"/>
    </w:p>
    <w:tbl>
      <w:tblPr>
        <w:tblStyle w:val="24"/>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F00A1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F005AA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34B5C25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2100075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E8C331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8E7004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DE8732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5CC5B1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8FB1AA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F88072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4DF9C1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1F6F54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A2AD93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1B398F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B59E0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EE6442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98466A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7444F55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754BA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165619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104EB15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763CE6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2E3735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DE7A2D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0F15C6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988C70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10AE0A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16F6DF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74706B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1C0AF0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F073AC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0E1BF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256F4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BC93EE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8D9E38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B949A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D28FB2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D49D72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F199F2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C84DDC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CB8329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3C7E88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3E75E6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4C2D1F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0F5D4B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DB15AD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4D9472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DE736F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515641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5EC02F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0C1A9E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9262A6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A39511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DB9CFE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721B06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F26481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60FE21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9844E9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025EFA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EFD264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580E22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BA089E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1AA13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bl>
    <w:p w14:paraId="6A4A1EF9">
      <w:pPr>
        <w:jc w:val="center"/>
        <w:rPr>
          <w:rFonts w:hint="eastAsia" w:ascii="宋体" w:hAnsi="宋体" w:eastAsia="宋体" w:cs="宋体"/>
          <w:b/>
          <w:bCs/>
          <w:sz w:val="30"/>
          <w:szCs w:val="30"/>
        </w:rPr>
      </w:pPr>
      <w:r>
        <w:rPr>
          <w:rFonts w:hint="eastAsia" w:ascii="宋体" w:hAnsi="宋体" w:eastAsia="宋体" w:cs="宋体"/>
          <w:b/>
          <w:bCs/>
          <w:sz w:val="30"/>
          <w:szCs w:val="30"/>
        </w:rPr>
        <w:t>项目技术负责人简历表</w:t>
      </w:r>
    </w:p>
    <w:p w14:paraId="228E9C15">
      <w:pPr>
        <w:wordWrap w:val="0"/>
        <w:adjustRightInd w:val="0"/>
        <w:snapToGrid w:val="0"/>
        <w:spacing w:line="360" w:lineRule="auto"/>
        <w:ind w:firstLine="570"/>
        <w:rPr>
          <w:rFonts w:hint="eastAsia" w:ascii="宋体" w:hAnsi="宋体" w:eastAsia="宋体" w:cs="宋体"/>
          <w:snapToGrid w:val="0"/>
          <w:color w:val="auto"/>
          <w:kern w:val="0"/>
          <w:szCs w:val="28"/>
          <w:highlight w:val="none"/>
        </w:rPr>
      </w:pPr>
    </w:p>
    <w:p w14:paraId="458C4862">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3C1852E4">
      <w:pPr>
        <w:pStyle w:val="61"/>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755BB5DB">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6D0F59C6">
      <w:pPr>
        <w:pStyle w:val="61"/>
        <w:wordWrap w:val="0"/>
        <w:adjustRightInd w:val="0"/>
        <w:snapToGrid w:val="0"/>
        <w:spacing w:line="360" w:lineRule="auto"/>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CE31011">
      <w:pPr>
        <w:wordWrap w:val="0"/>
        <w:adjustRightInd w:val="0"/>
        <w:snapToGrid w:val="0"/>
        <w:spacing w:line="360" w:lineRule="auto"/>
        <w:rPr>
          <w:rFonts w:hint="eastAsia" w:ascii="宋体" w:hAnsi="宋体" w:eastAsia="宋体" w:cs="宋体"/>
          <w:snapToGrid w:val="0"/>
          <w:color w:val="auto"/>
          <w:kern w:val="0"/>
          <w:szCs w:val="28"/>
          <w:highlight w:val="none"/>
        </w:rPr>
      </w:pPr>
    </w:p>
    <w:p w14:paraId="7459C7E0">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说明：《项目技术负责人简历表》后应附拟派项目技术负责人以下资料：</w:t>
      </w:r>
    </w:p>
    <w:p w14:paraId="2A5C91F2">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身份证彩色扫描件；</w:t>
      </w:r>
    </w:p>
    <w:p w14:paraId="4F1CEC20">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职称证彩色扫描件；</w:t>
      </w:r>
    </w:p>
    <w:p w14:paraId="7B9E03D8">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至少一个月，其中必须有2025年</w:t>
      </w:r>
      <w:r>
        <w:rPr>
          <w:rFonts w:hint="eastAsia" w:ascii="宋体" w:hAnsi="宋体" w:eastAsia="宋体" w:cs="宋体"/>
          <w:snapToGrid w:val="0"/>
          <w:color w:val="auto"/>
          <w:kern w:val="0"/>
          <w:sz w:val="21"/>
          <w:szCs w:val="28"/>
          <w:highlight w:val="none"/>
          <w:lang w:val="en-US" w:eastAsia="zh-CN"/>
        </w:rPr>
        <w:t>7</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）彩色扫描件。拟派项目技术负责人为退休返聘人员无法提供社保证明的，提供退休证和劳动合同彩色扫描件。</w:t>
      </w:r>
    </w:p>
    <w:p w14:paraId="25EDB8F3">
      <w:pPr>
        <w:wordWrap w:val="0"/>
        <w:adjustRightInd w:val="0"/>
        <w:snapToGrid w:val="0"/>
        <w:spacing w:line="360" w:lineRule="auto"/>
        <w:ind w:firstLine="420" w:firstLineChars="200"/>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lang w:val="en-US" w:eastAsia="zh-CN"/>
        </w:rPr>
        <w:t>4.</w:t>
      </w:r>
      <w:r>
        <w:rPr>
          <w:rFonts w:hint="eastAsia" w:ascii="宋体" w:hAnsi="宋体" w:eastAsia="宋体" w:cs="宋体"/>
          <w:snapToGrid w:val="0"/>
          <w:color w:val="auto"/>
          <w:kern w:val="0"/>
          <w:sz w:val="21"/>
          <w:highlight w:val="none"/>
        </w:rPr>
        <w:t>“进粤企业和人员诚信信息登记平台”个人信息情况截图。（适用于省外建筑企业）</w:t>
      </w:r>
    </w:p>
    <w:p w14:paraId="0956FBE8">
      <w:pPr>
        <w:rPr>
          <w:rFonts w:hint="eastAsia" w:ascii="宋体" w:hAnsi="宋体" w:eastAsia="宋体" w:cs="宋体"/>
          <w:color w:val="auto"/>
        </w:rPr>
      </w:pPr>
    </w:p>
    <w:p w14:paraId="371F329B">
      <w:pPr>
        <w:rPr>
          <w:rFonts w:hint="eastAsia" w:ascii="宋体" w:hAnsi="宋体" w:eastAsia="宋体" w:cs="宋体"/>
          <w:color w:val="auto"/>
        </w:rPr>
      </w:pPr>
    </w:p>
    <w:p w14:paraId="1480D69F">
      <w:pPr>
        <w:rPr>
          <w:rFonts w:hint="eastAsia" w:ascii="宋体" w:hAnsi="宋体" w:eastAsia="宋体" w:cs="宋体"/>
          <w:color w:val="auto"/>
        </w:rPr>
      </w:pPr>
    </w:p>
    <w:p w14:paraId="3C0655B6">
      <w:pPr>
        <w:rPr>
          <w:rFonts w:hint="eastAsia" w:ascii="宋体" w:hAnsi="宋体" w:eastAsia="宋体" w:cs="宋体"/>
          <w:color w:val="auto"/>
        </w:rPr>
      </w:pPr>
    </w:p>
    <w:p w14:paraId="5247B84D">
      <w:pPr>
        <w:rPr>
          <w:rFonts w:hint="eastAsia" w:ascii="宋体" w:hAnsi="宋体" w:eastAsia="宋体" w:cs="宋体"/>
          <w:color w:val="auto"/>
        </w:rPr>
      </w:pPr>
    </w:p>
    <w:p w14:paraId="4BD7C232">
      <w:pPr>
        <w:rPr>
          <w:rFonts w:hint="eastAsia" w:ascii="宋体" w:hAnsi="宋体" w:eastAsia="宋体" w:cs="宋体"/>
          <w:color w:val="auto"/>
        </w:rPr>
      </w:pPr>
    </w:p>
    <w:p w14:paraId="21BBE282">
      <w:pPr>
        <w:rPr>
          <w:rFonts w:hint="eastAsia" w:ascii="宋体" w:hAnsi="宋体" w:eastAsia="宋体" w:cs="宋体"/>
          <w:color w:val="auto"/>
        </w:rPr>
      </w:pPr>
    </w:p>
    <w:p w14:paraId="3DBC95A9">
      <w:pPr>
        <w:rPr>
          <w:rFonts w:hint="eastAsia" w:ascii="宋体" w:hAnsi="宋体" w:eastAsia="宋体" w:cs="宋体"/>
          <w:color w:val="auto"/>
        </w:rPr>
      </w:pPr>
    </w:p>
    <w:p w14:paraId="228DC66D">
      <w:pPr>
        <w:rPr>
          <w:rFonts w:hint="eastAsia" w:ascii="宋体" w:hAnsi="宋体" w:eastAsia="宋体" w:cs="宋体"/>
          <w:color w:val="auto"/>
        </w:rPr>
      </w:pPr>
    </w:p>
    <w:bookmarkEnd w:id="302"/>
    <w:bookmarkEnd w:id="303"/>
    <w:p w14:paraId="29CBAFA0">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31" w:name="_Toc3720"/>
      <w:bookmarkStart w:id="332" w:name="_Toc6074"/>
      <w:bookmarkStart w:id="333" w:name="_Toc20506"/>
      <w:bookmarkStart w:id="334" w:name="_Toc14261309"/>
      <w:bookmarkStart w:id="335" w:name="_Toc200338098"/>
      <w:bookmarkStart w:id="336" w:name="_Toc8264"/>
      <w:r>
        <w:rPr>
          <w:rFonts w:hint="eastAsia" w:ascii="宋体" w:hAnsi="宋体" w:eastAsia="宋体" w:cs="宋体"/>
          <w:b/>
          <w:bCs/>
          <w:color w:val="auto"/>
          <w:spacing w:val="-11"/>
          <w:sz w:val="24"/>
          <w:szCs w:val="24"/>
          <w:highlight w:val="none"/>
          <w:lang w:val="en-US" w:eastAsia="zh-CN"/>
        </w:rPr>
        <w:t>格式</w:t>
      </w:r>
      <w:bookmarkStart w:id="337" w:name="_Hlt287950384"/>
      <w:bookmarkEnd w:id="337"/>
      <w:r>
        <w:rPr>
          <w:rFonts w:hint="eastAsia" w:ascii="宋体" w:hAnsi="宋体" w:eastAsia="宋体" w:cs="宋体"/>
          <w:b/>
          <w:bCs/>
          <w:color w:val="auto"/>
          <w:spacing w:val="-11"/>
          <w:sz w:val="24"/>
          <w:szCs w:val="24"/>
          <w:highlight w:val="none"/>
          <w:lang w:val="en-US" w:eastAsia="zh-CN"/>
        </w:rPr>
        <w:t>十   项目管理机构组成表</w:t>
      </w:r>
      <w:bookmarkEnd w:id="331"/>
      <w:bookmarkEnd w:id="332"/>
      <w:bookmarkEnd w:id="333"/>
      <w:bookmarkEnd w:id="334"/>
    </w:p>
    <w:p w14:paraId="62B89F36">
      <w:pPr>
        <w:jc w:val="center"/>
        <w:rPr>
          <w:rFonts w:hint="eastAsia" w:ascii="宋体" w:hAnsi="宋体" w:eastAsia="宋体" w:cs="宋体"/>
          <w:b/>
          <w:bCs/>
          <w:color w:val="auto"/>
          <w:sz w:val="30"/>
          <w:szCs w:val="30"/>
        </w:rPr>
      </w:pPr>
      <w:bookmarkStart w:id="338" w:name="_Toc14261751"/>
      <w:bookmarkStart w:id="339" w:name="_Toc23063"/>
      <w:r>
        <w:rPr>
          <w:rFonts w:hint="eastAsia" w:ascii="宋体" w:hAnsi="宋体" w:eastAsia="宋体" w:cs="宋体"/>
          <w:b/>
          <w:bCs/>
          <w:color w:val="auto"/>
          <w:sz w:val="30"/>
          <w:szCs w:val="30"/>
        </w:rPr>
        <w:t>项目管理机构组成表</w:t>
      </w:r>
      <w:bookmarkEnd w:id="338"/>
      <w:bookmarkEnd w:id="339"/>
    </w:p>
    <w:tbl>
      <w:tblPr>
        <w:tblStyle w:val="24"/>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310AF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6319B8C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E0A2AA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93B419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F69596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71EAF56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2C21F3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135D58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7CFC50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6F3F43F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510B71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F2CB22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969241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D7334A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ED2356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302414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650360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337B26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156049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77E88E5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6A6B0E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958496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075410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27AAD5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D6DBD1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1130F1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6B01F99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70D401B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C2A049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8D771C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56AA8A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B22661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C8F325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56F738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24905C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660B00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4789C3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66529B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5DEDF9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EE8788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3CB84C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2199F4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DEA964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A0B31A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27F6B8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4FC9F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AD807F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9B2733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CE1706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7BD3E7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6981A5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3BC5B1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CBFA0D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354AD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4132BC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72891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DDC65F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3164DE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EE05B1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E16E69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56539F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72489F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906DA7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DA4AC7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5D5E92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A782F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FE2FC8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535A70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B152D9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F73081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A73660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6D4FEB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4CC08A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bl>
    <w:p w14:paraId="08D0A145">
      <w:pPr>
        <w:pStyle w:val="60"/>
        <w:widowControl w:val="0"/>
        <w:wordWrap w:val="0"/>
        <w:adjustRightInd w:val="0"/>
        <w:snapToGrid w:val="0"/>
        <w:spacing w:line="360" w:lineRule="auto"/>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说明：</w:t>
      </w:r>
    </w:p>
    <w:p w14:paraId="31EA20B3">
      <w:pPr>
        <w:pStyle w:val="60"/>
        <w:widowControl w:val="0"/>
        <w:wordWrap w:val="0"/>
        <w:adjustRightInd w:val="0"/>
        <w:snapToGrid w:val="0"/>
        <w:spacing w:line="360" w:lineRule="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lang w:eastAsia="zh-CN"/>
        </w:rPr>
        <w:t>.</w:t>
      </w:r>
      <w:r>
        <w:rPr>
          <w:rFonts w:hint="eastAsia" w:ascii="宋体" w:hAnsi="宋体" w:eastAsia="宋体" w:cs="宋体"/>
          <w:snapToGrid w:val="0"/>
          <w:color w:val="auto"/>
          <w:sz w:val="21"/>
          <w:highlight w:val="none"/>
        </w:rPr>
        <w:t>《项目管理机构组成表》后应附表中拟派人员（项目经理、项目技术负责人</w:t>
      </w:r>
      <w:r>
        <w:rPr>
          <w:rFonts w:hint="eastAsia" w:ascii="宋体" w:hAnsi="宋体" w:eastAsia="宋体" w:cs="宋体"/>
          <w:snapToGrid w:val="0"/>
          <w:color w:val="auto"/>
          <w:sz w:val="21"/>
          <w:highlight w:val="none"/>
          <w:lang w:val="en-US" w:eastAsia="zh-CN"/>
        </w:rPr>
        <w:t>除外</w:t>
      </w:r>
      <w:r>
        <w:rPr>
          <w:rFonts w:hint="eastAsia" w:ascii="宋体" w:hAnsi="宋体" w:eastAsia="宋体" w:cs="宋体"/>
          <w:snapToGrid w:val="0"/>
          <w:color w:val="auto"/>
          <w:sz w:val="21"/>
          <w:highlight w:val="none"/>
        </w:rPr>
        <w:t>）以下资料：</w:t>
      </w:r>
    </w:p>
    <w:p w14:paraId="55F8A514">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（1）身份证彩色扫描件；</w:t>
      </w:r>
    </w:p>
    <w:p w14:paraId="5F3551B1">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职称证彩色扫描件（如有）</w:t>
      </w:r>
      <w:r>
        <w:rPr>
          <w:rFonts w:hint="eastAsia" w:ascii="宋体" w:hAnsi="宋体" w:eastAsia="宋体" w:cs="宋体"/>
          <w:snapToGrid w:val="0"/>
          <w:color w:val="auto"/>
          <w:kern w:val="0"/>
          <w:sz w:val="21"/>
          <w:szCs w:val="28"/>
          <w:highlight w:val="none"/>
        </w:rPr>
        <w:t>；</w:t>
      </w:r>
    </w:p>
    <w:p w14:paraId="7FD54262">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0"/>
          <w:highlight w:val="none"/>
          <w:lang w:val="en-US" w:eastAsia="zh-CN" w:bidi="ar-SA"/>
        </w:rPr>
        <w:t>至少一个月，其中必须有2025年7月）彩</w:t>
      </w:r>
      <w:r>
        <w:rPr>
          <w:rFonts w:hint="eastAsia" w:ascii="宋体" w:hAnsi="宋体" w:eastAsia="宋体" w:cs="宋体"/>
          <w:snapToGrid w:val="0"/>
          <w:color w:val="auto"/>
          <w:kern w:val="0"/>
          <w:sz w:val="21"/>
          <w:szCs w:val="28"/>
          <w:highlight w:val="none"/>
        </w:rPr>
        <w:t>色扫描件。拟派人员为退休返聘人员无法提供社保证明的，提供退休证和劳动合同彩色扫描件。</w:t>
      </w:r>
    </w:p>
    <w:p w14:paraId="6817F90A">
      <w:pPr>
        <w:wordWrap w:val="0"/>
        <w:adjustRightInd w:val="0"/>
        <w:snapToGrid w:val="0"/>
        <w:spacing w:line="360" w:lineRule="auto"/>
        <w:ind w:firstLine="420" w:firstLineChars="200"/>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lang w:eastAsia="zh-CN"/>
        </w:rPr>
        <w:t>（</w:t>
      </w:r>
      <w:r>
        <w:rPr>
          <w:rFonts w:hint="eastAsia" w:ascii="宋体" w:hAnsi="宋体" w:eastAsia="宋体" w:cs="宋体"/>
          <w:snapToGrid w:val="0"/>
          <w:color w:val="auto"/>
          <w:kern w:val="0"/>
          <w:sz w:val="21"/>
          <w:highlight w:val="none"/>
          <w:lang w:val="en-US" w:eastAsia="zh-CN"/>
        </w:rPr>
        <w:t>4）</w:t>
      </w:r>
      <w:r>
        <w:rPr>
          <w:rFonts w:hint="eastAsia" w:ascii="宋体" w:hAnsi="宋体" w:eastAsia="宋体" w:cs="宋体"/>
          <w:snapToGrid w:val="0"/>
          <w:color w:val="auto"/>
          <w:kern w:val="0"/>
          <w:sz w:val="21"/>
          <w:highlight w:val="none"/>
        </w:rPr>
        <w:t>“进粤企业和人员诚信信息登记平台”个人信息情况截图。（适用于省外建筑企业）</w:t>
      </w:r>
    </w:p>
    <w:p w14:paraId="4667087B">
      <w:pPr>
        <w:rPr>
          <w:rFonts w:hint="eastAsia" w:ascii="宋体" w:hAnsi="宋体" w:eastAsia="宋体" w:cs="宋体"/>
          <w:color w:val="auto"/>
        </w:rPr>
      </w:pPr>
    </w:p>
    <w:p w14:paraId="74B6BA64">
      <w:pPr>
        <w:rPr>
          <w:rFonts w:hint="eastAsia" w:ascii="宋体" w:hAnsi="宋体" w:eastAsia="宋体" w:cs="宋体"/>
          <w:color w:val="auto"/>
        </w:rPr>
      </w:pPr>
    </w:p>
    <w:bookmarkEnd w:id="335"/>
    <w:bookmarkEnd w:id="336"/>
    <w:p w14:paraId="2C1C66D0">
      <w:pPr>
        <w:rPr>
          <w:rFonts w:hint="eastAsia" w:ascii="宋体" w:hAnsi="宋体" w:eastAsia="宋体" w:cs="宋体"/>
          <w:color w:val="auto"/>
        </w:rPr>
      </w:pPr>
      <w:bookmarkStart w:id="340" w:name="_Toc36804690"/>
    </w:p>
    <w:p w14:paraId="5D18D537">
      <w:pPr>
        <w:rPr>
          <w:rFonts w:hint="eastAsia" w:ascii="宋体" w:hAnsi="宋体" w:eastAsia="宋体" w:cs="宋体"/>
          <w:color w:val="auto"/>
        </w:rPr>
      </w:pPr>
    </w:p>
    <w:p w14:paraId="74EF7274">
      <w:pPr>
        <w:rPr>
          <w:rFonts w:hint="eastAsia" w:ascii="宋体" w:hAnsi="宋体" w:eastAsia="宋体" w:cs="宋体"/>
          <w:color w:val="auto"/>
        </w:rPr>
      </w:pPr>
    </w:p>
    <w:p w14:paraId="0E056B22">
      <w:pPr>
        <w:rPr>
          <w:rFonts w:hint="eastAsia" w:ascii="宋体" w:hAnsi="宋体" w:eastAsia="宋体" w:cs="宋体"/>
          <w:color w:val="auto"/>
        </w:rPr>
      </w:pPr>
    </w:p>
    <w:p w14:paraId="644B6F4D">
      <w:pPr>
        <w:rPr>
          <w:rFonts w:hint="eastAsia" w:ascii="宋体" w:hAnsi="宋体" w:eastAsia="宋体" w:cs="宋体"/>
          <w:color w:val="auto"/>
        </w:rPr>
      </w:pPr>
    </w:p>
    <w:p w14:paraId="0100F5D5">
      <w:pPr>
        <w:rPr>
          <w:rFonts w:hint="eastAsia" w:ascii="宋体" w:hAnsi="宋体" w:eastAsia="宋体" w:cs="宋体"/>
          <w:color w:val="auto"/>
        </w:rPr>
      </w:pPr>
    </w:p>
    <w:p w14:paraId="23A9867A">
      <w:pPr>
        <w:rPr>
          <w:rFonts w:hint="eastAsia" w:ascii="宋体" w:hAnsi="宋体" w:eastAsia="宋体" w:cs="宋体"/>
          <w:color w:val="auto"/>
        </w:rPr>
      </w:pPr>
    </w:p>
    <w:p w14:paraId="14C67C6C">
      <w:pPr>
        <w:rPr>
          <w:rFonts w:hint="eastAsia" w:ascii="宋体" w:hAnsi="宋体" w:eastAsia="宋体" w:cs="宋体"/>
          <w:color w:val="auto"/>
        </w:rPr>
      </w:pPr>
    </w:p>
    <w:p w14:paraId="1C1BD0BE">
      <w:pPr>
        <w:rPr>
          <w:rFonts w:hint="eastAsia" w:ascii="宋体" w:hAnsi="宋体" w:eastAsia="宋体" w:cs="宋体"/>
          <w:color w:val="auto"/>
        </w:rPr>
      </w:pPr>
    </w:p>
    <w:p w14:paraId="1B77EE0B">
      <w:pPr>
        <w:rPr>
          <w:rFonts w:hint="eastAsia" w:ascii="宋体" w:hAnsi="宋体" w:eastAsia="宋体" w:cs="宋体"/>
          <w:color w:val="auto"/>
        </w:rPr>
      </w:pPr>
    </w:p>
    <w:p w14:paraId="18DCF815">
      <w:pPr>
        <w:rPr>
          <w:rFonts w:hint="eastAsia" w:ascii="宋体" w:hAnsi="宋体" w:eastAsia="宋体" w:cs="宋体"/>
        </w:rPr>
      </w:pPr>
    </w:p>
    <w:p w14:paraId="436BB0BF">
      <w:pPr>
        <w:rPr>
          <w:rFonts w:hint="eastAsia" w:ascii="宋体" w:hAnsi="宋体" w:eastAsia="宋体" w:cs="宋体"/>
        </w:rPr>
      </w:pPr>
    </w:p>
    <w:p w14:paraId="59AF0E7F">
      <w:pPr>
        <w:rPr>
          <w:rFonts w:hint="eastAsia" w:ascii="宋体" w:hAnsi="宋体" w:eastAsia="宋体" w:cs="宋体"/>
        </w:rPr>
      </w:pPr>
    </w:p>
    <w:p w14:paraId="493B07A4">
      <w:pPr>
        <w:rPr>
          <w:rFonts w:hint="eastAsia" w:ascii="宋体" w:hAnsi="宋体" w:eastAsia="宋体" w:cs="宋体"/>
        </w:rPr>
      </w:pPr>
    </w:p>
    <w:p w14:paraId="33F88684">
      <w:pPr>
        <w:rPr>
          <w:rFonts w:hint="eastAsia" w:ascii="宋体" w:hAnsi="宋体" w:eastAsia="宋体" w:cs="宋体"/>
        </w:rPr>
      </w:pPr>
    </w:p>
    <w:p w14:paraId="21A8B33C">
      <w:pPr>
        <w:rPr>
          <w:rFonts w:hint="eastAsia" w:ascii="宋体" w:hAnsi="宋体" w:eastAsia="宋体" w:cs="宋体"/>
        </w:rPr>
      </w:pPr>
    </w:p>
    <w:p w14:paraId="038F0315">
      <w:pPr>
        <w:rPr>
          <w:rFonts w:hint="eastAsia" w:ascii="宋体" w:hAnsi="宋体" w:eastAsia="宋体" w:cs="宋体"/>
        </w:rPr>
      </w:pPr>
    </w:p>
    <w:p w14:paraId="17688EDC">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41" w:name="_Toc11234"/>
      <w:r>
        <w:rPr>
          <w:rFonts w:hint="eastAsia" w:ascii="宋体" w:hAnsi="宋体" w:eastAsia="宋体" w:cs="宋体"/>
          <w:b/>
          <w:bCs/>
          <w:color w:val="auto"/>
          <w:spacing w:val="-11"/>
          <w:sz w:val="24"/>
          <w:szCs w:val="24"/>
          <w:highlight w:val="none"/>
          <w:lang w:val="en-US" w:eastAsia="zh-CN"/>
        </w:rPr>
        <w:t>格式十一   建造师查询页（有效期+建造师签字）</w:t>
      </w:r>
      <w:bookmarkEnd w:id="341"/>
    </w:p>
    <w:p w14:paraId="7D361745">
      <w:pPr>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drawing>
          <wp:inline distT="0" distB="0" distL="114300" distR="114300">
            <wp:extent cx="6073775" cy="8491220"/>
            <wp:effectExtent l="0" t="0" r="3175" b="5080"/>
            <wp:docPr id="4" name="图片 113"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3" descr="b7c3fa9a6b84aa75afaa6419d149817"/>
                    <pic:cNvPicPr>
                      <a:picLocks noChangeAspect="1"/>
                    </pic:cNvPicPr>
                  </pic:nvPicPr>
                  <pic:blipFill>
                    <a:blip r:embed="rId31"/>
                    <a:stretch>
                      <a:fillRect/>
                    </a:stretch>
                  </pic:blipFill>
                  <pic:spPr>
                    <a:xfrm>
                      <a:off x="0" y="0"/>
                      <a:ext cx="6073775" cy="8491220"/>
                    </a:xfrm>
                    <a:prstGeom prst="rect">
                      <a:avLst/>
                    </a:prstGeom>
                    <a:noFill/>
                    <a:ln>
                      <a:noFill/>
                    </a:ln>
                  </pic:spPr>
                </pic:pic>
              </a:graphicData>
            </a:graphic>
          </wp:inline>
        </w:drawing>
      </w:r>
    </w:p>
    <w:p w14:paraId="5233E5D8">
      <w:pPr>
        <w:rPr>
          <w:rFonts w:hint="eastAsia" w:ascii="宋体" w:hAnsi="宋体" w:eastAsia="宋体" w:cs="宋体"/>
          <w:snapToGrid w:val="0"/>
          <w:color w:val="auto"/>
          <w:sz w:val="21"/>
          <w:highlight w:val="none"/>
        </w:rPr>
      </w:pPr>
    </w:p>
    <w:p w14:paraId="5FBC33E1">
      <w:pPr>
        <w:rPr>
          <w:rFonts w:hint="eastAsia" w:ascii="宋体" w:hAnsi="宋体" w:eastAsia="宋体" w:cs="宋体"/>
          <w:snapToGrid w:val="0"/>
          <w:color w:val="auto"/>
          <w:sz w:val="21"/>
          <w:highlight w:val="none"/>
        </w:rPr>
      </w:pPr>
    </w:p>
    <w:p w14:paraId="3B43CCC4">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088380" cy="6311265"/>
            <wp:effectExtent l="0" t="0" r="7620" b="13335"/>
            <wp:docPr id="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4"/>
                    <pic:cNvPicPr>
                      <a:picLocks noChangeAspect="1"/>
                    </pic:cNvPicPr>
                  </pic:nvPicPr>
                  <pic:blipFill>
                    <a:blip r:embed="rId32"/>
                    <a:stretch>
                      <a:fillRect/>
                    </a:stretch>
                  </pic:blipFill>
                  <pic:spPr>
                    <a:xfrm>
                      <a:off x="0" y="0"/>
                      <a:ext cx="6088380" cy="6311265"/>
                    </a:xfrm>
                    <a:prstGeom prst="rect">
                      <a:avLst/>
                    </a:prstGeom>
                    <a:noFill/>
                    <a:ln>
                      <a:noFill/>
                    </a:ln>
                  </pic:spPr>
                </pic:pic>
              </a:graphicData>
            </a:graphic>
          </wp:inline>
        </w:drawing>
      </w:r>
    </w:p>
    <w:p w14:paraId="50E74E37">
      <w:pPr>
        <w:rPr>
          <w:rFonts w:hint="eastAsia" w:ascii="宋体" w:hAnsi="宋体" w:eastAsia="宋体" w:cs="宋体"/>
          <w:color w:val="auto"/>
          <w:highlight w:val="none"/>
        </w:rPr>
      </w:pPr>
    </w:p>
    <w:p w14:paraId="24137043">
      <w:pPr>
        <w:rPr>
          <w:rFonts w:hint="eastAsia" w:ascii="宋体" w:hAnsi="宋体" w:eastAsia="宋体" w:cs="宋体"/>
        </w:rPr>
      </w:pPr>
    </w:p>
    <w:p w14:paraId="77AA41E2">
      <w:pPr>
        <w:rPr>
          <w:rFonts w:hint="eastAsia" w:ascii="宋体" w:hAnsi="宋体" w:eastAsia="宋体" w:cs="宋体"/>
        </w:rPr>
      </w:pPr>
    </w:p>
    <w:p w14:paraId="2CBC0C8B">
      <w:pPr>
        <w:rPr>
          <w:rFonts w:hint="eastAsia" w:ascii="宋体" w:hAnsi="宋体" w:eastAsia="宋体" w:cs="宋体"/>
        </w:rPr>
      </w:pPr>
    </w:p>
    <w:p w14:paraId="44EC900C">
      <w:pPr>
        <w:rPr>
          <w:rFonts w:hint="eastAsia" w:ascii="宋体" w:hAnsi="宋体" w:eastAsia="宋体" w:cs="宋体"/>
        </w:rPr>
      </w:pPr>
    </w:p>
    <w:p w14:paraId="00EC1A2A">
      <w:pPr>
        <w:rPr>
          <w:rFonts w:hint="eastAsia" w:ascii="宋体" w:hAnsi="宋体" w:eastAsia="宋体" w:cs="宋体"/>
        </w:rPr>
      </w:pPr>
    </w:p>
    <w:p w14:paraId="2F8241EE">
      <w:pPr>
        <w:rPr>
          <w:rFonts w:hint="eastAsia" w:ascii="宋体" w:hAnsi="宋体" w:eastAsia="宋体" w:cs="宋体"/>
        </w:rPr>
      </w:pPr>
    </w:p>
    <w:p w14:paraId="798C45DD">
      <w:pPr>
        <w:rPr>
          <w:rFonts w:hint="eastAsia" w:ascii="宋体" w:hAnsi="宋体" w:eastAsia="宋体" w:cs="宋体"/>
        </w:rPr>
      </w:pPr>
    </w:p>
    <w:p w14:paraId="36C9709B">
      <w:pPr>
        <w:rPr>
          <w:rFonts w:hint="eastAsia" w:ascii="宋体" w:hAnsi="宋体" w:eastAsia="宋体" w:cs="宋体"/>
        </w:rPr>
      </w:pPr>
    </w:p>
    <w:p w14:paraId="4B6CCB7E">
      <w:pPr>
        <w:rPr>
          <w:rFonts w:hint="eastAsia" w:ascii="宋体" w:hAnsi="宋体" w:eastAsia="宋体" w:cs="宋体"/>
        </w:rPr>
      </w:pPr>
    </w:p>
    <w:p w14:paraId="07F606DA">
      <w:pPr>
        <w:rPr>
          <w:rFonts w:hint="eastAsia" w:ascii="宋体" w:hAnsi="宋体" w:eastAsia="宋体" w:cs="宋体"/>
        </w:rPr>
      </w:pPr>
    </w:p>
    <w:p w14:paraId="4AE815E4">
      <w:pPr>
        <w:rPr>
          <w:rFonts w:hint="eastAsia" w:ascii="宋体" w:hAnsi="宋体" w:eastAsia="宋体" w:cs="宋体"/>
        </w:rPr>
      </w:pPr>
    </w:p>
    <w:p w14:paraId="6FD2E8AF">
      <w:pPr>
        <w:rPr>
          <w:rFonts w:hint="eastAsia" w:ascii="宋体" w:hAnsi="宋体" w:eastAsia="宋体" w:cs="宋体"/>
        </w:rPr>
      </w:pPr>
    </w:p>
    <w:p w14:paraId="69D3EEE5">
      <w:pPr>
        <w:rPr>
          <w:rFonts w:hint="eastAsia" w:ascii="宋体" w:hAnsi="宋体" w:eastAsia="宋体" w:cs="宋体"/>
        </w:rPr>
      </w:pPr>
    </w:p>
    <w:p w14:paraId="7ECC2CAE">
      <w:pPr>
        <w:rPr>
          <w:rFonts w:hint="eastAsia" w:ascii="宋体" w:hAnsi="宋体" w:eastAsia="宋体" w:cs="宋体"/>
        </w:rPr>
      </w:pPr>
    </w:p>
    <w:p w14:paraId="566192B7">
      <w:pPr>
        <w:rPr>
          <w:rFonts w:hint="eastAsia" w:ascii="宋体" w:hAnsi="宋体" w:eastAsia="宋体" w:cs="宋体"/>
        </w:rPr>
      </w:pPr>
    </w:p>
    <w:p w14:paraId="184A4199">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42" w:name="_Toc16953"/>
      <w:bookmarkStart w:id="343" w:name="_Toc9813"/>
      <w:r>
        <w:rPr>
          <w:rFonts w:hint="eastAsia" w:ascii="宋体" w:hAnsi="宋体" w:eastAsia="宋体" w:cs="宋体"/>
          <w:b/>
          <w:bCs/>
          <w:color w:val="auto"/>
          <w:spacing w:val="-11"/>
          <w:sz w:val="24"/>
          <w:szCs w:val="24"/>
          <w:highlight w:val="none"/>
          <w:lang w:val="en-US" w:eastAsia="zh-CN"/>
        </w:rPr>
        <w:t>格式十二</w:t>
      </w:r>
      <w:bookmarkEnd w:id="342"/>
      <w:r>
        <w:rPr>
          <w:rFonts w:hint="eastAsia" w:ascii="宋体" w:hAnsi="宋体" w:eastAsia="宋体" w:cs="宋体"/>
          <w:b/>
          <w:bCs/>
          <w:color w:val="auto"/>
          <w:spacing w:val="-11"/>
          <w:sz w:val="24"/>
          <w:szCs w:val="24"/>
          <w:highlight w:val="none"/>
          <w:lang w:val="en-US" w:eastAsia="zh-CN"/>
        </w:rPr>
        <w:t xml:space="preserve">   危险性较大的分部分项工程清单及超过一定规模的危险性较大的分部分项工程清单</w:t>
      </w:r>
      <w:bookmarkEnd w:id="343"/>
    </w:p>
    <w:p w14:paraId="3C04293C">
      <w:pPr>
        <w:pStyle w:val="8"/>
        <w:spacing w:before="101" w:line="360" w:lineRule="auto"/>
        <w:ind w:left="3259" w:right="41" w:hanging="3213"/>
        <w:rPr>
          <w:rFonts w:hint="eastAsia" w:ascii="宋体" w:hAnsi="宋体" w:eastAsia="宋体" w:cs="宋体"/>
          <w:color w:val="auto"/>
          <w:sz w:val="28"/>
          <w:szCs w:val="28"/>
          <w:highlight w:val="none"/>
        </w:rPr>
      </w:pPr>
      <w:r>
        <w:rPr>
          <w:rFonts w:hint="eastAsia" w:ascii="宋体" w:hAnsi="宋体" w:eastAsia="宋体" w:cs="宋体"/>
          <w:b/>
          <w:bCs/>
          <w:color w:val="auto"/>
          <w:spacing w:val="7"/>
          <w:sz w:val="28"/>
          <w:szCs w:val="28"/>
          <w:highlight w:val="none"/>
        </w:rPr>
        <w:t>危险性较大的分部分项工程清单及超过一定规模的危险性较大的</w:t>
      </w:r>
      <w:r>
        <w:rPr>
          <w:rFonts w:hint="eastAsia" w:ascii="宋体" w:hAnsi="宋体" w:eastAsia="宋体" w:cs="宋体"/>
          <w:b/>
          <w:bCs/>
          <w:color w:val="auto"/>
          <w:spacing w:val="5"/>
          <w:sz w:val="28"/>
          <w:szCs w:val="28"/>
          <w:highlight w:val="none"/>
        </w:rPr>
        <w:t>分部分项工程清单</w:t>
      </w:r>
    </w:p>
    <w:p w14:paraId="0F06CFE4">
      <w:pPr>
        <w:pStyle w:val="8"/>
        <w:spacing w:before="6" w:line="360" w:lineRule="auto"/>
        <w:ind w:left="5" w:firstLine="492"/>
        <w:rPr>
          <w:rFonts w:hint="eastAsia" w:ascii="宋体" w:hAnsi="宋体" w:eastAsia="宋体" w:cs="宋体"/>
          <w:color w:val="auto"/>
          <w:highlight w:val="none"/>
        </w:rPr>
      </w:pPr>
      <w:r>
        <w:rPr>
          <w:rFonts w:hint="eastAsia" w:ascii="宋体" w:hAnsi="宋体" w:eastAsia="宋体" w:cs="宋体"/>
          <w:color w:val="auto"/>
          <w:spacing w:val="-1"/>
          <w:highlight w:val="none"/>
        </w:rPr>
        <w:t>1、根据中华人民共和国住房和城乡建设部令第37号《危险性较大的分部分项工程</w:t>
      </w:r>
      <w:r>
        <w:rPr>
          <w:rFonts w:hint="eastAsia" w:ascii="宋体" w:hAnsi="宋体" w:eastAsia="宋体" w:cs="宋体"/>
          <w:color w:val="auto"/>
          <w:spacing w:val="8"/>
          <w:highlight w:val="none"/>
        </w:rPr>
        <w:t xml:space="preserve"> </w:t>
      </w:r>
      <w:r>
        <w:rPr>
          <w:rFonts w:hint="eastAsia" w:ascii="宋体" w:hAnsi="宋体" w:eastAsia="宋体" w:cs="宋体"/>
          <w:color w:val="auto"/>
          <w:spacing w:val="-2"/>
          <w:highlight w:val="none"/>
        </w:rPr>
        <w:t>安全管理规定》（以下简称“37号文</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2"/>
          <w:highlight w:val="none"/>
        </w:rPr>
        <w:t>”</w:t>
      </w:r>
      <w:r>
        <w:rPr>
          <w:rFonts w:hint="eastAsia" w:ascii="宋体" w:hAnsi="宋体" w:eastAsia="宋体" w:cs="宋体"/>
          <w:color w:val="auto"/>
          <w:spacing w:val="-11"/>
          <w:highlight w:val="none"/>
        </w:rPr>
        <w:t>），</w:t>
      </w:r>
      <w:r>
        <w:rPr>
          <w:rFonts w:hint="eastAsia" w:ascii="宋体" w:hAnsi="宋体" w:eastAsia="宋体" w:cs="宋体"/>
          <w:color w:val="auto"/>
          <w:spacing w:val="-2"/>
          <w:highlight w:val="none"/>
        </w:rPr>
        <w:t>投标人在投标时须补充完善危大工程清单并</w:t>
      </w:r>
      <w:r>
        <w:rPr>
          <w:rFonts w:hint="eastAsia" w:ascii="宋体" w:hAnsi="宋体" w:eastAsia="宋体" w:cs="宋体"/>
          <w:color w:val="auto"/>
          <w:highlight w:val="none"/>
        </w:rPr>
        <w:t xml:space="preserve"> </w:t>
      </w:r>
      <w:r>
        <w:rPr>
          <w:rFonts w:hint="eastAsia" w:ascii="宋体" w:hAnsi="宋体" w:eastAsia="宋体" w:cs="宋体"/>
          <w:color w:val="auto"/>
          <w:spacing w:val="-2"/>
          <w:highlight w:val="none"/>
        </w:rPr>
        <w:t>明确相应的安全管理措施。</w:t>
      </w:r>
    </w:p>
    <w:p w14:paraId="66587309">
      <w:pPr>
        <w:pStyle w:val="8"/>
        <w:spacing w:before="208" w:line="360" w:lineRule="auto"/>
        <w:ind w:left="1" w:firstLine="481"/>
        <w:rPr>
          <w:rFonts w:hint="eastAsia" w:ascii="宋体" w:hAnsi="宋体" w:eastAsia="宋体" w:cs="宋体"/>
          <w:color w:val="auto"/>
          <w:highlight w:val="none"/>
        </w:rPr>
      </w:pPr>
      <w:r>
        <w:rPr>
          <w:rFonts w:hint="eastAsia" w:ascii="宋体" w:hAnsi="宋体" w:eastAsia="宋体" w:cs="宋体"/>
          <w:color w:val="auto"/>
          <w:spacing w:val="-2"/>
          <w:highlight w:val="none"/>
        </w:rPr>
        <w:t>2、招标人根据设计文件的要求及37号文、粤建规范〔2019〕2号文的规定列出“危</w:t>
      </w:r>
      <w:r>
        <w:rPr>
          <w:rFonts w:hint="eastAsia" w:ascii="宋体" w:hAnsi="宋体" w:eastAsia="宋体" w:cs="宋体"/>
          <w:color w:val="auto"/>
          <w:spacing w:val="18"/>
          <w:highlight w:val="none"/>
        </w:rPr>
        <w:t xml:space="preserve"> </w:t>
      </w:r>
      <w:r>
        <w:rPr>
          <w:rFonts w:hint="eastAsia" w:ascii="宋体" w:hAnsi="宋体" w:eastAsia="宋体" w:cs="宋体"/>
          <w:color w:val="auto"/>
          <w:spacing w:val="-2"/>
          <w:highlight w:val="none"/>
        </w:rPr>
        <w:t>险性较大的分部分项工程清单及超过一定规模的危</w:t>
      </w:r>
      <w:r>
        <w:rPr>
          <w:rFonts w:hint="eastAsia" w:ascii="宋体" w:hAnsi="宋体" w:eastAsia="宋体" w:cs="宋体"/>
          <w:color w:val="auto"/>
          <w:spacing w:val="-3"/>
          <w:highlight w:val="none"/>
        </w:rPr>
        <w:t>险性较大的分部分项工程清单</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3"/>
          <w:highlight w:val="none"/>
        </w:rPr>
        <w:t>”中与</w:t>
      </w:r>
      <w:r>
        <w:rPr>
          <w:rFonts w:hint="eastAsia" w:ascii="宋体" w:hAnsi="宋体" w:eastAsia="宋体" w:cs="宋体"/>
          <w:color w:val="auto"/>
          <w:highlight w:val="none"/>
        </w:rPr>
        <w:t xml:space="preserve"> </w:t>
      </w:r>
      <w:r>
        <w:rPr>
          <w:rFonts w:hint="eastAsia" w:ascii="宋体" w:hAnsi="宋体" w:eastAsia="宋体" w:cs="宋体"/>
          <w:color w:val="auto"/>
          <w:spacing w:val="-5"/>
          <w:highlight w:val="none"/>
        </w:rPr>
        <w:t>本招标项目相关的清单项，具体详见第5点“打</w:t>
      </w:r>
      <w:r>
        <w:rPr>
          <w:rFonts w:hint="eastAsia" w:ascii="宋体" w:hAnsi="宋体" w:eastAsia="宋体" w:cs="宋体"/>
          <w:color w:val="auto"/>
          <w:spacing w:val="-34"/>
          <w:highlight w:val="none"/>
        </w:rPr>
        <w:t xml:space="preserve"> </w:t>
      </w:r>
      <w:r>
        <w:rPr>
          <w:rFonts w:hint="eastAsia" w:ascii="宋体" w:hAnsi="宋体" w:eastAsia="宋体" w:cs="宋体"/>
          <w:color w:val="auto"/>
          <w:spacing w:val="-5"/>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5"/>
          <w:highlight w:val="none"/>
        </w:rPr>
        <w:t>”标识。</w:t>
      </w:r>
    </w:p>
    <w:p w14:paraId="688A95F4">
      <w:pPr>
        <w:pStyle w:val="8"/>
        <w:spacing w:before="208" w:line="360" w:lineRule="auto"/>
        <w:ind w:left="3" w:right="72" w:firstLine="488"/>
        <w:rPr>
          <w:rFonts w:hint="eastAsia" w:ascii="宋体" w:hAnsi="宋体" w:eastAsia="宋体" w:cs="宋体"/>
          <w:color w:val="auto"/>
          <w:highlight w:val="none"/>
        </w:rPr>
      </w:pPr>
      <w:r>
        <w:rPr>
          <w:rFonts w:hint="eastAsia" w:ascii="宋体" w:hAnsi="宋体" w:eastAsia="宋体" w:cs="宋体"/>
          <w:color w:val="auto"/>
          <w:spacing w:val="-3"/>
          <w:highlight w:val="none"/>
        </w:rPr>
        <w:t>（1）投标单位同意建设单位在清单中标识的该</w:t>
      </w:r>
      <w:r>
        <w:rPr>
          <w:rFonts w:hint="eastAsia" w:ascii="宋体" w:hAnsi="宋体" w:eastAsia="宋体" w:cs="宋体"/>
          <w:color w:val="auto"/>
          <w:spacing w:val="-4"/>
          <w:highlight w:val="none"/>
        </w:rPr>
        <w:t>项请在对应项打“</w:t>
      </w:r>
      <w:r>
        <w:rPr>
          <w:rFonts w:hint="eastAsia" w:ascii="宋体" w:hAnsi="宋体" w:eastAsia="宋体" w:cs="宋体"/>
          <w:color w:val="auto"/>
          <w:spacing w:val="-51"/>
          <w:highlight w:val="none"/>
        </w:rPr>
        <w:t xml:space="preserve"> </w:t>
      </w:r>
      <w:r>
        <w:rPr>
          <w:rFonts w:hint="eastAsia" w:ascii="宋体" w:hAnsi="宋体" w:eastAsia="宋体" w:cs="宋体"/>
          <w:color w:val="auto"/>
          <w:spacing w:val="-4"/>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4"/>
          <w:highlight w:val="none"/>
        </w:rPr>
        <w:t>”标识，并与</w:t>
      </w:r>
      <w:r>
        <w:rPr>
          <w:rFonts w:hint="eastAsia" w:ascii="宋体" w:hAnsi="宋体" w:eastAsia="宋体" w:cs="宋体"/>
          <w:color w:val="auto"/>
          <w:highlight w:val="none"/>
        </w:rPr>
        <w:t xml:space="preserve"> </w:t>
      </w:r>
      <w:r>
        <w:rPr>
          <w:rFonts w:hint="eastAsia" w:ascii="宋体" w:hAnsi="宋体" w:eastAsia="宋体" w:cs="宋体"/>
          <w:color w:val="auto"/>
          <w:spacing w:val="-1"/>
          <w:highlight w:val="none"/>
        </w:rPr>
        <w:t>投标文件中提供相应的安全管理措施。</w:t>
      </w:r>
    </w:p>
    <w:p w14:paraId="10A3F36C">
      <w:pPr>
        <w:pStyle w:val="8"/>
        <w:spacing w:before="206" w:line="360" w:lineRule="auto"/>
        <w:ind w:left="2" w:right="72" w:firstLine="489"/>
        <w:rPr>
          <w:rFonts w:hint="eastAsia" w:ascii="宋体" w:hAnsi="宋体" w:eastAsia="宋体" w:cs="宋体"/>
          <w:color w:val="auto"/>
          <w:highlight w:val="none"/>
        </w:rPr>
      </w:pPr>
      <w:r>
        <w:rPr>
          <w:rFonts w:hint="eastAsia" w:ascii="宋体" w:hAnsi="宋体" w:eastAsia="宋体" w:cs="宋体"/>
          <w:color w:val="auto"/>
          <w:spacing w:val="-3"/>
          <w:highlight w:val="none"/>
        </w:rPr>
        <w:t>（2）投标单位对清单中认为需要补充的该项请</w:t>
      </w:r>
      <w:r>
        <w:rPr>
          <w:rFonts w:hint="eastAsia" w:ascii="宋体" w:hAnsi="宋体" w:eastAsia="宋体" w:cs="宋体"/>
          <w:color w:val="auto"/>
          <w:spacing w:val="-4"/>
          <w:highlight w:val="none"/>
        </w:rPr>
        <w:t>在对应项打“</w:t>
      </w:r>
      <w:r>
        <w:rPr>
          <w:rFonts w:hint="eastAsia" w:ascii="宋体" w:hAnsi="宋体" w:eastAsia="宋体" w:cs="宋体"/>
          <w:color w:val="auto"/>
          <w:spacing w:val="-51"/>
          <w:highlight w:val="none"/>
        </w:rPr>
        <w:t xml:space="preserve"> </w:t>
      </w:r>
      <w:r>
        <w:rPr>
          <w:rFonts w:hint="eastAsia" w:ascii="宋体" w:hAnsi="宋体" w:eastAsia="宋体" w:cs="宋体"/>
          <w:color w:val="auto"/>
          <w:spacing w:val="-4"/>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4"/>
          <w:highlight w:val="none"/>
        </w:rPr>
        <w:t>”标识，并与投标</w:t>
      </w:r>
      <w:r>
        <w:rPr>
          <w:rFonts w:hint="eastAsia" w:ascii="宋体" w:hAnsi="宋体" w:eastAsia="宋体" w:cs="宋体"/>
          <w:color w:val="auto"/>
          <w:highlight w:val="none"/>
        </w:rPr>
        <w:t xml:space="preserve"> </w:t>
      </w:r>
      <w:r>
        <w:rPr>
          <w:rFonts w:hint="eastAsia" w:ascii="宋体" w:hAnsi="宋体" w:eastAsia="宋体" w:cs="宋体"/>
          <w:color w:val="auto"/>
          <w:spacing w:val="-1"/>
          <w:highlight w:val="none"/>
        </w:rPr>
        <w:t>文件中提供相应的安全管理措施。</w:t>
      </w:r>
    </w:p>
    <w:p w14:paraId="31E03A44">
      <w:pPr>
        <w:pStyle w:val="8"/>
        <w:spacing w:before="208" w:line="360" w:lineRule="auto"/>
        <w:ind w:right="72" w:firstLine="492"/>
        <w:rPr>
          <w:rFonts w:hint="eastAsia" w:ascii="宋体" w:hAnsi="宋体" w:eastAsia="宋体" w:cs="宋体"/>
          <w:color w:val="auto"/>
          <w:highlight w:val="none"/>
        </w:rPr>
      </w:pPr>
      <w:r>
        <w:rPr>
          <w:rFonts w:hint="eastAsia" w:ascii="宋体" w:hAnsi="宋体" w:eastAsia="宋体" w:cs="宋体"/>
          <w:color w:val="auto"/>
          <w:spacing w:val="-3"/>
          <w:highlight w:val="none"/>
        </w:rPr>
        <w:t>（3）投标单位不同意建设单位在清单中标识的该项请在对应项打“</w:t>
      </w:r>
      <w:r>
        <w:rPr>
          <w:rFonts w:hint="eastAsia" w:ascii="宋体" w:hAnsi="宋体" w:eastAsia="宋体" w:cs="宋体"/>
          <w:color w:val="auto"/>
          <w:spacing w:val="-66"/>
          <w:highlight w:val="none"/>
        </w:rPr>
        <w:t xml:space="preserve"> </w:t>
      </w:r>
      <w:r>
        <w:rPr>
          <w:rFonts w:hint="eastAsia" w:ascii="宋体" w:hAnsi="宋体" w:eastAsia="宋体" w:cs="宋体"/>
          <w:color w:val="auto"/>
          <w:spacing w:val="-3"/>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3"/>
          <w:highlight w:val="none"/>
        </w:rPr>
        <w:t>”标识，并</w:t>
      </w:r>
      <w:r>
        <w:rPr>
          <w:rFonts w:hint="eastAsia" w:ascii="宋体" w:hAnsi="宋体" w:eastAsia="宋体" w:cs="宋体"/>
          <w:color w:val="auto"/>
          <w:highlight w:val="none"/>
        </w:rPr>
        <w:t xml:space="preserve"> </w:t>
      </w:r>
      <w:r>
        <w:rPr>
          <w:rFonts w:hint="eastAsia" w:ascii="宋体" w:hAnsi="宋体" w:eastAsia="宋体" w:cs="宋体"/>
          <w:color w:val="auto"/>
          <w:spacing w:val="-1"/>
          <w:highlight w:val="none"/>
        </w:rPr>
        <w:t>在备注栏填上相关说明。</w:t>
      </w:r>
    </w:p>
    <w:p w14:paraId="4EFDC912">
      <w:pPr>
        <w:pStyle w:val="8"/>
        <w:spacing w:before="210" w:line="360" w:lineRule="auto"/>
        <w:ind w:firstLine="484"/>
        <w:jc w:val="both"/>
        <w:rPr>
          <w:rFonts w:hint="eastAsia" w:ascii="宋体" w:hAnsi="宋体" w:eastAsia="宋体" w:cs="宋体"/>
          <w:color w:val="auto"/>
          <w:highlight w:val="none"/>
        </w:rPr>
      </w:pPr>
      <w:r>
        <w:rPr>
          <w:rFonts w:hint="eastAsia" w:ascii="宋体" w:hAnsi="宋体" w:eastAsia="宋体" w:cs="宋体"/>
          <w:b/>
          <w:bCs/>
          <w:color w:val="auto"/>
          <w:spacing w:val="-4"/>
          <w:highlight w:val="none"/>
          <w:u w:val="single" w:color="auto"/>
        </w:rPr>
        <w:t>3、投标单位应当在投标时根据招标人提供的下述第5点清单，</w:t>
      </w:r>
      <w:r>
        <w:rPr>
          <w:rFonts w:hint="eastAsia" w:ascii="宋体" w:hAnsi="宋体" w:eastAsia="宋体" w:cs="宋体"/>
          <w:b/>
          <w:bCs/>
          <w:color w:val="auto"/>
          <w:spacing w:val="-5"/>
          <w:highlight w:val="none"/>
          <w:u w:val="single" w:color="auto"/>
        </w:rPr>
        <w:t>在投标施工组织中回</w:t>
      </w:r>
      <w:r>
        <w:rPr>
          <w:rFonts w:hint="eastAsia" w:ascii="宋体" w:hAnsi="宋体" w:eastAsia="宋体" w:cs="宋体"/>
          <w:b/>
          <w:bCs/>
          <w:color w:val="auto"/>
          <w:spacing w:val="-4"/>
          <w:highlight w:val="none"/>
          <w:u w:val="single" w:color="auto"/>
        </w:rPr>
        <w:t>应建设单位提供的危大工程清单，补充相应的安全管理措施。（为减轻标书编制</w:t>
      </w:r>
      <w:r>
        <w:rPr>
          <w:rFonts w:hint="eastAsia" w:ascii="宋体" w:hAnsi="宋体" w:eastAsia="宋体" w:cs="宋体"/>
          <w:b/>
          <w:bCs/>
          <w:color w:val="auto"/>
          <w:spacing w:val="-5"/>
          <w:highlight w:val="none"/>
          <w:u w:val="single" w:color="auto"/>
        </w:rPr>
        <w:t>的工作</w:t>
      </w:r>
      <w:r>
        <w:rPr>
          <w:rFonts w:hint="eastAsia" w:ascii="宋体" w:hAnsi="宋体" w:eastAsia="宋体" w:cs="宋体"/>
          <w:b/>
          <w:bCs/>
          <w:color w:val="auto"/>
          <w:spacing w:val="-2"/>
          <w:highlight w:val="none"/>
          <w:u w:val="single" w:color="auto"/>
        </w:rPr>
        <w:t>量，投标单位回应的危大工程清单该部分的页数应控制在3页内）</w:t>
      </w:r>
    </w:p>
    <w:p w14:paraId="06901094">
      <w:pPr>
        <w:pStyle w:val="8"/>
        <w:spacing w:before="37" w:line="360" w:lineRule="auto"/>
        <w:ind w:left="1" w:firstLine="478"/>
        <w:rPr>
          <w:rFonts w:hint="eastAsia" w:ascii="宋体" w:hAnsi="宋体" w:eastAsia="宋体" w:cs="宋体"/>
          <w:color w:val="auto"/>
          <w:highlight w:val="none"/>
        </w:rPr>
      </w:pPr>
      <w:r>
        <w:rPr>
          <w:rFonts w:hint="eastAsia" w:ascii="宋体" w:hAnsi="宋体" w:eastAsia="宋体" w:cs="宋体"/>
          <w:color w:val="auto"/>
          <w:highlight w:val="none"/>
        </w:rPr>
        <w:t>4、对于超过一定规模的危大工程，中标单位应当组织召开</w:t>
      </w:r>
      <w:r>
        <w:rPr>
          <w:rFonts w:hint="eastAsia" w:ascii="宋体" w:hAnsi="宋体" w:eastAsia="宋体" w:cs="宋体"/>
          <w:color w:val="auto"/>
          <w:spacing w:val="-1"/>
          <w:highlight w:val="none"/>
        </w:rPr>
        <w:t>专家论证会对专项施工</w:t>
      </w:r>
      <w:r>
        <w:rPr>
          <w:rFonts w:hint="eastAsia" w:ascii="宋体" w:hAnsi="宋体" w:eastAsia="宋体" w:cs="宋体"/>
          <w:color w:val="auto"/>
          <w:highlight w:val="none"/>
        </w:rPr>
        <w:t xml:space="preserve"> </w:t>
      </w:r>
      <w:r>
        <w:rPr>
          <w:rFonts w:hint="eastAsia" w:ascii="宋体" w:hAnsi="宋体" w:eastAsia="宋体" w:cs="宋体"/>
          <w:color w:val="auto"/>
          <w:spacing w:val="-2"/>
          <w:highlight w:val="none"/>
        </w:rPr>
        <w:t>方案进行论证。实行施工总承包的，由施工总承包单位组织召开专家论证会。专家论证</w:t>
      </w:r>
      <w:r>
        <w:rPr>
          <w:rFonts w:hint="eastAsia" w:ascii="宋体" w:hAnsi="宋体" w:eastAsia="宋体" w:cs="宋体"/>
          <w:color w:val="auto"/>
          <w:spacing w:val="16"/>
          <w:highlight w:val="none"/>
        </w:rPr>
        <w:t xml:space="preserve"> </w:t>
      </w:r>
      <w:r>
        <w:rPr>
          <w:rFonts w:hint="eastAsia" w:ascii="宋体" w:hAnsi="宋体" w:eastAsia="宋体" w:cs="宋体"/>
          <w:color w:val="auto"/>
          <w:spacing w:val="-1"/>
          <w:highlight w:val="none"/>
        </w:rPr>
        <w:t>前专项施工方案应当通过施工总承包单位审核和总监理工程师审查。</w:t>
      </w:r>
    </w:p>
    <w:p w14:paraId="3C5F3DD9">
      <w:pPr>
        <w:pStyle w:val="8"/>
        <w:spacing w:before="205" w:line="360" w:lineRule="auto"/>
        <w:ind w:firstLine="484"/>
        <w:rPr>
          <w:rFonts w:hint="eastAsia" w:ascii="宋体" w:hAnsi="宋体" w:eastAsia="宋体" w:cs="宋体"/>
          <w:color w:val="auto"/>
          <w:highlight w:val="none"/>
        </w:rPr>
      </w:pPr>
      <w:r>
        <w:rPr>
          <w:rFonts w:hint="eastAsia" w:ascii="宋体" w:hAnsi="宋体" w:eastAsia="宋体" w:cs="宋体"/>
          <w:color w:val="auto"/>
          <w:spacing w:val="2"/>
          <w:highlight w:val="none"/>
        </w:rPr>
        <w:t>5、危险性较大的分部分项工程清单及超过一</w:t>
      </w:r>
      <w:r>
        <w:rPr>
          <w:rFonts w:hint="eastAsia" w:ascii="宋体" w:hAnsi="宋体" w:eastAsia="宋体" w:cs="宋体"/>
          <w:color w:val="auto"/>
          <w:spacing w:val="1"/>
          <w:highlight w:val="none"/>
        </w:rPr>
        <w:t>定规模的危险性较大的分部分项工程</w:t>
      </w:r>
      <w:r>
        <w:rPr>
          <w:rFonts w:hint="eastAsia" w:ascii="宋体" w:hAnsi="宋体" w:eastAsia="宋体" w:cs="宋体"/>
          <w:color w:val="auto"/>
          <w:spacing w:val="-4"/>
          <w:highlight w:val="none"/>
        </w:rPr>
        <w:t>清单：</w:t>
      </w:r>
    </w:p>
    <w:p w14:paraId="4D834F10">
      <w:pPr>
        <w:spacing w:line="360" w:lineRule="auto"/>
        <w:rPr>
          <w:rFonts w:hint="eastAsia" w:ascii="宋体" w:hAnsi="宋体" w:eastAsia="宋体" w:cs="宋体"/>
          <w:color w:val="auto"/>
          <w:highlight w:val="none"/>
        </w:rPr>
      </w:pPr>
    </w:p>
    <w:p w14:paraId="673C8107">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val="0"/>
          <w:snapToGrid w:val="0"/>
          <w:color w:val="auto"/>
          <w:kern w:val="0"/>
          <w:sz w:val="24"/>
          <w:szCs w:val="24"/>
          <w:highlight w:val="none"/>
          <w:u w:val="single"/>
          <w:lang w:val="en-US" w:eastAsia="zh-CN"/>
        </w:rPr>
      </w:pPr>
      <w:r>
        <w:rPr>
          <w:rFonts w:hint="eastAsia" w:ascii="宋体" w:hAnsi="宋体" w:eastAsia="宋体" w:cs="宋体"/>
          <w:b/>
          <w:bCs w:val="0"/>
          <w:snapToGrid w:val="0"/>
          <w:color w:val="auto"/>
          <w:kern w:val="0"/>
          <w:sz w:val="24"/>
          <w:szCs w:val="24"/>
          <w:highlight w:val="none"/>
          <w:u w:val="single"/>
          <w:lang w:val="en-US" w:eastAsia="zh-CN"/>
        </w:rPr>
        <w:t>本工程招标控制价、招标工程量清单及危大工程量清单（若有），在开标前15天另行发布于相关网站，各投标人可在全国公共资源交易平台 （广东省 · 韶关市）（https://ygp.gdzwfw.gov.cn/ggzy-portal/#/440200/index）等网站上自行下载。</w:t>
      </w:r>
    </w:p>
    <w:p w14:paraId="29C516F6">
      <w:pPr>
        <w:rPr>
          <w:rFonts w:hint="eastAsia" w:ascii="宋体" w:hAnsi="宋体" w:eastAsia="宋体" w:cs="宋体"/>
          <w:lang w:val="en-US" w:eastAsia="zh-CN"/>
        </w:rPr>
      </w:pPr>
    </w:p>
    <w:p w14:paraId="7F8521A1">
      <w:pPr>
        <w:rPr>
          <w:rFonts w:hint="eastAsia" w:ascii="宋体" w:hAnsi="宋体" w:eastAsia="宋体" w:cs="宋体"/>
          <w:lang w:val="en-US" w:eastAsia="zh-CN"/>
        </w:rPr>
      </w:pPr>
    </w:p>
    <w:p w14:paraId="58A8B20C">
      <w:pPr>
        <w:rPr>
          <w:rFonts w:hint="eastAsia" w:ascii="宋体" w:hAnsi="宋体" w:eastAsia="宋体" w:cs="宋体"/>
          <w:lang w:val="en-US" w:eastAsia="zh-CN"/>
        </w:rPr>
      </w:pPr>
    </w:p>
    <w:p w14:paraId="4E773BE7">
      <w:pPr>
        <w:rPr>
          <w:rFonts w:hint="eastAsia" w:ascii="宋体" w:hAnsi="宋体" w:eastAsia="宋体" w:cs="宋体"/>
          <w:lang w:val="en-US" w:eastAsia="zh-CN"/>
        </w:rPr>
      </w:pPr>
    </w:p>
    <w:p w14:paraId="28E4F02E">
      <w:pPr>
        <w:rPr>
          <w:rFonts w:hint="eastAsia" w:ascii="宋体" w:hAnsi="宋体" w:eastAsia="宋体" w:cs="宋体"/>
          <w:lang w:val="en-US" w:eastAsia="zh-CN"/>
        </w:rPr>
      </w:pPr>
    </w:p>
    <w:p w14:paraId="5D27FC03">
      <w:pPr>
        <w:rPr>
          <w:rFonts w:hint="eastAsia" w:ascii="宋体" w:hAnsi="宋体" w:eastAsia="宋体" w:cs="宋体"/>
          <w:lang w:val="en-US" w:eastAsia="zh-CN"/>
        </w:rPr>
      </w:pPr>
    </w:p>
    <w:p w14:paraId="123DB22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44" w:name="_Toc6639"/>
      <w:bookmarkStart w:id="345" w:name="_Toc13446"/>
      <w:bookmarkStart w:id="346" w:name="_Toc25639"/>
      <w:r>
        <w:rPr>
          <w:rFonts w:hint="eastAsia" w:ascii="宋体" w:hAnsi="宋体" w:eastAsia="宋体" w:cs="宋体"/>
          <w:b/>
          <w:bCs/>
          <w:color w:val="auto"/>
          <w:spacing w:val="-11"/>
          <w:sz w:val="24"/>
          <w:szCs w:val="24"/>
          <w:highlight w:val="none"/>
          <w:lang w:val="en-US" w:eastAsia="zh-CN"/>
        </w:rPr>
        <w:t>格式十三</w:t>
      </w:r>
      <w:bookmarkEnd w:id="344"/>
      <w:bookmarkEnd w:id="345"/>
      <w:r>
        <w:rPr>
          <w:rFonts w:hint="eastAsia" w:ascii="宋体" w:hAnsi="宋体" w:eastAsia="宋体" w:cs="宋体"/>
          <w:b/>
          <w:bCs/>
          <w:color w:val="auto"/>
          <w:spacing w:val="-11"/>
          <w:sz w:val="24"/>
          <w:szCs w:val="24"/>
          <w:highlight w:val="none"/>
          <w:lang w:val="en-US" w:eastAsia="zh-CN"/>
        </w:rPr>
        <w:t xml:space="preserve">   投标保证金信用承诺函</w:t>
      </w:r>
      <w:bookmarkEnd w:id="346"/>
    </w:p>
    <w:p w14:paraId="0A711391">
      <w:pPr>
        <w:pStyle w:val="8"/>
        <w:spacing w:before="140" w:line="360" w:lineRule="auto"/>
        <w:ind w:left="2338"/>
        <w:rPr>
          <w:rFonts w:hint="eastAsia" w:ascii="宋体" w:hAnsi="宋体" w:eastAsia="宋体" w:cs="宋体"/>
          <w:color w:val="auto"/>
          <w:sz w:val="36"/>
          <w:szCs w:val="36"/>
          <w:highlight w:val="none"/>
        </w:rPr>
      </w:pPr>
      <w:r>
        <w:rPr>
          <w:rFonts w:hint="eastAsia" w:ascii="宋体" w:hAnsi="宋体" w:eastAsia="宋体" w:cs="宋体"/>
          <w:b/>
          <w:bCs/>
          <w:color w:val="auto"/>
          <w:spacing w:val="4"/>
          <w:position w:val="3"/>
          <w:sz w:val="36"/>
          <w:szCs w:val="36"/>
          <w:highlight w:val="none"/>
        </w:rPr>
        <w:t>投标保证金信用承诺函</w:t>
      </w:r>
    </w:p>
    <w:p w14:paraId="325EB536">
      <w:pPr>
        <w:spacing w:line="360" w:lineRule="auto"/>
        <w:rPr>
          <w:rFonts w:hint="eastAsia" w:ascii="宋体" w:hAnsi="宋体" w:eastAsia="宋体" w:cs="宋体"/>
          <w:color w:val="auto"/>
          <w:sz w:val="21"/>
          <w:highlight w:val="none"/>
        </w:rPr>
      </w:pPr>
    </w:p>
    <w:p w14:paraId="32ED0890">
      <w:pPr>
        <w:pStyle w:val="8"/>
        <w:spacing w:before="101" w:line="360" w:lineRule="auto"/>
        <w:ind w:firstLine="450" w:firstLineChars="200"/>
        <w:jc w:val="both"/>
        <w:rPr>
          <w:rFonts w:hint="eastAsia" w:ascii="宋体" w:hAnsi="宋体" w:eastAsia="宋体" w:cs="宋体"/>
          <w:color w:val="auto"/>
          <w:highlight w:val="none"/>
        </w:rPr>
      </w:pPr>
      <w:r>
        <w:rPr>
          <w:rFonts w:hint="eastAsia" w:ascii="宋体" w:hAnsi="宋体" w:eastAsia="宋体" w:cs="宋体"/>
          <w:b/>
          <w:bCs/>
          <w:color w:val="auto"/>
          <w:spacing w:val="7"/>
          <w:highlight w:val="none"/>
        </w:rPr>
        <w:t>一、</w:t>
      </w:r>
      <w:r>
        <w:rPr>
          <w:rFonts w:hint="eastAsia" w:ascii="宋体" w:hAnsi="宋体" w:eastAsia="宋体" w:cs="宋体"/>
          <w:color w:val="auto"/>
          <w:spacing w:val="7"/>
          <w:highlight w:val="none"/>
        </w:rPr>
        <w:t>我单位参加</w:t>
      </w:r>
      <w:r>
        <w:rPr>
          <w:rFonts w:hint="eastAsia" w:ascii="宋体" w:hAnsi="宋体" w:eastAsia="宋体" w:cs="宋体"/>
          <w:color w:val="auto"/>
          <w:spacing w:val="7"/>
          <w:highlight w:val="none"/>
          <w:u w:val="single" w:color="auto"/>
        </w:rPr>
        <w:t xml:space="preserve">  （工程项目名称）  </w:t>
      </w:r>
      <w:r>
        <w:rPr>
          <w:rFonts w:hint="eastAsia" w:ascii="宋体" w:hAnsi="宋体" w:eastAsia="宋体" w:cs="宋体"/>
          <w:color w:val="auto"/>
          <w:spacing w:val="-116"/>
          <w:highlight w:val="none"/>
        </w:rPr>
        <w:t xml:space="preserve"> </w:t>
      </w:r>
      <w:r>
        <w:rPr>
          <w:rFonts w:hint="eastAsia" w:ascii="宋体" w:hAnsi="宋体" w:eastAsia="宋体" w:cs="宋体"/>
          <w:color w:val="auto"/>
          <w:spacing w:val="7"/>
          <w:highlight w:val="none"/>
        </w:rPr>
        <w:t>的投标活动，</w:t>
      </w:r>
      <w:r>
        <w:rPr>
          <w:rFonts w:hint="eastAsia" w:ascii="宋体" w:hAnsi="宋体" w:eastAsia="宋体" w:cs="宋体"/>
          <w:color w:val="auto"/>
          <w:spacing w:val="6"/>
          <w:highlight w:val="none"/>
        </w:rPr>
        <w:t>现承</w:t>
      </w:r>
      <w:r>
        <w:rPr>
          <w:rFonts w:hint="eastAsia" w:ascii="宋体" w:hAnsi="宋体" w:eastAsia="宋体" w:cs="宋体"/>
          <w:color w:val="auto"/>
          <w:spacing w:val="9"/>
          <w:highlight w:val="none"/>
        </w:rPr>
        <w:t>诺：将严格按照法律法规规定参与交易活动，按照招标文件要求依法履行投标人义务；我方若出现违反《中华人民共和国招标投标法》、《中华人民共和国招标投标法实施条例》、《电子招标投标办法》等有关法律法规的行为，将于投标有效期内全额付清</w:t>
      </w:r>
      <w:r>
        <w:rPr>
          <w:rFonts w:hint="eastAsia" w:ascii="宋体" w:hAnsi="宋体" w:eastAsia="宋体" w:cs="宋体"/>
          <w:color w:val="auto"/>
          <w:spacing w:val="7"/>
          <w:highlight w:val="none"/>
        </w:rPr>
        <w:t>招标文件规定的投标保证金</w:t>
      </w:r>
      <w:r>
        <w:rPr>
          <w:rFonts w:hint="eastAsia" w:ascii="宋体" w:hAnsi="宋体" w:eastAsia="宋体" w:cs="宋体"/>
          <w:color w:val="auto"/>
          <w:spacing w:val="-153"/>
          <w:highlight w:val="none"/>
        </w:rPr>
        <w:t xml:space="preserve"> </w:t>
      </w:r>
      <w:r>
        <w:rPr>
          <w:rFonts w:hint="eastAsia" w:ascii="宋体" w:hAnsi="宋体" w:eastAsia="宋体" w:cs="宋体"/>
          <w:color w:val="auto"/>
          <w:spacing w:val="5"/>
          <w:highlight w:val="none"/>
          <w:u w:val="single" w:color="auto"/>
        </w:rPr>
        <w:t xml:space="preserve">     </w:t>
      </w:r>
      <w:r>
        <w:rPr>
          <w:rFonts w:hint="eastAsia" w:ascii="宋体" w:hAnsi="宋体" w:eastAsia="宋体" w:cs="宋体"/>
          <w:color w:val="auto"/>
          <w:spacing w:val="-138"/>
          <w:highlight w:val="none"/>
        </w:rPr>
        <w:t xml:space="preserve"> </w:t>
      </w:r>
      <w:r>
        <w:rPr>
          <w:rFonts w:hint="eastAsia" w:ascii="宋体" w:hAnsi="宋体" w:eastAsia="宋体" w:cs="宋体"/>
          <w:color w:val="auto"/>
          <w:spacing w:val="7"/>
          <w:highlight w:val="none"/>
        </w:rPr>
        <w:t>元。</w:t>
      </w:r>
    </w:p>
    <w:p w14:paraId="5B8BD4E7">
      <w:pPr>
        <w:pStyle w:val="8"/>
        <w:spacing w:before="48" w:line="360" w:lineRule="auto"/>
        <w:ind w:firstLine="456" w:firstLineChars="200"/>
        <w:jc w:val="both"/>
        <w:rPr>
          <w:rFonts w:hint="eastAsia" w:ascii="宋体" w:hAnsi="宋体" w:eastAsia="宋体" w:cs="宋体"/>
          <w:color w:val="auto"/>
          <w:highlight w:val="none"/>
        </w:rPr>
      </w:pPr>
      <w:r>
        <w:rPr>
          <w:rFonts w:hint="eastAsia" w:ascii="宋体" w:hAnsi="宋体" w:eastAsia="宋体" w:cs="宋体"/>
          <w:color w:val="auto"/>
          <w:spacing w:val="9"/>
          <w:highlight w:val="none"/>
        </w:rPr>
        <w:t>二、至投标文件提交当天，本公司无严重不良信用记录或存在曾作出虚假承诺的情形，且不属于韶关市建筑市场信用管理平</w:t>
      </w:r>
      <w:r>
        <w:rPr>
          <w:rFonts w:hint="eastAsia" w:ascii="宋体" w:hAnsi="宋体" w:eastAsia="宋体" w:cs="宋体"/>
          <w:color w:val="auto"/>
          <w:spacing w:val="5"/>
          <w:highlight w:val="none"/>
        </w:rPr>
        <w:t>台公布的信用等级为</w:t>
      </w:r>
      <w:r>
        <w:rPr>
          <w:rFonts w:hint="eastAsia" w:ascii="宋体" w:hAnsi="宋体" w:eastAsia="宋体" w:cs="宋体"/>
          <w:color w:val="auto"/>
          <w:spacing w:val="-62"/>
          <w:highlight w:val="none"/>
        </w:rPr>
        <w:t xml:space="preserve"> </w:t>
      </w:r>
      <w:r>
        <w:rPr>
          <w:rFonts w:hint="eastAsia" w:ascii="宋体" w:hAnsi="宋体" w:eastAsia="宋体" w:cs="宋体"/>
          <w:color w:val="auto"/>
          <w:spacing w:val="5"/>
          <w:highlight w:val="none"/>
        </w:rPr>
        <w:t>B</w:t>
      </w:r>
      <w:r>
        <w:rPr>
          <w:rFonts w:hint="eastAsia" w:ascii="宋体" w:hAnsi="宋体" w:eastAsia="宋体" w:cs="宋体"/>
          <w:color w:val="auto"/>
          <w:spacing w:val="-57"/>
          <w:highlight w:val="none"/>
        </w:rPr>
        <w:t xml:space="preserve"> </w:t>
      </w:r>
      <w:r>
        <w:rPr>
          <w:rFonts w:hint="eastAsia" w:ascii="宋体" w:hAnsi="宋体" w:eastAsia="宋体" w:cs="宋体"/>
          <w:color w:val="auto"/>
          <w:spacing w:val="5"/>
          <w:highlight w:val="none"/>
        </w:rPr>
        <w:t>级、C</w:t>
      </w:r>
      <w:r>
        <w:rPr>
          <w:rFonts w:hint="eastAsia" w:ascii="宋体" w:hAnsi="宋体" w:eastAsia="宋体" w:cs="宋体"/>
          <w:color w:val="auto"/>
          <w:spacing w:val="-57"/>
          <w:highlight w:val="none"/>
        </w:rPr>
        <w:t xml:space="preserve"> </w:t>
      </w:r>
      <w:r>
        <w:rPr>
          <w:rFonts w:hint="eastAsia" w:ascii="宋体" w:hAnsi="宋体" w:eastAsia="宋体" w:cs="宋体"/>
          <w:color w:val="auto"/>
          <w:spacing w:val="5"/>
          <w:highlight w:val="none"/>
        </w:rPr>
        <w:t>级、D</w:t>
      </w:r>
      <w:r>
        <w:rPr>
          <w:rFonts w:hint="eastAsia" w:ascii="宋体" w:hAnsi="宋体" w:eastAsia="宋体" w:cs="宋体"/>
          <w:color w:val="auto"/>
          <w:spacing w:val="-57"/>
          <w:highlight w:val="none"/>
        </w:rPr>
        <w:t xml:space="preserve"> </w:t>
      </w:r>
      <w:r>
        <w:rPr>
          <w:rFonts w:hint="eastAsia" w:ascii="宋体" w:hAnsi="宋体" w:eastAsia="宋体" w:cs="宋体"/>
          <w:color w:val="auto"/>
          <w:spacing w:val="5"/>
          <w:highlight w:val="none"/>
        </w:rPr>
        <w:t>级的企业。</w:t>
      </w:r>
    </w:p>
    <w:p w14:paraId="507C7C48">
      <w:pPr>
        <w:pStyle w:val="8"/>
        <w:spacing w:before="52" w:line="360" w:lineRule="auto"/>
        <w:ind w:left="6" w:right="2" w:firstLine="638"/>
        <w:rPr>
          <w:rFonts w:hint="eastAsia" w:ascii="宋体" w:hAnsi="宋体" w:eastAsia="宋体" w:cs="宋体"/>
          <w:color w:val="auto"/>
          <w:highlight w:val="none"/>
        </w:rPr>
      </w:pPr>
      <w:r>
        <w:rPr>
          <w:rFonts w:hint="eastAsia" w:ascii="宋体" w:hAnsi="宋体" w:eastAsia="宋体" w:cs="宋体"/>
          <w:color w:val="auto"/>
          <w:spacing w:val="9"/>
          <w:highlight w:val="none"/>
        </w:rPr>
        <w:t>本企业对以上承诺和声明负责。如有虚假，愿接受行政主管</w:t>
      </w:r>
      <w:r>
        <w:rPr>
          <w:rFonts w:hint="eastAsia" w:ascii="宋体" w:hAnsi="宋体" w:eastAsia="宋体" w:cs="宋体"/>
          <w:color w:val="auto"/>
          <w:spacing w:val="8"/>
          <w:highlight w:val="none"/>
        </w:rPr>
        <w:t>部门作出的处罚，并承担以下后果：</w:t>
      </w:r>
    </w:p>
    <w:p w14:paraId="06227EEC">
      <w:pPr>
        <w:pStyle w:val="8"/>
        <w:spacing w:before="48" w:line="360" w:lineRule="auto"/>
        <w:ind w:left="656"/>
        <w:rPr>
          <w:rFonts w:hint="eastAsia" w:ascii="宋体" w:hAnsi="宋体" w:eastAsia="宋体" w:cs="宋体"/>
          <w:color w:val="auto"/>
          <w:highlight w:val="none"/>
        </w:rPr>
      </w:pPr>
      <w:r>
        <w:rPr>
          <w:rFonts w:hint="eastAsia" w:ascii="宋体" w:hAnsi="宋体" w:eastAsia="宋体" w:cs="宋体"/>
          <w:color w:val="auto"/>
          <w:spacing w:val="8"/>
          <w:highlight w:val="none"/>
        </w:rPr>
        <w:t>（一）取消本单位在本项目中的投标资格或中标资格；</w:t>
      </w:r>
    </w:p>
    <w:p w14:paraId="3217AACC">
      <w:pPr>
        <w:pStyle w:val="8"/>
        <w:spacing w:before="64" w:line="360" w:lineRule="auto"/>
        <w:ind w:left="656"/>
        <w:rPr>
          <w:rFonts w:hint="eastAsia" w:ascii="宋体" w:hAnsi="宋体" w:eastAsia="宋体" w:cs="宋体"/>
          <w:color w:val="auto"/>
          <w:highlight w:val="none"/>
        </w:rPr>
      </w:pPr>
      <w:r>
        <w:rPr>
          <w:rFonts w:hint="eastAsia" w:ascii="宋体" w:hAnsi="宋体" w:eastAsia="宋体" w:cs="宋体"/>
          <w:color w:val="auto"/>
          <w:spacing w:val="8"/>
          <w:highlight w:val="none"/>
        </w:rPr>
        <w:t>（二）将本单位不良行为纳入信用信息管理系统；</w:t>
      </w:r>
    </w:p>
    <w:p w14:paraId="4FD92377">
      <w:pPr>
        <w:pStyle w:val="8"/>
        <w:spacing w:before="60" w:line="360" w:lineRule="auto"/>
        <w:ind w:left="41" w:right="2" w:firstLine="615"/>
        <w:rPr>
          <w:rFonts w:hint="eastAsia" w:ascii="宋体" w:hAnsi="宋体" w:eastAsia="宋体" w:cs="宋体"/>
          <w:color w:val="auto"/>
          <w:highlight w:val="none"/>
        </w:rPr>
      </w:pPr>
      <w:r>
        <w:rPr>
          <w:rFonts w:hint="eastAsia" w:ascii="宋体" w:hAnsi="宋体" w:eastAsia="宋体" w:cs="宋体"/>
          <w:color w:val="auto"/>
          <w:spacing w:val="9"/>
          <w:highlight w:val="none"/>
        </w:rPr>
        <w:t>（三）主动在产生不良行为所在的各县（市、区）行</w:t>
      </w:r>
      <w:r>
        <w:rPr>
          <w:rFonts w:hint="eastAsia" w:ascii="宋体" w:hAnsi="宋体" w:eastAsia="宋体" w:cs="宋体"/>
          <w:color w:val="auto"/>
          <w:spacing w:val="8"/>
          <w:highlight w:val="none"/>
        </w:rPr>
        <w:t>政区域</w:t>
      </w:r>
      <w:r>
        <w:rPr>
          <w:rFonts w:hint="eastAsia" w:ascii="宋体" w:hAnsi="宋体" w:eastAsia="宋体" w:cs="宋体"/>
          <w:color w:val="auto"/>
          <w:spacing w:val="6"/>
          <w:highlight w:val="none"/>
        </w:rPr>
        <w:t>内不参加房建市政工程项目的投标活动一年；</w:t>
      </w:r>
    </w:p>
    <w:p w14:paraId="2F7D485E">
      <w:pPr>
        <w:pStyle w:val="8"/>
        <w:spacing w:before="60" w:line="360" w:lineRule="auto"/>
        <w:ind w:left="41" w:right="2" w:firstLine="615"/>
        <w:rPr>
          <w:rFonts w:hint="eastAsia" w:ascii="宋体" w:hAnsi="宋体" w:eastAsia="宋体" w:cs="宋体"/>
          <w:color w:val="auto"/>
          <w:spacing w:val="9"/>
          <w:highlight w:val="none"/>
        </w:rPr>
      </w:pPr>
      <w:bookmarkStart w:id="347" w:name="_Toc30964"/>
      <w:r>
        <w:rPr>
          <w:rFonts w:hint="eastAsia" w:ascii="宋体" w:hAnsi="宋体" w:eastAsia="宋体" w:cs="宋体"/>
          <w:color w:val="auto"/>
          <w:spacing w:val="9"/>
          <w:highlight w:val="none"/>
        </w:rPr>
        <w:t>（四）应付的赔偿责任和相应法律责任。</w:t>
      </w:r>
      <w:bookmarkEnd w:id="347"/>
    </w:p>
    <w:p w14:paraId="2719E688">
      <w:pPr>
        <w:spacing w:line="360" w:lineRule="auto"/>
        <w:rPr>
          <w:rFonts w:hint="eastAsia" w:ascii="宋体" w:hAnsi="宋体" w:eastAsia="宋体" w:cs="宋体"/>
          <w:color w:val="auto"/>
          <w:sz w:val="21"/>
          <w:highlight w:val="none"/>
        </w:rPr>
      </w:pPr>
    </w:p>
    <w:p w14:paraId="1679D32F">
      <w:pPr>
        <w:pStyle w:val="8"/>
        <w:spacing w:before="101" w:line="360" w:lineRule="auto"/>
        <w:ind w:left="845"/>
        <w:rPr>
          <w:rFonts w:hint="eastAsia" w:ascii="宋体" w:hAnsi="宋体" w:eastAsia="宋体" w:cs="宋体"/>
          <w:color w:val="auto"/>
          <w:sz w:val="21"/>
          <w:highlight w:val="none"/>
        </w:rPr>
      </w:pPr>
      <w:r>
        <w:rPr>
          <w:rFonts w:hint="eastAsia" w:ascii="宋体" w:hAnsi="宋体" w:eastAsia="宋体" w:cs="宋体"/>
          <w:color w:val="auto"/>
          <w:spacing w:val="7"/>
          <w:highlight w:val="none"/>
        </w:rPr>
        <w:t>单位名称（公章</w:t>
      </w:r>
      <w:r>
        <w:rPr>
          <w:rFonts w:hint="eastAsia" w:ascii="宋体" w:hAnsi="宋体" w:eastAsia="宋体" w:cs="宋体"/>
          <w:color w:val="auto"/>
          <w:spacing w:val="1"/>
          <w:highlight w:val="none"/>
        </w:rPr>
        <w:t>）：</w:t>
      </w:r>
    </w:p>
    <w:p w14:paraId="4C878D69">
      <w:pPr>
        <w:pStyle w:val="8"/>
        <w:spacing w:before="101" w:line="360" w:lineRule="auto"/>
        <w:ind w:left="850"/>
        <w:rPr>
          <w:rFonts w:hint="eastAsia" w:ascii="宋体" w:hAnsi="宋体" w:eastAsia="宋体" w:cs="宋体"/>
          <w:color w:val="auto"/>
          <w:sz w:val="21"/>
          <w:highlight w:val="none"/>
        </w:rPr>
      </w:pPr>
      <w:r>
        <w:rPr>
          <w:rFonts w:hint="eastAsia" w:ascii="宋体" w:hAnsi="宋体" w:eastAsia="宋体" w:cs="宋体"/>
          <w:color w:val="auto"/>
          <w:spacing w:val="6"/>
          <w:highlight w:val="none"/>
        </w:rPr>
        <w:t>统一社会信用代码：</w:t>
      </w:r>
    </w:p>
    <w:p w14:paraId="1AA79C9D">
      <w:pPr>
        <w:pStyle w:val="8"/>
        <w:spacing w:before="101" w:line="360" w:lineRule="auto"/>
        <w:ind w:left="844" w:right="5000"/>
        <w:rPr>
          <w:rFonts w:hint="eastAsia" w:ascii="宋体" w:hAnsi="宋体" w:eastAsia="宋体" w:cs="宋体"/>
          <w:color w:val="auto"/>
          <w:highlight w:val="none"/>
        </w:rPr>
      </w:pPr>
      <w:r>
        <w:rPr>
          <w:rFonts w:hint="eastAsia" w:ascii="宋体" w:hAnsi="宋体" w:eastAsia="宋体" w:cs="宋体"/>
          <w:color w:val="auto"/>
          <w:spacing w:val="8"/>
          <w:highlight w:val="none"/>
        </w:rPr>
        <w:t>法定代表人（签字</w:t>
      </w:r>
      <w:r>
        <w:rPr>
          <w:rFonts w:hint="eastAsia" w:ascii="宋体" w:hAnsi="宋体" w:eastAsia="宋体" w:cs="宋体"/>
          <w:color w:val="auto"/>
          <w:spacing w:val="-29"/>
          <w:highlight w:val="none"/>
        </w:rPr>
        <w:t>）：</w:t>
      </w:r>
      <w:r>
        <w:rPr>
          <w:rFonts w:hint="eastAsia" w:ascii="宋体" w:hAnsi="宋体" w:eastAsia="宋体" w:cs="宋体"/>
          <w:color w:val="auto"/>
          <w:highlight w:val="none"/>
        </w:rPr>
        <w:t xml:space="preserve"> </w:t>
      </w:r>
    </w:p>
    <w:p w14:paraId="2E962505">
      <w:pPr>
        <w:pStyle w:val="8"/>
        <w:spacing w:before="101" w:line="360" w:lineRule="auto"/>
        <w:ind w:left="844" w:right="5000"/>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年</w:t>
      </w:r>
      <w:r>
        <w:rPr>
          <w:rFonts w:hint="eastAsia" w:ascii="宋体" w:hAnsi="宋体" w:eastAsia="宋体" w:cs="宋体"/>
          <w:color w:val="auto"/>
          <w:spacing w:val="12"/>
          <w:highlight w:val="none"/>
        </w:rPr>
        <w:t xml:space="preserve">   </w:t>
      </w:r>
      <w:r>
        <w:rPr>
          <w:rFonts w:hint="eastAsia" w:ascii="宋体" w:hAnsi="宋体" w:eastAsia="宋体" w:cs="宋体"/>
          <w:color w:val="auto"/>
          <w:spacing w:val="-6"/>
          <w:highlight w:val="none"/>
        </w:rPr>
        <w:t>月</w:t>
      </w:r>
      <w:r>
        <w:rPr>
          <w:rFonts w:hint="eastAsia" w:ascii="宋体" w:hAnsi="宋体" w:eastAsia="宋体" w:cs="宋体"/>
          <w:color w:val="auto"/>
          <w:spacing w:val="39"/>
          <w:highlight w:val="none"/>
        </w:rPr>
        <w:t xml:space="preserve">  </w:t>
      </w:r>
      <w:r>
        <w:rPr>
          <w:rFonts w:hint="eastAsia" w:ascii="宋体" w:hAnsi="宋体" w:eastAsia="宋体" w:cs="宋体"/>
          <w:color w:val="auto"/>
          <w:spacing w:val="-6"/>
          <w:highlight w:val="none"/>
        </w:rPr>
        <w:t>日</w:t>
      </w:r>
    </w:p>
    <w:p w14:paraId="01374E41">
      <w:pPr>
        <w:rPr>
          <w:rFonts w:hint="eastAsia" w:ascii="宋体" w:hAnsi="宋体" w:eastAsia="宋体" w:cs="宋体"/>
        </w:rPr>
      </w:pPr>
    </w:p>
    <w:p w14:paraId="5088FFF0">
      <w:pPr>
        <w:rPr>
          <w:rFonts w:hint="eastAsia" w:ascii="宋体" w:hAnsi="宋体" w:eastAsia="宋体" w:cs="宋体"/>
        </w:rPr>
      </w:pPr>
    </w:p>
    <w:p w14:paraId="5EB4D332">
      <w:pPr>
        <w:rPr>
          <w:rFonts w:hint="eastAsia" w:ascii="宋体" w:hAnsi="宋体" w:eastAsia="宋体" w:cs="宋体"/>
        </w:rPr>
      </w:pPr>
    </w:p>
    <w:p w14:paraId="6860374C">
      <w:pPr>
        <w:rPr>
          <w:rFonts w:hint="eastAsia" w:ascii="宋体" w:hAnsi="宋体" w:eastAsia="宋体" w:cs="宋体"/>
        </w:rPr>
      </w:pPr>
    </w:p>
    <w:p w14:paraId="59829509">
      <w:pPr>
        <w:rPr>
          <w:rFonts w:hint="eastAsia" w:ascii="宋体" w:hAnsi="宋体" w:eastAsia="宋体" w:cs="宋体"/>
        </w:rPr>
      </w:pPr>
    </w:p>
    <w:p w14:paraId="218BF21A">
      <w:pPr>
        <w:rPr>
          <w:rFonts w:hint="eastAsia" w:ascii="宋体" w:hAnsi="宋体" w:eastAsia="宋体" w:cs="宋体"/>
        </w:rPr>
      </w:pPr>
    </w:p>
    <w:p w14:paraId="59129C04">
      <w:pPr>
        <w:rPr>
          <w:rFonts w:hint="eastAsia" w:ascii="宋体" w:hAnsi="宋体" w:eastAsia="宋体" w:cs="宋体"/>
        </w:rPr>
      </w:pPr>
    </w:p>
    <w:p w14:paraId="565B7FB3">
      <w:pPr>
        <w:rPr>
          <w:rFonts w:hint="eastAsia" w:ascii="宋体" w:hAnsi="宋体" w:eastAsia="宋体" w:cs="宋体"/>
        </w:rPr>
      </w:pPr>
    </w:p>
    <w:p w14:paraId="236DD346">
      <w:pPr>
        <w:rPr>
          <w:rFonts w:hint="eastAsia" w:ascii="宋体" w:hAnsi="宋体" w:eastAsia="宋体" w:cs="宋体"/>
        </w:rPr>
      </w:pPr>
    </w:p>
    <w:p w14:paraId="1AF2FE0F">
      <w:pPr>
        <w:rPr>
          <w:rFonts w:hint="eastAsia" w:ascii="宋体" w:hAnsi="宋体" w:eastAsia="宋体" w:cs="宋体"/>
        </w:rPr>
      </w:pPr>
    </w:p>
    <w:p w14:paraId="3581ADBE">
      <w:pPr>
        <w:rPr>
          <w:rFonts w:hint="eastAsia" w:ascii="宋体" w:hAnsi="宋体" w:eastAsia="宋体" w:cs="宋体"/>
        </w:rPr>
      </w:pPr>
    </w:p>
    <w:p w14:paraId="60CFB303">
      <w:pPr>
        <w:rPr>
          <w:rFonts w:hint="eastAsia" w:ascii="宋体" w:hAnsi="宋体" w:eastAsia="宋体" w:cs="宋体"/>
        </w:rPr>
      </w:pPr>
    </w:p>
    <w:p w14:paraId="1E8F4E39">
      <w:pPr>
        <w:rPr>
          <w:rFonts w:hint="eastAsia" w:ascii="宋体" w:hAnsi="宋体" w:eastAsia="宋体" w:cs="宋体"/>
        </w:rPr>
      </w:pPr>
    </w:p>
    <w:p w14:paraId="64428F04">
      <w:pPr>
        <w:rPr>
          <w:rFonts w:hint="eastAsia" w:ascii="宋体" w:hAnsi="宋体" w:eastAsia="宋体" w:cs="宋体"/>
        </w:rPr>
      </w:pPr>
    </w:p>
    <w:p w14:paraId="4DF9EF1E">
      <w:pPr>
        <w:rPr>
          <w:rFonts w:hint="eastAsia" w:ascii="宋体" w:hAnsi="宋体" w:eastAsia="宋体" w:cs="宋体"/>
        </w:rPr>
      </w:pPr>
    </w:p>
    <w:p w14:paraId="1AE19DCB">
      <w:pPr>
        <w:rPr>
          <w:rFonts w:hint="eastAsia" w:ascii="宋体" w:hAnsi="宋体" w:eastAsia="宋体" w:cs="宋体"/>
        </w:rPr>
      </w:pPr>
    </w:p>
    <w:p w14:paraId="654C7359">
      <w:pPr>
        <w:rPr>
          <w:rFonts w:hint="eastAsia" w:ascii="宋体" w:hAnsi="宋体" w:eastAsia="宋体" w:cs="宋体"/>
        </w:rPr>
      </w:pPr>
    </w:p>
    <w:p w14:paraId="292F7B7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48" w:name="_Toc29984"/>
      <w:bookmarkStart w:id="349" w:name="_Toc4336"/>
      <w:r>
        <w:rPr>
          <w:rFonts w:hint="eastAsia" w:ascii="宋体" w:hAnsi="宋体" w:eastAsia="宋体" w:cs="宋体"/>
          <w:b/>
          <w:bCs/>
          <w:color w:val="auto"/>
          <w:spacing w:val="-11"/>
          <w:sz w:val="24"/>
          <w:szCs w:val="24"/>
          <w:highlight w:val="none"/>
          <w:lang w:val="en-US" w:eastAsia="zh-CN"/>
        </w:rPr>
        <w:t>格式十四   原件一览表</w:t>
      </w:r>
      <w:bookmarkEnd w:id="340"/>
      <w:bookmarkEnd w:id="348"/>
      <w:bookmarkEnd w:id="349"/>
    </w:p>
    <w:tbl>
      <w:tblPr>
        <w:tblStyle w:val="24"/>
        <w:tblpPr w:leftFromText="180" w:rightFromText="180" w:vertAnchor="text" w:horzAnchor="page" w:tblpX="1285"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80"/>
        <w:gridCol w:w="1598"/>
        <w:gridCol w:w="247"/>
        <w:gridCol w:w="1655"/>
        <w:gridCol w:w="1625"/>
        <w:gridCol w:w="754"/>
        <w:gridCol w:w="958"/>
        <w:gridCol w:w="1698"/>
      </w:tblGrid>
      <w:tr w14:paraId="20BF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615" w:type="dxa"/>
            <w:gridSpan w:val="8"/>
            <w:shd w:val="clear" w:color="000000" w:fill="FFFFFF"/>
            <w:noWrap w:val="0"/>
            <w:tcMar>
              <w:left w:w="108" w:type="dxa"/>
              <w:right w:w="108" w:type="dxa"/>
            </w:tcMar>
            <w:vAlign w:val="center"/>
          </w:tcPr>
          <w:p w14:paraId="1F5E68B5">
            <w:pPr>
              <w:spacing w:line="360" w:lineRule="auto"/>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16AE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18F342B7">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工程名称</w:t>
            </w:r>
          </w:p>
        </w:tc>
        <w:tc>
          <w:tcPr>
            <w:tcW w:w="6937" w:type="dxa"/>
            <w:gridSpan w:val="6"/>
            <w:shd w:val="clear" w:color="000000" w:fill="FFFFFF"/>
            <w:noWrap w:val="0"/>
            <w:tcMar>
              <w:left w:w="108" w:type="dxa"/>
              <w:right w:w="108" w:type="dxa"/>
            </w:tcMar>
            <w:vAlign w:val="center"/>
          </w:tcPr>
          <w:p w14:paraId="22905ACF">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tc>
      </w:tr>
      <w:tr w14:paraId="2C43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20050ADD">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                (请务必填写单位全称)</w:t>
            </w:r>
          </w:p>
        </w:tc>
        <w:tc>
          <w:tcPr>
            <w:tcW w:w="6937" w:type="dxa"/>
            <w:gridSpan w:val="6"/>
            <w:shd w:val="clear" w:color="000000" w:fill="FFFFFF"/>
            <w:noWrap w:val="0"/>
            <w:tcMar>
              <w:left w:w="108" w:type="dxa"/>
              <w:right w:w="108" w:type="dxa"/>
            </w:tcMar>
            <w:vAlign w:val="center"/>
          </w:tcPr>
          <w:p w14:paraId="110EB8D7">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2AFD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4E7684AD">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投标人法定代表人或其</w:t>
            </w:r>
          </w:p>
          <w:p w14:paraId="3825BA07">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委托代理人签名</w:t>
            </w:r>
          </w:p>
        </w:tc>
        <w:tc>
          <w:tcPr>
            <w:tcW w:w="3527" w:type="dxa"/>
            <w:gridSpan w:val="3"/>
            <w:shd w:val="clear" w:color="000000" w:fill="FFFFFF"/>
            <w:noWrap w:val="0"/>
            <w:tcMar>
              <w:left w:w="108" w:type="dxa"/>
              <w:right w:w="108" w:type="dxa"/>
            </w:tcMar>
            <w:vAlign w:val="center"/>
          </w:tcPr>
          <w:p w14:paraId="0B9FFC52">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754" w:type="dxa"/>
            <w:shd w:val="clear" w:color="000000" w:fill="FFFFFF"/>
            <w:noWrap w:val="0"/>
            <w:tcMar>
              <w:left w:w="108" w:type="dxa"/>
              <w:right w:w="108" w:type="dxa"/>
            </w:tcMar>
            <w:vAlign w:val="center"/>
          </w:tcPr>
          <w:p w14:paraId="09C1EA23">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手机号码</w:t>
            </w:r>
          </w:p>
        </w:tc>
        <w:tc>
          <w:tcPr>
            <w:tcW w:w="2656" w:type="dxa"/>
            <w:gridSpan w:val="2"/>
            <w:shd w:val="clear" w:color="000000" w:fill="FFFFFF"/>
            <w:noWrap w:val="0"/>
            <w:tcMar>
              <w:left w:w="108" w:type="dxa"/>
              <w:right w:w="108" w:type="dxa"/>
            </w:tcMar>
            <w:vAlign w:val="center"/>
          </w:tcPr>
          <w:p w14:paraId="2492265B">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3731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615" w:type="dxa"/>
            <w:gridSpan w:val="8"/>
            <w:shd w:val="clear" w:color="000000" w:fill="FFFFFF"/>
            <w:noWrap w:val="0"/>
            <w:tcMar>
              <w:left w:w="108" w:type="dxa"/>
              <w:right w:w="108" w:type="dxa"/>
            </w:tcMar>
            <w:vAlign w:val="center"/>
          </w:tcPr>
          <w:p w14:paraId="1C803DF6">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递交的证明材料原件如下：</w:t>
            </w:r>
          </w:p>
        </w:tc>
      </w:tr>
      <w:tr w14:paraId="1F2F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auto" w:fill="FFFFFF"/>
            <w:noWrap w:val="0"/>
            <w:tcMar>
              <w:left w:w="108" w:type="dxa"/>
              <w:right w:w="108" w:type="dxa"/>
            </w:tcMar>
            <w:vAlign w:val="center"/>
          </w:tcPr>
          <w:p w14:paraId="179FC51E">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5125" w:type="dxa"/>
            <w:gridSpan w:val="4"/>
            <w:shd w:val="clear" w:color="auto" w:fill="FFFFFF"/>
            <w:noWrap w:val="0"/>
            <w:tcMar>
              <w:left w:w="108" w:type="dxa"/>
              <w:right w:w="108" w:type="dxa"/>
            </w:tcMar>
            <w:vAlign w:val="center"/>
          </w:tcPr>
          <w:p w14:paraId="55F90331">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证明材料原件名称</w:t>
            </w:r>
          </w:p>
        </w:tc>
        <w:tc>
          <w:tcPr>
            <w:tcW w:w="1712" w:type="dxa"/>
            <w:gridSpan w:val="2"/>
            <w:shd w:val="clear" w:color="auto" w:fill="FFFFFF"/>
            <w:noWrap w:val="0"/>
            <w:tcMar>
              <w:left w:w="108" w:type="dxa"/>
              <w:right w:w="108" w:type="dxa"/>
            </w:tcMar>
            <w:vAlign w:val="center"/>
          </w:tcPr>
          <w:p w14:paraId="419D8088">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1698" w:type="dxa"/>
            <w:shd w:val="clear" w:color="auto" w:fill="FFFFFF"/>
            <w:noWrap w:val="0"/>
            <w:tcMar>
              <w:left w:w="108" w:type="dxa"/>
              <w:right w:w="108" w:type="dxa"/>
            </w:tcMar>
            <w:vAlign w:val="center"/>
          </w:tcPr>
          <w:p w14:paraId="6F0681CF">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r>
      <w:tr w14:paraId="7276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2318BD31">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125" w:type="dxa"/>
            <w:gridSpan w:val="4"/>
            <w:shd w:val="clear" w:color="000000" w:fill="FFFFFF"/>
            <w:noWrap w:val="0"/>
            <w:tcMar>
              <w:left w:w="108" w:type="dxa"/>
              <w:right w:w="108" w:type="dxa"/>
            </w:tcMar>
            <w:vAlign w:val="center"/>
          </w:tcPr>
          <w:p w14:paraId="3A1D0CDF">
            <w:pPr>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7D63B079">
            <w:pPr>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2C5FBD43">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6E0C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0C62BB9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5125" w:type="dxa"/>
            <w:gridSpan w:val="4"/>
            <w:shd w:val="clear" w:color="000000" w:fill="FFFFFF"/>
            <w:noWrap w:val="0"/>
            <w:tcMar>
              <w:left w:w="108" w:type="dxa"/>
              <w:right w:w="108" w:type="dxa"/>
            </w:tcMar>
            <w:vAlign w:val="center"/>
          </w:tcPr>
          <w:p w14:paraId="40C55F34">
            <w:pPr>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467917E8">
            <w:pPr>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2B854666">
            <w:pPr>
              <w:spacing w:line="360" w:lineRule="auto"/>
              <w:jc w:val="center"/>
              <w:rPr>
                <w:rFonts w:hint="eastAsia" w:ascii="宋体" w:hAnsi="宋体" w:eastAsia="宋体" w:cs="宋体"/>
                <w:color w:val="auto"/>
                <w:sz w:val="21"/>
                <w:szCs w:val="21"/>
                <w:highlight w:val="none"/>
              </w:rPr>
            </w:pPr>
          </w:p>
        </w:tc>
      </w:tr>
      <w:tr w14:paraId="22F0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22C7621D">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5125" w:type="dxa"/>
            <w:gridSpan w:val="4"/>
            <w:shd w:val="clear" w:color="000000" w:fill="FFFFFF"/>
            <w:noWrap w:val="0"/>
            <w:tcMar>
              <w:left w:w="108" w:type="dxa"/>
              <w:right w:w="108" w:type="dxa"/>
            </w:tcMar>
            <w:vAlign w:val="center"/>
          </w:tcPr>
          <w:p w14:paraId="1870EB1E">
            <w:pPr>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0CF1B759">
            <w:pPr>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3469BE28">
            <w:pPr>
              <w:spacing w:line="360" w:lineRule="auto"/>
              <w:jc w:val="center"/>
              <w:rPr>
                <w:rFonts w:hint="eastAsia" w:ascii="宋体" w:hAnsi="宋体" w:eastAsia="宋体" w:cs="宋体"/>
                <w:color w:val="auto"/>
                <w:sz w:val="21"/>
                <w:szCs w:val="21"/>
                <w:highlight w:val="none"/>
              </w:rPr>
            </w:pPr>
          </w:p>
        </w:tc>
      </w:tr>
      <w:tr w14:paraId="664D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2C5423B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125" w:type="dxa"/>
            <w:gridSpan w:val="4"/>
            <w:shd w:val="clear" w:color="000000" w:fill="FFFFFF"/>
            <w:noWrap w:val="0"/>
            <w:tcMar>
              <w:left w:w="108" w:type="dxa"/>
              <w:right w:w="108" w:type="dxa"/>
            </w:tcMar>
            <w:vAlign w:val="center"/>
          </w:tcPr>
          <w:p w14:paraId="5F8B82ED">
            <w:pPr>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4B7E6AEF">
            <w:pPr>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2DC14E33">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1262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1080" w:type="dxa"/>
            <w:shd w:val="clear" w:color="auto" w:fill="FFFFFF"/>
            <w:noWrap w:val="0"/>
            <w:tcMar>
              <w:left w:w="108" w:type="dxa"/>
              <w:right w:w="108" w:type="dxa"/>
            </w:tcMar>
            <w:vAlign w:val="center"/>
          </w:tcPr>
          <w:p w14:paraId="222C4310">
            <w:pPr>
              <w:spacing w:line="360" w:lineRule="auto"/>
              <w:ind w:left="8" w:hanging="9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注意：</w:t>
            </w:r>
          </w:p>
        </w:tc>
        <w:tc>
          <w:tcPr>
            <w:tcW w:w="8535" w:type="dxa"/>
            <w:gridSpan w:val="7"/>
            <w:shd w:val="clear" w:color="auto" w:fill="FFFFFF"/>
            <w:noWrap w:val="0"/>
            <w:tcMar>
              <w:left w:w="108" w:type="dxa"/>
              <w:right w:w="108" w:type="dxa"/>
            </w:tcMar>
            <w:vAlign w:val="center"/>
          </w:tcPr>
          <w:p w14:paraId="6FEC3244">
            <w:pPr>
              <w:spacing w:line="360" w:lineRule="auto"/>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1FCC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925" w:type="dxa"/>
            <w:gridSpan w:val="3"/>
            <w:shd w:val="clear" w:color="000000" w:fill="FFFFFF"/>
            <w:noWrap w:val="0"/>
            <w:tcMar>
              <w:left w:w="108" w:type="dxa"/>
              <w:right w:w="108" w:type="dxa"/>
            </w:tcMar>
            <w:vAlign w:val="center"/>
          </w:tcPr>
          <w:p w14:paraId="03326EDC">
            <w:pPr>
              <w:spacing w:line="360" w:lineRule="auto"/>
              <w:jc w:val="center"/>
              <w:rPr>
                <w:rFonts w:hint="eastAsia" w:ascii="宋体" w:hAnsi="宋体" w:eastAsia="宋体" w:cs="宋体"/>
                <w:color w:val="auto"/>
                <w:sz w:val="21"/>
                <w:szCs w:val="21"/>
                <w:highlight w:val="none"/>
              </w:rPr>
            </w:pPr>
          </w:p>
          <w:p w14:paraId="5D7850E3">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接收原件经办人(招标代理)：</w:t>
            </w:r>
          </w:p>
        </w:tc>
        <w:tc>
          <w:tcPr>
            <w:tcW w:w="1655" w:type="dxa"/>
            <w:shd w:val="clear" w:color="000000" w:fill="FFFFFF"/>
            <w:noWrap w:val="0"/>
            <w:tcMar>
              <w:left w:w="108" w:type="dxa"/>
              <w:right w:w="108" w:type="dxa"/>
            </w:tcMar>
            <w:vAlign w:val="center"/>
          </w:tcPr>
          <w:p w14:paraId="04093F2E">
            <w:pPr>
              <w:spacing w:line="360" w:lineRule="auto"/>
              <w:jc w:val="center"/>
              <w:rPr>
                <w:rFonts w:hint="eastAsia" w:ascii="宋体" w:hAnsi="宋体" w:eastAsia="宋体" w:cs="宋体"/>
                <w:color w:val="auto"/>
                <w:sz w:val="21"/>
                <w:szCs w:val="21"/>
                <w:highlight w:val="none"/>
              </w:rPr>
            </w:pPr>
          </w:p>
        </w:tc>
        <w:tc>
          <w:tcPr>
            <w:tcW w:w="1625" w:type="dxa"/>
            <w:shd w:val="clear" w:color="000000" w:fill="FFFFFF"/>
            <w:noWrap w:val="0"/>
            <w:tcMar>
              <w:left w:w="108" w:type="dxa"/>
              <w:right w:w="108" w:type="dxa"/>
            </w:tcMar>
            <w:vAlign w:val="center"/>
          </w:tcPr>
          <w:p w14:paraId="6D09C81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接收时间：</w:t>
            </w:r>
          </w:p>
        </w:tc>
        <w:tc>
          <w:tcPr>
            <w:tcW w:w="3410" w:type="dxa"/>
            <w:gridSpan w:val="3"/>
            <w:shd w:val="clear" w:color="000000" w:fill="FFFFFF"/>
            <w:noWrap w:val="0"/>
            <w:tcMar>
              <w:left w:w="108" w:type="dxa"/>
              <w:right w:w="108" w:type="dxa"/>
            </w:tcMar>
            <w:vAlign w:val="center"/>
          </w:tcPr>
          <w:p w14:paraId="328608F6">
            <w:pPr>
              <w:spacing w:line="360" w:lineRule="auto"/>
              <w:ind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   时  分</w:t>
            </w:r>
          </w:p>
        </w:tc>
      </w:tr>
      <w:tr w14:paraId="42FF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925" w:type="dxa"/>
            <w:gridSpan w:val="3"/>
            <w:shd w:val="clear" w:color="000000" w:fill="FFFFFF"/>
            <w:noWrap w:val="0"/>
            <w:tcMar>
              <w:left w:w="108" w:type="dxa"/>
              <w:right w:w="108" w:type="dxa"/>
            </w:tcMar>
            <w:vAlign w:val="center"/>
          </w:tcPr>
          <w:p w14:paraId="33E1DEA2">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退还原件接收人(投标人)：</w:t>
            </w:r>
          </w:p>
        </w:tc>
        <w:tc>
          <w:tcPr>
            <w:tcW w:w="1655" w:type="dxa"/>
            <w:shd w:val="clear" w:color="000000" w:fill="FFFFFF"/>
            <w:noWrap w:val="0"/>
            <w:tcMar>
              <w:left w:w="108" w:type="dxa"/>
              <w:right w:w="108" w:type="dxa"/>
            </w:tcMar>
            <w:vAlign w:val="center"/>
          </w:tcPr>
          <w:p w14:paraId="55B339A2">
            <w:pPr>
              <w:spacing w:line="360" w:lineRule="auto"/>
              <w:jc w:val="center"/>
              <w:rPr>
                <w:rFonts w:hint="eastAsia" w:ascii="宋体" w:hAnsi="宋体" w:eastAsia="宋体" w:cs="宋体"/>
                <w:color w:val="auto"/>
                <w:sz w:val="21"/>
                <w:szCs w:val="21"/>
                <w:highlight w:val="none"/>
              </w:rPr>
            </w:pPr>
          </w:p>
        </w:tc>
        <w:tc>
          <w:tcPr>
            <w:tcW w:w="1625" w:type="dxa"/>
            <w:shd w:val="clear" w:color="000000" w:fill="FFFFFF"/>
            <w:noWrap w:val="0"/>
            <w:tcMar>
              <w:left w:w="108" w:type="dxa"/>
              <w:right w:w="108" w:type="dxa"/>
            </w:tcMar>
            <w:vAlign w:val="center"/>
          </w:tcPr>
          <w:p w14:paraId="3A803726">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退还时间：</w:t>
            </w:r>
          </w:p>
        </w:tc>
        <w:tc>
          <w:tcPr>
            <w:tcW w:w="3410" w:type="dxa"/>
            <w:gridSpan w:val="3"/>
            <w:shd w:val="clear" w:color="000000" w:fill="FFFFFF"/>
            <w:noWrap w:val="0"/>
            <w:tcMar>
              <w:left w:w="108" w:type="dxa"/>
              <w:right w:w="108" w:type="dxa"/>
            </w:tcMar>
            <w:vAlign w:val="center"/>
          </w:tcPr>
          <w:p w14:paraId="4FBE05ED">
            <w:pPr>
              <w:spacing w:line="360" w:lineRule="auto"/>
              <w:ind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   时   分</w:t>
            </w:r>
          </w:p>
        </w:tc>
      </w:tr>
    </w:tbl>
    <w:p w14:paraId="22DF0E64">
      <w:pPr>
        <w:spacing w:line="360" w:lineRule="auto"/>
        <w:contextualSpacing/>
        <w:jc w:val="left"/>
        <w:rPr>
          <w:rFonts w:hint="eastAsia" w:ascii="宋体" w:hAnsi="宋体" w:eastAsia="宋体" w:cs="宋体"/>
          <w:color w:val="auto"/>
          <w:highlight w:val="none"/>
        </w:rPr>
      </w:pPr>
    </w:p>
    <w:p w14:paraId="4512EC5E">
      <w:pPr>
        <w:rPr>
          <w:rFonts w:hint="eastAsia" w:ascii="宋体" w:hAnsi="宋体" w:eastAsia="宋体" w:cs="宋体"/>
        </w:rPr>
      </w:pPr>
    </w:p>
    <w:p w14:paraId="7590B877">
      <w:pPr>
        <w:rPr>
          <w:rFonts w:hint="eastAsia" w:ascii="宋体" w:hAnsi="宋体" w:eastAsia="宋体" w:cs="宋体"/>
        </w:rPr>
      </w:pPr>
    </w:p>
    <w:p w14:paraId="7A69F993">
      <w:pPr>
        <w:rPr>
          <w:rFonts w:hint="eastAsia" w:ascii="宋体" w:hAnsi="宋体" w:eastAsia="宋体" w:cs="宋体"/>
        </w:rPr>
      </w:pPr>
    </w:p>
    <w:p w14:paraId="7EE4E867">
      <w:pPr>
        <w:rPr>
          <w:rFonts w:hint="eastAsia" w:ascii="宋体" w:hAnsi="宋体" w:eastAsia="宋体" w:cs="宋体"/>
        </w:rPr>
      </w:pPr>
    </w:p>
    <w:p w14:paraId="07574570">
      <w:pPr>
        <w:rPr>
          <w:rFonts w:hint="eastAsia" w:ascii="宋体" w:hAnsi="宋体" w:eastAsia="宋体" w:cs="宋体"/>
        </w:rPr>
      </w:pPr>
    </w:p>
    <w:p w14:paraId="0C4FB503">
      <w:pPr>
        <w:rPr>
          <w:rFonts w:hint="eastAsia" w:ascii="宋体" w:hAnsi="宋体" w:eastAsia="宋体" w:cs="宋体"/>
        </w:rPr>
      </w:pPr>
    </w:p>
    <w:p w14:paraId="0CD18182">
      <w:pPr>
        <w:rPr>
          <w:rFonts w:hint="eastAsia" w:ascii="宋体" w:hAnsi="宋体" w:eastAsia="宋体" w:cs="宋体"/>
        </w:rPr>
      </w:pPr>
    </w:p>
    <w:p w14:paraId="2A265FDA">
      <w:pPr>
        <w:rPr>
          <w:rFonts w:hint="eastAsia" w:ascii="宋体" w:hAnsi="宋体" w:eastAsia="宋体" w:cs="宋体"/>
        </w:rPr>
      </w:pPr>
    </w:p>
    <w:bookmarkEnd w:id="304"/>
    <w:bookmarkEnd w:id="305"/>
    <w:p w14:paraId="551B1C1D">
      <w:pPr>
        <w:pStyle w:val="3"/>
        <w:wordWrap w:val="0"/>
        <w:autoSpaceDE/>
        <w:autoSpaceDN/>
        <w:snapToGrid w:val="0"/>
        <w:spacing w:line="360" w:lineRule="auto"/>
        <w:jc w:val="center"/>
        <w:rPr>
          <w:rFonts w:hint="eastAsia" w:ascii="宋体" w:hAnsi="宋体" w:eastAsia="宋体" w:cs="宋体"/>
          <w:snapToGrid w:val="0"/>
          <w:color w:val="auto"/>
          <w:kern w:val="0"/>
          <w:highlight w:val="none"/>
        </w:rPr>
      </w:pPr>
      <w:bookmarkStart w:id="350" w:name="_附件二十一：土建工程、电气工程、给排水工程工程清单项目费汇总表"/>
      <w:bookmarkEnd w:id="350"/>
      <w:bookmarkStart w:id="351" w:name="_Hlt87793582"/>
      <w:bookmarkEnd w:id="351"/>
      <w:bookmarkStart w:id="352" w:name="_附件十六：措施项目清单计价表"/>
      <w:bookmarkEnd w:id="352"/>
      <w:bookmarkStart w:id="353" w:name="_Hlt87783244"/>
      <w:bookmarkEnd w:id="353"/>
      <w:bookmarkStart w:id="354" w:name="_Toc11550"/>
      <w:bookmarkStart w:id="355" w:name="_Toc142468134"/>
      <w:bookmarkStart w:id="356" w:name="_Toc13722"/>
      <w:bookmarkStart w:id="357" w:name="_Toc137444778"/>
      <w:bookmarkStart w:id="358" w:name="_Toc133160683"/>
      <w:bookmarkStart w:id="359" w:name="_Toc132687128"/>
      <w:bookmarkStart w:id="360" w:name="_Toc1967"/>
      <w:bookmarkStart w:id="361" w:name="_Toc78794873"/>
      <w:bookmarkStart w:id="362" w:name="_Toc133815902"/>
      <w:r>
        <w:rPr>
          <w:rFonts w:hint="eastAsia" w:ascii="宋体" w:hAnsi="宋体" w:eastAsia="宋体" w:cs="宋体"/>
          <w:b/>
          <w:snapToGrid w:val="0"/>
          <w:color w:val="auto"/>
          <w:sz w:val="24"/>
          <w:highlight w:val="none"/>
        </w:rPr>
        <w:t>第七章</w:t>
      </w:r>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建设工程施工合同</w:t>
      </w:r>
      <w:bookmarkEnd w:id="354"/>
      <w:bookmarkEnd w:id="355"/>
      <w:bookmarkEnd w:id="356"/>
      <w:bookmarkEnd w:id="357"/>
      <w:bookmarkEnd w:id="358"/>
      <w:bookmarkEnd w:id="359"/>
      <w:bookmarkEnd w:id="360"/>
    </w:p>
    <w:p w14:paraId="7DA73BEC">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361"/>
      <w:bookmarkEnd w:id="362"/>
      <w:r>
        <w:rPr>
          <w:rFonts w:hint="eastAsia" w:ascii="宋体" w:hAnsi="宋体" w:eastAsia="宋体" w:cs="宋体"/>
          <w:snapToGrid w:val="0"/>
          <w:color w:val="auto"/>
          <w:kern w:val="0"/>
          <w:highlight w:val="none"/>
        </w:rPr>
        <w:t>按《广东省建设工程标准施工合同》（2009年版）或《建设工程施工合同（示范文本）》（GF—2017—0201）执行。</w:t>
      </w:r>
    </w:p>
    <w:p w14:paraId="7A471E72">
      <w:pPr>
        <w:spacing w:before="78" w:line="360" w:lineRule="auto"/>
        <w:ind w:firstLine="480"/>
        <w:rPr>
          <w:rFonts w:hint="eastAsia" w:ascii="宋体" w:hAnsi="宋体" w:eastAsia="宋体" w:cs="宋体"/>
          <w:color w:val="auto"/>
          <w:sz w:val="24"/>
          <w:szCs w:val="24"/>
          <w:highlight w:val="none"/>
        </w:rPr>
      </w:pPr>
    </w:p>
    <w:sectPr>
      <w:footerReference r:id="rId4" w:type="default"/>
      <w:pgSz w:w="11906" w:h="16839"/>
      <w:pgMar w:top="1134" w:right="1134" w:bottom="1134" w:left="1134" w:header="850" w:footer="850" w:gutter="0"/>
      <w:pgBorders>
        <w:top w:val="none" w:sz="0" w:space="0"/>
        <w:left w:val="none" w:sz="0" w:space="0"/>
        <w:bottom w:val="none" w:sz="0" w:space="0"/>
        <w:right w:val="none" w:sz="0" w:space="0"/>
      </w:pgBorders>
      <w:pgNumType w:fmt="decimal" w:start="1"/>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9C086">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D21ABA">
                          <w:pPr>
                            <w:pStyle w:val="16"/>
                          </w:pPr>
                          <w:r>
                            <w:fldChar w:fldCharType="begin"/>
                          </w:r>
                          <w:r>
                            <w:instrText xml:space="preserve"> PAGE  \* MERGEFORMAT </w:instrText>
                          </w:r>
                          <w:r>
                            <w:fldChar w:fldCharType="separate"/>
                          </w:r>
                          <w:r>
                            <w:t>102</w:t>
                          </w:r>
                          <w:r>
                            <w:fldChar w:fldCharType="end"/>
                          </w:r>
                        </w:p>
                      </w:txbxContent>
                    </wps:txbx>
                    <wps:bodyPr vert="horz" wrap="none" lIns="0" tIns="0" rIns="0" bIns="0" anchor="t" anchorCtr="0" upright="0">
                      <a:spAutoFit/>
                    </wps:bodyPr>
                  </wps:wsp>
                </a:graphicData>
              </a:graphic>
            </wp:anchor>
          </w:drawing>
        </mc:Choice>
        <mc:Fallback>
          <w:pict>
            <v:shape id="文本框 8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CWDBN8BAADAAwAADgAAAGRycy9lMm9Eb2MueG1srVPBjtMwEL0j8Q+W&#10;7zTZCqESNV0B1SIkBEgLH+A6TmPJ9lget0n5APgDTly48139jh07SReWyx64JOOZ8Zt5b8br68Ea&#10;dlQBNbiaXy1KzpST0Gi3r/mXzzfPVpxhFK4RBpyq+Ukhv948fbLufaWW0IFpVGAE4rDqfc27GH1V&#10;FCg7ZQUuwCtHwRaCFZGOYV80QfSEbk2xLMsXRQ+h8QGkQiTvdgzyCTE8BhDaVku1BXmwysURNSgj&#10;IlHCTnvkm9xt2yoZP7YtqshMzYlpzF8qQvYufYvNWlT7IHyn5dSCeEwLDzhZoR0VvUBtRRTsEPQ/&#10;UFbLAAhtXEiwxUgkK0IsrsoH2tx2wqvMhaRGfxEd/x+s/HD8FJhuaBNecuaEpYmff3w///x9/vWN&#10;rZ4ngXqPFeXdesqMw2sYKHn2IzkT76ENNv2JEaM4yXu6yKuGyGS6tFquViWFJMXmA+EX99d9wPhW&#10;gWXJqHmg+WVZxfE9xjF1TknVHNxoY/IMjfvLQZjJU6Texx6TFYfdMBHaQXMiPvQQqE4H4StnPa1B&#10;zR1tPWfmnSOV08bMRpiN3WwIJ+lizSNno/kmjpt18EHvu7xrqSn0rw6ROs0EUhtj7ak7GmyWYFrC&#10;tDl/nnPW/cPb3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HCWDBN8BAADAAwAADgAAAAAA&#10;AAABACAAAAAeAQAAZHJzL2Uyb0RvYy54bWxQSwUGAAAAAAYABgBZAQAAbwUAAAAA&#10;">
              <v:fill on="f" focussize="0,0"/>
              <v:stroke on="f"/>
              <v:imagedata o:title=""/>
              <o:lock v:ext="edit" aspectratio="f"/>
              <v:textbox inset="0mm,0mm,0mm,0mm" style="mso-fit-shape-to-text:t;">
                <w:txbxContent>
                  <w:p w14:paraId="0ED21ABA">
                    <w:pPr>
                      <w:pStyle w:val="16"/>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2DB66">
    <w:pPr>
      <w:pStyle w:val="8"/>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9BDCA"/>
    <w:multiLevelType w:val="singleLevel"/>
    <w:tmpl w:val="E6C9BDC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500"/>
  <w:hyphenationZone w:val="360"/>
  <w:displayHorizontalDrawingGridEvery w:val="1"/>
  <w:displayVerticalDrawingGridEvery w:val="1"/>
  <w:noPunctuationKerning w:val="1"/>
  <w:characterSpacingControl w:val="doNotCompress"/>
  <w:hdrShapeDefaults>
    <o:shapelayout v:ext="edit">
      <o:idmap v:ext="edit" data="2"/>
    </o:shapelayout>
  </w:hdrShapeDefaults>
  <w:compat>
    <w:spaceForUL/>
    <w:doNotLeaveBackslashAlone/>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3MGIxMTBiNDNjZjYzNDdjYzI5YTAwYjZmMGE0NTMifQ=="/>
    <w:docVar w:name="KSO_WPS_MARK_KEY" w:val="6f1ed6e0-1a31-40b8-b5e7-63682a01dd85"/>
  </w:docVars>
  <w:rsids>
    <w:rsidRoot w:val="00D93B1F"/>
    <w:rsid w:val="002271DC"/>
    <w:rsid w:val="00375761"/>
    <w:rsid w:val="0061778C"/>
    <w:rsid w:val="007902EC"/>
    <w:rsid w:val="008145AB"/>
    <w:rsid w:val="00A47D6E"/>
    <w:rsid w:val="00B311AF"/>
    <w:rsid w:val="00D93B1F"/>
    <w:rsid w:val="00DD4CCE"/>
    <w:rsid w:val="00E365EF"/>
    <w:rsid w:val="014D560B"/>
    <w:rsid w:val="024149A6"/>
    <w:rsid w:val="024A3A67"/>
    <w:rsid w:val="026B3007"/>
    <w:rsid w:val="03695DE7"/>
    <w:rsid w:val="04182A85"/>
    <w:rsid w:val="0462389C"/>
    <w:rsid w:val="048C3708"/>
    <w:rsid w:val="049E7782"/>
    <w:rsid w:val="05023882"/>
    <w:rsid w:val="053D5C48"/>
    <w:rsid w:val="057E0DE3"/>
    <w:rsid w:val="05DC138F"/>
    <w:rsid w:val="06C1202B"/>
    <w:rsid w:val="082B68AC"/>
    <w:rsid w:val="08897E49"/>
    <w:rsid w:val="097F6AA4"/>
    <w:rsid w:val="09C86F91"/>
    <w:rsid w:val="0A2166A1"/>
    <w:rsid w:val="0A4A5BF8"/>
    <w:rsid w:val="0A9B6453"/>
    <w:rsid w:val="0AA51080"/>
    <w:rsid w:val="0B0A655D"/>
    <w:rsid w:val="0B1F549C"/>
    <w:rsid w:val="0B293A5F"/>
    <w:rsid w:val="0B70496E"/>
    <w:rsid w:val="0C8A1D9B"/>
    <w:rsid w:val="0CA1581F"/>
    <w:rsid w:val="0D7F57E0"/>
    <w:rsid w:val="0D9A5BFA"/>
    <w:rsid w:val="0DB241E0"/>
    <w:rsid w:val="0DBF556A"/>
    <w:rsid w:val="0EA0228A"/>
    <w:rsid w:val="0ED12D6A"/>
    <w:rsid w:val="0EF27F68"/>
    <w:rsid w:val="0F0806AD"/>
    <w:rsid w:val="0F0E2D86"/>
    <w:rsid w:val="10091ED2"/>
    <w:rsid w:val="10C36704"/>
    <w:rsid w:val="12445622"/>
    <w:rsid w:val="12940347"/>
    <w:rsid w:val="12EA61CA"/>
    <w:rsid w:val="132959D5"/>
    <w:rsid w:val="132E3428"/>
    <w:rsid w:val="13864617"/>
    <w:rsid w:val="142D7453"/>
    <w:rsid w:val="15033573"/>
    <w:rsid w:val="154E1149"/>
    <w:rsid w:val="157103D5"/>
    <w:rsid w:val="15881947"/>
    <w:rsid w:val="160D2073"/>
    <w:rsid w:val="162A4334"/>
    <w:rsid w:val="163A362E"/>
    <w:rsid w:val="16951380"/>
    <w:rsid w:val="17012438"/>
    <w:rsid w:val="17422EB4"/>
    <w:rsid w:val="175B58E8"/>
    <w:rsid w:val="17E94CA2"/>
    <w:rsid w:val="17FE5B8E"/>
    <w:rsid w:val="183B5119"/>
    <w:rsid w:val="19067AD5"/>
    <w:rsid w:val="19143FA0"/>
    <w:rsid w:val="19636CD6"/>
    <w:rsid w:val="19A327C1"/>
    <w:rsid w:val="1AF84A59"/>
    <w:rsid w:val="1B1B5C83"/>
    <w:rsid w:val="1B3A75C2"/>
    <w:rsid w:val="1B520060"/>
    <w:rsid w:val="1BB83309"/>
    <w:rsid w:val="1BC872C4"/>
    <w:rsid w:val="1CF0262F"/>
    <w:rsid w:val="1D962329"/>
    <w:rsid w:val="1E162BB9"/>
    <w:rsid w:val="1E2A7432"/>
    <w:rsid w:val="1EC75611"/>
    <w:rsid w:val="1EE77EA6"/>
    <w:rsid w:val="20060769"/>
    <w:rsid w:val="20895274"/>
    <w:rsid w:val="210802D8"/>
    <w:rsid w:val="21315CC2"/>
    <w:rsid w:val="214C004F"/>
    <w:rsid w:val="21BC6555"/>
    <w:rsid w:val="23113827"/>
    <w:rsid w:val="240259E5"/>
    <w:rsid w:val="24B95358"/>
    <w:rsid w:val="257D5945"/>
    <w:rsid w:val="25EF3DCB"/>
    <w:rsid w:val="26F57B3D"/>
    <w:rsid w:val="27FC7AB5"/>
    <w:rsid w:val="281318C7"/>
    <w:rsid w:val="28136333"/>
    <w:rsid w:val="298B2C60"/>
    <w:rsid w:val="298D5819"/>
    <w:rsid w:val="29957EB6"/>
    <w:rsid w:val="2A170EE6"/>
    <w:rsid w:val="2AA35349"/>
    <w:rsid w:val="2B2C33CC"/>
    <w:rsid w:val="2B6F5066"/>
    <w:rsid w:val="2B7946DC"/>
    <w:rsid w:val="2BD6464A"/>
    <w:rsid w:val="2C1C51EE"/>
    <w:rsid w:val="2C7D05EC"/>
    <w:rsid w:val="2CC71519"/>
    <w:rsid w:val="2CE86152"/>
    <w:rsid w:val="2D8D6BFA"/>
    <w:rsid w:val="2DE60A9D"/>
    <w:rsid w:val="2E521472"/>
    <w:rsid w:val="2E531744"/>
    <w:rsid w:val="2E7E14C9"/>
    <w:rsid w:val="2EEB0EA8"/>
    <w:rsid w:val="2EF20488"/>
    <w:rsid w:val="2F5B695D"/>
    <w:rsid w:val="30120709"/>
    <w:rsid w:val="306C7DC6"/>
    <w:rsid w:val="30800BE7"/>
    <w:rsid w:val="31F33790"/>
    <w:rsid w:val="32A55E11"/>
    <w:rsid w:val="333A41AC"/>
    <w:rsid w:val="33D938EC"/>
    <w:rsid w:val="3525070E"/>
    <w:rsid w:val="35444468"/>
    <w:rsid w:val="354971CF"/>
    <w:rsid w:val="35DB7EC8"/>
    <w:rsid w:val="36421CF5"/>
    <w:rsid w:val="36716471"/>
    <w:rsid w:val="371D1E1A"/>
    <w:rsid w:val="37F963E3"/>
    <w:rsid w:val="38351E66"/>
    <w:rsid w:val="386D5023"/>
    <w:rsid w:val="38D26C34"/>
    <w:rsid w:val="390A0223"/>
    <w:rsid w:val="395D4987"/>
    <w:rsid w:val="3B653D90"/>
    <w:rsid w:val="3C1852A6"/>
    <w:rsid w:val="3C3B1478"/>
    <w:rsid w:val="3D844B7C"/>
    <w:rsid w:val="3EF67200"/>
    <w:rsid w:val="3F233925"/>
    <w:rsid w:val="3FAD641B"/>
    <w:rsid w:val="3FB44612"/>
    <w:rsid w:val="3FE01B1C"/>
    <w:rsid w:val="40046D13"/>
    <w:rsid w:val="40CA5C2D"/>
    <w:rsid w:val="42154762"/>
    <w:rsid w:val="4233012A"/>
    <w:rsid w:val="43041937"/>
    <w:rsid w:val="43DD3E5A"/>
    <w:rsid w:val="44355C57"/>
    <w:rsid w:val="443A6632"/>
    <w:rsid w:val="45147651"/>
    <w:rsid w:val="45287D24"/>
    <w:rsid w:val="454964D0"/>
    <w:rsid w:val="45DF68CB"/>
    <w:rsid w:val="45E5269D"/>
    <w:rsid w:val="460A64D2"/>
    <w:rsid w:val="46203E24"/>
    <w:rsid w:val="464C7C9B"/>
    <w:rsid w:val="46A967E4"/>
    <w:rsid w:val="474D04FA"/>
    <w:rsid w:val="477200AE"/>
    <w:rsid w:val="4785185A"/>
    <w:rsid w:val="47BE6D02"/>
    <w:rsid w:val="481B63B6"/>
    <w:rsid w:val="48F74BC1"/>
    <w:rsid w:val="4905068C"/>
    <w:rsid w:val="49411970"/>
    <w:rsid w:val="496E7F48"/>
    <w:rsid w:val="4A1B1471"/>
    <w:rsid w:val="4ADA5F68"/>
    <w:rsid w:val="4B1362E3"/>
    <w:rsid w:val="4C6C5AF1"/>
    <w:rsid w:val="4C8C6E2A"/>
    <w:rsid w:val="4C917D41"/>
    <w:rsid w:val="4CBA0424"/>
    <w:rsid w:val="4CC16D7F"/>
    <w:rsid w:val="4CE313E9"/>
    <w:rsid w:val="4D5679DC"/>
    <w:rsid w:val="4D866514"/>
    <w:rsid w:val="4DB4554A"/>
    <w:rsid w:val="4E037EE6"/>
    <w:rsid w:val="4E893884"/>
    <w:rsid w:val="4EDA51D8"/>
    <w:rsid w:val="4EF632AE"/>
    <w:rsid w:val="4F190832"/>
    <w:rsid w:val="4F292F55"/>
    <w:rsid w:val="50264C5C"/>
    <w:rsid w:val="504306EC"/>
    <w:rsid w:val="50B909AE"/>
    <w:rsid w:val="50C406E4"/>
    <w:rsid w:val="513B1BE3"/>
    <w:rsid w:val="541C1980"/>
    <w:rsid w:val="546108D5"/>
    <w:rsid w:val="550B2769"/>
    <w:rsid w:val="554178E8"/>
    <w:rsid w:val="55443DFC"/>
    <w:rsid w:val="557529F8"/>
    <w:rsid w:val="55781588"/>
    <w:rsid w:val="55B9763E"/>
    <w:rsid w:val="55F24830"/>
    <w:rsid w:val="56326745"/>
    <w:rsid w:val="566413BC"/>
    <w:rsid w:val="56A676EB"/>
    <w:rsid w:val="56F83D0C"/>
    <w:rsid w:val="572763EB"/>
    <w:rsid w:val="572F455A"/>
    <w:rsid w:val="575B631B"/>
    <w:rsid w:val="57766A4D"/>
    <w:rsid w:val="577B28F1"/>
    <w:rsid w:val="57830607"/>
    <w:rsid w:val="57F4758F"/>
    <w:rsid w:val="585F0BD8"/>
    <w:rsid w:val="58871392"/>
    <w:rsid w:val="58C6175D"/>
    <w:rsid w:val="58CD2D07"/>
    <w:rsid w:val="59AD6BD6"/>
    <w:rsid w:val="5A3C3F0A"/>
    <w:rsid w:val="5A4D499A"/>
    <w:rsid w:val="5A537966"/>
    <w:rsid w:val="5A772246"/>
    <w:rsid w:val="5A7D0C9E"/>
    <w:rsid w:val="5ACE0C44"/>
    <w:rsid w:val="5AE90694"/>
    <w:rsid w:val="5AF466D4"/>
    <w:rsid w:val="5B0F405E"/>
    <w:rsid w:val="5B1433B1"/>
    <w:rsid w:val="5B325FEC"/>
    <w:rsid w:val="5B7052F9"/>
    <w:rsid w:val="5C13353F"/>
    <w:rsid w:val="5CFF3BED"/>
    <w:rsid w:val="5D861C18"/>
    <w:rsid w:val="5DCD3CEB"/>
    <w:rsid w:val="5DF72526"/>
    <w:rsid w:val="5E0B123F"/>
    <w:rsid w:val="5E9860A7"/>
    <w:rsid w:val="5EE52C75"/>
    <w:rsid w:val="5F321E6E"/>
    <w:rsid w:val="5FD54C27"/>
    <w:rsid w:val="605E28A2"/>
    <w:rsid w:val="6101712B"/>
    <w:rsid w:val="611F4E36"/>
    <w:rsid w:val="6166423A"/>
    <w:rsid w:val="6338060C"/>
    <w:rsid w:val="64044202"/>
    <w:rsid w:val="6507503C"/>
    <w:rsid w:val="6535464F"/>
    <w:rsid w:val="65384C44"/>
    <w:rsid w:val="659415BD"/>
    <w:rsid w:val="66B06A9E"/>
    <w:rsid w:val="66DD63E5"/>
    <w:rsid w:val="66EA3218"/>
    <w:rsid w:val="66F97A54"/>
    <w:rsid w:val="68DC416E"/>
    <w:rsid w:val="694C01BA"/>
    <w:rsid w:val="69656389"/>
    <w:rsid w:val="69D4452F"/>
    <w:rsid w:val="6A5C61DA"/>
    <w:rsid w:val="6A6E23B2"/>
    <w:rsid w:val="6A9C2A7B"/>
    <w:rsid w:val="6B713F07"/>
    <w:rsid w:val="6B8003A5"/>
    <w:rsid w:val="6B85333E"/>
    <w:rsid w:val="6B9B48D9"/>
    <w:rsid w:val="6C1C0677"/>
    <w:rsid w:val="6C7207B7"/>
    <w:rsid w:val="6D592EA5"/>
    <w:rsid w:val="6DAB380B"/>
    <w:rsid w:val="6DD97740"/>
    <w:rsid w:val="6E4C2A0A"/>
    <w:rsid w:val="6E551AFF"/>
    <w:rsid w:val="6EDA6400"/>
    <w:rsid w:val="702D1B02"/>
    <w:rsid w:val="708E757A"/>
    <w:rsid w:val="7101188A"/>
    <w:rsid w:val="71593474"/>
    <w:rsid w:val="719B55D2"/>
    <w:rsid w:val="71B13050"/>
    <w:rsid w:val="728577B6"/>
    <w:rsid w:val="72CE73C6"/>
    <w:rsid w:val="72D311B2"/>
    <w:rsid w:val="733C302D"/>
    <w:rsid w:val="73E85905"/>
    <w:rsid w:val="747F3DA7"/>
    <w:rsid w:val="74F02341"/>
    <w:rsid w:val="74FB14A6"/>
    <w:rsid w:val="74FC5B91"/>
    <w:rsid w:val="75156511"/>
    <w:rsid w:val="75AF7C6E"/>
    <w:rsid w:val="75B8488D"/>
    <w:rsid w:val="75CF6598"/>
    <w:rsid w:val="75FC6AC3"/>
    <w:rsid w:val="762001BB"/>
    <w:rsid w:val="76A21419"/>
    <w:rsid w:val="77354CF9"/>
    <w:rsid w:val="773D3837"/>
    <w:rsid w:val="77743287"/>
    <w:rsid w:val="77A26F92"/>
    <w:rsid w:val="77B318CB"/>
    <w:rsid w:val="78F3578F"/>
    <w:rsid w:val="7A3A25F4"/>
    <w:rsid w:val="7A6B598B"/>
    <w:rsid w:val="7AAE3295"/>
    <w:rsid w:val="7B046B46"/>
    <w:rsid w:val="7B252618"/>
    <w:rsid w:val="7B2F3B4A"/>
    <w:rsid w:val="7B610879"/>
    <w:rsid w:val="7BC7188B"/>
    <w:rsid w:val="7C0725D2"/>
    <w:rsid w:val="7C853A45"/>
    <w:rsid w:val="7CBE03EA"/>
    <w:rsid w:val="7D1D47BD"/>
    <w:rsid w:val="7E533563"/>
    <w:rsid w:val="7E5714CF"/>
    <w:rsid w:val="7EF42459"/>
    <w:rsid w:val="7F777DF7"/>
    <w:rsid w:val="7FA5532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qFormat/>
    <w:uiPriority w:val="0"/>
    <w:pPr>
      <w:autoSpaceDE w:val="0"/>
      <w:autoSpaceDN w:val="0"/>
      <w:adjustRightInd w:val="0"/>
      <w:jc w:val="left"/>
      <w:outlineLvl w:val="0"/>
    </w:pPr>
    <w:rPr>
      <w:rFonts w:ascii="Times New Roman"/>
      <w:kern w:val="0"/>
      <w:sz w:val="30"/>
    </w:rPr>
  </w:style>
  <w:style w:type="paragraph" w:styleId="4">
    <w:name w:val="heading 2"/>
    <w:basedOn w:val="1"/>
    <w:next w:val="1"/>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5">
    <w:name w:val="heading 3"/>
    <w:basedOn w:val="6"/>
    <w:next w:val="6"/>
    <w:qFormat/>
    <w:uiPriority w:val="0"/>
    <w:pPr>
      <w:keepNext/>
      <w:keepLines/>
      <w:spacing w:before="120" w:beforeLines="0" w:beforeAutospacing="0" w:after="120" w:afterLines="0" w:afterAutospacing="0"/>
      <w:jc w:val="center"/>
      <w:outlineLvl w:val="2"/>
    </w:pPr>
    <w:rPr>
      <w:sz w:val="24"/>
    </w:rPr>
  </w:style>
  <w:style w:type="paragraph" w:styleId="2">
    <w:name w:val="heading 4"/>
    <w:basedOn w:val="1"/>
    <w:next w:val="1"/>
    <w:qFormat/>
    <w:uiPriority w:val="0"/>
    <w:pPr>
      <w:keepNext/>
      <w:keepLines/>
      <w:spacing w:line="374" w:lineRule="auto"/>
      <w:outlineLvl w:val="3"/>
    </w:pPr>
    <w:rPr>
      <w:rFonts w:ascii="Arial" w:hAnsi="Arial"/>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spacing w:line="360" w:lineRule="auto"/>
      <w:ind w:firstLine="200" w:firstLineChars="200"/>
    </w:pPr>
    <w:rPr>
      <w:rFonts w:ascii="Times New Roman" w:hAnsi="Times New Roman" w:eastAsia="宋体" w:cs="Times New Roman"/>
      <w:sz w:val="24"/>
    </w:rPr>
  </w:style>
  <w:style w:type="paragraph" w:styleId="7">
    <w:name w:val="annotation text"/>
    <w:basedOn w:val="1"/>
    <w:qFormat/>
    <w:uiPriority w:val="0"/>
    <w:pPr>
      <w:adjustRightInd w:val="0"/>
      <w:spacing w:line="360" w:lineRule="atLeast"/>
      <w:jc w:val="left"/>
      <w:textAlignment w:val="baseline"/>
    </w:pPr>
    <w:rPr>
      <w:kern w:val="0"/>
    </w:rPr>
  </w:style>
  <w:style w:type="paragraph" w:styleId="8">
    <w:name w:val="Body Text"/>
    <w:basedOn w:val="1"/>
    <w:semiHidden/>
    <w:qFormat/>
    <w:uiPriority w:val="0"/>
    <w:rPr>
      <w:rFonts w:ascii="Arial" w:hAnsi="Arial" w:eastAsia="Arial" w:cs="Arial"/>
      <w:sz w:val="21"/>
      <w:szCs w:val="21"/>
      <w:lang w:val="en-US" w:eastAsia="en-US" w:bidi="ar-SA"/>
    </w:rPr>
  </w:style>
  <w:style w:type="paragraph" w:styleId="9">
    <w:name w:val="Body Text Indent"/>
    <w:basedOn w:val="1"/>
    <w:next w:val="10"/>
    <w:qFormat/>
    <w:uiPriority w:val="0"/>
    <w:pPr>
      <w:spacing w:after="120" w:afterLines="0"/>
      <w:ind w:left="420" w:leftChars="200"/>
    </w:pPr>
  </w:style>
  <w:style w:type="paragraph" w:styleId="10">
    <w:name w:val="envelope return"/>
    <w:basedOn w:val="1"/>
    <w:qFormat/>
    <w:uiPriority w:val="99"/>
    <w:pPr>
      <w:snapToGrid w:val="0"/>
    </w:pPr>
    <w:rPr>
      <w:rFonts w:ascii="Arial" w:hAnsi="Arial"/>
    </w:rPr>
  </w:style>
  <w:style w:type="paragraph" w:styleId="11">
    <w:name w:val="toc 3"/>
    <w:basedOn w:val="1"/>
    <w:next w:val="1"/>
    <w:qFormat/>
    <w:uiPriority w:val="0"/>
    <w:pPr>
      <w:ind w:left="840" w:leftChars="400"/>
    </w:pPr>
  </w:style>
  <w:style w:type="paragraph" w:styleId="12">
    <w:name w:val="Plain Text"/>
    <w:basedOn w:val="1"/>
    <w:next w:val="13"/>
    <w:qFormat/>
    <w:uiPriority w:val="0"/>
    <w:pPr>
      <w:ind w:firstLine="200" w:firstLineChars="200"/>
    </w:pPr>
    <w:rPr>
      <w:rFonts w:ascii="宋体" w:hAnsi="Courier New"/>
      <w:szCs w:val="21"/>
    </w:rPr>
  </w:style>
  <w:style w:type="paragraph" w:customStyle="1" w:styleId="13">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styleId="14">
    <w:name w:val="Body Text Indent 2"/>
    <w:basedOn w:val="1"/>
    <w:qFormat/>
    <w:uiPriority w:val="0"/>
    <w:pPr>
      <w:spacing w:line="480" w:lineRule="auto"/>
      <w:ind w:firstLine="561"/>
    </w:pPr>
    <w:rPr>
      <w:rFonts w:ascii="宋体"/>
    </w:rPr>
  </w:style>
  <w:style w:type="paragraph" w:styleId="15">
    <w:name w:val="Balloon Text"/>
    <w:basedOn w:val="1"/>
    <w:link w:val="28"/>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link w:val="29"/>
    <w:qFormat/>
    <w:uiPriority w:val="0"/>
    <w:pPr>
      <w:pBdr>
        <w:bottom w:val="single" w:color="auto" w:sz="6" w:space="1"/>
      </w:pBdr>
      <w:tabs>
        <w:tab w:val="center" w:pos="4153"/>
        <w:tab w:val="right" w:pos="8306"/>
      </w:tabs>
      <w:jc w:val="center"/>
    </w:pPr>
    <w:rPr>
      <w:sz w:val="18"/>
      <w:szCs w:val="18"/>
    </w:rPr>
  </w:style>
  <w:style w:type="paragraph" w:styleId="18">
    <w:name w:val="toc 1"/>
    <w:basedOn w:val="1"/>
    <w:next w:val="1"/>
    <w:qFormat/>
    <w:uiPriority w:val="0"/>
  </w:style>
  <w:style w:type="paragraph" w:styleId="19">
    <w:name w:val="toc 2"/>
    <w:basedOn w:val="1"/>
    <w:next w:val="1"/>
    <w:qFormat/>
    <w:uiPriority w:val="0"/>
    <w:pPr>
      <w:ind w:left="420" w:leftChars="200"/>
    </w:pPr>
  </w:style>
  <w:style w:type="paragraph" w:styleId="20">
    <w:name w:val="Body Text 2"/>
    <w:basedOn w:val="1"/>
    <w:qFormat/>
    <w:uiPriority w:val="0"/>
    <w:pPr>
      <w:spacing w:line="500" w:lineRule="exact"/>
    </w:pPr>
    <w:rPr>
      <w:rFonts w:hint="default"/>
    </w:rPr>
  </w:style>
  <w:style w:type="paragraph" w:styleId="21">
    <w:name w:val="Normal (Web)"/>
    <w:basedOn w:val="1"/>
    <w:qFormat/>
    <w:uiPriority w:val="0"/>
    <w:pPr>
      <w:spacing w:beforeAutospacing="1" w:afterAutospacing="1"/>
      <w:jc w:val="left"/>
    </w:pPr>
    <w:rPr>
      <w:rFonts w:cs="Times New Roman"/>
      <w:kern w:val="0"/>
      <w:sz w:val="24"/>
    </w:rPr>
  </w:style>
  <w:style w:type="paragraph" w:styleId="22">
    <w:name w:val="Body Text First Indent"/>
    <w:basedOn w:val="8"/>
    <w:qFormat/>
    <w:uiPriority w:val="99"/>
    <w:pPr>
      <w:spacing w:line="240" w:lineRule="auto"/>
      <w:ind w:firstLine="420" w:firstLineChars="100"/>
    </w:pPr>
    <w:rPr>
      <w:rFonts w:ascii="Times New Roman" w:cs="Times New Roman"/>
      <w:sz w:val="20"/>
      <w:szCs w:val="20"/>
    </w:rPr>
  </w:style>
  <w:style w:type="paragraph" w:styleId="23">
    <w:name w:val="Body Text First Indent 2"/>
    <w:basedOn w:val="6"/>
    <w:unhideWhenUsed/>
    <w:qFormat/>
    <w:uiPriority w:val="99"/>
    <w:pPr>
      <w:tabs>
        <w:tab w:val="left" w:pos="0"/>
        <w:tab w:val="left" w:pos="8130"/>
      </w:tabs>
      <w:ind w:firstLine="42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qFormat/>
    <w:uiPriority w:val="0"/>
    <w:rPr>
      <w:color w:val="0000FF"/>
      <w:u w:val="single"/>
    </w:rPr>
  </w:style>
  <w:style w:type="character" w:customStyle="1" w:styleId="28">
    <w:name w:val="批注框文本 Char"/>
    <w:link w:val="15"/>
    <w:qFormat/>
    <w:uiPriority w:val="0"/>
    <w:rPr>
      <w:rFonts w:ascii="Arial" w:hAnsi="Arial" w:eastAsia="Arial" w:cs="Arial"/>
      <w:snapToGrid/>
      <w:color w:val="000000"/>
      <w:sz w:val="18"/>
      <w:szCs w:val="18"/>
      <w:lang w:eastAsia="en-US"/>
    </w:rPr>
  </w:style>
  <w:style w:type="character" w:customStyle="1" w:styleId="29">
    <w:name w:val="页眉 Char"/>
    <w:link w:val="17"/>
    <w:qFormat/>
    <w:uiPriority w:val="0"/>
    <w:rPr>
      <w:rFonts w:ascii="Arial" w:hAnsi="Arial" w:eastAsia="Arial" w:cs="Arial"/>
      <w:snapToGrid/>
      <w:color w:val="000000"/>
      <w:sz w:val="18"/>
      <w:szCs w:val="18"/>
      <w:lang w:eastAsia="en-US"/>
    </w:rPr>
  </w:style>
  <w:style w:type="paragraph" w:customStyle="1" w:styleId="30">
    <w:name w:val="章标题"/>
    <w:next w:val="1"/>
    <w:qFormat/>
    <w:uiPriority w:val="0"/>
    <w:pPr>
      <w:spacing w:before="50" w:after="50"/>
      <w:jc w:val="both"/>
      <w:outlineLvl w:val="1"/>
    </w:pPr>
    <w:rPr>
      <w:rFonts w:ascii="黑体" w:hAnsi="Calibri" w:eastAsia="黑体" w:cs="Times New Roman"/>
      <w:kern w:val="0"/>
      <w:sz w:val="21"/>
      <w:szCs w:val="20"/>
      <w:lang w:val="en-US" w:eastAsia="zh-CN" w:bidi="ar-SA"/>
    </w:rPr>
  </w:style>
  <w:style w:type="table" w:customStyle="1" w:styleId="31">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32">
    <w:name w:val="Table Text"/>
    <w:basedOn w:val="1"/>
    <w:semiHidden/>
    <w:qFormat/>
    <w:uiPriority w:val="0"/>
    <w:rPr>
      <w:rFonts w:ascii="Arial" w:hAnsi="Arial" w:eastAsia="Arial" w:cs="Arial"/>
      <w:sz w:val="21"/>
      <w:szCs w:val="21"/>
      <w:lang w:val="en-US" w:eastAsia="en-US" w:bidi="ar-SA"/>
    </w:rPr>
  </w:style>
  <w:style w:type="paragraph" w:customStyle="1" w:styleId="33">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6">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7">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Chars="200"/>
    </w:pPr>
    <w:rPr>
      <w:rFonts w:ascii="Times New Roman" w:hAnsi="Times New Roman" w:eastAsia="宋体" w:cs="Times New Roman"/>
      <w:lang w:val="en-US" w:eastAsia="zh-CN" w:bidi="ar-SA"/>
    </w:rPr>
  </w:style>
  <w:style w:type="paragraph" w:customStyle="1" w:styleId="40">
    <w:name w:val="WPSOffice手动目录 3"/>
    <w:qFormat/>
    <w:uiPriority w:val="0"/>
    <w:pPr>
      <w:ind w:leftChars="400"/>
    </w:pPr>
    <w:rPr>
      <w:rFonts w:ascii="Times New Roman" w:hAnsi="Times New Roman" w:eastAsia="宋体" w:cs="Times New Roman"/>
      <w:lang w:val="en-US" w:eastAsia="zh-CN" w:bidi="ar-SA"/>
    </w:rPr>
  </w:style>
  <w:style w:type="paragraph" w:customStyle="1" w:styleId="41">
    <w:name w:val="正文缩进1"/>
    <w:basedOn w:val="1"/>
    <w:qFormat/>
    <w:uiPriority w:val="0"/>
    <w:pPr>
      <w:widowControl/>
      <w:ind w:firstLine="420"/>
      <w:jc w:val="left"/>
    </w:pPr>
    <w:rPr>
      <w:kern w:val="0"/>
    </w:rPr>
  </w:style>
  <w:style w:type="paragraph" w:customStyle="1" w:styleId="42">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3">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4">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5">
    <w:name w:val="样式 宋体 行距: 1.5 倍行距"/>
    <w:basedOn w:val="46"/>
    <w:next w:val="1"/>
    <w:qFormat/>
    <w:uiPriority w:val="99"/>
    <w:pPr>
      <w:jc w:val="center"/>
    </w:pPr>
    <w:rPr>
      <w:b/>
    </w:rPr>
  </w:style>
  <w:style w:type="paragraph" w:customStyle="1" w:styleId="46">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45"/>
    <w:qFormat/>
    <w:uiPriority w:val="0"/>
    <w:pPr>
      <w:widowControl w:val="0"/>
      <w:jc w:val="both"/>
    </w:pPr>
    <w:rPr>
      <w:rFonts w:ascii="Calibri" w:hAnsi="Calibri" w:eastAsia="宋体" w:cs="黑体"/>
      <w:kern w:val="2"/>
      <w:sz w:val="21"/>
      <w:szCs w:val="24"/>
      <w:lang w:val="en-US" w:eastAsia="zh-CN" w:bidi="ar-SA"/>
    </w:rPr>
  </w:style>
  <w:style w:type="paragraph" w:customStyle="1" w:styleId="47">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48">
    <w:name w:val="NormalCharacter"/>
    <w:qFormat/>
    <w:uiPriority w:val="99"/>
  </w:style>
  <w:style w:type="paragraph" w:customStyle="1" w:styleId="49">
    <w:name w:val="普通(网站)1"/>
    <w:basedOn w:val="1"/>
    <w:qFormat/>
    <w:uiPriority w:val="0"/>
    <w:pPr>
      <w:spacing w:before="100" w:beforeAutospacing="1" w:after="100" w:afterAutospacing="1"/>
      <w:jc w:val="left"/>
    </w:pPr>
    <w:rPr>
      <w:rFonts w:ascii="宋体" w:hAnsi="宋体" w:eastAsia="宋体"/>
      <w:kern w:val="0"/>
      <w:sz w:val="24"/>
    </w:rPr>
  </w:style>
  <w:style w:type="paragraph" w:customStyle="1" w:styleId="50">
    <w:name w:val="Heading2"/>
    <w:basedOn w:val="1"/>
    <w:next w:val="1"/>
    <w:qFormat/>
    <w:uiPriority w:val="99"/>
    <w:pPr>
      <w:jc w:val="left"/>
    </w:pPr>
    <w:rPr>
      <w:kern w:val="0"/>
    </w:rPr>
  </w:style>
  <w:style w:type="paragraph" w:customStyle="1" w:styleId="51">
    <w:name w:val="AnnotationText"/>
    <w:basedOn w:val="1"/>
    <w:qFormat/>
    <w:uiPriority w:val="99"/>
    <w:pPr>
      <w:spacing w:line="360" w:lineRule="atLeast"/>
      <w:jc w:val="left"/>
    </w:pPr>
    <w:rPr>
      <w:kern w:val="0"/>
    </w:rPr>
  </w:style>
  <w:style w:type="paragraph" w:customStyle="1" w:styleId="52">
    <w:name w:val="UserStyle_44"/>
    <w:basedOn w:val="53"/>
    <w:qFormat/>
    <w:uiPriority w:val="99"/>
    <w:rPr>
      <w:sz w:val="24"/>
      <w:szCs w:val="24"/>
    </w:rPr>
  </w:style>
  <w:style w:type="paragraph" w:customStyle="1" w:styleId="53">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54">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55">
    <w:name w:val="List Paragraph"/>
    <w:basedOn w:val="1"/>
    <w:qFormat/>
    <w:uiPriority w:val="0"/>
    <w:pPr>
      <w:keepNext w:val="0"/>
      <w:keepLines w:val="0"/>
      <w:widowControl w:val="0"/>
      <w:suppressLineNumbers w:val="0"/>
      <w:spacing w:before="0" w:beforeLines="0" w:beforeAutospacing="0" w:after="0" w:afterLines="0" w:afterAutospacing="0" w:line="240" w:lineRule="auto"/>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56">
    <w:name w:val="Heading1"/>
    <w:basedOn w:val="1"/>
    <w:next w:val="1"/>
    <w:qFormat/>
    <w:uiPriority w:val="99"/>
    <w:pPr>
      <w:jc w:val="left"/>
    </w:pPr>
    <w:rPr>
      <w:kern w:val="0"/>
      <w:sz w:val="30"/>
      <w:szCs w:val="30"/>
    </w:rPr>
  </w:style>
  <w:style w:type="paragraph" w:customStyle="1" w:styleId="57">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58">
    <w:name w:val="正文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59">
    <w:name w:val="标题 3 New New"/>
    <w:basedOn w:val="60"/>
    <w:next w:val="60"/>
    <w:qFormat/>
    <w:uiPriority w:val="0"/>
    <w:pPr>
      <w:keepNext/>
      <w:keepLines/>
      <w:spacing w:before="120" w:beforeLines="0" w:beforeAutospacing="0" w:after="120" w:afterLines="0" w:afterAutospacing="0"/>
      <w:jc w:val="center"/>
      <w:outlineLvl w:val="2"/>
    </w:pPr>
    <w:rPr>
      <w:rFonts w:ascii="Times New Roman"/>
      <w:sz w:val="24"/>
    </w:rPr>
  </w:style>
  <w:style w:type="paragraph" w:customStyle="1" w:styleId="60">
    <w:name w:val="正文缩进 New"/>
    <w:basedOn w:val="61"/>
    <w:qFormat/>
    <w:uiPriority w:val="0"/>
    <w:pPr>
      <w:widowControl/>
      <w:ind w:firstLine="420"/>
      <w:jc w:val="left"/>
    </w:pPr>
    <w:rPr>
      <w:kern w:val="0"/>
      <w:sz w:val="20"/>
    </w:rPr>
  </w:style>
  <w:style w:type="paragraph" w:customStyle="1" w:styleId="61">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2">
    <w:name w:val="正文文本缩进 New"/>
    <w:basedOn w:val="61"/>
    <w:qFormat/>
    <w:uiPriority w:val="0"/>
    <w:pPr>
      <w:ind w:firstLine="560" w:firstLineChars="200"/>
    </w:pPr>
    <w:rPr>
      <w:rFonts w:ascii="宋体"/>
      <w:kern w:val="2"/>
      <w:sz w:val="24"/>
    </w:rPr>
  </w:style>
  <w:style w:type="paragraph" w:customStyle="1" w:styleId="63">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文本1"/>
    <w:basedOn w:val="1"/>
    <w:qFormat/>
    <w:uiPriority w:val="0"/>
    <w:pPr>
      <w:spacing w:after="120"/>
    </w:pPr>
  </w:style>
  <w:style w:type="character" w:customStyle="1" w:styleId="66">
    <w:name w:val="正文文本 (2) + 间距 0 pt3"/>
    <w:basedOn w:val="26"/>
    <w:qFormat/>
    <w:uiPriority w:val="99"/>
    <w:rPr>
      <w:rFonts w:ascii="MingLiU" w:eastAsia="MingLiU" w:cs="MingLiU"/>
      <w:spacing w:val="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w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12.bin"/><Relationship Id="rId28" Type="http://schemas.openxmlformats.org/officeDocument/2006/relationships/image" Target="media/image12.wmf"/><Relationship Id="rId27" Type="http://schemas.openxmlformats.org/officeDocument/2006/relationships/oleObject" Target="embeddings/oleObject11.bin"/><Relationship Id="rId26" Type="http://schemas.openxmlformats.org/officeDocument/2006/relationships/image" Target="media/image11.wmf"/><Relationship Id="rId25" Type="http://schemas.openxmlformats.org/officeDocument/2006/relationships/oleObject" Target="embeddings/oleObject10.bin"/><Relationship Id="rId24" Type="http://schemas.openxmlformats.org/officeDocument/2006/relationships/image" Target="media/image10.wmf"/><Relationship Id="rId23" Type="http://schemas.openxmlformats.org/officeDocument/2006/relationships/oleObject" Target="embeddings/oleObject9.bin"/><Relationship Id="rId22" Type="http://schemas.openxmlformats.org/officeDocument/2006/relationships/image" Target="media/image9.wmf"/><Relationship Id="rId21" Type="http://schemas.openxmlformats.org/officeDocument/2006/relationships/oleObject" Target="embeddings/oleObject8.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7.wmf"/><Relationship Id="rId17" Type="http://schemas.openxmlformats.org/officeDocument/2006/relationships/oleObject" Target="embeddings/oleObject6.bin"/><Relationship Id="rId16" Type="http://schemas.openxmlformats.org/officeDocument/2006/relationships/image" Target="media/image6.wmf"/><Relationship Id="rId15" Type="http://schemas.openxmlformats.org/officeDocument/2006/relationships/oleObject" Target="embeddings/oleObject5.bin"/><Relationship Id="rId14" Type="http://schemas.openxmlformats.org/officeDocument/2006/relationships/image" Target="media/image5.wmf"/><Relationship Id="rId13" Type="http://schemas.openxmlformats.org/officeDocument/2006/relationships/oleObject" Target="embeddings/oleObject4.bin"/><Relationship Id="rId12" Type="http://schemas.openxmlformats.org/officeDocument/2006/relationships/image" Target="media/image4.wmf"/><Relationship Id="rId11" Type="http://schemas.openxmlformats.org/officeDocument/2006/relationships/oleObject" Target="embeddings/oleObject3.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90</Pages>
  <Words>897</Words>
  <Characters>1021</Characters>
  <Lines>459</Lines>
  <Paragraphs>129</Paragraphs>
  <TotalTime>1</TotalTime>
  <ScaleCrop>false</ScaleCrop>
  <LinksUpToDate>false</LinksUpToDate>
  <CharactersWithSpaces>1197</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2024-07-04T19:08:00Z</dcterms:created>
  <dc:creator>Administrator</dc:creator>
  <cp:lastModifiedBy>明正</cp:lastModifiedBy>
  <cp:lastPrinted>2024-10-31T01:02:00Z</cp:lastPrinted>
  <dcterms:modified xsi:type="dcterms:W3CDTF">2025-10-14T03:04:38Z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2024-07-30T11:15:44Z</vt:filetime>
  </property>
  <property fmtid="{D5CDD505-2E9C-101B-9397-08002B2CF9AE}" pid="4" name="KSOProductBuildVer">
    <vt:lpwstr>2052-12.1.0.22089</vt:lpwstr>
  </property>
  <property fmtid="{D5CDD505-2E9C-101B-9397-08002B2CF9AE}" pid="5" name="ICV">
    <vt:lpwstr>0091DC2A93324949921FDAEFEA97B166_13</vt:lpwstr>
  </property>
  <property fmtid="{D5CDD505-2E9C-101B-9397-08002B2CF9AE}" pid="6" name="KSOTemplateDocerSaveRecord">
    <vt:lpwstr>eyJoZGlkIjoiY2ZiMzI0MGUwZmU4OTk2OGQwYTNlYmNmYzRlNTVkMmIiLCJ1c2VySWQiOiIzMjI4NDYzOTkifQ==</vt:lpwstr>
  </property>
</Properties>
</file>