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E646BC">
      <w:pPr>
        <w:spacing w:line="800" w:lineRule="exact"/>
        <w:jc w:val="center"/>
        <w:rPr>
          <w:rFonts w:hint="eastAsia" w:asciiTheme="minorEastAsia" w:hAnsiTheme="minorEastAsia" w:eastAsiaTheme="minorEastAsia" w:cstheme="minorEastAsia"/>
          <w:b/>
          <w:color w:val="000000" w:themeColor="text1"/>
          <w:sz w:val="36"/>
          <w:szCs w:val="36"/>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sz w:val="44"/>
          <w:szCs w:val="44"/>
          <w:highlight w:val="none"/>
          <w:lang w:eastAsia="zh-CN"/>
          <w14:textFill>
            <w14:solidFill>
              <w14:schemeClr w14:val="tx1"/>
            </w14:solidFill>
          </w14:textFill>
        </w:rPr>
        <w:t>翁源县城镇（江尾镇、坝仔镇、周陂镇、新江镇、铁龙镇）污水管网提质增效项目-坝仔镇城镇污水管网提质增效项目设计施工总承包</w:t>
      </w:r>
    </w:p>
    <w:p w14:paraId="372BE266">
      <w:pPr>
        <w:spacing w:line="360" w:lineRule="auto"/>
        <w:rPr>
          <w:rFonts w:hint="eastAsia" w:asciiTheme="minorEastAsia" w:hAnsiTheme="minorEastAsia" w:eastAsiaTheme="minorEastAsia" w:cstheme="minorEastAsia"/>
          <w:b/>
          <w:color w:val="000000" w:themeColor="text1"/>
          <w:highlight w:val="none"/>
          <w14:textFill>
            <w14:solidFill>
              <w14:schemeClr w14:val="tx1"/>
            </w14:solidFill>
          </w14:textFill>
        </w:rPr>
      </w:pPr>
    </w:p>
    <w:p w14:paraId="491B7975">
      <w:pPr>
        <w:spacing w:line="360" w:lineRule="auto"/>
        <w:rPr>
          <w:rFonts w:hint="eastAsia" w:asciiTheme="minorEastAsia" w:hAnsiTheme="minorEastAsia" w:eastAsiaTheme="minorEastAsia" w:cstheme="minorEastAsia"/>
          <w:b/>
          <w:color w:val="000000" w:themeColor="text1"/>
          <w:highlight w:val="none"/>
          <w14:textFill>
            <w14:solidFill>
              <w14:schemeClr w14:val="tx1"/>
            </w14:solidFill>
          </w14:textFill>
        </w:rPr>
      </w:pPr>
    </w:p>
    <w:p w14:paraId="1E8011C0">
      <w:pPr>
        <w:spacing w:line="360" w:lineRule="auto"/>
        <w:rPr>
          <w:rFonts w:hint="eastAsia" w:asciiTheme="minorEastAsia" w:hAnsiTheme="minorEastAsia" w:eastAsiaTheme="minorEastAsia" w:cstheme="minorEastAsia"/>
          <w:b/>
          <w:color w:val="000000" w:themeColor="text1"/>
          <w:highlight w:val="none"/>
          <w14:textFill>
            <w14:solidFill>
              <w14:schemeClr w14:val="tx1"/>
            </w14:solidFill>
          </w14:textFill>
        </w:rPr>
      </w:pPr>
    </w:p>
    <w:p w14:paraId="7D582DFF">
      <w:pPr>
        <w:pStyle w:val="8"/>
        <w:rPr>
          <w:rFonts w:hint="eastAsia" w:asciiTheme="minorEastAsia" w:hAnsiTheme="minorEastAsia" w:eastAsiaTheme="minorEastAsia" w:cstheme="minorEastAsia"/>
          <w:color w:val="000000" w:themeColor="text1"/>
          <w:highlight w:val="none"/>
          <w14:textFill>
            <w14:solidFill>
              <w14:schemeClr w14:val="tx1"/>
            </w14:solidFill>
          </w14:textFill>
        </w:rPr>
      </w:pPr>
    </w:p>
    <w:p w14:paraId="16284F61">
      <w:pPr>
        <w:pStyle w:val="19"/>
        <w:rPr>
          <w:rFonts w:hint="eastAsia" w:asciiTheme="minorEastAsia" w:hAnsiTheme="minorEastAsia" w:eastAsiaTheme="minorEastAsia" w:cstheme="minorEastAsia"/>
          <w:color w:val="000000" w:themeColor="text1"/>
          <w:highlight w:val="none"/>
          <w14:textFill>
            <w14:solidFill>
              <w14:schemeClr w14:val="tx1"/>
            </w14:solidFill>
          </w14:textFill>
        </w:rPr>
      </w:pPr>
    </w:p>
    <w:p w14:paraId="4780B1F3">
      <w:pPr>
        <w:pStyle w:val="34"/>
        <w:spacing w:line="360" w:lineRule="auto"/>
        <w:jc w:val="center"/>
        <w:rPr>
          <w:rFonts w:hint="eastAsia" w:asciiTheme="minorEastAsia" w:hAnsiTheme="minorEastAsia" w:eastAsiaTheme="minorEastAsia" w:cstheme="minorEastAsia"/>
          <w:b/>
          <w:bCs/>
          <w:color w:val="000000" w:themeColor="text1"/>
          <w:spacing w:val="26"/>
          <w:sz w:val="84"/>
          <w:szCs w:val="84"/>
          <w:highlight w:val="none"/>
          <w:lang w:eastAsia="zh-CN"/>
          <w14:textFill>
            <w14:solidFill>
              <w14:schemeClr w14:val="tx1"/>
            </w14:solidFill>
          </w14:textFill>
        </w:rPr>
      </w:pPr>
      <w:r>
        <w:rPr>
          <w:rFonts w:hint="eastAsia" w:asciiTheme="minorEastAsia" w:hAnsiTheme="minorEastAsia" w:eastAsiaTheme="minorEastAsia" w:cstheme="minorEastAsia"/>
          <w:b/>
          <w:bCs/>
          <w:color w:val="000000" w:themeColor="text1"/>
          <w:spacing w:val="26"/>
          <w:sz w:val="84"/>
          <w:szCs w:val="84"/>
          <w:highlight w:val="none"/>
          <w14:textFill>
            <w14:solidFill>
              <w14:schemeClr w14:val="tx1"/>
            </w14:solidFill>
          </w14:textFill>
        </w:rPr>
        <w:t>招标文件</w:t>
      </w:r>
    </w:p>
    <w:p w14:paraId="584A1C28">
      <w:pPr>
        <w:spacing w:line="360" w:lineRule="auto"/>
        <w:ind w:left="240" w:leftChars="100"/>
        <w:jc w:val="center"/>
        <w:rPr>
          <w:rFonts w:hint="eastAsia" w:asciiTheme="minorEastAsia" w:hAnsiTheme="minorEastAsia" w:eastAsiaTheme="minorEastAsia" w:cstheme="minorEastAsia"/>
          <w:b/>
          <w:color w:val="000000" w:themeColor="text1"/>
          <w:sz w:val="32"/>
          <w:szCs w:val="32"/>
          <w:highlight w:val="none"/>
          <w14:textFill>
            <w14:solidFill>
              <w14:schemeClr w14:val="tx1"/>
            </w14:solidFill>
          </w14:textFill>
        </w:rPr>
      </w:pPr>
    </w:p>
    <w:tbl>
      <w:tblPr>
        <w:tblStyle w:val="21"/>
        <w:tblpPr w:leftFromText="180" w:rightFromText="180" w:vertAnchor="text" w:horzAnchor="page" w:tblpX="1372" w:tblpY="753"/>
        <w:tblW w:w="9799" w:type="dxa"/>
        <w:tblInd w:w="0" w:type="dxa"/>
        <w:tblLayout w:type="fixed"/>
        <w:tblCellMar>
          <w:top w:w="0" w:type="dxa"/>
          <w:left w:w="0" w:type="dxa"/>
          <w:bottom w:w="0" w:type="dxa"/>
          <w:right w:w="0" w:type="dxa"/>
        </w:tblCellMar>
      </w:tblPr>
      <w:tblGrid>
        <w:gridCol w:w="4671"/>
        <w:gridCol w:w="5128"/>
      </w:tblGrid>
      <w:tr w14:paraId="1528C84C">
        <w:trPr>
          <w:trHeight w:val="935" w:hRule="atLeast"/>
        </w:trPr>
        <w:tc>
          <w:tcPr>
            <w:tcW w:w="4671" w:type="dxa"/>
            <w:noWrap/>
            <w:vAlign w:val="center"/>
          </w:tcPr>
          <w:p w14:paraId="5A4A7A02">
            <w:pPr>
              <w:pStyle w:val="35"/>
              <w:jc w:val="distribute"/>
              <w:rPr>
                <w:rFonts w:hint="eastAsia" w:asciiTheme="minorEastAsia" w:hAnsiTheme="minorEastAsia" w:eastAsiaTheme="minorEastAsia" w:cstheme="minorEastAsia"/>
                <w:color w:val="000000" w:themeColor="text1"/>
                <w:sz w:val="28"/>
                <w:highlight w:val="none"/>
                <w14:textFill>
                  <w14:solidFill>
                    <w14:schemeClr w14:val="tx1"/>
                  </w14:solidFill>
                </w14:textFill>
              </w:rPr>
            </w:pPr>
            <w:r>
              <w:rPr>
                <w:rFonts w:hint="eastAsia" w:asciiTheme="minorEastAsia" w:hAnsiTheme="minorEastAsia" w:eastAsiaTheme="minorEastAsia" w:cstheme="minorEastAsia"/>
                <w:color w:val="000000" w:themeColor="text1"/>
                <w:sz w:val="28"/>
                <w:highlight w:val="none"/>
                <w14:textFill>
                  <w14:solidFill>
                    <w14:schemeClr w14:val="tx1"/>
                  </w14:solidFill>
                </w14:textFill>
              </w:rPr>
              <w:t>招   标   人（盖单位章）：</w:t>
            </w:r>
          </w:p>
        </w:tc>
        <w:tc>
          <w:tcPr>
            <w:tcW w:w="5128" w:type="dxa"/>
            <w:noWrap/>
            <w:vAlign w:val="center"/>
          </w:tcPr>
          <w:p w14:paraId="43941704">
            <w:pPr>
              <w:pStyle w:val="35"/>
              <w:rPr>
                <w:rFonts w:hint="eastAsia" w:asciiTheme="minorEastAsia" w:hAnsiTheme="minorEastAsia" w:eastAsiaTheme="minorEastAsia" w:cstheme="minorEastAsia"/>
                <w:color w:val="000000" w:themeColor="text1"/>
                <w:sz w:val="28"/>
                <w:szCs w:val="28"/>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8"/>
                <w:szCs w:val="28"/>
                <w:highlight w:val="none"/>
                <w:lang w:eastAsia="zh-CN"/>
                <w14:textFill>
                  <w14:solidFill>
                    <w14:schemeClr w14:val="tx1"/>
                  </w14:solidFill>
                </w14:textFill>
              </w:rPr>
              <w:t>翁源县坝仔镇人民政府</w:t>
            </w:r>
          </w:p>
        </w:tc>
      </w:tr>
      <w:tr w14:paraId="227807CE">
        <w:tblPrEx>
          <w:tblCellMar>
            <w:top w:w="0" w:type="dxa"/>
            <w:left w:w="0" w:type="dxa"/>
            <w:bottom w:w="0" w:type="dxa"/>
            <w:right w:w="0" w:type="dxa"/>
          </w:tblCellMar>
        </w:tblPrEx>
        <w:trPr>
          <w:trHeight w:val="1059" w:hRule="atLeast"/>
        </w:trPr>
        <w:tc>
          <w:tcPr>
            <w:tcW w:w="4671" w:type="dxa"/>
            <w:noWrap/>
            <w:vAlign w:val="center"/>
          </w:tcPr>
          <w:p w14:paraId="24C6A423">
            <w:pPr>
              <w:pStyle w:val="35"/>
              <w:jc w:val="distribute"/>
              <w:rPr>
                <w:rFonts w:hint="eastAsia" w:asciiTheme="minorEastAsia" w:hAnsiTheme="minorEastAsia" w:eastAsiaTheme="minorEastAsia" w:cstheme="minorEastAsia"/>
                <w:color w:val="000000" w:themeColor="text1"/>
                <w:sz w:val="28"/>
                <w:highlight w:val="none"/>
                <w14:textFill>
                  <w14:solidFill>
                    <w14:schemeClr w14:val="tx1"/>
                  </w14:solidFill>
                </w14:textFill>
              </w:rPr>
            </w:pPr>
            <w:r>
              <w:rPr>
                <w:rFonts w:hint="eastAsia" w:asciiTheme="minorEastAsia" w:hAnsiTheme="minorEastAsia" w:eastAsiaTheme="minorEastAsia" w:cstheme="minorEastAsia"/>
                <w:color w:val="000000" w:themeColor="text1"/>
                <w:sz w:val="28"/>
                <w:highlight w:val="none"/>
                <w14:textFill>
                  <w14:solidFill>
                    <w14:schemeClr w14:val="tx1"/>
                  </w14:solidFill>
                </w14:textFill>
              </w:rPr>
              <w:t>招标人工作领导小组负责人（签字）：</w:t>
            </w:r>
          </w:p>
        </w:tc>
        <w:tc>
          <w:tcPr>
            <w:tcW w:w="5128" w:type="dxa"/>
            <w:noWrap/>
            <w:vAlign w:val="center"/>
          </w:tcPr>
          <w:p w14:paraId="321EF2C7">
            <w:pPr>
              <w:pStyle w:val="35"/>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p>
        </w:tc>
      </w:tr>
      <w:tr w14:paraId="554BBDBB">
        <w:tblPrEx>
          <w:tblCellMar>
            <w:top w:w="0" w:type="dxa"/>
            <w:left w:w="0" w:type="dxa"/>
            <w:bottom w:w="0" w:type="dxa"/>
            <w:right w:w="0" w:type="dxa"/>
          </w:tblCellMar>
        </w:tblPrEx>
        <w:trPr>
          <w:trHeight w:val="1031" w:hRule="atLeast"/>
        </w:trPr>
        <w:tc>
          <w:tcPr>
            <w:tcW w:w="4671" w:type="dxa"/>
            <w:noWrap/>
            <w:vAlign w:val="center"/>
          </w:tcPr>
          <w:p w14:paraId="1FB24DC0">
            <w:pPr>
              <w:pStyle w:val="35"/>
              <w:jc w:val="distribute"/>
              <w:rPr>
                <w:rFonts w:hint="eastAsia" w:asciiTheme="minorEastAsia" w:hAnsiTheme="minorEastAsia" w:eastAsiaTheme="minorEastAsia" w:cstheme="minorEastAsia"/>
                <w:color w:val="000000" w:themeColor="text1"/>
                <w:sz w:val="28"/>
                <w:highlight w:val="none"/>
                <w14:textFill>
                  <w14:solidFill>
                    <w14:schemeClr w14:val="tx1"/>
                  </w14:solidFill>
                </w14:textFill>
              </w:rPr>
            </w:pPr>
            <w:r>
              <w:rPr>
                <w:rFonts w:hint="eastAsia" w:asciiTheme="minorEastAsia" w:hAnsiTheme="minorEastAsia" w:eastAsiaTheme="minorEastAsia" w:cstheme="minorEastAsia"/>
                <w:color w:val="000000" w:themeColor="text1"/>
                <w:sz w:val="28"/>
                <w:highlight w:val="none"/>
                <w14:textFill>
                  <w14:solidFill>
                    <w14:schemeClr w14:val="tx1"/>
                  </w14:solidFill>
                </w14:textFill>
              </w:rPr>
              <w:t>招 标 代 理 机 构 （盖章）：</w:t>
            </w:r>
          </w:p>
        </w:tc>
        <w:tc>
          <w:tcPr>
            <w:tcW w:w="5128" w:type="dxa"/>
            <w:noWrap/>
            <w:vAlign w:val="center"/>
          </w:tcPr>
          <w:p w14:paraId="01B58229">
            <w:pPr>
              <w:pStyle w:val="35"/>
              <w:rPr>
                <w:rFonts w:hint="eastAsia" w:asciiTheme="minorEastAsia" w:hAnsiTheme="minorEastAsia" w:eastAsiaTheme="minorEastAsia" w:cstheme="minorEastAsia"/>
                <w:color w:val="000000" w:themeColor="text1"/>
                <w:sz w:val="28"/>
                <w:szCs w:val="28"/>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8"/>
                <w:szCs w:val="28"/>
                <w:highlight w:val="none"/>
                <w:lang w:eastAsia="zh-CN"/>
                <w14:textFill>
                  <w14:solidFill>
                    <w14:schemeClr w14:val="tx1"/>
                  </w14:solidFill>
                </w14:textFill>
              </w:rPr>
              <w:t>广东宝骏工程咨询有限公司</w:t>
            </w:r>
          </w:p>
        </w:tc>
      </w:tr>
      <w:tr w14:paraId="2BFDF3E4">
        <w:tblPrEx>
          <w:tblCellMar>
            <w:top w:w="0" w:type="dxa"/>
            <w:left w:w="0" w:type="dxa"/>
            <w:bottom w:w="0" w:type="dxa"/>
            <w:right w:w="0" w:type="dxa"/>
          </w:tblCellMar>
        </w:tblPrEx>
        <w:trPr>
          <w:trHeight w:val="809" w:hRule="atLeast"/>
        </w:trPr>
        <w:tc>
          <w:tcPr>
            <w:tcW w:w="4671" w:type="dxa"/>
            <w:noWrap/>
            <w:vAlign w:val="center"/>
          </w:tcPr>
          <w:p w14:paraId="65101364">
            <w:pPr>
              <w:pStyle w:val="35"/>
              <w:jc w:val="distribute"/>
              <w:rPr>
                <w:rFonts w:hint="eastAsia" w:asciiTheme="minorEastAsia" w:hAnsiTheme="minorEastAsia" w:eastAsiaTheme="minorEastAsia" w:cstheme="minorEastAsia"/>
                <w:color w:val="000000" w:themeColor="text1"/>
                <w:sz w:val="28"/>
                <w:highlight w:val="none"/>
                <w14:textFill>
                  <w14:solidFill>
                    <w14:schemeClr w14:val="tx1"/>
                  </w14:solidFill>
                </w14:textFill>
              </w:rPr>
            </w:pPr>
            <w:r>
              <w:rPr>
                <w:rFonts w:hint="eastAsia" w:asciiTheme="minorEastAsia" w:hAnsiTheme="minorEastAsia" w:eastAsiaTheme="minorEastAsia" w:cstheme="minorEastAsia"/>
                <w:color w:val="000000" w:themeColor="text1"/>
                <w:sz w:val="28"/>
                <w:highlight w:val="none"/>
                <w14:textFill>
                  <w14:solidFill>
                    <w14:schemeClr w14:val="tx1"/>
                  </w14:solidFill>
                </w14:textFill>
              </w:rPr>
              <w:t>招标文件编制人（签字）：</w:t>
            </w:r>
          </w:p>
        </w:tc>
        <w:tc>
          <w:tcPr>
            <w:tcW w:w="5128" w:type="dxa"/>
            <w:noWrap/>
            <w:vAlign w:val="center"/>
          </w:tcPr>
          <w:p w14:paraId="18AAEBD4">
            <w:pPr>
              <w:pStyle w:val="35"/>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p>
        </w:tc>
      </w:tr>
      <w:tr w14:paraId="2F0F3FF4">
        <w:tblPrEx>
          <w:tblCellMar>
            <w:top w:w="0" w:type="dxa"/>
            <w:left w:w="0" w:type="dxa"/>
            <w:bottom w:w="0" w:type="dxa"/>
            <w:right w:w="0" w:type="dxa"/>
          </w:tblCellMar>
        </w:tblPrEx>
        <w:trPr>
          <w:trHeight w:val="863" w:hRule="atLeast"/>
        </w:trPr>
        <w:tc>
          <w:tcPr>
            <w:tcW w:w="4671" w:type="dxa"/>
            <w:noWrap/>
            <w:vAlign w:val="center"/>
          </w:tcPr>
          <w:p w14:paraId="1B395422">
            <w:pPr>
              <w:pStyle w:val="35"/>
              <w:wordWrap w:val="0"/>
              <w:jc w:val="distribute"/>
              <w:rPr>
                <w:rFonts w:hint="eastAsia" w:asciiTheme="minorEastAsia" w:hAnsiTheme="minorEastAsia" w:eastAsiaTheme="minorEastAsia" w:cstheme="minorEastAsia"/>
                <w:color w:val="000000" w:themeColor="text1"/>
                <w:sz w:val="28"/>
                <w:highlight w:val="none"/>
                <w14:textFill>
                  <w14:solidFill>
                    <w14:schemeClr w14:val="tx1"/>
                  </w14:solidFill>
                </w14:textFill>
              </w:rPr>
            </w:pPr>
            <w:r>
              <w:rPr>
                <w:rFonts w:hint="eastAsia" w:asciiTheme="minorEastAsia" w:hAnsiTheme="minorEastAsia" w:eastAsiaTheme="minorEastAsia" w:cstheme="minorEastAsia"/>
                <w:color w:val="000000" w:themeColor="text1"/>
                <w:sz w:val="28"/>
                <w:highlight w:val="none"/>
                <w14:textFill>
                  <w14:solidFill>
                    <w14:schemeClr w14:val="tx1"/>
                  </w14:solidFill>
                </w14:textFill>
              </w:rPr>
              <w:t>招标代理机构项目负责人（签字）：</w:t>
            </w:r>
          </w:p>
        </w:tc>
        <w:tc>
          <w:tcPr>
            <w:tcW w:w="5128" w:type="dxa"/>
            <w:noWrap/>
            <w:vAlign w:val="center"/>
          </w:tcPr>
          <w:p w14:paraId="5972A199">
            <w:pPr>
              <w:pStyle w:val="35"/>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p>
        </w:tc>
      </w:tr>
      <w:tr w14:paraId="3220C8AE">
        <w:tblPrEx>
          <w:tblCellMar>
            <w:top w:w="0" w:type="dxa"/>
            <w:left w:w="0" w:type="dxa"/>
            <w:bottom w:w="0" w:type="dxa"/>
            <w:right w:w="0" w:type="dxa"/>
          </w:tblCellMar>
        </w:tblPrEx>
        <w:trPr>
          <w:trHeight w:val="1047" w:hRule="atLeast"/>
        </w:trPr>
        <w:tc>
          <w:tcPr>
            <w:tcW w:w="4671" w:type="dxa"/>
            <w:noWrap/>
            <w:vAlign w:val="center"/>
          </w:tcPr>
          <w:p w14:paraId="363AD005">
            <w:pPr>
              <w:pStyle w:val="35"/>
              <w:wordWrap w:val="0"/>
              <w:jc w:val="distribute"/>
              <w:rPr>
                <w:rFonts w:hint="eastAsia" w:asciiTheme="minorEastAsia" w:hAnsiTheme="minorEastAsia" w:eastAsiaTheme="minorEastAsia" w:cstheme="minorEastAsia"/>
                <w:color w:val="000000" w:themeColor="text1"/>
                <w:sz w:val="28"/>
                <w:highlight w:val="none"/>
                <w14:textFill>
                  <w14:solidFill>
                    <w14:schemeClr w14:val="tx1"/>
                  </w14:solidFill>
                </w14:textFill>
              </w:rPr>
            </w:pPr>
            <w:r>
              <w:rPr>
                <w:rFonts w:hint="eastAsia" w:asciiTheme="minorEastAsia" w:hAnsiTheme="minorEastAsia" w:eastAsiaTheme="minorEastAsia" w:cstheme="minorEastAsia"/>
                <w:color w:val="000000" w:themeColor="text1"/>
                <w:sz w:val="28"/>
                <w:highlight w:val="none"/>
                <w14:textFill>
                  <w14:solidFill>
                    <w14:schemeClr w14:val="tx1"/>
                  </w14:solidFill>
                </w14:textFill>
              </w:rPr>
              <w:t>招标文件编制日期：</w:t>
            </w:r>
          </w:p>
        </w:tc>
        <w:tc>
          <w:tcPr>
            <w:tcW w:w="5128" w:type="dxa"/>
            <w:noWrap/>
            <w:vAlign w:val="center"/>
          </w:tcPr>
          <w:p w14:paraId="71D0DC53">
            <w:pPr>
              <w:pStyle w:val="35"/>
              <w:rPr>
                <w:rFonts w:hint="eastAsia" w:asciiTheme="minorEastAsia" w:hAnsiTheme="minorEastAsia" w:eastAsiaTheme="minorEastAsia" w:cstheme="minorEastAsia"/>
                <w:color w:val="000000" w:themeColor="text1"/>
                <w:sz w:val="28"/>
                <w:highlight w:val="none"/>
                <w14:textFill>
                  <w14:solidFill>
                    <w14:schemeClr w14:val="tx1"/>
                  </w14:solidFill>
                </w14:textFill>
              </w:rPr>
            </w:pPr>
            <w:r>
              <w:rPr>
                <w:rFonts w:hint="eastAsia" w:asciiTheme="minorEastAsia" w:hAnsiTheme="minorEastAsia" w:eastAsiaTheme="minorEastAsia" w:cstheme="minorEastAsia"/>
                <w:color w:val="000000" w:themeColor="text1"/>
                <w:sz w:val="28"/>
                <w:highlight w:val="none"/>
                <w14:textFill>
                  <w14:solidFill>
                    <w14:schemeClr w14:val="tx1"/>
                  </w14:solidFill>
                </w14:textFill>
              </w:rPr>
              <w:t>202</w:t>
            </w:r>
            <w:r>
              <w:rPr>
                <w:rFonts w:hint="eastAsia" w:asciiTheme="minorEastAsia" w:hAnsiTheme="minorEastAsia" w:eastAsiaTheme="minorEastAsia" w:cstheme="minorEastAsia"/>
                <w:color w:val="000000" w:themeColor="text1"/>
                <w:sz w:val="28"/>
                <w:highlight w:val="none"/>
                <w:lang w:val="en-US" w:eastAsia="zh-CN"/>
                <w14:textFill>
                  <w14:solidFill>
                    <w14:schemeClr w14:val="tx1"/>
                  </w14:solidFill>
                </w14:textFill>
              </w:rPr>
              <w:t>5</w:t>
            </w:r>
            <w:r>
              <w:rPr>
                <w:rFonts w:hint="eastAsia" w:asciiTheme="minorEastAsia" w:hAnsiTheme="minorEastAsia" w:eastAsiaTheme="minorEastAsia" w:cstheme="minorEastAsia"/>
                <w:color w:val="000000" w:themeColor="text1"/>
                <w:sz w:val="28"/>
                <w:highlight w:val="none"/>
                <w14:textFill>
                  <w14:solidFill>
                    <w14:schemeClr w14:val="tx1"/>
                  </w14:solidFill>
                </w14:textFill>
              </w:rPr>
              <w:t>年</w:t>
            </w:r>
            <w:r>
              <w:rPr>
                <w:rFonts w:hint="eastAsia" w:asciiTheme="minorEastAsia" w:hAnsiTheme="minorEastAsia" w:eastAsiaTheme="minorEastAsia" w:cstheme="minorEastAsia"/>
                <w:color w:val="000000" w:themeColor="text1"/>
                <w:sz w:val="28"/>
                <w:highlight w:val="none"/>
                <w:lang w:val="en-US" w:eastAsia="zh-CN"/>
                <w14:textFill>
                  <w14:solidFill>
                    <w14:schemeClr w14:val="tx1"/>
                  </w14:solidFill>
                </w14:textFill>
              </w:rPr>
              <w:t>12</w:t>
            </w:r>
            <w:r>
              <w:rPr>
                <w:rFonts w:hint="eastAsia" w:asciiTheme="minorEastAsia" w:hAnsiTheme="minorEastAsia" w:eastAsiaTheme="minorEastAsia" w:cstheme="minorEastAsia"/>
                <w:color w:val="000000" w:themeColor="text1"/>
                <w:sz w:val="28"/>
                <w:highlight w:val="none"/>
                <w14:textFill>
                  <w14:solidFill>
                    <w14:schemeClr w14:val="tx1"/>
                  </w14:solidFill>
                </w14:textFill>
              </w:rPr>
              <w:t>月</w:t>
            </w:r>
          </w:p>
        </w:tc>
      </w:tr>
    </w:tbl>
    <w:p w14:paraId="2A129E55">
      <w:pPr>
        <w:outlineLvl w:val="9"/>
        <w:rPr>
          <w:rFonts w:hint="eastAsia" w:asciiTheme="minorEastAsia" w:hAnsiTheme="minorEastAsia" w:eastAsiaTheme="minorEastAsia" w:cstheme="minorEastAsia"/>
          <w:color w:val="000000" w:themeColor="text1"/>
          <w:highlight w:val="none"/>
          <w14:textFill>
            <w14:solidFill>
              <w14:schemeClr w14:val="tx1"/>
            </w14:solidFill>
          </w14:textFill>
        </w:rPr>
      </w:pPr>
    </w:p>
    <w:p w14:paraId="1ABA971C">
      <w:pPr>
        <w:rPr>
          <w:rFonts w:hint="eastAsia" w:asciiTheme="minorEastAsia" w:hAnsiTheme="minorEastAsia" w:eastAsiaTheme="minorEastAsia" w:cstheme="minorEastAsia"/>
          <w:color w:val="000000" w:themeColor="text1"/>
          <w:highlight w:val="none"/>
          <w14:textFill>
            <w14:solidFill>
              <w14:schemeClr w14:val="tx1"/>
            </w14:solidFill>
          </w14:textFill>
        </w:rPr>
      </w:pPr>
    </w:p>
    <w:p w14:paraId="18CC84CD">
      <w:pPr>
        <w:pStyle w:val="8"/>
        <w:rPr>
          <w:rFonts w:hint="eastAsia" w:asciiTheme="minorEastAsia" w:hAnsiTheme="minorEastAsia" w:eastAsiaTheme="minorEastAsia" w:cstheme="minorEastAsia"/>
          <w:color w:val="000000" w:themeColor="text1"/>
          <w:highlight w:val="none"/>
          <w14:textFill>
            <w14:solidFill>
              <w14:schemeClr w14:val="tx1"/>
            </w14:solidFill>
          </w14:textFill>
        </w:rPr>
      </w:pPr>
    </w:p>
    <w:p w14:paraId="08B1A273">
      <w:pPr>
        <w:pStyle w:val="36"/>
        <w:tabs>
          <w:tab w:val="left" w:pos="4935"/>
        </w:tabs>
        <w:jc w:val="cente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sectPr>
          <w:footerReference r:id="rId3" w:type="default"/>
          <w:endnotePr>
            <w:numFmt w:val="decimal"/>
          </w:endnotePr>
          <w:pgSz w:w="11906" w:h="16838"/>
          <w:pgMar w:top="1440" w:right="1463" w:bottom="1440" w:left="1463" w:header="851" w:footer="992" w:gutter="0"/>
          <w:pgNumType w:start="1"/>
          <w:cols w:space="720" w:num="1"/>
          <w:docGrid w:type="lines" w:linePitch="312" w:charSpace="0"/>
        </w:sectPr>
      </w:pPr>
    </w:p>
    <w:p w14:paraId="6DF9B08C">
      <w:pPr>
        <w:pStyle w:val="36"/>
        <w:tabs>
          <w:tab w:val="left" w:pos="4935"/>
        </w:tabs>
        <w:jc w:val="cente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p>
    <w:p w14:paraId="48D35D93">
      <w:pPr>
        <w:pStyle w:val="36"/>
        <w:tabs>
          <w:tab w:val="left" w:pos="4935"/>
        </w:tabs>
        <w:jc w:val="cente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p>
    <w:p w14:paraId="0A1B9732">
      <w:pPr>
        <w:pStyle w:val="36"/>
        <w:tabs>
          <w:tab w:val="left" w:pos="4935"/>
        </w:tabs>
        <w:jc w:val="cente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p>
    <w:p w14:paraId="3743739B">
      <w:pPr>
        <w:pStyle w:val="36"/>
        <w:tabs>
          <w:tab w:val="left" w:pos="4935"/>
        </w:tabs>
        <w:jc w:val="cente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p>
    <w:p w14:paraId="5248EBD7">
      <w:pPr>
        <w:pStyle w:val="36"/>
        <w:tabs>
          <w:tab w:val="left" w:pos="4935"/>
        </w:tabs>
        <w:jc w:val="cente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p>
    <w:p w14:paraId="0AD838A2">
      <w:pPr>
        <w:pStyle w:val="36"/>
        <w:tabs>
          <w:tab w:val="left" w:pos="4935"/>
        </w:tabs>
        <w:jc w:val="cente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p>
    <w:p w14:paraId="714E94C4">
      <w:pPr>
        <w:pStyle w:val="36"/>
        <w:tabs>
          <w:tab w:val="left" w:pos="4935"/>
        </w:tabs>
        <w:jc w:val="cente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p>
    <w:p w14:paraId="4F54B98A">
      <w:pPr>
        <w:pStyle w:val="36"/>
        <w:tabs>
          <w:tab w:val="left" w:pos="4935"/>
        </w:tabs>
        <w:jc w:val="cente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p>
    <w:p w14:paraId="1B6F4462">
      <w:pPr>
        <w:pStyle w:val="36"/>
        <w:tabs>
          <w:tab w:val="left" w:pos="4935"/>
        </w:tabs>
        <w:jc w:val="cente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p>
    <w:p w14:paraId="3C7C5C77">
      <w:pPr>
        <w:pStyle w:val="36"/>
        <w:tabs>
          <w:tab w:val="left" w:pos="4935"/>
        </w:tabs>
        <w:jc w:val="cente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p>
    <w:p w14:paraId="48A58102">
      <w:pPr>
        <w:pStyle w:val="36"/>
        <w:tabs>
          <w:tab w:val="left" w:pos="4935"/>
        </w:tabs>
        <w:jc w:val="cente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p>
    <w:p w14:paraId="44207426">
      <w:pPr>
        <w:pStyle w:val="36"/>
        <w:tabs>
          <w:tab w:val="left" w:pos="4935"/>
        </w:tabs>
        <w:jc w:val="cente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p>
    <w:p w14:paraId="4328C888">
      <w:pPr>
        <w:pStyle w:val="36"/>
        <w:tabs>
          <w:tab w:val="left" w:pos="4935"/>
        </w:tabs>
        <w:jc w:val="cente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p>
    <w:p w14:paraId="75A009B4">
      <w:pPr>
        <w:pStyle w:val="36"/>
        <w:tabs>
          <w:tab w:val="left" w:pos="4935"/>
        </w:tabs>
        <w:jc w:val="cente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p>
    <w:p w14:paraId="261B7B28">
      <w:pPr>
        <w:pStyle w:val="36"/>
        <w:tabs>
          <w:tab w:val="left" w:pos="4935"/>
        </w:tabs>
        <w:jc w:val="cente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p>
    <w:p w14:paraId="70B07DEC">
      <w:pPr>
        <w:pStyle w:val="36"/>
        <w:tabs>
          <w:tab w:val="left" w:pos="4935"/>
        </w:tabs>
        <w:jc w:val="cente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p>
    <w:p w14:paraId="7478C51A">
      <w:pPr>
        <w:pStyle w:val="36"/>
        <w:tabs>
          <w:tab w:val="left" w:pos="4935"/>
        </w:tabs>
        <w:jc w:val="cente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p>
    <w:p w14:paraId="7834CE7A">
      <w:pPr>
        <w:pStyle w:val="36"/>
        <w:tabs>
          <w:tab w:val="left" w:pos="4935"/>
        </w:tabs>
        <w:jc w:val="cente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p>
    <w:p w14:paraId="3D619D7E">
      <w:pPr>
        <w:pStyle w:val="36"/>
        <w:tabs>
          <w:tab w:val="left" w:pos="4935"/>
        </w:tabs>
        <w:jc w:val="cente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p>
    <w:p w14:paraId="20FFD412">
      <w:pPr>
        <w:pStyle w:val="36"/>
        <w:tabs>
          <w:tab w:val="left" w:pos="4935"/>
        </w:tabs>
        <w:jc w:val="cente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p>
    <w:p w14:paraId="34C74AE0">
      <w:pPr>
        <w:pStyle w:val="36"/>
        <w:tabs>
          <w:tab w:val="left" w:pos="4935"/>
        </w:tabs>
        <w:jc w:val="cente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p>
    <w:p w14:paraId="51B6D913">
      <w:pPr>
        <w:pStyle w:val="36"/>
        <w:tabs>
          <w:tab w:val="left" w:pos="4935"/>
        </w:tabs>
        <w:jc w:val="cente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p>
    <w:p w14:paraId="2F914B0F">
      <w:pPr>
        <w:pStyle w:val="36"/>
        <w:tabs>
          <w:tab w:val="left" w:pos="4935"/>
        </w:tabs>
        <w:jc w:val="cente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目    录</w:t>
      </w:r>
    </w:p>
    <w:p w14:paraId="20DAF816">
      <w:pPr>
        <w:pStyle w:val="15"/>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TOC \o "1-4" \h \z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_Toc11543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kern w:val="44"/>
          <w:szCs w:val="36"/>
          <w:highlight w:val="none"/>
          <w14:textFill>
            <w14:solidFill>
              <w14:schemeClr w14:val="tx1"/>
            </w14:solidFill>
          </w14:textFill>
        </w:rPr>
        <w:t>第一章投标须知</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_Toc11543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7F75695B">
      <w:pPr>
        <w:pStyle w:val="18"/>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_Toc23299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kern w:val="2"/>
          <w:highlight w:val="none"/>
          <w14:textFill>
            <w14:solidFill>
              <w14:schemeClr w14:val="tx1"/>
            </w14:solidFill>
          </w14:textFill>
        </w:rPr>
        <w:t>第一节.投标须知前附表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_Toc23299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1A7E8287">
      <w:pPr>
        <w:pStyle w:val="18"/>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_Toc25142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kern w:val="2"/>
          <w:szCs w:val="24"/>
          <w:highlight w:val="none"/>
          <w14:textFill>
            <w14:solidFill>
              <w14:schemeClr w14:val="tx1"/>
            </w14:solidFill>
          </w14:textFill>
        </w:rPr>
        <w:t>第二节.重要事项时间地点一览表.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_Toc25142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9</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69A3B7FE">
      <w:pPr>
        <w:pStyle w:val="18"/>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_Toc23644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kern w:val="2"/>
          <w:szCs w:val="24"/>
          <w:highlight w:val="none"/>
          <w14:textFill>
            <w14:solidFill>
              <w14:schemeClr w14:val="tx1"/>
            </w14:solidFill>
          </w14:textFill>
        </w:rPr>
        <w:t>第三节 投标须知正文</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_Toc23644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10</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19FC6FDD">
      <w:pPr>
        <w:pStyle w:val="18"/>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_Toc19598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kern w:val="2"/>
          <w:highlight w:val="none"/>
          <w14:textFill>
            <w14:solidFill>
              <w14:schemeClr w14:val="tx1"/>
            </w14:solidFill>
          </w14:textFill>
        </w:rPr>
        <w:t>1、工程概况综合说明</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_Toc19598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10</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6627CF45">
      <w:pPr>
        <w:pStyle w:val="18"/>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_Toc14538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kern w:val="2"/>
          <w:highlight w:val="none"/>
          <w14:textFill>
            <w14:solidFill>
              <w14:schemeClr w14:val="tx1"/>
            </w14:solidFill>
          </w14:textFill>
        </w:rPr>
        <w:t>2、招标范围</w:t>
      </w:r>
      <w:r>
        <w:rPr>
          <w:color w:val="000000" w:themeColor="text1"/>
          <w:highlight w:val="none"/>
          <w14:textFill>
            <w14:solidFill>
              <w14:schemeClr w14:val="tx1"/>
            </w14:solidFill>
          </w14:textFill>
        </w:rPr>
        <w:tab/>
      </w:r>
      <w:bookmarkStart w:id="639" w:name="_GoBack"/>
      <w:bookmarkEnd w:id="639"/>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_Toc14538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10</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4964A53E">
      <w:pPr>
        <w:pStyle w:val="18"/>
        <w:tabs>
          <w:tab w:val="right" w:leader="dot" w:pos="8306"/>
        </w:tabs>
        <w:rPr>
          <w:rFonts w:hint="default" w:eastAsia="等线" w:asciiTheme="minorEastAsia" w:hAnsiTheme="minorEastAsia" w:cstheme="minorEastAsia"/>
          <w:color w:val="000000" w:themeColor="text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3、工期</w:t>
      </w:r>
      <w:r>
        <w:rPr>
          <w:color w:val="000000" w:themeColor="text1"/>
          <w:highlight w:val="none"/>
          <w14:textFill>
            <w14:solidFill>
              <w14:schemeClr w14:val="tx1"/>
            </w14:solidFill>
          </w14:textFill>
        </w:rPr>
        <w:tab/>
      </w:r>
      <w:r>
        <w:rPr>
          <w:rFonts w:hint="eastAsia"/>
          <w:color w:val="000000" w:themeColor="text1"/>
          <w:highlight w:val="none"/>
          <w:lang w:val="en-US" w:eastAsia="zh-CN"/>
          <w14:textFill>
            <w14:solidFill>
              <w14:schemeClr w14:val="tx1"/>
            </w14:solidFill>
          </w14:textFill>
        </w:rPr>
        <w:t>11</w:t>
      </w:r>
    </w:p>
    <w:p w14:paraId="2111CE6C">
      <w:pPr>
        <w:pStyle w:val="18"/>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_Toc22160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kern w:val="2"/>
          <w:highlight w:val="none"/>
          <w14:textFill>
            <w14:solidFill>
              <w14:schemeClr w14:val="tx1"/>
            </w14:solidFill>
          </w14:textFill>
        </w:rPr>
        <w:t>4、投标人资质及条件要求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_Toc22160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11</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3506CD9E">
      <w:pPr>
        <w:pStyle w:val="18"/>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_Toc19195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kern w:val="2"/>
          <w:highlight w:val="none"/>
          <w14:textFill>
            <w14:solidFill>
              <w14:schemeClr w14:val="tx1"/>
            </w14:solidFill>
          </w14:textFill>
        </w:rPr>
        <w:t>5、工程招标内容及要求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_Toc19195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14</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4C5A7A35">
      <w:pPr>
        <w:pStyle w:val="18"/>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_Toc25843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kern w:val="2"/>
          <w:highlight w:val="none"/>
          <w14:textFill>
            <w14:solidFill>
              <w14:schemeClr w14:val="tx1"/>
            </w14:solidFill>
          </w14:textFill>
        </w:rPr>
        <w:t>6、招标工程施工条件及现场踏勘</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_Toc25843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17</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298B79CE">
      <w:pPr>
        <w:pStyle w:val="18"/>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_Toc20500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kern w:val="2"/>
          <w:highlight w:val="none"/>
          <w14:textFill>
            <w14:solidFill>
              <w14:schemeClr w14:val="tx1"/>
            </w14:solidFill>
          </w14:textFill>
        </w:rPr>
        <w:t>7、其他招标说明</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_Toc20500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18</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60088E47">
      <w:pPr>
        <w:pStyle w:val="18"/>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_Toc18312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kern w:val="2"/>
          <w:highlight w:val="none"/>
          <w14:textFill>
            <w14:solidFill>
              <w14:schemeClr w14:val="tx1"/>
            </w14:solidFill>
          </w14:textFill>
        </w:rPr>
        <w:t>8、招标答疑</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_Toc18312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20</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134F0BE5">
      <w:pPr>
        <w:pStyle w:val="18"/>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_Toc19156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kern w:val="2"/>
          <w:highlight w:val="none"/>
          <w14:textFill>
            <w14:solidFill>
              <w14:schemeClr w14:val="tx1"/>
            </w14:solidFill>
          </w14:textFill>
        </w:rPr>
        <w:t>9、投标报价的编制</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_Toc19156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21</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18EAB21C">
      <w:pPr>
        <w:pStyle w:val="18"/>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_Toc1891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10、最高</w:t>
      </w:r>
      <w:r>
        <w:rPr>
          <w:rFonts w:hint="eastAsia" w:asciiTheme="minorEastAsia" w:hAnsiTheme="minorEastAsia" w:eastAsiaTheme="minorEastAsia" w:cstheme="minorEastAsia"/>
          <w:color w:val="000000" w:themeColor="text1"/>
          <w:kern w:val="2"/>
          <w:highlight w:val="none"/>
          <w14:textFill>
            <w14:solidFill>
              <w14:schemeClr w14:val="tx1"/>
            </w14:solidFill>
          </w14:textFill>
        </w:rPr>
        <w:t>投标</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限价的确定</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_Toc1891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23</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7EAB24D7">
      <w:pPr>
        <w:pStyle w:val="18"/>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_Toc13330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11</w:t>
      </w:r>
      <w:r>
        <w:rPr>
          <w:rFonts w:hint="eastAsia" w:asciiTheme="minorEastAsia" w:hAnsiTheme="minorEastAsia" w:eastAsiaTheme="minorEastAsia" w:cstheme="minorEastAsia"/>
          <w:color w:val="000000" w:themeColor="text1"/>
          <w:szCs w:val="22"/>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kern w:val="2"/>
          <w:highlight w:val="none"/>
          <w14:textFill>
            <w14:solidFill>
              <w14:schemeClr w14:val="tx1"/>
            </w14:solidFill>
          </w14:textFill>
        </w:rPr>
        <w:t>投标</w:t>
      </w: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文件的编制要求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_Toc13330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24</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6A9E4FC7">
      <w:pPr>
        <w:pStyle w:val="18"/>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_Toc32089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kern w:val="2"/>
          <w:highlight w:val="none"/>
          <w14:textFill>
            <w14:solidFill>
              <w14:schemeClr w14:val="tx1"/>
            </w14:solidFill>
          </w14:textFill>
        </w:rPr>
        <w:t>12、投标有效期及对投标人的其他要求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_Toc32089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28</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594A71CF">
      <w:pPr>
        <w:pStyle w:val="18"/>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_Toc31459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kern w:val="2"/>
          <w:highlight w:val="none"/>
          <w14:textFill>
            <w14:solidFill>
              <w14:schemeClr w14:val="tx1"/>
            </w14:solidFill>
          </w14:textFill>
        </w:rPr>
        <w:t>13</w:t>
      </w:r>
      <w:r>
        <w:rPr>
          <w:rFonts w:hint="eastAsia" w:asciiTheme="minorEastAsia" w:hAnsiTheme="minorEastAsia" w:eastAsiaTheme="minorEastAsia" w:cstheme="minorEastAsia"/>
          <w:color w:val="000000" w:themeColor="text1"/>
          <w:kern w:val="2"/>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kern w:val="2"/>
          <w:highlight w:val="none"/>
          <w14:textFill>
            <w14:solidFill>
              <w14:schemeClr w14:val="tx1"/>
            </w14:solidFill>
          </w14:textFill>
        </w:rPr>
        <w:t>开标</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_Toc31459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28</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63AF9C2D">
      <w:pPr>
        <w:pStyle w:val="18"/>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_Toc6038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kern w:val="2"/>
          <w:highlight w:val="none"/>
          <w14:textFill>
            <w14:solidFill>
              <w14:schemeClr w14:val="tx1"/>
            </w14:solidFill>
          </w14:textFill>
        </w:rPr>
        <w:t>14</w:t>
      </w:r>
      <w:r>
        <w:rPr>
          <w:rFonts w:hint="eastAsia" w:asciiTheme="minorEastAsia" w:hAnsiTheme="minorEastAsia" w:eastAsiaTheme="minorEastAsia" w:cstheme="minorEastAsia"/>
          <w:color w:val="000000" w:themeColor="text1"/>
          <w:kern w:val="2"/>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kern w:val="2"/>
          <w:highlight w:val="none"/>
          <w14:textFill>
            <w14:solidFill>
              <w14:schemeClr w14:val="tx1"/>
            </w14:solidFill>
          </w14:textFill>
        </w:rPr>
        <w:t>评标的方法和标准</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_Toc6038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29</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14B5226D">
      <w:pPr>
        <w:pStyle w:val="18"/>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_Toc8759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kern w:val="2"/>
          <w:highlight w:val="none"/>
          <w14:textFill>
            <w14:solidFill>
              <w14:schemeClr w14:val="tx1"/>
            </w14:solidFill>
          </w14:textFill>
        </w:rPr>
        <w:t>15</w:t>
      </w:r>
      <w:r>
        <w:rPr>
          <w:rFonts w:hint="eastAsia" w:asciiTheme="minorEastAsia" w:hAnsiTheme="minorEastAsia" w:eastAsiaTheme="minorEastAsia" w:cstheme="minorEastAsia"/>
          <w:color w:val="000000" w:themeColor="text1"/>
          <w:kern w:val="2"/>
          <w:highlight w:val="none"/>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kern w:val="2"/>
          <w:highlight w:val="none"/>
          <w14:textFill>
            <w14:solidFill>
              <w14:schemeClr w14:val="tx1"/>
            </w14:solidFill>
          </w14:textFill>
        </w:rPr>
        <w:t>中标候选人公示</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_Toc8759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38</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30325764">
      <w:pPr>
        <w:pStyle w:val="15"/>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_Toc9442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kern w:val="44"/>
          <w:szCs w:val="36"/>
          <w:highlight w:val="none"/>
          <w14:textFill>
            <w14:solidFill>
              <w14:schemeClr w14:val="tx1"/>
            </w14:solidFill>
          </w14:textFill>
        </w:rPr>
        <w:t>第二章 拟签订合同的主要条款</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_Toc9442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42</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1398B2F0">
      <w:pPr>
        <w:pStyle w:val="18"/>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_Toc13627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kern w:val="2"/>
          <w:highlight w:val="none"/>
          <w14:textFill>
            <w14:solidFill>
              <w14:schemeClr w14:val="tx1"/>
            </w14:solidFill>
          </w14:textFill>
        </w:rPr>
        <w:t>1 工程承包方式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_Toc13627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42</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5D91599A">
      <w:pPr>
        <w:pStyle w:val="18"/>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_Toc28315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highlight w:val="none"/>
          <w14:textFill>
            <w14:solidFill>
              <w14:schemeClr w14:val="tx1"/>
            </w14:solidFill>
          </w14:textFill>
        </w:rPr>
        <w:t>2 施工图工程量清单预算的编制原则</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_Toc28315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42</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2029FF4A">
      <w:pPr>
        <w:pStyle w:val="18"/>
        <w:tabs>
          <w:tab w:val="right" w:leader="dot" w:pos="8306"/>
        </w:tabs>
        <w:rPr>
          <w:rFonts w:hint="eastAsia" w:eastAsiaTheme="minorEastAsia"/>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_Toc25851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kern w:val="2"/>
          <w:szCs w:val="24"/>
          <w:highlight w:val="none"/>
          <w14:textFill>
            <w14:solidFill>
              <w14:schemeClr w14:val="tx1"/>
            </w14:solidFill>
          </w14:textFill>
        </w:rPr>
        <w:t>3 工程结算原则</w:t>
      </w:r>
      <w:r>
        <w:rPr>
          <w:color w:val="000000" w:themeColor="text1"/>
          <w:highlight w:val="none"/>
          <w14:textFill>
            <w14:solidFill>
              <w14:schemeClr w14:val="tx1"/>
            </w14:solidFill>
          </w14:textFill>
        </w:rPr>
        <w:tab/>
      </w:r>
      <w:r>
        <w:rPr>
          <w:rFonts w:hint="eastAsia"/>
          <w:color w:val="000000" w:themeColor="text1"/>
          <w:highlight w:val="none"/>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lang w:val="en-US" w:eastAsia="zh-CN"/>
          <w14:textFill>
            <w14:solidFill>
              <w14:schemeClr w14:val="tx1"/>
            </w14:solidFill>
          </w14:textFill>
        </w:rPr>
        <w:t>4</w:t>
      </w:r>
    </w:p>
    <w:p w14:paraId="674E2BF7">
      <w:pPr>
        <w:pStyle w:val="18"/>
        <w:tabs>
          <w:tab w:val="right" w:leader="dot" w:pos="8306"/>
        </w:tabs>
        <w:rPr>
          <w:rFonts w:hint="eastAsia"/>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_Toc9414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kern w:val="2"/>
          <w:szCs w:val="24"/>
          <w:highlight w:val="none"/>
          <w14:textFill>
            <w14:solidFill>
              <w14:schemeClr w14:val="tx1"/>
            </w14:solidFill>
          </w14:textFill>
        </w:rPr>
        <w:t>4 工程付款办法</w:t>
      </w:r>
      <w:r>
        <w:rPr>
          <w:color w:val="000000" w:themeColor="text1"/>
          <w:highlight w:val="none"/>
          <w14:textFill>
            <w14:solidFill>
              <w14:schemeClr w14:val="tx1"/>
            </w14:solidFill>
          </w14:textFill>
        </w:rPr>
        <w:tab/>
      </w:r>
      <w:r>
        <w:rPr>
          <w:rFonts w:hint="eastAsia"/>
          <w:color w:val="000000" w:themeColor="text1"/>
          <w:highlight w:val="none"/>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lang w:val="en-US" w:eastAsia="zh-CN"/>
          <w14:textFill>
            <w14:solidFill>
              <w14:schemeClr w14:val="tx1"/>
            </w14:solidFill>
          </w14:textFill>
        </w:rPr>
        <w:t>8</w:t>
      </w:r>
    </w:p>
    <w:p w14:paraId="05806551">
      <w:pPr>
        <w:pStyle w:val="15"/>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_Toc29022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kern w:val="44"/>
          <w:szCs w:val="36"/>
          <w:highlight w:val="none"/>
          <w14:textFill>
            <w14:solidFill>
              <w14:schemeClr w14:val="tx1"/>
            </w14:solidFill>
          </w14:textFill>
        </w:rPr>
        <w:t>第三章 中标人须知</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_Toc29022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72</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6878746B">
      <w:pPr>
        <w:pStyle w:val="15"/>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_Toc26670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kern w:val="44"/>
          <w:szCs w:val="36"/>
          <w:highlight w:val="none"/>
          <w14:textFill>
            <w14:solidFill>
              <w14:schemeClr w14:val="tx1"/>
            </w14:solidFill>
          </w14:textFill>
        </w:rPr>
        <w:t>第四章 投标人提交的其他材料</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_Toc26670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79</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21CE1D06">
      <w:pPr>
        <w:pStyle w:val="18"/>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_Toc16764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bCs/>
          <w:color w:val="000000" w:themeColor="text1"/>
          <w:szCs w:val="24"/>
          <w:highlight w:val="none"/>
          <w14:textFill>
            <w14:solidFill>
              <w14:schemeClr w14:val="tx1"/>
            </w14:solidFill>
          </w14:textFill>
        </w:rPr>
        <w:t>1</w:t>
      </w:r>
      <w:r>
        <w:rPr>
          <w:rFonts w:hint="eastAsia" w:asciiTheme="minorEastAsia" w:hAnsiTheme="minorEastAsia" w:eastAsiaTheme="minorEastAsia" w:cstheme="minorEastAsia"/>
          <w:bCs/>
          <w:color w:val="000000" w:themeColor="text1"/>
          <w:szCs w:val="24"/>
          <w:highlight w:val="none"/>
          <w:lang w:eastAsia="zh-CN"/>
          <w14:textFill>
            <w14:solidFill>
              <w14:schemeClr w14:val="tx1"/>
            </w14:solidFill>
          </w14:textFill>
        </w:rPr>
        <w:t>、</w:t>
      </w:r>
      <w:r>
        <w:rPr>
          <w:rFonts w:hint="eastAsia" w:asciiTheme="minorEastAsia" w:hAnsiTheme="minorEastAsia" w:eastAsiaTheme="minorEastAsia" w:cstheme="minorEastAsia"/>
          <w:bCs/>
          <w:color w:val="000000" w:themeColor="text1"/>
          <w:szCs w:val="24"/>
          <w:highlight w:val="none"/>
          <w14:textFill>
            <w14:solidFill>
              <w14:schemeClr w14:val="tx1"/>
            </w14:solidFill>
          </w14:textFill>
        </w:rPr>
        <w:t xml:space="preserve"> 投标保证</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_Toc16764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79</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371C32D0">
      <w:pPr>
        <w:pStyle w:val="18"/>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_Toc26440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bCs/>
          <w:color w:val="000000" w:themeColor="text1"/>
          <w:szCs w:val="24"/>
          <w:highlight w:val="none"/>
          <w14:textFill>
            <w14:solidFill>
              <w14:schemeClr w14:val="tx1"/>
            </w14:solidFill>
          </w14:textFill>
        </w:rPr>
        <w:t>2</w:t>
      </w:r>
      <w:r>
        <w:rPr>
          <w:rFonts w:hint="eastAsia" w:asciiTheme="minorEastAsia" w:hAnsiTheme="minorEastAsia" w:eastAsiaTheme="minorEastAsia" w:cstheme="minorEastAsia"/>
          <w:bCs/>
          <w:color w:val="000000" w:themeColor="text1"/>
          <w:szCs w:val="24"/>
          <w:highlight w:val="none"/>
          <w:lang w:eastAsia="zh-CN"/>
          <w14:textFill>
            <w14:solidFill>
              <w14:schemeClr w14:val="tx1"/>
            </w14:solidFill>
          </w14:textFill>
        </w:rPr>
        <w:t>、</w:t>
      </w:r>
      <w:r>
        <w:rPr>
          <w:rFonts w:hint="eastAsia" w:asciiTheme="minorEastAsia" w:hAnsiTheme="minorEastAsia" w:eastAsiaTheme="minorEastAsia" w:cstheme="minorEastAsia"/>
          <w:bCs/>
          <w:color w:val="000000" w:themeColor="text1"/>
          <w:szCs w:val="24"/>
          <w:highlight w:val="none"/>
          <w14:textFill>
            <w14:solidFill>
              <w14:schemeClr w14:val="tx1"/>
            </w14:solidFill>
          </w14:textFill>
        </w:rPr>
        <w:t xml:space="preserve"> 履约保证金</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_Toc26440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80</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4DDB5576">
      <w:pPr>
        <w:pStyle w:val="18"/>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_Toc24561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bCs/>
          <w:color w:val="000000" w:themeColor="text1"/>
          <w:szCs w:val="24"/>
          <w:highlight w:val="none"/>
          <w14:textFill>
            <w14:solidFill>
              <w14:schemeClr w14:val="tx1"/>
            </w14:solidFill>
          </w14:textFill>
        </w:rPr>
        <w:t>3</w:t>
      </w:r>
      <w:r>
        <w:rPr>
          <w:rFonts w:hint="eastAsia" w:asciiTheme="minorEastAsia" w:hAnsiTheme="minorEastAsia" w:eastAsiaTheme="minorEastAsia" w:cstheme="minorEastAsia"/>
          <w:bCs/>
          <w:color w:val="000000" w:themeColor="text1"/>
          <w:szCs w:val="24"/>
          <w:highlight w:val="none"/>
          <w:lang w:eastAsia="zh-CN"/>
          <w14:textFill>
            <w14:solidFill>
              <w14:schemeClr w14:val="tx1"/>
            </w14:solidFill>
          </w14:textFill>
        </w:rPr>
        <w:t>、</w:t>
      </w:r>
      <w:r>
        <w:rPr>
          <w:rFonts w:hint="eastAsia" w:asciiTheme="minorEastAsia" w:hAnsiTheme="minorEastAsia" w:eastAsiaTheme="minorEastAsia" w:cstheme="minorEastAsia"/>
          <w:bCs/>
          <w:color w:val="000000" w:themeColor="text1"/>
          <w:szCs w:val="24"/>
          <w:highlight w:val="none"/>
          <w14:textFill>
            <w14:solidFill>
              <w14:schemeClr w14:val="tx1"/>
            </w14:solidFill>
          </w14:textFill>
        </w:rPr>
        <w:t>质量保证</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_Toc24561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81</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383D6D8F">
      <w:pPr>
        <w:pStyle w:val="15"/>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_Toc31291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kern w:val="44"/>
          <w:szCs w:val="36"/>
          <w:highlight w:val="none"/>
          <w14:textFill>
            <w14:solidFill>
              <w14:schemeClr w14:val="tx1"/>
            </w14:solidFill>
          </w14:textFill>
        </w:rPr>
        <w:t>第五章 招标工程的技术要求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_Toc31291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82</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2A1D5079">
      <w:pPr>
        <w:pStyle w:val="18"/>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_Toc5947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bCs/>
          <w:color w:val="000000" w:themeColor="text1"/>
          <w:szCs w:val="22"/>
          <w:highlight w:val="none"/>
          <w14:textFill>
            <w14:solidFill>
              <w14:schemeClr w14:val="tx1"/>
            </w14:solidFill>
          </w14:textFill>
        </w:rPr>
        <w:t>1</w:t>
      </w:r>
      <w:r>
        <w:rPr>
          <w:rFonts w:hint="eastAsia" w:asciiTheme="minorEastAsia" w:hAnsiTheme="minorEastAsia" w:eastAsiaTheme="minorEastAsia" w:cstheme="minorEastAsia"/>
          <w:bCs/>
          <w:color w:val="000000" w:themeColor="text1"/>
          <w:szCs w:val="22"/>
          <w:highlight w:val="none"/>
          <w:lang w:eastAsia="zh-CN"/>
          <w14:textFill>
            <w14:solidFill>
              <w14:schemeClr w14:val="tx1"/>
            </w14:solidFill>
          </w14:textFill>
        </w:rPr>
        <w:t>、</w:t>
      </w:r>
      <w:r>
        <w:rPr>
          <w:rFonts w:hint="eastAsia" w:asciiTheme="minorEastAsia" w:hAnsiTheme="minorEastAsia" w:eastAsiaTheme="minorEastAsia" w:cstheme="minorEastAsia"/>
          <w:bCs/>
          <w:color w:val="000000" w:themeColor="text1"/>
          <w:szCs w:val="24"/>
          <w:highlight w:val="none"/>
          <w14:textFill>
            <w14:solidFill>
              <w14:schemeClr w14:val="tx1"/>
            </w14:solidFill>
          </w14:textFill>
        </w:rPr>
        <w:t>工程的技术要求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_Toc5947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82</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4ECDE7E8">
      <w:pPr>
        <w:pStyle w:val="15"/>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_Toc10156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kern w:val="44"/>
          <w:szCs w:val="36"/>
          <w:highlight w:val="none"/>
          <w:lang w:val="en-US" w:eastAsia="zh-CN"/>
          <w14:textFill>
            <w14:solidFill>
              <w14:schemeClr w14:val="tx1"/>
            </w14:solidFill>
          </w14:textFill>
        </w:rPr>
        <w:t xml:space="preserve">第六章  </w:t>
      </w:r>
      <w:r>
        <w:rPr>
          <w:rFonts w:hint="eastAsia" w:asciiTheme="minorEastAsia" w:hAnsiTheme="minorEastAsia" w:eastAsiaTheme="minorEastAsia" w:cstheme="minorEastAsia"/>
          <w:color w:val="000000" w:themeColor="text1"/>
          <w:kern w:val="44"/>
          <w:szCs w:val="36"/>
          <w:highlight w:val="none"/>
          <w14:textFill>
            <w14:solidFill>
              <w14:schemeClr w14:val="tx1"/>
            </w14:solidFill>
          </w14:textFill>
        </w:rPr>
        <w:t>招标文件的附件</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_Toc10156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85</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3354A624">
      <w:pPr>
        <w:pStyle w:val="18"/>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_Toc6252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snapToGrid w:val="0"/>
          <w:color w:val="000000" w:themeColor="text1"/>
          <w:szCs w:val="24"/>
          <w:highlight w:val="none"/>
          <w14:textFill>
            <w14:solidFill>
              <w14:schemeClr w14:val="tx1"/>
            </w14:solidFill>
          </w14:textFill>
        </w:rPr>
        <w:t>格式一 封面</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_Toc6252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85</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7125F3B3">
      <w:pPr>
        <w:pStyle w:val="18"/>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_Toc9668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bCs/>
          <w:color w:val="000000" w:themeColor="text1"/>
          <w:szCs w:val="24"/>
          <w:highlight w:val="none"/>
          <w14:textFill>
            <w14:solidFill>
              <w14:schemeClr w14:val="tx1"/>
            </w14:solidFill>
          </w14:textFill>
        </w:rPr>
        <w:t>格式二 《投标函》及《工程项目总价表》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_Toc9668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86</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3CE1EF60">
      <w:pPr>
        <w:pStyle w:val="18"/>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_Toc4068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格式三 各项</w:t>
      </w:r>
      <w:r>
        <w:rPr>
          <w:rFonts w:hint="eastAsia" w:asciiTheme="minorEastAsia" w:hAnsiTheme="minorEastAsia" w:eastAsiaTheme="minorEastAsia" w:cstheme="minorEastAsia"/>
          <w:bCs/>
          <w:color w:val="000000" w:themeColor="text1"/>
          <w:szCs w:val="24"/>
          <w:highlight w:val="none"/>
          <w14:textFill>
            <w14:solidFill>
              <w14:schemeClr w14:val="tx1"/>
            </w14:solidFill>
          </w14:textFill>
        </w:rPr>
        <w:t>承诺</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一览表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_Toc4068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88</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1957DA51">
      <w:pPr>
        <w:pStyle w:val="18"/>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_Toc18488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bCs/>
          <w:color w:val="000000" w:themeColor="text1"/>
          <w:szCs w:val="24"/>
          <w:highlight w:val="none"/>
          <w14:textFill>
            <w14:solidFill>
              <w14:schemeClr w14:val="tx1"/>
            </w14:solidFill>
          </w14:textFill>
        </w:rPr>
        <w:t>格式四 授权委托书</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_Toc18488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93</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17879832">
      <w:pPr>
        <w:pStyle w:val="18"/>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_Toc29587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bCs/>
          <w:color w:val="000000" w:themeColor="text1"/>
          <w:szCs w:val="24"/>
          <w:highlight w:val="none"/>
          <w14:textFill>
            <w14:solidFill>
              <w14:schemeClr w14:val="tx1"/>
            </w14:solidFill>
          </w14:textFill>
        </w:rPr>
        <w:t>格式五 法定代表人身份证明</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_Toc29587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94</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2C918D99">
      <w:pPr>
        <w:pStyle w:val="18"/>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_Toc2862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bCs/>
          <w:color w:val="000000" w:themeColor="text1"/>
          <w:szCs w:val="24"/>
          <w:highlight w:val="none"/>
          <w14:textFill>
            <w14:solidFill>
              <w14:schemeClr w14:val="tx1"/>
            </w14:solidFill>
          </w14:textFill>
        </w:rPr>
        <w:t>格式六 联合体协议书</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_Toc2862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95</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7281537A">
      <w:pPr>
        <w:pStyle w:val="18"/>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_Toc29507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bCs/>
          <w:color w:val="000000" w:themeColor="text1"/>
          <w:szCs w:val="24"/>
          <w:highlight w:val="none"/>
          <w14:textFill>
            <w14:solidFill>
              <w14:schemeClr w14:val="tx1"/>
            </w14:solidFill>
          </w14:textFill>
        </w:rPr>
        <w:t>格式七 投标人基本情况表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_Toc29507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97</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33888F91">
      <w:pPr>
        <w:pStyle w:val="18"/>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_Toc31366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bCs/>
          <w:color w:val="000000" w:themeColor="text1"/>
          <w:szCs w:val="24"/>
          <w:highlight w:val="none"/>
          <w14:textFill>
            <w14:solidFill>
              <w14:schemeClr w14:val="tx1"/>
            </w14:solidFill>
          </w14:textFill>
        </w:rPr>
        <w:t>格式八 项目经理简历表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_Toc31366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98</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112D9D9D">
      <w:pPr>
        <w:pStyle w:val="18"/>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_Toc428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bCs/>
          <w:color w:val="000000" w:themeColor="text1"/>
          <w:szCs w:val="24"/>
          <w:highlight w:val="none"/>
          <w14:textFill>
            <w14:solidFill>
              <w14:schemeClr w14:val="tx1"/>
            </w14:solidFill>
          </w14:textFill>
        </w:rPr>
        <w:t>格式九 项目经理任职声明</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_Toc428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99</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2C98A072">
      <w:pPr>
        <w:pStyle w:val="18"/>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_Toc17179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bCs/>
          <w:color w:val="000000" w:themeColor="text1"/>
          <w:szCs w:val="24"/>
          <w:highlight w:val="none"/>
          <w14:textFill>
            <w14:solidFill>
              <w14:schemeClr w14:val="tx1"/>
            </w14:solidFill>
          </w14:textFill>
        </w:rPr>
        <w:t>格式十 项目技术负责人简历表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_Toc17179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100</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0B4D9B1C">
      <w:pPr>
        <w:pStyle w:val="18"/>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_Toc12570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bCs/>
          <w:color w:val="000000" w:themeColor="text1"/>
          <w:szCs w:val="24"/>
          <w:highlight w:val="none"/>
          <w14:textFill>
            <w14:solidFill>
              <w14:schemeClr w14:val="tx1"/>
            </w14:solidFill>
          </w14:textFill>
        </w:rPr>
        <w:t>格式十一 项目设计负责人简历表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_Toc12570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101</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114F073D">
      <w:pPr>
        <w:pStyle w:val="18"/>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_Toc27493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snapToGrid w:val="0"/>
          <w:color w:val="000000" w:themeColor="text1"/>
          <w:szCs w:val="24"/>
          <w:highlight w:val="none"/>
          <w14:textFill>
            <w14:solidFill>
              <w14:schemeClr w14:val="tx1"/>
            </w14:solidFill>
          </w14:textFill>
        </w:rPr>
        <w:t>格式十</w:t>
      </w:r>
      <w:r>
        <w:rPr>
          <w:rFonts w:hint="eastAsia" w:asciiTheme="minorEastAsia" w:hAnsiTheme="minorEastAsia" w:eastAsiaTheme="minorEastAsia" w:cstheme="minorEastAsia"/>
          <w:snapToGrid w:val="0"/>
          <w:color w:val="000000" w:themeColor="text1"/>
          <w:szCs w:val="24"/>
          <w:highlight w:val="none"/>
          <w:lang w:val="en-US" w:eastAsia="zh-CN"/>
          <w14:textFill>
            <w14:solidFill>
              <w14:schemeClr w14:val="tx1"/>
            </w14:solidFill>
          </w14:textFill>
        </w:rPr>
        <w:t>二</w:t>
      </w:r>
      <w:r>
        <w:rPr>
          <w:rFonts w:hint="eastAsia" w:asciiTheme="minorEastAsia" w:hAnsiTheme="minorEastAsia" w:eastAsiaTheme="minorEastAsia" w:cstheme="minorEastAsia"/>
          <w:snapToGrid w:val="0"/>
          <w:color w:val="000000" w:themeColor="text1"/>
          <w:szCs w:val="24"/>
          <w:highlight w:val="none"/>
          <w14:textFill>
            <w14:solidFill>
              <w14:schemeClr w14:val="tx1"/>
            </w14:solidFill>
          </w14:textFill>
        </w:rPr>
        <w:t xml:space="preserve"> 项目管理机构组成表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_Toc27493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102</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3140DAAB">
      <w:pPr>
        <w:pStyle w:val="18"/>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_Toc7707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bCs/>
          <w:color w:val="000000" w:themeColor="text1"/>
          <w:szCs w:val="24"/>
          <w:highlight w:val="none"/>
          <w14:textFill>
            <w14:solidFill>
              <w14:schemeClr w14:val="tx1"/>
            </w14:solidFill>
          </w14:textFill>
        </w:rPr>
        <w:t>格式十</w:t>
      </w:r>
      <w:r>
        <w:rPr>
          <w:rFonts w:hint="eastAsia" w:asciiTheme="minorEastAsia" w:hAnsiTheme="minorEastAsia" w:eastAsiaTheme="minorEastAsia" w:cstheme="minorEastAsia"/>
          <w:bCs/>
          <w:color w:val="000000" w:themeColor="text1"/>
          <w:szCs w:val="24"/>
          <w:highlight w:val="none"/>
          <w:lang w:val="en-US" w:eastAsia="zh-CN"/>
          <w14:textFill>
            <w14:solidFill>
              <w14:schemeClr w14:val="tx1"/>
            </w14:solidFill>
          </w14:textFill>
        </w:rPr>
        <w:t>三</w:t>
      </w:r>
      <w:r>
        <w:rPr>
          <w:rFonts w:hint="eastAsia" w:asciiTheme="minorEastAsia" w:hAnsiTheme="minorEastAsia" w:eastAsiaTheme="minorEastAsia" w:cstheme="minorEastAsia"/>
          <w:bCs/>
          <w:color w:val="000000" w:themeColor="text1"/>
          <w:szCs w:val="24"/>
          <w:highlight w:val="none"/>
          <w14:textFill>
            <w14:solidFill>
              <w14:schemeClr w14:val="tx1"/>
            </w14:solidFill>
          </w14:textFill>
        </w:rPr>
        <w:t xml:space="preserve"> 原件一览表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_Toc7707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103</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77D4F97D">
      <w:pPr>
        <w:pStyle w:val="15"/>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_Toc21994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kern w:val="44"/>
          <w:szCs w:val="30"/>
          <w:highlight w:val="none"/>
          <w14:textFill>
            <w14:solidFill>
              <w14:schemeClr w14:val="tx1"/>
            </w14:solidFill>
          </w14:textFill>
        </w:rPr>
        <w:t>第</w:t>
      </w:r>
      <w:r>
        <w:rPr>
          <w:rFonts w:hint="eastAsia" w:asciiTheme="minorEastAsia" w:hAnsiTheme="minorEastAsia" w:eastAsiaTheme="minorEastAsia" w:cstheme="minorEastAsia"/>
          <w:color w:val="000000" w:themeColor="text1"/>
          <w:kern w:val="44"/>
          <w:szCs w:val="30"/>
          <w:highlight w:val="none"/>
          <w:lang w:val="en-US" w:eastAsia="zh-CN"/>
          <w14:textFill>
            <w14:solidFill>
              <w14:schemeClr w14:val="tx1"/>
            </w14:solidFill>
          </w14:textFill>
        </w:rPr>
        <w:t>七</w:t>
      </w:r>
      <w:r>
        <w:rPr>
          <w:rFonts w:hint="eastAsia" w:asciiTheme="minorEastAsia" w:hAnsiTheme="minorEastAsia" w:eastAsiaTheme="minorEastAsia" w:cstheme="minorEastAsia"/>
          <w:color w:val="000000" w:themeColor="text1"/>
          <w:kern w:val="44"/>
          <w:szCs w:val="30"/>
          <w:highlight w:val="none"/>
          <w14:textFill>
            <w14:solidFill>
              <w14:schemeClr w14:val="tx1"/>
            </w14:solidFill>
          </w14:textFill>
        </w:rPr>
        <w:t>章  廉政合同、履约保函、预付款保函、支付保函</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_Toc21994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104</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29A159FC">
      <w:pPr>
        <w:pStyle w:val="10"/>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_Toc8348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bCs/>
          <w:color w:val="000000" w:themeColor="text1"/>
          <w:szCs w:val="32"/>
          <w:highlight w:val="none"/>
          <w14:textFill>
            <w14:solidFill>
              <w14:schemeClr w14:val="tx1"/>
            </w14:solidFill>
          </w14:textFill>
        </w:rPr>
        <w:t>廉政合同</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_Toc8348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104</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4E2FD31D">
      <w:pPr>
        <w:pStyle w:val="10"/>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_Toc1108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bCs/>
          <w:color w:val="000000" w:themeColor="text1"/>
          <w:szCs w:val="32"/>
          <w:highlight w:val="none"/>
          <w14:textFill>
            <w14:solidFill>
              <w14:schemeClr w14:val="tx1"/>
            </w14:solidFill>
          </w14:textFill>
        </w:rPr>
        <w:t>履约保函</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_Toc1108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107</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7EE3B564">
      <w:pPr>
        <w:pStyle w:val="10"/>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_Toc32564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bCs/>
          <w:color w:val="000000" w:themeColor="text1"/>
          <w:szCs w:val="32"/>
          <w:highlight w:val="none"/>
          <w14:textFill>
            <w14:solidFill>
              <w14:schemeClr w14:val="tx1"/>
            </w14:solidFill>
          </w14:textFill>
        </w:rPr>
        <w:t>预付款保函</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_Toc32564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109</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6E26E459">
      <w:pPr>
        <w:pStyle w:val="10"/>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_Toc2094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bCs/>
          <w:color w:val="000000" w:themeColor="text1"/>
          <w:szCs w:val="32"/>
          <w:highlight w:val="none"/>
          <w14:textFill>
            <w14:solidFill>
              <w14:schemeClr w14:val="tx1"/>
            </w14:solidFill>
          </w14:textFill>
        </w:rPr>
        <w:t>支付保函</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_Toc2094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111</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3B63A172">
      <w:pPr>
        <w:pStyle w:val="15"/>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_Toc32097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kern w:val="44"/>
          <w:szCs w:val="36"/>
          <w:highlight w:val="none"/>
          <w14:textFill>
            <w14:solidFill>
              <w14:schemeClr w14:val="tx1"/>
            </w14:solidFill>
          </w14:textFill>
        </w:rPr>
        <w:t>第</w:t>
      </w:r>
      <w:r>
        <w:rPr>
          <w:rFonts w:hint="eastAsia" w:asciiTheme="minorEastAsia" w:hAnsiTheme="minorEastAsia" w:eastAsiaTheme="minorEastAsia" w:cstheme="minorEastAsia"/>
          <w:color w:val="000000" w:themeColor="text1"/>
          <w:kern w:val="44"/>
          <w:szCs w:val="36"/>
          <w:highlight w:val="none"/>
          <w:lang w:val="en-US" w:eastAsia="zh-CN"/>
          <w14:textFill>
            <w14:solidFill>
              <w14:schemeClr w14:val="tx1"/>
            </w14:solidFill>
          </w14:textFill>
        </w:rPr>
        <w:t>八</w:t>
      </w:r>
      <w:r>
        <w:rPr>
          <w:rFonts w:hint="eastAsia" w:asciiTheme="minorEastAsia" w:hAnsiTheme="minorEastAsia" w:eastAsiaTheme="minorEastAsia" w:cstheme="minorEastAsia"/>
          <w:color w:val="000000" w:themeColor="text1"/>
          <w:kern w:val="44"/>
          <w:szCs w:val="36"/>
          <w:highlight w:val="none"/>
          <w14:textFill>
            <w14:solidFill>
              <w14:schemeClr w14:val="tx1"/>
            </w14:solidFill>
          </w14:textFill>
        </w:rPr>
        <w:t>章  建设工程合同</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_Toc32097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113</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6307B97C">
      <w:pPr>
        <w:pStyle w:val="36"/>
        <w:tabs>
          <w:tab w:val="left" w:pos="4935"/>
        </w:tabs>
        <w:jc w:val="center"/>
        <w:rPr>
          <w:rFonts w:hint="eastAsia" w:asciiTheme="minorEastAsia" w:hAnsiTheme="minorEastAsia" w:eastAsiaTheme="minorEastAsia" w:cstheme="minorEastAsia"/>
          <w:color w:val="000000" w:themeColor="text1"/>
          <w:szCs w:val="21"/>
          <w:highlight w:val="none"/>
          <w14:textFill>
            <w14:solidFill>
              <w14:schemeClr w14:val="tx1"/>
            </w14:solidFill>
          </w14:textFill>
        </w:rPr>
        <w:sectPr>
          <w:footerReference r:id="rId4" w:type="default"/>
          <w:endnotePr>
            <w:numFmt w:val="decimal"/>
          </w:endnotePr>
          <w:pgSz w:w="11906" w:h="16838"/>
          <w:pgMar w:top="1440" w:right="1800" w:bottom="1440" w:left="1800" w:header="851" w:footer="992" w:gutter="0"/>
          <w:pgNumType w:start="1"/>
          <w:cols w:space="720" w:num="1"/>
          <w:docGrid w:type="lines" w:linePitch="312" w:charSpace="0"/>
        </w:sect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0A0B2040">
      <w:pPr>
        <w:pStyle w:val="37"/>
        <w:keepNext/>
        <w:keepLines/>
        <w:jc w:val="center"/>
        <w:rPr>
          <w:rFonts w:hint="eastAsia" w:asciiTheme="minorEastAsia" w:hAnsiTheme="minorEastAsia" w:eastAsiaTheme="minorEastAsia" w:cstheme="minorEastAsia"/>
          <w:b/>
          <w:color w:val="000000" w:themeColor="text1"/>
          <w:kern w:val="44"/>
          <w:sz w:val="36"/>
          <w:szCs w:val="36"/>
          <w:highlight w:val="none"/>
          <w14:textFill>
            <w14:solidFill>
              <w14:schemeClr w14:val="tx1"/>
            </w14:solidFill>
          </w14:textFill>
        </w:rPr>
      </w:pPr>
      <w:bookmarkStart w:id="0" w:name="_Toc11543"/>
      <w:bookmarkStart w:id="1" w:name="_Hlt111690251"/>
      <w:r>
        <w:rPr>
          <w:rFonts w:hint="eastAsia" w:asciiTheme="minorEastAsia" w:hAnsiTheme="minorEastAsia" w:eastAsiaTheme="minorEastAsia" w:cstheme="minorEastAsia"/>
          <w:b/>
          <w:color w:val="000000" w:themeColor="text1"/>
          <w:kern w:val="44"/>
          <w:sz w:val="36"/>
          <w:szCs w:val="36"/>
          <w:highlight w:val="none"/>
          <w14:textFill>
            <w14:solidFill>
              <w14:schemeClr w14:val="tx1"/>
            </w14:solidFill>
          </w14:textFill>
        </w:rPr>
        <w:t>第一章投标须知</w:t>
      </w:r>
      <w:bookmarkEnd w:id="0"/>
    </w:p>
    <w:p w14:paraId="538A9106">
      <w:pPr>
        <w:pStyle w:val="38"/>
        <w:keepNext/>
        <w:keepLines/>
        <w:autoSpaceDE/>
        <w:autoSpaceDN/>
        <w:adjustRightInd/>
        <w:spacing w:before="260" w:after="260" w:line="360" w:lineRule="exact"/>
        <w:ind w:firstLine="482" w:firstLineChars="200"/>
        <w:jc w:val="both"/>
        <w:rPr>
          <w:rFonts w:hint="eastAsia" w:asciiTheme="minorEastAsia" w:hAnsiTheme="minorEastAsia" w:eastAsiaTheme="minorEastAsia" w:cstheme="minorEastAsia"/>
          <w:b/>
          <w:color w:val="000000" w:themeColor="text1"/>
          <w:kern w:val="2"/>
          <w:highlight w:val="none"/>
          <w14:textFill>
            <w14:solidFill>
              <w14:schemeClr w14:val="tx1"/>
            </w14:solidFill>
          </w14:textFill>
        </w:rPr>
      </w:pPr>
      <w:bookmarkStart w:id="2" w:name="_Hlt127175444"/>
      <w:bookmarkEnd w:id="2"/>
      <w:bookmarkStart w:id="3" w:name="_Toc23299"/>
      <w:bookmarkStart w:id="4" w:name="_Hlt120077520"/>
      <w:r>
        <w:rPr>
          <w:rFonts w:hint="eastAsia" w:asciiTheme="minorEastAsia" w:hAnsiTheme="minorEastAsia" w:eastAsiaTheme="minorEastAsia" w:cstheme="minorEastAsia"/>
          <w:b/>
          <w:color w:val="000000" w:themeColor="text1"/>
          <w:kern w:val="2"/>
          <w:highlight w:val="none"/>
          <w14:textFill>
            <w14:solidFill>
              <w14:schemeClr w14:val="tx1"/>
            </w14:solidFill>
          </w14:textFill>
        </w:rPr>
        <w:t>第一节.投标须知前附表</w:t>
      </w:r>
      <w:bookmarkEnd w:id="3"/>
    </w:p>
    <w:tbl>
      <w:tblPr>
        <w:tblStyle w:val="21"/>
        <w:tblW w:w="1006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810"/>
        <w:gridCol w:w="1709"/>
        <w:gridCol w:w="7544"/>
      </w:tblGrid>
      <w:tr w14:paraId="3DBD73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7653E66C">
            <w:pPr>
              <w:pStyle w:val="36"/>
              <w:jc w:val="cente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序</w:t>
            </w:r>
          </w:p>
          <w:p w14:paraId="6780CDE9">
            <w:pPr>
              <w:pStyle w:val="36"/>
              <w:jc w:val="cente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号</w:t>
            </w:r>
          </w:p>
        </w:tc>
        <w:tc>
          <w:tcPr>
            <w:tcW w:w="1709" w:type="dxa"/>
            <w:tcBorders>
              <w:top w:val="single" w:color="auto" w:sz="4" w:space="0"/>
              <w:left w:val="single" w:color="auto" w:sz="4" w:space="0"/>
              <w:bottom w:val="single" w:color="auto" w:sz="4" w:space="0"/>
              <w:right w:val="single" w:color="auto" w:sz="4" w:space="0"/>
            </w:tcBorders>
            <w:noWrap/>
            <w:vAlign w:val="center"/>
          </w:tcPr>
          <w:p w14:paraId="49AE4A42">
            <w:pPr>
              <w:pStyle w:val="36"/>
              <w:jc w:val="cente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内容</w:t>
            </w:r>
          </w:p>
        </w:tc>
        <w:tc>
          <w:tcPr>
            <w:tcW w:w="7544" w:type="dxa"/>
            <w:tcBorders>
              <w:top w:val="single" w:color="auto" w:sz="4" w:space="0"/>
              <w:left w:val="single" w:color="auto" w:sz="4" w:space="0"/>
              <w:bottom w:val="single" w:color="auto" w:sz="4" w:space="0"/>
              <w:right w:val="single" w:color="auto" w:sz="4" w:space="0"/>
            </w:tcBorders>
            <w:noWrap/>
            <w:vAlign w:val="center"/>
          </w:tcPr>
          <w:p w14:paraId="42F4043B">
            <w:pPr>
              <w:pStyle w:val="36"/>
              <w:tabs>
                <w:tab w:val="left" w:pos="1180"/>
              </w:tabs>
              <w:jc w:val="cente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说明与要求</w:t>
            </w:r>
          </w:p>
        </w:tc>
      </w:tr>
      <w:tr w14:paraId="31F70F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5202EDA9">
            <w:pPr>
              <w:pStyle w:val="36"/>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w:t>
            </w:r>
          </w:p>
        </w:tc>
        <w:tc>
          <w:tcPr>
            <w:tcW w:w="1709" w:type="dxa"/>
            <w:tcBorders>
              <w:top w:val="single" w:color="auto" w:sz="4" w:space="0"/>
              <w:left w:val="single" w:color="auto" w:sz="4" w:space="0"/>
              <w:bottom w:val="single" w:color="auto" w:sz="4" w:space="0"/>
              <w:right w:val="single" w:color="auto" w:sz="4" w:space="0"/>
            </w:tcBorders>
            <w:noWrap/>
            <w:vAlign w:val="center"/>
          </w:tcPr>
          <w:p w14:paraId="274784CB">
            <w:pPr>
              <w:pStyle w:val="36"/>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项目</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名称</w:t>
            </w:r>
          </w:p>
        </w:tc>
        <w:tc>
          <w:tcPr>
            <w:tcW w:w="7544" w:type="dxa"/>
            <w:tcBorders>
              <w:top w:val="single" w:color="auto" w:sz="4" w:space="0"/>
              <w:left w:val="single" w:color="auto" w:sz="4" w:space="0"/>
              <w:bottom w:val="single" w:color="auto" w:sz="4" w:space="0"/>
              <w:right w:val="single" w:color="auto" w:sz="4" w:space="0"/>
            </w:tcBorders>
            <w:noWrap/>
            <w:vAlign w:val="top"/>
          </w:tcPr>
          <w:p w14:paraId="555CDF75">
            <w:pPr>
              <w:pStyle w:val="39"/>
              <w:wordWrap w:val="0"/>
              <w:adjustRightInd w:val="0"/>
              <w:snapToGrid w:val="0"/>
              <w:spacing w:line="360" w:lineRule="auto"/>
              <w:jc w:val="both"/>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翁源县城镇（江尾镇、坝仔镇、周陂镇、新江镇、铁龙镇）污水管网提质增效项目-坝仔镇城镇污水管网提质增效项目设计施工总承包</w:t>
            </w:r>
          </w:p>
        </w:tc>
      </w:tr>
      <w:tr w14:paraId="667E27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1212849E">
            <w:pPr>
              <w:pStyle w:val="36"/>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2</w:t>
            </w:r>
          </w:p>
        </w:tc>
        <w:tc>
          <w:tcPr>
            <w:tcW w:w="1709" w:type="dxa"/>
            <w:tcBorders>
              <w:top w:val="single" w:color="auto" w:sz="4" w:space="0"/>
              <w:left w:val="single" w:color="auto" w:sz="4" w:space="0"/>
              <w:bottom w:val="single" w:color="auto" w:sz="4" w:space="0"/>
              <w:right w:val="single" w:color="auto" w:sz="4" w:space="0"/>
            </w:tcBorders>
            <w:noWrap/>
            <w:vAlign w:val="center"/>
          </w:tcPr>
          <w:p w14:paraId="2DC1AF30">
            <w:pPr>
              <w:pStyle w:val="36"/>
              <w:jc w:val="cente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项目业主</w:t>
            </w:r>
          </w:p>
        </w:tc>
        <w:tc>
          <w:tcPr>
            <w:tcW w:w="7544" w:type="dxa"/>
            <w:tcBorders>
              <w:top w:val="single" w:color="auto" w:sz="4" w:space="0"/>
              <w:left w:val="single" w:color="auto" w:sz="4" w:space="0"/>
              <w:bottom w:val="single" w:color="auto" w:sz="4" w:space="0"/>
              <w:right w:val="single" w:color="auto" w:sz="4" w:space="0"/>
            </w:tcBorders>
            <w:noWrap/>
            <w:vAlign w:val="center"/>
          </w:tcPr>
          <w:p w14:paraId="28071C5D">
            <w:pPr>
              <w:pStyle w:val="36"/>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翁源县龙腾城市建设投资经营有限公司</w:t>
            </w:r>
          </w:p>
        </w:tc>
      </w:tr>
      <w:tr w14:paraId="1B5E56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64CE3855">
            <w:pPr>
              <w:wordWrap w:val="0"/>
              <w:adjustRightInd w:val="0"/>
              <w:snapToGrid w:val="0"/>
              <w:spacing w:line="360" w:lineRule="auto"/>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3</w:t>
            </w:r>
          </w:p>
        </w:tc>
        <w:tc>
          <w:tcPr>
            <w:tcW w:w="1709" w:type="dxa"/>
            <w:tcBorders>
              <w:top w:val="single" w:color="auto" w:sz="4" w:space="0"/>
              <w:left w:val="single" w:color="auto" w:sz="4" w:space="0"/>
              <w:bottom w:val="single" w:color="auto" w:sz="4" w:space="0"/>
              <w:right w:val="single" w:color="auto" w:sz="4" w:space="0"/>
            </w:tcBorders>
            <w:noWrap/>
            <w:vAlign w:val="center"/>
          </w:tcPr>
          <w:p w14:paraId="7DF55BAA">
            <w:pPr>
              <w:pStyle w:val="36"/>
              <w:jc w:val="cente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项目批准部门</w:t>
            </w:r>
          </w:p>
        </w:tc>
        <w:tc>
          <w:tcPr>
            <w:tcW w:w="7544" w:type="dxa"/>
            <w:tcBorders>
              <w:top w:val="single" w:color="auto" w:sz="4" w:space="0"/>
              <w:left w:val="single" w:color="auto" w:sz="4" w:space="0"/>
              <w:bottom w:val="single" w:color="auto" w:sz="4" w:space="0"/>
              <w:right w:val="single" w:color="auto" w:sz="4" w:space="0"/>
            </w:tcBorders>
            <w:noWrap/>
            <w:vAlign w:val="center"/>
          </w:tcPr>
          <w:p w14:paraId="5F2090D9">
            <w:pPr>
              <w:pStyle w:val="36"/>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翁源县发展和改革局</w:t>
            </w:r>
          </w:p>
        </w:tc>
      </w:tr>
      <w:tr w14:paraId="031EF7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624D266A">
            <w:pPr>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4</w:t>
            </w:r>
          </w:p>
        </w:tc>
        <w:tc>
          <w:tcPr>
            <w:tcW w:w="1709" w:type="dxa"/>
            <w:tcBorders>
              <w:top w:val="single" w:color="auto" w:sz="4" w:space="0"/>
              <w:left w:val="single" w:color="auto" w:sz="4" w:space="0"/>
              <w:bottom w:val="single" w:color="auto" w:sz="4" w:space="0"/>
              <w:right w:val="single" w:color="auto" w:sz="4" w:space="0"/>
            </w:tcBorders>
            <w:noWrap/>
            <w:vAlign w:val="center"/>
          </w:tcPr>
          <w:p w14:paraId="6C46B387">
            <w:pPr>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项目批准文号</w:t>
            </w:r>
          </w:p>
        </w:tc>
        <w:tc>
          <w:tcPr>
            <w:tcW w:w="7544" w:type="dxa"/>
            <w:tcBorders>
              <w:top w:val="single" w:color="auto" w:sz="4" w:space="0"/>
              <w:left w:val="single" w:color="auto" w:sz="4" w:space="0"/>
              <w:bottom w:val="single" w:color="auto" w:sz="4" w:space="0"/>
              <w:right w:val="single" w:color="auto" w:sz="4" w:space="0"/>
            </w:tcBorders>
            <w:noWrap/>
            <w:vAlign w:val="center"/>
          </w:tcPr>
          <w:p w14:paraId="16174243">
            <w:pPr>
              <w:wordWrap w:val="0"/>
              <w:adjustRightInd w:val="0"/>
              <w:snapToGrid w:val="0"/>
              <w:spacing w:line="360" w:lineRule="auto"/>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翁发改投审〔2025〕33号</w:t>
            </w:r>
          </w:p>
        </w:tc>
      </w:tr>
      <w:tr w14:paraId="6DB8AD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389E08B8">
            <w:pPr>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5</w:t>
            </w:r>
          </w:p>
        </w:tc>
        <w:tc>
          <w:tcPr>
            <w:tcW w:w="1709" w:type="dxa"/>
            <w:tcBorders>
              <w:top w:val="single" w:color="auto" w:sz="4" w:space="0"/>
              <w:left w:val="single" w:color="auto" w:sz="4" w:space="0"/>
              <w:bottom w:val="single" w:color="auto" w:sz="4" w:space="0"/>
              <w:right w:val="single" w:color="auto" w:sz="4" w:space="0"/>
            </w:tcBorders>
            <w:noWrap/>
            <w:vAlign w:val="center"/>
          </w:tcPr>
          <w:p w14:paraId="09AE85F7">
            <w:pPr>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项目代码</w:t>
            </w:r>
          </w:p>
        </w:tc>
        <w:tc>
          <w:tcPr>
            <w:tcW w:w="7544" w:type="dxa"/>
            <w:tcBorders>
              <w:top w:val="single" w:color="auto" w:sz="4" w:space="0"/>
              <w:left w:val="single" w:color="auto" w:sz="4" w:space="0"/>
              <w:bottom w:val="single" w:color="auto" w:sz="4" w:space="0"/>
              <w:right w:val="single" w:color="auto" w:sz="4" w:space="0"/>
            </w:tcBorders>
            <w:noWrap/>
            <w:vAlign w:val="center"/>
          </w:tcPr>
          <w:p w14:paraId="7732AE4D">
            <w:pPr>
              <w:wordWrap w:val="0"/>
              <w:adjustRightInd w:val="0"/>
              <w:snapToGrid w:val="0"/>
              <w:spacing w:line="360" w:lineRule="auto"/>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2508-440229-04-01-619965</w:t>
            </w:r>
          </w:p>
        </w:tc>
      </w:tr>
      <w:tr w14:paraId="7CB769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2C6D0B39">
            <w:pPr>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6</w:t>
            </w:r>
          </w:p>
        </w:tc>
        <w:tc>
          <w:tcPr>
            <w:tcW w:w="1709" w:type="dxa"/>
            <w:tcBorders>
              <w:top w:val="single" w:color="auto" w:sz="4" w:space="0"/>
              <w:left w:val="single" w:color="auto" w:sz="4" w:space="0"/>
              <w:bottom w:val="single" w:color="auto" w:sz="4" w:space="0"/>
              <w:right w:val="single" w:color="auto" w:sz="4" w:space="0"/>
            </w:tcBorders>
            <w:noWrap/>
            <w:vAlign w:val="center"/>
          </w:tcPr>
          <w:p w14:paraId="3DD3F795">
            <w:pPr>
              <w:wordWrap w:val="0"/>
              <w:adjustRightInd w:val="0"/>
              <w:snapToGrid w:val="0"/>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资金来源</w:t>
            </w:r>
          </w:p>
          <w:p w14:paraId="7533B92D">
            <w:pPr>
              <w:wordWrap w:val="0"/>
              <w:adjustRightInd w:val="0"/>
              <w:snapToGrid w:val="0"/>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及出资比例</w:t>
            </w:r>
          </w:p>
        </w:tc>
        <w:tc>
          <w:tcPr>
            <w:tcW w:w="7544" w:type="dxa"/>
            <w:tcBorders>
              <w:top w:val="single" w:color="auto" w:sz="4" w:space="0"/>
              <w:left w:val="single" w:color="auto" w:sz="4" w:space="0"/>
              <w:bottom w:val="single" w:color="auto" w:sz="4" w:space="0"/>
              <w:right w:val="single" w:color="auto" w:sz="4" w:space="0"/>
            </w:tcBorders>
            <w:noWrap/>
            <w:vAlign w:val="center"/>
          </w:tcPr>
          <w:p w14:paraId="75701D46">
            <w:pPr>
              <w:pStyle w:val="36"/>
              <w:tabs>
                <w:tab w:val="left" w:pos="1180"/>
              </w:tabs>
              <w:jc w:val="left"/>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拟申请上级财政资金及地方财政配套资金安排解决，100%</w:t>
            </w:r>
          </w:p>
        </w:tc>
      </w:tr>
      <w:tr w14:paraId="2FE462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63C10519">
            <w:pPr>
              <w:pStyle w:val="36"/>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7</w:t>
            </w:r>
          </w:p>
        </w:tc>
        <w:tc>
          <w:tcPr>
            <w:tcW w:w="1709" w:type="dxa"/>
            <w:tcBorders>
              <w:top w:val="single" w:color="auto" w:sz="4" w:space="0"/>
              <w:left w:val="single" w:color="auto" w:sz="4" w:space="0"/>
              <w:bottom w:val="single" w:color="auto" w:sz="4" w:space="0"/>
              <w:right w:val="single" w:color="auto" w:sz="4" w:space="0"/>
            </w:tcBorders>
            <w:noWrap/>
            <w:vAlign w:val="center"/>
          </w:tcPr>
          <w:p w14:paraId="30F2C763">
            <w:pPr>
              <w:pStyle w:val="36"/>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招标人</w:t>
            </w:r>
          </w:p>
        </w:tc>
        <w:tc>
          <w:tcPr>
            <w:tcW w:w="7544" w:type="dxa"/>
            <w:tcBorders>
              <w:top w:val="single" w:color="auto" w:sz="4" w:space="0"/>
              <w:left w:val="single" w:color="auto" w:sz="4" w:space="0"/>
              <w:bottom w:val="single" w:color="auto" w:sz="4" w:space="0"/>
              <w:right w:val="single" w:color="auto" w:sz="4" w:space="0"/>
            </w:tcBorders>
            <w:noWrap/>
            <w:vAlign w:val="center"/>
          </w:tcPr>
          <w:p w14:paraId="7D027C52">
            <w:pPr>
              <w:pStyle w:val="36"/>
              <w:rPr>
                <w:rFonts w:hint="eastAsia" w:asciiTheme="minorEastAsia" w:hAnsiTheme="minorEastAsia" w:eastAsiaTheme="minorEastAsia" w:cstheme="minorEastAsia"/>
                <w:bCs/>
                <w:color w:val="000000" w:themeColor="text1"/>
                <w:sz w:val="24"/>
                <w:szCs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翁源县坝仔镇人民政府</w:t>
            </w:r>
          </w:p>
        </w:tc>
      </w:tr>
      <w:tr w14:paraId="341DB3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60EF99DD">
            <w:pPr>
              <w:wordWrap w:val="0"/>
              <w:adjustRightInd w:val="0"/>
              <w:snapToGrid w:val="0"/>
              <w:spacing w:line="360" w:lineRule="auto"/>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8</w:t>
            </w:r>
          </w:p>
        </w:tc>
        <w:tc>
          <w:tcPr>
            <w:tcW w:w="1709" w:type="dxa"/>
            <w:tcBorders>
              <w:top w:val="single" w:color="auto" w:sz="4" w:space="0"/>
              <w:left w:val="single" w:color="auto" w:sz="4" w:space="0"/>
              <w:bottom w:val="single" w:color="auto" w:sz="4" w:space="0"/>
              <w:right w:val="single" w:color="auto" w:sz="4" w:space="0"/>
            </w:tcBorders>
            <w:noWrap/>
            <w:vAlign w:val="center"/>
          </w:tcPr>
          <w:p w14:paraId="63B486E7">
            <w:pPr>
              <w:wordWrap w:val="0"/>
              <w:adjustRightInd w:val="0"/>
              <w:snapToGrid w:val="0"/>
              <w:spacing w:line="360" w:lineRule="auto"/>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招标代理机构</w:t>
            </w:r>
          </w:p>
        </w:tc>
        <w:tc>
          <w:tcPr>
            <w:tcW w:w="7544" w:type="dxa"/>
            <w:tcBorders>
              <w:top w:val="single" w:color="auto" w:sz="4" w:space="0"/>
              <w:left w:val="single" w:color="auto" w:sz="4" w:space="0"/>
              <w:bottom w:val="single" w:color="auto" w:sz="4" w:space="0"/>
              <w:right w:val="single" w:color="auto" w:sz="4" w:space="0"/>
            </w:tcBorders>
            <w:noWrap/>
            <w:vAlign w:val="center"/>
          </w:tcPr>
          <w:p w14:paraId="16F133CA">
            <w:pPr>
              <w:pStyle w:val="36"/>
              <w:jc w:val="left"/>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广东宝骏工程咨询有限公司</w:t>
            </w:r>
          </w:p>
        </w:tc>
      </w:tr>
      <w:tr w14:paraId="2BF5AC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7341781E">
            <w:pPr>
              <w:pStyle w:val="36"/>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9</w:t>
            </w:r>
          </w:p>
        </w:tc>
        <w:tc>
          <w:tcPr>
            <w:tcW w:w="1709" w:type="dxa"/>
            <w:tcBorders>
              <w:top w:val="single" w:color="auto" w:sz="4" w:space="0"/>
              <w:left w:val="single" w:color="auto" w:sz="4" w:space="0"/>
              <w:bottom w:val="single" w:color="auto" w:sz="4" w:space="0"/>
              <w:right w:val="single" w:color="auto" w:sz="4" w:space="0"/>
            </w:tcBorders>
            <w:noWrap/>
            <w:vAlign w:val="center"/>
          </w:tcPr>
          <w:p w14:paraId="3F8C2B89">
            <w:pPr>
              <w:pStyle w:val="36"/>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项目总投资</w:t>
            </w:r>
          </w:p>
        </w:tc>
        <w:tc>
          <w:tcPr>
            <w:tcW w:w="7544" w:type="dxa"/>
            <w:tcBorders>
              <w:top w:val="single" w:color="auto" w:sz="4" w:space="0"/>
              <w:left w:val="single" w:color="auto" w:sz="4" w:space="0"/>
              <w:bottom w:val="single" w:color="auto" w:sz="4" w:space="0"/>
              <w:right w:val="single" w:color="auto" w:sz="4" w:space="0"/>
            </w:tcBorders>
            <w:noWrap/>
            <w:vAlign w:val="center"/>
          </w:tcPr>
          <w:p w14:paraId="1F31922D">
            <w:pPr>
              <w:pStyle w:val="36"/>
              <w:jc w:val="left"/>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本次招标概算总投资2431.66万元，其中:建安工程费约2024.10万元，设计费约71.94万元。</w:t>
            </w:r>
          </w:p>
        </w:tc>
      </w:tr>
      <w:tr w14:paraId="35CAAE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1FF009B5">
            <w:pPr>
              <w:pStyle w:val="36"/>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10</w:t>
            </w:r>
          </w:p>
        </w:tc>
        <w:tc>
          <w:tcPr>
            <w:tcW w:w="1709" w:type="dxa"/>
            <w:tcBorders>
              <w:top w:val="single" w:color="auto" w:sz="4" w:space="0"/>
              <w:left w:val="single" w:color="auto" w:sz="4" w:space="0"/>
              <w:bottom w:val="single" w:color="auto" w:sz="4" w:space="0"/>
              <w:right w:val="single" w:color="auto" w:sz="4" w:space="0"/>
            </w:tcBorders>
            <w:noWrap/>
            <w:vAlign w:val="center"/>
          </w:tcPr>
          <w:p w14:paraId="2DA831A3">
            <w:pPr>
              <w:pStyle w:val="36"/>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建设地点</w:t>
            </w:r>
          </w:p>
        </w:tc>
        <w:tc>
          <w:tcPr>
            <w:tcW w:w="7544" w:type="dxa"/>
            <w:tcBorders>
              <w:top w:val="single" w:color="auto" w:sz="4" w:space="0"/>
              <w:left w:val="single" w:color="auto" w:sz="4" w:space="0"/>
              <w:bottom w:val="single" w:color="auto" w:sz="4" w:space="0"/>
              <w:right w:val="single" w:color="auto" w:sz="4" w:space="0"/>
            </w:tcBorders>
            <w:noWrap/>
            <w:vAlign w:val="center"/>
          </w:tcPr>
          <w:p w14:paraId="48010CA5">
            <w:pPr>
              <w:pStyle w:val="36"/>
              <w:rPr>
                <w:rFonts w:hint="default"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翁源县</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坝仔镇</w:t>
            </w:r>
            <w:r>
              <w:rPr>
                <w:rFonts w:hint="default"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w:t>
            </w:r>
          </w:p>
        </w:tc>
      </w:tr>
      <w:tr w14:paraId="359E83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7DF3B266">
            <w:pPr>
              <w:pStyle w:val="36"/>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11</w:t>
            </w:r>
          </w:p>
        </w:tc>
        <w:tc>
          <w:tcPr>
            <w:tcW w:w="1709" w:type="dxa"/>
            <w:tcBorders>
              <w:top w:val="single" w:color="auto" w:sz="4" w:space="0"/>
              <w:left w:val="single" w:color="auto" w:sz="4" w:space="0"/>
              <w:bottom w:val="single" w:color="auto" w:sz="4" w:space="0"/>
              <w:right w:val="single" w:color="auto" w:sz="4" w:space="0"/>
            </w:tcBorders>
            <w:noWrap/>
            <w:vAlign w:val="center"/>
          </w:tcPr>
          <w:p w14:paraId="62F59E6B">
            <w:pPr>
              <w:pStyle w:val="36"/>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项目建设内容</w:t>
            </w:r>
          </w:p>
          <w:p w14:paraId="428D692E">
            <w:pPr>
              <w:pStyle w:val="36"/>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和规模</w:t>
            </w:r>
          </w:p>
        </w:tc>
        <w:tc>
          <w:tcPr>
            <w:tcW w:w="7544" w:type="dxa"/>
            <w:tcBorders>
              <w:top w:val="single" w:color="auto" w:sz="4" w:space="0"/>
              <w:left w:val="single" w:color="auto" w:sz="4" w:space="0"/>
              <w:bottom w:val="single" w:color="auto" w:sz="4" w:space="0"/>
              <w:right w:val="single" w:color="auto" w:sz="4" w:space="0"/>
            </w:tcBorders>
            <w:noWrap/>
            <w:vAlign w:val="center"/>
          </w:tcPr>
          <w:p w14:paraId="6C014A3B">
            <w:pPr>
              <w:pStyle w:val="8"/>
              <w:spacing w:before="64" w:line="360" w:lineRule="auto"/>
              <w:ind w:right="96"/>
              <w:jc w:val="both"/>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主要建设内容为新建污水管网，衔接现状管网，完善城镇污水管网系统以及对部分区域雨污分流改造，提升城市生活污水处理厂进水COD、BOD5等的浓度。本次项目拟新建配套管网长度约1.38km，分别沿建设路、坝始路等路段敷设；雨污分流改造长度约4.13km</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w:t>
            </w:r>
          </w:p>
        </w:tc>
      </w:tr>
      <w:tr w14:paraId="604893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5A77891D">
            <w:pPr>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12</w:t>
            </w:r>
          </w:p>
        </w:tc>
        <w:tc>
          <w:tcPr>
            <w:tcW w:w="1709" w:type="dxa"/>
            <w:tcBorders>
              <w:top w:val="single" w:color="auto" w:sz="4" w:space="0"/>
              <w:left w:val="single" w:color="auto" w:sz="4" w:space="0"/>
              <w:bottom w:val="single" w:color="auto" w:sz="4" w:space="0"/>
              <w:right w:val="single" w:color="auto" w:sz="4" w:space="0"/>
            </w:tcBorders>
            <w:noWrap/>
            <w:vAlign w:val="center"/>
          </w:tcPr>
          <w:p w14:paraId="00C6DBEB">
            <w:pPr>
              <w:pStyle w:val="36"/>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招标范围</w:t>
            </w:r>
          </w:p>
          <w:p w14:paraId="28FE0162">
            <w:pPr>
              <w:pStyle w:val="36"/>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p>
        </w:tc>
        <w:tc>
          <w:tcPr>
            <w:tcW w:w="7544" w:type="dxa"/>
            <w:tcBorders>
              <w:top w:val="single" w:color="auto" w:sz="4" w:space="0"/>
              <w:left w:val="single" w:color="auto" w:sz="4" w:space="0"/>
              <w:bottom w:val="single" w:color="auto" w:sz="4" w:space="0"/>
              <w:right w:val="single" w:color="auto" w:sz="4" w:space="0"/>
            </w:tcBorders>
            <w:noWrap/>
            <w:vAlign w:val="center"/>
          </w:tcPr>
          <w:p w14:paraId="73B9AD67">
            <w:pPr>
              <w:pStyle w:val="36"/>
              <w:ind w:firstLine="240" w:firstLineChars="100"/>
              <w:jc w:val="lef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本工程所涉及的内容包括但不限于以下（1）</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2</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w:t>
            </w:r>
          </w:p>
          <w:p w14:paraId="056307B2">
            <w:pPr>
              <w:pStyle w:val="36"/>
              <w:numPr>
                <w:ilvl w:val="0"/>
                <w:numId w:val="0"/>
              </w:numPr>
              <w:ind w:leftChars="0" w:firstLine="240" w:firstLineChars="100"/>
              <w:jc w:val="lef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1）</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设计部分：</w:t>
            </w:r>
            <w:r>
              <w:rPr>
                <w:rFonts w:hint="eastAsia" w:asciiTheme="minorEastAsia" w:hAnsiTheme="minorEastAsia" w:eastAsiaTheme="minorEastAsia" w:cstheme="minorEastAsia"/>
                <w:snapToGrid w:val="0"/>
                <w:color w:val="000000" w:themeColor="text1"/>
                <w:kern w:val="0"/>
                <w:sz w:val="24"/>
                <w:szCs w:val="24"/>
                <w:highlight w:val="none"/>
                <w:lang w:val="zh-CN"/>
                <w14:textFill>
                  <w14:solidFill>
                    <w14:schemeClr w14:val="tx1"/>
                  </w14:solidFill>
                </w14:textFill>
              </w:rPr>
              <w:t>确保项目顺利实施的报建、报批、施工等所需的所有建安工程等设计文件。包括但不限于：</w:t>
            </w:r>
            <w:r>
              <w:rPr>
                <w:rFonts w:hint="eastAsia" w:asciiTheme="minorEastAsia" w:hAnsiTheme="minorEastAsia" w:eastAsiaTheme="minorEastAsia" w:cstheme="minorEastAsia"/>
                <w:snapToGrid w:val="0"/>
                <w:color w:val="000000" w:themeColor="text1"/>
                <w:kern w:val="0"/>
                <w:sz w:val="24"/>
                <w:szCs w:val="24"/>
                <w:highlight w:val="none"/>
                <w:lang w:val="zh-CN"/>
                <w14:textFill>
                  <w14:solidFill>
                    <w14:schemeClr w14:val="tx1"/>
                  </w14:solidFill>
                </w14:textFill>
              </w:rPr>
              <w:t>施工图设计、</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施工图预算（含工程量清单）</w:t>
            </w: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提供项目所需相关检测项的明细表和危险性较大的分部分项工程清单及保障安全相关说明、</w:t>
            </w:r>
            <w:r>
              <w:rPr>
                <w:rFonts w:hint="eastAsia" w:asciiTheme="minorEastAsia" w:hAnsiTheme="minorEastAsia" w:eastAsiaTheme="minorEastAsia" w:cstheme="minorEastAsia"/>
                <w:snapToGrid w:val="0"/>
                <w:color w:val="000000" w:themeColor="text1"/>
                <w:kern w:val="0"/>
                <w:sz w:val="24"/>
                <w:szCs w:val="24"/>
                <w:highlight w:val="none"/>
                <w:lang w:val="zh-CN"/>
                <w14:textFill>
                  <w14:solidFill>
                    <w14:schemeClr w14:val="tx1"/>
                  </w14:solidFill>
                </w14:textFill>
              </w:rPr>
              <w:t>工地现场服务、验收过程中的设计指导及配合阶段验收及档案整理、协助施工单位编制竣工图及后续设计服务工作</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w:t>
            </w:r>
          </w:p>
          <w:p w14:paraId="207314B3">
            <w:pPr>
              <w:pStyle w:val="36"/>
              <w:ind w:firstLine="241" w:firstLineChars="100"/>
              <w:jc w:val="lef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 w:val="24"/>
                <w:szCs w:val="24"/>
                <w:highlight w:val="none"/>
                <w14:textFill>
                  <w14:solidFill>
                    <w14:schemeClr w14:val="tx1"/>
                  </w14:solidFill>
                </w14:textFill>
              </w:rPr>
              <w:t>注：设计文件深度要求必须满足</w:t>
            </w:r>
            <w:r>
              <w:rPr>
                <w:rFonts w:hint="eastAsia" w:asciiTheme="minorEastAsia" w:hAnsiTheme="minorEastAsia" w:eastAsiaTheme="minorEastAsia" w:cstheme="minorEastAsia"/>
                <w:b/>
                <w:bCs/>
                <w:snapToGrid w:val="0"/>
                <w:color w:val="000000" w:themeColor="text1"/>
                <w:kern w:val="0"/>
                <w:sz w:val="24"/>
                <w:szCs w:val="24"/>
                <w:highlight w:val="none"/>
                <w:lang w:eastAsia="zh-CN"/>
                <w14:textFill>
                  <w14:solidFill>
                    <w14:schemeClr w14:val="tx1"/>
                  </w14:solidFill>
                </w14:textFill>
              </w:rPr>
              <w:t>住房和城乡建设部</w:t>
            </w:r>
            <w:r>
              <w:rPr>
                <w:rFonts w:hint="eastAsia" w:asciiTheme="minorEastAsia" w:hAnsiTheme="minorEastAsia" w:eastAsiaTheme="minorEastAsia" w:cstheme="minorEastAsia"/>
                <w:b/>
                <w:bCs/>
                <w:snapToGrid w:val="0"/>
                <w:color w:val="000000" w:themeColor="text1"/>
                <w:kern w:val="0"/>
                <w:sz w:val="24"/>
                <w:szCs w:val="24"/>
                <w:highlight w:val="none"/>
                <w14:textFill>
                  <w14:solidFill>
                    <w14:schemeClr w14:val="tx1"/>
                  </w14:solidFill>
                </w14:textFill>
              </w:rPr>
              <w:t>《市政公用工程设计文件编制深度规定（20</w:t>
            </w:r>
            <w:r>
              <w:rPr>
                <w:rFonts w:hint="eastAsia" w:asciiTheme="minorEastAsia" w:hAnsiTheme="minorEastAsia" w:eastAsiaTheme="minorEastAsia" w:cstheme="minorEastAsia"/>
                <w:b/>
                <w:bCs/>
                <w:snapToGrid w:val="0"/>
                <w:color w:val="000000" w:themeColor="text1"/>
                <w:kern w:val="0"/>
                <w:sz w:val="24"/>
                <w:szCs w:val="24"/>
                <w:highlight w:val="none"/>
                <w:lang w:val="en-US" w:eastAsia="zh-CN"/>
                <w14:textFill>
                  <w14:solidFill>
                    <w14:schemeClr w14:val="tx1"/>
                  </w14:solidFill>
                </w14:textFill>
              </w:rPr>
              <w:t>25</w:t>
            </w:r>
            <w:r>
              <w:rPr>
                <w:rFonts w:hint="eastAsia" w:asciiTheme="minorEastAsia" w:hAnsiTheme="minorEastAsia" w:eastAsiaTheme="minorEastAsia" w:cstheme="minorEastAsia"/>
                <w:b/>
                <w:bCs/>
                <w:snapToGrid w:val="0"/>
                <w:color w:val="000000" w:themeColor="text1"/>
                <w:kern w:val="0"/>
                <w:sz w:val="24"/>
                <w:szCs w:val="24"/>
                <w:highlight w:val="none"/>
                <w14:textFill>
                  <w14:solidFill>
                    <w14:schemeClr w14:val="tx1"/>
                  </w14:solidFill>
                </w14:textFill>
              </w:rPr>
              <w:t>版）》的要求，各专业还应该满足各专业工程设计文件编制深度规范或规定的要求</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w:t>
            </w:r>
          </w:p>
          <w:p w14:paraId="4D5FC0A0">
            <w:pPr>
              <w:pStyle w:val="36"/>
              <w:ind w:firstLine="240" w:firstLineChars="100"/>
              <w:jc w:val="left"/>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2</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）施工部分：设计文件及工程量清单范围内的所有工程及配套工程、设施等的施工</w:t>
            </w:r>
            <w:r>
              <w:rPr>
                <w:rFonts w:hint="eastAsia" w:hAnsi="宋体" w:cs="Calibri"/>
                <w:bCs/>
                <w:color w:val="000000" w:themeColor="text1"/>
                <w:sz w:val="24"/>
                <w:szCs w:val="24"/>
                <w:highlight w:val="none"/>
                <w:lang w:val="zh-CN"/>
                <w14:textFill>
                  <w14:solidFill>
                    <w14:schemeClr w14:val="tx1"/>
                  </w14:solidFill>
                </w14:textFill>
              </w:rPr>
              <w:t>（含竣工验收资料编制整理、备案等），完成并配合发包人结算、负责工程缺陷保修以及发包人要求由施工单位完成的其他工作（发包人另行委托其他单位负责实施的工作内容除外，但需提供一系列协调及配合服务）等</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w:t>
            </w:r>
          </w:p>
        </w:tc>
      </w:tr>
      <w:tr w14:paraId="4CDE6A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64BA5D47">
            <w:pPr>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13</w:t>
            </w:r>
          </w:p>
        </w:tc>
        <w:tc>
          <w:tcPr>
            <w:tcW w:w="1709" w:type="dxa"/>
            <w:tcBorders>
              <w:top w:val="single" w:color="auto" w:sz="4" w:space="0"/>
              <w:left w:val="single" w:color="auto" w:sz="4" w:space="0"/>
              <w:bottom w:val="single" w:color="auto" w:sz="4" w:space="0"/>
              <w:right w:val="single" w:color="auto" w:sz="4" w:space="0"/>
            </w:tcBorders>
            <w:noWrap/>
            <w:vAlign w:val="center"/>
          </w:tcPr>
          <w:p w14:paraId="0B2F559C">
            <w:pPr>
              <w:wordWrap w:val="0"/>
              <w:adjustRightInd w:val="0"/>
              <w:snapToGrid w:val="0"/>
              <w:spacing w:line="360" w:lineRule="auto"/>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标段划分</w:t>
            </w:r>
          </w:p>
        </w:tc>
        <w:tc>
          <w:tcPr>
            <w:tcW w:w="7544" w:type="dxa"/>
            <w:tcBorders>
              <w:top w:val="single" w:color="auto" w:sz="4" w:space="0"/>
              <w:left w:val="single" w:color="auto" w:sz="4" w:space="0"/>
              <w:bottom w:val="single" w:color="auto" w:sz="4" w:space="0"/>
              <w:right w:val="single" w:color="auto" w:sz="4" w:space="0"/>
            </w:tcBorders>
            <w:noWrap/>
            <w:vAlign w:val="center"/>
          </w:tcPr>
          <w:p w14:paraId="17667584">
            <w:pPr>
              <w:wordWrap w:val="0"/>
              <w:adjustRightInd w:val="0"/>
              <w:snapToGrid w:val="0"/>
              <w:spacing w:line="360" w:lineRule="auto"/>
              <w:ind w:firstLine="240" w:firstLineChars="100"/>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本招标项目不划分标段。</w:t>
            </w:r>
          </w:p>
        </w:tc>
      </w:tr>
      <w:tr w14:paraId="52644D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671DC62B">
            <w:pPr>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14</w:t>
            </w:r>
          </w:p>
        </w:tc>
        <w:tc>
          <w:tcPr>
            <w:tcW w:w="1709" w:type="dxa"/>
            <w:tcBorders>
              <w:top w:val="single" w:color="auto" w:sz="4" w:space="0"/>
              <w:left w:val="single" w:color="auto" w:sz="4" w:space="0"/>
              <w:bottom w:val="single" w:color="auto" w:sz="4" w:space="0"/>
              <w:right w:val="single" w:color="auto" w:sz="4" w:space="0"/>
            </w:tcBorders>
            <w:noWrap/>
            <w:vAlign w:val="center"/>
          </w:tcPr>
          <w:p w14:paraId="215D7159">
            <w:pPr>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工期</w:t>
            </w:r>
          </w:p>
        </w:tc>
        <w:tc>
          <w:tcPr>
            <w:tcW w:w="7544" w:type="dxa"/>
            <w:tcBorders>
              <w:top w:val="single" w:color="auto" w:sz="4" w:space="0"/>
              <w:left w:val="single" w:color="auto" w:sz="4" w:space="0"/>
              <w:bottom w:val="single" w:color="auto" w:sz="4" w:space="0"/>
              <w:right w:val="single" w:color="auto" w:sz="4" w:space="0"/>
            </w:tcBorders>
            <w:noWrap/>
            <w:vAlign w:val="center"/>
          </w:tcPr>
          <w:p w14:paraId="24DE7874">
            <w:pPr>
              <w:wordWrap w:val="0"/>
              <w:adjustRightInd w:val="0"/>
              <w:snapToGrid w:val="0"/>
              <w:spacing w:line="360" w:lineRule="auto"/>
              <w:ind w:firstLine="240" w:firstLineChars="100"/>
              <w:jc w:val="lef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本项目设计、施工总工期</w:t>
            </w:r>
            <w:r>
              <w:rPr>
                <w:rFonts w:hint="eastAsia" w:asciiTheme="minorEastAsia" w:hAnsiTheme="minorEastAsia" w:eastAsiaTheme="minorEastAsia" w:cstheme="minorEastAsia"/>
                <w:snapToGrid w:val="0"/>
                <w:color w:val="000000" w:themeColor="text1"/>
                <w:kern w:val="0"/>
                <w:sz w:val="24"/>
                <w:szCs w:val="24"/>
                <w:highlight w:val="none"/>
                <w:u w:val="single"/>
                <w:lang w:val="en-US" w:eastAsia="zh-CN"/>
                <w14:textFill>
                  <w14:solidFill>
                    <w14:schemeClr w14:val="tx1"/>
                  </w14:solidFill>
                </w14:textFill>
              </w:rPr>
              <w:t>180</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日历天，其中：设计工期为</w:t>
            </w:r>
            <w:r>
              <w:rPr>
                <w:rFonts w:hint="eastAsia" w:asciiTheme="minorEastAsia" w:hAnsiTheme="minorEastAsia" w:eastAsiaTheme="minorEastAsia" w:cstheme="minorEastAsia"/>
                <w:snapToGrid w:val="0"/>
                <w:color w:val="000000" w:themeColor="text1"/>
                <w:kern w:val="0"/>
                <w:sz w:val="24"/>
                <w:szCs w:val="24"/>
                <w:highlight w:val="none"/>
                <w:u w:val="single"/>
                <w:lang w:val="en-US" w:eastAsia="zh-CN"/>
                <w14:textFill>
                  <w14:solidFill>
                    <w14:schemeClr w14:val="tx1"/>
                  </w14:solidFill>
                </w14:textFill>
              </w:rPr>
              <w:t>30</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日历天</w:t>
            </w: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施工工期为</w:t>
            </w:r>
            <w:r>
              <w:rPr>
                <w:rFonts w:hint="eastAsia" w:asciiTheme="minorEastAsia" w:hAnsiTheme="minorEastAsia" w:eastAsiaTheme="minorEastAsia" w:cstheme="minorEastAsia"/>
                <w:snapToGrid w:val="0"/>
                <w:color w:val="000000" w:themeColor="text1"/>
                <w:kern w:val="0"/>
                <w:sz w:val="24"/>
                <w:szCs w:val="24"/>
                <w:highlight w:val="none"/>
                <w:u w:val="single"/>
                <w:lang w:val="en-US" w:eastAsia="zh-CN"/>
                <w14:textFill>
                  <w14:solidFill>
                    <w14:schemeClr w14:val="tx1"/>
                  </w14:solidFill>
                </w14:textFill>
              </w:rPr>
              <w:t>150</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日历天。</w:t>
            </w:r>
          </w:p>
        </w:tc>
      </w:tr>
      <w:tr w14:paraId="0A2981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64E5E7E4">
            <w:pPr>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15</w:t>
            </w:r>
          </w:p>
        </w:tc>
        <w:tc>
          <w:tcPr>
            <w:tcW w:w="1709" w:type="dxa"/>
            <w:tcBorders>
              <w:top w:val="single" w:color="auto" w:sz="4" w:space="0"/>
              <w:left w:val="single" w:color="auto" w:sz="4" w:space="0"/>
              <w:bottom w:val="single" w:color="auto" w:sz="4" w:space="0"/>
              <w:right w:val="single" w:color="auto" w:sz="4" w:space="0"/>
            </w:tcBorders>
            <w:noWrap/>
            <w:vAlign w:val="center"/>
          </w:tcPr>
          <w:p w14:paraId="31AA2064">
            <w:pPr>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质量标准</w:t>
            </w:r>
          </w:p>
        </w:tc>
        <w:tc>
          <w:tcPr>
            <w:tcW w:w="7544" w:type="dxa"/>
            <w:tcBorders>
              <w:top w:val="single" w:color="auto" w:sz="4" w:space="0"/>
              <w:left w:val="single" w:color="auto" w:sz="4" w:space="0"/>
              <w:bottom w:val="single" w:color="auto" w:sz="4" w:space="0"/>
              <w:right w:val="single" w:color="auto" w:sz="4" w:space="0"/>
            </w:tcBorders>
            <w:noWrap/>
            <w:vAlign w:val="center"/>
          </w:tcPr>
          <w:p w14:paraId="42A8D1A7">
            <w:pPr>
              <w:pStyle w:val="36"/>
              <w:ind w:firstLine="240" w:firstLineChars="100"/>
              <w:jc w:val="lef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hAnsi="宋体" w:cs="Calibri"/>
                <w:bCs/>
                <w:color w:val="000000" w:themeColor="text1"/>
                <w:sz w:val="24"/>
                <w:szCs w:val="24"/>
                <w:highlight w:val="none"/>
                <w:lang w:val="zh-CN"/>
                <w14:textFill>
                  <w14:solidFill>
                    <w14:schemeClr w14:val="tx1"/>
                  </w14:solidFill>
                </w14:textFill>
              </w:rPr>
              <w:t>（</w:t>
            </w:r>
            <w:r>
              <w:rPr>
                <w:rFonts w:hint="eastAsia" w:hAnsi="宋体" w:cs="Calibri"/>
                <w:bCs/>
                <w:color w:val="000000" w:themeColor="text1"/>
                <w:sz w:val="24"/>
                <w:szCs w:val="24"/>
                <w:highlight w:val="none"/>
                <w:lang w:val="en-US" w:eastAsia="zh-CN"/>
                <w14:textFill>
                  <w14:solidFill>
                    <w14:schemeClr w14:val="tx1"/>
                  </w14:solidFill>
                </w14:textFill>
              </w:rPr>
              <w:t>1）</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设计要求：符合国家或行业颁布的现行有效的有关设计的规范要求，并必须通过有关部门的审查及经有资质的审图机构审查合格。</w:t>
            </w:r>
          </w:p>
          <w:p w14:paraId="1154AF97">
            <w:pPr>
              <w:pStyle w:val="36"/>
              <w:ind w:firstLine="240" w:firstLineChars="100"/>
              <w:jc w:val="left"/>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pPr>
            <w:r>
              <w:rPr>
                <w:rFonts w:hint="eastAsia" w:hAnsi="宋体" w:cs="Calibri"/>
                <w:bCs/>
                <w:color w:val="000000" w:themeColor="text1"/>
                <w:sz w:val="24"/>
                <w:szCs w:val="24"/>
                <w:highlight w:val="none"/>
                <w:lang w:val="zh-CN"/>
                <w14:textFill>
                  <w14:solidFill>
                    <w14:schemeClr w14:val="tx1"/>
                  </w14:solidFill>
                </w14:textFill>
              </w:rPr>
              <w:t>（</w:t>
            </w:r>
            <w:r>
              <w:rPr>
                <w:rFonts w:hint="eastAsia" w:hAnsi="宋体" w:cs="Calibri"/>
                <w:bCs/>
                <w:color w:val="000000" w:themeColor="text1"/>
                <w:sz w:val="24"/>
                <w:szCs w:val="24"/>
                <w:highlight w:val="none"/>
                <w:lang w:val="en-US" w:eastAsia="zh-CN"/>
                <w14:textFill>
                  <w14:solidFill>
                    <w14:schemeClr w14:val="tx1"/>
                  </w14:solidFill>
                </w14:textFill>
              </w:rPr>
              <w:t>2）施工</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要求：施工质量必须达到合格标准</w:t>
            </w: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符合现行国家有关工程施工质量验收规范和标准的要求。</w:t>
            </w:r>
          </w:p>
        </w:tc>
      </w:tr>
      <w:tr w14:paraId="3BDB02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79F774C9">
            <w:pPr>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16</w:t>
            </w:r>
          </w:p>
        </w:tc>
        <w:tc>
          <w:tcPr>
            <w:tcW w:w="1709" w:type="dxa"/>
            <w:tcBorders>
              <w:top w:val="single" w:color="auto" w:sz="4" w:space="0"/>
              <w:left w:val="single" w:color="auto" w:sz="4" w:space="0"/>
              <w:bottom w:val="single" w:color="auto" w:sz="4" w:space="0"/>
              <w:right w:val="single" w:color="auto" w:sz="4" w:space="0"/>
            </w:tcBorders>
            <w:noWrap/>
            <w:vAlign w:val="center"/>
          </w:tcPr>
          <w:p w14:paraId="6A56A3F8">
            <w:pPr>
              <w:pStyle w:val="36"/>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工程最高投标限价</w:t>
            </w:r>
          </w:p>
        </w:tc>
        <w:tc>
          <w:tcPr>
            <w:tcW w:w="7544" w:type="dxa"/>
            <w:tcBorders>
              <w:top w:val="single" w:color="auto" w:sz="4" w:space="0"/>
              <w:left w:val="single" w:color="auto" w:sz="4" w:space="0"/>
              <w:bottom w:val="single" w:color="auto" w:sz="4" w:space="0"/>
              <w:right w:val="single" w:color="auto" w:sz="4" w:space="0"/>
            </w:tcBorders>
            <w:noWrap/>
            <w:vAlign w:val="center"/>
          </w:tcPr>
          <w:p w14:paraId="72241113">
            <w:pPr>
              <w:pStyle w:val="36"/>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本项目的最高投标限价为人民币(大写)：</w:t>
            </w:r>
            <w:r>
              <w:rPr>
                <w:rFonts w:hint="eastAsia" w:asciiTheme="minorEastAsia" w:hAnsiTheme="minorEastAsia" w:eastAsiaTheme="minorEastAsia" w:cstheme="minorEastAsia"/>
                <w:snapToGrid w:val="0"/>
                <w:color w:val="000000" w:themeColor="text1"/>
                <w:kern w:val="0"/>
                <w:sz w:val="24"/>
                <w:szCs w:val="24"/>
                <w:highlight w:val="none"/>
                <w:u w:val="single"/>
                <w:lang w:val="en-US" w:eastAsia="zh-CN"/>
                <w14:textFill>
                  <w14:solidFill>
                    <w14:schemeClr w14:val="tx1"/>
                  </w14:solidFill>
                </w14:textFill>
              </w:rPr>
              <w:t>贰仟零玖拾陆万零肆佰元整</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(小写:</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¥20960400.00元</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Cs w:val="21"/>
                <w:highlight w:val="none"/>
                <w:u w:val="none"/>
                <w:lang w:eastAsia="zh-CN"/>
                <w14:textFill>
                  <w14:solidFill>
                    <w14:schemeClr w14:val="tx1"/>
                  </w14:solidFill>
                </w14:textFill>
              </w:rPr>
              <w:t>其中：</w:t>
            </w:r>
            <w:r>
              <w:rPr>
                <w:rFonts w:hint="eastAsia" w:hAnsi="宋体" w:eastAsia="宋体" w:cs="宋体"/>
                <w:color w:val="000000" w:themeColor="text1"/>
                <w:szCs w:val="21"/>
                <w:highlight w:val="none"/>
                <w:u w:val="none"/>
                <w:lang w:val="en-US" w:eastAsia="zh-CN"/>
                <w14:textFill>
                  <w14:solidFill>
                    <w14:schemeClr w14:val="tx1"/>
                  </w14:solidFill>
                </w14:textFill>
              </w:rPr>
              <w:t>设计</w:t>
            </w:r>
            <w:r>
              <w:rPr>
                <w:rFonts w:hint="eastAsia" w:ascii="宋体" w:hAnsi="宋体" w:eastAsia="宋体" w:cs="宋体"/>
                <w:color w:val="000000" w:themeColor="text1"/>
                <w:szCs w:val="21"/>
                <w:highlight w:val="none"/>
                <w:u w:val="none"/>
                <w:lang w:eastAsia="zh-CN"/>
                <w14:textFill>
                  <w14:solidFill>
                    <w14:schemeClr w14:val="tx1"/>
                  </w14:solidFill>
                </w14:textFill>
              </w:rPr>
              <w:t>费：</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¥719400.00元</w:t>
            </w:r>
            <w:r>
              <w:rPr>
                <w:rFonts w:hint="eastAsia" w:ascii="宋体" w:hAnsi="宋体" w:eastAsia="宋体" w:cs="宋体"/>
                <w:color w:val="000000" w:themeColor="text1"/>
                <w:szCs w:val="21"/>
                <w:highlight w:val="none"/>
                <w:u w:val="none"/>
                <w:lang w:val="en-US" w:eastAsia="zh-CN"/>
                <w14:textFill>
                  <w14:solidFill>
                    <w14:schemeClr w14:val="tx1"/>
                  </w14:solidFill>
                </w14:textFill>
              </w:rPr>
              <w:t>、建安工程费：</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¥20241000.00元</w:t>
            </w:r>
            <w:r>
              <w:rPr>
                <w:rFonts w:hint="eastAsia" w:ascii="宋体" w:hAnsi="宋体" w:eastAsia="宋体" w:cs="宋体"/>
                <w:color w:val="000000" w:themeColor="text1"/>
                <w:szCs w:val="21"/>
                <w:highlight w:val="none"/>
                <w:u w:val="none"/>
                <w14:textFill>
                  <w14:solidFill>
                    <w14:schemeClr w14:val="tx1"/>
                  </w14:solidFill>
                </w14:textFill>
              </w:rPr>
              <w:t>。</w:t>
            </w:r>
          </w:p>
        </w:tc>
      </w:tr>
      <w:tr w14:paraId="5516B5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17FE1282">
            <w:pPr>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17</w:t>
            </w:r>
          </w:p>
        </w:tc>
        <w:tc>
          <w:tcPr>
            <w:tcW w:w="1709" w:type="dxa"/>
            <w:tcBorders>
              <w:top w:val="single" w:color="auto" w:sz="4" w:space="0"/>
              <w:left w:val="single" w:color="auto" w:sz="4" w:space="0"/>
              <w:bottom w:val="single" w:color="auto" w:sz="4" w:space="0"/>
              <w:right w:val="single" w:color="auto" w:sz="4" w:space="0"/>
            </w:tcBorders>
            <w:noWrap/>
            <w:vAlign w:val="center"/>
          </w:tcPr>
          <w:p w14:paraId="2E41CA2A">
            <w:pPr>
              <w:pStyle w:val="36"/>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投标人资格要求</w:t>
            </w:r>
          </w:p>
        </w:tc>
        <w:tc>
          <w:tcPr>
            <w:tcW w:w="7544" w:type="dxa"/>
            <w:tcBorders>
              <w:top w:val="single" w:color="auto" w:sz="4" w:space="0"/>
              <w:left w:val="single" w:color="auto" w:sz="4" w:space="0"/>
              <w:bottom w:val="single" w:color="auto" w:sz="4" w:space="0"/>
              <w:right w:val="single" w:color="auto" w:sz="4" w:space="0"/>
            </w:tcBorders>
            <w:noWrap/>
            <w:vAlign w:val="center"/>
          </w:tcPr>
          <w:p w14:paraId="47D4AE16">
            <w:pPr>
              <w:pStyle w:val="39"/>
              <w:wordWrap w:val="0"/>
              <w:adjustRightInd w:val="0"/>
              <w:snapToGrid w:val="0"/>
              <w:spacing w:line="360" w:lineRule="auto"/>
              <w:ind w:firstLine="480" w:firstLineChars="200"/>
              <w:jc w:val="left"/>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1．</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本次招标接受联合体投标，联合体以一个投标人的身份共同投标。</w:t>
            </w:r>
          </w:p>
          <w:p w14:paraId="3D019FEA">
            <w:pPr>
              <w:pStyle w:val="39"/>
              <w:wordWrap w:val="0"/>
              <w:adjustRightInd w:val="0"/>
              <w:snapToGrid w:val="0"/>
              <w:spacing w:line="360" w:lineRule="auto"/>
              <w:ind w:firstLine="480" w:firstLineChars="200"/>
              <w:jc w:val="left"/>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1.1．联合体成员数量不超过</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个。</w:t>
            </w:r>
          </w:p>
          <w:p w14:paraId="3B1FA3B9">
            <w:pPr>
              <w:pStyle w:val="39"/>
              <w:wordWrap w:val="0"/>
              <w:adjustRightInd w:val="0"/>
              <w:snapToGrid w:val="0"/>
              <w:spacing w:line="360" w:lineRule="auto"/>
              <w:ind w:firstLine="480" w:firstLineChars="200"/>
              <w:jc w:val="left"/>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1.2．联合体各方应按招标文件提供的格式签订联合体协议书，明确联合体牵头人和各方权利义务，并承诺就中标项目向招标人承担连带责任。《联合体协议书》作为投标文件的组成部分向招标人提交。</w:t>
            </w:r>
          </w:p>
          <w:p w14:paraId="3B47EEC0">
            <w:pPr>
              <w:pStyle w:val="39"/>
              <w:wordWrap w:val="0"/>
              <w:adjustRightInd w:val="0"/>
              <w:snapToGrid w:val="0"/>
              <w:spacing w:line="360" w:lineRule="auto"/>
              <w:ind w:firstLine="480" w:firstLineChars="200"/>
              <w:jc w:val="left"/>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1.3．联合体成员单位均应具备拟承担的工作内容（以《联合体协议书》的约定为准）所规定的资格条件。若同一工作内容由两个或两个以上单位共同承担，该项工作内容按照资质等级较低的单位确定联合体资质等级。</w:t>
            </w:r>
          </w:p>
          <w:p w14:paraId="4923642A">
            <w:pPr>
              <w:pStyle w:val="39"/>
              <w:wordWrap w:val="0"/>
              <w:adjustRightInd w:val="0"/>
              <w:snapToGrid w:val="0"/>
              <w:spacing w:line="360" w:lineRule="auto"/>
              <w:ind w:firstLine="480" w:firstLineChars="200"/>
              <w:jc w:val="left"/>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1.4．联合体各方不得再以自己名义单独或参加其他联合体在本招标项目中投标，否则各相关投标均无效。</w:t>
            </w:r>
          </w:p>
          <w:p w14:paraId="1F4147C8">
            <w:pPr>
              <w:pStyle w:val="39"/>
              <w:wordWrap w:val="0"/>
              <w:adjustRightInd w:val="0"/>
              <w:snapToGrid w:val="0"/>
              <w:spacing w:line="360" w:lineRule="auto"/>
              <w:ind w:firstLine="480" w:firstLineChars="200"/>
              <w:jc w:val="left"/>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2．资格资质要求</w:t>
            </w:r>
          </w:p>
          <w:p w14:paraId="0F745CCF">
            <w:pPr>
              <w:pStyle w:val="39"/>
              <w:wordWrap w:val="0"/>
              <w:adjustRightInd w:val="0"/>
              <w:snapToGrid w:val="0"/>
              <w:spacing w:line="360" w:lineRule="auto"/>
              <w:ind w:firstLine="480" w:firstLineChars="200"/>
              <w:jc w:val="left"/>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2.1 投标人须具备独立法人资格，按国家法律经营。</w:t>
            </w:r>
          </w:p>
          <w:p w14:paraId="6B705B2C">
            <w:pPr>
              <w:pStyle w:val="39"/>
              <w:wordWrap w:val="0"/>
              <w:adjustRightInd w:val="0"/>
              <w:snapToGrid w:val="0"/>
              <w:spacing w:line="360" w:lineRule="auto"/>
              <w:ind w:firstLine="480" w:firstLineChars="200"/>
              <w:jc w:val="left"/>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2.2 投标人须持有建设行政主管部门颁发的企业资质证书。</w:t>
            </w:r>
          </w:p>
          <w:p w14:paraId="168A0DFB">
            <w:pPr>
              <w:pStyle w:val="39"/>
              <w:wordWrap w:val="0"/>
              <w:adjustRightInd w:val="0"/>
              <w:snapToGrid w:val="0"/>
              <w:spacing w:line="360" w:lineRule="auto"/>
              <w:ind w:firstLine="480" w:firstLineChars="200"/>
              <w:jc w:val="left"/>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2.</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2.1</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 xml:space="preserve"> 投标人须具备以下资质：参加投标的投标人可以是单一独立法人或由不超过</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家独立法人组成的联合体（必须注明其中一家为牵头人），单一独立法人必须至少同时具备以下①～</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②</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资质，组成联合体投标的，联合后必须至少具备以下①～</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②</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资质，联合体牵头人必须为施工单位，由同一专业的单位组成的联合体，按照资质等级较低的单位确定资质等级：</w:t>
            </w:r>
          </w:p>
          <w:p w14:paraId="29F4809B">
            <w:pPr>
              <w:pStyle w:val="39"/>
              <w:wordWrap w:val="0"/>
              <w:adjustRightInd w:val="0"/>
              <w:snapToGrid w:val="0"/>
              <w:spacing w:line="360" w:lineRule="auto"/>
              <w:ind w:firstLine="480" w:firstLineChars="200"/>
              <w:jc w:val="left"/>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①施工资质：建设行政主管部门颁发的市政公用工程施工总承包叁级或以上(含叁级)资质，并持有有效安全生产许可证。</w:t>
            </w:r>
          </w:p>
          <w:p w14:paraId="3166AD42">
            <w:pPr>
              <w:pStyle w:val="39"/>
              <w:wordWrap w:val="0"/>
              <w:adjustRightInd w:val="0"/>
              <w:snapToGrid w:val="0"/>
              <w:spacing w:line="360" w:lineRule="auto"/>
              <w:ind w:firstLine="480" w:firstLineChars="200"/>
              <w:jc w:val="left"/>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②设计资质要求：必须具备建设行政主管部门颁发的以下资质之一：</w:t>
            </w:r>
          </w:p>
          <w:p w14:paraId="1D6FAC23">
            <w:pPr>
              <w:pStyle w:val="39"/>
              <w:wordWrap w:val="0"/>
              <w:adjustRightInd w:val="0"/>
              <w:snapToGrid w:val="0"/>
              <w:spacing w:line="360" w:lineRule="auto"/>
              <w:ind w:firstLine="480" w:firstLineChars="200"/>
              <w:jc w:val="left"/>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(1)具备工程设计综合类甲级资质；</w:t>
            </w:r>
          </w:p>
          <w:p w14:paraId="68EBFA98">
            <w:pPr>
              <w:pStyle w:val="39"/>
              <w:wordWrap w:val="0"/>
              <w:adjustRightInd w:val="0"/>
              <w:snapToGrid w:val="0"/>
              <w:spacing w:line="360" w:lineRule="auto"/>
              <w:ind w:firstLine="480" w:firstLineChars="200"/>
              <w:jc w:val="left"/>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(2)具备工程设计市政行业乙级以上（含乙级）资质；</w:t>
            </w:r>
          </w:p>
          <w:p w14:paraId="14E6C763">
            <w:pPr>
              <w:pStyle w:val="39"/>
              <w:wordWrap w:val="0"/>
              <w:adjustRightInd w:val="0"/>
              <w:snapToGrid w:val="0"/>
              <w:spacing w:line="360" w:lineRule="auto"/>
              <w:ind w:firstLine="480" w:firstLineChars="200"/>
              <w:jc w:val="left"/>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(3)具备工程设计市政行业（燃气工程、轨道交通工程除外）乙级以上（含乙级）资质；</w:t>
            </w:r>
          </w:p>
          <w:p w14:paraId="6BFBAF7A">
            <w:pPr>
              <w:pStyle w:val="39"/>
              <w:wordWrap w:val="0"/>
              <w:adjustRightInd w:val="0"/>
              <w:snapToGrid w:val="0"/>
              <w:spacing w:line="360" w:lineRule="auto"/>
              <w:ind w:firstLine="480" w:firstLineChars="200"/>
              <w:jc w:val="left"/>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(4)具备工程设计市政行业（排水工程）专业乙级以上（含乙级）资质。</w:t>
            </w:r>
          </w:p>
          <w:p w14:paraId="02EEFDEB">
            <w:pPr>
              <w:pStyle w:val="39"/>
              <w:wordWrap w:val="0"/>
              <w:adjustRightInd w:val="0"/>
              <w:snapToGrid w:val="0"/>
              <w:spacing w:line="360" w:lineRule="auto"/>
              <w:ind w:firstLine="482" w:firstLineChars="200"/>
              <w:jc w:val="left"/>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2.</w:t>
            </w: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2281F39C">
            <w:pPr>
              <w:pStyle w:val="39"/>
              <w:wordWrap w:val="0"/>
              <w:adjustRightInd w:val="0"/>
              <w:snapToGrid w:val="0"/>
              <w:spacing w:line="360" w:lineRule="auto"/>
              <w:ind w:firstLine="480" w:firstLineChars="200"/>
              <w:jc w:val="left"/>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3．相关人员要求</w:t>
            </w:r>
          </w:p>
          <w:p w14:paraId="1E14C2F3">
            <w:pPr>
              <w:pStyle w:val="39"/>
              <w:wordWrap w:val="0"/>
              <w:adjustRightInd w:val="0"/>
              <w:snapToGrid w:val="0"/>
              <w:spacing w:line="360" w:lineRule="auto"/>
              <w:ind w:firstLine="480" w:firstLineChars="200"/>
              <w:jc w:val="left"/>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3.1拟派项目经理为具有</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市政公用工程</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专业一级或二级注册建造师，其中一级注册建造师应持有国家住建部印发的有效注册证书，二级注册建造师应持有考试取得执业资格的省、自治区、直辖市住建部门核准的有效电子注册证书（二级注册建造师应持有住建部门核准的、在使用有效期内的有效电子证书）。同时均须具备有效安全生产考核合格证明（B证，安全生产考核合格证书或“广东省建筑施工企业管理人员安全生产考核信息系统”考核合格信息打印页），且未担任其他在施（包括已中标未开工、已开工未竣工）建设工程项目的项目经理。</w:t>
            </w:r>
          </w:p>
          <w:p w14:paraId="37A98010">
            <w:pPr>
              <w:pStyle w:val="39"/>
              <w:wordWrap w:val="0"/>
              <w:adjustRightInd w:val="0"/>
              <w:snapToGrid w:val="0"/>
              <w:spacing w:line="360" w:lineRule="auto"/>
              <w:ind w:firstLine="480" w:firstLineChars="200"/>
              <w:jc w:val="left"/>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3.2投标人拟派项目技术负责人须具备</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市政公用工程相关</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专业</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中</w:t>
            </w:r>
            <w:r>
              <w:rPr>
                <w:rFonts w:hint="eastAsia" w:asciiTheme="minorEastAsia" w:hAnsiTheme="minorEastAsia" w:eastAsiaTheme="minorEastAsia" w:cstheme="minorEastAsia"/>
                <w:color w:val="000000" w:themeColor="text1"/>
                <w:sz w:val="24"/>
                <w:szCs w:val="24"/>
                <w:highlight w:val="none"/>
                <w:lang w:val="zh-CN" w:eastAsia="zh-CN"/>
                <w14:textFill>
                  <w14:solidFill>
                    <w14:schemeClr w14:val="tx1"/>
                  </w14:solidFill>
                </w14:textFill>
              </w:rPr>
              <w:t>级（或以上）</w:t>
            </w:r>
            <w:r>
              <w:rPr>
                <w:rFonts w:hint="eastAsia" w:asciiTheme="minorEastAsia" w:hAnsiTheme="minorEastAsia" w:eastAsiaTheme="minorEastAsia" w:cstheme="minorEastAsia"/>
                <w:color w:val="000000" w:themeColor="text1"/>
                <w:sz w:val="24"/>
                <w:szCs w:val="24"/>
                <w:highlight w:val="none"/>
                <w:lang w:val="zh-CN"/>
                <w14:textFill>
                  <w14:solidFill>
                    <w14:schemeClr w14:val="tx1"/>
                  </w14:solidFill>
                </w14:textFill>
              </w:rPr>
              <w:t>技术</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职称。</w:t>
            </w:r>
          </w:p>
          <w:p w14:paraId="2FE3EDBF">
            <w:pPr>
              <w:pStyle w:val="39"/>
              <w:wordWrap w:val="0"/>
              <w:adjustRightInd w:val="0"/>
              <w:snapToGrid w:val="0"/>
              <w:spacing w:line="360" w:lineRule="auto"/>
              <w:ind w:firstLine="480" w:firstLineChars="200"/>
              <w:jc w:val="left"/>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3.</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投标人拟派专职安全生产管理人员须具备有效安全生产考核合格证明（C证，安全生产考核合格证书或“广东省建筑施工企业管理人员安全生产考核系统”考核合格信息打印页）</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且不少于</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1人</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w:t>
            </w:r>
          </w:p>
          <w:p w14:paraId="7F238053">
            <w:pPr>
              <w:pStyle w:val="39"/>
              <w:wordWrap w:val="0"/>
              <w:adjustRightInd w:val="0"/>
              <w:snapToGrid w:val="0"/>
              <w:spacing w:line="360" w:lineRule="auto"/>
              <w:ind w:firstLine="480" w:firstLineChars="200"/>
              <w:jc w:val="left"/>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3.</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投标人拟派项目设计负责人须具备市政类相关专业中级以上（含中级）工程师职称</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w:t>
            </w:r>
          </w:p>
          <w:p w14:paraId="0404D82E">
            <w:pPr>
              <w:pStyle w:val="39"/>
              <w:wordWrap w:val="0"/>
              <w:adjustRightInd w:val="0"/>
              <w:snapToGrid w:val="0"/>
              <w:spacing w:line="360" w:lineRule="auto"/>
              <w:ind w:firstLine="480" w:firstLineChars="200"/>
              <w:jc w:val="left"/>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3.5</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投标人与其拟派往本项目管理机构的所有人员之间必须具备合法、唯一的劳动聘用关系。拟派人员中具备注册执业资格的，其注册单位须与投标人保持一致。</w:t>
            </w:r>
          </w:p>
          <w:p w14:paraId="15C9389E">
            <w:pPr>
              <w:wordWrap w:val="0"/>
              <w:adjustRightInd w:val="0"/>
              <w:snapToGrid w:val="0"/>
              <w:spacing w:line="360" w:lineRule="auto"/>
              <w:ind w:firstLine="480" w:firstLineChars="20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4．禁止投标条款：</w:t>
            </w:r>
          </w:p>
          <w:p w14:paraId="4DC39987">
            <w:pPr>
              <w:wordWrap w:val="0"/>
              <w:adjustRightInd w:val="0"/>
              <w:snapToGrid w:val="0"/>
              <w:spacing w:line="360" w:lineRule="auto"/>
              <w:ind w:firstLine="480" w:firstLineChars="20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4.1．投标人不得存在下列情形之一：</w:t>
            </w:r>
          </w:p>
          <w:p w14:paraId="55A1C159">
            <w:pPr>
              <w:wordWrap w:val="0"/>
              <w:adjustRightInd w:val="0"/>
              <w:snapToGrid w:val="0"/>
              <w:spacing w:line="360" w:lineRule="auto"/>
              <w:ind w:firstLine="240" w:firstLineChars="10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（1）为招标人不具有独立法人资格的附属机构（单位）；</w:t>
            </w:r>
          </w:p>
          <w:p w14:paraId="7E26A68A">
            <w:pPr>
              <w:wordWrap w:val="0"/>
              <w:adjustRightInd w:val="0"/>
              <w:snapToGrid w:val="0"/>
              <w:spacing w:line="360" w:lineRule="auto"/>
              <w:ind w:firstLine="240" w:firstLineChars="10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（2）为本招标项目前期准备提供咨询服务的；</w:t>
            </w:r>
          </w:p>
          <w:p w14:paraId="6C37D882">
            <w:pPr>
              <w:wordWrap w:val="0"/>
              <w:adjustRightInd w:val="0"/>
              <w:snapToGrid w:val="0"/>
              <w:spacing w:line="360" w:lineRule="auto"/>
              <w:ind w:firstLine="240" w:firstLineChars="10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（3）与本招标项目的其他投标人为同一个单位负责人；</w:t>
            </w:r>
          </w:p>
          <w:p w14:paraId="722D115F">
            <w:pPr>
              <w:wordWrap w:val="0"/>
              <w:adjustRightInd w:val="0"/>
              <w:snapToGrid w:val="0"/>
              <w:spacing w:line="360" w:lineRule="auto"/>
              <w:ind w:firstLine="240" w:firstLineChars="10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（4）与本招标项目的其他投标人存在控股、管理关系；</w:t>
            </w:r>
          </w:p>
          <w:p w14:paraId="788E6B4F">
            <w:pPr>
              <w:wordWrap w:val="0"/>
              <w:adjustRightInd w:val="0"/>
              <w:snapToGrid w:val="0"/>
              <w:spacing w:line="360" w:lineRule="auto"/>
              <w:ind w:firstLine="240" w:firstLineChars="10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（5）为本招标项目的监理人；</w:t>
            </w:r>
          </w:p>
          <w:p w14:paraId="77BAE21F">
            <w:pPr>
              <w:wordWrap w:val="0"/>
              <w:adjustRightInd w:val="0"/>
              <w:snapToGrid w:val="0"/>
              <w:spacing w:line="360" w:lineRule="auto"/>
              <w:ind w:firstLine="240" w:firstLineChars="10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（6）为本招标项目的代建人；</w:t>
            </w:r>
          </w:p>
          <w:p w14:paraId="73B25F38">
            <w:pPr>
              <w:wordWrap w:val="0"/>
              <w:adjustRightInd w:val="0"/>
              <w:snapToGrid w:val="0"/>
              <w:spacing w:line="360" w:lineRule="auto"/>
              <w:ind w:firstLine="240" w:firstLineChars="10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（7）为本招标项目的招标代理机构；</w:t>
            </w:r>
          </w:p>
          <w:p w14:paraId="4E96EDE3">
            <w:pPr>
              <w:wordWrap w:val="0"/>
              <w:adjustRightInd w:val="0"/>
              <w:snapToGrid w:val="0"/>
              <w:spacing w:line="360" w:lineRule="auto"/>
              <w:ind w:firstLine="240" w:firstLineChars="10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（8）与本招标项目的监理人或代建人或招标代理机构同为一个法定代表人；</w:t>
            </w:r>
          </w:p>
          <w:p w14:paraId="2B46BCDE">
            <w:pPr>
              <w:wordWrap w:val="0"/>
              <w:adjustRightInd w:val="0"/>
              <w:snapToGrid w:val="0"/>
              <w:spacing w:line="360" w:lineRule="auto"/>
              <w:ind w:firstLine="240" w:firstLineChars="10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（9）与本招标项目的监理人或代建人或招标代理机构存在控股或参股关系；</w:t>
            </w:r>
          </w:p>
          <w:p w14:paraId="4F229E42">
            <w:pPr>
              <w:wordWrap w:val="0"/>
              <w:adjustRightInd w:val="0"/>
              <w:snapToGrid w:val="0"/>
              <w:spacing w:line="360" w:lineRule="auto"/>
              <w:ind w:firstLine="240" w:firstLineChars="10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（10）与本招标项目的监理人或代建人或招标代理机构存在相互任职或工作关系；</w:t>
            </w:r>
          </w:p>
          <w:p w14:paraId="0B91057E">
            <w:pPr>
              <w:wordWrap w:val="0"/>
              <w:adjustRightInd w:val="0"/>
              <w:snapToGrid w:val="0"/>
              <w:spacing w:line="360" w:lineRule="auto"/>
              <w:ind w:firstLine="240" w:firstLineChars="10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（11）被依法暂停或者取消投标资格；</w:t>
            </w:r>
          </w:p>
          <w:p w14:paraId="499B7F3F">
            <w:pPr>
              <w:wordWrap w:val="0"/>
              <w:adjustRightInd w:val="0"/>
              <w:snapToGrid w:val="0"/>
              <w:spacing w:line="360" w:lineRule="auto"/>
              <w:ind w:firstLine="240" w:firstLineChars="10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（12）被责令停产停业、暂扣或者吊销许可证、暂扣或者吊销执照；</w:t>
            </w:r>
          </w:p>
          <w:p w14:paraId="2734AE16">
            <w:pPr>
              <w:wordWrap w:val="0"/>
              <w:adjustRightInd w:val="0"/>
              <w:snapToGrid w:val="0"/>
              <w:spacing w:line="360" w:lineRule="auto"/>
              <w:ind w:left="240" w:leftChars="10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（13）进入清算程序，或被宣告破产，或其他丧失履约能力的情形；</w:t>
            </w:r>
          </w:p>
          <w:p w14:paraId="0F62766D">
            <w:pPr>
              <w:wordWrap w:val="0"/>
              <w:adjustRightInd w:val="0"/>
              <w:snapToGrid w:val="0"/>
              <w:spacing w:line="360" w:lineRule="auto"/>
              <w:ind w:left="240" w:leftChars="10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（14）在最近三年内发生重大工程质量或安全问题（以相关行业主管部门的行政处罚决定或司法机关出具的有关法律文书为准）；</w:t>
            </w:r>
          </w:p>
          <w:p w14:paraId="35D1AB67">
            <w:pPr>
              <w:wordWrap w:val="0"/>
              <w:adjustRightInd w:val="0"/>
              <w:snapToGrid w:val="0"/>
              <w:spacing w:line="360" w:lineRule="auto"/>
              <w:ind w:firstLine="240" w:firstLineChars="10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（15）被“信用中国”网站（https://www.creditchina.gov.cn）发布的《法人和非法人组织公共信用信息报告》列入严重失信主体名单的。</w:t>
            </w:r>
          </w:p>
          <w:p w14:paraId="19789BA1">
            <w:pPr>
              <w:wordWrap w:val="0"/>
              <w:adjustRightInd w:val="0"/>
              <w:snapToGrid w:val="0"/>
              <w:spacing w:line="360" w:lineRule="auto"/>
              <w:ind w:firstLine="480" w:firstLineChars="20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4.2．招标人拒绝以下名单中的单位参加本次投标：</w:t>
            </w:r>
          </w:p>
          <w:tbl>
            <w:tblPr>
              <w:tblStyle w:val="21"/>
              <w:tblW w:w="0" w:type="auto"/>
              <w:tblInd w:w="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3405"/>
              <w:gridCol w:w="2895"/>
            </w:tblGrid>
            <w:tr w14:paraId="63F90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660" w:type="dxa"/>
                  <w:noWrap/>
                  <w:vAlign w:val="center"/>
                </w:tcPr>
                <w:p w14:paraId="40AE4B0F">
                  <w:pPr>
                    <w:wordWrap w:val="0"/>
                    <w:adjustRightInd w:val="0"/>
                    <w:snapToGrid w:val="0"/>
                    <w:spacing w:line="240" w:lineRule="auto"/>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序号</w:t>
                  </w:r>
                </w:p>
              </w:tc>
              <w:tc>
                <w:tcPr>
                  <w:tcW w:w="3405" w:type="dxa"/>
                  <w:noWrap/>
                  <w:vAlign w:val="center"/>
                </w:tcPr>
                <w:p w14:paraId="7A5A86FA">
                  <w:pPr>
                    <w:wordWrap w:val="0"/>
                    <w:adjustRightInd w:val="0"/>
                    <w:snapToGrid w:val="0"/>
                    <w:spacing w:line="240" w:lineRule="auto"/>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单位名称</w:t>
                  </w:r>
                </w:p>
              </w:tc>
              <w:tc>
                <w:tcPr>
                  <w:tcW w:w="2895" w:type="dxa"/>
                  <w:noWrap/>
                  <w:vAlign w:val="center"/>
                </w:tcPr>
                <w:p w14:paraId="3A331D90">
                  <w:pPr>
                    <w:wordWrap w:val="0"/>
                    <w:adjustRightInd w:val="0"/>
                    <w:snapToGrid w:val="0"/>
                    <w:spacing w:line="240" w:lineRule="auto"/>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拒绝原因</w:t>
                  </w:r>
                </w:p>
              </w:tc>
            </w:tr>
            <w:tr w14:paraId="6F275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660" w:type="dxa"/>
                  <w:noWrap/>
                  <w:vAlign w:val="center"/>
                </w:tcPr>
                <w:p w14:paraId="39F67673">
                  <w:pPr>
                    <w:wordWrap w:val="0"/>
                    <w:adjustRightInd w:val="0"/>
                    <w:snapToGrid w:val="0"/>
                    <w:spacing w:line="360" w:lineRule="auto"/>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w:t>
                  </w:r>
                </w:p>
              </w:tc>
              <w:tc>
                <w:tcPr>
                  <w:tcW w:w="3405" w:type="dxa"/>
                  <w:noWrap/>
                  <w:vAlign w:val="center"/>
                </w:tcPr>
                <w:p w14:paraId="72E3912B">
                  <w:pPr>
                    <w:wordWrap w:val="0"/>
                    <w:adjustRightInd w:val="0"/>
                    <w:snapToGrid w:val="0"/>
                    <w:spacing w:line="360" w:lineRule="auto"/>
                    <w:jc w:val="cente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翁源县坝仔镇人民政府</w:t>
                  </w:r>
                </w:p>
              </w:tc>
              <w:tc>
                <w:tcPr>
                  <w:tcW w:w="2895" w:type="dxa"/>
                  <w:noWrap/>
                  <w:vAlign w:val="center"/>
                </w:tcPr>
                <w:p w14:paraId="12966D16">
                  <w:pPr>
                    <w:wordWrap w:val="0"/>
                    <w:adjustRightInd w:val="0"/>
                    <w:snapToGrid w:val="0"/>
                    <w:spacing w:line="240" w:lineRule="auto"/>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为本招标项目的招标人</w:t>
                  </w:r>
                </w:p>
              </w:tc>
            </w:tr>
            <w:tr w14:paraId="4F67E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660" w:type="dxa"/>
                  <w:noWrap/>
                  <w:vAlign w:val="center"/>
                </w:tcPr>
                <w:p w14:paraId="45FFDD65">
                  <w:pPr>
                    <w:wordWrap w:val="0"/>
                    <w:adjustRightInd w:val="0"/>
                    <w:snapToGrid w:val="0"/>
                    <w:spacing w:line="360" w:lineRule="auto"/>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2</w:t>
                  </w:r>
                </w:p>
              </w:tc>
              <w:tc>
                <w:tcPr>
                  <w:tcW w:w="3405" w:type="dxa"/>
                  <w:noWrap/>
                  <w:vAlign w:val="center"/>
                </w:tcPr>
                <w:p w14:paraId="609AF14F">
                  <w:pPr>
                    <w:wordWrap w:val="0"/>
                    <w:adjustRightInd w:val="0"/>
                    <w:snapToGrid w:val="0"/>
                    <w:spacing w:line="360" w:lineRule="auto"/>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翁源县龙腾城市建设投资经营有限公司</w:t>
                  </w:r>
                </w:p>
              </w:tc>
              <w:tc>
                <w:tcPr>
                  <w:tcW w:w="2895" w:type="dxa"/>
                  <w:noWrap/>
                  <w:vAlign w:val="center"/>
                </w:tcPr>
                <w:p w14:paraId="565A3941">
                  <w:pPr>
                    <w:wordWrap w:val="0"/>
                    <w:adjustRightInd w:val="0"/>
                    <w:snapToGrid w:val="0"/>
                    <w:spacing w:line="240" w:lineRule="auto"/>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为本招标项目的业主单位</w:t>
                  </w:r>
                </w:p>
              </w:tc>
            </w:tr>
            <w:tr w14:paraId="4A01E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660" w:type="dxa"/>
                  <w:noWrap/>
                  <w:vAlign w:val="center"/>
                </w:tcPr>
                <w:p w14:paraId="547AC684">
                  <w:pPr>
                    <w:wordWrap w:val="0"/>
                    <w:adjustRightInd w:val="0"/>
                    <w:snapToGrid w:val="0"/>
                    <w:spacing w:line="360" w:lineRule="auto"/>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3</w:t>
                  </w:r>
                </w:p>
              </w:tc>
              <w:tc>
                <w:tcPr>
                  <w:tcW w:w="3405" w:type="dxa"/>
                  <w:noWrap/>
                  <w:vAlign w:val="center"/>
                </w:tcPr>
                <w:p w14:paraId="36A96723">
                  <w:pPr>
                    <w:wordWrap w:val="0"/>
                    <w:adjustRightInd w:val="0"/>
                    <w:snapToGrid w:val="0"/>
                    <w:spacing w:line="360" w:lineRule="auto"/>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广东名岳工程设计有限公司</w:t>
                  </w:r>
                </w:p>
              </w:tc>
              <w:tc>
                <w:tcPr>
                  <w:tcW w:w="2895" w:type="dxa"/>
                  <w:noWrap/>
                  <w:vAlign w:val="center"/>
                </w:tcPr>
                <w:p w14:paraId="625838B3">
                  <w:pPr>
                    <w:wordWrap w:val="0"/>
                    <w:adjustRightInd w:val="0"/>
                    <w:snapToGrid w:val="0"/>
                    <w:spacing w:line="240" w:lineRule="auto"/>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为本招标项目的可行性研究报告编制单位</w:t>
                  </w:r>
                </w:p>
              </w:tc>
            </w:tr>
            <w:tr w14:paraId="4F820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660" w:type="dxa"/>
                  <w:noWrap/>
                  <w:vAlign w:val="center"/>
                </w:tcPr>
                <w:p w14:paraId="76594481">
                  <w:pPr>
                    <w:wordWrap w:val="0"/>
                    <w:adjustRightInd w:val="0"/>
                    <w:snapToGrid w:val="0"/>
                    <w:spacing w:line="360" w:lineRule="auto"/>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4</w:t>
                  </w:r>
                </w:p>
              </w:tc>
              <w:tc>
                <w:tcPr>
                  <w:tcW w:w="3405" w:type="dxa"/>
                  <w:noWrap/>
                  <w:vAlign w:val="center"/>
                </w:tcPr>
                <w:p w14:paraId="597DE9D3">
                  <w:pPr>
                    <w:wordWrap w:val="0"/>
                    <w:adjustRightInd w:val="0"/>
                    <w:snapToGrid w:val="0"/>
                    <w:spacing w:line="360" w:lineRule="auto"/>
                    <w:jc w:val="cente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广东宝骏工程咨询有限公司</w:t>
                  </w:r>
                </w:p>
              </w:tc>
              <w:tc>
                <w:tcPr>
                  <w:tcW w:w="2895" w:type="dxa"/>
                  <w:noWrap/>
                  <w:vAlign w:val="center"/>
                </w:tcPr>
                <w:p w14:paraId="61935A3A">
                  <w:pPr>
                    <w:wordWrap w:val="0"/>
                    <w:adjustRightInd w:val="0"/>
                    <w:snapToGrid w:val="0"/>
                    <w:spacing w:line="240" w:lineRule="auto"/>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为本招标项目的招标代理机构</w:t>
                  </w:r>
                </w:p>
              </w:tc>
            </w:tr>
            <w:tr w14:paraId="5D1CB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660" w:type="dxa"/>
                  <w:noWrap/>
                  <w:vAlign w:val="center"/>
                </w:tcPr>
                <w:p w14:paraId="689971A2">
                  <w:pPr>
                    <w:wordWrap w:val="0"/>
                    <w:adjustRightInd w:val="0"/>
                    <w:snapToGrid w:val="0"/>
                    <w:spacing w:line="360" w:lineRule="auto"/>
                    <w:jc w:val="cente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5</w:t>
                  </w:r>
                </w:p>
              </w:tc>
              <w:tc>
                <w:tcPr>
                  <w:tcW w:w="3405" w:type="dxa"/>
                  <w:noWrap/>
                  <w:vAlign w:val="center"/>
                </w:tcPr>
                <w:p w14:paraId="1794DE85">
                  <w:pPr>
                    <w:tabs>
                      <w:tab w:val="center" w:pos="941"/>
                    </w:tabs>
                    <w:wordWrap w:val="0"/>
                    <w:adjustRightInd w:val="0"/>
                    <w:snapToGrid w:val="0"/>
                    <w:spacing w:line="360" w:lineRule="auto"/>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待定</w:t>
                  </w:r>
                </w:p>
              </w:tc>
              <w:tc>
                <w:tcPr>
                  <w:tcW w:w="2895" w:type="dxa"/>
                  <w:noWrap/>
                  <w:vAlign w:val="center"/>
                </w:tcPr>
                <w:p w14:paraId="63DCF2C4">
                  <w:pPr>
                    <w:wordWrap w:val="0"/>
                    <w:adjustRightInd w:val="0"/>
                    <w:snapToGrid w:val="0"/>
                    <w:spacing w:line="240" w:lineRule="auto"/>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为本招标项目的监理单位</w:t>
                  </w:r>
                </w:p>
              </w:tc>
            </w:tr>
            <w:tr w14:paraId="2EFBB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660" w:type="dxa"/>
                  <w:noWrap/>
                  <w:vAlign w:val="center"/>
                </w:tcPr>
                <w:p w14:paraId="41CBAC14">
                  <w:pPr>
                    <w:wordWrap w:val="0"/>
                    <w:adjustRightInd w:val="0"/>
                    <w:snapToGrid w:val="0"/>
                    <w:spacing w:line="360" w:lineRule="auto"/>
                    <w:jc w:val="center"/>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6</w:t>
                  </w:r>
                </w:p>
              </w:tc>
              <w:tc>
                <w:tcPr>
                  <w:tcW w:w="3405" w:type="dxa"/>
                  <w:noWrap/>
                  <w:vAlign w:val="center"/>
                </w:tcPr>
                <w:p w14:paraId="3DFF3315">
                  <w:pPr>
                    <w:tabs>
                      <w:tab w:val="center" w:pos="941"/>
                    </w:tabs>
                    <w:wordWrap w:val="0"/>
                    <w:adjustRightInd w:val="0"/>
                    <w:snapToGrid w:val="0"/>
                    <w:spacing w:line="360" w:lineRule="auto"/>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中国华西工程设计建设有限公司</w:t>
                  </w:r>
                </w:p>
              </w:tc>
              <w:tc>
                <w:tcPr>
                  <w:tcW w:w="2895" w:type="dxa"/>
                  <w:noWrap/>
                  <w:vAlign w:val="center"/>
                </w:tcPr>
                <w:p w14:paraId="1B870D01">
                  <w:pPr>
                    <w:wordWrap w:val="0"/>
                    <w:adjustRightInd w:val="0"/>
                    <w:snapToGrid w:val="0"/>
                    <w:spacing w:line="240" w:lineRule="auto"/>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为本招标项目的勘察、初步设计及概算</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单位</w:t>
                  </w:r>
                </w:p>
              </w:tc>
            </w:tr>
          </w:tbl>
          <w:p w14:paraId="5B40FCC1">
            <w:pPr>
              <w:pStyle w:val="40"/>
              <w:ind w:firstLine="480" w:firstLineChars="20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5.省外企业（包括组成联合体的所有成员单位）</w:t>
            </w:r>
            <w:r>
              <w:rPr>
                <w:rFonts w:hint="eastAsia" w:ascii="宋体" w:hAnsi="宋体" w:eastAsia="宋体" w:cs="宋体"/>
                <w:snapToGrid w:val="0"/>
                <w:color w:val="000000" w:themeColor="text1"/>
                <w:kern w:val="0"/>
                <w:sz w:val="24"/>
                <w:szCs w:val="24"/>
                <w:highlight w:val="none"/>
                <w14:textFill>
                  <w14:solidFill>
                    <w14:schemeClr w14:val="tx1"/>
                  </w14:solidFill>
                </w14:textFill>
              </w:rPr>
              <w:t>及其拟派往本项目管理机构的所有人员</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须按照《广东省住房和城乡建设厅关于取消省外建筑企业和人员进粤信息备案有关工作的通知》（粤建市﹝2015﹞52号）规定在“进粤企业和人员诚信信息登记平台”录入相关信息并通过数据规范检查。</w:t>
            </w:r>
          </w:p>
        </w:tc>
      </w:tr>
      <w:tr w14:paraId="2629A8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49A0FD23">
            <w:pPr>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18</w:t>
            </w:r>
          </w:p>
        </w:tc>
        <w:tc>
          <w:tcPr>
            <w:tcW w:w="1709" w:type="dxa"/>
            <w:tcBorders>
              <w:top w:val="single" w:color="auto" w:sz="4" w:space="0"/>
              <w:left w:val="single" w:color="auto" w:sz="4" w:space="0"/>
              <w:bottom w:val="single" w:color="auto" w:sz="4" w:space="0"/>
              <w:right w:val="single" w:color="auto" w:sz="4" w:space="0"/>
            </w:tcBorders>
            <w:noWrap/>
            <w:vAlign w:val="center"/>
          </w:tcPr>
          <w:p w14:paraId="0B2E0E09">
            <w:pPr>
              <w:snapToGrid w:val="0"/>
              <w:spacing w:beforeLines="50" w:line="360" w:lineRule="auto"/>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投标保证</w:t>
            </w:r>
          </w:p>
        </w:tc>
        <w:tc>
          <w:tcPr>
            <w:tcW w:w="7544" w:type="dxa"/>
            <w:tcBorders>
              <w:top w:val="single" w:color="auto" w:sz="4" w:space="0"/>
              <w:left w:val="single" w:color="auto" w:sz="4" w:space="0"/>
              <w:bottom w:val="single" w:color="auto" w:sz="4" w:space="0"/>
              <w:right w:val="single" w:color="auto" w:sz="4" w:space="0"/>
            </w:tcBorders>
            <w:noWrap/>
            <w:vAlign w:val="center"/>
          </w:tcPr>
          <w:p w14:paraId="13ED4D28">
            <w:pPr>
              <w:wordWrap w:val="0"/>
              <w:adjustRightInd w:val="0"/>
              <w:snapToGrid w:val="0"/>
              <w:spacing w:line="360" w:lineRule="auto"/>
              <w:ind w:firstLine="240" w:firstLineChars="100"/>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 xml:space="preserve">  1．投标人须缴纳金额为人民币</w:t>
            </w:r>
            <w:r>
              <w:rPr>
                <w:rFonts w:hint="eastAsia" w:asciiTheme="minorEastAsia" w:hAnsiTheme="minorEastAsia" w:eastAsiaTheme="minorEastAsia" w:cstheme="minorEastAsia"/>
                <w:b/>
                <w:bCs/>
                <w:snapToGrid w:val="0"/>
                <w:color w:val="000000" w:themeColor="text1"/>
                <w:kern w:val="0"/>
                <w:sz w:val="24"/>
                <w:szCs w:val="24"/>
                <w:highlight w:val="none"/>
                <w:u w:val="single"/>
                <w:lang w:val="en-US" w:eastAsia="zh-CN"/>
                <w14:textFill>
                  <w14:solidFill>
                    <w14:schemeClr w14:val="tx1"/>
                  </w14:solidFill>
                </w14:textFill>
              </w:rPr>
              <w:t>40万元整</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的投标保证。联合体投标的，由联合体牵头人缴纳。</w:t>
            </w:r>
          </w:p>
          <w:p w14:paraId="62094DE9">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2．投标保证的形式包括投标保证金、投标保证担保、投标保证保险三种，由投标人自主选择。</w:t>
            </w:r>
          </w:p>
          <w:p w14:paraId="0CCE61D8">
            <w:pPr>
              <w:wordWrap w:val="0"/>
              <w:adjustRightInd w:val="0"/>
              <w:snapToGrid w:val="0"/>
              <w:spacing w:line="360" w:lineRule="auto"/>
              <w:ind w:firstLine="240" w:firstLineChars="100"/>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1）采用投标保证金的，投标人在建设工程交易系统获取招标文件完毕后，即可在系统申请缴纳投标保证金，获取本次招标投标保证金缴纳账号。投标人必须于投标保证金到账截止时间（见本章“重要事项时间地点一览表”）前，从其基本账户将投标保证金转账到指定的缴纳账号。逾期到账的、从非投标人基本账户转出的，其投标无效。</w:t>
            </w:r>
          </w:p>
          <w:p w14:paraId="174E2FB2">
            <w:pPr>
              <w:wordWrap w:val="0"/>
              <w:adjustRightInd w:val="0"/>
              <w:snapToGrid w:val="0"/>
              <w:spacing w:line="360" w:lineRule="auto"/>
              <w:ind w:firstLine="240" w:firstLineChars="100"/>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2）采用投标保证担保的，投标人应提交有效的银行保函，银行保函的有效期不得短于投标有效期。投标人必须在投标保证担保截止时间（见本章“重要事项时间地点一览表”）前，使用工程建设交易系统完成网上办理电子保函。</w:t>
            </w:r>
          </w:p>
          <w:p w14:paraId="4518DC67">
            <w:pPr>
              <w:wordWrap w:val="0"/>
              <w:adjustRightInd w:val="0"/>
              <w:snapToGrid w:val="0"/>
              <w:spacing w:line="360" w:lineRule="auto"/>
              <w:ind w:firstLine="240" w:firstLineChars="100"/>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3）采用投标保证保险的，投标人须在投标保证保险投保截止时间（见本章“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在【服务指南】栏目中下载《韶关市公共资源建设工程交易系统-投标人操作指南》，了解网上投保具体操作流程。逾期投保的，其投标无效。</w:t>
            </w:r>
          </w:p>
          <w:p w14:paraId="50175835">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温馨提醒：投标人采用投标保证担保或投标保证保险的，为避免在评标过程中因有效期发生争议，建议投标人将银行保函或电子保单有效期设置为较招标文件规定的投标有效期延长不少于20个日历天。</w:t>
            </w:r>
          </w:p>
        </w:tc>
      </w:tr>
      <w:tr w14:paraId="40D289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1CDE1DF1">
            <w:pPr>
              <w:wordWrap w:val="0"/>
              <w:adjustRightInd w:val="0"/>
              <w:snapToGrid w:val="0"/>
              <w:spacing w:line="360" w:lineRule="auto"/>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19</w:t>
            </w:r>
          </w:p>
        </w:tc>
        <w:tc>
          <w:tcPr>
            <w:tcW w:w="1709" w:type="dxa"/>
            <w:tcBorders>
              <w:top w:val="single" w:color="auto" w:sz="4" w:space="0"/>
              <w:left w:val="single" w:color="auto" w:sz="4" w:space="0"/>
              <w:bottom w:val="single" w:color="auto" w:sz="4" w:space="0"/>
              <w:right w:val="single" w:color="auto" w:sz="4" w:space="0"/>
            </w:tcBorders>
            <w:noWrap/>
            <w:vAlign w:val="center"/>
          </w:tcPr>
          <w:p w14:paraId="4DBBFD3B">
            <w:pPr>
              <w:wordWrap w:val="0"/>
              <w:adjustRightInd w:val="0"/>
              <w:snapToGrid w:val="0"/>
              <w:spacing w:line="360" w:lineRule="auto"/>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投标有效期</w:t>
            </w:r>
          </w:p>
        </w:tc>
        <w:tc>
          <w:tcPr>
            <w:tcW w:w="7544" w:type="dxa"/>
            <w:tcBorders>
              <w:top w:val="single" w:color="auto" w:sz="4" w:space="0"/>
              <w:left w:val="single" w:color="auto" w:sz="4" w:space="0"/>
              <w:bottom w:val="single" w:color="auto" w:sz="4" w:space="0"/>
              <w:right w:val="single" w:color="auto" w:sz="4" w:space="0"/>
            </w:tcBorders>
            <w:noWrap/>
            <w:vAlign w:val="center"/>
          </w:tcPr>
          <w:p w14:paraId="5F3C3CCC">
            <w:pPr>
              <w:wordWrap w:val="0"/>
              <w:adjustRightInd w:val="0"/>
              <w:snapToGrid w:val="0"/>
              <w:spacing w:line="360" w:lineRule="auto"/>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 xml:space="preserve">  本次招标的投标有效期为</w:t>
            </w:r>
            <w:r>
              <w:rPr>
                <w:rFonts w:hint="eastAsia" w:asciiTheme="minorEastAsia" w:hAnsiTheme="minorEastAsia" w:eastAsiaTheme="minorEastAsia" w:cstheme="minorEastAsia"/>
                <w:snapToGrid w:val="0"/>
                <w:color w:val="000000" w:themeColor="text1"/>
                <w:kern w:val="0"/>
                <w:sz w:val="24"/>
                <w:szCs w:val="24"/>
                <w:highlight w:val="none"/>
                <w:u w:val="single"/>
                <w:lang w:val="en-US" w:eastAsia="zh-CN"/>
                <w14:textFill>
                  <w14:solidFill>
                    <w14:schemeClr w14:val="tx1"/>
                  </w14:solidFill>
                </w14:textFill>
              </w:rPr>
              <w:t>90</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个日历天。</w:t>
            </w:r>
          </w:p>
        </w:tc>
      </w:tr>
      <w:tr w14:paraId="742B93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4E13C134">
            <w:pPr>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20</w:t>
            </w:r>
          </w:p>
        </w:tc>
        <w:tc>
          <w:tcPr>
            <w:tcW w:w="1709" w:type="dxa"/>
            <w:tcBorders>
              <w:top w:val="single" w:color="auto" w:sz="4" w:space="0"/>
              <w:left w:val="single" w:color="auto" w:sz="4" w:space="0"/>
              <w:bottom w:val="single" w:color="auto" w:sz="4" w:space="0"/>
              <w:right w:val="single" w:color="auto" w:sz="4" w:space="0"/>
            </w:tcBorders>
            <w:noWrap/>
            <w:vAlign w:val="center"/>
          </w:tcPr>
          <w:p w14:paraId="1F8EBDA4">
            <w:pPr>
              <w:wordWrap w:val="0"/>
              <w:adjustRightInd w:val="0"/>
              <w:snapToGrid w:val="0"/>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投标文件</w:t>
            </w:r>
          </w:p>
          <w:p w14:paraId="312D36D1">
            <w:pPr>
              <w:wordWrap w:val="0"/>
              <w:adjustRightInd w:val="0"/>
              <w:snapToGrid w:val="0"/>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组成</w:t>
            </w:r>
          </w:p>
        </w:tc>
        <w:tc>
          <w:tcPr>
            <w:tcW w:w="7544" w:type="dxa"/>
            <w:tcBorders>
              <w:top w:val="single" w:color="auto" w:sz="4" w:space="0"/>
              <w:left w:val="single" w:color="auto" w:sz="4" w:space="0"/>
              <w:bottom w:val="single" w:color="auto" w:sz="4" w:space="0"/>
              <w:right w:val="single" w:color="auto" w:sz="4" w:space="0"/>
            </w:tcBorders>
            <w:noWrap/>
            <w:vAlign w:val="center"/>
          </w:tcPr>
          <w:p w14:paraId="6E7F5634">
            <w:pPr>
              <w:wordWrap w:val="0"/>
              <w:adjustRightInd w:val="0"/>
              <w:snapToGrid w:val="0"/>
              <w:spacing w:line="360" w:lineRule="auto"/>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投标标书分为一册。</w:t>
            </w:r>
          </w:p>
        </w:tc>
      </w:tr>
      <w:tr w14:paraId="363343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0AB94F57">
            <w:pPr>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21</w:t>
            </w:r>
          </w:p>
        </w:tc>
        <w:tc>
          <w:tcPr>
            <w:tcW w:w="1709" w:type="dxa"/>
            <w:tcBorders>
              <w:top w:val="single" w:color="auto" w:sz="4" w:space="0"/>
              <w:left w:val="single" w:color="auto" w:sz="4" w:space="0"/>
              <w:bottom w:val="single" w:color="auto" w:sz="4" w:space="0"/>
              <w:right w:val="single" w:color="auto" w:sz="4" w:space="0"/>
            </w:tcBorders>
            <w:noWrap/>
            <w:vAlign w:val="center"/>
          </w:tcPr>
          <w:p w14:paraId="7F08709A">
            <w:pPr>
              <w:wordWrap w:val="0"/>
              <w:adjustRightInd w:val="0"/>
              <w:snapToGrid w:val="0"/>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评标委员会</w:t>
            </w:r>
          </w:p>
        </w:tc>
        <w:tc>
          <w:tcPr>
            <w:tcW w:w="7544" w:type="dxa"/>
            <w:tcBorders>
              <w:top w:val="single" w:color="auto" w:sz="4" w:space="0"/>
              <w:left w:val="single" w:color="auto" w:sz="4" w:space="0"/>
              <w:bottom w:val="single" w:color="auto" w:sz="4" w:space="0"/>
              <w:right w:val="single" w:color="auto" w:sz="4" w:space="0"/>
            </w:tcBorders>
            <w:noWrap/>
            <w:vAlign w:val="center"/>
          </w:tcPr>
          <w:p w14:paraId="418FF5C6">
            <w:pPr>
              <w:wordWrap w:val="0"/>
              <w:adjustRightInd w:val="0"/>
              <w:snapToGrid w:val="0"/>
              <w:spacing w:line="360" w:lineRule="auto"/>
              <w:ind w:firstLine="240" w:firstLineChars="10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评标委员会由5人组成，其中招标人代表0人，专家5人。专家从广东省综合评标评审专家库－韶关区域中随机抽取，其中技术类专家3人，经济类专家2人。</w:t>
            </w:r>
          </w:p>
        </w:tc>
      </w:tr>
      <w:tr w14:paraId="07DCF6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259A494C">
            <w:pPr>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22</w:t>
            </w:r>
          </w:p>
        </w:tc>
        <w:tc>
          <w:tcPr>
            <w:tcW w:w="1709" w:type="dxa"/>
            <w:tcBorders>
              <w:top w:val="single" w:color="auto" w:sz="4" w:space="0"/>
              <w:left w:val="single" w:color="auto" w:sz="4" w:space="0"/>
              <w:bottom w:val="single" w:color="auto" w:sz="4" w:space="0"/>
              <w:right w:val="single" w:color="auto" w:sz="4" w:space="0"/>
            </w:tcBorders>
            <w:noWrap/>
            <w:vAlign w:val="center"/>
          </w:tcPr>
          <w:p w14:paraId="5C89E496">
            <w:pPr>
              <w:wordWrap w:val="0"/>
              <w:adjustRightInd w:val="0"/>
              <w:snapToGrid w:val="0"/>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评标方法</w:t>
            </w:r>
          </w:p>
        </w:tc>
        <w:tc>
          <w:tcPr>
            <w:tcW w:w="7544" w:type="dxa"/>
            <w:tcBorders>
              <w:top w:val="single" w:color="auto" w:sz="4" w:space="0"/>
              <w:left w:val="single" w:color="auto" w:sz="4" w:space="0"/>
              <w:bottom w:val="single" w:color="auto" w:sz="4" w:space="0"/>
              <w:right w:val="single" w:color="auto" w:sz="4" w:space="0"/>
            </w:tcBorders>
            <w:noWrap/>
            <w:vAlign w:val="center"/>
          </w:tcPr>
          <w:p w14:paraId="56B9C5FA">
            <w:pPr>
              <w:wordWrap w:val="0"/>
              <w:adjustRightInd w:val="0"/>
              <w:snapToGrid w:val="0"/>
              <w:spacing w:line="360" w:lineRule="auto"/>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 xml:space="preserve">  综合评估法</w:t>
            </w:r>
          </w:p>
        </w:tc>
      </w:tr>
      <w:tr w14:paraId="70281E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0149EE20">
            <w:pPr>
              <w:pStyle w:val="36"/>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23</w:t>
            </w:r>
          </w:p>
        </w:tc>
        <w:tc>
          <w:tcPr>
            <w:tcW w:w="1709" w:type="dxa"/>
            <w:tcBorders>
              <w:top w:val="single" w:color="auto" w:sz="4" w:space="0"/>
              <w:left w:val="single" w:color="auto" w:sz="4" w:space="0"/>
              <w:bottom w:val="single" w:color="auto" w:sz="4" w:space="0"/>
              <w:right w:val="single" w:color="auto" w:sz="4" w:space="0"/>
            </w:tcBorders>
            <w:noWrap/>
            <w:vAlign w:val="center"/>
          </w:tcPr>
          <w:p w14:paraId="792787B8">
            <w:pPr>
              <w:pStyle w:val="36"/>
              <w:spacing w:line="240" w:lineRule="auto"/>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安全文明施工</w:t>
            </w:r>
          </w:p>
        </w:tc>
        <w:tc>
          <w:tcPr>
            <w:tcW w:w="7544" w:type="dxa"/>
            <w:tcBorders>
              <w:top w:val="single" w:color="auto" w:sz="4" w:space="0"/>
              <w:left w:val="single" w:color="auto" w:sz="4" w:space="0"/>
              <w:bottom w:val="single" w:color="auto" w:sz="4" w:space="0"/>
              <w:right w:val="single" w:color="auto" w:sz="4" w:space="0"/>
            </w:tcBorders>
            <w:noWrap/>
            <w:vAlign w:val="center"/>
          </w:tcPr>
          <w:p w14:paraId="4C98B9C6">
            <w:pPr>
              <w:pStyle w:val="36"/>
              <w:ind w:firstLine="240" w:firstLineChars="10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达到国家、省、市有关标准</w:t>
            </w:r>
          </w:p>
        </w:tc>
      </w:tr>
      <w:tr w14:paraId="4FAE7D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096DD9EF">
            <w:pPr>
              <w:pStyle w:val="36"/>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24</w:t>
            </w:r>
          </w:p>
        </w:tc>
        <w:tc>
          <w:tcPr>
            <w:tcW w:w="1709" w:type="dxa"/>
            <w:tcBorders>
              <w:top w:val="single" w:color="auto" w:sz="4" w:space="0"/>
              <w:left w:val="single" w:color="auto" w:sz="4" w:space="0"/>
              <w:bottom w:val="single" w:color="auto" w:sz="4" w:space="0"/>
              <w:right w:val="single" w:color="auto" w:sz="4" w:space="0"/>
            </w:tcBorders>
            <w:noWrap/>
            <w:vAlign w:val="center"/>
          </w:tcPr>
          <w:p w14:paraId="5F408FC1">
            <w:pPr>
              <w:pStyle w:val="36"/>
              <w:spacing w:line="240" w:lineRule="auto"/>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房屋建筑工程</w:t>
            </w:r>
          </w:p>
          <w:p w14:paraId="2DEFDAEF">
            <w:pPr>
              <w:pStyle w:val="36"/>
              <w:spacing w:line="240" w:lineRule="auto"/>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绿色建筑标准</w:t>
            </w:r>
          </w:p>
        </w:tc>
        <w:tc>
          <w:tcPr>
            <w:tcW w:w="7544" w:type="dxa"/>
            <w:tcBorders>
              <w:top w:val="single" w:color="auto" w:sz="4" w:space="0"/>
              <w:left w:val="single" w:color="auto" w:sz="4" w:space="0"/>
              <w:bottom w:val="single" w:color="auto" w:sz="4" w:space="0"/>
              <w:right w:val="single" w:color="auto" w:sz="4" w:space="0"/>
            </w:tcBorders>
            <w:noWrap/>
            <w:vAlign w:val="center"/>
          </w:tcPr>
          <w:p w14:paraId="70EAB278">
            <w:pPr>
              <w:pStyle w:val="36"/>
              <w:ind w:firstLine="240" w:firstLineChars="10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本招标项目不纳入绿色建筑实施范围。</w:t>
            </w:r>
          </w:p>
        </w:tc>
      </w:tr>
      <w:tr w14:paraId="4EB766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58DB0188">
            <w:pPr>
              <w:pStyle w:val="36"/>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25</w:t>
            </w:r>
          </w:p>
        </w:tc>
        <w:tc>
          <w:tcPr>
            <w:tcW w:w="1709" w:type="dxa"/>
            <w:tcBorders>
              <w:top w:val="single" w:color="auto" w:sz="4" w:space="0"/>
              <w:left w:val="single" w:color="auto" w:sz="4" w:space="0"/>
              <w:bottom w:val="single" w:color="auto" w:sz="4" w:space="0"/>
              <w:right w:val="single" w:color="auto" w:sz="4" w:space="0"/>
            </w:tcBorders>
            <w:noWrap/>
            <w:vAlign w:val="center"/>
          </w:tcPr>
          <w:p w14:paraId="7387BCDE">
            <w:pPr>
              <w:pStyle w:val="36"/>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履约保证金</w:t>
            </w:r>
          </w:p>
        </w:tc>
        <w:tc>
          <w:tcPr>
            <w:tcW w:w="7544" w:type="dxa"/>
            <w:tcBorders>
              <w:top w:val="single" w:color="auto" w:sz="4" w:space="0"/>
              <w:left w:val="single" w:color="auto" w:sz="4" w:space="0"/>
              <w:bottom w:val="single" w:color="auto" w:sz="4" w:space="0"/>
              <w:right w:val="single" w:color="auto" w:sz="4" w:space="0"/>
            </w:tcBorders>
            <w:noWrap/>
            <w:vAlign w:val="center"/>
          </w:tcPr>
          <w:p w14:paraId="26F96C49">
            <w:pPr>
              <w:pStyle w:val="36"/>
              <w:ind w:firstLine="480" w:firstLineChars="20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履约保证金为中标价的</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在领取中标通知书之日起</w:t>
            </w:r>
            <w:r>
              <w:rPr>
                <w:rFonts w:hint="eastAsia" w:asciiTheme="minorEastAsia" w:hAnsiTheme="minorEastAsia" w:eastAsiaTheme="minorEastAsia" w:cstheme="minorEastAsia"/>
                <w:snapToGrid w:val="0"/>
                <w:color w:val="000000" w:themeColor="text1"/>
                <w:kern w:val="0"/>
                <w:sz w:val="24"/>
                <w:szCs w:val="24"/>
                <w:highlight w:val="none"/>
                <w:u w:val="single"/>
                <w14:textFill>
                  <w14:solidFill>
                    <w14:schemeClr w14:val="tx1"/>
                  </w14:solidFill>
                </w14:textFill>
              </w:rPr>
              <w:t>5</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个工作日内、签订合同前缴纳</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组成联合体时，由联合体牵头人缴纳</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w:t>
            </w:r>
          </w:p>
          <w:p w14:paraId="6BC93424">
            <w:pPr>
              <w:pStyle w:val="36"/>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履约保证的形式包括</w:t>
            </w:r>
            <w:r>
              <w:rPr>
                <w:rFonts w:hint="eastAsia" w:ascii="宋体" w:hAnsi="宋体" w:eastAsia="宋体" w:cs="宋体"/>
                <w:snapToGrid w:val="0"/>
                <w:color w:val="000000" w:themeColor="text1"/>
                <w:kern w:val="0"/>
                <w:sz w:val="24"/>
                <w:szCs w:val="24"/>
                <w:highlight w:val="none"/>
                <w14:textFill>
                  <w14:solidFill>
                    <w14:schemeClr w14:val="tx1"/>
                  </w14:solidFill>
                </w14:textFill>
              </w:rPr>
              <w:t>履约保证金、履约保证担保、履约保证保险三种</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，由中标人自主选择</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，保函有效期不得少于</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本工程总工期</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，如果采用银行转账方式则必须从中标人的法人开户银行的账号划出招标人指定的账户，并详细注明工程名称及用途。</w:t>
            </w:r>
          </w:p>
        </w:tc>
      </w:tr>
      <w:tr w14:paraId="29E5CC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6FAC644E">
            <w:pPr>
              <w:pStyle w:val="36"/>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26</w:t>
            </w:r>
          </w:p>
        </w:tc>
        <w:tc>
          <w:tcPr>
            <w:tcW w:w="1709" w:type="dxa"/>
            <w:tcBorders>
              <w:top w:val="single" w:color="auto" w:sz="4" w:space="0"/>
              <w:left w:val="single" w:color="auto" w:sz="4" w:space="0"/>
              <w:bottom w:val="single" w:color="auto" w:sz="4" w:space="0"/>
              <w:right w:val="single" w:color="auto" w:sz="4" w:space="0"/>
            </w:tcBorders>
            <w:noWrap/>
            <w:vAlign w:val="center"/>
          </w:tcPr>
          <w:p w14:paraId="3053B38A">
            <w:pPr>
              <w:pStyle w:val="36"/>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工程款支付</w:t>
            </w:r>
          </w:p>
        </w:tc>
        <w:tc>
          <w:tcPr>
            <w:tcW w:w="7544" w:type="dxa"/>
            <w:tcBorders>
              <w:top w:val="single" w:color="auto" w:sz="4" w:space="0"/>
              <w:left w:val="single" w:color="auto" w:sz="4" w:space="0"/>
              <w:bottom w:val="single" w:color="auto" w:sz="4" w:space="0"/>
              <w:right w:val="single" w:color="auto" w:sz="4" w:space="0"/>
            </w:tcBorders>
            <w:noWrap/>
            <w:vAlign w:val="center"/>
          </w:tcPr>
          <w:p w14:paraId="1E9EE519">
            <w:pPr>
              <w:pStyle w:val="36"/>
              <w:ind w:firstLine="240" w:firstLineChars="10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详见本招标文件“2-4、工程付款办法”</w:t>
            </w:r>
          </w:p>
        </w:tc>
      </w:tr>
      <w:tr w14:paraId="020A33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07F70250">
            <w:pPr>
              <w:pStyle w:val="36"/>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27</w:t>
            </w:r>
          </w:p>
        </w:tc>
        <w:tc>
          <w:tcPr>
            <w:tcW w:w="1709" w:type="dxa"/>
            <w:tcBorders>
              <w:top w:val="single" w:color="auto" w:sz="4" w:space="0"/>
              <w:left w:val="single" w:color="auto" w:sz="4" w:space="0"/>
              <w:bottom w:val="single" w:color="auto" w:sz="4" w:space="0"/>
              <w:right w:val="single" w:color="auto" w:sz="4" w:space="0"/>
            </w:tcBorders>
            <w:noWrap/>
            <w:vAlign w:val="center"/>
          </w:tcPr>
          <w:p w14:paraId="1B906B99">
            <w:pPr>
              <w:pStyle w:val="36"/>
              <w:spacing w:line="240" w:lineRule="auto"/>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工程质量保证金</w:t>
            </w:r>
          </w:p>
        </w:tc>
        <w:tc>
          <w:tcPr>
            <w:tcW w:w="7544" w:type="dxa"/>
            <w:tcBorders>
              <w:top w:val="single" w:color="auto" w:sz="4" w:space="0"/>
              <w:left w:val="single" w:color="auto" w:sz="4" w:space="0"/>
              <w:bottom w:val="single" w:color="auto" w:sz="4" w:space="0"/>
              <w:right w:val="single" w:color="auto" w:sz="4" w:space="0"/>
            </w:tcBorders>
            <w:noWrap/>
            <w:vAlign w:val="center"/>
          </w:tcPr>
          <w:p w14:paraId="4A30AB3E">
            <w:pPr>
              <w:pStyle w:val="36"/>
              <w:spacing w:line="240" w:lineRule="auto"/>
              <w:ind w:firstLine="240" w:firstLineChars="10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工程质量保证金总金额为结算价的3%，从工程竣工验收合格之日起计满</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1</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年。</w:t>
            </w:r>
          </w:p>
        </w:tc>
      </w:tr>
      <w:tr w14:paraId="6F4BD1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2CE6E3D7">
            <w:pPr>
              <w:pStyle w:val="36"/>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28</w:t>
            </w:r>
          </w:p>
        </w:tc>
        <w:tc>
          <w:tcPr>
            <w:tcW w:w="1709" w:type="dxa"/>
            <w:tcBorders>
              <w:top w:val="single" w:color="auto" w:sz="4" w:space="0"/>
              <w:left w:val="single" w:color="auto" w:sz="4" w:space="0"/>
              <w:bottom w:val="single" w:color="auto" w:sz="4" w:space="0"/>
              <w:right w:val="single" w:color="auto" w:sz="4" w:space="0"/>
            </w:tcBorders>
            <w:noWrap/>
            <w:vAlign w:val="center"/>
          </w:tcPr>
          <w:p w14:paraId="255329DD">
            <w:pPr>
              <w:pStyle w:val="36"/>
              <w:jc w:val="cente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安全生产措施费</w:t>
            </w:r>
          </w:p>
        </w:tc>
        <w:tc>
          <w:tcPr>
            <w:tcW w:w="7544" w:type="dxa"/>
            <w:tcBorders>
              <w:top w:val="single" w:color="auto" w:sz="4" w:space="0"/>
              <w:left w:val="single" w:color="auto" w:sz="4" w:space="0"/>
              <w:bottom w:val="single" w:color="auto" w:sz="4" w:space="0"/>
              <w:right w:val="single" w:color="auto" w:sz="4" w:space="0"/>
            </w:tcBorders>
            <w:noWrap/>
            <w:vAlign w:val="center"/>
          </w:tcPr>
          <w:p w14:paraId="5310C6DB">
            <w:pPr>
              <w:pStyle w:val="36"/>
              <w:ind w:firstLine="240" w:firstLineChars="10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按</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《建设工程工程量清单计价标准》（GB/T50500—2024）</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、《广东省建设工程计价依据（2018）》《关于明确建筑工程安全防护、文明施工措施费用具体管理办法的通知》（韶市建【2015】26号）等最新规定执行。</w:t>
            </w:r>
          </w:p>
        </w:tc>
      </w:tr>
      <w:tr w14:paraId="3373D0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8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15407A">
            <w:pPr>
              <w:wordWrap w:val="0"/>
              <w:adjustRightInd w:val="0"/>
              <w:snapToGrid w:val="0"/>
              <w:spacing w:line="360" w:lineRule="auto"/>
              <w:jc w:val="center"/>
              <w:rPr>
                <w:rFonts w:hint="default" w:asciiTheme="minorEastAsia" w:hAnsiTheme="minorEastAsia" w:eastAsiaTheme="minorEastAsia" w:cstheme="minorEastAsia"/>
                <w:color w:val="000000" w:themeColor="text1"/>
                <w:sz w:val="24"/>
                <w:szCs w:val="24"/>
                <w:highlight w:val="none"/>
                <w:lang w:val="en-US"/>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29</w:t>
            </w:r>
          </w:p>
        </w:tc>
        <w:tc>
          <w:tcPr>
            <w:tcW w:w="1709" w:type="dxa"/>
            <w:tcBorders>
              <w:top w:val="single" w:color="auto" w:sz="4" w:space="0"/>
              <w:left w:val="single" w:color="auto" w:sz="4" w:space="0"/>
              <w:bottom w:val="single" w:color="auto" w:sz="4" w:space="0"/>
              <w:right w:val="single" w:color="auto" w:sz="4" w:space="0"/>
            </w:tcBorders>
            <w:noWrap/>
            <w:vAlign w:val="center"/>
          </w:tcPr>
          <w:p w14:paraId="2979D514">
            <w:pPr>
              <w:pStyle w:val="36"/>
              <w:spacing w:line="360" w:lineRule="auto"/>
              <w:ind w:firstLine="240" w:firstLineChars="100"/>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招标文件要求提交的用于评审的证书、证件、</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凭证</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原件</w:t>
            </w:r>
          </w:p>
        </w:tc>
        <w:tc>
          <w:tcPr>
            <w:tcW w:w="7544" w:type="dxa"/>
            <w:tcBorders>
              <w:top w:val="single" w:color="auto" w:sz="4" w:space="0"/>
              <w:left w:val="single" w:color="auto" w:sz="4" w:space="0"/>
              <w:bottom w:val="single" w:color="auto" w:sz="4" w:space="0"/>
              <w:right w:val="single" w:color="auto" w:sz="4" w:space="0"/>
            </w:tcBorders>
            <w:noWrap/>
            <w:vAlign w:val="center"/>
          </w:tcPr>
          <w:p w14:paraId="05B64DD9">
            <w:pPr>
              <w:pStyle w:val="36"/>
              <w:spacing w:line="360" w:lineRule="auto"/>
              <w:ind w:firstLine="240" w:firstLineChars="100"/>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投标人在递交纸质投标文件时须</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提交用于评审的证书、证件、证明原件</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的，投标人应自行将所需原件密封于文件袋（箱）中，并自行准备两张“原件一览表”（详见格式十</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三</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投标人须自行填写，表格可扩展），一张贴于文件袋（箱），一张在递交时由投标人、招标代理人签字。招标代理机构仅代签收，不对文件袋（箱）中资料的数量、内容及真实性负责。评标结束后，招标代理人将退回投标人的原件。若投标人未按要求提交相应证明材料原件或投标文件中证明材料的彩色扫描件与原件不一致，评审时相应证明材料不予认可。</w:t>
            </w:r>
          </w:p>
        </w:tc>
      </w:tr>
      <w:tr w14:paraId="10ED65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8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52389B">
            <w:pPr>
              <w:wordWrap w:val="0"/>
              <w:adjustRightInd w:val="0"/>
              <w:snapToGrid w:val="0"/>
              <w:spacing w:line="360" w:lineRule="auto"/>
              <w:jc w:val="center"/>
              <w:rPr>
                <w:rFonts w:hint="default"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30</w:t>
            </w:r>
          </w:p>
        </w:tc>
        <w:tc>
          <w:tcPr>
            <w:tcW w:w="1709" w:type="dxa"/>
            <w:tcBorders>
              <w:top w:val="single" w:color="auto" w:sz="4" w:space="0"/>
              <w:left w:val="single" w:color="auto" w:sz="4" w:space="0"/>
              <w:bottom w:val="single" w:color="auto" w:sz="4" w:space="0"/>
              <w:right w:val="single" w:color="auto" w:sz="4" w:space="0"/>
            </w:tcBorders>
            <w:noWrap/>
            <w:vAlign w:val="center"/>
          </w:tcPr>
          <w:p w14:paraId="29627470">
            <w:pPr>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招标人</w:t>
            </w:r>
          </w:p>
          <w:p w14:paraId="3E4C2981">
            <w:pPr>
              <w:wordWrap w:val="0"/>
              <w:adjustRightInd w:val="0"/>
              <w:snapToGrid w:val="0"/>
              <w:spacing w:line="360" w:lineRule="auto"/>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联系方式</w:t>
            </w:r>
          </w:p>
        </w:tc>
        <w:tc>
          <w:tcPr>
            <w:tcW w:w="7544" w:type="dxa"/>
            <w:tcBorders>
              <w:top w:val="single" w:color="auto" w:sz="4" w:space="0"/>
              <w:left w:val="single" w:color="auto" w:sz="4" w:space="0"/>
              <w:bottom w:val="single" w:color="auto" w:sz="4" w:space="0"/>
              <w:right w:val="single" w:color="auto" w:sz="4" w:space="0"/>
            </w:tcBorders>
            <w:noWrap/>
            <w:vAlign w:val="center"/>
          </w:tcPr>
          <w:p w14:paraId="39ADEE16">
            <w:pPr>
              <w:wordWrap w:val="0"/>
              <w:adjustRightInd w:val="0"/>
              <w:snapToGrid w:val="0"/>
              <w:spacing w:line="360" w:lineRule="auto"/>
              <w:jc w:val="left"/>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单位名称：</w:t>
            </w: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翁源县坝仔镇人民政府</w:t>
            </w:r>
          </w:p>
          <w:p w14:paraId="26511528">
            <w:pPr>
              <w:tabs>
                <w:tab w:val="left" w:pos="1440"/>
              </w:tabs>
              <w:wordWrap w:val="0"/>
              <w:adjustRightInd w:val="0"/>
              <w:snapToGrid w:val="0"/>
              <w:spacing w:line="360" w:lineRule="auto"/>
              <w:jc w:val="left"/>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办公地址：</w:t>
            </w: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翁源县坝仔镇建设南路与老街中路交叉口西南100米</w:t>
            </w:r>
          </w:p>
          <w:p w14:paraId="1FEDF3C9">
            <w:pPr>
              <w:tabs>
                <w:tab w:val="left" w:pos="1440"/>
              </w:tabs>
              <w:wordWrap w:val="0"/>
              <w:adjustRightInd w:val="0"/>
              <w:snapToGrid w:val="0"/>
              <w:spacing w:line="360" w:lineRule="auto"/>
              <w:jc w:val="left"/>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联系人（部门）：</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陈先生</w:t>
            </w:r>
          </w:p>
          <w:p w14:paraId="46CA4D98">
            <w:pPr>
              <w:tabs>
                <w:tab w:val="left" w:pos="1440"/>
              </w:tabs>
              <w:wordWrap w:val="0"/>
              <w:adjustRightInd w:val="0"/>
              <w:snapToGrid w:val="0"/>
              <w:spacing w:line="360" w:lineRule="auto"/>
              <w:jc w:val="left"/>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联系电话：0751-</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2502307</w:t>
            </w:r>
          </w:p>
        </w:tc>
      </w:tr>
      <w:tr w14:paraId="1F4ECD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8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295BFB7">
            <w:pPr>
              <w:wordWrap w:val="0"/>
              <w:adjustRightInd w:val="0"/>
              <w:snapToGrid w:val="0"/>
              <w:spacing w:line="360" w:lineRule="auto"/>
              <w:jc w:val="center"/>
              <w:rPr>
                <w:rFonts w:hint="default"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31</w:t>
            </w:r>
          </w:p>
        </w:tc>
        <w:tc>
          <w:tcPr>
            <w:tcW w:w="1709" w:type="dxa"/>
            <w:tcBorders>
              <w:top w:val="single" w:color="auto" w:sz="4" w:space="0"/>
              <w:left w:val="single" w:color="auto" w:sz="4" w:space="0"/>
              <w:bottom w:val="single" w:color="auto" w:sz="4" w:space="0"/>
              <w:right w:val="single" w:color="auto" w:sz="4" w:space="0"/>
            </w:tcBorders>
            <w:noWrap/>
            <w:vAlign w:val="center"/>
          </w:tcPr>
          <w:p w14:paraId="43961663">
            <w:pPr>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招标代理机构</w:t>
            </w:r>
          </w:p>
          <w:p w14:paraId="07C02459">
            <w:pPr>
              <w:wordWrap w:val="0"/>
              <w:adjustRightInd w:val="0"/>
              <w:snapToGrid w:val="0"/>
              <w:spacing w:line="360" w:lineRule="auto"/>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联系方式</w:t>
            </w:r>
          </w:p>
        </w:tc>
        <w:tc>
          <w:tcPr>
            <w:tcW w:w="7544" w:type="dxa"/>
            <w:tcBorders>
              <w:top w:val="single" w:color="auto" w:sz="4" w:space="0"/>
              <w:left w:val="single" w:color="auto" w:sz="4" w:space="0"/>
              <w:bottom w:val="single" w:color="auto" w:sz="4" w:space="0"/>
              <w:right w:val="single" w:color="auto" w:sz="4" w:space="0"/>
            </w:tcBorders>
            <w:noWrap/>
            <w:vAlign w:val="center"/>
          </w:tcPr>
          <w:p w14:paraId="255F33D8">
            <w:pPr>
              <w:wordWrap w:val="0"/>
              <w:adjustRightInd w:val="0"/>
              <w:snapToGrid w:val="0"/>
              <w:spacing w:line="360" w:lineRule="auto"/>
              <w:jc w:val="left"/>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单位名称：广东宝骏工程咨询有限公司</w:t>
            </w:r>
          </w:p>
          <w:p w14:paraId="4672AEBD">
            <w:pPr>
              <w:wordWrap w:val="0"/>
              <w:adjustRightInd w:val="0"/>
              <w:snapToGrid w:val="0"/>
              <w:spacing w:line="360" w:lineRule="auto"/>
              <w:jc w:val="left"/>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办公地址：</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韶关市武江区工业东路23号核工业二九0研究所院内</w:t>
            </w:r>
          </w:p>
          <w:p w14:paraId="43FB15C0">
            <w:pPr>
              <w:wordWrap w:val="0"/>
              <w:adjustRightInd w:val="0"/>
              <w:snapToGrid w:val="0"/>
              <w:spacing w:line="360" w:lineRule="auto"/>
              <w:jc w:val="left"/>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联系人（部门）：杨工</w:t>
            </w:r>
          </w:p>
          <w:p w14:paraId="43699E24">
            <w:pPr>
              <w:wordWrap w:val="0"/>
              <w:adjustRightInd w:val="0"/>
              <w:snapToGrid w:val="0"/>
              <w:spacing w:line="360" w:lineRule="auto"/>
              <w:jc w:val="left"/>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联系电话：0751-8167696</w:t>
            </w:r>
          </w:p>
        </w:tc>
      </w:tr>
      <w:tr w14:paraId="17AA8A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8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2D2BF8">
            <w:pPr>
              <w:wordWrap w:val="0"/>
              <w:adjustRightInd w:val="0"/>
              <w:snapToGrid w:val="0"/>
              <w:spacing w:line="360" w:lineRule="auto"/>
              <w:jc w:val="center"/>
              <w:rPr>
                <w:rFonts w:hint="default"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32</w:t>
            </w:r>
          </w:p>
        </w:tc>
        <w:tc>
          <w:tcPr>
            <w:tcW w:w="1709" w:type="dxa"/>
            <w:tcBorders>
              <w:top w:val="single" w:color="auto" w:sz="4" w:space="0"/>
              <w:left w:val="single" w:color="auto" w:sz="4" w:space="0"/>
              <w:bottom w:val="single" w:color="auto" w:sz="4" w:space="0"/>
              <w:right w:val="single" w:color="auto" w:sz="4" w:space="0"/>
            </w:tcBorders>
            <w:noWrap/>
            <w:vAlign w:val="center"/>
          </w:tcPr>
          <w:p w14:paraId="40104432">
            <w:pPr>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交易场所</w:t>
            </w:r>
          </w:p>
          <w:p w14:paraId="49BD1E6B">
            <w:pPr>
              <w:wordWrap w:val="0"/>
              <w:adjustRightInd w:val="0"/>
              <w:snapToGrid w:val="0"/>
              <w:spacing w:line="360" w:lineRule="auto"/>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联系方式</w:t>
            </w:r>
          </w:p>
        </w:tc>
        <w:tc>
          <w:tcPr>
            <w:tcW w:w="7544" w:type="dxa"/>
            <w:tcBorders>
              <w:top w:val="single" w:color="auto" w:sz="4" w:space="0"/>
              <w:left w:val="single" w:color="auto" w:sz="4" w:space="0"/>
              <w:bottom w:val="single" w:color="auto" w:sz="4" w:space="0"/>
              <w:right w:val="single" w:color="auto" w:sz="4" w:space="0"/>
            </w:tcBorders>
            <w:noWrap/>
            <w:vAlign w:val="center"/>
          </w:tcPr>
          <w:p w14:paraId="3925EEA8">
            <w:pPr>
              <w:spacing w:line="400" w:lineRule="exact"/>
              <w:jc w:val="left"/>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单位名称：</w:t>
            </w:r>
            <w:r>
              <w:rPr>
                <w:rFonts w:hint="eastAsia" w:ascii="宋体" w:hAnsi="宋体" w:eastAsia="宋体" w:cs="宋体"/>
                <w:color w:val="000000" w:themeColor="text1"/>
                <w:sz w:val="24"/>
                <w:szCs w:val="24"/>
                <w:highlight w:val="none"/>
                <w:lang w:eastAsia="zh-CN"/>
                <w14:textFill>
                  <w14:solidFill>
                    <w14:schemeClr w14:val="tx1"/>
                  </w14:solidFill>
                </w14:textFill>
              </w:rPr>
              <w:t>韶关市公共资源交易中心</w:t>
            </w:r>
          </w:p>
          <w:p w14:paraId="10F7CEE1">
            <w:pPr>
              <w:spacing w:line="400" w:lineRule="exact"/>
              <w:jc w:val="left"/>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办公地址：翁源县龙仙镇朝阳路63号韶关市公共资源交易中心翁源分中心</w:t>
            </w:r>
          </w:p>
          <w:p w14:paraId="6E1EE3F9">
            <w:pPr>
              <w:spacing w:line="400" w:lineRule="exact"/>
              <w:jc w:val="left"/>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联系人（部门）：工程交易股 </w:t>
            </w:r>
          </w:p>
          <w:p w14:paraId="34DCF992">
            <w:pPr>
              <w:spacing w:line="400" w:lineRule="exact"/>
              <w:jc w:val="left"/>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联系电话：0751-2815819</w:t>
            </w:r>
          </w:p>
        </w:tc>
      </w:tr>
      <w:tr w14:paraId="57B039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5569AA4B">
            <w:pPr>
              <w:wordWrap w:val="0"/>
              <w:adjustRightInd w:val="0"/>
              <w:snapToGrid w:val="0"/>
              <w:spacing w:line="360" w:lineRule="auto"/>
              <w:jc w:val="center"/>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33</w:t>
            </w:r>
          </w:p>
        </w:tc>
        <w:tc>
          <w:tcPr>
            <w:tcW w:w="1709" w:type="dxa"/>
            <w:tcBorders>
              <w:top w:val="single" w:color="auto" w:sz="4" w:space="0"/>
              <w:left w:val="single" w:color="auto" w:sz="4" w:space="0"/>
              <w:bottom w:val="single" w:color="auto" w:sz="4" w:space="0"/>
              <w:right w:val="single" w:color="auto" w:sz="4" w:space="0"/>
            </w:tcBorders>
            <w:noWrap/>
            <w:vAlign w:val="center"/>
          </w:tcPr>
          <w:p w14:paraId="25F16557">
            <w:pPr>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行政监督部门</w:t>
            </w:r>
          </w:p>
          <w:p w14:paraId="368588DE">
            <w:pPr>
              <w:wordWrap w:val="0"/>
              <w:adjustRightInd w:val="0"/>
              <w:snapToGrid w:val="0"/>
              <w:spacing w:line="360" w:lineRule="auto"/>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联系方式</w:t>
            </w:r>
          </w:p>
        </w:tc>
        <w:tc>
          <w:tcPr>
            <w:tcW w:w="7544" w:type="dxa"/>
            <w:tcBorders>
              <w:top w:val="single" w:color="auto" w:sz="4" w:space="0"/>
              <w:left w:val="single" w:color="auto" w:sz="4" w:space="0"/>
              <w:bottom w:val="single" w:color="auto" w:sz="4" w:space="0"/>
              <w:right w:val="single" w:color="auto" w:sz="4" w:space="0"/>
            </w:tcBorders>
            <w:noWrap/>
            <w:vAlign w:val="center"/>
          </w:tcPr>
          <w:p w14:paraId="5D48FF09">
            <w:pPr>
              <w:spacing w:line="400" w:lineRule="exact"/>
              <w:jc w:val="lef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单位名称：翁源县住房和城乡建设管理局</w:t>
            </w:r>
          </w:p>
          <w:p w14:paraId="24EDF123">
            <w:pPr>
              <w:spacing w:line="400" w:lineRule="exact"/>
              <w:jc w:val="lef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办公地址：翁源县龙仙镇朝阳路186号</w:t>
            </w:r>
          </w:p>
          <w:p w14:paraId="6D2DE591">
            <w:pPr>
              <w:spacing w:line="400" w:lineRule="exact"/>
              <w:jc w:val="lef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联系人（部门）：建管股</w:t>
            </w:r>
          </w:p>
          <w:p w14:paraId="2CC80ED9">
            <w:pPr>
              <w:spacing w:line="400" w:lineRule="exact"/>
              <w:jc w:val="left"/>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联系电话：0751-2870501</w:t>
            </w:r>
          </w:p>
        </w:tc>
      </w:tr>
      <w:bookmarkEnd w:id="4"/>
    </w:tbl>
    <w:p w14:paraId="13A9FF01">
      <w:pPr>
        <w:pStyle w:val="4"/>
        <w:wordWrap w:val="0"/>
        <w:autoSpaceDE/>
        <w:autoSpaceDN/>
        <w:snapToGrid w:val="0"/>
        <w:spacing w:after="260" w:line="440" w:lineRule="exact"/>
        <w:jc w:val="both"/>
        <w:rPr>
          <w:rFonts w:hint="eastAsia" w:asciiTheme="minorEastAsia" w:hAnsiTheme="minorEastAsia" w:eastAsiaTheme="minorEastAsia" w:cstheme="minorEastAsia"/>
          <w:b/>
          <w:color w:val="000000" w:themeColor="text1"/>
          <w:kern w:val="2"/>
          <w:highlight w:val="none"/>
          <w14:textFill>
            <w14:solidFill>
              <w14:schemeClr w14:val="tx1"/>
            </w14:solidFill>
          </w14:textFill>
        </w:rPr>
      </w:pPr>
      <w:bookmarkStart w:id="5" w:name="_Toc122769943"/>
      <w:bookmarkStart w:id="6" w:name="_Toc122671103"/>
      <w:bookmarkStart w:id="7" w:name="_Toc122859103"/>
      <w:r>
        <w:rPr>
          <w:rFonts w:hint="eastAsia" w:asciiTheme="minorEastAsia" w:hAnsiTheme="minorEastAsia" w:eastAsiaTheme="minorEastAsia" w:cstheme="minorEastAsia"/>
          <w:b/>
          <w:color w:val="000000" w:themeColor="text1"/>
          <w:kern w:val="2"/>
          <w:highlight w:val="none"/>
          <w14:textFill>
            <w14:solidFill>
              <w14:schemeClr w14:val="tx1"/>
            </w14:solidFill>
          </w14:textFill>
        </w:rPr>
        <w:br w:type="page"/>
      </w:r>
      <w:bookmarkEnd w:id="5"/>
      <w:bookmarkEnd w:id="6"/>
      <w:bookmarkEnd w:id="7"/>
      <w:bookmarkStart w:id="8" w:name="_Toc25142"/>
      <w:r>
        <w:rPr>
          <w:rFonts w:hint="eastAsia" w:asciiTheme="minorEastAsia" w:hAnsiTheme="minorEastAsia" w:eastAsiaTheme="minorEastAsia" w:cstheme="minorEastAsia"/>
          <w:b/>
          <w:color w:val="000000" w:themeColor="text1"/>
          <w:kern w:val="2"/>
          <w:szCs w:val="24"/>
          <w:highlight w:val="none"/>
          <w14:textFill>
            <w14:solidFill>
              <w14:schemeClr w14:val="tx1"/>
            </w14:solidFill>
          </w14:textFill>
        </w:rPr>
        <w:t>第二节.重要事项时间地点一览表.</w:t>
      </w:r>
      <w:bookmarkEnd w:id="8"/>
    </w:p>
    <w:tbl>
      <w:tblPr>
        <w:tblStyle w:val="21"/>
        <w:tblW w:w="9699" w:type="dxa"/>
        <w:tblInd w:w="-6"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504"/>
        <w:gridCol w:w="1610"/>
        <w:gridCol w:w="7585"/>
      </w:tblGrid>
      <w:tr w14:paraId="22168A7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72" w:hRule="exact"/>
        </w:trPr>
        <w:tc>
          <w:tcPr>
            <w:tcW w:w="504" w:type="dxa"/>
            <w:tcBorders>
              <w:top w:val="single" w:color="080000" w:sz="4" w:space="0"/>
              <w:left w:val="single" w:color="080000" w:sz="4" w:space="0"/>
              <w:bottom w:val="single" w:color="080000" w:sz="4" w:space="0"/>
              <w:right w:val="single" w:color="080000" w:sz="4" w:space="0"/>
            </w:tcBorders>
            <w:noWrap w:val="0"/>
            <w:vAlign w:val="center"/>
          </w:tcPr>
          <w:p w14:paraId="17063ED9">
            <w:pPr>
              <w:pStyle w:val="39"/>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1</w:t>
            </w:r>
          </w:p>
        </w:tc>
        <w:tc>
          <w:tcPr>
            <w:tcW w:w="1610" w:type="dxa"/>
            <w:tcBorders>
              <w:top w:val="single" w:color="080000" w:sz="4" w:space="0"/>
              <w:left w:val="single" w:color="080000" w:sz="4" w:space="0"/>
              <w:bottom w:val="single" w:color="080000" w:sz="4" w:space="0"/>
              <w:right w:val="single" w:color="080000" w:sz="4" w:space="0"/>
            </w:tcBorders>
            <w:noWrap w:val="0"/>
            <w:vAlign w:val="center"/>
          </w:tcPr>
          <w:p w14:paraId="27EE3730">
            <w:pPr>
              <w:pStyle w:val="39"/>
              <w:wordWrap w:val="0"/>
              <w:adjustRightInd w:val="0"/>
              <w:snapToGrid w:val="0"/>
              <w:spacing w:line="360" w:lineRule="exact"/>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招标公告</w:t>
            </w:r>
          </w:p>
          <w:p w14:paraId="59A2B6BD">
            <w:pPr>
              <w:pStyle w:val="39"/>
              <w:wordWrap w:val="0"/>
              <w:adjustRightInd w:val="0"/>
              <w:snapToGrid w:val="0"/>
              <w:spacing w:line="360" w:lineRule="exact"/>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 xml:space="preserve">发布时间 </w:t>
            </w:r>
          </w:p>
        </w:tc>
        <w:tc>
          <w:tcPr>
            <w:tcW w:w="7585" w:type="dxa"/>
            <w:tcBorders>
              <w:top w:val="single" w:color="080000" w:sz="4" w:space="0"/>
              <w:left w:val="single" w:color="080000" w:sz="4" w:space="0"/>
              <w:bottom w:val="single" w:color="080000" w:sz="4" w:space="0"/>
              <w:right w:val="single" w:color="080000" w:sz="4" w:space="0"/>
            </w:tcBorders>
            <w:noWrap w:val="0"/>
            <w:vAlign w:val="center"/>
          </w:tcPr>
          <w:p w14:paraId="1FDE5BF9">
            <w:pPr>
              <w:pStyle w:val="39"/>
              <w:wordWrap w:val="0"/>
              <w:adjustRightInd w:val="0"/>
              <w:snapToGrid w:val="0"/>
              <w:spacing w:line="400" w:lineRule="exact"/>
              <w:jc w:val="left"/>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2025 </w:t>
            </w:r>
            <w:r>
              <w:rPr>
                <w:rFonts w:hint="eastAsia" w:ascii="宋体" w:hAnsi="宋体" w:eastAsia="宋体" w:cs="宋体"/>
                <w:i w:val="0"/>
                <w:iCs w:val="0"/>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12</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18</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日</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18</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时</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00</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分</w:t>
            </w:r>
          </w:p>
        </w:tc>
      </w:tr>
      <w:tr w14:paraId="05A2E68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41" w:hRule="exact"/>
        </w:trPr>
        <w:tc>
          <w:tcPr>
            <w:tcW w:w="504" w:type="dxa"/>
            <w:tcBorders>
              <w:top w:val="single" w:color="080000" w:sz="4" w:space="0"/>
              <w:left w:val="single" w:color="080000" w:sz="4" w:space="0"/>
              <w:bottom w:val="single" w:color="080000" w:sz="4" w:space="0"/>
              <w:right w:val="single" w:color="080000" w:sz="4" w:space="0"/>
            </w:tcBorders>
            <w:noWrap w:val="0"/>
            <w:vAlign w:val="center"/>
          </w:tcPr>
          <w:p w14:paraId="4E9098B4">
            <w:pPr>
              <w:pStyle w:val="39"/>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2</w:t>
            </w:r>
          </w:p>
        </w:tc>
        <w:tc>
          <w:tcPr>
            <w:tcW w:w="1610" w:type="dxa"/>
            <w:tcBorders>
              <w:top w:val="single" w:color="080000" w:sz="4" w:space="0"/>
              <w:left w:val="single" w:color="080000" w:sz="4" w:space="0"/>
              <w:bottom w:val="single" w:color="080000" w:sz="4" w:space="0"/>
              <w:right w:val="single" w:color="080000" w:sz="4" w:space="0"/>
            </w:tcBorders>
            <w:noWrap w:val="0"/>
            <w:vAlign w:val="center"/>
          </w:tcPr>
          <w:p w14:paraId="7D93DB6D">
            <w:pPr>
              <w:pStyle w:val="39"/>
              <w:wordWrap w:val="0"/>
              <w:adjustRightInd w:val="0"/>
              <w:snapToGrid w:val="0"/>
              <w:spacing w:line="360" w:lineRule="exact"/>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 xml:space="preserve">获取招标文件截止时间 </w:t>
            </w:r>
          </w:p>
        </w:tc>
        <w:tc>
          <w:tcPr>
            <w:tcW w:w="7585" w:type="dxa"/>
            <w:tcBorders>
              <w:top w:val="single" w:color="080000" w:sz="4" w:space="0"/>
              <w:left w:val="single" w:color="080000" w:sz="4" w:space="0"/>
              <w:bottom w:val="single" w:color="080000" w:sz="4" w:space="0"/>
              <w:right w:val="single" w:color="080000" w:sz="4" w:space="0"/>
            </w:tcBorders>
            <w:noWrap w:val="0"/>
            <w:vAlign w:val="center"/>
          </w:tcPr>
          <w:p w14:paraId="16068B54">
            <w:pPr>
              <w:pStyle w:val="39"/>
              <w:wordWrap w:val="0"/>
              <w:adjustRightInd w:val="0"/>
              <w:snapToGrid w:val="0"/>
              <w:spacing w:line="400" w:lineRule="exact"/>
              <w:jc w:val="left"/>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202</w:t>
            </w:r>
            <w:r>
              <w:rPr>
                <w:rFonts w:hint="eastAsia" w:ascii="宋体" w:hAnsi="宋体" w:cs="宋体"/>
                <w:color w:val="000000" w:themeColor="text1"/>
                <w:sz w:val="24"/>
                <w:szCs w:val="24"/>
                <w:highlight w:val="none"/>
                <w:u w:val="singl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i w:val="0"/>
                <w:iCs w:val="0"/>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8</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日</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10</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时</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分</w:t>
            </w:r>
          </w:p>
        </w:tc>
      </w:tr>
      <w:tr w14:paraId="5FC7B6E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40" w:hRule="exact"/>
        </w:trPr>
        <w:tc>
          <w:tcPr>
            <w:tcW w:w="504" w:type="dxa"/>
            <w:tcBorders>
              <w:top w:val="single" w:color="080000" w:sz="4" w:space="0"/>
              <w:left w:val="single" w:color="080000" w:sz="4" w:space="0"/>
              <w:bottom w:val="single" w:color="080000" w:sz="4" w:space="0"/>
              <w:right w:val="single" w:color="080000" w:sz="4" w:space="0"/>
            </w:tcBorders>
            <w:noWrap w:val="0"/>
            <w:vAlign w:val="center"/>
          </w:tcPr>
          <w:p w14:paraId="71821A0A">
            <w:pPr>
              <w:pStyle w:val="39"/>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3</w:t>
            </w:r>
          </w:p>
        </w:tc>
        <w:tc>
          <w:tcPr>
            <w:tcW w:w="1610" w:type="dxa"/>
            <w:tcBorders>
              <w:top w:val="single" w:color="080000" w:sz="4" w:space="0"/>
              <w:left w:val="single" w:color="080000" w:sz="4" w:space="0"/>
              <w:bottom w:val="single" w:color="080000" w:sz="4" w:space="0"/>
              <w:right w:val="single" w:color="080000" w:sz="4" w:space="0"/>
            </w:tcBorders>
            <w:noWrap w:val="0"/>
            <w:vAlign w:val="center"/>
          </w:tcPr>
          <w:p w14:paraId="06D0E338">
            <w:pPr>
              <w:pStyle w:val="39"/>
              <w:wordWrap w:val="0"/>
              <w:adjustRightInd w:val="0"/>
              <w:snapToGrid w:val="0"/>
              <w:spacing w:line="360" w:lineRule="exact"/>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网上提问</w:t>
            </w:r>
          </w:p>
          <w:p w14:paraId="6FAF4569">
            <w:pPr>
              <w:pStyle w:val="39"/>
              <w:wordWrap w:val="0"/>
              <w:adjustRightInd w:val="0"/>
              <w:snapToGrid w:val="0"/>
              <w:spacing w:line="360" w:lineRule="exact"/>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 xml:space="preserve">截止时间 </w:t>
            </w:r>
          </w:p>
        </w:tc>
        <w:tc>
          <w:tcPr>
            <w:tcW w:w="7585" w:type="dxa"/>
            <w:tcBorders>
              <w:top w:val="single" w:color="080000" w:sz="4" w:space="0"/>
              <w:left w:val="single" w:color="080000" w:sz="4" w:space="0"/>
              <w:bottom w:val="single" w:color="080000" w:sz="4" w:space="0"/>
              <w:right w:val="single" w:color="080000" w:sz="4" w:space="0"/>
            </w:tcBorders>
            <w:noWrap w:val="0"/>
            <w:vAlign w:val="center"/>
          </w:tcPr>
          <w:p w14:paraId="4F229188">
            <w:pPr>
              <w:pStyle w:val="39"/>
              <w:wordWrap w:val="0"/>
              <w:adjustRightInd w:val="0"/>
              <w:snapToGrid w:val="0"/>
              <w:spacing w:line="400" w:lineRule="exact"/>
              <w:jc w:val="left"/>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2025 </w:t>
            </w:r>
            <w:r>
              <w:rPr>
                <w:rFonts w:hint="eastAsia" w:ascii="宋体" w:hAnsi="宋体" w:eastAsia="宋体" w:cs="宋体"/>
                <w:i w:val="0"/>
                <w:iCs w:val="0"/>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12</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29</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日</w:t>
            </w:r>
            <w:r>
              <w:rPr>
                <w:rFonts w:hint="eastAsia" w:ascii="宋体" w:hAnsi="宋体" w:eastAsia="宋体" w:cs="宋体"/>
                <w:snapToGrid w:val="0"/>
                <w:color w:val="000000" w:themeColor="text1"/>
                <w:kern w:val="0"/>
                <w:sz w:val="24"/>
                <w:highlight w:val="none"/>
                <w:u w:val="single"/>
                <w:lang w:val="en-US" w:eastAsia="zh-CN"/>
                <w14:textFill>
                  <w14:solidFill>
                    <w14:schemeClr w14:val="tx1"/>
                  </w14:solidFill>
                </w14:textFill>
              </w:rPr>
              <w:t>16</w:t>
            </w:r>
            <w:r>
              <w:rPr>
                <w:rFonts w:hint="eastAsia" w:ascii="宋体" w:hAnsi="宋体" w:eastAsia="宋体" w:cs="宋体"/>
                <w:snapToGrid w:val="0"/>
                <w:color w:val="000000" w:themeColor="text1"/>
                <w:kern w:val="0"/>
                <w:sz w:val="24"/>
                <w:highlight w:val="none"/>
                <w14:textFill>
                  <w14:solidFill>
                    <w14:schemeClr w14:val="tx1"/>
                  </w14:solidFill>
                </w14:textFill>
              </w:rPr>
              <w:t>时</w:t>
            </w:r>
            <w:r>
              <w:rPr>
                <w:rFonts w:hint="eastAsia" w:ascii="宋体" w:hAnsi="宋体" w:eastAsia="宋体" w:cs="宋体"/>
                <w:snapToGrid w:val="0"/>
                <w:color w:val="000000" w:themeColor="text1"/>
                <w:kern w:val="0"/>
                <w:sz w:val="24"/>
                <w:highlight w:val="none"/>
                <w:u w:val="single"/>
                <w:lang w:val="en-US" w:eastAsia="zh-CN"/>
                <w14:textFill>
                  <w14:solidFill>
                    <w14:schemeClr w14:val="tx1"/>
                  </w14:solidFill>
                </w14:textFill>
              </w:rPr>
              <w:t>00</w:t>
            </w:r>
            <w:r>
              <w:rPr>
                <w:rFonts w:hint="eastAsia" w:ascii="宋体" w:hAnsi="宋体" w:eastAsia="宋体" w:cs="宋体"/>
                <w:snapToGrid w:val="0"/>
                <w:color w:val="000000" w:themeColor="text1"/>
                <w:kern w:val="0"/>
                <w:sz w:val="24"/>
                <w:highlight w:val="none"/>
                <w14:textFill>
                  <w14:solidFill>
                    <w14:schemeClr w14:val="tx1"/>
                  </w14:solidFill>
                </w14:textFill>
              </w:rPr>
              <w:t>分</w:t>
            </w:r>
          </w:p>
        </w:tc>
      </w:tr>
      <w:tr w14:paraId="7DEEBF6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70" w:hRule="exact"/>
        </w:trPr>
        <w:tc>
          <w:tcPr>
            <w:tcW w:w="504" w:type="dxa"/>
            <w:tcBorders>
              <w:top w:val="single" w:color="080000" w:sz="4" w:space="0"/>
              <w:left w:val="single" w:color="080000" w:sz="4" w:space="0"/>
              <w:bottom w:val="single" w:color="080000" w:sz="4" w:space="0"/>
              <w:right w:val="single" w:color="080000" w:sz="4" w:space="0"/>
            </w:tcBorders>
            <w:noWrap w:val="0"/>
            <w:vAlign w:val="center"/>
          </w:tcPr>
          <w:p w14:paraId="45C470D5">
            <w:pPr>
              <w:pStyle w:val="39"/>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4</w:t>
            </w:r>
          </w:p>
        </w:tc>
        <w:tc>
          <w:tcPr>
            <w:tcW w:w="1610" w:type="dxa"/>
            <w:tcBorders>
              <w:top w:val="single" w:color="080000" w:sz="4" w:space="0"/>
              <w:left w:val="single" w:color="080000" w:sz="4" w:space="0"/>
              <w:bottom w:val="single" w:color="080000" w:sz="4" w:space="0"/>
              <w:right w:val="single" w:color="080000" w:sz="4" w:space="0"/>
            </w:tcBorders>
            <w:noWrap w:val="0"/>
            <w:vAlign w:val="center"/>
          </w:tcPr>
          <w:p w14:paraId="0F0C6282">
            <w:pPr>
              <w:pStyle w:val="39"/>
              <w:wordWrap w:val="0"/>
              <w:adjustRightInd w:val="0"/>
              <w:snapToGrid w:val="0"/>
              <w:spacing w:line="360" w:lineRule="exact"/>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网上答疑</w:t>
            </w:r>
          </w:p>
          <w:p w14:paraId="0A74B8A9">
            <w:pPr>
              <w:pStyle w:val="39"/>
              <w:wordWrap w:val="0"/>
              <w:adjustRightInd w:val="0"/>
              <w:snapToGrid w:val="0"/>
              <w:spacing w:line="360" w:lineRule="exact"/>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时间</w:t>
            </w:r>
          </w:p>
        </w:tc>
        <w:tc>
          <w:tcPr>
            <w:tcW w:w="7585" w:type="dxa"/>
            <w:tcBorders>
              <w:top w:val="single" w:color="080000" w:sz="4" w:space="0"/>
              <w:left w:val="single" w:color="080000" w:sz="4" w:space="0"/>
              <w:bottom w:val="single" w:color="080000" w:sz="4" w:space="0"/>
              <w:right w:val="single" w:color="080000" w:sz="4" w:space="0"/>
            </w:tcBorders>
            <w:noWrap w:val="0"/>
            <w:vAlign w:val="center"/>
          </w:tcPr>
          <w:p w14:paraId="45E20FE3">
            <w:pPr>
              <w:pStyle w:val="39"/>
              <w:wordWrap w:val="0"/>
              <w:adjustRightInd w:val="0"/>
              <w:snapToGrid w:val="0"/>
              <w:spacing w:line="400" w:lineRule="exact"/>
              <w:jc w:val="left"/>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2025 </w:t>
            </w:r>
            <w:r>
              <w:rPr>
                <w:rFonts w:hint="eastAsia" w:ascii="宋体" w:hAnsi="宋体" w:eastAsia="宋体" w:cs="宋体"/>
                <w:i w:val="0"/>
                <w:iCs w:val="0"/>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12</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29</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日</w:t>
            </w:r>
            <w:r>
              <w:rPr>
                <w:rFonts w:hint="eastAsia" w:ascii="宋体" w:hAnsi="宋体" w:eastAsia="宋体" w:cs="宋体"/>
                <w:snapToGrid w:val="0"/>
                <w:color w:val="000000" w:themeColor="text1"/>
                <w:kern w:val="0"/>
                <w:sz w:val="24"/>
                <w:highlight w:val="none"/>
                <w:u w:val="single"/>
                <w:lang w:val="en-US" w:eastAsia="zh-CN"/>
                <w14:textFill>
                  <w14:solidFill>
                    <w14:schemeClr w14:val="tx1"/>
                  </w14:solidFill>
                </w14:textFill>
              </w:rPr>
              <w:t>16</w:t>
            </w:r>
            <w:r>
              <w:rPr>
                <w:rFonts w:hint="eastAsia" w:ascii="宋体" w:hAnsi="宋体" w:eastAsia="宋体" w:cs="宋体"/>
                <w:snapToGrid w:val="0"/>
                <w:color w:val="000000" w:themeColor="text1"/>
                <w:kern w:val="0"/>
                <w:sz w:val="24"/>
                <w:highlight w:val="none"/>
                <w14:textFill>
                  <w14:solidFill>
                    <w14:schemeClr w14:val="tx1"/>
                  </w14:solidFill>
                </w14:textFill>
              </w:rPr>
              <w:t>时</w:t>
            </w:r>
            <w:r>
              <w:rPr>
                <w:rFonts w:hint="eastAsia" w:ascii="宋体" w:hAnsi="宋体" w:eastAsia="宋体" w:cs="宋体"/>
                <w:snapToGrid w:val="0"/>
                <w:color w:val="000000" w:themeColor="text1"/>
                <w:kern w:val="0"/>
                <w:sz w:val="24"/>
                <w:highlight w:val="none"/>
                <w:u w:val="single"/>
                <w:lang w:val="en-US" w:eastAsia="zh-CN"/>
                <w14:textFill>
                  <w14:solidFill>
                    <w14:schemeClr w14:val="tx1"/>
                  </w14:solidFill>
                </w14:textFill>
              </w:rPr>
              <w:t>30</w:t>
            </w:r>
            <w:r>
              <w:rPr>
                <w:rFonts w:hint="eastAsia" w:ascii="宋体" w:hAnsi="宋体" w:eastAsia="宋体" w:cs="宋体"/>
                <w:snapToGrid w:val="0"/>
                <w:color w:val="000000" w:themeColor="text1"/>
                <w:kern w:val="0"/>
                <w:sz w:val="24"/>
                <w:highlight w:val="none"/>
                <w14:textFill>
                  <w14:solidFill>
                    <w14:schemeClr w14:val="tx1"/>
                  </w14:solidFill>
                </w14:textFill>
              </w:rPr>
              <w:t>分至</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202</w:t>
            </w:r>
            <w:r>
              <w:rPr>
                <w:rFonts w:hint="eastAsia" w:ascii="宋体" w:hAnsi="宋体" w:cs="宋体"/>
                <w:color w:val="000000" w:themeColor="text1"/>
                <w:sz w:val="24"/>
                <w:szCs w:val="24"/>
                <w:highlight w:val="none"/>
                <w:u w:val="singl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i w:val="0"/>
                <w:iCs w:val="0"/>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日</w:t>
            </w:r>
            <w:r>
              <w:rPr>
                <w:rFonts w:hint="eastAsia" w:ascii="宋体" w:hAnsi="宋体" w:eastAsia="宋体" w:cs="宋体"/>
                <w:snapToGrid w:val="0"/>
                <w:color w:val="000000" w:themeColor="text1"/>
                <w:kern w:val="0"/>
                <w:sz w:val="24"/>
                <w:highlight w:val="none"/>
                <w:u w:val="single"/>
                <w:lang w:val="en-US" w:eastAsia="zh-CN"/>
                <w14:textFill>
                  <w14:solidFill>
                    <w14:schemeClr w14:val="tx1"/>
                  </w14:solidFill>
                </w14:textFill>
              </w:rPr>
              <w:t>16</w:t>
            </w:r>
            <w:r>
              <w:rPr>
                <w:rFonts w:hint="eastAsia" w:ascii="宋体" w:hAnsi="宋体" w:eastAsia="宋体" w:cs="宋体"/>
                <w:snapToGrid w:val="0"/>
                <w:color w:val="000000" w:themeColor="text1"/>
                <w:kern w:val="0"/>
                <w:sz w:val="24"/>
                <w:highlight w:val="none"/>
                <w14:textFill>
                  <w14:solidFill>
                    <w14:schemeClr w14:val="tx1"/>
                  </w14:solidFill>
                </w14:textFill>
              </w:rPr>
              <w:t>时</w:t>
            </w:r>
            <w:r>
              <w:rPr>
                <w:rFonts w:hint="eastAsia" w:ascii="宋体" w:hAnsi="宋体" w:eastAsia="宋体" w:cs="宋体"/>
                <w:snapToGrid w:val="0"/>
                <w:color w:val="000000" w:themeColor="text1"/>
                <w:kern w:val="0"/>
                <w:sz w:val="24"/>
                <w:highlight w:val="none"/>
                <w:u w:val="single"/>
                <w:lang w:val="en-US" w:eastAsia="zh-CN"/>
                <w14:textFill>
                  <w14:solidFill>
                    <w14:schemeClr w14:val="tx1"/>
                  </w14:solidFill>
                </w14:textFill>
              </w:rPr>
              <w:t>00</w:t>
            </w:r>
            <w:r>
              <w:rPr>
                <w:rFonts w:hint="eastAsia" w:ascii="宋体" w:hAnsi="宋体" w:eastAsia="宋体" w:cs="宋体"/>
                <w:snapToGrid w:val="0"/>
                <w:color w:val="000000" w:themeColor="text1"/>
                <w:kern w:val="0"/>
                <w:sz w:val="24"/>
                <w:highlight w:val="none"/>
                <w14:textFill>
                  <w14:solidFill>
                    <w14:schemeClr w14:val="tx1"/>
                  </w14:solidFill>
                </w14:textFill>
              </w:rPr>
              <w:t>分</w:t>
            </w:r>
          </w:p>
        </w:tc>
      </w:tr>
      <w:tr w14:paraId="27131FF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94" w:hRule="exact"/>
        </w:trPr>
        <w:tc>
          <w:tcPr>
            <w:tcW w:w="504" w:type="dxa"/>
            <w:tcBorders>
              <w:top w:val="single" w:color="080000" w:sz="4" w:space="0"/>
              <w:left w:val="single" w:color="080000" w:sz="4" w:space="0"/>
              <w:bottom w:val="single" w:color="080000" w:sz="4" w:space="0"/>
              <w:right w:val="single" w:color="080000" w:sz="4" w:space="0"/>
            </w:tcBorders>
            <w:noWrap w:val="0"/>
            <w:vAlign w:val="center"/>
          </w:tcPr>
          <w:p w14:paraId="66F98CB7">
            <w:pPr>
              <w:pStyle w:val="39"/>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5</w:t>
            </w:r>
          </w:p>
        </w:tc>
        <w:tc>
          <w:tcPr>
            <w:tcW w:w="1610" w:type="dxa"/>
            <w:tcBorders>
              <w:top w:val="single" w:color="080000" w:sz="4" w:space="0"/>
              <w:left w:val="single" w:color="080000" w:sz="4" w:space="0"/>
              <w:bottom w:val="single" w:color="080000" w:sz="4" w:space="0"/>
              <w:right w:val="single" w:color="080000" w:sz="4" w:space="0"/>
            </w:tcBorders>
            <w:noWrap w:val="0"/>
            <w:vAlign w:val="center"/>
          </w:tcPr>
          <w:p w14:paraId="4F1C7D0A">
            <w:pPr>
              <w:pStyle w:val="39"/>
              <w:wordWrap w:val="0"/>
              <w:adjustRightInd w:val="0"/>
              <w:snapToGrid w:val="0"/>
              <w:spacing w:line="360" w:lineRule="exact"/>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投标保证缴</w:t>
            </w:r>
          </w:p>
          <w:p w14:paraId="0D9FF3FC">
            <w:pPr>
              <w:pStyle w:val="39"/>
              <w:wordWrap w:val="0"/>
              <w:adjustRightInd w:val="0"/>
              <w:snapToGrid w:val="0"/>
              <w:spacing w:line="360" w:lineRule="exact"/>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纳截止时间</w:t>
            </w:r>
          </w:p>
        </w:tc>
        <w:tc>
          <w:tcPr>
            <w:tcW w:w="7585" w:type="dxa"/>
            <w:tcBorders>
              <w:top w:val="single" w:color="080000" w:sz="4" w:space="0"/>
              <w:left w:val="single" w:color="080000" w:sz="4" w:space="0"/>
              <w:bottom w:val="single" w:color="080000" w:sz="4" w:space="0"/>
              <w:right w:val="single" w:color="080000" w:sz="4" w:space="0"/>
            </w:tcBorders>
            <w:noWrap w:val="0"/>
            <w:vAlign w:val="center"/>
          </w:tcPr>
          <w:p w14:paraId="21346ACF">
            <w:pPr>
              <w:pStyle w:val="39"/>
              <w:wordWrap w:val="0"/>
              <w:adjustRightInd w:val="0"/>
              <w:snapToGrid w:val="0"/>
              <w:spacing w:line="400" w:lineRule="exact"/>
              <w:ind w:firstLine="240" w:firstLineChars="10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投标保证金到账截止时间：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202</w:t>
            </w:r>
            <w:r>
              <w:rPr>
                <w:rFonts w:hint="eastAsia" w:ascii="宋体" w:hAnsi="宋体" w:cs="宋体"/>
                <w:color w:val="000000" w:themeColor="text1"/>
                <w:sz w:val="24"/>
                <w:szCs w:val="24"/>
                <w:highlight w:val="none"/>
                <w:u w:val="singl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i w:val="0"/>
                <w:iCs w:val="0"/>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日</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10</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时</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分</w:t>
            </w:r>
            <w:r>
              <w:rPr>
                <w:rFonts w:hint="eastAsia" w:ascii="宋体" w:hAnsi="宋体" w:eastAsia="宋体" w:cs="宋体"/>
                <w:snapToGrid w:val="0"/>
                <w:color w:val="000000" w:themeColor="text1"/>
                <w:kern w:val="0"/>
                <w:sz w:val="24"/>
                <w:highlight w:val="none"/>
                <w14:textFill>
                  <w14:solidFill>
                    <w14:schemeClr w14:val="tx1"/>
                  </w14:solidFill>
                </w14:textFill>
              </w:rPr>
              <w:t>；</w:t>
            </w:r>
          </w:p>
          <w:p w14:paraId="041E595F">
            <w:pPr>
              <w:pStyle w:val="39"/>
              <w:wordWrap w:val="0"/>
              <w:adjustRightInd w:val="0"/>
              <w:snapToGrid w:val="0"/>
              <w:spacing w:line="400" w:lineRule="exact"/>
              <w:ind w:firstLine="240" w:firstLineChars="10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投标保证担保上传截止时间：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202</w:t>
            </w:r>
            <w:r>
              <w:rPr>
                <w:rFonts w:hint="eastAsia" w:ascii="宋体" w:hAnsi="宋体" w:cs="宋体"/>
                <w:color w:val="000000" w:themeColor="text1"/>
                <w:sz w:val="24"/>
                <w:szCs w:val="24"/>
                <w:highlight w:val="none"/>
                <w:u w:val="singl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i w:val="0"/>
                <w:iCs w:val="0"/>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日</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10</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时</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分</w:t>
            </w:r>
            <w:r>
              <w:rPr>
                <w:rFonts w:hint="eastAsia" w:ascii="宋体" w:hAnsi="宋体" w:eastAsia="宋体" w:cs="宋体"/>
                <w:snapToGrid w:val="0"/>
                <w:color w:val="000000" w:themeColor="text1"/>
                <w:kern w:val="0"/>
                <w:sz w:val="24"/>
                <w:highlight w:val="none"/>
                <w14:textFill>
                  <w14:solidFill>
                    <w14:schemeClr w14:val="tx1"/>
                  </w14:solidFill>
                </w14:textFill>
              </w:rPr>
              <w:t>；</w:t>
            </w:r>
          </w:p>
          <w:p w14:paraId="4B99E5D4">
            <w:pPr>
              <w:pStyle w:val="19"/>
              <w:wordWrap w:val="0"/>
              <w:adjustRightInd w:val="0"/>
              <w:snapToGrid w:val="0"/>
              <w:spacing w:line="400" w:lineRule="exact"/>
              <w:ind w:firstLine="240" w:firstLineChars="100"/>
              <w:rPr>
                <w:rFonts w:hint="eastAsia" w:ascii="宋体" w:hAnsi="宋体" w:eastAsia="宋体" w:cs="宋体"/>
                <w:snapToGrid w:val="0"/>
                <w:color w:val="000000" w:themeColor="text1"/>
                <w:kern w:val="0"/>
                <w:szCs w:val="24"/>
                <w:highlight w:val="none"/>
                <w14:textFill>
                  <w14:solidFill>
                    <w14:schemeClr w14:val="tx1"/>
                  </w14:solidFill>
                </w14:textFill>
              </w:rPr>
            </w:pPr>
            <w:r>
              <w:rPr>
                <w:rFonts w:hint="eastAsia" w:ascii="宋体" w:hAnsi="宋体" w:eastAsia="宋体" w:cs="宋体"/>
                <w:snapToGrid w:val="0"/>
                <w:color w:val="000000" w:themeColor="text1"/>
                <w:kern w:val="0"/>
                <w:szCs w:val="24"/>
                <w:highlight w:val="none"/>
                <w14:textFill>
                  <w14:solidFill>
                    <w14:schemeClr w14:val="tx1"/>
                  </w14:solidFill>
                </w14:textFill>
              </w:rPr>
              <w:t>投标保证保险投保截止时间：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202</w:t>
            </w:r>
            <w:r>
              <w:rPr>
                <w:rFonts w:hint="eastAsia" w:ascii="宋体" w:hAnsi="宋体" w:cs="宋体"/>
                <w:color w:val="000000" w:themeColor="text1"/>
                <w:sz w:val="24"/>
                <w:szCs w:val="24"/>
                <w:highlight w:val="none"/>
                <w:u w:val="singl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i w:val="0"/>
                <w:iCs w:val="0"/>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日</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10</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时</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分</w:t>
            </w:r>
            <w:r>
              <w:rPr>
                <w:rFonts w:hint="eastAsia" w:ascii="宋体" w:hAnsi="宋体" w:eastAsia="宋体" w:cs="宋体"/>
                <w:snapToGrid w:val="0"/>
                <w:color w:val="000000" w:themeColor="text1"/>
                <w:kern w:val="0"/>
                <w:szCs w:val="24"/>
                <w:highlight w:val="none"/>
                <w14:textFill>
                  <w14:solidFill>
                    <w14:schemeClr w14:val="tx1"/>
                  </w14:solidFill>
                </w14:textFill>
              </w:rPr>
              <w:t>。</w:t>
            </w:r>
          </w:p>
        </w:tc>
      </w:tr>
      <w:tr w14:paraId="1FE4F4A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38" w:hRule="exact"/>
        </w:trPr>
        <w:tc>
          <w:tcPr>
            <w:tcW w:w="504" w:type="dxa"/>
            <w:tcBorders>
              <w:top w:val="single" w:color="080000" w:sz="4" w:space="0"/>
              <w:left w:val="single" w:color="080000" w:sz="4" w:space="0"/>
              <w:bottom w:val="single" w:color="080000" w:sz="4" w:space="0"/>
              <w:right w:val="single" w:color="080000" w:sz="4" w:space="0"/>
            </w:tcBorders>
            <w:noWrap w:val="0"/>
            <w:vAlign w:val="center"/>
          </w:tcPr>
          <w:p w14:paraId="1BECB072">
            <w:pPr>
              <w:pStyle w:val="39"/>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6</w:t>
            </w:r>
          </w:p>
        </w:tc>
        <w:tc>
          <w:tcPr>
            <w:tcW w:w="1610" w:type="dxa"/>
            <w:tcBorders>
              <w:top w:val="single" w:color="080000" w:sz="4" w:space="0"/>
              <w:left w:val="single" w:color="080000" w:sz="4" w:space="0"/>
              <w:bottom w:val="single" w:color="080000" w:sz="4" w:space="0"/>
              <w:right w:val="single" w:color="080000" w:sz="4" w:space="0"/>
            </w:tcBorders>
            <w:noWrap w:val="0"/>
            <w:vAlign w:val="center"/>
          </w:tcPr>
          <w:p w14:paraId="023875C3">
            <w:pPr>
              <w:pStyle w:val="39"/>
              <w:wordWrap w:val="0"/>
              <w:adjustRightInd w:val="0"/>
              <w:snapToGrid w:val="0"/>
              <w:spacing w:line="360" w:lineRule="exact"/>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电子投标</w:t>
            </w:r>
          </w:p>
          <w:p w14:paraId="2F5139AE">
            <w:pPr>
              <w:pStyle w:val="39"/>
              <w:wordWrap w:val="0"/>
              <w:adjustRightInd w:val="0"/>
              <w:snapToGrid w:val="0"/>
              <w:spacing w:line="360" w:lineRule="exact"/>
              <w:jc w:val="center"/>
              <w:rPr>
                <w:rFonts w:hint="eastAsia" w:asciiTheme="minorEastAsia" w:hAnsiTheme="minorEastAsia" w:eastAsiaTheme="minorEastAsia" w:cstheme="minorEastAsia"/>
                <w:strike/>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 xml:space="preserve">截止时间 </w:t>
            </w:r>
          </w:p>
        </w:tc>
        <w:tc>
          <w:tcPr>
            <w:tcW w:w="7585" w:type="dxa"/>
            <w:tcBorders>
              <w:top w:val="single" w:color="080000" w:sz="4" w:space="0"/>
              <w:left w:val="single" w:color="080000" w:sz="4" w:space="0"/>
              <w:bottom w:val="single" w:color="080000" w:sz="4" w:space="0"/>
              <w:right w:val="single" w:color="080000" w:sz="4" w:space="0"/>
            </w:tcBorders>
            <w:noWrap w:val="0"/>
            <w:vAlign w:val="center"/>
          </w:tcPr>
          <w:p w14:paraId="110EBA23">
            <w:pPr>
              <w:pStyle w:val="19"/>
              <w:wordWrap w:val="0"/>
              <w:adjustRightInd w:val="0"/>
              <w:snapToGrid w:val="0"/>
              <w:spacing w:line="400" w:lineRule="exact"/>
              <w:ind w:firstLine="120" w:firstLineChars="50"/>
              <w:jc w:val="left"/>
              <w:rPr>
                <w:rFonts w:hint="eastAsia" w:ascii="宋体" w:hAnsi="宋体" w:eastAsia="宋体" w:cs="宋体"/>
                <w:snapToGrid w:val="0"/>
                <w:color w:val="000000" w:themeColor="text1"/>
                <w:kern w:val="0"/>
                <w:szCs w:val="24"/>
                <w:highlight w:val="none"/>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202</w:t>
            </w:r>
            <w:r>
              <w:rPr>
                <w:rFonts w:hint="eastAsia" w:ascii="宋体" w:hAnsi="宋体" w:cs="宋体"/>
                <w:color w:val="000000" w:themeColor="text1"/>
                <w:sz w:val="24"/>
                <w:szCs w:val="24"/>
                <w:highlight w:val="none"/>
                <w:u w:val="singl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i w:val="0"/>
                <w:iCs w:val="0"/>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8</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日</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10</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时</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分</w:t>
            </w:r>
          </w:p>
        </w:tc>
      </w:tr>
      <w:tr w14:paraId="5FD0461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93" w:hRule="exact"/>
        </w:trPr>
        <w:tc>
          <w:tcPr>
            <w:tcW w:w="504" w:type="dxa"/>
            <w:tcBorders>
              <w:top w:val="single" w:color="080000" w:sz="4" w:space="0"/>
              <w:left w:val="single" w:color="080000" w:sz="4" w:space="0"/>
              <w:bottom w:val="single" w:color="080000" w:sz="4" w:space="0"/>
              <w:right w:val="single" w:color="080000" w:sz="4" w:space="0"/>
            </w:tcBorders>
            <w:noWrap w:val="0"/>
            <w:vAlign w:val="center"/>
          </w:tcPr>
          <w:p w14:paraId="616A944A">
            <w:pPr>
              <w:pStyle w:val="39"/>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7</w:t>
            </w:r>
          </w:p>
        </w:tc>
        <w:tc>
          <w:tcPr>
            <w:tcW w:w="1610" w:type="dxa"/>
            <w:tcBorders>
              <w:top w:val="single" w:color="080000" w:sz="4" w:space="0"/>
              <w:left w:val="single" w:color="080000" w:sz="4" w:space="0"/>
              <w:bottom w:val="single" w:color="080000" w:sz="4" w:space="0"/>
              <w:right w:val="single" w:color="080000" w:sz="4" w:space="0"/>
            </w:tcBorders>
            <w:noWrap w:val="0"/>
            <w:vAlign w:val="center"/>
          </w:tcPr>
          <w:p w14:paraId="72E0DCA2">
            <w:pPr>
              <w:pStyle w:val="39"/>
              <w:wordWrap w:val="0"/>
              <w:adjustRightInd w:val="0"/>
              <w:snapToGrid w:val="0"/>
              <w:spacing w:line="360" w:lineRule="exact"/>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投标相关资料（如有）递交时间</w:t>
            </w:r>
          </w:p>
        </w:tc>
        <w:tc>
          <w:tcPr>
            <w:tcW w:w="7585" w:type="dxa"/>
            <w:tcBorders>
              <w:top w:val="single" w:color="080000" w:sz="4" w:space="0"/>
              <w:left w:val="single" w:color="080000" w:sz="4" w:space="0"/>
              <w:bottom w:val="single" w:color="080000" w:sz="4" w:space="0"/>
              <w:right w:val="single" w:color="080000" w:sz="4" w:space="0"/>
            </w:tcBorders>
            <w:noWrap w:val="0"/>
            <w:vAlign w:val="center"/>
          </w:tcPr>
          <w:p w14:paraId="67655BE1">
            <w:pPr>
              <w:pStyle w:val="19"/>
              <w:wordWrap w:val="0"/>
              <w:adjustRightInd w:val="0"/>
              <w:snapToGrid w:val="0"/>
              <w:spacing w:line="400" w:lineRule="exact"/>
              <w:jc w:val="left"/>
              <w:rPr>
                <w:rFonts w:hint="eastAsia" w:ascii="宋体" w:hAnsi="宋体" w:eastAsia="宋体" w:cs="宋体"/>
                <w:snapToGrid w:val="0"/>
                <w:color w:val="000000" w:themeColor="text1"/>
                <w:kern w:val="0"/>
                <w:szCs w:val="24"/>
                <w:highlight w:val="none"/>
                <w14:textFill>
                  <w14:solidFill>
                    <w14:schemeClr w14:val="tx1"/>
                  </w14:solidFill>
                </w14:textFill>
              </w:rPr>
            </w:pPr>
            <w:r>
              <w:rPr>
                <w:rFonts w:hint="eastAsia" w:ascii="宋体" w:hAnsi="宋体" w:eastAsia="宋体" w:cs="宋体"/>
                <w:snapToGrid w:val="0"/>
                <w:color w:val="000000" w:themeColor="text1"/>
                <w:kern w:val="0"/>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2202</w:t>
            </w:r>
            <w:r>
              <w:rPr>
                <w:rFonts w:hint="eastAsia" w:ascii="宋体" w:hAnsi="宋体" w:cs="宋体"/>
                <w:color w:val="000000" w:themeColor="text1"/>
                <w:sz w:val="24"/>
                <w:szCs w:val="24"/>
                <w:highlight w:val="none"/>
                <w:u w:val="singl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i w:val="0"/>
                <w:iCs w:val="0"/>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8</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日</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10</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时</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hAnsi="宋体" w:cs="宋体"/>
                <w:color w:val="000000" w:themeColor="text1"/>
                <w:sz w:val="24"/>
                <w:szCs w:val="24"/>
                <w:highlight w:val="none"/>
                <w:u w:val="single"/>
                <w:lang w:val="en-US" w:eastAsia="zh-CN"/>
                <w14:textFill>
                  <w14:solidFill>
                    <w14:schemeClr w14:val="tx1"/>
                  </w14:solidFill>
                </w14:textFill>
              </w:rPr>
              <w:t>0</w:t>
            </w:r>
            <w:r>
              <w:rPr>
                <w:rFonts w:hint="eastAsia" w:ascii="宋体" w:hAnsi="宋体" w:cs="宋体"/>
                <w:color w:val="000000" w:themeColor="text1"/>
                <w:sz w:val="24"/>
                <w:szCs w:val="24"/>
                <w:highlight w:val="none"/>
                <w:u w:val="single"/>
                <w:lang w:val="en-US" w:eastAsia="zh-CN"/>
                <w14:textFill>
                  <w14:solidFill>
                    <w14:schemeClr w14:val="tx1"/>
                  </w14:solidFill>
                </w14:textFill>
              </w:rPr>
              <w:t>0</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分</w:t>
            </w:r>
            <w:r>
              <w:rPr>
                <w:rFonts w:hint="eastAsia" w:ascii="宋体" w:hAnsi="宋体" w:eastAsia="宋体" w:cs="宋体"/>
                <w:snapToGrid w:val="0"/>
                <w:color w:val="000000" w:themeColor="text1"/>
                <w:kern w:val="0"/>
                <w:szCs w:val="24"/>
                <w:highlight w:val="none"/>
                <w14:textFill>
                  <w14:solidFill>
                    <w14:schemeClr w14:val="tx1"/>
                  </w14:solidFill>
                </w14:textFill>
              </w:rPr>
              <w:t>至</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202</w:t>
            </w:r>
            <w:r>
              <w:rPr>
                <w:rFonts w:hint="eastAsia" w:ascii="宋体" w:hAnsi="宋体" w:cs="宋体"/>
                <w:color w:val="000000" w:themeColor="text1"/>
                <w:sz w:val="24"/>
                <w:szCs w:val="24"/>
                <w:highlight w:val="none"/>
                <w:u w:val="singl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i w:val="0"/>
                <w:iCs w:val="0"/>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8</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日</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10</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时</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分</w:t>
            </w:r>
          </w:p>
        </w:tc>
      </w:tr>
      <w:tr w14:paraId="5FFACED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607" w:hRule="exact"/>
        </w:trPr>
        <w:tc>
          <w:tcPr>
            <w:tcW w:w="504" w:type="dxa"/>
            <w:tcBorders>
              <w:top w:val="single" w:color="080000" w:sz="4" w:space="0"/>
              <w:left w:val="single" w:color="080000" w:sz="4" w:space="0"/>
              <w:bottom w:val="single" w:color="080000" w:sz="4" w:space="0"/>
              <w:right w:val="single" w:color="080000" w:sz="4" w:space="0"/>
            </w:tcBorders>
            <w:noWrap w:val="0"/>
            <w:vAlign w:val="center"/>
          </w:tcPr>
          <w:p w14:paraId="78DEEFEE">
            <w:pPr>
              <w:pStyle w:val="39"/>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8</w:t>
            </w:r>
          </w:p>
        </w:tc>
        <w:tc>
          <w:tcPr>
            <w:tcW w:w="1610" w:type="dxa"/>
            <w:tcBorders>
              <w:top w:val="single" w:color="080000" w:sz="4" w:space="0"/>
              <w:left w:val="single" w:color="080000" w:sz="4" w:space="0"/>
              <w:bottom w:val="single" w:color="080000" w:sz="4" w:space="0"/>
              <w:right w:val="single" w:color="080000" w:sz="4" w:space="0"/>
            </w:tcBorders>
            <w:noWrap w:val="0"/>
            <w:vAlign w:val="center"/>
          </w:tcPr>
          <w:p w14:paraId="491A0D5A">
            <w:pPr>
              <w:pStyle w:val="39"/>
              <w:wordWrap w:val="0"/>
              <w:adjustRightInd w:val="0"/>
              <w:snapToGrid w:val="0"/>
              <w:spacing w:line="360" w:lineRule="exact"/>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投标相关资料（如有）递交地点</w:t>
            </w:r>
          </w:p>
        </w:tc>
        <w:tc>
          <w:tcPr>
            <w:tcW w:w="7585" w:type="dxa"/>
            <w:tcBorders>
              <w:top w:val="single" w:color="080000" w:sz="4" w:space="0"/>
              <w:left w:val="single" w:color="080000" w:sz="4" w:space="0"/>
              <w:bottom w:val="single" w:color="080000" w:sz="4" w:space="0"/>
              <w:right w:val="single" w:color="080000" w:sz="4" w:space="0"/>
            </w:tcBorders>
            <w:noWrap w:val="0"/>
            <w:vAlign w:val="center"/>
          </w:tcPr>
          <w:p w14:paraId="51BA4AB9">
            <w:pPr>
              <w:pStyle w:val="39"/>
              <w:wordWrap w:val="0"/>
              <w:adjustRightInd w:val="0"/>
              <w:snapToGrid w:val="0"/>
              <w:spacing w:line="360" w:lineRule="auto"/>
              <w:jc w:val="left"/>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递交场所：</w:t>
            </w:r>
            <w:r>
              <w:rPr>
                <w:rFonts w:hint="eastAsia" w:ascii="宋体" w:hAnsi="宋体" w:eastAsia="宋体" w:cs="宋体"/>
                <w:color w:val="000000" w:themeColor="text1"/>
                <w:kern w:val="2"/>
                <w:sz w:val="24"/>
                <w:szCs w:val="24"/>
                <w:highlight w:val="none"/>
                <w:u w:val="single"/>
                <w:lang w:val="en-US" w:eastAsia="zh-CN" w:bidi="ar-SA"/>
                <w14:textFill>
                  <w14:solidFill>
                    <w14:schemeClr w14:val="tx1"/>
                  </w14:solidFill>
                </w14:textFill>
              </w:rPr>
              <w:t>韶关市公共资源交易中心翁源分中心</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，地址：</w:t>
            </w:r>
            <w:r>
              <w:rPr>
                <w:rFonts w:hint="eastAsia" w:ascii="宋体" w:hAnsi="宋体" w:eastAsia="宋体" w:cs="宋体"/>
                <w:color w:val="000000" w:themeColor="text1"/>
                <w:kern w:val="2"/>
                <w:sz w:val="24"/>
                <w:szCs w:val="24"/>
                <w:highlight w:val="none"/>
                <w:u w:val="single"/>
                <w:lang w:val="en-US" w:eastAsia="zh-CN" w:bidi="ar-SA"/>
                <w14:textFill>
                  <w14:solidFill>
                    <w14:schemeClr w14:val="tx1"/>
                  </w14:solidFill>
                </w14:textFill>
              </w:rPr>
              <w:t>翁源县龙仙镇朝阳路63号韶关市公共资源交易中心翁源分中心</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，具体房间号以当日现场通知为准。</w:t>
            </w:r>
          </w:p>
        </w:tc>
      </w:tr>
      <w:tr w14:paraId="3BC5B78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85" w:hRule="exact"/>
        </w:trPr>
        <w:tc>
          <w:tcPr>
            <w:tcW w:w="504" w:type="dxa"/>
            <w:tcBorders>
              <w:top w:val="single" w:color="080000" w:sz="4" w:space="0"/>
              <w:left w:val="single" w:color="080000" w:sz="4" w:space="0"/>
              <w:bottom w:val="single" w:color="080000" w:sz="4" w:space="0"/>
              <w:right w:val="single" w:color="080000" w:sz="4" w:space="0"/>
            </w:tcBorders>
            <w:noWrap w:val="0"/>
            <w:vAlign w:val="center"/>
          </w:tcPr>
          <w:p w14:paraId="6E0B6893">
            <w:pPr>
              <w:pStyle w:val="39"/>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9</w:t>
            </w:r>
          </w:p>
        </w:tc>
        <w:tc>
          <w:tcPr>
            <w:tcW w:w="1610" w:type="dxa"/>
            <w:tcBorders>
              <w:top w:val="single" w:color="080000" w:sz="4" w:space="0"/>
              <w:left w:val="single" w:color="080000" w:sz="4" w:space="0"/>
              <w:bottom w:val="single" w:color="080000" w:sz="4" w:space="0"/>
              <w:right w:val="single" w:color="080000" w:sz="4" w:space="0"/>
            </w:tcBorders>
            <w:noWrap w:val="0"/>
            <w:vAlign w:val="center"/>
          </w:tcPr>
          <w:p w14:paraId="4F6A3ED1">
            <w:pPr>
              <w:pStyle w:val="39"/>
              <w:wordWrap w:val="0"/>
              <w:adjustRightInd w:val="0"/>
              <w:snapToGrid w:val="0"/>
              <w:spacing w:line="360" w:lineRule="exact"/>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 xml:space="preserve">开标时间 </w:t>
            </w:r>
          </w:p>
        </w:tc>
        <w:tc>
          <w:tcPr>
            <w:tcW w:w="7585" w:type="dxa"/>
            <w:tcBorders>
              <w:top w:val="single" w:color="080000" w:sz="4" w:space="0"/>
              <w:left w:val="single" w:color="080000" w:sz="4" w:space="0"/>
              <w:bottom w:val="single" w:color="080000" w:sz="4" w:space="0"/>
              <w:right w:val="single" w:color="080000" w:sz="4" w:space="0"/>
            </w:tcBorders>
            <w:noWrap w:val="0"/>
            <w:vAlign w:val="center"/>
          </w:tcPr>
          <w:p w14:paraId="5E9F5160">
            <w:pPr>
              <w:pStyle w:val="19"/>
              <w:wordWrap w:val="0"/>
              <w:adjustRightInd w:val="0"/>
              <w:snapToGrid w:val="0"/>
              <w:spacing w:line="400" w:lineRule="exact"/>
              <w:jc w:val="left"/>
              <w:rPr>
                <w:rFonts w:hint="eastAsia" w:ascii="宋体" w:hAnsi="宋体" w:eastAsia="宋体" w:cs="宋体"/>
                <w:snapToGrid w:val="0"/>
                <w:color w:val="000000" w:themeColor="text1"/>
                <w:kern w:val="0"/>
                <w:szCs w:val="24"/>
                <w:highlight w:val="none"/>
                <w14:textFill>
                  <w14:solidFill>
                    <w14:schemeClr w14:val="tx1"/>
                  </w14:solidFill>
                </w14:textFill>
              </w:rPr>
            </w:pPr>
            <w:r>
              <w:rPr>
                <w:rFonts w:hint="eastAsia" w:ascii="宋体" w:hAnsi="宋体" w:eastAsia="宋体" w:cs="宋体"/>
                <w:snapToGrid w:val="0"/>
                <w:color w:val="000000" w:themeColor="text1"/>
                <w:kern w:val="0"/>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202</w:t>
            </w:r>
            <w:r>
              <w:rPr>
                <w:rFonts w:hint="eastAsia" w:ascii="宋体" w:hAnsi="宋体" w:cs="宋体"/>
                <w:color w:val="000000" w:themeColor="text1"/>
                <w:sz w:val="24"/>
                <w:szCs w:val="24"/>
                <w:highlight w:val="none"/>
                <w:u w:val="singl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i w:val="0"/>
                <w:iCs w:val="0"/>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8</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日</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10</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时</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分</w:t>
            </w:r>
          </w:p>
        </w:tc>
      </w:tr>
      <w:tr w14:paraId="183B6BD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747" w:hRule="exact"/>
        </w:trPr>
        <w:tc>
          <w:tcPr>
            <w:tcW w:w="504" w:type="dxa"/>
            <w:tcBorders>
              <w:top w:val="single" w:color="080000" w:sz="4" w:space="0"/>
              <w:left w:val="single" w:color="080000" w:sz="4" w:space="0"/>
              <w:bottom w:val="single" w:color="080000" w:sz="4" w:space="0"/>
              <w:right w:val="single" w:color="080000" w:sz="4" w:space="0"/>
            </w:tcBorders>
            <w:noWrap w:val="0"/>
            <w:vAlign w:val="center"/>
          </w:tcPr>
          <w:p w14:paraId="776EBF36">
            <w:pPr>
              <w:pStyle w:val="39"/>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10</w:t>
            </w:r>
          </w:p>
        </w:tc>
        <w:tc>
          <w:tcPr>
            <w:tcW w:w="1610" w:type="dxa"/>
            <w:tcBorders>
              <w:top w:val="single" w:color="080000" w:sz="4" w:space="0"/>
              <w:left w:val="single" w:color="080000" w:sz="4" w:space="0"/>
              <w:bottom w:val="single" w:color="080000" w:sz="4" w:space="0"/>
              <w:right w:val="single" w:color="080000" w:sz="4" w:space="0"/>
            </w:tcBorders>
            <w:noWrap w:val="0"/>
            <w:vAlign w:val="center"/>
          </w:tcPr>
          <w:p w14:paraId="364B7747">
            <w:pPr>
              <w:pStyle w:val="39"/>
              <w:wordWrap w:val="0"/>
              <w:adjustRightInd w:val="0"/>
              <w:snapToGrid w:val="0"/>
              <w:spacing w:line="360" w:lineRule="exact"/>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 xml:space="preserve">开标地点 </w:t>
            </w:r>
          </w:p>
        </w:tc>
        <w:tc>
          <w:tcPr>
            <w:tcW w:w="7585" w:type="dxa"/>
            <w:tcBorders>
              <w:top w:val="single" w:color="080000" w:sz="4" w:space="0"/>
              <w:left w:val="single" w:color="080000" w:sz="4" w:space="0"/>
              <w:bottom w:val="single" w:color="080000" w:sz="4" w:space="0"/>
              <w:right w:val="single" w:color="080000" w:sz="4" w:space="0"/>
            </w:tcBorders>
            <w:noWrap w:val="0"/>
            <w:vAlign w:val="center"/>
          </w:tcPr>
          <w:p w14:paraId="310BDFC2">
            <w:pPr>
              <w:pStyle w:val="39"/>
              <w:wordWrap w:val="0"/>
              <w:adjustRightInd w:val="0"/>
              <w:snapToGrid w:val="0"/>
              <w:spacing w:line="360" w:lineRule="auto"/>
              <w:jc w:val="left"/>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开标场所：</w:t>
            </w:r>
            <w:r>
              <w:rPr>
                <w:rFonts w:hint="eastAsia" w:ascii="宋体" w:hAnsi="宋体" w:eastAsia="宋体" w:cs="宋体"/>
                <w:color w:val="000000" w:themeColor="text1"/>
                <w:kern w:val="2"/>
                <w:sz w:val="24"/>
                <w:szCs w:val="24"/>
                <w:highlight w:val="none"/>
                <w:u w:val="single"/>
                <w:lang w:val="en-US" w:eastAsia="zh-CN" w:bidi="ar-SA"/>
                <w14:textFill>
                  <w14:solidFill>
                    <w14:schemeClr w14:val="tx1"/>
                  </w14:solidFill>
                </w14:textFill>
              </w:rPr>
              <w:t>韶关市公共资源交易中心翁源分中心</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，地址：</w:t>
            </w:r>
            <w:r>
              <w:rPr>
                <w:rFonts w:hint="eastAsia" w:ascii="宋体" w:hAnsi="宋体" w:eastAsia="宋体" w:cs="宋体"/>
                <w:color w:val="000000" w:themeColor="text1"/>
                <w:kern w:val="2"/>
                <w:sz w:val="24"/>
                <w:szCs w:val="24"/>
                <w:highlight w:val="none"/>
                <w:u w:val="single"/>
                <w:lang w:val="en-US" w:eastAsia="zh-CN" w:bidi="ar-SA"/>
                <w14:textFill>
                  <w14:solidFill>
                    <w14:schemeClr w14:val="tx1"/>
                  </w14:solidFill>
                </w14:textFill>
              </w:rPr>
              <w:t>翁源县龙仙镇朝阳路63号韶关市公共资源交易中心翁源分中心</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，具体房间号以当日现场通知为准。</w:t>
            </w:r>
          </w:p>
        </w:tc>
      </w:tr>
      <w:tr w14:paraId="365C5C3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531" w:hRule="exact"/>
        </w:trPr>
        <w:tc>
          <w:tcPr>
            <w:tcW w:w="504" w:type="dxa"/>
            <w:tcBorders>
              <w:top w:val="single" w:color="080000" w:sz="4" w:space="0"/>
              <w:left w:val="single" w:color="080000" w:sz="4" w:space="0"/>
              <w:bottom w:val="single" w:color="080000" w:sz="4" w:space="0"/>
              <w:right w:val="single" w:color="080000" w:sz="4" w:space="0"/>
            </w:tcBorders>
            <w:noWrap w:val="0"/>
            <w:vAlign w:val="center"/>
          </w:tcPr>
          <w:p w14:paraId="391EFF47">
            <w:pPr>
              <w:pStyle w:val="39"/>
              <w:widowControl/>
              <w:snapToGrid w:val="0"/>
              <w:spacing w:line="360" w:lineRule="auto"/>
              <w:jc w:val="center"/>
              <w:rPr>
                <w:rFonts w:hint="eastAsia" w:asciiTheme="minorEastAsia" w:hAnsiTheme="minorEastAsia" w:eastAsiaTheme="minorEastAsia" w:cstheme="minorEastAsia"/>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11</w:t>
            </w:r>
          </w:p>
        </w:tc>
        <w:tc>
          <w:tcPr>
            <w:tcW w:w="1610" w:type="dxa"/>
            <w:tcBorders>
              <w:top w:val="single" w:color="080000" w:sz="4" w:space="0"/>
              <w:left w:val="single" w:color="080000" w:sz="4" w:space="0"/>
              <w:bottom w:val="single" w:color="080000" w:sz="4" w:space="0"/>
              <w:right w:val="single" w:color="080000" w:sz="4" w:space="0"/>
            </w:tcBorders>
            <w:noWrap w:val="0"/>
            <w:vAlign w:val="center"/>
          </w:tcPr>
          <w:p w14:paraId="12C593B1">
            <w:pPr>
              <w:adjustRightInd w:val="0"/>
              <w:snapToGrid w:val="0"/>
              <w:spacing w:line="360" w:lineRule="auto"/>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备注</w:t>
            </w:r>
          </w:p>
        </w:tc>
        <w:tc>
          <w:tcPr>
            <w:tcW w:w="7585" w:type="dxa"/>
            <w:tcBorders>
              <w:top w:val="single" w:color="080000" w:sz="4" w:space="0"/>
              <w:left w:val="single" w:color="080000" w:sz="4" w:space="0"/>
              <w:bottom w:val="single" w:color="080000" w:sz="4" w:space="0"/>
              <w:right w:val="single" w:color="080000" w:sz="4" w:space="0"/>
            </w:tcBorders>
            <w:noWrap w:val="0"/>
            <w:vAlign w:val="center"/>
          </w:tcPr>
          <w:p w14:paraId="00628AC1">
            <w:pPr>
              <w:adjustRightInd w:val="0"/>
              <w:snapToGrid w:val="0"/>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投标人应按有关要求办理数字证书（CA）和企业入库、获取招标文件、资料文件及招标答疑书等。若由于投标人自身原因未能及时取得上述资料的，由此发生的任何责任由投标人自行承担。</w:t>
            </w:r>
          </w:p>
        </w:tc>
      </w:tr>
    </w:tbl>
    <w:p w14:paraId="64B54B44">
      <w:pPr>
        <w:pStyle w:val="4"/>
        <w:wordWrap w:val="0"/>
        <w:autoSpaceDE/>
        <w:autoSpaceDN/>
        <w:snapToGrid w:val="0"/>
        <w:spacing w:after="260" w:line="440" w:lineRule="exact"/>
        <w:jc w:val="center"/>
        <w:rPr>
          <w:rFonts w:hint="eastAsia" w:asciiTheme="minorEastAsia" w:hAnsiTheme="minorEastAsia" w:eastAsiaTheme="minorEastAsia" w:cstheme="minorEastAsia"/>
          <w:color w:val="000000" w:themeColor="text1"/>
          <w:sz w:val="24"/>
          <w:szCs w:val="28"/>
          <w:highlight w:val="none"/>
          <w:u w:val="singl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br w:type="page"/>
      </w:r>
      <w:bookmarkStart w:id="9" w:name="_Hlt69669159"/>
      <w:bookmarkEnd w:id="9"/>
      <w:bookmarkStart w:id="10" w:name="_Hlt69698705"/>
      <w:bookmarkStart w:id="11" w:name="_Hlt69698754"/>
      <w:bookmarkStart w:id="12" w:name="_Toc23644"/>
      <w:r>
        <w:rPr>
          <w:rFonts w:hint="eastAsia" w:asciiTheme="minorEastAsia" w:hAnsiTheme="minorEastAsia" w:eastAsiaTheme="minorEastAsia" w:cstheme="minorEastAsia"/>
          <w:b/>
          <w:color w:val="000000" w:themeColor="text1"/>
          <w:kern w:val="2"/>
          <w:szCs w:val="24"/>
          <w:highlight w:val="none"/>
          <w14:textFill>
            <w14:solidFill>
              <w14:schemeClr w14:val="tx1"/>
            </w14:solidFill>
          </w14:textFill>
        </w:rPr>
        <w:t>第三节</w:t>
      </w:r>
      <w:bookmarkStart w:id="13" w:name="_Hlt87793819"/>
      <w:bookmarkEnd w:id="13"/>
      <w:r>
        <w:rPr>
          <w:rFonts w:hint="eastAsia" w:asciiTheme="minorEastAsia" w:hAnsiTheme="minorEastAsia" w:eastAsiaTheme="minorEastAsia" w:cstheme="minorEastAsia"/>
          <w:b/>
          <w:color w:val="000000" w:themeColor="text1"/>
          <w:kern w:val="2"/>
          <w:szCs w:val="24"/>
          <w:highlight w:val="none"/>
          <w14:textFill>
            <w14:solidFill>
              <w14:schemeClr w14:val="tx1"/>
            </w14:solidFill>
          </w14:textFill>
        </w:rPr>
        <w:t xml:space="preserve"> 投标须知正文</w:t>
      </w:r>
      <w:bookmarkEnd w:id="10"/>
      <w:bookmarkEnd w:id="11"/>
      <w:bookmarkEnd w:id="12"/>
    </w:p>
    <w:p w14:paraId="6870AE70">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u w:val="single"/>
          <w:lang w:eastAsia="zh-CN"/>
          <w14:textFill>
            <w14:solidFill>
              <w14:schemeClr w14:val="tx1"/>
            </w14:solidFill>
          </w14:textFill>
        </w:rPr>
        <w:t>翁源县城镇（江尾镇、坝仔镇、周陂镇、新江镇、铁龙镇）污水管网提质增效项目-坝仔镇城镇污水管网提质增效项目</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业经</w:t>
      </w:r>
      <w:r>
        <w:rPr>
          <w:rFonts w:hint="eastAsia" w:asciiTheme="minorEastAsia" w:hAnsiTheme="minorEastAsia" w:eastAsiaTheme="minorEastAsia" w:cstheme="minorEastAsia"/>
          <w:snapToGrid w:val="0"/>
          <w:color w:val="000000" w:themeColor="text1"/>
          <w:kern w:val="0"/>
          <w:highlight w:val="none"/>
          <w:u w:val="single"/>
          <w:lang w:eastAsia="zh-CN"/>
          <w14:textFill>
            <w14:solidFill>
              <w14:schemeClr w14:val="tx1"/>
            </w14:solidFill>
          </w14:textFill>
        </w:rPr>
        <w:t>翁源县发展和改革局</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以《</w:t>
      </w:r>
      <w:r>
        <w:rPr>
          <w:rFonts w:hint="eastAsia" w:asciiTheme="minorEastAsia" w:hAnsiTheme="minorEastAsia" w:eastAsiaTheme="minorEastAsia" w:cstheme="minorEastAsia"/>
          <w:snapToGrid w:val="0"/>
          <w:color w:val="000000" w:themeColor="text1"/>
          <w:kern w:val="0"/>
          <w:szCs w:val="24"/>
          <w:highlight w:val="none"/>
          <w:u w:val="single"/>
          <w:lang w:eastAsia="zh-CN"/>
          <w14:textFill>
            <w14:solidFill>
              <w14:schemeClr w14:val="tx1"/>
            </w14:solidFill>
          </w14:textFill>
        </w:rPr>
        <w:t>翁源县发展和改革局关于翁源县城镇（江尾镇、坝仔镇、周陂镇、新江镇、铁龙镇）污水管网提质增效项目可行性研究报告的批复</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w:t>
      </w:r>
      <w:r>
        <w:rPr>
          <w:rFonts w:hint="eastAsia" w:asciiTheme="minorEastAsia" w:hAnsiTheme="minorEastAsia" w:eastAsiaTheme="minorEastAsia" w:cstheme="minorEastAsia"/>
          <w:snapToGrid w:val="0"/>
          <w:color w:val="000000" w:themeColor="text1"/>
          <w:kern w:val="0"/>
          <w:szCs w:val="24"/>
          <w:highlight w:val="none"/>
          <w:u w:val="single"/>
          <w:lang w:eastAsia="zh-CN"/>
          <w14:textFill>
            <w14:solidFill>
              <w14:schemeClr w14:val="tx1"/>
            </w14:solidFill>
          </w14:textFill>
        </w:rPr>
        <w:t>翁发改投审〔2025〕33号</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批准建设，项目代码为</w:t>
      </w:r>
      <w:r>
        <w:rPr>
          <w:rFonts w:hint="eastAsia" w:asciiTheme="minorEastAsia" w:hAnsiTheme="minorEastAsia" w:eastAsiaTheme="minorEastAsia" w:cstheme="minorEastAsia"/>
          <w:color w:val="000000" w:themeColor="text1"/>
          <w:szCs w:val="24"/>
          <w:highlight w:val="none"/>
          <w:u w:val="single"/>
          <w:lang w:eastAsia="zh-CN"/>
          <w14:textFill>
            <w14:solidFill>
              <w14:schemeClr w14:val="tx1"/>
            </w14:solidFill>
          </w14:textFill>
        </w:rPr>
        <w:t>2508-440229-04-01-619965</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w:t>
      </w:r>
      <w:r>
        <w:rPr>
          <w:rFonts w:hint="eastAsia" w:asciiTheme="minorEastAsia" w:hAnsiTheme="minorEastAsia" w:eastAsiaTheme="minorEastAsia" w:cstheme="minorEastAsia"/>
          <w:color w:val="000000" w:themeColor="text1"/>
          <w:highlight w:val="none"/>
          <w14:textFill>
            <w14:solidFill>
              <w14:schemeClr w14:val="tx1"/>
            </w14:solidFill>
          </w14:textFill>
        </w:rPr>
        <w:t>项目</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业主为</w:t>
      </w:r>
      <w:r>
        <w:rPr>
          <w:rFonts w:hint="eastAsia" w:asciiTheme="minorEastAsia" w:hAnsiTheme="minorEastAsia" w:eastAsiaTheme="minorEastAsia" w:cstheme="minorEastAsia"/>
          <w:snapToGrid w:val="0"/>
          <w:color w:val="000000" w:themeColor="text1"/>
          <w:kern w:val="0"/>
          <w:szCs w:val="24"/>
          <w:highlight w:val="none"/>
          <w:u w:val="single"/>
          <w:lang w:eastAsia="zh-CN"/>
          <w14:textFill>
            <w14:solidFill>
              <w14:schemeClr w14:val="tx1"/>
            </w14:solidFill>
          </w14:textFill>
        </w:rPr>
        <w:t>翁源县龙腾城市建设投资经营有限公司</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，建设资金来自</w:t>
      </w:r>
      <w:r>
        <w:rPr>
          <w:rFonts w:hint="eastAsia" w:hAnsi="宋体" w:eastAsia="宋体" w:cs="宋体"/>
          <w:snapToGrid w:val="0"/>
          <w:color w:val="000000" w:themeColor="text1"/>
          <w:kern w:val="0"/>
          <w:sz w:val="24"/>
          <w:highlight w:val="none"/>
          <w:u w:val="single"/>
          <w:lang w:eastAsia="zh-CN"/>
          <w14:textFill>
            <w14:solidFill>
              <w14:schemeClr w14:val="tx1"/>
            </w14:solidFill>
          </w14:textFill>
        </w:rPr>
        <w:t>拟申请上级财政资金及地方财政配套资金安排解决</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，出资比例</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100%</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，招标人为</w:t>
      </w:r>
      <w:r>
        <w:rPr>
          <w:rFonts w:hint="eastAsia" w:asciiTheme="minorEastAsia" w:hAnsiTheme="minorEastAsia" w:eastAsiaTheme="minorEastAsia" w:cstheme="minorEastAsia"/>
          <w:snapToGrid w:val="0"/>
          <w:color w:val="000000" w:themeColor="text1"/>
          <w:kern w:val="0"/>
          <w:highlight w:val="none"/>
          <w:u w:val="single"/>
          <w:lang w:eastAsia="zh-CN"/>
          <w14:textFill>
            <w14:solidFill>
              <w14:schemeClr w14:val="tx1"/>
            </w14:solidFill>
          </w14:textFill>
        </w:rPr>
        <w:t>翁源县坝仔镇人民政府</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，招标代理机构为</w:t>
      </w:r>
      <w:r>
        <w:rPr>
          <w:rFonts w:hint="eastAsia" w:asciiTheme="minorEastAsia" w:hAnsiTheme="minorEastAsia" w:eastAsiaTheme="minorEastAsia" w:cstheme="minorEastAsia"/>
          <w:color w:val="000000" w:themeColor="text1"/>
          <w:kern w:val="0"/>
          <w:highlight w:val="none"/>
          <w:u w:val="single"/>
          <w:lang w:eastAsia="zh-CN"/>
          <w14:textFill>
            <w14:solidFill>
              <w14:schemeClr w14:val="tx1"/>
            </w14:solidFill>
          </w14:textFill>
        </w:rPr>
        <w:t>广东宝骏工程咨询有限公司</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。项目已具备招标条件，现对该项目的</w:t>
      </w:r>
      <w:r>
        <w:rPr>
          <w:rFonts w:hint="eastAsia" w:asciiTheme="minorEastAsia" w:hAnsiTheme="minorEastAsia" w:eastAsiaTheme="minorEastAsia" w:cstheme="minorEastAsia"/>
          <w:snapToGrid w:val="0"/>
          <w:color w:val="000000" w:themeColor="text1"/>
          <w:kern w:val="0"/>
          <w:szCs w:val="24"/>
          <w:highlight w:val="none"/>
          <w:u w:val="single"/>
          <w:lang w:val="en-US" w:eastAsia="zh-CN"/>
          <w14:textFill>
            <w14:solidFill>
              <w14:schemeClr w14:val="tx1"/>
            </w14:solidFill>
          </w14:textFill>
        </w:rPr>
        <w:t>设计施工总承包</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进行公开招标。</w:t>
      </w:r>
    </w:p>
    <w:p w14:paraId="6197F2E1">
      <w:pPr>
        <w:pStyle w:val="38"/>
        <w:keepNext/>
        <w:keepLines/>
        <w:ind w:firstLine="480"/>
        <w:jc w:val="both"/>
        <w:rPr>
          <w:rFonts w:hint="eastAsia" w:asciiTheme="minorEastAsia" w:hAnsiTheme="minorEastAsia" w:eastAsiaTheme="minorEastAsia" w:cstheme="minorEastAsia"/>
          <w:b/>
          <w:bCs/>
          <w:snapToGrid w:val="0"/>
          <w:color w:val="000000" w:themeColor="text1"/>
          <w:highlight w:val="none"/>
          <w14:textFill>
            <w14:solidFill>
              <w14:schemeClr w14:val="tx1"/>
            </w14:solidFill>
          </w14:textFill>
        </w:rPr>
      </w:pPr>
      <w:bookmarkStart w:id="14" w:name="_Hlt109358474"/>
      <w:bookmarkEnd w:id="14"/>
      <w:bookmarkStart w:id="15" w:name="_Hlt119991399"/>
      <w:bookmarkEnd w:id="15"/>
      <w:bookmarkStart w:id="16" w:name="_Hlt78795222"/>
      <w:bookmarkEnd w:id="16"/>
      <w:bookmarkStart w:id="17" w:name="_Hlt74474735"/>
      <w:bookmarkEnd w:id="17"/>
      <w:bookmarkStart w:id="18" w:name="_Hlt87948285"/>
      <w:bookmarkEnd w:id="18"/>
      <w:bookmarkStart w:id="19" w:name="_Toc18453"/>
      <w:bookmarkStart w:id="20" w:name="_Toc574"/>
      <w:bookmarkStart w:id="21" w:name="_Toc4081"/>
      <w:bookmarkStart w:id="22" w:name="_Toc30732"/>
      <w:bookmarkStart w:id="23" w:name="_Toc24563"/>
      <w:bookmarkStart w:id="24" w:name="_Toc19598"/>
      <w:bookmarkStart w:id="25" w:name="_Toc25252"/>
      <w:bookmarkStart w:id="26" w:name="_Toc23054"/>
      <w:bookmarkStart w:id="27" w:name="_Toc31976"/>
      <w:r>
        <w:rPr>
          <w:rFonts w:hint="eastAsia" w:asciiTheme="minorEastAsia" w:hAnsiTheme="minorEastAsia" w:eastAsiaTheme="minorEastAsia" w:cstheme="minorEastAsia"/>
          <w:b/>
          <w:color w:val="000000" w:themeColor="text1"/>
          <w:kern w:val="2"/>
          <w:highlight w:val="none"/>
          <w14:textFill>
            <w14:solidFill>
              <w14:schemeClr w14:val="tx1"/>
            </w14:solidFill>
          </w14:textFill>
        </w:rPr>
        <w:t>1、 工程概况综合说明</w:t>
      </w:r>
      <w:bookmarkEnd w:id="19"/>
      <w:bookmarkEnd w:id="20"/>
      <w:bookmarkEnd w:id="21"/>
      <w:bookmarkEnd w:id="22"/>
      <w:bookmarkEnd w:id="23"/>
      <w:bookmarkEnd w:id="24"/>
      <w:bookmarkEnd w:id="25"/>
      <w:bookmarkEnd w:id="26"/>
      <w:bookmarkEnd w:id="27"/>
    </w:p>
    <w:p w14:paraId="20A82846">
      <w:pPr>
        <w:pStyle w:val="39"/>
        <w:wordWrap w:val="0"/>
        <w:adjustRightInd w:val="0"/>
        <w:snapToGrid w:val="0"/>
        <w:spacing w:line="360" w:lineRule="auto"/>
        <w:ind w:firstLine="480"/>
        <w:jc w:val="left"/>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highlight w:val="none"/>
          <w14:textFill>
            <w14:solidFill>
              <w14:schemeClr w14:val="tx1"/>
            </w14:solidFill>
          </w14:textFill>
        </w:rPr>
        <w:t>1.1</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 xml:space="preserve"> 工程概况</w:t>
      </w:r>
    </w:p>
    <w:p w14:paraId="2A22D848">
      <w:pPr>
        <w:pStyle w:val="39"/>
        <w:wordWrap w:val="0"/>
        <w:adjustRightInd w:val="0"/>
        <w:snapToGrid w:val="0"/>
        <w:spacing w:line="360" w:lineRule="auto"/>
        <w:ind w:firstLine="480"/>
        <w:jc w:val="left"/>
        <w:rPr>
          <w:rFonts w:hint="eastAsia" w:asciiTheme="minorEastAsia" w:hAnsiTheme="minorEastAsia" w:eastAsiaTheme="minorEastAsia" w:cstheme="minorEastAsia"/>
          <w:color w:val="000000" w:themeColor="text1"/>
          <w:sz w:val="24"/>
          <w:szCs w:val="18"/>
          <w:highlight w:val="none"/>
          <w:u w:val="single"/>
          <w14:textFill>
            <w14:solidFill>
              <w14:schemeClr w14:val="tx1"/>
            </w14:solidFill>
          </w14:textFill>
        </w:rPr>
      </w:pPr>
      <w:r>
        <w:rPr>
          <w:rFonts w:hint="eastAsia" w:asciiTheme="minorEastAsia" w:hAnsiTheme="minorEastAsia" w:eastAsiaTheme="minorEastAsia" w:cstheme="minorEastAsia"/>
          <w:b/>
          <w:bCs/>
          <w:color w:val="000000" w:themeColor="text1"/>
          <w:sz w:val="24"/>
          <w:highlight w:val="none"/>
          <w14:textFill>
            <w14:solidFill>
              <w14:schemeClr w14:val="tx1"/>
            </w14:solidFill>
          </w14:textFill>
        </w:rPr>
        <w:t>1.1.1</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 xml:space="preserve"> 建设地点：</w:t>
      </w:r>
      <w:r>
        <w:rPr>
          <w:rFonts w:hint="eastAsia" w:asciiTheme="minorEastAsia" w:hAnsiTheme="minorEastAsia" w:eastAsiaTheme="minorEastAsia" w:cstheme="minorEastAsia"/>
          <w:color w:val="000000" w:themeColor="text1"/>
          <w:kern w:val="2"/>
          <w:sz w:val="24"/>
          <w:szCs w:val="24"/>
          <w:highlight w:val="none"/>
          <w:u w:val="single"/>
          <w:lang w:val="en-US" w:eastAsia="zh-CN" w:bidi="ar-SA"/>
          <w14:textFill>
            <w14:solidFill>
              <w14:schemeClr w14:val="tx1"/>
            </w14:solidFill>
          </w14:textFill>
        </w:rPr>
        <w:t>翁源县坝仔镇。</w:t>
      </w:r>
    </w:p>
    <w:p w14:paraId="5ED6A36F">
      <w:pPr>
        <w:pStyle w:val="36"/>
        <w:ind w:firstLine="482" w:firstLineChars="200"/>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pPr>
      <w:r>
        <w:rPr>
          <w:rFonts w:hint="eastAsia" w:asciiTheme="minorEastAsia" w:hAnsiTheme="minorEastAsia" w:eastAsiaTheme="minorEastAsia" w:cstheme="minorEastAsia"/>
          <w:b/>
          <w:bCs/>
          <w:color w:val="000000" w:themeColor="text1"/>
          <w:kern w:val="2"/>
          <w:sz w:val="24"/>
          <w:szCs w:val="24"/>
          <w:highlight w:val="none"/>
          <w:lang w:val="en-US" w:eastAsia="zh-CN" w:bidi="ar-SA"/>
          <w14:textFill>
            <w14:solidFill>
              <w14:schemeClr w14:val="tx1"/>
            </w14:solidFill>
          </w14:textFill>
        </w:rPr>
        <w:t>1.1.2</w:t>
      </w:r>
      <w:r>
        <w:rPr>
          <w:rFonts w:hint="eastAsia" w:asciiTheme="minorEastAsia" w:hAnsiTheme="minorEastAsia" w:eastAsiaTheme="minorEastAsia" w:cstheme="minorEastAsia"/>
          <w:color w:val="000000" w:themeColor="text1"/>
          <w:szCs w:val="24"/>
          <w:highlight w:val="none"/>
          <w:u w:val="none"/>
          <w14:textFill>
            <w14:solidFill>
              <w14:schemeClr w14:val="tx1"/>
            </w14:solidFill>
          </w14:textFill>
        </w:rPr>
        <w:t xml:space="preserve"> 建设内容和规模：</w:t>
      </w:r>
      <w:r>
        <w:rPr>
          <w:rFonts w:hint="default"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主要建设内容为新建污水管网，衔接现状管网，完善城镇污水管网系统以及对部分区域雨污分流改造，提升城市生活污水处理厂进水 COD、BOD5等的浓度。本次项目拟新建配套管网长度约1.38km，分别沿建设路、坝始路等路段敷设；雨污分流改造长度约4.13km。</w:t>
      </w:r>
    </w:p>
    <w:p w14:paraId="2A89E065">
      <w:pPr>
        <w:pStyle w:val="36"/>
        <w:ind w:firstLine="482" w:firstLineChars="200"/>
        <w:rPr>
          <w:rFonts w:hint="eastAsia" w:asciiTheme="minorEastAsia" w:hAnsiTheme="minorEastAsia" w:eastAsiaTheme="minorEastAsia" w:cstheme="minorEastAsia"/>
          <w:color w:val="000000" w:themeColor="text1"/>
          <w:szCs w:val="24"/>
          <w:highlight w:val="none"/>
          <w:u w:val="singl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kern w:val="2"/>
          <w:sz w:val="24"/>
          <w:szCs w:val="24"/>
          <w:highlight w:val="none"/>
          <w:lang w:val="en-US" w:eastAsia="zh-CN" w:bidi="ar-SA"/>
          <w14:textFill>
            <w14:solidFill>
              <w14:schemeClr w14:val="tx1"/>
            </w14:solidFill>
          </w14:textFill>
        </w:rPr>
        <w:t>1.1.3</w:t>
      </w:r>
      <w:r>
        <w:rPr>
          <w:rFonts w:hint="eastAsia" w:asciiTheme="minorEastAsia" w:hAnsiTheme="minorEastAsia" w:eastAsiaTheme="minorEastAsia" w:cstheme="minorEastAsia"/>
          <w:b/>
          <w:bCs/>
          <w:color w:val="000000" w:themeColor="text1"/>
          <w:kern w:val="2"/>
          <w:sz w:val="24"/>
          <w:szCs w:val="24"/>
          <w:highlight w:val="none"/>
          <w:u w:val="none"/>
          <w:lang w:val="en-US" w:eastAsia="zh-CN" w:bidi="ar-SA"/>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u w:val="none"/>
          <w14:textFill>
            <w14:solidFill>
              <w14:schemeClr w14:val="tx1"/>
            </w14:solidFill>
          </w14:textFill>
        </w:rPr>
        <w:t>项目总投资：</w:t>
      </w:r>
      <w:bookmarkStart w:id="28" w:name="_Toc20999"/>
      <w:r>
        <w:rPr>
          <w:rFonts w:hint="eastAsia" w:asciiTheme="minorEastAsia" w:hAnsiTheme="minorEastAsia" w:eastAsiaTheme="minorEastAsia" w:cstheme="minorEastAsia"/>
          <w:color w:val="000000" w:themeColor="text1"/>
          <w:szCs w:val="24"/>
          <w:highlight w:val="none"/>
          <w:u w:val="single"/>
          <w:lang w:val="en-US" w:eastAsia="zh-CN"/>
          <w14:textFill>
            <w14:solidFill>
              <w14:schemeClr w14:val="tx1"/>
            </w14:solidFill>
          </w14:textFill>
        </w:rPr>
        <w:t>本次招标概算总投资2431.66万元，其中:建安工程费约2024.10万元，设计费约71.94万元。</w:t>
      </w:r>
    </w:p>
    <w:p w14:paraId="37F8AD91">
      <w:pPr>
        <w:widowControl/>
        <w:spacing w:line="360" w:lineRule="auto"/>
        <w:ind w:left="511" w:leftChars="213"/>
        <w:rPr>
          <w:rFonts w:hint="eastAsia" w:asciiTheme="minorEastAsia" w:hAnsiTheme="minorEastAsia" w:eastAsiaTheme="minorEastAsia" w:cstheme="minorEastAsia"/>
          <w:snapToGrid w:val="0"/>
          <w:color w:val="000000" w:themeColor="text1"/>
          <w:kern w:val="0"/>
          <w:highlight w:val="none"/>
          <w:u w:val="singl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highlight w:val="none"/>
          <w14:textFill>
            <w14:solidFill>
              <w14:schemeClr w14:val="tx1"/>
            </w14:solidFill>
          </w14:textFill>
        </w:rPr>
        <w:t>1.2</w:t>
      </w:r>
      <w:r>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t xml:space="preserve"> 标段划分：</w:t>
      </w:r>
      <w:bookmarkEnd w:id="28"/>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本招标项目不划分标段。</w:t>
      </w:r>
    </w:p>
    <w:p w14:paraId="3302462C">
      <w:pPr>
        <w:pStyle w:val="36"/>
        <w:tabs>
          <w:tab w:val="left" w:pos="7020"/>
        </w:tabs>
        <w:ind w:firstLine="482" w:firstLineChars="20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1.3</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监理单位：</w:t>
      </w:r>
      <w:r>
        <w:rPr>
          <w:rFonts w:hint="eastAsia" w:asciiTheme="minorEastAsia" w:hAnsiTheme="minorEastAsia" w:eastAsiaTheme="minorEastAsia" w:cstheme="minorEastAsia"/>
          <w:color w:val="000000" w:themeColor="text1"/>
          <w:szCs w:val="18"/>
          <w:highlight w:val="none"/>
          <w:u w:val="single"/>
          <w14:textFill>
            <w14:solidFill>
              <w14:schemeClr w14:val="tx1"/>
            </w14:solidFill>
          </w14:textFill>
        </w:rPr>
        <w:t>待定</w:t>
      </w:r>
      <w:r>
        <w:rPr>
          <w:rFonts w:hint="eastAsia" w:asciiTheme="minorEastAsia" w:hAnsiTheme="minorEastAsia" w:eastAsiaTheme="minorEastAsia" w:cstheme="minorEastAsia"/>
          <w:color w:val="000000" w:themeColor="text1"/>
          <w:szCs w:val="18"/>
          <w:highlight w:val="none"/>
          <w14:textFill>
            <w14:solidFill>
              <w14:schemeClr w14:val="tx1"/>
            </w14:solidFill>
          </w14:textFill>
        </w:rPr>
        <w:t>。</w:t>
      </w:r>
    </w:p>
    <w:p w14:paraId="7530DDF6">
      <w:pPr>
        <w:pStyle w:val="36"/>
        <w:ind w:firstLine="482"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1.4</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投标费用：</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投标人应承担所有准备和参加投标的相关费用，不论投标结果如何，招标人均无义务和责任承担这些费用</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w:t>
      </w:r>
      <w:bookmarkStart w:id="29" w:name="_Toc106184808"/>
    </w:p>
    <w:p w14:paraId="3EB48DDC">
      <w:pPr>
        <w:pStyle w:val="38"/>
        <w:keepNext/>
        <w:keepLines/>
        <w:ind w:firstLine="480"/>
        <w:jc w:val="both"/>
        <w:rPr>
          <w:rFonts w:hint="eastAsia" w:asciiTheme="minorEastAsia" w:hAnsiTheme="minorEastAsia" w:eastAsiaTheme="minorEastAsia" w:cstheme="minorEastAsia"/>
          <w:b/>
          <w:color w:val="000000" w:themeColor="text1"/>
          <w:kern w:val="2"/>
          <w:highlight w:val="none"/>
          <w14:textFill>
            <w14:solidFill>
              <w14:schemeClr w14:val="tx1"/>
            </w14:solidFill>
          </w14:textFill>
        </w:rPr>
      </w:pPr>
      <w:bookmarkStart w:id="30" w:name="_Toc14538"/>
      <w:bookmarkStart w:id="31" w:name="_Toc7700"/>
      <w:bookmarkStart w:id="32" w:name="_Toc17359"/>
      <w:bookmarkStart w:id="33" w:name="_Toc22550"/>
      <w:bookmarkStart w:id="34" w:name="_Toc32400"/>
      <w:bookmarkStart w:id="35" w:name="_Toc12190"/>
      <w:bookmarkStart w:id="36" w:name="_Toc18851"/>
      <w:bookmarkStart w:id="37" w:name="_Toc14958"/>
      <w:bookmarkStart w:id="38" w:name="_Toc121"/>
      <w:r>
        <w:rPr>
          <w:rFonts w:hint="eastAsia" w:asciiTheme="minorEastAsia" w:hAnsiTheme="minorEastAsia" w:eastAsiaTheme="minorEastAsia" w:cstheme="minorEastAsia"/>
          <w:b/>
          <w:color w:val="000000" w:themeColor="text1"/>
          <w:kern w:val="2"/>
          <w:highlight w:val="none"/>
          <w14:textFill>
            <w14:solidFill>
              <w14:schemeClr w14:val="tx1"/>
            </w14:solidFill>
          </w14:textFill>
        </w:rPr>
        <w:t>2 、招标范围</w:t>
      </w:r>
      <w:bookmarkEnd w:id="29"/>
      <w:bookmarkEnd w:id="30"/>
      <w:bookmarkEnd w:id="31"/>
      <w:bookmarkEnd w:id="32"/>
      <w:bookmarkEnd w:id="33"/>
      <w:bookmarkEnd w:id="34"/>
      <w:bookmarkEnd w:id="35"/>
      <w:bookmarkEnd w:id="36"/>
      <w:bookmarkEnd w:id="37"/>
      <w:bookmarkEnd w:id="38"/>
    </w:p>
    <w:p w14:paraId="358B4272">
      <w:pPr>
        <w:pStyle w:val="41"/>
        <w:rPr>
          <w:rFonts w:hint="eastAsia" w:asciiTheme="minorEastAsia" w:hAnsiTheme="minorEastAsia" w:eastAsiaTheme="minorEastAsia" w:cstheme="minorEastAsia"/>
          <w:color w:val="000000" w:themeColor="text1"/>
          <w:highlight w:val="none"/>
          <w14:textFill>
            <w14:solidFill>
              <w14:schemeClr w14:val="tx1"/>
            </w14:solidFill>
          </w14:textFill>
        </w:rPr>
      </w:pPr>
      <w:bookmarkStart w:id="39" w:name="_Hlt91408212"/>
      <w:bookmarkEnd w:id="39"/>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2.1</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招标范围：</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本工程所涉及的内容包括但不限于以下（1）～（</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w:t>
      </w:r>
    </w:p>
    <w:p w14:paraId="5DE91771">
      <w:pPr>
        <w:pStyle w:val="36"/>
        <w:numPr>
          <w:ilvl w:val="0"/>
          <w:numId w:val="0"/>
        </w:numPr>
        <w:ind w:leftChars="0" w:firstLine="240" w:firstLineChars="100"/>
        <w:jc w:val="lef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bookmarkStart w:id="40" w:name="_Toc13988"/>
      <w:bookmarkStart w:id="41" w:name="_Toc4645"/>
      <w:bookmarkStart w:id="42" w:name="_Toc7799"/>
      <w:bookmarkStart w:id="43" w:name="_Toc21803"/>
      <w:bookmarkStart w:id="44" w:name="_Toc32739"/>
      <w:bookmarkStart w:id="45" w:name="_Toc2350"/>
      <w:bookmarkStart w:id="46" w:name="_Toc2217"/>
      <w:bookmarkStart w:id="47" w:name="_Toc26845"/>
      <w:bookmarkStart w:id="48" w:name="_Toc708"/>
      <w:bookmarkStart w:id="49" w:name="_Toc27886"/>
      <w:bookmarkStart w:id="50" w:name="_Toc1366"/>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1）</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设计部分：</w:t>
      </w:r>
      <w:r>
        <w:rPr>
          <w:rFonts w:hint="eastAsia" w:asciiTheme="minorEastAsia" w:hAnsiTheme="minorEastAsia" w:eastAsiaTheme="minorEastAsia" w:cstheme="minorEastAsia"/>
          <w:snapToGrid w:val="0"/>
          <w:color w:val="000000" w:themeColor="text1"/>
          <w:kern w:val="0"/>
          <w:sz w:val="24"/>
          <w:szCs w:val="24"/>
          <w:highlight w:val="none"/>
          <w:lang w:val="zh-CN"/>
          <w14:textFill>
            <w14:solidFill>
              <w14:schemeClr w14:val="tx1"/>
            </w14:solidFill>
          </w14:textFill>
        </w:rPr>
        <w:t>确保项目顺利实施的报建、报批、施工等所需的所有建安工程等设计文件。包括但不限于：施工图设计、</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施工图预算（含工程量清单）</w:t>
      </w: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提供项目所需相关检测项的明细表和危险性较大的分部分项工程清单及保障安全相关说明</w:t>
      </w: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snapToGrid w:val="0"/>
          <w:color w:val="000000" w:themeColor="text1"/>
          <w:kern w:val="0"/>
          <w:sz w:val="24"/>
          <w:szCs w:val="24"/>
          <w:highlight w:val="none"/>
          <w:lang w:val="zh-CN"/>
          <w14:textFill>
            <w14:solidFill>
              <w14:schemeClr w14:val="tx1"/>
            </w14:solidFill>
          </w14:textFill>
        </w:rPr>
        <w:t>工地现场服务、验收过程中的设计指导及配合阶段验收及档案整理、协助施工单位编制竣工图及后续设计服务工作</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w:t>
      </w:r>
    </w:p>
    <w:p w14:paraId="057F954A">
      <w:pPr>
        <w:pStyle w:val="36"/>
        <w:ind w:firstLine="241" w:firstLineChars="100"/>
        <w:jc w:val="lef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 w:val="24"/>
          <w:szCs w:val="24"/>
          <w:highlight w:val="none"/>
          <w14:textFill>
            <w14:solidFill>
              <w14:schemeClr w14:val="tx1"/>
            </w14:solidFill>
          </w14:textFill>
        </w:rPr>
        <w:t>注：设计文件深度要求必须满足</w:t>
      </w:r>
      <w:r>
        <w:rPr>
          <w:rFonts w:hint="eastAsia" w:asciiTheme="minorEastAsia" w:hAnsiTheme="minorEastAsia" w:eastAsiaTheme="minorEastAsia" w:cstheme="minorEastAsia"/>
          <w:b/>
          <w:bCs/>
          <w:snapToGrid w:val="0"/>
          <w:color w:val="000000" w:themeColor="text1"/>
          <w:kern w:val="0"/>
          <w:sz w:val="24"/>
          <w:szCs w:val="24"/>
          <w:highlight w:val="none"/>
          <w:lang w:eastAsia="zh-CN"/>
          <w14:textFill>
            <w14:solidFill>
              <w14:schemeClr w14:val="tx1"/>
            </w14:solidFill>
          </w14:textFill>
        </w:rPr>
        <w:t>住房和城乡建设部</w:t>
      </w:r>
      <w:r>
        <w:rPr>
          <w:rFonts w:hint="eastAsia" w:asciiTheme="minorEastAsia" w:hAnsiTheme="minorEastAsia" w:eastAsiaTheme="minorEastAsia" w:cstheme="minorEastAsia"/>
          <w:b/>
          <w:bCs/>
          <w:snapToGrid w:val="0"/>
          <w:color w:val="000000" w:themeColor="text1"/>
          <w:kern w:val="0"/>
          <w:sz w:val="24"/>
          <w:szCs w:val="24"/>
          <w:highlight w:val="none"/>
          <w14:textFill>
            <w14:solidFill>
              <w14:schemeClr w14:val="tx1"/>
            </w14:solidFill>
          </w14:textFill>
        </w:rPr>
        <w:t>《市政公用工程设计文件编制深度规定（20</w:t>
      </w:r>
      <w:r>
        <w:rPr>
          <w:rFonts w:hint="eastAsia" w:asciiTheme="minorEastAsia" w:hAnsiTheme="minorEastAsia" w:eastAsiaTheme="minorEastAsia" w:cstheme="minorEastAsia"/>
          <w:b/>
          <w:bCs/>
          <w:snapToGrid w:val="0"/>
          <w:color w:val="000000" w:themeColor="text1"/>
          <w:kern w:val="0"/>
          <w:sz w:val="24"/>
          <w:szCs w:val="24"/>
          <w:highlight w:val="none"/>
          <w:lang w:val="en-US" w:eastAsia="zh-CN"/>
          <w14:textFill>
            <w14:solidFill>
              <w14:schemeClr w14:val="tx1"/>
            </w14:solidFill>
          </w14:textFill>
        </w:rPr>
        <w:t>25</w:t>
      </w:r>
      <w:r>
        <w:rPr>
          <w:rFonts w:hint="eastAsia" w:asciiTheme="minorEastAsia" w:hAnsiTheme="minorEastAsia" w:eastAsiaTheme="minorEastAsia" w:cstheme="minorEastAsia"/>
          <w:b/>
          <w:bCs/>
          <w:snapToGrid w:val="0"/>
          <w:color w:val="000000" w:themeColor="text1"/>
          <w:kern w:val="0"/>
          <w:sz w:val="24"/>
          <w:szCs w:val="24"/>
          <w:highlight w:val="none"/>
          <w14:textFill>
            <w14:solidFill>
              <w14:schemeClr w14:val="tx1"/>
            </w14:solidFill>
          </w14:textFill>
        </w:rPr>
        <w:t>版）》的要求，各专业还应该满足各专业工程设计文件编制深度规范或规定的要求</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w:t>
      </w:r>
    </w:p>
    <w:p w14:paraId="1C81C4B2">
      <w:pPr>
        <w:pStyle w:val="36"/>
        <w:ind w:firstLine="240" w:firstLineChars="100"/>
        <w:jc w:val="left"/>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2</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）施工部分：设计文件及工程量清单范围内的所有工程及配套工程、设施等的施工</w:t>
      </w:r>
      <w:r>
        <w:rPr>
          <w:rFonts w:hint="eastAsia" w:hAnsi="宋体" w:cs="Calibri"/>
          <w:bCs/>
          <w:color w:val="000000" w:themeColor="text1"/>
          <w:sz w:val="24"/>
          <w:szCs w:val="24"/>
          <w:highlight w:val="none"/>
          <w:lang w:val="zh-CN"/>
          <w14:textFill>
            <w14:solidFill>
              <w14:schemeClr w14:val="tx1"/>
            </w14:solidFill>
          </w14:textFill>
        </w:rPr>
        <w:t>（含竣工验收资料编制整理、备案等），完成并配合发包人结算、负责工程缺陷保修以及发包人要求由施工单位完成的其他工作（发包人另行委托其他单位负责实施的工作内容除外，但需提供一系列协调及配合服务）等</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w:t>
      </w:r>
      <w:bookmarkEnd w:id="40"/>
      <w:bookmarkEnd w:id="41"/>
      <w:bookmarkEnd w:id="42"/>
    </w:p>
    <w:p w14:paraId="4C6ED494">
      <w:pPr>
        <w:pStyle w:val="36"/>
        <w:keepNext/>
        <w:keepLines/>
        <w:ind w:firstLineChars="200"/>
        <w:jc w:val="both"/>
        <w:rPr>
          <w:rFonts w:hint="eastAsia" w:asciiTheme="minorEastAsia" w:hAnsiTheme="minorEastAsia" w:eastAsiaTheme="minorEastAsia" w:cstheme="minorEastAsia"/>
          <w:b/>
          <w:bCs/>
          <w:snapToGrid w:val="0"/>
          <w:color w:val="000000" w:themeColor="text1"/>
          <w:kern w:val="2"/>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2"/>
          <w:highlight w:val="none"/>
          <w14:textFill>
            <w14:solidFill>
              <w14:schemeClr w14:val="tx1"/>
            </w14:solidFill>
          </w14:textFill>
        </w:rPr>
        <w:t>3</w:t>
      </w:r>
      <w:bookmarkStart w:id="51" w:name="_Hlt66187826"/>
      <w:bookmarkEnd w:id="51"/>
      <w:r>
        <w:rPr>
          <w:rFonts w:hint="eastAsia" w:asciiTheme="minorEastAsia" w:hAnsiTheme="minorEastAsia" w:eastAsiaTheme="minorEastAsia" w:cstheme="minorEastAsia"/>
          <w:b/>
          <w:bCs/>
          <w:snapToGrid w:val="0"/>
          <w:color w:val="000000" w:themeColor="text1"/>
          <w:kern w:val="2"/>
          <w:highlight w:val="none"/>
          <w14:textFill>
            <w14:solidFill>
              <w14:schemeClr w14:val="tx1"/>
            </w14:solidFill>
          </w14:textFill>
        </w:rPr>
        <w:t>、工期</w:t>
      </w:r>
      <w:bookmarkEnd w:id="43"/>
      <w:bookmarkEnd w:id="44"/>
      <w:bookmarkEnd w:id="45"/>
      <w:bookmarkEnd w:id="46"/>
      <w:bookmarkEnd w:id="47"/>
      <w:bookmarkEnd w:id="48"/>
      <w:bookmarkEnd w:id="49"/>
      <w:bookmarkEnd w:id="50"/>
    </w:p>
    <w:p w14:paraId="1D49252B">
      <w:pPr>
        <w:pStyle w:val="36"/>
        <w:ind w:firstLine="480" w:firstLineChars="200"/>
        <w:rPr>
          <w:rFonts w:hint="eastAsia" w:asciiTheme="minorEastAsia" w:hAnsiTheme="minorEastAsia" w:eastAsiaTheme="minorEastAsia" w:cstheme="minorEastAsia"/>
          <w:snapToGrid w:val="0"/>
          <w:color w:val="000000" w:themeColor="text1"/>
          <w:szCs w:val="20"/>
          <w:highlight w:val="none"/>
          <w14:textFill>
            <w14:solidFill>
              <w14:schemeClr w14:val="tx1"/>
            </w14:solidFill>
          </w14:textFill>
        </w:rPr>
      </w:pPr>
      <w:r>
        <w:rPr>
          <w:rFonts w:hint="eastAsia" w:asciiTheme="minorEastAsia" w:hAnsiTheme="minorEastAsia" w:eastAsiaTheme="minorEastAsia" w:cstheme="minorEastAsia"/>
          <w:b w:val="0"/>
          <w:bCs w:val="0"/>
          <w:snapToGrid w:val="0"/>
          <w:color w:val="000000" w:themeColor="text1"/>
          <w:highlight w:val="none"/>
          <w14:textFill>
            <w14:solidFill>
              <w14:schemeClr w14:val="tx1"/>
            </w14:solidFill>
          </w14:textFill>
        </w:rPr>
        <w:t>3.1</w:t>
      </w:r>
      <w:r>
        <w:rPr>
          <w:rFonts w:hint="eastAsia" w:asciiTheme="minorEastAsia" w:hAnsiTheme="minorEastAsia" w:eastAsiaTheme="minorEastAsia" w:cstheme="minorEastAsia"/>
          <w:snapToGrid w:val="0"/>
          <w:color w:val="000000" w:themeColor="text1"/>
          <w:highlight w:val="non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highlight w:val="none"/>
          <w14:textFill>
            <w14:solidFill>
              <w14:schemeClr w14:val="tx1"/>
            </w14:solidFill>
          </w14:textFill>
        </w:rPr>
        <w:t>本工程工期为：</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本项目设计、施工总工期</w:t>
      </w:r>
      <w:r>
        <w:rPr>
          <w:rFonts w:hint="eastAsia" w:asciiTheme="minorEastAsia" w:hAnsiTheme="minorEastAsia" w:eastAsiaTheme="minorEastAsia" w:cstheme="minorEastAsia"/>
          <w:snapToGrid w:val="0"/>
          <w:color w:val="000000" w:themeColor="text1"/>
          <w:kern w:val="0"/>
          <w:sz w:val="24"/>
          <w:szCs w:val="24"/>
          <w:highlight w:val="none"/>
          <w:u w:val="single"/>
          <w:lang w:val="en-US" w:eastAsia="zh-CN"/>
          <w14:textFill>
            <w14:solidFill>
              <w14:schemeClr w14:val="tx1"/>
            </w14:solidFill>
          </w14:textFill>
        </w:rPr>
        <w:t>180</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日历天，其中：设计工期为</w:t>
      </w:r>
      <w:r>
        <w:rPr>
          <w:rFonts w:hint="eastAsia" w:asciiTheme="minorEastAsia" w:hAnsiTheme="minorEastAsia" w:eastAsiaTheme="minorEastAsia" w:cstheme="minorEastAsia"/>
          <w:snapToGrid w:val="0"/>
          <w:color w:val="000000" w:themeColor="text1"/>
          <w:kern w:val="0"/>
          <w:sz w:val="24"/>
          <w:szCs w:val="24"/>
          <w:highlight w:val="none"/>
          <w:u w:val="single"/>
          <w:lang w:val="en-US" w:eastAsia="zh-CN"/>
          <w14:textFill>
            <w14:solidFill>
              <w14:schemeClr w14:val="tx1"/>
            </w14:solidFill>
          </w14:textFill>
        </w:rPr>
        <w:t>30</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日历天</w:t>
      </w: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施工工期为</w:t>
      </w:r>
      <w:r>
        <w:rPr>
          <w:rFonts w:hint="eastAsia" w:asciiTheme="minorEastAsia" w:hAnsiTheme="minorEastAsia" w:eastAsiaTheme="minorEastAsia" w:cstheme="minorEastAsia"/>
          <w:snapToGrid w:val="0"/>
          <w:color w:val="000000" w:themeColor="text1"/>
          <w:kern w:val="0"/>
          <w:sz w:val="24"/>
          <w:szCs w:val="24"/>
          <w:highlight w:val="none"/>
          <w:u w:val="single"/>
          <w:lang w:val="en-US" w:eastAsia="zh-CN"/>
          <w14:textFill>
            <w14:solidFill>
              <w14:schemeClr w14:val="tx1"/>
            </w14:solidFill>
          </w14:textFill>
        </w:rPr>
        <w:t>150</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日历天</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w:t>
      </w:r>
      <w:r>
        <w:rPr>
          <w:rFonts w:hint="eastAsia" w:asciiTheme="minorEastAsia" w:hAnsiTheme="minorEastAsia" w:eastAsiaTheme="minorEastAsia" w:cstheme="minorEastAsia"/>
          <w:snapToGrid w:val="0"/>
          <w:color w:val="000000" w:themeColor="text1"/>
          <w:kern w:val="2"/>
          <w:highlight w:val="none"/>
          <w14:textFill>
            <w14:solidFill>
              <w14:schemeClr w14:val="tx1"/>
            </w14:solidFill>
          </w14:textFill>
        </w:rPr>
        <w:t>中标人必须在所要求的工期内</w:t>
      </w:r>
      <w:r>
        <w:rPr>
          <w:rFonts w:hint="eastAsia" w:asciiTheme="minorEastAsia" w:hAnsiTheme="minorEastAsia" w:eastAsiaTheme="minorEastAsia" w:cstheme="minorEastAsia"/>
          <w:snapToGrid w:val="0"/>
          <w:color w:val="000000" w:themeColor="text1"/>
          <w:kern w:val="2"/>
          <w:highlight w:val="none"/>
          <w:lang w:eastAsia="zh-CN"/>
          <w14:textFill>
            <w14:solidFill>
              <w14:schemeClr w14:val="tx1"/>
            </w14:solidFill>
          </w14:textFill>
        </w:rPr>
        <w:t>完成招标范围内的全部内容</w:t>
      </w:r>
      <w:r>
        <w:rPr>
          <w:rFonts w:hint="eastAsia" w:asciiTheme="minorEastAsia" w:hAnsiTheme="minorEastAsia" w:eastAsiaTheme="minorEastAsia" w:cstheme="minorEastAsia"/>
          <w:snapToGrid w:val="0"/>
          <w:color w:val="000000" w:themeColor="text1"/>
          <w:kern w:val="2"/>
          <w:highlight w:val="none"/>
          <w14:textFill>
            <w14:solidFill>
              <w14:schemeClr w14:val="tx1"/>
            </w14:solidFill>
          </w14:textFill>
        </w:rPr>
        <w:t>。</w:t>
      </w:r>
    </w:p>
    <w:p w14:paraId="7069292E">
      <w:pPr>
        <w:pStyle w:val="36"/>
        <w:ind w:firstLine="480" w:firstLineChars="20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b w:val="0"/>
          <w:bCs w:val="0"/>
          <w:snapToGrid w:val="0"/>
          <w:color w:val="000000" w:themeColor="text1"/>
          <w:highlight w:val="none"/>
          <w14:textFill>
            <w14:solidFill>
              <w14:schemeClr w14:val="tx1"/>
            </w14:solidFill>
          </w14:textFill>
        </w:rPr>
        <w:t>3.2</w:t>
      </w:r>
      <w:r>
        <w:rPr>
          <w:rFonts w:hint="eastAsia" w:asciiTheme="minorEastAsia" w:hAnsiTheme="minorEastAsia" w:eastAsiaTheme="minorEastAsia" w:cstheme="minorEastAsia"/>
          <w:color w:val="000000" w:themeColor="text1"/>
          <w:highlight w:val="none"/>
          <w14:textFill>
            <w14:solidFill>
              <w14:schemeClr w14:val="tx1"/>
            </w14:solidFill>
          </w14:textFill>
        </w:rPr>
        <w:t>因中标人原因，没有按期完成设计任务、工程没有按期竣工时，中标人须在逾期第壹天起每天分别按设计、施工合同价款的1.5</w:t>
      </w: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‰向</w:t>
      </w:r>
      <w:r>
        <w:rPr>
          <w:rFonts w:hint="eastAsia" w:asciiTheme="minorEastAsia" w:hAnsiTheme="minorEastAsia" w:eastAsiaTheme="minorEastAsia" w:cstheme="minorEastAsia"/>
          <w:color w:val="000000" w:themeColor="text1"/>
          <w:highlight w:val="none"/>
          <w14:textFill>
            <w14:solidFill>
              <w14:schemeClr w14:val="tx1"/>
            </w14:solidFill>
          </w14:textFill>
        </w:rPr>
        <w:t>招标人缴纳逾期违约金，分别累计最高不超过设计、施工合同价款的10%向招标人缴纳逾期违约金。</w:t>
      </w:r>
    </w:p>
    <w:p w14:paraId="4BCB15A2">
      <w:pPr>
        <w:pStyle w:val="36"/>
        <w:ind w:firstLine="482" w:firstLineChars="200"/>
        <w:rPr>
          <w:rFonts w:hint="eastAsia" w:asciiTheme="minorEastAsia" w:hAnsiTheme="minorEastAsia" w:eastAsiaTheme="minorEastAsia" w:cstheme="minorEastAsia"/>
          <w:color w:val="000000" w:themeColor="text1"/>
          <w:highlight w:val="none"/>
          <w:lang w:val="zh-CN"/>
          <w14:textFill>
            <w14:solidFill>
              <w14:schemeClr w14:val="tx1"/>
            </w14:solidFill>
          </w14:textFill>
        </w:rPr>
      </w:pPr>
      <w:r>
        <w:rPr>
          <w:rFonts w:hint="eastAsia" w:asciiTheme="minorEastAsia" w:hAnsiTheme="minorEastAsia" w:eastAsiaTheme="minorEastAsia" w:cstheme="minorEastAsia"/>
          <w:b/>
          <w:color w:val="000000" w:themeColor="text1"/>
          <w:kern w:val="44"/>
          <w:highlight w:val="none"/>
          <w14:textFill>
            <w14:solidFill>
              <w14:schemeClr w14:val="tx1"/>
            </w14:solidFill>
          </w14:textFill>
        </w:rPr>
        <w:t>3.3</w:t>
      </w:r>
      <w:r>
        <w:rPr>
          <w:rFonts w:hint="eastAsia" w:asciiTheme="minorEastAsia" w:hAnsiTheme="minorEastAsia" w:eastAsiaTheme="minorEastAsia" w:cstheme="minorEastAsia"/>
          <w:color w:val="000000" w:themeColor="text1"/>
          <w:highlight w:val="none"/>
          <w14:textFill>
            <w14:solidFill>
              <w14:schemeClr w14:val="tx1"/>
            </w14:solidFill>
          </w14:textFill>
        </w:rPr>
        <w:t>设计工期自</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中标通知书发出之日</w:t>
      </w:r>
      <w:r>
        <w:rPr>
          <w:rFonts w:hint="eastAsia" w:asciiTheme="minorEastAsia" w:hAnsiTheme="minorEastAsia" w:eastAsiaTheme="minorEastAsia" w:cstheme="minorEastAsia"/>
          <w:color w:val="000000" w:themeColor="text1"/>
          <w:highlight w:val="none"/>
          <w14:textFill>
            <w14:solidFill>
              <w14:schemeClr w14:val="tx1"/>
            </w14:solidFill>
          </w14:textFill>
        </w:rPr>
        <w:t>起计算，至提交符合招标人及审图机构要求的施工图设计文件以及符合要求的施工图预算之日止（每一步设计工作，必须以招标人及有关部门审核批准后方可实施）</w:t>
      </w:r>
      <w:r>
        <w:rPr>
          <w:rFonts w:hint="eastAsia" w:asciiTheme="minorEastAsia" w:hAnsiTheme="minorEastAsia" w:eastAsiaTheme="minorEastAsia" w:cstheme="minorEastAsia"/>
          <w:color w:val="000000" w:themeColor="text1"/>
          <w:highlight w:val="none"/>
          <w:lang w:val="zh-CN"/>
          <w14:textFill>
            <w14:solidFill>
              <w14:schemeClr w14:val="tx1"/>
            </w14:solidFill>
          </w14:textFill>
        </w:rPr>
        <w:t>。</w:t>
      </w:r>
    </w:p>
    <w:p w14:paraId="5689BC32">
      <w:pPr>
        <w:pStyle w:val="36"/>
        <w:ind w:firstLine="482" w:firstLineChars="200"/>
        <w:rPr>
          <w:rFonts w:hint="eastAsia" w:asciiTheme="minorEastAsia" w:hAnsiTheme="minorEastAsia" w:eastAsiaTheme="minorEastAsia" w:cstheme="minorEastAsia"/>
          <w:b/>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highlight w:val="none"/>
          <w14:textFill>
            <w14:solidFill>
              <w14:schemeClr w14:val="tx1"/>
            </w14:solidFill>
          </w14:textFill>
        </w:rPr>
        <w:t>3</w:t>
      </w:r>
      <w:r>
        <w:rPr>
          <w:rFonts w:hint="eastAsia" w:asciiTheme="minorEastAsia" w:hAnsiTheme="minorEastAsia" w:eastAsiaTheme="minorEastAsia" w:cstheme="minorEastAsia"/>
          <w:b/>
          <w:bCs/>
          <w:color w:val="000000" w:themeColor="text1"/>
          <w:highlight w:val="none"/>
          <w:lang w:val="zh-CN"/>
          <w14:textFill>
            <w14:solidFill>
              <w14:schemeClr w14:val="tx1"/>
            </w14:solidFill>
          </w14:textFill>
        </w:rPr>
        <w:t>.</w:t>
      </w:r>
      <w:r>
        <w:rPr>
          <w:rFonts w:hint="eastAsia" w:asciiTheme="minorEastAsia" w:hAnsiTheme="minorEastAsia" w:eastAsiaTheme="minorEastAsia" w:cstheme="minorEastAsia"/>
          <w:b/>
          <w:bCs/>
          <w:color w:val="000000" w:themeColor="text1"/>
          <w:highlight w:val="none"/>
          <w14:textFill>
            <w14:solidFill>
              <w14:schemeClr w14:val="tx1"/>
            </w14:solidFill>
          </w14:textFill>
        </w:rPr>
        <w:t>4</w:t>
      </w:r>
      <w:r>
        <w:rPr>
          <w:rFonts w:hint="eastAsia" w:asciiTheme="minorEastAsia" w:hAnsiTheme="minorEastAsia" w:eastAsiaTheme="minorEastAsia" w:cstheme="minorEastAsia"/>
          <w:color w:val="000000" w:themeColor="text1"/>
          <w:highlight w:val="none"/>
          <w:lang w:val="zh-CN"/>
          <w14:textFill>
            <w14:solidFill>
              <w14:schemeClr w14:val="tx1"/>
            </w14:solidFill>
          </w14:textFill>
        </w:rPr>
        <w:t xml:space="preserve"> 施工工期从开工令签发之日起计，至竣工验收之日止。</w:t>
      </w:r>
      <w:bookmarkStart w:id="52" w:name="_Toc11872"/>
    </w:p>
    <w:p w14:paraId="1FEB7EBD">
      <w:pPr>
        <w:pStyle w:val="38"/>
        <w:keepNext/>
        <w:keepLines/>
        <w:ind w:firstLine="482" w:firstLineChars="200"/>
        <w:jc w:val="both"/>
        <w:rPr>
          <w:rFonts w:hint="eastAsia" w:asciiTheme="minorEastAsia" w:hAnsiTheme="minorEastAsia" w:eastAsiaTheme="minorEastAsia" w:cstheme="minorEastAsia"/>
          <w:b/>
          <w:color w:val="000000" w:themeColor="text1"/>
          <w:kern w:val="2"/>
          <w:szCs w:val="24"/>
          <w:highlight w:val="none"/>
          <w14:textFill>
            <w14:solidFill>
              <w14:schemeClr w14:val="tx1"/>
            </w14:solidFill>
          </w14:textFill>
        </w:rPr>
      </w:pPr>
      <w:bookmarkStart w:id="53" w:name="_Toc24539"/>
      <w:bookmarkStart w:id="54" w:name="_Toc30034"/>
      <w:bookmarkStart w:id="55" w:name="_Toc3312"/>
      <w:bookmarkStart w:id="56" w:name="_Toc1889"/>
      <w:bookmarkStart w:id="57" w:name="_Toc22160"/>
      <w:bookmarkStart w:id="58" w:name="_Toc13379"/>
      <w:bookmarkStart w:id="59" w:name="_Toc2499"/>
      <w:bookmarkStart w:id="60" w:name="_Toc19644"/>
      <w:r>
        <w:rPr>
          <w:rFonts w:hint="eastAsia" w:asciiTheme="minorEastAsia" w:hAnsiTheme="minorEastAsia" w:eastAsiaTheme="minorEastAsia" w:cstheme="minorEastAsia"/>
          <w:b/>
          <w:color w:val="000000" w:themeColor="text1"/>
          <w:kern w:val="2"/>
          <w:highlight w:val="none"/>
          <w14:textFill>
            <w14:solidFill>
              <w14:schemeClr w14:val="tx1"/>
            </w14:solidFill>
          </w14:textFill>
        </w:rPr>
        <w:t>4 、投标人资质及条件要求</w:t>
      </w:r>
      <w:bookmarkEnd w:id="52"/>
      <w:bookmarkEnd w:id="53"/>
      <w:bookmarkEnd w:id="54"/>
      <w:bookmarkEnd w:id="55"/>
      <w:bookmarkEnd w:id="56"/>
      <w:bookmarkEnd w:id="57"/>
      <w:bookmarkEnd w:id="58"/>
      <w:bookmarkEnd w:id="59"/>
      <w:bookmarkEnd w:id="60"/>
      <w:bookmarkStart w:id="61" w:name="_Hlt74496495"/>
      <w:bookmarkEnd w:id="61"/>
    </w:p>
    <w:p w14:paraId="7BC94FEA">
      <w:pPr>
        <w:pStyle w:val="39"/>
        <w:wordWrap w:val="0"/>
        <w:adjustRightInd w:val="0"/>
        <w:snapToGrid w:val="0"/>
        <w:spacing w:line="360" w:lineRule="auto"/>
        <w:ind w:firstLine="482" w:firstLineChars="200"/>
        <w:jc w:val="left"/>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4.1．</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本次招标接受联合体投标，联合体以一个投标人的身份共同投标。</w:t>
      </w:r>
    </w:p>
    <w:p w14:paraId="0185705A">
      <w:pPr>
        <w:pStyle w:val="39"/>
        <w:wordWrap w:val="0"/>
        <w:adjustRightInd w:val="0"/>
        <w:snapToGrid w:val="0"/>
        <w:spacing w:line="360" w:lineRule="auto"/>
        <w:ind w:firstLine="482" w:firstLineChars="200"/>
        <w:jc w:val="left"/>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4.</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1.1．</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联合体成员数量不超过</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个。</w:t>
      </w:r>
    </w:p>
    <w:p w14:paraId="174F9056">
      <w:pPr>
        <w:pStyle w:val="39"/>
        <w:wordWrap w:val="0"/>
        <w:adjustRightInd w:val="0"/>
        <w:snapToGrid w:val="0"/>
        <w:spacing w:line="360" w:lineRule="auto"/>
        <w:ind w:firstLine="482" w:firstLineChars="200"/>
        <w:jc w:val="left"/>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4.</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1.2．</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联合体各方应按招标文件提供的格式签订联合体协议书，明确联合体牵头人和各方权利义务，并承诺就中标项目向招标人承担连带责任。《联合体协议书》作为投标文件的组成部分向招标人提交。</w:t>
      </w:r>
    </w:p>
    <w:p w14:paraId="104DCA4C">
      <w:pPr>
        <w:pStyle w:val="39"/>
        <w:wordWrap w:val="0"/>
        <w:adjustRightInd w:val="0"/>
        <w:snapToGrid w:val="0"/>
        <w:spacing w:line="360" w:lineRule="auto"/>
        <w:ind w:firstLine="482" w:firstLineChars="200"/>
        <w:jc w:val="left"/>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4.</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1.3．</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联合体成员单位均应具备拟承担的工作内容（以《联合体协议书》的约定为准）所规定的资格条件。若同一工作内容由两个或两个以上单位共同承担，该项工作内容按照资质等级较低的单位确定联合体资质等级。</w:t>
      </w:r>
    </w:p>
    <w:p w14:paraId="0609ECEF">
      <w:pPr>
        <w:pStyle w:val="39"/>
        <w:wordWrap w:val="0"/>
        <w:adjustRightInd w:val="0"/>
        <w:snapToGrid w:val="0"/>
        <w:spacing w:line="360" w:lineRule="auto"/>
        <w:ind w:firstLine="482" w:firstLineChars="200"/>
        <w:jc w:val="left"/>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4.</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1.4．</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联合体各方不得再以自己名义单独或参加其他联合体在本招标项目中投标，否则各相关投标均无效。</w:t>
      </w:r>
    </w:p>
    <w:p w14:paraId="75C9D82C">
      <w:pPr>
        <w:pStyle w:val="39"/>
        <w:wordWrap w:val="0"/>
        <w:adjustRightInd w:val="0"/>
        <w:snapToGrid w:val="0"/>
        <w:spacing w:line="360" w:lineRule="auto"/>
        <w:ind w:firstLine="482" w:firstLineChars="200"/>
        <w:jc w:val="left"/>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4.</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2．</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资格资质要求</w:t>
      </w:r>
    </w:p>
    <w:p w14:paraId="1982F82E">
      <w:pPr>
        <w:pStyle w:val="39"/>
        <w:wordWrap w:val="0"/>
        <w:adjustRightInd w:val="0"/>
        <w:snapToGrid w:val="0"/>
        <w:spacing w:line="360" w:lineRule="auto"/>
        <w:ind w:firstLine="482" w:firstLineChars="200"/>
        <w:jc w:val="left"/>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4.</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 xml:space="preserve">2.1 </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投标人须具备独立法人资格，按国家法律经营。</w:t>
      </w:r>
    </w:p>
    <w:p w14:paraId="0BD880FE">
      <w:pPr>
        <w:pStyle w:val="39"/>
        <w:wordWrap w:val="0"/>
        <w:adjustRightInd w:val="0"/>
        <w:snapToGrid w:val="0"/>
        <w:spacing w:line="360" w:lineRule="auto"/>
        <w:ind w:firstLine="482" w:firstLineChars="200"/>
        <w:jc w:val="left"/>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4.</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 xml:space="preserve">2.2 </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投标人须持有建设行政主管部门颁发的企业资质证书。</w:t>
      </w:r>
    </w:p>
    <w:p w14:paraId="4E0682D4">
      <w:pPr>
        <w:pStyle w:val="39"/>
        <w:wordWrap w:val="0"/>
        <w:adjustRightInd w:val="0"/>
        <w:snapToGrid w:val="0"/>
        <w:spacing w:line="360" w:lineRule="auto"/>
        <w:ind w:firstLine="482" w:firstLineChars="200"/>
        <w:jc w:val="left"/>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4.</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2.</w:t>
      </w: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2.1</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投标人须具备以下资质：参加投标的投标人可以是单一独立法人或由不超过</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家独立法人组成的联合体（必须注明其中一家为牵头人），单一独立法人必须至少同时具备以下①～</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②</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资质，组成联合体投标的，联合后必须至少具备以下①～</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②</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资质，联合体牵头人必须为施工单位，由同一专业的单位组成的联合体，按照资质等级较低的单位确定资质等级：</w:t>
      </w:r>
    </w:p>
    <w:p w14:paraId="37944C97">
      <w:pPr>
        <w:pStyle w:val="39"/>
        <w:wordWrap w:val="0"/>
        <w:adjustRightInd w:val="0"/>
        <w:snapToGrid w:val="0"/>
        <w:spacing w:line="360" w:lineRule="auto"/>
        <w:ind w:firstLine="480" w:firstLineChars="200"/>
        <w:jc w:val="left"/>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①施工资质：建设行政主管部门颁发的市政公用工程施工总承包叁级或以上(含叁级)资质，并持有有效安全生产许可证。</w:t>
      </w:r>
    </w:p>
    <w:p w14:paraId="12134967">
      <w:pPr>
        <w:pStyle w:val="39"/>
        <w:wordWrap w:val="0"/>
        <w:adjustRightInd w:val="0"/>
        <w:snapToGrid w:val="0"/>
        <w:spacing w:line="360" w:lineRule="auto"/>
        <w:ind w:firstLine="480" w:firstLineChars="200"/>
        <w:jc w:val="left"/>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②设计资质要求：必须具备建设行政主管部门颁发的以下资质之一：</w:t>
      </w:r>
    </w:p>
    <w:p w14:paraId="09F86FD2">
      <w:pPr>
        <w:pStyle w:val="39"/>
        <w:wordWrap w:val="0"/>
        <w:adjustRightInd w:val="0"/>
        <w:snapToGrid w:val="0"/>
        <w:spacing w:line="360" w:lineRule="auto"/>
        <w:ind w:firstLine="480" w:firstLineChars="200"/>
        <w:jc w:val="left"/>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(1)具备工程设计综合类甲级资质；</w:t>
      </w:r>
    </w:p>
    <w:p w14:paraId="1CADC7BD">
      <w:pPr>
        <w:pStyle w:val="39"/>
        <w:wordWrap w:val="0"/>
        <w:adjustRightInd w:val="0"/>
        <w:snapToGrid w:val="0"/>
        <w:spacing w:line="360" w:lineRule="auto"/>
        <w:ind w:firstLine="480" w:firstLineChars="200"/>
        <w:jc w:val="left"/>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(2)具备工程设计市政行业乙级以上（含乙级）资质；</w:t>
      </w:r>
    </w:p>
    <w:p w14:paraId="0EB38219">
      <w:pPr>
        <w:pStyle w:val="39"/>
        <w:wordWrap w:val="0"/>
        <w:adjustRightInd w:val="0"/>
        <w:snapToGrid w:val="0"/>
        <w:spacing w:line="360" w:lineRule="auto"/>
        <w:ind w:firstLine="480" w:firstLineChars="200"/>
        <w:jc w:val="left"/>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(3)具备工程设计市政行业（燃气工程、轨道交通工程除外）乙级以上（含乙级）资质；</w:t>
      </w:r>
    </w:p>
    <w:p w14:paraId="72B7A15A">
      <w:pPr>
        <w:pStyle w:val="39"/>
        <w:wordWrap w:val="0"/>
        <w:adjustRightInd w:val="0"/>
        <w:snapToGrid w:val="0"/>
        <w:spacing w:line="360" w:lineRule="auto"/>
        <w:ind w:firstLine="480" w:firstLineChars="200"/>
        <w:jc w:val="left"/>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(4)具备工程设计市政行业（排水工程）专业乙级以上（含乙级）资质。</w:t>
      </w:r>
    </w:p>
    <w:p w14:paraId="1CD3B738">
      <w:pPr>
        <w:pStyle w:val="39"/>
        <w:wordWrap w:val="0"/>
        <w:adjustRightInd w:val="0"/>
        <w:snapToGrid w:val="0"/>
        <w:spacing w:line="360" w:lineRule="auto"/>
        <w:ind w:firstLine="482" w:firstLineChars="200"/>
        <w:jc w:val="left"/>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4.</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2.</w:t>
      </w: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010D04CF">
      <w:pPr>
        <w:pStyle w:val="39"/>
        <w:wordWrap w:val="0"/>
        <w:adjustRightInd w:val="0"/>
        <w:snapToGrid w:val="0"/>
        <w:spacing w:line="360" w:lineRule="auto"/>
        <w:ind w:firstLine="482" w:firstLineChars="200"/>
        <w:jc w:val="left"/>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4.3．</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相关人员要求</w:t>
      </w:r>
    </w:p>
    <w:p w14:paraId="64131FF1">
      <w:pPr>
        <w:pStyle w:val="39"/>
        <w:wordWrap w:val="0"/>
        <w:adjustRightInd w:val="0"/>
        <w:snapToGrid w:val="0"/>
        <w:spacing w:line="360" w:lineRule="auto"/>
        <w:ind w:firstLine="482" w:firstLineChars="200"/>
        <w:jc w:val="left"/>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4.</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3.1</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 xml:space="preserve"> 拟派项目经理为具有</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市政公用工程</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专业一级或二级注册建造师，其中一级注册建造师应持有国家住建部印发的有效注册证书，二级注册建造师应持有考试取得执业资格的省、自治区、直辖市住建部门核准的有效电子注册证书（二级注册建造师应持有住建部门核准的、在使用有效期内的有效电子证书）。同时均须具备有效安全生产考核合格证明（B证，安全生产考核合格证书或“广东省建筑施工企业管理人员安全生产考核信息系统”考核合格信息打印页），且未担任其他在施（包括已中标未开工、已开工未竣工）建设工程项目的项目经理。</w:t>
      </w:r>
    </w:p>
    <w:p w14:paraId="1ABBFDE0">
      <w:pPr>
        <w:pStyle w:val="39"/>
        <w:wordWrap w:val="0"/>
        <w:adjustRightInd w:val="0"/>
        <w:snapToGrid w:val="0"/>
        <w:spacing w:line="360" w:lineRule="auto"/>
        <w:ind w:firstLine="482" w:firstLineChars="200"/>
        <w:jc w:val="left"/>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4.</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3.2</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投标人拟派项目技术负责人须具备</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市政公用工程相关</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专业</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中</w:t>
      </w:r>
      <w:r>
        <w:rPr>
          <w:rFonts w:hint="eastAsia" w:asciiTheme="minorEastAsia" w:hAnsiTheme="minorEastAsia" w:eastAsiaTheme="minorEastAsia" w:cstheme="minorEastAsia"/>
          <w:color w:val="000000" w:themeColor="text1"/>
          <w:sz w:val="24"/>
          <w:szCs w:val="24"/>
          <w:highlight w:val="none"/>
          <w:lang w:val="zh-CN" w:eastAsia="zh-CN"/>
          <w14:textFill>
            <w14:solidFill>
              <w14:schemeClr w14:val="tx1"/>
            </w14:solidFill>
          </w14:textFill>
        </w:rPr>
        <w:t>级（或以上）</w:t>
      </w:r>
      <w:r>
        <w:rPr>
          <w:rFonts w:hint="eastAsia" w:asciiTheme="minorEastAsia" w:hAnsiTheme="minorEastAsia" w:eastAsiaTheme="minorEastAsia" w:cstheme="minorEastAsia"/>
          <w:color w:val="000000" w:themeColor="text1"/>
          <w:sz w:val="24"/>
          <w:szCs w:val="24"/>
          <w:highlight w:val="none"/>
          <w:lang w:val="zh-CN"/>
          <w14:textFill>
            <w14:solidFill>
              <w14:schemeClr w14:val="tx1"/>
            </w14:solidFill>
          </w14:textFill>
        </w:rPr>
        <w:t>技术</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职称。</w:t>
      </w:r>
    </w:p>
    <w:p w14:paraId="6045B536">
      <w:pPr>
        <w:pStyle w:val="39"/>
        <w:wordWrap w:val="0"/>
        <w:adjustRightInd w:val="0"/>
        <w:snapToGrid w:val="0"/>
        <w:spacing w:line="360" w:lineRule="auto"/>
        <w:ind w:firstLine="482" w:firstLineChars="200"/>
        <w:jc w:val="left"/>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4.</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3.</w:t>
      </w: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投标人拟派专职安全生产管理人员须具备有效安全生产考核合格证明（C证，安全生产考核合格证书或“广东省建筑施工企业管理人员安全生产考核系统”考核合格信息打印页）</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且不少于</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1人</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w:t>
      </w:r>
    </w:p>
    <w:p w14:paraId="60EF49DA">
      <w:pPr>
        <w:pStyle w:val="39"/>
        <w:wordWrap w:val="0"/>
        <w:adjustRightInd w:val="0"/>
        <w:snapToGrid w:val="0"/>
        <w:spacing w:line="360" w:lineRule="auto"/>
        <w:ind w:firstLine="482" w:firstLineChars="200"/>
        <w:jc w:val="left"/>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4.</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3.</w:t>
      </w: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投标人拟派项目设计负责人须具备市政类相关专业中级以上（含中级）工程师职称</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w:t>
      </w:r>
    </w:p>
    <w:p w14:paraId="13B6DF73">
      <w:pPr>
        <w:pStyle w:val="39"/>
        <w:wordWrap w:val="0"/>
        <w:adjustRightInd w:val="0"/>
        <w:snapToGrid w:val="0"/>
        <w:spacing w:line="360" w:lineRule="auto"/>
        <w:ind w:firstLine="482" w:firstLineChars="200"/>
        <w:jc w:val="left"/>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4.3.5</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投标人与其拟派往本项目管理机构的所有人员之间必须具备合法、唯一的劳动聘用关系。拟派人员中具备注册执业资格的，其注册单位须与投标人保持一致。</w:t>
      </w:r>
    </w:p>
    <w:p w14:paraId="47DA48DA">
      <w:pPr>
        <w:wordWrap w:val="0"/>
        <w:adjustRightInd w:val="0"/>
        <w:snapToGrid w:val="0"/>
        <w:spacing w:line="360" w:lineRule="auto"/>
        <w:ind w:firstLine="482"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kern w:val="0"/>
          <w:szCs w:val="24"/>
          <w:highlight w:val="none"/>
          <w14:textFill>
            <w14:solidFill>
              <w14:schemeClr w14:val="tx1"/>
            </w14:solidFill>
          </w14:textFill>
        </w:rPr>
        <w:t>4.4</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禁止投标条款：</w:t>
      </w:r>
    </w:p>
    <w:p w14:paraId="4A4EB074">
      <w:pPr>
        <w:wordWrap w:val="0"/>
        <w:adjustRightInd w:val="0"/>
        <w:snapToGrid w:val="0"/>
        <w:spacing w:line="360" w:lineRule="auto"/>
        <w:ind w:firstLine="482"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kern w:val="0"/>
          <w:szCs w:val="24"/>
          <w:highlight w:val="none"/>
          <w14:textFill>
            <w14:solidFill>
              <w14:schemeClr w14:val="tx1"/>
            </w14:solidFill>
          </w14:textFill>
        </w:rPr>
        <w:t>4.4.1</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投标人不得存在下列情形之一：</w:t>
      </w:r>
    </w:p>
    <w:p w14:paraId="0CC29F98">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（1）为招标人不具有独立法人资格的附属机构（单位）；</w:t>
      </w:r>
    </w:p>
    <w:p w14:paraId="4BC742A6">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（2）为本招标项目前期准备提供咨询服务的；</w:t>
      </w:r>
    </w:p>
    <w:p w14:paraId="0C4406B3">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（3）与本招标项目的其他投标人为同一个单位负责人；</w:t>
      </w:r>
    </w:p>
    <w:p w14:paraId="32746652">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（4）与本招标项目的其他投标人存在控股、管理关系；</w:t>
      </w:r>
    </w:p>
    <w:p w14:paraId="5D0149B8">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（5）为本招标项目的监理人；</w:t>
      </w:r>
    </w:p>
    <w:p w14:paraId="4F018B53">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（6）为本招标项目的代建人；</w:t>
      </w:r>
    </w:p>
    <w:p w14:paraId="0DD591D5">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（7）为本招标项目的招标代理机构；</w:t>
      </w:r>
    </w:p>
    <w:p w14:paraId="6FE73510">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（8）与本招标项目的监理人或代建人或招标代理机构同为一个法定代表人；</w:t>
      </w:r>
    </w:p>
    <w:p w14:paraId="0C15F119">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（9）与本招标项目的监理人或代建人或招标代理机构存在控股或参股关系；</w:t>
      </w:r>
    </w:p>
    <w:p w14:paraId="04BAED46">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（10）与本招标项目的监理人或代建人或招标代理机构存在相互任职或工作关系；</w:t>
      </w:r>
    </w:p>
    <w:p w14:paraId="78159E10">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（11）被依法暂停或者取消投标资格；</w:t>
      </w:r>
    </w:p>
    <w:p w14:paraId="142376F8">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（12）被责令停产停业、暂扣或者吊销许可证、暂扣或者吊销执照；</w:t>
      </w:r>
    </w:p>
    <w:p w14:paraId="1CEFC632">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（13）进入清算程序，或被宣告破产，或其他丧失履约能力的情形；</w:t>
      </w:r>
    </w:p>
    <w:p w14:paraId="0ACF323E">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（14）在最近三年内发生重大工程质量或安全问题（以相关行业主管部门的行政处罚决定或司法机关出具的有关法律文书为准）；</w:t>
      </w:r>
    </w:p>
    <w:p w14:paraId="6FC0E969">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（15）被“信用中国”网站（https://www.creditchina.gov.cn）发布的《法人和非法人组织公共信用信息报告》列入严重失信主体名单的。</w:t>
      </w:r>
    </w:p>
    <w:p w14:paraId="2B413508">
      <w:pPr>
        <w:wordWrap w:val="0"/>
        <w:adjustRightInd w:val="0"/>
        <w:snapToGrid w:val="0"/>
        <w:spacing w:line="360" w:lineRule="auto"/>
        <w:ind w:firstLine="482"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t>4.4.2</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招标人拒绝以下名单中的单位参加本次投标：</w:t>
      </w:r>
    </w:p>
    <w:tbl>
      <w:tblPr>
        <w:tblStyle w:val="21"/>
        <w:tblW w:w="9859" w:type="dxa"/>
        <w:tblInd w:w="-1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0"/>
        <w:gridCol w:w="4340"/>
        <w:gridCol w:w="4709"/>
      </w:tblGrid>
      <w:tr w14:paraId="3BBE9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810" w:type="dxa"/>
            <w:noWrap/>
            <w:vAlign w:val="center"/>
          </w:tcPr>
          <w:p w14:paraId="27C006A1">
            <w:pPr>
              <w:wordWrap w:val="0"/>
              <w:adjustRightInd w:val="0"/>
              <w:snapToGrid w:val="0"/>
              <w:spacing w:line="240" w:lineRule="auto"/>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序号</w:t>
            </w:r>
          </w:p>
        </w:tc>
        <w:tc>
          <w:tcPr>
            <w:tcW w:w="4340" w:type="dxa"/>
            <w:noWrap/>
            <w:vAlign w:val="center"/>
          </w:tcPr>
          <w:p w14:paraId="1D357B38">
            <w:pPr>
              <w:wordWrap w:val="0"/>
              <w:adjustRightInd w:val="0"/>
              <w:snapToGrid w:val="0"/>
              <w:spacing w:line="240" w:lineRule="auto"/>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单位名称</w:t>
            </w:r>
          </w:p>
        </w:tc>
        <w:tc>
          <w:tcPr>
            <w:tcW w:w="4709" w:type="dxa"/>
            <w:noWrap/>
            <w:vAlign w:val="center"/>
          </w:tcPr>
          <w:p w14:paraId="102F25AC">
            <w:pPr>
              <w:wordWrap w:val="0"/>
              <w:adjustRightInd w:val="0"/>
              <w:snapToGrid w:val="0"/>
              <w:spacing w:line="240" w:lineRule="auto"/>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拒绝原因</w:t>
            </w:r>
          </w:p>
        </w:tc>
      </w:tr>
      <w:tr w14:paraId="281C1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810" w:type="dxa"/>
            <w:noWrap/>
            <w:vAlign w:val="center"/>
          </w:tcPr>
          <w:p w14:paraId="5C0B97D5">
            <w:pPr>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1</w:t>
            </w:r>
          </w:p>
        </w:tc>
        <w:tc>
          <w:tcPr>
            <w:tcW w:w="4340" w:type="dxa"/>
            <w:noWrap/>
            <w:vAlign w:val="center"/>
          </w:tcPr>
          <w:p w14:paraId="6C723C57">
            <w:pPr>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lang w:eastAsia="zh-CN"/>
                <w14:textFill>
                  <w14:solidFill>
                    <w14:schemeClr w14:val="tx1"/>
                  </w14:solidFill>
                </w14:textFill>
              </w:rPr>
              <w:t>翁源县坝仔镇人民政府</w:t>
            </w:r>
          </w:p>
        </w:tc>
        <w:tc>
          <w:tcPr>
            <w:tcW w:w="4709" w:type="dxa"/>
            <w:noWrap/>
            <w:vAlign w:val="center"/>
          </w:tcPr>
          <w:p w14:paraId="637B1763">
            <w:pPr>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为本招标项目的招标人</w:t>
            </w:r>
          </w:p>
        </w:tc>
      </w:tr>
      <w:tr w14:paraId="5CB08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810" w:type="dxa"/>
            <w:noWrap/>
            <w:vAlign w:val="center"/>
          </w:tcPr>
          <w:p w14:paraId="034641EE">
            <w:pPr>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2</w:t>
            </w:r>
          </w:p>
        </w:tc>
        <w:tc>
          <w:tcPr>
            <w:tcW w:w="4340" w:type="dxa"/>
            <w:noWrap/>
            <w:vAlign w:val="center"/>
          </w:tcPr>
          <w:p w14:paraId="4F97ADEE">
            <w:pPr>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翁源县龙腾城市建设投资经营有限公司</w:t>
            </w:r>
          </w:p>
        </w:tc>
        <w:tc>
          <w:tcPr>
            <w:tcW w:w="4709" w:type="dxa"/>
            <w:noWrap/>
            <w:vAlign w:val="center"/>
          </w:tcPr>
          <w:p w14:paraId="616118EF">
            <w:pPr>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为本招标项目的业主单位</w:t>
            </w:r>
          </w:p>
        </w:tc>
      </w:tr>
      <w:tr w14:paraId="15BE3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810" w:type="dxa"/>
            <w:noWrap/>
            <w:vAlign w:val="center"/>
          </w:tcPr>
          <w:p w14:paraId="42C8DAC7">
            <w:pPr>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3</w:t>
            </w:r>
          </w:p>
        </w:tc>
        <w:tc>
          <w:tcPr>
            <w:tcW w:w="4340" w:type="dxa"/>
            <w:noWrap/>
            <w:vAlign w:val="center"/>
          </w:tcPr>
          <w:p w14:paraId="641E28D8">
            <w:pPr>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lang w:eastAsia="zh-CN"/>
                <w14:textFill>
                  <w14:solidFill>
                    <w14:schemeClr w14:val="tx1"/>
                  </w14:solidFill>
                </w14:textFill>
              </w:rPr>
              <w:t>广东名岳工程设计有限公司</w:t>
            </w:r>
          </w:p>
        </w:tc>
        <w:tc>
          <w:tcPr>
            <w:tcW w:w="4709" w:type="dxa"/>
            <w:noWrap/>
            <w:vAlign w:val="center"/>
          </w:tcPr>
          <w:p w14:paraId="303D99DA">
            <w:pPr>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为本招标项目的可行性研究报告编制单位</w:t>
            </w:r>
          </w:p>
        </w:tc>
      </w:tr>
      <w:tr w14:paraId="71ED6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810" w:type="dxa"/>
            <w:noWrap/>
            <w:vAlign w:val="center"/>
          </w:tcPr>
          <w:p w14:paraId="05BEB00A">
            <w:pPr>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4</w:t>
            </w:r>
          </w:p>
        </w:tc>
        <w:tc>
          <w:tcPr>
            <w:tcW w:w="4340" w:type="dxa"/>
            <w:noWrap/>
            <w:vAlign w:val="center"/>
          </w:tcPr>
          <w:p w14:paraId="21C7CEC0">
            <w:pPr>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lang w:eastAsia="zh-CN"/>
                <w14:textFill>
                  <w14:solidFill>
                    <w14:schemeClr w14:val="tx1"/>
                  </w14:solidFill>
                </w14:textFill>
              </w:rPr>
              <w:t>广东宝骏工程咨询有限公司</w:t>
            </w:r>
          </w:p>
        </w:tc>
        <w:tc>
          <w:tcPr>
            <w:tcW w:w="4709" w:type="dxa"/>
            <w:noWrap/>
            <w:vAlign w:val="center"/>
          </w:tcPr>
          <w:p w14:paraId="73F05BA5">
            <w:pPr>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为本招标项目的招标代理机构</w:t>
            </w:r>
          </w:p>
        </w:tc>
      </w:tr>
      <w:tr w14:paraId="2BDC1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810" w:type="dxa"/>
            <w:noWrap/>
            <w:vAlign w:val="center"/>
          </w:tcPr>
          <w:p w14:paraId="31E36485">
            <w:pPr>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lang w:val="en-US" w:eastAsia="zh-CN"/>
                <w14:textFill>
                  <w14:solidFill>
                    <w14:schemeClr w14:val="tx1"/>
                  </w14:solidFill>
                </w14:textFill>
              </w:rPr>
              <w:t>5</w:t>
            </w:r>
          </w:p>
        </w:tc>
        <w:tc>
          <w:tcPr>
            <w:tcW w:w="4340" w:type="dxa"/>
            <w:noWrap/>
            <w:vAlign w:val="center"/>
          </w:tcPr>
          <w:p w14:paraId="0268D0F8">
            <w:pPr>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待定</w:t>
            </w:r>
          </w:p>
        </w:tc>
        <w:tc>
          <w:tcPr>
            <w:tcW w:w="4709" w:type="dxa"/>
            <w:noWrap/>
            <w:vAlign w:val="center"/>
          </w:tcPr>
          <w:p w14:paraId="17B6B69F">
            <w:pPr>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为本招标项目的监理单位</w:t>
            </w:r>
          </w:p>
        </w:tc>
      </w:tr>
      <w:tr w14:paraId="7C896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810" w:type="dxa"/>
            <w:noWrap/>
            <w:vAlign w:val="center"/>
          </w:tcPr>
          <w:p w14:paraId="4F52FD94">
            <w:pPr>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6</w:t>
            </w:r>
          </w:p>
        </w:tc>
        <w:tc>
          <w:tcPr>
            <w:tcW w:w="4340" w:type="dxa"/>
            <w:noWrap/>
            <w:vAlign w:val="center"/>
          </w:tcPr>
          <w:p w14:paraId="4E983CF2">
            <w:pPr>
              <w:tabs>
                <w:tab w:val="center" w:pos="941"/>
              </w:tabs>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中国华西工程设计建设有限公司</w:t>
            </w:r>
          </w:p>
        </w:tc>
        <w:tc>
          <w:tcPr>
            <w:tcW w:w="4709" w:type="dxa"/>
            <w:noWrap/>
            <w:vAlign w:val="center"/>
          </w:tcPr>
          <w:p w14:paraId="674074C2">
            <w:pPr>
              <w:wordWrap w:val="0"/>
              <w:adjustRightInd w:val="0"/>
              <w:snapToGrid w:val="0"/>
              <w:spacing w:line="240" w:lineRule="auto"/>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为本招标项目的勘察、初步设计及概算</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单位</w:t>
            </w:r>
          </w:p>
        </w:tc>
      </w:tr>
    </w:tbl>
    <w:p w14:paraId="07136E5D">
      <w:pPr>
        <w:wordWrap w:val="0"/>
        <w:adjustRightInd w:val="0"/>
        <w:snapToGrid w:val="0"/>
        <w:spacing w:line="360" w:lineRule="auto"/>
        <w:ind w:firstLine="482" w:firstLineChars="200"/>
        <w:jc w:val="lef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t>4.5</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省外企业（包括组成联合体的所有成员单位）</w:t>
      </w:r>
      <w:r>
        <w:rPr>
          <w:rFonts w:hint="eastAsia" w:ascii="宋体" w:hAnsi="宋体" w:eastAsia="宋体" w:cs="宋体"/>
          <w:snapToGrid w:val="0"/>
          <w:color w:val="000000" w:themeColor="text1"/>
          <w:kern w:val="0"/>
          <w:sz w:val="24"/>
          <w:szCs w:val="24"/>
          <w:highlight w:val="none"/>
          <w14:textFill>
            <w14:solidFill>
              <w14:schemeClr w14:val="tx1"/>
            </w14:solidFill>
          </w14:textFill>
        </w:rPr>
        <w:t>及其拟派往本项目管理机构的所有人员</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须按照《广东省住房和城乡建设厅关于取消省外建筑企业和人员进粤信息备案有关工作的通知》（粤建市﹝2015﹞52号）规定在“进粤企业和人员诚信信息登记平台”录入相关信息并通过数据规范检查。</w:t>
      </w:r>
    </w:p>
    <w:p w14:paraId="22E3F83E">
      <w:pPr>
        <w:pStyle w:val="31"/>
        <w:spacing w:line="360" w:lineRule="auto"/>
        <w:jc w:val="both"/>
        <w:rPr>
          <w:rFonts w:hint="eastAsia" w:asciiTheme="minorEastAsia" w:hAnsiTheme="minorEastAsia" w:eastAsiaTheme="minorEastAsia" w:cstheme="minorEastAsia"/>
          <w:color w:val="000000" w:themeColor="text1"/>
          <w:highlight w:val="none"/>
          <w14:textFill>
            <w14:solidFill>
              <w14:schemeClr w14:val="tx1"/>
            </w14:solidFill>
          </w14:textFill>
        </w:rPr>
      </w:pPr>
    </w:p>
    <w:p w14:paraId="034A7CEB">
      <w:pPr>
        <w:pStyle w:val="38"/>
        <w:keepNext/>
        <w:keepLines/>
        <w:ind w:firstLine="482" w:firstLineChars="200"/>
        <w:jc w:val="both"/>
        <w:rPr>
          <w:rFonts w:hint="eastAsia" w:asciiTheme="minorEastAsia" w:hAnsiTheme="minorEastAsia" w:eastAsiaTheme="minorEastAsia" w:cstheme="minorEastAsia"/>
          <w:b/>
          <w:color w:val="000000" w:themeColor="text1"/>
          <w:kern w:val="2"/>
          <w:highlight w:val="none"/>
          <w14:textFill>
            <w14:solidFill>
              <w14:schemeClr w14:val="tx1"/>
            </w14:solidFill>
          </w14:textFill>
        </w:rPr>
      </w:pPr>
      <w:bookmarkStart w:id="62" w:name="_Toc24391"/>
      <w:bookmarkStart w:id="63" w:name="_Toc17645"/>
      <w:bookmarkStart w:id="64" w:name="_Toc2707"/>
      <w:bookmarkStart w:id="65" w:name="_Toc8294"/>
      <w:bookmarkStart w:id="66" w:name="_Toc18979"/>
      <w:bookmarkStart w:id="67" w:name="_Toc20378"/>
      <w:bookmarkStart w:id="68" w:name="_Toc19195"/>
      <w:bookmarkStart w:id="69" w:name="_Toc3094"/>
      <w:bookmarkStart w:id="70" w:name="_Toc3588"/>
      <w:r>
        <w:rPr>
          <w:rFonts w:hint="eastAsia" w:asciiTheme="minorEastAsia" w:hAnsiTheme="minorEastAsia" w:eastAsiaTheme="minorEastAsia" w:cstheme="minorEastAsia"/>
          <w:b/>
          <w:color w:val="000000" w:themeColor="text1"/>
          <w:kern w:val="2"/>
          <w:highlight w:val="none"/>
          <w14:textFill>
            <w14:solidFill>
              <w14:schemeClr w14:val="tx1"/>
            </w14:solidFill>
          </w14:textFill>
        </w:rPr>
        <w:t>5 、工程招标内容及要求</w:t>
      </w:r>
      <w:bookmarkEnd w:id="62"/>
      <w:bookmarkEnd w:id="63"/>
      <w:bookmarkEnd w:id="64"/>
      <w:bookmarkEnd w:id="65"/>
      <w:bookmarkEnd w:id="66"/>
      <w:bookmarkEnd w:id="67"/>
      <w:bookmarkEnd w:id="68"/>
      <w:bookmarkEnd w:id="69"/>
      <w:bookmarkEnd w:id="70"/>
    </w:p>
    <w:p w14:paraId="4DDE3DE2">
      <w:pPr>
        <w:pStyle w:val="36"/>
        <w:numPr>
          <w:ilvl w:val="0"/>
          <w:numId w:val="0"/>
        </w:numPr>
        <w:spacing w:line="360" w:lineRule="auto"/>
        <w:ind w:firstLine="480" w:firstLineChars="200"/>
        <w:rPr>
          <w:rFonts w:hint="eastAsia" w:ascii="宋体" w:hAnsi="宋体" w:eastAsia="宋体" w:cs="Calibri"/>
          <w:bCs/>
          <w:color w:val="000000" w:themeColor="text1"/>
          <w:sz w:val="24"/>
          <w:szCs w:val="24"/>
          <w:highlight w:val="none"/>
          <w:u w:val="none"/>
          <w14:textFill>
            <w14:solidFill>
              <w14:schemeClr w14:val="tx1"/>
            </w14:solidFill>
          </w14:textFill>
        </w:rPr>
      </w:pPr>
      <w:r>
        <w:rPr>
          <w:rFonts w:hint="eastAsia" w:ascii="宋体" w:hAnsi="宋体" w:eastAsia="宋体" w:cs="Calibri"/>
          <w:bCs/>
          <w:color w:val="000000" w:themeColor="text1"/>
          <w:sz w:val="24"/>
          <w:szCs w:val="24"/>
          <w:highlight w:val="none"/>
          <w:u w:val="none"/>
          <w:lang w:val="en-US" w:eastAsia="zh-CN"/>
          <w14:textFill>
            <w14:solidFill>
              <w14:schemeClr w14:val="tx1"/>
            </w14:solidFill>
          </w14:textFill>
        </w:rPr>
        <w:t>5.1</w:t>
      </w:r>
      <w:r>
        <w:rPr>
          <w:rFonts w:hint="eastAsia" w:ascii="宋体" w:hAnsi="宋体" w:eastAsia="宋体" w:cs="Calibri"/>
          <w:bCs/>
          <w:color w:val="000000" w:themeColor="text1"/>
          <w:sz w:val="24"/>
          <w:szCs w:val="24"/>
          <w:highlight w:val="none"/>
          <w:u w:val="none"/>
          <w:lang w:val="zh-CN"/>
          <w14:textFill>
            <w14:solidFill>
              <w14:schemeClr w14:val="tx1"/>
            </w14:solidFill>
          </w14:textFill>
        </w:rPr>
        <w:t>本工程所涉及的内容包括但不限于以下（1）～（</w:t>
      </w:r>
      <w:r>
        <w:rPr>
          <w:rFonts w:hint="eastAsia" w:hAnsi="宋体" w:cs="Calibri"/>
          <w:bCs/>
          <w:color w:val="000000" w:themeColor="text1"/>
          <w:sz w:val="24"/>
          <w:szCs w:val="24"/>
          <w:highlight w:val="none"/>
          <w:u w:val="none"/>
          <w:lang w:val="en-US" w:eastAsia="zh-CN"/>
          <w14:textFill>
            <w14:solidFill>
              <w14:schemeClr w14:val="tx1"/>
            </w14:solidFill>
          </w14:textFill>
        </w:rPr>
        <w:t>2</w:t>
      </w:r>
      <w:r>
        <w:rPr>
          <w:rFonts w:hint="eastAsia" w:ascii="宋体" w:hAnsi="宋体" w:eastAsia="宋体" w:cs="Calibri"/>
          <w:bCs/>
          <w:color w:val="000000" w:themeColor="text1"/>
          <w:sz w:val="24"/>
          <w:szCs w:val="24"/>
          <w:highlight w:val="none"/>
          <w:u w:val="none"/>
          <w:lang w:val="zh-CN"/>
          <w14:textFill>
            <w14:solidFill>
              <w14:schemeClr w14:val="tx1"/>
            </w14:solidFill>
          </w14:textFill>
        </w:rPr>
        <w:t>）：</w:t>
      </w:r>
    </w:p>
    <w:p w14:paraId="4E4E7587">
      <w:pPr>
        <w:pStyle w:val="36"/>
        <w:numPr>
          <w:ilvl w:val="0"/>
          <w:numId w:val="0"/>
        </w:numPr>
        <w:spacing w:line="360" w:lineRule="auto"/>
        <w:ind w:firstLine="480" w:firstLineChars="200"/>
        <w:rPr>
          <w:rFonts w:hint="eastAsia" w:hAnsi="宋体" w:cs="Calibri"/>
          <w:bCs/>
          <w:color w:val="000000" w:themeColor="text1"/>
          <w:sz w:val="24"/>
          <w:szCs w:val="24"/>
          <w:highlight w:val="none"/>
          <w:u w:val="none"/>
          <w14:textFill>
            <w14:solidFill>
              <w14:schemeClr w14:val="tx1"/>
            </w14:solidFill>
          </w14:textFill>
        </w:rPr>
      </w:pPr>
      <w:r>
        <w:rPr>
          <w:rFonts w:hint="eastAsia" w:hAnsi="宋体" w:cs="Calibri"/>
          <w:bCs/>
          <w:color w:val="000000" w:themeColor="text1"/>
          <w:sz w:val="24"/>
          <w:szCs w:val="24"/>
          <w:highlight w:val="none"/>
          <w:u w:val="none"/>
          <w14:textFill>
            <w14:solidFill>
              <w14:schemeClr w14:val="tx1"/>
            </w14:solidFill>
          </w14:textFill>
        </w:rPr>
        <w:t>（1）设计部分：</w:t>
      </w:r>
      <w:r>
        <w:rPr>
          <w:rFonts w:hint="eastAsia" w:hAnsi="宋体" w:cs="宋体"/>
          <w:snapToGrid w:val="0"/>
          <w:color w:val="000000" w:themeColor="text1"/>
          <w:kern w:val="0"/>
          <w:sz w:val="24"/>
          <w:szCs w:val="24"/>
          <w:highlight w:val="none"/>
          <w:u w:val="none"/>
          <w:lang w:val="zh-CN"/>
          <w14:textFill>
            <w14:solidFill>
              <w14:schemeClr w14:val="tx1"/>
            </w14:solidFill>
          </w14:textFill>
        </w:rPr>
        <w:t>确保项目顺利实施的报建、报批、施工等所需的所有建安工程等设计文件。包括但不限于：施工图设计、</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施工图预算（含工程量清单）</w:t>
      </w: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snapToGrid w:val="0"/>
          <w:color w:val="000000" w:themeColor="text1"/>
          <w:kern w:val="0"/>
          <w:sz w:val="24"/>
          <w:szCs w:val="24"/>
          <w:highlight w:val="none"/>
          <w:u w:val="none"/>
          <w14:textFill>
            <w14:solidFill>
              <w14:schemeClr w14:val="tx1"/>
            </w14:solidFill>
          </w14:textFill>
        </w:rPr>
        <w:t>提供项目所需相关检测项的明细表和危险性较大的分部分项工程清单</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及保障安全相关说明</w:t>
      </w:r>
      <w:r>
        <w:rPr>
          <w:rFonts w:hint="eastAsia" w:ascii="宋体" w:hAnsi="宋体" w:eastAsia="宋体" w:cs="宋体"/>
          <w:snapToGrid w:val="0"/>
          <w:color w:val="000000" w:themeColor="text1"/>
          <w:kern w:val="0"/>
          <w:sz w:val="24"/>
          <w:szCs w:val="24"/>
          <w:highlight w:val="none"/>
          <w:u w:val="none"/>
          <w:lang w:eastAsia="zh-CN"/>
          <w14:textFill>
            <w14:solidFill>
              <w14:schemeClr w14:val="tx1"/>
            </w14:solidFill>
          </w14:textFill>
        </w:rPr>
        <w:t>、</w:t>
      </w:r>
      <w:r>
        <w:rPr>
          <w:rFonts w:hint="eastAsia" w:hAnsi="宋体" w:cs="宋体"/>
          <w:snapToGrid w:val="0"/>
          <w:color w:val="000000" w:themeColor="text1"/>
          <w:kern w:val="0"/>
          <w:sz w:val="24"/>
          <w:szCs w:val="24"/>
          <w:highlight w:val="none"/>
          <w:u w:val="none"/>
          <w:lang w:val="zh-CN"/>
          <w14:textFill>
            <w14:solidFill>
              <w14:schemeClr w14:val="tx1"/>
            </w14:solidFill>
          </w14:textFill>
        </w:rPr>
        <w:t>工地现场服务、验收过程中的设计指导及配合阶段验收及档案整理、协助施工单位编制竣工图及后续设计服务工作</w:t>
      </w:r>
      <w:r>
        <w:rPr>
          <w:rFonts w:hint="eastAsia" w:hAnsi="宋体" w:cs="Calibri"/>
          <w:bCs/>
          <w:color w:val="000000" w:themeColor="text1"/>
          <w:sz w:val="24"/>
          <w:szCs w:val="24"/>
          <w:highlight w:val="none"/>
          <w:u w:val="none"/>
          <w14:textFill>
            <w14:solidFill>
              <w14:schemeClr w14:val="tx1"/>
            </w14:solidFill>
          </w14:textFill>
        </w:rPr>
        <w:t>。</w:t>
      </w:r>
    </w:p>
    <w:p w14:paraId="4F3E1C6F">
      <w:pPr>
        <w:pStyle w:val="36"/>
        <w:numPr>
          <w:ilvl w:val="0"/>
          <w:numId w:val="0"/>
        </w:numPr>
        <w:spacing w:line="360" w:lineRule="auto"/>
        <w:ind w:firstLine="480" w:firstLineChars="200"/>
        <w:rPr>
          <w:rFonts w:hint="eastAsia" w:hAnsi="宋体" w:cs="Calibri"/>
          <w:bCs/>
          <w:color w:val="000000" w:themeColor="text1"/>
          <w:sz w:val="24"/>
          <w:szCs w:val="24"/>
          <w:highlight w:val="none"/>
          <w:u w:val="none"/>
          <w:lang w:val="zh-CN"/>
          <w14:textFill>
            <w14:solidFill>
              <w14:schemeClr w14:val="tx1"/>
            </w14:solidFill>
          </w14:textFill>
        </w:rPr>
      </w:pPr>
      <w:r>
        <w:rPr>
          <w:rFonts w:hint="eastAsia" w:hAnsi="宋体" w:cs="Calibri"/>
          <w:bCs/>
          <w:color w:val="000000" w:themeColor="text1"/>
          <w:sz w:val="24"/>
          <w:szCs w:val="24"/>
          <w:highlight w:val="none"/>
          <w:u w:val="none"/>
          <w:lang w:val="zh-CN"/>
          <w14:textFill>
            <w14:solidFill>
              <w14:schemeClr w14:val="tx1"/>
            </w14:solidFill>
          </w14:textFill>
        </w:rPr>
        <w:t>（</w:t>
      </w:r>
      <w:r>
        <w:rPr>
          <w:rFonts w:hint="eastAsia" w:hAnsi="宋体" w:cs="Calibri"/>
          <w:bCs/>
          <w:color w:val="000000" w:themeColor="text1"/>
          <w:sz w:val="24"/>
          <w:szCs w:val="24"/>
          <w:highlight w:val="none"/>
          <w:u w:val="none"/>
          <w:lang w:val="en-US" w:eastAsia="zh-CN"/>
          <w14:textFill>
            <w14:solidFill>
              <w14:schemeClr w14:val="tx1"/>
            </w14:solidFill>
          </w14:textFill>
        </w:rPr>
        <w:t>2</w:t>
      </w:r>
      <w:r>
        <w:rPr>
          <w:rFonts w:hint="eastAsia" w:hAnsi="宋体" w:cs="Calibri"/>
          <w:bCs/>
          <w:color w:val="000000" w:themeColor="text1"/>
          <w:sz w:val="24"/>
          <w:szCs w:val="24"/>
          <w:highlight w:val="none"/>
          <w:u w:val="none"/>
          <w:lang w:val="zh-CN"/>
          <w14:textFill>
            <w14:solidFill>
              <w14:schemeClr w14:val="tx1"/>
            </w14:solidFill>
          </w14:textFill>
        </w:rPr>
        <w:t>）施工部分：</w:t>
      </w:r>
      <w:r>
        <w:rPr>
          <w:rFonts w:hint="eastAsia" w:ascii="宋体" w:hAnsi="宋体" w:eastAsia="宋体" w:cs="宋体"/>
          <w:snapToGrid w:val="0"/>
          <w:color w:val="000000" w:themeColor="text1"/>
          <w:kern w:val="0"/>
          <w:sz w:val="24"/>
          <w:szCs w:val="24"/>
          <w:highlight w:val="none"/>
          <w:u w:val="none"/>
          <w14:textFill>
            <w14:solidFill>
              <w14:schemeClr w14:val="tx1"/>
            </w14:solidFill>
          </w14:textFill>
        </w:rPr>
        <w:t>设计文件及工程量清单范围内的所有工程及配套工程、设施等的施工</w:t>
      </w:r>
      <w:r>
        <w:rPr>
          <w:rFonts w:hint="eastAsia" w:hAnsi="宋体" w:cs="Calibri"/>
          <w:bCs/>
          <w:color w:val="000000" w:themeColor="text1"/>
          <w:sz w:val="24"/>
          <w:szCs w:val="24"/>
          <w:highlight w:val="none"/>
          <w:u w:val="none"/>
          <w:lang w:val="zh-CN"/>
          <w14:textFill>
            <w14:solidFill>
              <w14:schemeClr w14:val="tx1"/>
            </w14:solidFill>
          </w14:textFill>
        </w:rPr>
        <w:t>（含竣工验收资料编制整理、备案等），完成并配合发包人结算、负责工程缺陷保修以及发包人要求由施工单位完成的其他工作（发包人另行委托其他单位负责实施的工作内容除外，但需提供一系列协调及配合服务）等。</w:t>
      </w:r>
    </w:p>
    <w:p w14:paraId="192CBC0C">
      <w:pPr>
        <w:pStyle w:val="36"/>
        <w:numPr>
          <w:ilvl w:val="0"/>
          <w:numId w:val="0"/>
        </w:numPr>
        <w:spacing w:line="360" w:lineRule="auto"/>
        <w:ind w:firstLine="480" w:firstLineChars="200"/>
        <w:rPr>
          <w:rFonts w:hint="eastAsia" w:hAnsi="宋体" w:cs="Calibri"/>
          <w:bCs/>
          <w:color w:val="000000" w:themeColor="text1"/>
          <w:sz w:val="24"/>
          <w:szCs w:val="24"/>
          <w:highlight w:val="none"/>
          <w:lang w:val="zh-CN"/>
          <w14:textFill>
            <w14:solidFill>
              <w14:schemeClr w14:val="tx1"/>
            </w14:solidFill>
          </w14:textFill>
        </w:rPr>
      </w:pPr>
      <w:r>
        <w:rPr>
          <w:rFonts w:hint="eastAsia" w:hAnsi="宋体" w:cs="Calibri"/>
          <w:bCs/>
          <w:color w:val="000000" w:themeColor="text1"/>
          <w:sz w:val="24"/>
          <w:szCs w:val="24"/>
          <w:highlight w:val="none"/>
          <w:lang w:val="en-US" w:eastAsia="zh-CN"/>
          <w14:textFill>
            <w14:solidFill>
              <w14:schemeClr w14:val="tx1"/>
            </w14:solidFill>
          </w14:textFill>
        </w:rPr>
        <w:t>5.2</w:t>
      </w:r>
      <w:r>
        <w:rPr>
          <w:rFonts w:hint="eastAsia" w:hAnsi="宋体" w:cs="Calibri"/>
          <w:bCs/>
          <w:color w:val="000000" w:themeColor="text1"/>
          <w:sz w:val="24"/>
          <w:szCs w:val="24"/>
          <w:highlight w:val="none"/>
          <w:lang w:val="zh-CN"/>
          <w14:textFill>
            <w14:solidFill>
              <w14:schemeClr w14:val="tx1"/>
            </w14:solidFill>
          </w14:textFill>
        </w:rPr>
        <w:t>设计要求：</w:t>
      </w:r>
    </w:p>
    <w:p w14:paraId="183D90A7">
      <w:pPr>
        <w:pStyle w:val="36"/>
        <w:numPr>
          <w:ilvl w:val="0"/>
          <w:numId w:val="0"/>
        </w:numPr>
        <w:spacing w:line="360" w:lineRule="auto"/>
        <w:ind w:firstLine="480" w:firstLineChars="200"/>
        <w:rPr>
          <w:rFonts w:hint="eastAsia" w:hAnsi="宋体" w:cs="Calibri"/>
          <w:bCs/>
          <w:color w:val="000000" w:themeColor="text1"/>
          <w:sz w:val="24"/>
          <w:szCs w:val="24"/>
          <w:highlight w:val="none"/>
          <w:lang w:val="zh-CN"/>
          <w14:textFill>
            <w14:solidFill>
              <w14:schemeClr w14:val="tx1"/>
            </w14:solidFill>
          </w14:textFill>
        </w:rPr>
      </w:pPr>
      <w:r>
        <w:rPr>
          <w:rFonts w:hint="eastAsia" w:hAnsi="宋体" w:cs="Calibri"/>
          <w:bCs/>
          <w:color w:val="000000" w:themeColor="text1"/>
          <w:sz w:val="24"/>
          <w:szCs w:val="24"/>
          <w:highlight w:val="none"/>
          <w:lang w:val="en-US" w:eastAsia="zh-CN"/>
          <w14:textFill>
            <w14:solidFill>
              <w14:schemeClr w14:val="tx1"/>
            </w14:solidFill>
          </w14:textFill>
        </w:rPr>
        <w:t>5.2.1设计质量要求：</w:t>
      </w:r>
      <w:r>
        <w:rPr>
          <w:rFonts w:hint="eastAsia" w:hAnsi="宋体" w:cs="Calibri"/>
          <w:bCs/>
          <w:color w:val="000000" w:themeColor="text1"/>
          <w:sz w:val="24"/>
          <w:szCs w:val="24"/>
          <w:highlight w:val="none"/>
          <w:lang w:val="zh-CN"/>
          <w14:textFill>
            <w14:solidFill>
              <w14:schemeClr w14:val="tx1"/>
            </w14:solidFill>
          </w14:textFill>
        </w:rPr>
        <w:t>符合国家或行业颁布的现行有效的有关设计的规范要求，并必须通过有关部门的审查及经有资质的审图机构审查合格。</w:t>
      </w:r>
    </w:p>
    <w:p w14:paraId="52B5D221">
      <w:pPr>
        <w:pStyle w:val="36"/>
        <w:numPr>
          <w:ilvl w:val="0"/>
          <w:numId w:val="0"/>
        </w:numPr>
        <w:spacing w:line="360" w:lineRule="auto"/>
        <w:ind w:firstLine="480" w:firstLineChars="200"/>
        <w:rPr>
          <w:rFonts w:hint="eastAsia" w:hAnsi="宋体" w:cs="Calibri"/>
          <w:bCs/>
          <w:color w:val="000000" w:themeColor="text1"/>
          <w:sz w:val="24"/>
          <w:szCs w:val="24"/>
          <w:highlight w:val="none"/>
          <w:lang w:val="zh-CN"/>
          <w14:textFill>
            <w14:solidFill>
              <w14:schemeClr w14:val="tx1"/>
            </w14:solidFill>
          </w14:textFill>
        </w:rPr>
      </w:pPr>
      <w:r>
        <w:rPr>
          <w:rFonts w:hint="eastAsia" w:hAnsi="宋体" w:cs="Calibri"/>
          <w:bCs/>
          <w:color w:val="000000" w:themeColor="text1"/>
          <w:sz w:val="24"/>
          <w:szCs w:val="24"/>
          <w:highlight w:val="none"/>
          <w:lang w:val="en-US" w:eastAsia="zh-CN"/>
          <w14:textFill>
            <w14:solidFill>
              <w14:schemeClr w14:val="tx1"/>
            </w14:solidFill>
          </w14:textFill>
        </w:rPr>
        <w:t>5.2.2</w:t>
      </w:r>
      <w:r>
        <w:rPr>
          <w:rFonts w:hint="eastAsia" w:hAnsi="宋体" w:cs="Calibri"/>
          <w:bCs/>
          <w:color w:val="000000" w:themeColor="text1"/>
          <w:sz w:val="24"/>
          <w:szCs w:val="24"/>
          <w:highlight w:val="none"/>
          <w:lang w:val="zh-CN"/>
          <w14:textFill>
            <w14:solidFill>
              <w14:schemeClr w14:val="tx1"/>
            </w14:solidFill>
          </w14:textFill>
        </w:rPr>
        <w:t>本工程施工图设计必须先经</w:t>
      </w:r>
      <w:r>
        <w:rPr>
          <w:rFonts w:hint="eastAsia" w:hAnsi="宋体" w:cs="Calibri"/>
          <w:bCs/>
          <w:color w:val="000000" w:themeColor="text1"/>
          <w:sz w:val="24"/>
          <w:szCs w:val="24"/>
          <w:highlight w:val="none"/>
          <w:u w:val="none"/>
          <w:lang w:val="zh-CN"/>
          <w14:textFill>
            <w14:solidFill>
              <w14:schemeClr w14:val="tx1"/>
            </w14:solidFill>
          </w14:textFill>
        </w:rPr>
        <w:t>发包人</w:t>
      </w:r>
      <w:r>
        <w:rPr>
          <w:rFonts w:hint="eastAsia" w:hAnsi="宋体" w:cs="Calibri"/>
          <w:bCs/>
          <w:color w:val="000000" w:themeColor="text1"/>
          <w:sz w:val="24"/>
          <w:szCs w:val="24"/>
          <w:highlight w:val="none"/>
          <w:lang w:val="zh-CN"/>
          <w14:textFill>
            <w14:solidFill>
              <w14:schemeClr w14:val="tx1"/>
            </w14:solidFill>
          </w14:textFill>
        </w:rPr>
        <w:t>确认才能送审，并经</w:t>
      </w:r>
      <w:r>
        <w:rPr>
          <w:rFonts w:hint="eastAsia" w:hAnsi="宋体" w:cs="Calibri"/>
          <w:bCs/>
          <w:color w:val="000000" w:themeColor="text1"/>
          <w:sz w:val="24"/>
          <w:szCs w:val="24"/>
          <w:highlight w:val="none"/>
          <w:u w:val="none"/>
          <w:lang w:val="zh-CN"/>
          <w14:textFill>
            <w14:solidFill>
              <w14:schemeClr w14:val="tx1"/>
            </w14:solidFill>
          </w14:textFill>
        </w:rPr>
        <w:t>发包人</w:t>
      </w:r>
      <w:r>
        <w:rPr>
          <w:rFonts w:hint="eastAsia" w:hAnsi="宋体" w:cs="Calibri"/>
          <w:bCs/>
          <w:color w:val="000000" w:themeColor="text1"/>
          <w:sz w:val="24"/>
          <w:szCs w:val="24"/>
          <w:highlight w:val="none"/>
          <w:lang w:val="zh-CN"/>
          <w14:textFill>
            <w14:solidFill>
              <w14:schemeClr w14:val="tx1"/>
            </w14:solidFill>
          </w14:textFill>
        </w:rPr>
        <w:t>委托的有资质的审图机构审查合格。若</w:t>
      </w:r>
      <w:r>
        <w:rPr>
          <w:rFonts w:hint="eastAsia" w:hAnsi="宋体" w:cs="Calibri"/>
          <w:bCs/>
          <w:color w:val="000000" w:themeColor="text1"/>
          <w:sz w:val="24"/>
          <w:szCs w:val="24"/>
          <w:highlight w:val="none"/>
          <w:u w:val="none"/>
          <w:lang w:val="zh-CN"/>
          <w14:textFill>
            <w14:solidFill>
              <w14:schemeClr w14:val="tx1"/>
            </w14:solidFill>
          </w14:textFill>
        </w:rPr>
        <w:t>发包人</w:t>
      </w:r>
      <w:r>
        <w:rPr>
          <w:rFonts w:hint="eastAsia" w:hAnsi="宋体" w:cs="Calibri"/>
          <w:bCs/>
          <w:color w:val="000000" w:themeColor="text1"/>
          <w:sz w:val="24"/>
          <w:szCs w:val="24"/>
          <w:highlight w:val="none"/>
          <w:lang w:val="zh-CN"/>
          <w14:textFill>
            <w14:solidFill>
              <w14:schemeClr w14:val="tx1"/>
            </w14:solidFill>
          </w14:textFill>
        </w:rPr>
        <w:t>或审图机构在审查过程中提出的设计修改或变更，设计单位必须无条件进行修改或优化设计，</w:t>
      </w:r>
      <w:r>
        <w:rPr>
          <w:rFonts w:hint="eastAsia" w:hAnsi="宋体" w:cs="Calibri"/>
          <w:bCs/>
          <w:color w:val="000000" w:themeColor="text1"/>
          <w:sz w:val="24"/>
          <w:szCs w:val="24"/>
          <w:highlight w:val="none"/>
          <w:u w:val="none"/>
          <w:lang w:val="zh-CN"/>
          <w14:textFill>
            <w14:solidFill>
              <w14:schemeClr w14:val="tx1"/>
            </w14:solidFill>
          </w14:textFill>
        </w:rPr>
        <w:t>发包人</w:t>
      </w:r>
      <w:r>
        <w:rPr>
          <w:rFonts w:hint="eastAsia" w:hAnsi="宋体" w:cs="Calibri"/>
          <w:bCs/>
          <w:color w:val="000000" w:themeColor="text1"/>
          <w:sz w:val="24"/>
          <w:szCs w:val="24"/>
          <w:highlight w:val="none"/>
          <w:lang w:val="zh-CN"/>
          <w14:textFill>
            <w14:solidFill>
              <w14:schemeClr w14:val="tx1"/>
            </w14:solidFill>
          </w14:textFill>
        </w:rPr>
        <w:t>不再支付由此而增加的设计费用。</w:t>
      </w:r>
    </w:p>
    <w:p w14:paraId="44FA2FFF">
      <w:pPr>
        <w:pStyle w:val="36"/>
        <w:numPr>
          <w:ilvl w:val="0"/>
          <w:numId w:val="0"/>
        </w:numPr>
        <w:spacing w:line="360" w:lineRule="auto"/>
        <w:ind w:firstLine="480" w:firstLineChars="200"/>
        <w:rPr>
          <w:rFonts w:hint="eastAsia" w:ascii="宋体" w:hAnsi="宋体" w:eastAsia="宋体" w:cs="Calibri"/>
          <w:bCs/>
          <w:color w:val="000000" w:themeColor="text1"/>
          <w:sz w:val="24"/>
          <w:szCs w:val="24"/>
          <w:highlight w:val="none"/>
          <w:lang w:val="en-US" w:eastAsia="zh-CN"/>
          <w14:textFill>
            <w14:solidFill>
              <w14:schemeClr w14:val="tx1"/>
            </w14:solidFill>
          </w14:textFill>
        </w:rPr>
      </w:pPr>
      <w:r>
        <w:rPr>
          <w:rFonts w:hint="eastAsia" w:ascii="宋体" w:hAnsi="宋体" w:eastAsia="宋体" w:cs="Calibri"/>
          <w:bCs/>
          <w:color w:val="000000" w:themeColor="text1"/>
          <w:sz w:val="24"/>
          <w:szCs w:val="24"/>
          <w:highlight w:val="none"/>
          <w:lang w:val="en-US" w:eastAsia="zh-CN"/>
          <w14:textFill>
            <w14:solidFill>
              <w14:schemeClr w14:val="tx1"/>
            </w14:solidFill>
          </w14:textFill>
        </w:rPr>
        <w:t>5.</w:t>
      </w:r>
      <w:r>
        <w:rPr>
          <w:rFonts w:hint="eastAsia" w:hAnsi="宋体" w:cs="Calibri"/>
          <w:bCs/>
          <w:color w:val="000000" w:themeColor="text1"/>
          <w:sz w:val="24"/>
          <w:szCs w:val="24"/>
          <w:highlight w:val="none"/>
          <w:lang w:val="en-US" w:eastAsia="zh-CN"/>
          <w14:textFill>
            <w14:solidFill>
              <w14:schemeClr w14:val="tx1"/>
            </w14:solidFill>
          </w14:textFill>
        </w:rPr>
        <w:t>2</w:t>
      </w:r>
      <w:r>
        <w:rPr>
          <w:rFonts w:hint="eastAsia" w:ascii="宋体" w:hAnsi="宋体" w:eastAsia="宋体" w:cs="Calibri"/>
          <w:bCs/>
          <w:color w:val="000000" w:themeColor="text1"/>
          <w:sz w:val="24"/>
          <w:szCs w:val="24"/>
          <w:highlight w:val="none"/>
          <w:lang w:val="en-US" w:eastAsia="zh-CN"/>
          <w14:textFill>
            <w14:solidFill>
              <w14:schemeClr w14:val="tx1"/>
            </w14:solidFill>
          </w14:textFill>
        </w:rPr>
        <w:t>.3关于设计深度的要求</w:t>
      </w:r>
    </w:p>
    <w:p w14:paraId="06F29276">
      <w:pPr>
        <w:pStyle w:val="36"/>
        <w:numPr>
          <w:ilvl w:val="0"/>
          <w:numId w:val="0"/>
        </w:num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按国家及地方现行的设计文件深度规定等有关技术标准、设计规范（标准）要求。</w:t>
      </w:r>
    </w:p>
    <w:p w14:paraId="2E1924CD">
      <w:pPr>
        <w:pStyle w:val="36"/>
        <w:numPr>
          <w:ilvl w:val="0"/>
          <w:numId w:val="0"/>
        </w:numPr>
        <w:spacing w:line="360" w:lineRule="auto"/>
        <w:ind w:left="0" w:leftChars="0"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各专业设计应同步进行，涉及单位应指定总体设计人统筹布局，做好各项设施的协调和衔接、位置预留，不得留待施工中临时变更。</w:t>
      </w:r>
    </w:p>
    <w:p w14:paraId="62D0E49E">
      <w:pPr>
        <w:pStyle w:val="36"/>
        <w:numPr>
          <w:ilvl w:val="0"/>
          <w:numId w:val="0"/>
        </w:numPr>
        <w:spacing w:line="360" w:lineRule="auto"/>
        <w:ind w:left="0" w:leftChars="0"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（3）</w:t>
      </w:r>
      <w:r>
        <w:rPr>
          <w:rFonts w:hint="eastAsia" w:ascii="宋体" w:hAnsi="宋体" w:eastAsia="宋体" w:cs="宋体"/>
          <w:color w:val="000000" w:themeColor="text1"/>
          <w:sz w:val="24"/>
          <w:szCs w:val="24"/>
          <w:highlight w:val="none"/>
          <w14:textFill>
            <w14:solidFill>
              <w14:schemeClr w14:val="tx1"/>
            </w14:solidFill>
          </w14:textFill>
        </w:rPr>
        <w:t xml:space="preserve">对技术复杂或造价、规模较大的主要分项工程应作方案比较。 </w:t>
      </w:r>
    </w:p>
    <w:p w14:paraId="2A9B3380">
      <w:pPr>
        <w:pStyle w:val="36"/>
        <w:numPr>
          <w:ilvl w:val="0"/>
          <w:numId w:val="0"/>
        </w:num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施工图设计文件的深度，应当满足设备材料采购，非标准设备制作和施工的需要，并注明建设工程合理使用年限。</w:t>
      </w:r>
    </w:p>
    <w:p w14:paraId="4B17CC89">
      <w:pPr>
        <w:pStyle w:val="36"/>
        <w:numPr>
          <w:ilvl w:val="0"/>
          <w:numId w:val="0"/>
        </w:numPr>
        <w:spacing w:line="360" w:lineRule="auto"/>
        <w:ind w:left="0" w:leftChars="0"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w:t>
      </w:r>
      <w:r>
        <w:rPr>
          <w:rFonts w:hint="eastAsia" w:hAnsi="宋体" w:cs="宋体"/>
          <w:color w:val="000000" w:themeColor="text1"/>
          <w:kern w:val="2"/>
          <w:sz w:val="24"/>
          <w:szCs w:val="24"/>
          <w:highlight w:val="none"/>
          <w:lang w:val="en-US" w:eastAsia="zh-CN" w:bidi="ar-SA"/>
          <w14:textFill>
            <w14:solidFill>
              <w14:schemeClr w14:val="tx1"/>
            </w14:solidFill>
          </w14:textFill>
        </w:rPr>
        <w:t>5</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相关的配套外部接口方案均需取得政府主管部门或规划部门认可。</w:t>
      </w:r>
    </w:p>
    <w:p w14:paraId="7696347F">
      <w:pPr>
        <w:pStyle w:val="36"/>
        <w:numPr>
          <w:ilvl w:val="0"/>
          <w:numId w:val="0"/>
        </w:numPr>
        <w:spacing w:line="360" w:lineRule="auto"/>
        <w:ind w:left="0" w:leftChars="0"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hAnsi="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施工图设计文件应考虑交通维护、临时施工便道、基坑支护、对周边建筑物的影响等因素，以指导现场施工及过程评审。</w:t>
      </w: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 xml:space="preserve"> </w:t>
      </w:r>
    </w:p>
    <w:p w14:paraId="59CDE3F4">
      <w:pPr>
        <w:pStyle w:val="36"/>
        <w:numPr>
          <w:ilvl w:val="0"/>
          <w:numId w:val="0"/>
        </w:numPr>
        <w:spacing w:line="360" w:lineRule="auto"/>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hAnsi="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snapToGrid w:val="0"/>
          <w:color w:val="000000" w:themeColor="text1"/>
          <w:kern w:val="0"/>
          <w:sz w:val="24"/>
          <w:szCs w:val="24"/>
          <w:highlight w:val="none"/>
          <w14:textFill>
            <w14:solidFill>
              <w14:schemeClr w14:val="tx1"/>
            </w14:solidFill>
          </w14:textFill>
        </w:rPr>
        <w:t>设计后期配合工作</w:t>
      </w:r>
    </w:p>
    <w:p w14:paraId="565042A2">
      <w:pPr>
        <w:pStyle w:val="36"/>
        <w:numPr>
          <w:ilvl w:val="0"/>
          <w:numId w:val="0"/>
        </w:numPr>
        <w:spacing w:line="360" w:lineRule="auto"/>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1）</w:t>
      </w:r>
      <w:r>
        <w:rPr>
          <w:rFonts w:hint="eastAsia" w:ascii="宋体" w:hAnsi="宋体" w:eastAsia="宋体" w:cs="宋体"/>
          <w:snapToGrid w:val="0"/>
          <w:color w:val="000000" w:themeColor="text1"/>
          <w:kern w:val="0"/>
          <w:sz w:val="24"/>
          <w:szCs w:val="24"/>
          <w:highlight w:val="none"/>
          <w14:textFill>
            <w14:solidFill>
              <w14:schemeClr w14:val="tx1"/>
            </w14:solidFill>
          </w14:textFill>
        </w:rPr>
        <w:t>施工图设计完成并经有关单位审查后，才能进入施工阶段，设计单位必须按投标文件的承诺至少派1名参与并熟悉本项目设计、有现场处理经验的设计代表驻现场以配合，</w:t>
      </w:r>
      <w:r>
        <w:rPr>
          <w:rFonts w:hint="eastAsia" w:hAnsi="宋体" w:cs="Calibri"/>
          <w:bCs/>
          <w:color w:val="000000" w:themeColor="text1"/>
          <w:sz w:val="24"/>
          <w:szCs w:val="24"/>
          <w:highlight w:val="none"/>
          <w:u w:val="none"/>
          <w:lang w:val="zh-CN"/>
          <w14:textFill>
            <w14:solidFill>
              <w14:schemeClr w14:val="tx1"/>
            </w14:solidFill>
          </w14:textFill>
        </w:rPr>
        <w:t>发包人</w:t>
      </w:r>
      <w:r>
        <w:rPr>
          <w:rFonts w:hint="eastAsia" w:ascii="宋体" w:hAnsi="宋体" w:eastAsia="宋体" w:cs="宋体"/>
          <w:snapToGrid w:val="0"/>
          <w:color w:val="000000" w:themeColor="text1"/>
          <w:kern w:val="0"/>
          <w:sz w:val="24"/>
          <w:szCs w:val="24"/>
          <w:highlight w:val="none"/>
          <w14:textFill>
            <w14:solidFill>
              <w14:schemeClr w14:val="tx1"/>
            </w14:solidFill>
          </w14:textFill>
        </w:rPr>
        <w:t>不另外支付配合施工费用。</w:t>
      </w:r>
    </w:p>
    <w:p w14:paraId="34D0A104">
      <w:pPr>
        <w:pStyle w:val="36"/>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2）</w:t>
      </w:r>
      <w:r>
        <w:rPr>
          <w:rFonts w:hint="eastAsia" w:ascii="宋体" w:hAnsi="宋体" w:eastAsia="宋体" w:cs="宋体"/>
          <w:snapToGrid w:val="0"/>
          <w:color w:val="000000" w:themeColor="text1"/>
          <w:kern w:val="0"/>
          <w:sz w:val="24"/>
          <w:szCs w:val="24"/>
          <w:highlight w:val="none"/>
          <w14:textFill>
            <w14:solidFill>
              <w14:schemeClr w14:val="tx1"/>
            </w14:solidFill>
          </w14:textFill>
        </w:rPr>
        <w:t>设计单位配合施工、监理及业主单位的工作内容如下：</w:t>
      </w:r>
    </w:p>
    <w:p w14:paraId="25AA0568">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360" w:lineRule="auto"/>
        <w:ind w:left="900" w:leftChars="200" w:hanging="42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施工图设计（技术）交底；</w:t>
      </w:r>
    </w:p>
    <w:p w14:paraId="571867D6">
      <w:pPr>
        <w:keepNext w:val="0"/>
        <w:keepLines w:val="0"/>
        <w:pageBreakBefore w:val="0"/>
        <w:widowControl w:val="0"/>
        <w:numPr>
          <w:ilvl w:val="0"/>
          <w:numId w:val="1"/>
        </w:numPr>
        <w:tabs>
          <w:tab w:val="left" w:pos="240"/>
        </w:tabs>
        <w:kinsoku/>
        <w:wordWrap/>
        <w:overflowPunct/>
        <w:topLinePunct w:val="0"/>
        <w:autoSpaceDE/>
        <w:autoSpaceDN/>
        <w:bidi w:val="0"/>
        <w:adjustRightInd/>
        <w:snapToGrid/>
        <w:spacing w:line="360" w:lineRule="auto"/>
        <w:ind w:left="900" w:leftChars="200" w:hanging="42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配合勘察单位现场交桩；</w:t>
      </w:r>
    </w:p>
    <w:p w14:paraId="10470199">
      <w:pPr>
        <w:keepNext w:val="0"/>
        <w:keepLines w:val="0"/>
        <w:pageBreakBefore w:val="0"/>
        <w:widowControl w:val="0"/>
        <w:numPr>
          <w:ilvl w:val="0"/>
          <w:numId w:val="1"/>
        </w:numPr>
        <w:tabs>
          <w:tab w:val="left" w:pos="240"/>
        </w:tabs>
        <w:kinsoku/>
        <w:wordWrap/>
        <w:overflowPunct/>
        <w:topLinePunct w:val="0"/>
        <w:autoSpaceDE/>
        <w:autoSpaceDN/>
        <w:bidi w:val="0"/>
        <w:adjustRightInd/>
        <w:snapToGrid/>
        <w:spacing w:line="360" w:lineRule="auto"/>
        <w:ind w:left="900" w:leftChars="200" w:hanging="42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变更设计和所有补充设计；</w:t>
      </w:r>
    </w:p>
    <w:p w14:paraId="0E6F012B">
      <w:pPr>
        <w:keepNext w:val="0"/>
        <w:keepLines w:val="0"/>
        <w:pageBreakBefore w:val="0"/>
        <w:widowControl w:val="0"/>
        <w:numPr>
          <w:ilvl w:val="0"/>
          <w:numId w:val="1"/>
        </w:numPr>
        <w:tabs>
          <w:tab w:val="left" w:pos="240"/>
        </w:tabs>
        <w:kinsoku/>
        <w:wordWrap/>
        <w:overflowPunct/>
        <w:topLinePunct w:val="0"/>
        <w:autoSpaceDE/>
        <w:autoSpaceDN/>
        <w:bidi w:val="0"/>
        <w:adjustRightInd/>
        <w:snapToGrid/>
        <w:spacing w:line="360" w:lineRule="auto"/>
        <w:ind w:left="900" w:leftChars="200" w:hanging="42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会签设计变更审批表；</w:t>
      </w:r>
    </w:p>
    <w:p w14:paraId="51B05D7D">
      <w:pPr>
        <w:keepNext w:val="0"/>
        <w:keepLines w:val="0"/>
        <w:pageBreakBefore w:val="0"/>
        <w:widowControl w:val="0"/>
        <w:numPr>
          <w:ilvl w:val="0"/>
          <w:numId w:val="1"/>
        </w:numPr>
        <w:tabs>
          <w:tab w:val="left" w:pos="240"/>
        </w:tabs>
        <w:kinsoku/>
        <w:wordWrap/>
        <w:overflowPunct/>
        <w:topLinePunct w:val="0"/>
        <w:autoSpaceDE/>
        <w:autoSpaceDN/>
        <w:bidi w:val="0"/>
        <w:adjustRightInd/>
        <w:snapToGrid/>
        <w:spacing w:line="360" w:lineRule="auto"/>
        <w:ind w:left="900" w:leftChars="200" w:hanging="42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参加处理施工中发生的工程质量和安全事故；</w:t>
      </w:r>
    </w:p>
    <w:p w14:paraId="3E1B2B82">
      <w:pPr>
        <w:keepNext w:val="0"/>
        <w:keepLines w:val="0"/>
        <w:pageBreakBefore w:val="0"/>
        <w:widowControl w:val="0"/>
        <w:numPr>
          <w:ilvl w:val="0"/>
          <w:numId w:val="1"/>
        </w:numPr>
        <w:tabs>
          <w:tab w:val="left" w:pos="240"/>
        </w:tabs>
        <w:kinsoku/>
        <w:wordWrap/>
        <w:overflowPunct/>
        <w:topLinePunct w:val="0"/>
        <w:autoSpaceDE/>
        <w:autoSpaceDN/>
        <w:bidi w:val="0"/>
        <w:adjustRightInd/>
        <w:snapToGrid/>
        <w:spacing w:line="360" w:lineRule="auto"/>
        <w:ind w:left="900" w:leftChars="200" w:hanging="42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参加隐蔽工程及工程竣工验收；</w:t>
      </w:r>
    </w:p>
    <w:p w14:paraId="101C07DE">
      <w:pPr>
        <w:keepNext w:val="0"/>
        <w:keepLines w:val="0"/>
        <w:pageBreakBefore w:val="0"/>
        <w:widowControl w:val="0"/>
        <w:numPr>
          <w:ilvl w:val="0"/>
          <w:numId w:val="1"/>
        </w:numPr>
        <w:tabs>
          <w:tab w:val="left" w:pos="240"/>
        </w:tabs>
        <w:kinsoku/>
        <w:wordWrap/>
        <w:overflowPunct/>
        <w:topLinePunct w:val="0"/>
        <w:autoSpaceDE/>
        <w:autoSpaceDN/>
        <w:bidi w:val="0"/>
        <w:adjustRightInd/>
        <w:snapToGrid/>
        <w:spacing w:line="360" w:lineRule="auto"/>
        <w:ind w:left="900" w:leftChars="200" w:hanging="42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解决与设计有关的施工问题；</w:t>
      </w:r>
    </w:p>
    <w:p w14:paraId="194A6016">
      <w:pPr>
        <w:keepNext w:val="0"/>
        <w:keepLines w:val="0"/>
        <w:pageBreakBefore w:val="0"/>
        <w:widowControl w:val="0"/>
        <w:numPr>
          <w:ilvl w:val="0"/>
          <w:numId w:val="1"/>
        </w:numPr>
        <w:tabs>
          <w:tab w:val="left" w:pos="240"/>
        </w:tabs>
        <w:kinsoku/>
        <w:wordWrap/>
        <w:overflowPunct/>
        <w:topLinePunct w:val="0"/>
        <w:autoSpaceDE/>
        <w:autoSpaceDN/>
        <w:bidi w:val="0"/>
        <w:adjustRightInd/>
        <w:snapToGrid/>
        <w:spacing w:line="360" w:lineRule="auto"/>
        <w:ind w:left="900" w:leftChars="200" w:hanging="42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配合质量检测；</w:t>
      </w:r>
    </w:p>
    <w:p w14:paraId="12798512">
      <w:pPr>
        <w:keepNext w:val="0"/>
        <w:keepLines w:val="0"/>
        <w:pageBreakBefore w:val="0"/>
        <w:widowControl w:val="0"/>
        <w:numPr>
          <w:ilvl w:val="0"/>
          <w:numId w:val="1"/>
        </w:numPr>
        <w:tabs>
          <w:tab w:val="left" w:pos="240"/>
        </w:tabs>
        <w:kinsoku/>
        <w:wordWrap/>
        <w:overflowPunct/>
        <w:topLinePunct w:val="0"/>
        <w:autoSpaceDE/>
        <w:autoSpaceDN/>
        <w:bidi w:val="0"/>
        <w:adjustRightInd/>
        <w:snapToGrid/>
        <w:spacing w:line="360" w:lineRule="auto"/>
        <w:ind w:left="900" w:leftChars="200" w:hanging="42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参加审查施工单位的施工组织设计和专项施工方案；</w:t>
      </w:r>
    </w:p>
    <w:p w14:paraId="7F6EE7B1">
      <w:pPr>
        <w:keepNext w:val="0"/>
        <w:keepLines w:val="0"/>
        <w:pageBreakBefore w:val="0"/>
        <w:widowControl w:val="0"/>
        <w:numPr>
          <w:ilvl w:val="0"/>
          <w:numId w:val="1"/>
        </w:numPr>
        <w:tabs>
          <w:tab w:val="left" w:pos="240"/>
        </w:tabs>
        <w:kinsoku/>
        <w:wordWrap/>
        <w:overflowPunct/>
        <w:topLinePunct w:val="0"/>
        <w:autoSpaceDE/>
        <w:autoSpaceDN/>
        <w:bidi w:val="0"/>
        <w:adjustRightInd/>
        <w:snapToGrid/>
        <w:spacing w:line="360" w:lineRule="auto"/>
        <w:ind w:left="900" w:leftChars="200" w:hanging="42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参加本项目建设有关会议。</w:t>
      </w:r>
    </w:p>
    <w:p w14:paraId="6EF578DF">
      <w:pPr>
        <w:keepNext w:val="0"/>
        <w:keepLines w:val="0"/>
        <w:pageBreakBefore w:val="0"/>
        <w:widowControl w:val="0"/>
        <w:numPr>
          <w:ilvl w:val="0"/>
          <w:numId w:val="1"/>
        </w:numPr>
        <w:tabs>
          <w:tab w:val="left" w:pos="240"/>
        </w:tabs>
        <w:kinsoku/>
        <w:wordWrap/>
        <w:overflowPunct/>
        <w:topLinePunct w:val="0"/>
        <w:autoSpaceDE/>
        <w:autoSpaceDN/>
        <w:bidi w:val="0"/>
        <w:adjustRightInd/>
        <w:snapToGrid/>
        <w:spacing w:line="360" w:lineRule="auto"/>
        <w:ind w:left="900" w:leftChars="200" w:hanging="42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在监理招标期间配合建设及相关单位解释及完善施工图相关内容。</w:t>
      </w:r>
    </w:p>
    <w:p w14:paraId="602CE3F2">
      <w:pPr>
        <w:pStyle w:val="36"/>
        <w:numPr>
          <w:ilvl w:val="0"/>
          <w:numId w:val="0"/>
        </w:numPr>
        <w:spacing w:line="360" w:lineRule="auto"/>
        <w:ind w:firstLine="480" w:firstLineChars="200"/>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（3）设计工作技术总结</w:t>
      </w:r>
    </w:p>
    <w:p w14:paraId="187F9012">
      <w:pPr>
        <w:pStyle w:val="36"/>
        <w:numPr>
          <w:ilvl w:val="0"/>
          <w:numId w:val="0"/>
        </w:numPr>
        <w:spacing w:line="360" w:lineRule="auto"/>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设计</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单位</w:t>
      </w:r>
      <w:r>
        <w:rPr>
          <w:rFonts w:hint="eastAsia" w:ascii="宋体" w:hAnsi="宋体" w:eastAsia="宋体" w:cs="宋体"/>
          <w:snapToGrid w:val="0"/>
          <w:color w:val="000000" w:themeColor="text1"/>
          <w:kern w:val="0"/>
          <w:sz w:val="24"/>
          <w:szCs w:val="24"/>
          <w:highlight w:val="none"/>
          <w14:textFill>
            <w14:solidFill>
              <w14:schemeClr w14:val="tx1"/>
            </w14:solidFill>
          </w14:textFill>
        </w:rPr>
        <w:t>对设计文件及施工过程中发生的补充设计进行检查，并提出设计文件质量检查报告，在竣工验收前交</w:t>
      </w:r>
      <w:r>
        <w:rPr>
          <w:rFonts w:hint="eastAsia" w:hAnsi="宋体" w:cs="Calibri"/>
          <w:bCs/>
          <w:color w:val="000000" w:themeColor="text1"/>
          <w:sz w:val="24"/>
          <w:szCs w:val="24"/>
          <w:highlight w:val="none"/>
          <w:u w:val="none"/>
          <w:lang w:val="zh-CN"/>
          <w14:textFill>
            <w14:solidFill>
              <w14:schemeClr w14:val="tx1"/>
            </w14:solidFill>
          </w14:textFill>
        </w:rPr>
        <w:t>发包人</w:t>
      </w:r>
      <w:r>
        <w:rPr>
          <w:rFonts w:hint="eastAsia" w:ascii="宋体" w:hAnsi="宋体" w:eastAsia="宋体" w:cs="宋体"/>
          <w:snapToGrid w:val="0"/>
          <w:color w:val="000000" w:themeColor="text1"/>
          <w:kern w:val="0"/>
          <w:sz w:val="24"/>
          <w:szCs w:val="24"/>
          <w:highlight w:val="none"/>
          <w14:textFill>
            <w14:solidFill>
              <w14:schemeClr w14:val="tx1"/>
            </w14:solidFill>
          </w14:textFill>
        </w:rPr>
        <w:t>。工程完工后，</w:t>
      </w:r>
      <w:r>
        <w:rPr>
          <w:rFonts w:hint="eastAsia" w:ascii="宋体" w:hAnsi="宋体" w:eastAsia="宋体" w:cs="宋体"/>
          <w:color w:val="000000" w:themeColor="text1"/>
          <w:sz w:val="24"/>
          <w:szCs w:val="24"/>
          <w:highlight w:val="none"/>
          <w:lang w:val="en-US" w:eastAsia="zh-CN"/>
          <w14:textFill>
            <w14:solidFill>
              <w14:schemeClr w14:val="tx1"/>
            </w14:solidFill>
          </w14:textFill>
        </w:rPr>
        <w:t>设计</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单位</w:t>
      </w:r>
      <w:r>
        <w:rPr>
          <w:rFonts w:hint="eastAsia" w:ascii="宋体" w:hAnsi="宋体" w:eastAsia="宋体" w:cs="宋体"/>
          <w:snapToGrid w:val="0"/>
          <w:color w:val="000000" w:themeColor="text1"/>
          <w:kern w:val="0"/>
          <w:sz w:val="24"/>
          <w:szCs w:val="24"/>
          <w:highlight w:val="none"/>
          <w14:textFill>
            <w14:solidFill>
              <w14:schemeClr w14:val="tx1"/>
            </w14:solidFill>
          </w14:textFill>
        </w:rPr>
        <w:t>应组织设计技术工作人员将全部资料进行整理并撰写工程技术总结，并于竣工后一个月内完成，交</w:t>
      </w:r>
      <w:r>
        <w:rPr>
          <w:rFonts w:hint="eastAsia" w:hAnsi="宋体" w:cs="Calibri"/>
          <w:bCs/>
          <w:color w:val="000000" w:themeColor="text1"/>
          <w:sz w:val="24"/>
          <w:szCs w:val="24"/>
          <w:highlight w:val="none"/>
          <w:u w:val="none"/>
          <w:lang w:val="zh-CN"/>
          <w14:textFill>
            <w14:solidFill>
              <w14:schemeClr w14:val="tx1"/>
            </w14:solidFill>
          </w14:textFill>
        </w:rPr>
        <w:t>发包人</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p>
    <w:p w14:paraId="70A287A6">
      <w:pPr>
        <w:pStyle w:val="36"/>
        <w:numPr>
          <w:ilvl w:val="0"/>
          <w:numId w:val="0"/>
        </w:numPr>
        <w:spacing w:line="360" w:lineRule="auto"/>
        <w:ind w:firstLine="480" w:firstLineChars="200"/>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hAnsi="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hAnsi="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lang w:val="en-US" w:eastAsia="zh-CN"/>
          <w14:textFill>
            <w14:solidFill>
              <w14:schemeClr w14:val="tx1"/>
            </w14:solidFill>
          </w14:textFill>
        </w:rPr>
        <w:t>限额设计要求：</w:t>
      </w:r>
    </w:p>
    <w:p w14:paraId="1D822CE1">
      <w:pPr>
        <w:pStyle w:val="36"/>
        <w:numPr>
          <w:ilvl w:val="0"/>
          <w:numId w:val="0"/>
        </w:numPr>
        <w:spacing w:line="360" w:lineRule="auto"/>
        <w:ind w:firstLine="480" w:firstLineChars="200"/>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val="0"/>
          <w:bCs w:val="0"/>
          <w:snapToGrid w:val="0"/>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b w:val="0"/>
          <w:bCs w:val="0"/>
          <w:snapToGrid w:val="0"/>
          <w:color w:val="000000" w:themeColor="text1"/>
          <w:kern w:val="0"/>
          <w:sz w:val="24"/>
          <w:szCs w:val="24"/>
          <w:highlight w:val="none"/>
          <w:lang w:val="en-US" w:eastAsia="zh-CN"/>
          <w14:textFill>
            <w14:solidFill>
              <w14:schemeClr w14:val="tx1"/>
            </w14:solidFill>
          </w14:textFill>
        </w:rPr>
        <w:t>1）</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施工图预算中的建安工程费预算价不得超过经发改部门审定的概算建安工程费</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且不得超过建安工程费的中标价</w:t>
      </w: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w:t>
      </w:r>
    </w:p>
    <w:p w14:paraId="09E37E33">
      <w:pPr>
        <w:pStyle w:val="36"/>
        <w:numPr>
          <w:ilvl w:val="0"/>
          <w:numId w:val="0"/>
        </w:numPr>
        <w:spacing w:line="360" w:lineRule="auto"/>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val="0"/>
          <w:bCs w:val="0"/>
          <w:snapToGrid w:val="0"/>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b w:val="0"/>
          <w:bCs w:val="0"/>
          <w:snapToGrid w:val="0"/>
          <w:color w:val="000000" w:themeColor="text1"/>
          <w:kern w:val="0"/>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设计</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单位</w:t>
      </w: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在提交设计施工图时必须同时提交施工图预算。施工图预算作为</w:t>
      </w:r>
      <w:r>
        <w:rPr>
          <w:rFonts w:hint="eastAsia" w:ascii="宋体" w:hAnsi="宋体" w:eastAsia="宋体" w:cs="宋体"/>
          <w:color w:val="000000" w:themeColor="text1"/>
          <w:sz w:val="24"/>
          <w:szCs w:val="24"/>
          <w:highlight w:val="none"/>
          <w:lang w:val="en-US" w:eastAsia="zh-CN"/>
          <w14:textFill>
            <w14:solidFill>
              <w14:schemeClr w14:val="tx1"/>
            </w14:solidFill>
          </w14:textFill>
        </w:rPr>
        <w:t>设计</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单位</w:t>
      </w: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自我核算是否符合限</w:t>
      </w:r>
      <w:r>
        <w:rPr>
          <w:rFonts w:hint="eastAsia" w:ascii="宋体" w:hAnsi="宋体" w:eastAsia="宋体" w:cs="宋体"/>
          <w:snapToGrid w:val="0"/>
          <w:color w:val="000000" w:themeColor="text1"/>
          <w:kern w:val="0"/>
          <w:sz w:val="24"/>
          <w:szCs w:val="24"/>
          <w:highlight w:val="none"/>
          <w14:textFill>
            <w14:solidFill>
              <w14:schemeClr w14:val="tx1"/>
            </w14:solidFill>
          </w14:textFill>
        </w:rPr>
        <w:t>额设计要求的依据。若</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第三方</w:t>
      </w:r>
      <w:r>
        <w:rPr>
          <w:rFonts w:hint="eastAsia" w:ascii="宋体" w:hAnsi="宋体" w:eastAsia="宋体" w:cs="宋体"/>
          <w:snapToGrid w:val="0"/>
          <w:color w:val="000000" w:themeColor="text1"/>
          <w:kern w:val="0"/>
          <w:sz w:val="24"/>
          <w:szCs w:val="24"/>
          <w:highlight w:val="none"/>
          <w14:textFill>
            <w14:solidFill>
              <w14:schemeClr w14:val="tx1"/>
            </w14:solidFill>
          </w14:textFill>
        </w:rPr>
        <w:t>造价咨询单位按施工图编制或审核的建安工程费高于</w:t>
      </w:r>
      <w:r>
        <w:rPr>
          <w:rFonts w:hint="eastAsia" w:ascii="宋体" w:hAnsi="宋体" w:eastAsia="宋体" w:cs="宋体"/>
          <w:color w:val="000000" w:themeColor="text1"/>
          <w:sz w:val="24"/>
          <w:szCs w:val="24"/>
          <w:highlight w:val="none"/>
          <w14:textFill>
            <w14:solidFill>
              <w14:schemeClr w14:val="tx1"/>
            </w14:solidFill>
          </w14:textFill>
        </w:rPr>
        <w:t>建安工程费的中标价</w:t>
      </w:r>
      <w:r>
        <w:rPr>
          <w:rFonts w:hint="eastAsia" w:ascii="宋体" w:hAnsi="宋体" w:eastAsia="宋体" w:cs="宋体"/>
          <w:snapToGrid w:val="0"/>
          <w:color w:val="000000" w:themeColor="text1"/>
          <w:kern w:val="0"/>
          <w:sz w:val="24"/>
          <w:szCs w:val="24"/>
          <w:highlight w:val="none"/>
          <w14:textFill>
            <w14:solidFill>
              <w14:schemeClr w14:val="tx1"/>
            </w14:solidFill>
          </w14:textFill>
        </w:rPr>
        <w:t>时，</w:t>
      </w:r>
      <w:r>
        <w:rPr>
          <w:rFonts w:hint="eastAsia" w:ascii="宋体" w:hAnsi="宋体" w:eastAsia="宋体" w:cs="宋体"/>
          <w:color w:val="000000" w:themeColor="text1"/>
          <w:sz w:val="24"/>
          <w:szCs w:val="24"/>
          <w:highlight w:val="none"/>
          <w:lang w:val="en-US" w:eastAsia="zh-CN"/>
          <w14:textFill>
            <w14:solidFill>
              <w14:schemeClr w14:val="tx1"/>
            </w14:solidFill>
          </w14:textFill>
        </w:rPr>
        <w:t>设计</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单位</w:t>
      </w:r>
      <w:r>
        <w:rPr>
          <w:rFonts w:hint="eastAsia" w:ascii="宋体" w:hAnsi="宋体" w:eastAsia="宋体" w:cs="宋体"/>
          <w:snapToGrid w:val="0"/>
          <w:color w:val="000000" w:themeColor="text1"/>
          <w:kern w:val="0"/>
          <w:sz w:val="24"/>
          <w:szCs w:val="24"/>
          <w:highlight w:val="none"/>
          <w14:textFill>
            <w14:solidFill>
              <w14:schemeClr w14:val="tx1"/>
            </w14:solidFill>
          </w14:textFill>
        </w:rPr>
        <w:t>必须无条件对施工图进行修改，直至满足限额设计要求，</w:t>
      </w:r>
      <w:r>
        <w:rPr>
          <w:rFonts w:hint="eastAsia" w:hAnsi="宋体" w:cs="Calibri"/>
          <w:bCs/>
          <w:color w:val="000000" w:themeColor="text1"/>
          <w:sz w:val="24"/>
          <w:szCs w:val="24"/>
          <w:highlight w:val="none"/>
          <w:u w:val="none"/>
          <w:lang w:val="zh-CN"/>
          <w14:textFill>
            <w14:solidFill>
              <w14:schemeClr w14:val="tx1"/>
            </w14:solidFill>
          </w14:textFill>
        </w:rPr>
        <w:t>发包人</w:t>
      </w:r>
      <w:r>
        <w:rPr>
          <w:rFonts w:hint="eastAsia" w:ascii="宋体" w:hAnsi="宋体" w:eastAsia="宋体" w:cs="宋体"/>
          <w:color w:val="000000" w:themeColor="text1"/>
          <w:sz w:val="24"/>
          <w:szCs w:val="24"/>
          <w:highlight w:val="none"/>
          <w14:textFill>
            <w14:solidFill>
              <w14:schemeClr w14:val="tx1"/>
            </w14:solidFill>
          </w14:textFill>
        </w:rPr>
        <w:t>不另行增加设计费</w:t>
      </w:r>
      <w:r>
        <w:rPr>
          <w:rFonts w:hint="eastAsia" w:ascii="宋体" w:hAnsi="宋体" w:eastAsia="宋体" w:cs="宋体"/>
          <w:snapToGrid w:val="0"/>
          <w:color w:val="000000" w:themeColor="text1"/>
          <w:kern w:val="0"/>
          <w:sz w:val="24"/>
          <w:szCs w:val="24"/>
          <w:highlight w:val="none"/>
          <w14:textFill>
            <w14:solidFill>
              <w14:schemeClr w14:val="tx1"/>
            </w14:solidFill>
          </w14:textFill>
        </w:rPr>
        <w:t>。由此造成造价咨询单位重复编制或审核施工图预算的费用由</w:t>
      </w:r>
      <w:r>
        <w:rPr>
          <w:rFonts w:hint="eastAsia" w:ascii="宋体" w:hAnsi="宋体" w:eastAsia="宋体" w:cs="宋体"/>
          <w:color w:val="000000" w:themeColor="text1"/>
          <w:sz w:val="24"/>
          <w:szCs w:val="24"/>
          <w:highlight w:val="none"/>
          <w:lang w:val="en-US" w:eastAsia="zh-CN"/>
          <w14:textFill>
            <w14:solidFill>
              <w14:schemeClr w14:val="tx1"/>
            </w14:solidFill>
          </w14:textFill>
        </w:rPr>
        <w:t>设计</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单位</w:t>
      </w:r>
      <w:r>
        <w:rPr>
          <w:rFonts w:hint="eastAsia" w:ascii="宋体" w:hAnsi="宋体" w:eastAsia="宋体" w:cs="宋体"/>
          <w:snapToGrid w:val="0"/>
          <w:color w:val="000000" w:themeColor="text1"/>
          <w:kern w:val="0"/>
          <w:sz w:val="24"/>
          <w:szCs w:val="24"/>
          <w:highlight w:val="none"/>
          <w14:textFill>
            <w14:solidFill>
              <w14:schemeClr w14:val="tx1"/>
            </w14:solidFill>
          </w14:textFill>
        </w:rPr>
        <w:t>承担，结算时在设计费中扣除。</w:t>
      </w:r>
    </w:p>
    <w:p w14:paraId="6A0A00D6">
      <w:pPr>
        <w:pStyle w:val="36"/>
        <w:numPr>
          <w:ilvl w:val="0"/>
          <w:numId w:val="0"/>
        </w:numPr>
        <w:spacing w:line="360" w:lineRule="auto"/>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设计</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单位</w:t>
      </w:r>
      <w:r>
        <w:rPr>
          <w:rFonts w:hint="eastAsia" w:ascii="宋体" w:hAnsi="宋体" w:eastAsia="宋体" w:cs="宋体"/>
          <w:snapToGrid w:val="0"/>
          <w:color w:val="000000" w:themeColor="text1"/>
          <w:kern w:val="0"/>
          <w:sz w:val="24"/>
          <w:szCs w:val="24"/>
          <w:highlight w:val="none"/>
          <w14:textFill>
            <w14:solidFill>
              <w14:schemeClr w14:val="tx1"/>
            </w14:solidFill>
          </w14:textFill>
        </w:rPr>
        <w:t>不得为了用完设计限额额度，擅自扩大建设规模、增加建设内容、提高建设标准的行为，因此导致造价增加由</w:t>
      </w:r>
      <w:r>
        <w:rPr>
          <w:rFonts w:hint="eastAsia" w:ascii="宋体" w:hAnsi="宋体" w:eastAsia="宋体" w:cs="宋体"/>
          <w:color w:val="000000" w:themeColor="text1"/>
          <w:sz w:val="24"/>
          <w:szCs w:val="24"/>
          <w:highlight w:val="none"/>
          <w:lang w:val="en-US" w:eastAsia="zh-CN"/>
          <w14:textFill>
            <w14:solidFill>
              <w14:schemeClr w14:val="tx1"/>
            </w14:solidFill>
          </w14:textFill>
        </w:rPr>
        <w:t>设计</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单位</w:t>
      </w:r>
      <w:r>
        <w:rPr>
          <w:rFonts w:hint="eastAsia" w:ascii="宋体" w:hAnsi="宋体" w:eastAsia="宋体" w:cs="宋体"/>
          <w:snapToGrid w:val="0"/>
          <w:color w:val="000000" w:themeColor="text1"/>
          <w:kern w:val="0"/>
          <w:sz w:val="24"/>
          <w:szCs w:val="24"/>
          <w:highlight w:val="none"/>
          <w14:textFill>
            <w14:solidFill>
              <w14:schemeClr w14:val="tx1"/>
            </w14:solidFill>
          </w14:textFill>
        </w:rPr>
        <w:t>负责及承担费用。</w:t>
      </w:r>
    </w:p>
    <w:p w14:paraId="028B7A17">
      <w:pPr>
        <w:pStyle w:val="36"/>
        <w:numPr>
          <w:ilvl w:val="0"/>
          <w:numId w:val="0"/>
        </w:numPr>
        <w:spacing w:line="360" w:lineRule="auto"/>
        <w:ind w:firstLine="480" w:firstLineChars="200"/>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val="0"/>
          <w:bCs w:val="0"/>
          <w:snapToGrid w:val="0"/>
          <w:color w:val="000000" w:themeColor="text1"/>
          <w:kern w:val="0"/>
          <w:sz w:val="24"/>
          <w:szCs w:val="24"/>
          <w:highlight w:val="none"/>
          <w:lang w:val="en-US" w:eastAsia="zh-CN"/>
          <w14:textFill>
            <w14:solidFill>
              <w14:schemeClr w14:val="tx1"/>
            </w14:solidFill>
          </w14:textFill>
        </w:rPr>
        <w:t>5.3.5</w:t>
      </w:r>
      <w:r>
        <w:rPr>
          <w:rFonts w:hint="eastAsia" w:ascii="宋体" w:hAnsi="宋体" w:eastAsia="宋体" w:cs="宋体"/>
          <w:color w:val="000000" w:themeColor="text1"/>
          <w:sz w:val="24"/>
          <w:szCs w:val="24"/>
          <w:highlight w:val="none"/>
          <w:lang w:val="en-US" w:eastAsia="zh-CN"/>
          <w14:textFill>
            <w14:solidFill>
              <w14:schemeClr w14:val="tx1"/>
            </w14:solidFill>
          </w14:textFill>
        </w:rPr>
        <w:t>设计</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单位</w:t>
      </w: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在设计前，要充分进行市场调查，主要材料、设备在满足设计规范及建设标准的情况下，尽量采用造价管理机构发布的信息价中有相应型号、规格的标准材料，若必须采用非标准材料的，必须经</w:t>
      </w:r>
      <w:r>
        <w:rPr>
          <w:rFonts w:hint="eastAsia" w:hAnsi="宋体" w:cs="Calibri"/>
          <w:bCs/>
          <w:color w:val="000000" w:themeColor="text1"/>
          <w:sz w:val="24"/>
          <w:szCs w:val="24"/>
          <w:highlight w:val="none"/>
          <w:u w:val="none"/>
          <w:lang w:val="zh-CN"/>
          <w14:textFill>
            <w14:solidFill>
              <w14:schemeClr w14:val="tx1"/>
            </w14:solidFill>
          </w14:textFill>
        </w:rPr>
        <w:t>发包人</w:t>
      </w: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同意，否则参照信息价中相近且低于其标准的材料信息价作为该项材料的结算价。</w:t>
      </w:r>
    </w:p>
    <w:p w14:paraId="7534DBDA">
      <w:pPr>
        <w:pStyle w:val="36"/>
        <w:numPr>
          <w:ilvl w:val="0"/>
          <w:numId w:val="0"/>
        </w:numPr>
        <w:spacing w:line="360" w:lineRule="auto"/>
        <w:ind w:firstLine="480" w:firstLineChars="200"/>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val="0"/>
          <w:bCs w:val="0"/>
          <w:snapToGrid w:val="0"/>
          <w:color w:val="000000" w:themeColor="text1"/>
          <w:kern w:val="0"/>
          <w:sz w:val="24"/>
          <w:szCs w:val="24"/>
          <w:highlight w:val="none"/>
          <w:lang w:val="en-US" w:eastAsia="zh-CN"/>
          <w14:textFill>
            <w14:solidFill>
              <w14:schemeClr w14:val="tx1"/>
            </w14:solidFill>
          </w14:textFill>
        </w:rPr>
        <w:t>5.</w:t>
      </w:r>
      <w:r>
        <w:rPr>
          <w:rFonts w:hint="eastAsia" w:hAnsi="宋体" w:cs="宋体"/>
          <w:b w:val="0"/>
          <w:bCs w:val="0"/>
          <w:snapToGrid w:val="0"/>
          <w:color w:val="000000" w:themeColor="text1"/>
          <w:kern w:val="0"/>
          <w:sz w:val="24"/>
          <w:szCs w:val="24"/>
          <w:highlight w:val="none"/>
          <w:lang w:val="en-US" w:eastAsia="zh-CN"/>
          <w14:textFill>
            <w14:solidFill>
              <w14:schemeClr w14:val="tx1"/>
            </w14:solidFill>
          </w14:textFill>
        </w:rPr>
        <w:t>2</w:t>
      </w:r>
      <w:r>
        <w:rPr>
          <w:rFonts w:hint="eastAsia" w:ascii="宋体" w:hAnsi="宋体" w:eastAsia="宋体" w:cs="宋体"/>
          <w:b w:val="0"/>
          <w:bCs w:val="0"/>
          <w:snapToGrid w:val="0"/>
          <w:color w:val="000000" w:themeColor="text1"/>
          <w:kern w:val="0"/>
          <w:sz w:val="24"/>
          <w:szCs w:val="24"/>
          <w:highlight w:val="none"/>
          <w:lang w:val="en-US" w:eastAsia="zh-CN"/>
          <w14:textFill>
            <w14:solidFill>
              <w14:schemeClr w14:val="tx1"/>
            </w14:solidFill>
          </w14:textFill>
        </w:rPr>
        <w:t>.6</w:t>
      </w: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设计时需要考虑与周边地块的开发相结合。</w:t>
      </w:r>
    </w:p>
    <w:p w14:paraId="04332047">
      <w:pPr>
        <w:pStyle w:val="36"/>
        <w:numPr>
          <w:ilvl w:val="0"/>
          <w:numId w:val="0"/>
        </w:numPr>
        <w:spacing w:line="360" w:lineRule="auto"/>
        <w:ind w:firstLine="480" w:firstLineChars="200"/>
        <w:rPr>
          <w:rFonts w:hint="eastAsia" w:hAnsi="宋体" w:cs="Calibri"/>
          <w:bCs/>
          <w:color w:val="000000" w:themeColor="text1"/>
          <w:sz w:val="24"/>
          <w:szCs w:val="24"/>
          <w:highlight w:val="none"/>
          <w:lang w:val="en-US" w:eastAsia="zh-CN"/>
          <w14:textFill>
            <w14:solidFill>
              <w14:schemeClr w14:val="tx1"/>
            </w14:solidFill>
          </w14:textFill>
        </w:rPr>
      </w:pPr>
      <w:r>
        <w:rPr>
          <w:rFonts w:hint="eastAsia" w:hAnsi="宋体" w:cs="Calibri"/>
          <w:bCs/>
          <w:color w:val="000000" w:themeColor="text1"/>
          <w:sz w:val="24"/>
          <w:szCs w:val="24"/>
          <w:highlight w:val="none"/>
          <w:lang w:val="en-US" w:eastAsia="zh-CN"/>
          <w14:textFill>
            <w14:solidFill>
              <w14:schemeClr w14:val="tx1"/>
            </w14:solidFill>
          </w14:textFill>
        </w:rPr>
        <w:t>5.2.7设计成果文件要求：</w:t>
      </w:r>
    </w:p>
    <w:p w14:paraId="5E569659">
      <w:pPr>
        <w:pStyle w:val="36"/>
        <w:numPr>
          <w:ilvl w:val="0"/>
          <w:numId w:val="0"/>
        </w:numPr>
        <w:spacing w:line="360" w:lineRule="auto"/>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设计</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单位</w:t>
      </w:r>
      <w:r>
        <w:rPr>
          <w:rFonts w:hint="eastAsia" w:ascii="宋体" w:hAnsi="宋体" w:eastAsia="宋体" w:cs="宋体"/>
          <w:color w:val="000000" w:themeColor="text1"/>
          <w:sz w:val="24"/>
          <w:szCs w:val="24"/>
          <w:highlight w:val="none"/>
          <w14:textFill>
            <w14:solidFill>
              <w14:schemeClr w14:val="tx1"/>
            </w14:solidFill>
          </w14:textFill>
        </w:rPr>
        <w:t>按合同约定、招标文件内容要求、法律法规及国家强制性标准要求提供完整的设计文件</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560882FC">
      <w:pPr>
        <w:pStyle w:val="36"/>
        <w:numPr>
          <w:ilvl w:val="0"/>
          <w:numId w:val="0"/>
        </w:num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（2）</w:t>
      </w:r>
      <w:r>
        <w:rPr>
          <w:rFonts w:hint="eastAsia" w:ascii="宋体" w:hAnsi="宋体" w:eastAsia="宋体" w:cs="宋体"/>
          <w:bCs/>
          <w:color w:val="000000" w:themeColor="text1"/>
          <w:sz w:val="24"/>
          <w:szCs w:val="24"/>
          <w:highlight w:val="none"/>
          <w:lang w:val="en-US" w:eastAsia="zh-CN"/>
          <w14:textFill>
            <w14:solidFill>
              <w14:schemeClr w14:val="tx1"/>
            </w14:solidFill>
          </w14:textFill>
        </w:rPr>
        <w:t>要求提供施工图设计文件12套、施工图预算（含工程量清单）5套。提供的所有资料均含电子版（含CAD及PDF文件格式）。</w:t>
      </w:r>
    </w:p>
    <w:p w14:paraId="697466A0">
      <w:pPr>
        <w:pStyle w:val="36"/>
        <w:numPr>
          <w:ilvl w:val="0"/>
          <w:numId w:val="0"/>
        </w:numPr>
        <w:spacing w:line="360" w:lineRule="auto"/>
        <w:ind w:firstLine="480" w:firstLineChars="200"/>
        <w:rPr>
          <w:rFonts w:hint="eastAsia" w:hAnsi="宋体" w:cs="Calibri"/>
          <w:bCs/>
          <w:color w:val="000000" w:themeColor="text1"/>
          <w:sz w:val="24"/>
          <w:szCs w:val="24"/>
          <w:highlight w:val="none"/>
          <w:lang w:val="zh-CN"/>
          <w14:textFill>
            <w14:solidFill>
              <w14:schemeClr w14:val="tx1"/>
            </w14:solidFill>
          </w14:textFill>
        </w:rPr>
      </w:pPr>
      <w:r>
        <w:rPr>
          <w:rFonts w:hint="eastAsia" w:hAnsi="宋体" w:cs="Calibri"/>
          <w:bCs/>
          <w:color w:val="000000" w:themeColor="text1"/>
          <w:sz w:val="24"/>
          <w:szCs w:val="24"/>
          <w:highlight w:val="none"/>
          <w:lang w:val="en-US" w:eastAsia="zh-CN"/>
          <w14:textFill>
            <w14:solidFill>
              <w14:schemeClr w14:val="tx1"/>
            </w14:solidFill>
          </w14:textFill>
        </w:rPr>
        <w:t>5.3</w:t>
      </w:r>
      <w:r>
        <w:rPr>
          <w:rFonts w:hint="eastAsia" w:hAnsi="宋体" w:cs="Calibri"/>
          <w:bCs/>
          <w:color w:val="000000" w:themeColor="text1"/>
          <w:sz w:val="24"/>
          <w:szCs w:val="24"/>
          <w:highlight w:val="none"/>
          <w:lang w:val="zh-CN"/>
          <w14:textFill>
            <w14:solidFill>
              <w14:schemeClr w14:val="tx1"/>
            </w14:solidFill>
          </w14:textFill>
        </w:rPr>
        <w:t>施工要求：</w:t>
      </w:r>
    </w:p>
    <w:p w14:paraId="33FDD9E0">
      <w:pPr>
        <w:pStyle w:val="36"/>
        <w:numPr>
          <w:ilvl w:val="0"/>
          <w:numId w:val="0"/>
        </w:numPr>
        <w:spacing w:line="360" w:lineRule="auto"/>
        <w:ind w:firstLine="480" w:firstLineChars="200"/>
        <w:rPr>
          <w:rFonts w:hint="eastAsia" w:hAnsi="宋体" w:cs="Calibri"/>
          <w:bCs/>
          <w:color w:val="000000" w:themeColor="text1"/>
          <w:sz w:val="24"/>
          <w:szCs w:val="24"/>
          <w:highlight w:val="none"/>
          <w:lang w:val="zh-CN"/>
          <w14:textFill>
            <w14:solidFill>
              <w14:schemeClr w14:val="tx1"/>
            </w14:solidFill>
          </w14:textFill>
        </w:rPr>
      </w:pPr>
      <w:r>
        <w:rPr>
          <w:rFonts w:hint="eastAsia" w:hAnsi="宋体" w:cs="Calibri"/>
          <w:bCs/>
          <w:color w:val="000000" w:themeColor="text1"/>
          <w:sz w:val="24"/>
          <w:szCs w:val="24"/>
          <w:highlight w:val="none"/>
          <w:lang w:val="en-US" w:eastAsia="zh-CN"/>
          <w14:textFill>
            <w14:solidFill>
              <w14:schemeClr w14:val="tx1"/>
            </w14:solidFill>
          </w14:textFill>
        </w:rPr>
        <w:t>5.3.1施工质量要求：</w:t>
      </w:r>
      <w:r>
        <w:rPr>
          <w:rFonts w:hint="eastAsia" w:hAnsi="宋体" w:cs="Calibri"/>
          <w:bCs/>
          <w:color w:val="000000" w:themeColor="text1"/>
          <w:sz w:val="24"/>
          <w:szCs w:val="24"/>
          <w:highlight w:val="none"/>
          <w:lang w:val="zh-CN"/>
          <w14:textFill>
            <w14:solidFill>
              <w14:schemeClr w14:val="tx1"/>
            </w14:solidFill>
          </w14:textFill>
        </w:rPr>
        <w:t>施工质量必须达到国家验收合格标准。</w:t>
      </w:r>
    </w:p>
    <w:p w14:paraId="482507B4">
      <w:pPr>
        <w:pStyle w:val="36"/>
        <w:numPr>
          <w:ilvl w:val="0"/>
          <w:numId w:val="0"/>
        </w:num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hAnsi="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若因</w:t>
      </w:r>
      <w:r>
        <w:rPr>
          <w:rFonts w:hint="eastAsia" w:hAnsi="宋体" w:cs="Calibri"/>
          <w:bCs/>
          <w:color w:val="000000" w:themeColor="text1"/>
          <w:sz w:val="24"/>
          <w:szCs w:val="24"/>
          <w:highlight w:val="none"/>
          <w:lang w:val="en-US" w:eastAsia="zh-CN"/>
          <w14:textFill>
            <w14:solidFill>
              <w14:schemeClr w14:val="tx1"/>
            </w14:solidFill>
          </w14:textFill>
        </w:rPr>
        <w:t>施工单位</w:t>
      </w:r>
      <w:r>
        <w:rPr>
          <w:rFonts w:hint="eastAsia" w:ascii="宋体" w:hAnsi="宋体" w:eastAsia="宋体" w:cs="宋体"/>
          <w:color w:val="000000" w:themeColor="text1"/>
          <w:sz w:val="24"/>
          <w:szCs w:val="24"/>
          <w:highlight w:val="none"/>
          <w14:textFill>
            <w14:solidFill>
              <w14:schemeClr w14:val="tx1"/>
            </w14:solidFill>
          </w14:textFill>
        </w:rPr>
        <w:t>原因，</w:t>
      </w:r>
      <w:r>
        <w:rPr>
          <w:rFonts w:hint="eastAsia" w:ascii="宋体" w:hAnsi="宋体" w:eastAsia="宋体" w:cs="宋体"/>
          <w:color w:val="000000" w:themeColor="text1"/>
          <w:sz w:val="24"/>
          <w:szCs w:val="24"/>
          <w:highlight w:val="none"/>
          <w:lang w:val="en-US" w:eastAsia="zh-CN"/>
          <w14:textFill>
            <w14:solidFill>
              <w14:schemeClr w14:val="tx1"/>
            </w14:solidFill>
          </w14:textFill>
        </w:rPr>
        <w:t>工程在竣工</w:t>
      </w:r>
      <w:r>
        <w:rPr>
          <w:rFonts w:hint="eastAsia" w:ascii="宋体" w:hAnsi="宋体" w:eastAsia="宋体" w:cs="宋体"/>
          <w:color w:val="000000" w:themeColor="text1"/>
          <w:sz w:val="24"/>
          <w:szCs w:val="24"/>
          <w:highlight w:val="none"/>
          <w14:textFill>
            <w14:solidFill>
              <w14:schemeClr w14:val="tx1"/>
            </w14:solidFill>
          </w14:textFill>
        </w:rPr>
        <w:t>验收时没有达到</w:t>
      </w:r>
      <w:r>
        <w:rPr>
          <w:rFonts w:hint="eastAsia" w:ascii="宋体" w:hAnsi="宋体" w:eastAsia="宋体" w:cs="宋体"/>
          <w:color w:val="000000" w:themeColor="text1"/>
          <w:sz w:val="24"/>
          <w:szCs w:val="24"/>
          <w:highlight w:val="none"/>
          <w:lang w:val="zh-CN"/>
          <w14:textFill>
            <w14:solidFill>
              <w14:schemeClr w14:val="tx1"/>
            </w14:solidFill>
          </w14:textFill>
        </w:rPr>
        <w:t>国家验收合格标准</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hAnsi="宋体" w:cs="Calibri"/>
          <w:bCs/>
          <w:color w:val="000000" w:themeColor="text1"/>
          <w:sz w:val="24"/>
          <w:szCs w:val="24"/>
          <w:highlight w:val="none"/>
          <w:lang w:val="en-US" w:eastAsia="zh-CN"/>
          <w14:textFill>
            <w14:solidFill>
              <w14:schemeClr w14:val="tx1"/>
            </w14:solidFill>
          </w14:textFill>
        </w:rPr>
        <w:t>施工单位</w:t>
      </w:r>
      <w:r>
        <w:rPr>
          <w:rFonts w:hint="eastAsia" w:ascii="宋体" w:hAnsi="宋体" w:eastAsia="宋体" w:cs="宋体"/>
          <w:color w:val="000000" w:themeColor="text1"/>
          <w:sz w:val="24"/>
          <w:szCs w:val="24"/>
          <w:highlight w:val="none"/>
          <w14:textFill>
            <w14:solidFill>
              <w14:schemeClr w14:val="tx1"/>
            </w14:solidFill>
          </w14:textFill>
        </w:rPr>
        <w:t>按合同价款的1％向</w:t>
      </w:r>
      <w:r>
        <w:rPr>
          <w:rFonts w:hint="eastAsia" w:hAnsi="宋体" w:cs="Calibri"/>
          <w:bCs/>
          <w:color w:val="000000" w:themeColor="text1"/>
          <w:sz w:val="24"/>
          <w:szCs w:val="24"/>
          <w:highlight w:val="none"/>
          <w:u w:val="none"/>
          <w:lang w:val="zh-CN"/>
          <w14:textFill>
            <w14:solidFill>
              <w14:schemeClr w14:val="tx1"/>
            </w14:solidFill>
          </w14:textFill>
        </w:rPr>
        <w:t>发包人</w:t>
      </w:r>
      <w:r>
        <w:rPr>
          <w:rFonts w:hint="eastAsia" w:ascii="宋体" w:hAnsi="宋体" w:eastAsia="宋体" w:cs="宋体"/>
          <w:color w:val="000000" w:themeColor="text1"/>
          <w:sz w:val="24"/>
          <w:szCs w:val="24"/>
          <w:highlight w:val="none"/>
          <w14:textFill>
            <w14:solidFill>
              <w14:schemeClr w14:val="tx1"/>
            </w14:solidFill>
          </w14:textFill>
        </w:rPr>
        <w:t>返纳质量违约金。</w:t>
      </w:r>
    </w:p>
    <w:p w14:paraId="3F059BF9">
      <w:pPr>
        <w:pStyle w:val="36"/>
        <w:numPr>
          <w:ilvl w:val="0"/>
          <w:numId w:val="0"/>
        </w:num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hAnsi="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r>
        <w:rPr>
          <w:rFonts w:hint="eastAsia" w:hAnsi="宋体" w:cs="Calibri"/>
          <w:bCs/>
          <w:color w:val="000000" w:themeColor="text1"/>
          <w:sz w:val="24"/>
          <w:szCs w:val="24"/>
          <w:highlight w:val="none"/>
          <w:lang w:val="en-US" w:eastAsia="zh-CN"/>
          <w14:textFill>
            <w14:solidFill>
              <w14:schemeClr w14:val="tx1"/>
            </w14:solidFill>
          </w14:textFill>
        </w:rPr>
        <w:t>施工单位</w:t>
      </w:r>
      <w:r>
        <w:rPr>
          <w:rFonts w:hint="eastAsia" w:ascii="宋体" w:hAnsi="宋体" w:eastAsia="宋体" w:cs="宋体"/>
          <w:color w:val="000000" w:themeColor="text1"/>
          <w:sz w:val="24"/>
          <w:szCs w:val="24"/>
          <w:highlight w:val="none"/>
          <w14:textFill>
            <w14:solidFill>
              <w14:schemeClr w14:val="tx1"/>
            </w14:solidFill>
          </w14:textFill>
        </w:rPr>
        <w:t>在施工中如果工程质量不符合设计要求或有关规定，</w:t>
      </w:r>
      <w:r>
        <w:rPr>
          <w:rFonts w:hint="eastAsia" w:hAnsi="宋体" w:cs="Calibri"/>
          <w:bCs/>
          <w:color w:val="000000" w:themeColor="text1"/>
          <w:sz w:val="24"/>
          <w:szCs w:val="24"/>
          <w:highlight w:val="none"/>
          <w:u w:val="none"/>
          <w:lang w:val="zh-CN"/>
          <w14:textFill>
            <w14:solidFill>
              <w14:schemeClr w14:val="tx1"/>
            </w14:solidFill>
          </w14:textFill>
        </w:rPr>
        <w:t>发包人</w:t>
      </w:r>
      <w:r>
        <w:rPr>
          <w:rFonts w:hint="eastAsia" w:ascii="宋体" w:hAnsi="宋体" w:eastAsia="宋体" w:cs="宋体"/>
          <w:color w:val="000000" w:themeColor="text1"/>
          <w:sz w:val="24"/>
          <w:szCs w:val="24"/>
          <w:highlight w:val="none"/>
          <w14:textFill>
            <w14:solidFill>
              <w14:schemeClr w14:val="tx1"/>
            </w14:solidFill>
          </w14:textFill>
        </w:rPr>
        <w:t>或监理单位要求停工和返工的必须立即执行，并承担由此产生的各种费用，工期不予顺延。</w:t>
      </w:r>
    </w:p>
    <w:p w14:paraId="08B9090B">
      <w:pPr>
        <w:pStyle w:val="36"/>
        <w:numPr>
          <w:ilvl w:val="0"/>
          <w:numId w:val="0"/>
        </w:num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hAnsi="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保修期限按中华人民共和国国务院令第279号文《建设工程质量管理条例》规定执行，在保修期内因施工质量问题而造成返修，一切费用由</w:t>
      </w:r>
      <w:r>
        <w:rPr>
          <w:rFonts w:hint="eastAsia" w:hAnsi="宋体" w:cs="Calibri"/>
          <w:bCs/>
          <w:color w:val="000000" w:themeColor="text1"/>
          <w:sz w:val="24"/>
          <w:szCs w:val="24"/>
          <w:highlight w:val="none"/>
          <w:lang w:val="en-US" w:eastAsia="zh-CN"/>
          <w14:textFill>
            <w14:solidFill>
              <w14:schemeClr w14:val="tx1"/>
            </w14:solidFill>
          </w14:textFill>
        </w:rPr>
        <w:t>施工单位</w:t>
      </w:r>
      <w:r>
        <w:rPr>
          <w:rFonts w:hint="eastAsia" w:ascii="宋体" w:hAnsi="宋体" w:eastAsia="宋体" w:cs="宋体"/>
          <w:color w:val="000000" w:themeColor="text1"/>
          <w:sz w:val="24"/>
          <w:szCs w:val="24"/>
          <w:highlight w:val="none"/>
          <w14:textFill>
            <w14:solidFill>
              <w14:schemeClr w14:val="tx1"/>
            </w14:solidFill>
          </w14:textFill>
        </w:rPr>
        <w:t>负责。</w:t>
      </w:r>
      <w:r>
        <w:rPr>
          <w:rFonts w:hint="eastAsia" w:hAnsi="宋体" w:cs="Calibri"/>
          <w:bCs/>
          <w:color w:val="000000" w:themeColor="text1"/>
          <w:sz w:val="24"/>
          <w:szCs w:val="24"/>
          <w:highlight w:val="none"/>
          <w:lang w:val="en-US" w:eastAsia="zh-CN"/>
          <w14:textFill>
            <w14:solidFill>
              <w14:schemeClr w14:val="tx1"/>
            </w14:solidFill>
          </w14:textFill>
        </w:rPr>
        <w:t>施工单位</w:t>
      </w:r>
      <w:r>
        <w:rPr>
          <w:rFonts w:hint="eastAsia" w:ascii="宋体" w:hAnsi="宋体" w:eastAsia="宋体" w:cs="宋体"/>
          <w:color w:val="000000" w:themeColor="text1"/>
          <w:sz w:val="24"/>
          <w:szCs w:val="24"/>
          <w:highlight w:val="none"/>
          <w14:textFill>
            <w14:solidFill>
              <w14:schemeClr w14:val="tx1"/>
            </w14:solidFill>
          </w14:textFill>
        </w:rPr>
        <w:t>在向</w:t>
      </w:r>
      <w:r>
        <w:rPr>
          <w:rFonts w:hint="eastAsia" w:hAnsi="宋体" w:cs="Calibri"/>
          <w:bCs/>
          <w:color w:val="000000" w:themeColor="text1"/>
          <w:sz w:val="24"/>
          <w:szCs w:val="24"/>
          <w:highlight w:val="none"/>
          <w:u w:val="none"/>
          <w:lang w:val="zh-CN"/>
          <w14:textFill>
            <w14:solidFill>
              <w14:schemeClr w14:val="tx1"/>
            </w14:solidFill>
          </w14:textFill>
        </w:rPr>
        <w:t>发包人</w:t>
      </w:r>
      <w:r>
        <w:rPr>
          <w:rFonts w:hint="eastAsia" w:ascii="宋体" w:hAnsi="宋体" w:eastAsia="宋体" w:cs="宋体"/>
          <w:color w:val="000000" w:themeColor="text1"/>
          <w:sz w:val="24"/>
          <w:szCs w:val="24"/>
          <w:highlight w:val="none"/>
          <w14:textFill>
            <w14:solidFill>
              <w14:schemeClr w14:val="tx1"/>
            </w14:solidFill>
          </w14:textFill>
        </w:rPr>
        <w:t>提交竣工验收报告时，应当向</w:t>
      </w:r>
      <w:r>
        <w:rPr>
          <w:rFonts w:hint="eastAsia" w:hAnsi="宋体" w:cs="Calibri"/>
          <w:bCs/>
          <w:color w:val="000000" w:themeColor="text1"/>
          <w:sz w:val="24"/>
          <w:szCs w:val="24"/>
          <w:highlight w:val="none"/>
          <w:u w:val="none"/>
          <w:lang w:val="zh-CN"/>
          <w14:textFill>
            <w14:solidFill>
              <w14:schemeClr w14:val="tx1"/>
            </w14:solidFill>
          </w14:textFill>
        </w:rPr>
        <w:t>发包人</w:t>
      </w:r>
      <w:r>
        <w:rPr>
          <w:rFonts w:hint="eastAsia" w:ascii="宋体" w:hAnsi="宋体" w:eastAsia="宋体" w:cs="宋体"/>
          <w:color w:val="000000" w:themeColor="text1"/>
          <w:sz w:val="24"/>
          <w:szCs w:val="24"/>
          <w:highlight w:val="none"/>
          <w14:textFill>
            <w14:solidFill>
              <w14:schemeClr w14:val="tx1"/>
            </w14:solidFill>
          </w14:textFill>
        </w:rPr>
        <w:t>出具质量保修书。质量保修书中应当明确建设工程的保修范围、保修期限和保修责任等。</w:t>
      </w:r>
    </w:p>
    <w:p w14:paraId="51DF5496">
      <w:pPr>
        <w:pStyle w:val="36"/>
        <w:numPr>
          <w:ilvl w:val="0"/>
          <w:numId w:val="0"/>
        </w:num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hAnsi="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项目使用的主要材料质量要求必须符合本项目达到验收合格标准的要求。主要材料必须先提供样板给</w:t>
      </w:r>
      <w:r>
        <w:rPr>
          <w:rFonts w:hint="eastAsia" w:hAnsi="宋体" w:cs="Calibri"/>
          <w:bCs/>
          <w:color w:val="000000" w:themeColor="text1"/>
          <w:sz w:val="24"/>
          <w:szCs w:val="24"/>
          <w:highlight w:val="none"/>
          <w:u w:val="none"/>
          <w:lang w:val="zh-CN"/>
          <w14:textFill>
            <w14:solidFill>
              <w14:schemeClr w14:val="tx1"/>
            </w14:solidFill>
          </w14:textFill>
        </w:rPr>
        <w:t>发包人</w:t>
      </w:r>
      <w:r>
        <w:rPr>
          <w:rFonts w:hint="eastAsia" w:ascii="宋体" w:hAnsi="宋体" w:eastAsia="宋体" w:cs="宋体"/>
          <w:color w:val="000000" w:themeColor="text1"/>
          <w:sz w:val="24"/>
          <w:szCs w:val="24"/>
          <w:highlight w:val="none"/>
          <w14:textFill>
            <w14:solidFill>
              <w14:schemeClr w14:val="tx1"/>
            </w14:solidFill>
          </w14:textFill>
        </w:rPr>
        <w:t>确定其颜色、等级等，并经发包人委托的检测机构检测合格方可使用。</w:t>
      </w:r>
      <w:bookmarkStart w:id="71" w:name="OLE_LINK2"/>
      <w:bookmarkStart w:id="72" w:name="OLE_LINK1"/>
    </w:p>
    <w:p w14:paraId="4EB7646E">
      <w:pPr>
        <w:pStyle w:val="36"/>
        <w:numPr>
          <w:ilvl w:val="0"/>
          <w:numId w:val="0"/>
        </w:num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hAnsi="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为保证施工现场的环境卫生，</w:t>
      </w:r>
      <w:r>
        <w:rPr>
          <w:rFonts w:hint="eastAsia" w:hAnsi="宋体" w:cs="Calibri"/>
          <w:bCs/>
          <w:color w:val="000000" w:themeColor="text1"/>
          <w:sz w:val="24"/>
          <w:szCs w:val="24"/>
          <w:highlight w:val="none"/>
          <w:lang w:val="en-US" w:eastAsia="zh-CN"/>
          <w14:textFill>
            <w14:solidFill>
              <w14:schemeClr w14:val="tx1"/>
            </w14:solidFill>
          </w14:textFill>
        </w:rPr>
        <w:t>施工单位</w:t>
      </w:r>
      <w:r>
        <w:rPr>
          <w:rFonts w:hint="eastAsia" w:ascii="宋体" w:hAnsi="宋体" w:eastAsia="宋体" w:cs="宋体"/>
          <w:color w:val="000000" w:themeColor="text1"/>
          <w:sz w:val="24"/>
          <w:szCs w:val="24"/>
          <w:highlight w:val="none"/>
          <w14:textFill>
            <w14:solidFill>
              <w14:schemeClr w14:val="tx1"/>
            </w14:solidFill>
          </w14:textFill>
        </w:rPr>
        <w:t>在本工程施工过程中，所有的车辆必须按</w:t>
      </w:r>
      <w:r>
        <w:rPr>
          <w:rFonts w:hint="eastAsia" w:hAnsi="宋体" w:cs="Calibri"/>
          <w:bCs/>
          <w:color w:val="000000" w:themeColor="text1"/>
          <w:sz w:val="24"/>
          <w:szCs w:val="24"/>
          <w:highlight w:val="none"/>
          <w:u w:val="none"/>
          <w:lang w:val="zh-CN"/>
          <w14:textFill>
            <w14:solidFill>
              <w14:schemeClr w14:val="tx1"/>
            </w14:solidFill>
          </w14:textFill>
        </w:rPr>
        <w:t>发包人</w:t>
      </w:r>
      <w:r>
        <w:rPr>
          <w:rFonts w:hint="eastAsia" w:ascii="宋体" w:hAnsi="宋体" w:eastAsia="宋体" w:cs="宋体"/>
          <w:color w:val="000000" w:themeColor="text1"/>
          <w:sz w:val="24"/>
          <w:szCs w:val="24"/>
          <w:highlight w:val="none"/>
          <w14:textFill>
            <w14:solidFill>
              <w14:schemeClr w14:val="tx1"/>
            </w14:solidFill>
          </w14:textFill>
        </w:rPr>
        <w:t>规定的行车路线行驶。并负责施工现场及受施工影响周边道路的卫生。</w:t>
      </w:r>
    </w:p>
    <w:p w14:paraId="79E7A847">
      <w:pPr>
        <w:pStyle w:val="36"/>
        <w:numPr>
          <w:ilvl w:val="0"/>
          <w:numId w:val="0"/>
        </w:numPr>
        <w:spacing w:line="360" w:lineRule="auto"/>
        <w:ind w:firstLine="480" w:firstLineChars="200"/>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val="0"/>
          <w:bCs w:val="0"/>
          <w:snapToGrid w:val="0"/>
          <w:color w:val="000000" w:themeColor="text1"/>
          <w:kern w:val="0"/>
          <w:sz w:val="24"/>
          <w:szCs w:val="24"/>
          <w:highlight w:val="none"/>
          <w:lang w:val="en-US" w:eastAsia="zh-CN"/>
          <w14:textFill>
            <w14:solidFill>
              <w14:schemeClr w14:val="tx1"/>
            </w14:solidFill>
          </w14:textFill>
        </w:rPr>
        <w:t>5.</w:t>
      </w:r>
      <w:r>
        <w:rPr>
          <w:rFonts w:hint="eastAsia" w:hAnsi="宋体" w:cs="宋体"/>
          <w:b w:val="0"/>
          <w:bCs w:val="0"/>
          <w:snapToGrid w:val="0"/>
          <w:color w:val="000000" w:themeColor="text1"/>
          <w:kern w:val="0"/>
          <w:sz w:val="24"/>
          <w:szCs w:val="24"/>
          <w:highlight w:val="none"/>
          <w:lang w:val="en-US" w:eastAsia="zh-CN"/>
          <w14:textFill>
            <w14:solidFill>
              <w14:schemeClr w14:val="tx1"/>
            </w14:solidFill>
          </w14:textFill>
        </w:rPr>
        <w:t>3</w:t>
      </w:r>
      <w:r>
        <w:rPr>
          <w:rFonts w:hint="eastAsia" w:ascii="宋体" w:hAnsi="宋体" w:eastAsia="宋体" w:cs="宋体"/>
          <w:b w:val="0"/>
          <w:bCs w:val="0"/>
          <w:snapToGrid w:val="0"/>
          <w:color w:val="000000" w:themeColor="text1"/>
          <w:kern w:val="0"/>
          <w:sz w:val="24"/>
          <w:szCs w:val="24"/>
          <w:highlight w:val="none"/>
          <w:lang w:val="en-US" w:eastAsia="zh-CN"/>
          <w14:textFill>
            <w14:solidFill>
              <w14:schemeClr w14:val="tx1"/>
            </w14:solidFill>
          </w14:textFill>
        </w:rPr>
        <w:t>.7</w:t>
      </w:r>
      <w:r>
        <w:rPr>
          <w:rFonts w:hint="eastAsia" w:hAnsi="宋体" w:cs="Calibri"/>
          <w:bCs/>
          <w:color w:val="000000" w:themeColor="text1"/>
          <w:sz w:val="24"/>
          <w:szCs w:val="24"/>
          <w:highlight w:val="none"/>
          <w:lang w:val="en-US" w:eastAsia="zh-CN"/>
          <w14:textFill>
            <w14:solidFill>
              <w14:schemeClr w14:val="tx1"/>
            </w14:solidFill>
          </w14:textFill>
        </w:rPr>
        <w:t>施工单位</w:t>
      </w: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在施工期间应严格遵守国家、广东省、韶关市有关绿色施工、文明施工、噪音扬尘、消防爆破、环境卫生、渣土清运、治安保卫等方面的规定，并建立相应规章制度和保障措施。否则由此造成的经济损失和法律责任，均由</w:t>
      </w:r>
      <w:r>
        <w:rPr>
          <w:rFonts w:hint="eastAsia" w:hAnsi="宋体" w:cs="Calibri"/>
          <w:bCs/>
          <w:color w:val="000000" w:themeColor="text1"/>
          <w:sz w:val="24"/>
          <w:szCs w:val="24"/>
          <w:highlight w:val="none"/>
          <w:lang w:val="en-US" w:eastAsia="zh-CN"/>
          <w14:textFill>
            <w14:solidFill>
              <w14:schemeClr w14:val="tx1"/>
            </w14:solidFill>
          </w14:textFill>
        </w:rPr>
        <w:t>施工单位</w:t>
      </w: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承担。</w:t>
      </w:r>
    </w:p>
    <w:p w14:paraId="7B32C9A0">
      <w:pPr>
        <w:pStyle w:val="36"/>
        <w:numPr>
          <w:ilvl w:val="0"/>
          <w:numId w:val="0"/>
        </w:numPr>
        <w:spacing w:line="360" w:lineRule="auto"/>
        <w:ind w:firstLine="480" w:firstLineChars="200"/>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val="0"/>
          <w:bCs w:val="0"/>
          <w:snapToGrid w:val="0"/>
          <w:color w:val="000000" w:themeColor="text1"/>
          <w:kern w:val="0"/>
          <w:sz w:val="24"/>
          <w:szCs w:val="24"/>
          <w:highlight w:val="none"/>
          <w:lang w:val="en-US" w:eastAsia="zh-CN"/>
          <w14:textFill>
            <w14:solidFill>
              <w14:schemeClr w14:val="tx1"/>
            </w14:solidFill>
          </w14:textFill>
        </w:rPr>
        <w:t>5.</w:t>
      </w:r>
      <w:r>
        <w:rPr>
          <w:rFonts w:hint="eastAsia" w:hAnsi="宋体" w:cs="宋体"/>
          <w:b w:val="0"/>
          <w:bCs w:val="0"/>
          <w:snapToGrid w:val="0"/>
          <w:color w:val="000000" w:themeColor="text1"/>
          <w:kern w:val="0"/>
          <w:sz w:val="24"/>
          <w:szCs w:val="24"/>
          <w:highlight w:val="none"/>
          <w:lang w:val="en-US" w:eastAsia="zh-CN"/>
          <w14:textFill>
            <w14:solidFill>
              <w14:schemeClr w14:val="tx1"/>
            </w14:solidFill>
          </w14:textFill>
        </w:rPr>
        <w:t>3</w:t>
      </w:r>
      <w:r>
        <w:rPr>
          <w:rFonts w:hint="eastAsia" w:ascii="宋体" w:hAnsi="宋体" w:eastAsia="宋体" w:cs="宋体"/>
          <w:b w:val="0"/>
          <w:bCs w:val="0"/>
          <w:snapToGrid w:val="0"/>
          <w:color w:val="000000" w:themeColor="text1"/>
          <w:kern w:val="0"/>
          <w:sz w:val="24"/>
          <w:szCs w:val="24"/>
          <w:highlight w:val="none"/>
          <w:lang w:val="en-US" w:eastAsia="zh-CN"/>
          <w14:textFill>
            <w14:solidFill>
              <w14:schemeClr w14:val="tx1"/>
            </w14:solidFill>
          </w14:textFill>
        </w:rPr>
        <w:t>.8</w:t>
      </w:r>
      <w:r>
        <w:rPr>
          <w:rFonts w:hint="eastAsia" w:hAnsi="宋体" w:cs="Calibri"/>
          <w:bCs/>
          <w:color w:val="000000" w:themeColor="text1"/>
          <w:sz w:val="24"/>
          <w:szCs w:val="24"/>
          <w:highlight w:val="none"/>
          <w:lang w:val="en-US" w:eastAsia="zh-CN"/>
          <w14:textFill>
            <w14:solidFill>
              <w14:schemeClr w14:val="tx1"/>
            </w14:solidFill>
          </w14:textFill>
        </w:rPr>
        <w:t>施工单位</w:t>
      </w: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应按安全施工有关规定，采取严格、科学的安全防护措施，确保施工和人员（包括第三者）的安全，承担由于自身安全防护措施不力所造成的安全事故责任和发生的费用。</w:t>
      </w:r>
    </w:p>
    <w:p w14:paraId="4D02345E">
      <w:pPr>
        <w:pStyle w:val="43"/>
        <w:widowControl/>
        <w:spacing w:line="360" w:lineRule="auto"/>
        <w:ind w:firstLine="480" w:firstLineChars="20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ascii="宋体" w:hAnsi="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其它：本招标文件（包括答疑纪要、补充及修改文件）中招标人对材料或设备有明确要求的，投标人必须响应招标人要求，如投标人在投标文件未明确响应者视为默认；或投标人在投标文件中的虽有响应但不符合招标人要求的，视为无效响应，中标后必须按招标人要求执行。</w:t>
      </w:r>
      <w:bookmarkEnd w:id="71"/>
      <w:bookmarkEnd w:id="72"/>
    </w:p>
    <w:p w14:paraId="167ACD15">
      <w:pPr>
        <w:adjustRightInd w:val="0"/>
        <w:snapToGrid w:val="0"/>
        <w:spacing w:line="360" w:lineRule="auto"/>
        <w:ind w:firstLine="482"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t>5.</w:t>
      </w:r>
      <w:r>
        <w:rPr>
          <w:rFonts w:hint="eastAsia" w:asciiTheme="minorEastAsia" w:hAnsiTheme="minorEastAsia" w:eastAsiaTheme="minorEastAsia" w:cstheme="minorEastAsia"/>
          <w:b/>
          <w:bCs/>
          <w:snapToGrid w:val="0"/>
          <w:color w:val="000000" w:themeColor="text1"/>
          <w:kern w:val="0"/>
          <w:szCs w:val="24"/>
          <w:highlight w:val="none"/>
          <w:lang w:val="en-US" w:eastAsia="zh-CN"/>
          <w14:textFill>
            <w14:solidFill>
              <w14:schemeClr w14:val="tx1"/>
            </w14:solidFill>
          </w14:textFill>
        </w:rPr>
        <w:t>5</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凡参加本次招标的投标人被视为已充分认识和理解了任何与本工程有关的影响事项和困难等情况。</w:t>
      </w:r>
    </w:p>
    <w:p w14:paraId="109A65C7">
      <w:pPr>
        <w:pStyle w:val="38"/>
        <w:keepNext/>
        <w:keepLines/>
        <w:ind w:firstLine="480"/>
        <w:jc w:val="both"/>
        <w:rPr>
          <w:rFonts w:hint="eastAsia" w:asciiTheme="minorEastAsia" w:hAnsiTheme="minorEastAsia" w:eastAsiaTheme="minorEastAsia" w:cstheme="minorEastAsia"/>
          <w:b/>
          <w:color w:val="000000" w:themeColor="text1"/>
          <w:kern w:val="2"/>
          <w:highlight w:val="none"/>
          <w14:textFill>
            <w14:solidFill>
              <w14:schemeClr w14:val="tx1"/>
            </w14:solidFill>
          </w14:textFill>
        </w:rPr>
      </w:pPr>
      <w:bookmarkStart w:id="73" w:name="_Hlt69356505"/>
      <w:bookmarkEnd w:id="73"/>
      <w:bookmarkStart w:id="74" w:name="_Hlt88974078"/>
      <w:bookmarkEnd w:id="74"/>
      <w:bookmarkStart w:id="75" w:name="_Hlt120502666"/>
      <w:bookmarkEnd w:id="75"/>
      <w:bookmarkStart w:id="76" w:name="_Hlt74493474"/>
      <w:bookmarkEnd w:id="76"/>
      <w:bookmarkStart w:id="77" w:name="_Hlt69699204"/>
      <w:bookmarkEnd w:id="77"/>
      <w:bookmarkStart w:id="78" w:name="_Hlt121563076"/>
      <w:bookmarkEnd w:id="78"/>
      <w:bookmarkStart w:id="79" w:name="_Hlt111690342"/>
      <w:bookmarkEnd w:id="79"/>
      <w:bookmarkStart w:id="80" w:name="_Hlt74496537"/>
      <w:bookmarkEnd w:id="80"/>
      <w:bookmarkStart w:id="81" w:name="_Toc20827"/>
      <w:bookmarkStart w:id="82" w:name="_Toc19911"/>
      <w:bookmarkStart w:id="83" w:name="_Toc10812"/>
      <w:bookmarkStart w:id="84" w:name="_Toc17958"/>
      <w:bookmarkStart w:id="85" w:name="_Toc12891"/>
      <w:bookmarkStart w:id="86" w:name="_Toc24793"/>
      <w:bookmarkStart w:id="87" w:name="_Toc3193"/>
      <w:bookmarkStart w:id="88" w:name="_Toc16432"/>
      <w:bookmarkStart w:id="89" w:name="_Toc25843"/>
    </w:p>
    <w:p w14:paraId="57DC44F7">
      <w:pPr>
        <w:pStyle w:val="38"/>
        <w:keepNext/>
        <w:keepLines/>
        <w:ind w:firstLine="480"/>
        <w:jc w:val="both"/>
        <w:rPr>
          <w:rFonts w:hint="eastAsia" w:asciiTheme="minorEastAsia" w:hAnsiTheme="minorEastAsia" w:eastAsiaTheme="minorEastAsia" w:cstheme="minorEastAsia"/>
          <w:b/>
          <w:color w:val="000000" w:themeColor="text1"/>
          <w:kern w:val="2"/>
          <w:highlight w:val="none"/>
          <w14:textFill>
            <w14:solidFill>
              <w14:schemeClr w14:val="tx1"/>
            </w14:solidFill>
          </w14:textFill>
        </w:rPr>
      </w:pPr>
      <w:r>
        <w:rPr>
          <w:rFonts w:hint="eastAsia" w:asciiTheme="minorEastAsia" w:hAnsiTheme="minorEastAsia" w:eastAsiaTheme="minorEastAsia" w:cstheme="minorEastAsia"/>
          <w:b/>
          <w:color w:val="000000" w:themeColor="text1"/>
          <w:kern w:val="2"/>
          <w:highlight w:val="none"/>
          <w14:textFill>
            <w14:solidFill>
              <w14:schemeClr w14:val="tx1"/>
            </w14:solidFill>
          </w14:textFill>
        </w:rPr>
        <w:t>6 、招标工程施工条件及现场踏勘</w:t>
      </w:r>
      <w:bookmarkEnd w:id="81"/>
      <w:bookmarkEnd w:id="82"/>
      <w:bookmarkEnd w:id="83"/>
      <w:bookmarkEnd w:id="84"/>
      <w:bookmarkEnd w:id="85"/>
      <w:bookmarkEnd w:id="86"/>
      <w:bookmarkEnd w:id="87"/>
      <w:bookmarkEnd w:id="88"/>
      <w:bookmarkEnd w:id="89"/>
    </w:p>
    <w:p w14:paraId="202351E2">
      <w:pPr>
        <w:pStyle w:val="44"/>
        <w:ind w:firstLine="48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6.1本工程招标人仅在征地红线范围内提供场地，其他一切场地费用由中标人自行负责（含临时道路）。</w:t>
      </w:r>
    </w:p>
    <w:p w14:paraId="18F9D350">
      <w:pPr>
        <w:wordWrap w:val="0"/>
        <w:adjustRightInd w:val="0"/>
        <w:snapToGrid w:val="0"/>
        <w:spacing w:line="360" w:lineRule="auto"/>
        <w:ind w:firstLine="360" w:firstLineChars="150"/>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 6.2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施工用水：</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招标人协调，</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施工用水及水源由中标人自行解决，费用含在投标报价中，不另计</w:t>
      </w:r>
      <w:r>
        <w:rPr>
          <w:rFonts w:hint="eastAsia" w:asciiTheme="minorEastAsia" w:hAnsiTheme="minorEastAsia" w:eastAsiaTheme="minorEastAsia" w:cstheme="minorEastAsia"/>
          <w:color w:val="000000" w:themeColor="text1"/>
          <w:kern w:val="0"/>
          <w:szCs w:val="24"/>
          <w:highlight w:val="none"/>
          <w:u w:val="single"/>
          <w14:textFill>
            <w14:solidFill>
              <w14:schemeClr w14:val="tx1"/>
            </w14:solidFill>
          </w14:textFill>
        </w:rPr>
        <w:t>。</w:t>
      </w:r>
    </w:p>
    <w:p w14:paraId="6CA5EC5F">
      <w:pPr>
        <w:wordWrap w:val="0"/>
        <w:adjustRightInd w:val="0"/>
        <w:snapToGrid w:val="0"/>
        <w:spacing w:line="360" w:lineRule="auto"/>
        <w:ind w:firstLine="480" w:firstLineChars="200"/>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6.3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施工用电：</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招标人协调，</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施工用电及电源由中标人自行解决，费用含在投标报价中，不另计</w:t>
      </w:r>
      <w:r>
        <w:rPr>
          <w:rFonts w:hint="eastAsia" w:asciiTheme="minorEastAsia" w:hAnsiTheme="minorEastAsia" w:eastAsiaTheme="minorEastAsia" w:cstheme="minorEastAsia"/>
          <w:color w:val="000000" w:themeColor="text1"/>
          <w:kern w:val="0"/>
          <w:szCs w:val="24"/>
          <w:highlight w:val="none"/>
          <w:u w:val="single"/>
          <w14:textFill>
            <w14:solidFill>
              <w14:schemeClr w14:val="tx1"/>
            </w14:solidFill>
          </w14:textFill>
        </w:rPr>
        <w:t>。</w:t>
      </w:r>
    </w:p>
    <w:p w14:paraId="186C5294">
      <w:pPr>
        <w:pStyle w:val="36"/>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    6.4</w:t>
      </w: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施工用水、用电由中标人负责报装并接入施工红线范围，</w:t>
      </w:r>
      <w:r>
        <w:rPr>
          <w:rFonts w:hint="eastAsia" w:asciiTheme="minorEastAsia" w:hAnsiTheme="minorEastAsia" w:eastAsiaTheme="minorEastAsia" w:cstheme="minorEastAsia"/>
          <w:color w:val="000000" w:themeColor="text1"/>
          <w:highlight w:val="none"/>
          <w14:textFill>
            <w14:solidFill>
              <w14:schemeClr w14:val="tx1"/>
            </w14:solidFill>
          </w14:textFill>
        </w:rPr>
        <w:t>并由中标人负责购置及安装满足施工所需的临时用电变压器、水表、电表，其水、电费按工程所在地</w:t>
      </w:r>
      <w:r>
        <w:rPr>
          <w:rFonts w:hint="eastAsia" w:asciiTheme="minorEastAsia" w:hAnsiTheme="minorEastAsia" w:eastAsiaTheme="minorEastAsia" w:cstheme="minorEastAsia"/>
          <w:color w:val="000000" w:themeColor="text1"/>
          <w:highlight w:val="none"/>
          <w:u w:val="single"/>
          <w:lang w:eastAsia="zh-CN"/>
          <w14:textFill>
            <w14:solidFill>
              <w14:schemeClr w14:val="tx1"/>
            </w14:solidFill>
          </w14:textFill>
        </w:rPr>
        <w:t>翁源县</w:t>
      </w:r>
      <w:r>
        <w:rPr>
          <w:rFonts w:hint="eastAsia" w:asciiTheme="minorEastAsia" w:hAnsiTheme="minorEastAsia" w:eastAsiaTheme="minorEastAsia" w:cstheme="minorEastAsia"/>
          <w:color w:val="000000" w:themeColor="text1"/>
          <w:highlight w:val="none"/>
          <w14:textFill>
            <w14:solidFill>
              <w14:schemeClr w14:val="tx1"/>
            </w14:solidFill>
          </w14:textFill>
        </w:rPr>
        <w:t>基建工程水、电计费标准计算并由中标人缴纳，相关线路、管路费用及安装费用以及购置及安装临时用电变压器的费用由中标人自行承担。</w:t>
      </w:r>
    </w:p>
    <w:p w14:paraId="041B1D09">
      <w:pPr>
        <w:pStyle w:val="36"/>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    6.5招标人不集中现场踏勘，但会在招标文件及有关设计文件中明确告知招标工程的具体位置和周边环境，并在现场设置足以识别的标识或提供足以表明工程具体位置的文字或图片。投标人需要了解现场情况的，可自行进行现场踏勘。</w:t>
      </w:r>
    </w:p>
    <w:p w14:paraId="3ECEF1E1">
      <w:pPr>
        <w:pStyle w:val="36"/>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    6.6在现场踏勘过程中，投标人应确保自身安全，投标人如果发生人身伤亡、财物或其他损失，法律法规有规定的按有关规定处理，没有规定的由投标人自行负责。</w:t>
      </w:r>
    </w:p>
    <w:p w14:paraId="58859549">
      <w:pPr>
        <w:pStyle w:val="36"/>
        <w:ind w:firstLine="480" w:firstLineChars="20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6.7现场踏勘期间的交通、食宿由投标人自行安排，费用自理。</w:t>
      </w:r>
    </w:p>
    <w:p w14:paraId="7783B4E9">
      <w:pPr>
        <w:pStyle w:val="38"/>
        <w:keepNext/>
        <w:keepLines/>
        <w:ind w:firstLine="480"/>
        <w:jc w:val="both"/>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pPr>
      <w:bookmarkStart w:id="90" w:name="_Toc5795"/>
      <w:bookmarkStart w:id="91" w:name="_Toc3294"/>
      <w:bookmarkStart w:id="92" w:name="_Toc22484"/>
      <w:bookmarkStart w:id="93" w:name="_Toc20500"/>
      <w:bookmarkStart w:id="94" w:name="_Toc25942"/>
      <w:bookmarkStart w:id="95" w:name="_Toc23962"/>
      <w:bookmarkStart w:id="96" w:name="_Toc17548"/>
      <w:bookmarkStart w:id="97" w:name="_Toc8518"/>
      <w:bookmarkStart w:id="98" w:name="_Toc27595"/>
      <w:r>
        <w:rPr>
          <w:rFonts w:hint="eastAsia" w:asciiTheme="minorEastAsia" w:hAnsiTheme="minorEastAsia" w:eastAsiaTheme="minorEastAsia" w:cstheme="minorEastAsia"/>
          <w:b/>
          <w:color w:val="000000" w:themeColor="text1"/>
          <w:kern w:val="2"/>
          <w:highlight w:val="none"/>
          <w14:textFill>
            <w14:solidFill>
              <w14:schemeClr w14:val="tx1"/>
            </w14:solidFill>
          </w14:textFill>
        </w:rPr>
        <w:t xml:space="preserve">7 </w:t>
      </w:r>
      <w:bookmarkStart w:id="99" w:name="_Toc488220856"/>
      <w:bookmarkStart w:id="100" w:name="_Toc371968705"/>
      <w:r>
        <w:rPr>
          <w:rFonts w:hint="eastAsia" w:asciiTheme="minorEastAsia" w:hAnsiTheme="minorEastAsia" w:eastAsiaTheme="minorEastAsia" w:cstheme="minorEastAsia"/>
          <w:b/>
          <w:color w:val="000000" w:themeColor="text1"/>
          <w:kern w:val="2"/>
          <w:highlight w:val="none"/>
          <w14:textFill>
            <w14:solidFill>
              <w14:schemeClr w14:val="tx1"/>
            </w14:solidFill>
          </w14:textFill>
        </w:rPr>
        <w:t>、其他招标说明</w:t>
      </w:r>
      <w:bookmarkEnd w:id="90"/>
      <w:bookmarkEnd w:id="91"/>
      <w:bookmarkEnd w:id="92"/>
      <w:bookmarkEnd w:id="93"/>
      <w:bookmarkEnd w:id="94"/>
      <w:bookmarkEnd w:id="95"/>
      <w:bookmarkEnd w:id="96"/>
      <w:bookmarkEnd w:id="97"/>
      <w:bookmarkEnd w:id="98"/>
      <w:bookmarkEnd w:id="99"/>
    </w:p>
    <w:bookmarkEnd w:id="100"/>
    <w:p w14:paraId="4BF44DE2">
      <w:pPr>
        <w:wordWrap w:val="0"/>
        <w:autoSpaceDE/>
        <w:autoSpaceDN/>
        <w:snapToGrid w:val="0"/>
        <w:spacing w:line="440" w:lineRule="exact"/>
        <w:ind w:firstLine="480"/>
        <w:jc w:val="both"/>
        <w:outlineLvl w:val="9"/>
        <w:rPr>
          <w:rFonts w:hint="eastAsia" w:asciiTheme="minorEastAsia" w:hAnsiTheme="minorEastAsia" w:eastAsiaTheme="minorEastAsia" w:cstheme="minorEastAsia"/>
          <w:b/>
          <w:snapToGrid w:val="0"/>
          <w:color w:val="000000" w:themeColor="text1"/>
          <w:szCs w:val="24"/>
          <w:highlight w:val="none"/>
          <w14:textFill>
            <w14:solidFill>
              <w14:schemeClr w14:val="tx1"/>
            </w14:solidFill>
          </w14:textFill>
        </w:rPr>
      </w:pPr>
      <w:bookmarkStart w:id="101" w:name="_Toc10210"/>
      <w:bookmarkStart w:id="102" w:name="_Toc28014"/>
      <w:r>
        <w:rPr>
          <w:rFonts w:hint="eastAsia" w:asciiTheme="minorEastAsia" w:hAnsiTheme="minorEastAsia" w:eastAsiaTheme="minorEastAsia" w:cstheme="minorEastAsia"/>
          <w:b/>
          <w:snapToGrid w:val="0"/>
          <w:color w:val="000000" w:themeColor="text1"/>
          <w:szCs w:val="24"/>
          <w:highlight w:val="none"/>
          <w14:textFill>
            <w14:solidFill>
              <w14:schemeClr w14:val="tx1"/>
            </w14:solidFill>
          </w14:textFill>
        </w:rPr>
        <w:t>7.1．</w:t>
      </w:r>
      <w:r>
        <w:rPr>
          <w:rStyle w:val="24"/>
          <w:rFonts w:hint="eastAsia" w:asciiTheme="minorEastAsia" w:hAnsiTheme="minorEastAsia" w:eastAsiaTheme="minorEastAsia" w:cstheme="minorEastAsia"/>
          <w:color w:val="000000" w:themeColor="text1"/>
          <w:szCs w:val="24"/>
          <w:highlight w:val="none"/>
          <w:shd w:val="clear" w:color="auto" w:fill="FFFFFF"/>
          <w14:textFill>
            <w14:solidFill>
              <w14:schemeClr w14:val="tx1"/>
            </w14:solidFill>
          </w14:textFill>
        </w:rPr>
        <w:t>获取招标文件</w:t>
      </w:r>
      <w:bookmarkEnd w:id="101"/>
      <w:bookmarkEnd w:id="102"/>
    </w:p>
    <w:p w14:paraId="3D4685FA">
      <w:pPr>
        <w:pStyle w:val="20"/>
        <w:widowControl w:val="0"/>
        <w:wordWrap w:val="0"/>
        <w:adjustRightInd w:val="0"/>
        <w:snapToGrid w:val="0"/>
        <w:spacing w:beforeAutospacing="0" w:afterAutospacing="0" w:line="440" w:lineRule="exact"/>
        <w:ind w:firstLine="482" w:firstLineChars="200"/>
        <w:rPr>
          <w:rFonts w:hint="eastAsia" w:asciiTheme="minorEastAsia" w:hAnsiTheme="minorEastAsia" w:eastAsiaTheme="minorEastAsia" w:cstheme="minorEastAsia"/>
          <w:color w:val="000000" w:themeColor="text1"/>
          <w:kern w:val="2"/>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highlight w:val="none"/>
          <w14:textFill>
            <w14:solidFill>
              <w14:schemeClr w14:val="tx1"/>
            </w14:solidFill>
          </w14:textFill>
        </w:rPr>
        <w:t>7.1.1</w:t>
      </w:r>
      <w:r>
        <w:rPr>
          <w:rFonts w:hint="eastAsia" w:asciiTheme="minorEastAsia" w:hAnsiTheme="minorEastAsia" w:eastAsiaTheme="minorEastAsia" w:cstheme="minorEastAsia"/>
          <w:snapToGrid w:val="0"/>
          <w:color w:val="000000" w:themeColor="text1"/>
          <w:highlight w:val="none"/>
          <w14:textFill>
            <w14:solidFill>
              <w14:schemeClr w14:val="tx1"/>
            </w14:solidFill>
          </w14:textFill>
        </w:rPr>
        <w:t>本次招标实行电子投标。</w:t>
      </w:r>
      <w:r>
        <w:rPr>
          <w:rFonts w:hint="eastAsia" w:asciiTheme="minorEastAsia" w:hAnsiTheme="minorEastAsia" w:eastAsiaTheme="minorEastAsia" w:cstheme="minorEastAsia"/>
          <w:color w:val="000000" w:themeColor="text1"/>
          <w:highlight w:val="none"/>
          <w:shd w:val="clear" w:color="auto" w:fill="FFFFFF"/>
          <w14:textFill>
            <w14:solidFill>
              <w14:schemeClr w14:val="tx1"/>
            </w14:solidFill>
          </w14:textFill>
        </w:rPr>
        <w:t>本项目招标文件随招标公告一并在</w:t>
      </w:r>
      <w:r>
        <w:rPr>
          <w:rFonts w:hint="eastAsia" w:asciiTheme="minorEastAsia" w:hAnsiTheme="minorEastAsia" w:eastAsiaTheme="minorEastAsia" w:cstheme="minorEastAsia"/>
          <w:bCs/>
          <w:snapToGrid w:val="0"/>
          <w:color w:val="000000" w:themeColor="text1"/>
          <w:highlight w:val="none"/>
          <w14:textFill>
            <w14:solidFill>
              <w14:schemeClr w14:val="tx1"/>
            </w14:solidFill>
          </w14:textFill>
        </w:rPr>
        <w:t>广东省招标投标监管网(https://www.gdzwfw.gov.cn/ztbjg-portal/#/index)、</w:t>
      </w:r>
      <w:r>
        <w:rPr>
          <w:rFonts w:hint="eastAsia" w:asciiTheme="minorEastAsia" w:hAnsiTheme="minorEastAsia" w:eastAsiaTheme="minorEastAsia" w:cstheme="minorEastAsia"/>
          <w:color w:val="000000" w:themeColor="text1"/>
          <w:highlight w:val="none"/>
          <w:shd w:val="clear" w:color="auto" w:fill="FFFFFF"/>
          <w14:textFill>
            <w14:solidFill>
              <w14:schemeClr w14:val="tx1"/>
            </w14:solidFill>
          </w14:textFill>
        </w:rPr>
        <w:t>全国公共资源交易平台（广东省·韶关市）（https://ygp.gdzwfw.gov.cn/ggzy-portal/#/440200/index）网站发布。招标文件一经在交易平台发布，视为发送投标人，招标文件及相关附件由投标人自行在交易平台网站下载。招标文件获取</w:t>
      </w:r>
      <w:r>
        <w:rPr>
          <w:rFonts w:hint="eastAsia" w:asciiTheme="minorEastAsia" w:hAnsiTheme="minorEastAsia" w:eastAsiaTheme="minorEastAsia" w:cstheme="minorEastAsia"/>
          <w:snapToGrid w:val="0"/>
          <w:color w:val="000000" w:themeColor="text1"/>
          <w:highlight w:val="none"/>
          <w14:textFill>
            <w14:solidFill>
              <w14:schemeClr w14:val="tx1"/>
            </w14:solidFill>
          </w14:textFill>
        </w:rPr>
        <w:t>期间</w:t>
      </w:r>
      <w:r>
        <w:rPr>
          <w:rFonts w:hint="eastAsia" w:asciiTheme="minorEastAsia" w:hAnsiTheme="minorEastAsia" w:eastAsiaTheme="minorEastAsia" w:cstheme="minorEastAsia"/>
          <w:color w:val="000000" w:themeColor="text1"/>
          <w:highlight w:val="none"/>
          <w:shd w:val="clear" w:color="auto" w:fill="FFFFFF"/>
          <w14:textFill>
            <w14:solidFill>
              <w14:schemeClr w14:val="tx1"/>
            </w14:solidFill>
          </w14:textFill>
        </w:rPr>
        <w:t>（</w:t>
      </w:r>
      <w:r>
        <w:rPr>
          <w:rFonts w:hint="eastAsia" w:asciiTheme="minorEastAsia" w:hAnsiTheme="minorEastAsia" w:eastAsiaTheme="minorEastAsia" w:cstheme="minorEastAsia"/>
          <w:snapToGrid w:val="0"/>
          <w:color w:val="000000" w:themeColor="text1"/>
          <w:highlight w:val="none"/>
          <w14:textFill>
            <w14:solidFill>
              <w14:schemeClr w14:val="tx1"/>
            </w14:solidFill>
          </w14:textFill>
        </w:rPr>
        <w:t>见本章第二节“重要事项时间地点一览表”，招标文件获取期间与招标公告发布时间一致</w:t>
      </w:r>
      <w:r>
        <w:rPr>
          <w:rFonts w:hint="eastAsia" w:asciiTheme="minorEastAsia" w:hAnsiTheme="minorEastAsia" w:eastAsiaTheme="minorEastAsia" w:cstheme="minorEastAsia"/>
          <w:color w:val="000000" w:themeColor="text1"/>
          <w:highlight w:val="none"/>
          <w:shd w:val="clear" w:color="auto" w:fill="FFFFFF"/>
          <w14:textFill>
            <w14:solidFill>
              <w14:schemeClr w14:val="tx1"/>
            </w14:solidFill>
          </w14:textFill>
        </w:rPr>
        <w:t>），投标人须登录全国公共资源交易平台（广东省·韶关市）（https://ygp.gdzwfw.gov.cn/ggzy-portal/#/440200/index）</w:t>
      </w:r>
      <w:r>
        <w:rPr>
          <w:rFonts w:hint="eastAsia" w:asciiTheme="minorEastAsia" w:hAnsiTheme="minorEastAsia" w:eastAsiaTheme="minorEastAsia" w:cstheme="minorEastAsia"/>
          <w:snapToGrid w:val="0"/>
          <w:color w:val="000000" w:themeColor="text1"/>
          <w:highlight w:val="none"/>
          <w14:textFill>
            <w14:solidFill>
              <w14:schemeClr w14:val="tx1"/>
            </w14:solidFill>
          </w14:textFill>
        </w:rPr>
        <w:t>下载</w:t>
      </w:r>
      <w:r>
        <w:rPr>
          <w:rFonts w:hint="eastAsia" w:asciiTheme="minorEastAsia" w:hAnsiTheme="minorEastAsia" w:eastAsiaTheme="minorEastAsia" w:cstheme="minorEastAsia"/>
          <w:color w:val="000000" w:themeColor="text1"/>
          <w:highlight w:val="none"/>
          <w:shd w:val="clear" w:color="auto" w:fill="FFFFFF"/>
          <w14:textFill>
            <w14:solidFill>
              <w14:schemeClr w14:val="tx1"/>
            </w14:solidFill>
          </w14:textFill>
        </w:rPr>
        <w:t>招标文件及相关附件，并于电子投标截止时间（</w:t>
      </w:r>
      <w:r>
        <w:rPr>
          <w:rFonts w:hint="eastAsia" w:asciiTheme="minorEastAsia" w:hAnsiTheme="minorEastAsia" w:eastAsiaTheme="minorEastAsia" w:cstheme="minorEastAsia"/>
          <w:snapToGrid w:val="0"/>
          <w:color w:val="000000" w:themeColor="text1"/>
          <w:highlight w:val="none"/>
          <w14:textFill>
            <w14:solidFill>
              <w14:schemeClr w14:val="tx1"/>
            </w14:solidFill>
          </w14:textFill>
        </w:rPr>
        <w:t>见本章第二节“重要事项时间地点一览表”</w:t>
      </w:r>
      <w:r>
        <w:rPr>
          <w:rFonts w:hint="eastAsia" w:asciiTheme="minorEastAsia" w:hAnsiTheme="minorEastAsia" w:eastAsiaTheme="minorEastAsia" w:cstheme="minorEastAsia"/>
          <w:color w:val="000000" w:themeColor="text1"/>
          <w:highlight w:val="none"/>
          <w:shd w:val="clear" w:color="auto" w:fill="FFFFFF"/>
          <w14:textFill>
            <w14:solidFill>
              <w14:schemeClr w14:val="tx1"/>
            </w14:solidFill>
          </w14:textFill>
        </w:rPr>
        <w:t>）前完成电子投标。投标人可登录全国公共资源交易平台（广东省·韶关市）（https://ygp.gdzwfw.gov.cn/ggzy-portal/#/440200/index），在【服务指南】栏目中下载《韶关市公共资源建设工程交易系统-投标人操作指南（电子评标）》，了解网上获取招标文件操作流程。技术咨询电话：18819797080/0751-8379671 伍先生，业务咨询电话：0751-8633211、8633071。</w:t>
      </w:r>
    </w:p>
    <w:p w14:paraId="33202C70">
      <w:pPr>
        <w:pStyle w:val="39"/>
        <w:wordWrap w:val="0"/>
        <w:adjustRightInd w:val="0"/>
        <w:snapToGrid w:val="0"/>
        <w:spacing w:line="440" w:lineRule="exact"/>
        <w:ind w:firstLine="480"/>
        <w:jc w:val="left"/>
        <w:rPr>
          <w:rFonts w:hint="eastAsia" w:asciiTheme="minorEastAsia" w:hAnsiTheme="minorEastAsia" w:eastAsiaTheme="minorEastAsia" w:cstheme="minorEastAsia"/>
          <w:color w:val="000000" w:themeColor="text1"/>
          <w:sz w:val="24"/>
          <w:highlight w:val="none"/>
          <w:shd w:val="clear" w:color="auto" w:fill="FFFFFF"/>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 w:val="24"/>
          <w:highlight w:val="none"/>
          <w14:textFill>
            <w14:solidFill>
              <w14:schemeClr w14:val="tx1"/>
            </w14:solidFill>
          </w14:textFill>
        </w:rPr>
        <w:t xml:space="preserve">7.1.2 </w:t>
      </w:r>
      <w:r>
        <w:rPr>
          <w:rFonts w:hint="eastAsia" w:asciiTheme="minorEastAsia" w:hAnsiTheme="minorEastAsia" w:eastAsiaTheme="minorEastAsia" w:cstheme="minorEastAsia"/>
          <w:color w:val="000000" w:themeColor="text1"/>
          <w:sz w:val="24"/>
          <w:highlight w:val="none"/>
          <w:shd w:val="clear" w:color="auto" w:fill="FFFFFF"/>
          <w14:textFill>
            <w14:solidFill>
              <w14:schemeClr w14:val="tx1"/>
            </w14:solidFill>
          </w14:textFill>
        </w:rPr>
        <w:t>只有申领了数字证书（CA）、“粤企签”或GDCA/SZCA/NETCA等符合法律法规规定的电子印章，并在交易平台中完成企业信息数据入库的投标人，方可在交易平台获取招标文件和电子投标。</w:t>
      </w:r>
    </w:p>
    <w:p w14:paraId="5BA934A2">
      <w:pPr>
        <w:pStyle w:val="39"/>
        <w:wordWrap w:val="0"/>
        <w:adjustRightInd w:val="0"/>
        <w:snapToGrid w:val="0"/>
        <w:spacing w:line="440" w:lineRule="exact"/>
        <w:ind w:firstLine="480"/>
        <w:jc w:val="left"/>
        <w:rPr>
          <w:rFonts w:hint="eastAsia" w:asciiTheme="minorEastAsia" w:hAnsiTheme="minorEastAsia" w:eastAsiaTheme="minorEastAsia" w:cstheme="minorEastAsia"/>
          <w:color w:val="000000" w:themeColor="text1"/>
          <w:sz w:val="24"/>
          <w:highlight w:val="none"/>
          <w:shd w:val="clear" w:color="auto" w:fill="FFFFFF"/>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shd w:val="clear" w:color="auto" w:fill="FFFFFF"/>
          <w14:textFill>
            <w14:solidFill>
              <w14:schemeClr w14:val="tx1"/>
            </w14:solidFill>
          </w14:textFill>
        </w:rPr>
        <w:t>首次在韶关市参与建设工程招标投标活动的投标人，必须在交易平台上传企业相关资料办理企业入库事宜。投标人可登录全国公共资源交易平台（广东省·韶关市）（https://ygp.gdzwfw.gov.cn/ggzy-portal/#/440200/index）办理企业入库、数字证书及电子印章事宜，具体请在交易平台查阅相应的交易指引。</w:t>
      </w:r>
    </w:p>
    <w:p w14:paraId="453E0B96">
      <w:pPr>
        <w:pStyle w:val="39"/>
        <w:wordWrap w:val="0"/>
        <w:adjustRightInd w:val="0"/>
        <w:snapToGrid w:val="0"/>
        <w:spacing w:line="440" w:lineRule="exact"/>
        <w:ind w:firstLine="480"/>
        <w:jc w:val="left"/>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shd w:val="clear" w:color="auto" w:fill="FFFFFF"/>
          <w14:textFill>
            <w14:solidFill>
              <w14:schemeClr w14:val="tx1"/>
            </w14:solidFill>
          </w14:textFill>
        </w:rPr>
        <w:t>已入库企业有关信息（如单位名称、基本账号、资质、人员等）发生变化的，须及时在交易平台进行相应变更。投标人未及时变更信息而造成的损失和后果，由投标人自行承担。</w:t>
      </w:r>
    </w:p>
    <w:p w14:paraId="6AF10B15">
      <w:pPr>
        <w:tabs>
          <w:tab w:val="left" w:pos="7020"/>
        </w:tabs>
        <w:wordWrap w:val="0"/>
        <w:adjustRightInd w:val="0"/>
        <w:snapToGrid w:val="0"/>
        <w:spacing w:line="440" w:lineRule="exact"/>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shd w:val="clear" w:color="auto" w:fill="FFFFFF"/>
          <w14:textFill>
            <w14:solidFill>
              <w14:schemeClr w14:val="tx1"/>
            </w14:solidFill>
          </w14:textFill>
        </w:rPr>
        <w:t>电子印章：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r>
        <w:rPr>
          <w:rFonts w:hint="eastAsia" w:asciiTheme="minorEastAsia" w:hAnsiTheme="minorEastAsia" w:eastAsiaTheme="minorEastAsia" w:cstheme="minorEastAsia"/>
          <w:snapToGrid w:val="0"/>
          <w:color w:val="000000" w:themeColor="text1"/>
          <w:szCs w:val="24"/>
          <w:highlight w:val="none"/>
          <w14:textFill>
            <w14:solidFill>
              <w14:schemeClr w14:val="tx1"/>
            </w14:solidFill>
          </w14:textFill>
        </w:rPr>
        <w:t>。</w:t>
      </w:r>
    </w:p>
    <w:p w14:paraId="1A018E2D">
      <w:pPr>
        <w:spacing w:line="360" w:lineRule="auto"/>
        <w:ind w:firstLine="480" w:firstLineChars="20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7.2</w:t>
      </w:r>
      <w:r>
        <w:rPr>
          <w:rFonts w:hint="eastAsia" w:asciiTheme="minorEastAsia" w:hAnsiTheme="minorEastAsia" w:eastAsiaTheme="minorEastAsia" w:cstheme="minorEastAsia"/>
          <w:color w:val="000000" w:themeColor="text1"/>
          <w:highlight w:val="none"/>
          <w14:textFill>
            <w14:solidFill>
              <w14:schemeClr w14:val="tx1"/>
            </w14:solidFill>
          </w14:textFill>
        </w:rPr>
        <w:t>招标人（或招标代理机构）对投标人的失误不负任何责任，投标人应指定一名投标事务负责人（即授权委托人），专门负责跟踪、签收、阅读和理解招标文件及随后收到的有关资料，向招标人（或招标代理机构）发出疑问，检查投标文件，协助有关人员尽力克服各种投标失误。投标事务负责人（即授权委托人）如有更换，投标人应及时向招标人（或招标代理机构）提交授权委托书。</w:t>
      </w:r>
    </w:p>
    <w:p w14:paraId="2C8B60F2">
      <w:pPr>
        <w:spacing w:line="360" w:lineRule="auto"/>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7.3 </w:t>
      </w:r>
      <w:r>
        <w:rPr>
          <w:rFonts w:hint="eastAsia" w:asciiTheme="minorEastAsia" w:hAnsiTheme="minorEastAsia" w:eastAsiaTheme="minorEastAsia" w:cstheme="minorEastAsia"/>
          <w:b/>
          <w:bCs/>
          <w:color w:val="000000" w:themeColor="text1"/>
          <w:highlight w:val="none"/>
          <w14:textFill>
            <w14:solidFill>
              <w14:schemeClr w14:val="tx1"/>
            </w14:solidFill>
          </w14:textFill>
        </w:rPr>
        <w:t>纪律与保密要求：</w:t>
      </w:r>
    </w:p>
    <w:p w14:paraId="62D2B206">
      <w:pPr>
        <w:spacing w:line="360" w:lineRule="auto"/>
        <w:ind w:firstLine="495"/>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7.3.1</w:t>
      </w: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对招标人的纪律要求</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：招标人不得泄露招标投标活动中应当保密的情况和资料，不得与投标人串通损害国家利益、社会公共利益或者他人合法权益。</w:t>
      </w:r>
    </w:p>
    <w:p w14:paraId="27E26F65">
      <w:pPr>
        <w:spacing w:line="360" w:lineRule="auto"/>
        <w:ind w:firstLine="495"/>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7.3.2 </w:t>
      </w: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对投标人的纪律要求</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1B2A5082">
      <w:pPr>
        <w:spacing w:line="360" w:lineRule="auto"/>
        <w:ind w:firstLine="495"/>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7.3.3 </w:t>
      </w:r>
      <w:r>
        <w:rPr>
          <w:rFonts w:hint="eastAsia" w:asciiTheme="minorEastAsia" w:hAnsiTheme="minorEastAsia" w:eastAsiaTheme="minorEastAsia" w:cstheme="minorEastAsia"/>
          <w:color w:val="000000" w:themeColor="text1"/>
          <w:spacing w:val="8"/>
          <w:szCs w:val="24"/>
          <w:highlight w:val="none"/>
          <w14:textFill>
            <w14:solidFill>
              <w14:schemeClr w14:val="tx1"/>
            </w14:solidFill>
          </w14:textFill>
        </w:rPr>
        <w:t>参与招</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标</w:t>
      </w:r>
      <w:r>
        <w:rPr>
          <w:rFonts w:hint="eastAsia" w:asciiTheme="minorEastAsia" w:hAnsiTheme="minorEastAsia" w:eastAsiaTheme="minorEastAsia" w:cstheme="minorEastAsia"/>
          <w:color w:val="000000" w:themeColor="text1"/>
          <w:spacing w:val="8"/>
          <w:szCs w:val="24"/>
          <w:highlight w:val="none"/>
          <w14:textFill>
            <w14:solidFill>
              <w14:schemeClr w14:val="tx1"/>
            </w14:solidFill>
          </w14:textFill>
        </w:rPr>
        <w:t>投标活</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动</w:t>
      </w:r>
      <w:r>
        <w:rPr>
          <w:rFonts w:hint="eastAsia" w:asciiTheme="minorEastAsia" w:hAnsiTheme="minorEastAsia" w:eastAsiaTheme="minorEastAsia" w:cstheme="minorEastAsia"/>
          <w:color w:val="000000" w:themeColor="text1"/>
          <w:spacing w:val="8"/>
          <w:szCs w:val="24"/>
          <w:highlight w:val="none"/>
          <w14:textFill>
            <w14:solidFill>
              <w14:schemeClr w14:val="tx1"/>
            </w14:solidFill>
          </w14:textFill>
        </w:rPr>
        <w:t>的各方</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应</w:t>
      </w:r>
      <w:r>
        <w:rPr>
          <w:rFonts w:hint="eastAsia" w:asciiTheme="minorEastAsia" w:hAnsiTheme="minorEastAsia" w:eastAsiaTheme="minorEastAsia" w:cstheme="minorEastAsia"/>
          <w:color w:val="000000" w:themeColor="text1"/>
          <w:spacing w:val="8"/>
          <w:szCs w:val="24"/>
          <w:highlight w:val="none"/>
          <w14:textFill>
            <w14:solidFill>
              <w14:schemeClr w14:val="tx1"/>
            </w14:solidFill>
          </w14:textFill>
        </w:rPr>
        <w:t>对招标</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文</w:t>
      </w:r>
      <w:r>
        <w:rPr>
          <w:rFonts w:hint="eastAsia" w:asciiTheme="minorEastAsia" w:hAnsiTheme="minorEastAsia" w:eastAsiaTheme="minorEastAsia" w:cstheme="minorEastAsia"/>
          <w:color w:val="000000" w:themeColor="text1"/>
          <w:spacing w:val="8"/>
          <w:szCs w:val="24"/>
          <w:highlight w:val="none"/>
          <w14:textFill>
            <w14:solidFill>
              <w14:schemeClr w14:val="tx1"/>
            </w14:solidFill>
          </w14:textFill>
        </w:rPr>
        <w:t>件和投</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标</w:t>
      </w:r>
      <w:r>
        <w:rPr>
          <w:rFonts w:hint="eastAsia" w:asciiTheme="minorEastAsia" w:hAnsiTheme="minorEastAsia" w:eastAsiaTheme="minorEastAsia" w:cstheme="minorEastAsia"/>
          <w:color w:val="000000" w:themeColor="text1"/>
          <w:spacing w:val="8"/>
          <w:szCs w:val="24"/>
          <w:highlight w:val="none"/>
          <w14:textFill>
            <w14:solidFill>
              <w14:schemeClr w14:val="tx1"/>
            </w14:solidFill>
          </w14:textFill>
        </w:rPr>
        <w:t>文件中</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的</w:t>
      </w:r>
      <w:r>
        <w:rPr>
          <w:rFonts w:hint="eastAsia" w:asciiTheme="minorEastAsia" w:hAnsiTheme="minorEastAsia" w:eastAsiaTheme="minorEastAsia" w:cstheme="minorEastAsia"/>
          <w:color w:val="000000" w:themeColor="text1"/>
          <w:spacing w:val="8"/>
          <w:szCs w:val="24"/>
          <w:highlight w:val="none"/>
          <w14:textFill>
            <w14:solidFill>
              <w14:schemeClr w14:val="tx1"/>
            </w14:solidFill>
          </w14:textFill>
        </w:rPr>
        <w:t>商业和</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技</w:t>
      </w:r>
      <w:r>
        <w:rPr>
          <w:rFonts w:hint="eastAsia" w:asciiTheme="minorEastAsia" w:hAnsiTheme="minorEastAsia" w:eastAsiaTheme="minorEastAsia" w:cstheme="minorEastAsia"/>
          <w:color w:val="000000" w:themeColor="text1"/>
          <w:spacing w:val="8"/>
          <w:szCs w:val="24"/>
          <w:highlight w:val="none"/>
          <w14:textFill>
            <w14:solidFill>
              <w14:schemeClr w14:val="tx1"/>
            </w14:solidFill>
          </w14:textFill>
        </w:rPr>
        <w:t>术等秘密</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保密，违者应对由此造成的后果承担法律责任。</w:t>
      </w:r>
      <w:bookmarkStart w:id="103" w:name="_Toc371968706"/>
    </w:p>
    <w:p w14:paraId="4E686C31">
      <w:pPr>
        <w:spacing w:line="360" w:lineRule="auto"/>
        <w:ind w:firstLine="480" w:firstLineChars="200"/>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7.</w:t>
      </w:r>
      <w:bookmarkStart w:id="104" w:name="_Toc353462300"/>
      <w:bookmarkStart w:id="105" w:name="_Toc143766459"/>
      <w:bookmarkStart w:id="106" w:name="_Toc353462191"/>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4 </w:t>
      </w: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语言、计量及投标费用</w:t>
      </w:r>
      <w:bookmarkEnd w:id="103"/>
      <w:bookmarkEnd w:id="104"/>
      <w:bookmarkEnd w:id="105"/>
      <w:bookmarkEnd w:id="106"/>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w:t>
      </w:r>
    </w:p>
    <w:p w14:paraId="182686D8">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7.4.1 除专用术语外</w:t>
      </w:r>
      <w:r>
        <w:rPr>
          <w:rFonts w:hint="eastAsia" w:asciiTheme="minorEastAsia" w:hAnsiTheme="minorEastAsia" w:eastAsiaTheme="minorEastAsia" w:cstheme="minorEastAsia"/>
          <w:color w:val="000000" w:themeColor="text1"/>
          <w:spacing w:val="-80"/>
          <w:szCs w:val="24"/>
          <w:highlight w:val="none"/>
          <w14:textFill>
            <w14:solidFill>
              <w14:schemeClr w14:val="tx1"/>
            </w14:solidFill>
          </w14:textFill>
        </w:rPr>
        <w:t>，</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与招标投标有关的语言均使用中文</w:t>
      </w:r>
      <w:r>
        <w:rPr>
          <w:rFonts w:hint="eastAsia" w:asciiTheme="minorEastAsia" w:hAnsiTheme="minorEastAsia" w:eastAsiaTheme="minorEastAsia" w:cstheme="minorEastAsia"/>
          <w:color w:val="000000" w:themeColor="text1"/>
          <w:spacing w:val="-80"/>
          <w:szCs w:val="24"/>
          <w:highlight w:val="none"/>
          <w14:textFill>
            <w14:solidFill>
              <w14:schemeClr w14:val="tx1"/>
            </w14:solidFill>
          </w14:textFill>
        </w:rPr>
        <w:t>。</w:t>
      </w:r>
    </w:p>
    <w:p w14:paraId="54CD0467">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7.4.2 所有计量均采用中华人民共和国法定计量单位。</w:t>
      </w:r>
    </w:p>
    <w:p w14:paraId="7AA57E99">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7.4.3 招标文件、投标文件中所指的币种均为人民币。</w:t>
      </w:r>
    </w:p>
    <w:p w14:paraId="7058CECE">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7.4.4 投标人准备和参加投标活动发生的所有费用自理。</w:t>
      </w:r>
      <w:bookmarkStart w:id="107" w:name="_Toc371968707"/>
    </w:p>
    <w:p w14:paraId="435A2753">
      <w:pPr>
        <w:spacing w:line="360" w:lineRule="auto"/>
        <w:ind w:firstLine="480" w:firstLineChars="200"/>
        <w:rPr>
          <w:rFonts w:hint="eastAsia" w:asciiTheme="minorEastAsia" w:hAnsiTheme="minorEastAsia" w:eastAsiaTheme="minorEastAsia" w:cstheme="minorEastAsia"/>
          <w:b/>
          <w:bCs/>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7.5</w:t>
      </w:r>
      <w:r>
        <w:rPr>
          <w:rFonts w:hint="eastAsia" w:asciiTheme="minorEastAsia" w:hAnsiTheme="minorEastAsia" w:eastAsiaTheme="minorEastAsia" w:cstheme="minorEastAsia"/>
          <w:b/>
          <w:bCs/>
          <w:color w:val="000000" w:themeColor="text1"/>
          <w:highlight w:val="none"/>
          <w14:textFill>
            <w14:solidFill>
              <w14:schemeClr w14:val="tx1"/>
            </w14:solidFill>
          </w14:textFill>
        </w:rPr>
        <w:t>知识产权和专利权</w:t>
      </w:r>
      <w:bookmarkEnd w:id="107"/>
      <w:r>
        <w:rPr>
          <w:rFonts w:hint="eastAsia" w:asciiTheme="minorEastAsia" w:hAnsiTheme="minorEastAsia" w:eastAsiaTheme="minorEastAsia" w:cstheme="minorEastAsia"/>
          <w:b/>
          <w:bCs/>
          <w:color w:val="000000" w:themeColor="text1"/>
          <w:highlight w:val="none"/>
          <w14:textFill>
            <w14:solidFill>
              <w14:schemeClr w14:val="tx1"/>
            </w14:solidFill>
          </w14:textFill>
        </w:rPr>
        <w:t>：</w:t>
      </w:r>
    </w:p>
    <w:p w14:paraId="138F1BCB">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7.5.1 </w:t>
      </w:r>
      <w:r>
        <w:rPr>
          <w:rFonts w:hint="eastAsia" w:asciiTheme="minorEastAsia" w:hAnsiTheme="minorEastAsia" w:eastAsiaTheme="minorEastAsia" w:cstheme="minorEastAsia"/>
          <w:color w:val="000000" w:themeColor="text1"/>
          <w:highlight w:val="none"/>
          <w14:textFill>
            <w14:solidFill>
              <w14:schemeClr w14:val="tx1"/>
            </w14:solidFill>
          </w14:textFill>
        </w:rPr>
        <w:t>投标人保证投标文件及资料均未侵犯他人的知识产权，否则必须承担全部责任。若投标人使用了他人的专利、专有技术，涉及的费用由投标人负责。</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投标价应包括所有应支付的对专利权和版权、设计和其他知识产权而需要向其他方支付的版税。</w:t>
      </w:r>
    </w:p>
    <w:p w14:paraId="793FE2B9">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7.5.2 中标人应保证招标人在本项目建设过程中使用其设计文件和设计文件的任何一部分时，招标人免受第三方提出侵犯其专利权、商标权或其他知识产权的起诉。</w:t>
      </w:r>
    </w:p>
    <w:p w14:paraId="36C8EEB9">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7.5.3 中标人提交给招标人的设计文件，其著作权、版权、专利权和使用权归招标人所有（署名权除外）。</w:t>
      </w:r>
    </w:p>
    <w:p w14:paraId="7DBA5819">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bookmarkStart w:id="108" w:name="_Toc371968708"/>
      <w:r>
        <w:rPr>
          <w:rFonts w:hint="eastAsia" w:asciiTheme="minorEastAsia" w:hAnsiTheme="minorEastAsia" w:eastAsiaTheme="minorEastAsia" w:cstheme="minorEastAsia"/>
          <w:color w:val="000000" w:themeColor="text1"/>
          <w:szCs w:val="24"/>
          <w:highlight w:val="none"/>
          <w14:textFill>
            <w14:solidFill>
              <w14:schemeClr w14:val="tx1"/>
            </w14:solidFill>
          </w14:textFill>
        </w:rPr>
        <w:t>7.</w:t>
      </w:r>
      <w:bookmarkEnd w:id="108"/>
      <w:r>
        <w:rPr>
          <w:rFonts w:hint="eastAsia" w:asciiTheme="minorEastAsia" w:hAnsiTheme="minorEastAsia" w:eastAsiaTheme="minorEastAsia" w:cstheme="minorEastAsia"/>
          <w:color w:val="000000" w:themeColor="text1"/>
          <w:szCs w:val="24"/>
          <w:highlight w:val="none"/>
          <w14:textFill>
            <w14:solidFill>
              <w14:schemeClr w14:val="tx1"/>
            </w14:solidFill>
          </w14:textFill>
        </w:rPr>
        <w:t>6 招标文件是招标人发出的要约邀请，投标人参加投标均视为承认招标公告、招标文件及附件的所有条款，并承诺一旦中标将按招标文件、投标文件、合同条款、技术规范要求的质量和进度完成全部委托任务。</w:t>
      </w:r>
    </w:p>
    <w:p w14:paraId="6741AE4D">
      <w:pPr>
        <w:pStyle w:val="38"/>
        <w:keepNext/>
        <w:keepLines/>
        <w:ind w:firstLine="480"/>
        <w:jc w:val="both"/>
        <w:rPr>
          <w:rFonts w:hint="eastAsia" w:asciiTheme="minorEastAsia" w:hAnsiTheme="minorEastAsia" w:eastAsiaTheme="minorEastAsia" w:cstheme="minorEastAsia"/>
          <w:b/>
          <w:color w:val="000000" w:themeColor="text1"/>
          <w:kern w:val="2"/>
          <w:highlight w:val="none"/>
          <w14:textFill>
            <w14:solidFill>
              <w14:schemeClr w14:val="tx1"/>
            </w14:solidFill>
          </w14:textFill>
        </w:rPr>
      </w:pPr>
      <w:bookmarkStart w:id="109" w:name="_Toc30148"/>
      <w:bookmarkStart w:id="110" w:name="_Toc18312"/>
      <w:r>
        <w:rPr>
          <w:rFonts w:hint="eastAsia" w:asciiTheme="minorEastAsia" w:hAnsiTheme="minorEastAsia" w:eastAsiaTheme="minorEastAsia" w:cstheme="minorEastAsia"/>
          <w:b/>
          <w:color w:val="000000" w:themeColor="text1"/>
          <w:kern w:val="2"/>
          <w:highlight w:val="none"/>
          <w14:textFill>
            <w14:solidFill>
              <w14:schemeClr w14:val="tx1"/>
            </w14:solidFill>
          </w14:textFill>
        </w:rPr>
        <w:t>8 、招标答疑</w:t>
      </w:r>
      <w:bookmarkEnd w:id="109"/>
      <w:bookmarkEnd w:id="110"/>
      <w:bookmarkStart w:id="111" w:name="_Hlt74496410"/>
      <w:bookmarkEnd w:id="111"/>
    </w:p>
    <w:p w14:paraId="259053D7">
      <w:pPr>
        <w:pStyle w:val="36"/>
        <w:ind w:firstLine="56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8.1招标人不集中组织答疑，实行网上答疑。</w:t>
      </w:r>
      <w:r>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t>投标人若对招标文件有疑问</w:t>
      </w:r>
      <w:r>
        <w:rPr>
          <w:rFonts w:hint="eastAsia" w:asciiTheme="minorEastAsia" w:hAnsiTheme="minorEastAsia" w:eastAsiaTheme="minorEastAsia" w:cstheme="minorEastAsia"/>
          <w:color w:val="000000" w:themeColor="text1"/>
          <w:highlight w:val="none"/>
          <w14:textFill>
            <w14:solidFill>
              <w14:schemeClr w14:val="tx1"/>
            </w14:solidFill>
          </w14:textFill>
        </w:rPr>
        <w:t>应在提问截止时间（</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见本章第二节“重要事项时间地点一览表”</w:t>
      </w:r>
      <w:r>
        <w:rPr>
          <w:rFonts w:hint="eastAsia" w:asciiTheme="minorEastAsia" w:hAnsiTheme="minorEastAsia" w:eastAsiaTheme="minorEastAsia" w:cstheme="minorEastAsia"/>
          <w:color w:val="000000" w:themeColor="text1"/>
          <w:highlight w:val="none"/>
          <w14:textFill>
            <w14:solidFill>
              <w14:schemeClr w14:val="tx1"/>
            </w14:solidFill>
          </w14:textFill>
        </w:rPr>
        <w:t>）前在交易平台提出问题。未在指定时间前、未采用指定方式提出的，招标人不予受理。</w:t>
      </w:r>
    </w:p>
    <w:p w14:paraId="40300F21">
      <w:pPr>
        <w:pStyle w:val="36"/>
        <w:ind w:firstLine="56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8.2 </w:t>
      </w:r>
      <w:r>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t>招标人在提问截止时间（</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见本章第二节“重要事项时间地点一览表”</w:t>
      </w:r>
      <w:r>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t>）后3日内，一次性对收到的所有问题作出答复，并形成答疑（或修改）公告在发布招标公告的媒介上公开发布。答疑（或修改）公告一旦发布，即视所有潜在投标人已经知悉答疑（或修改）内容，投标人未及时关注而造成的损失和后果，由投标人自行承担。</w:t>
      </w:r>
    </w:p>
    <w:p w14:paraId="1C1662DF">
      <w:pPr>
        <w:pStyle w:val="36"/>
        <w:ind w:firstLine="56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8.3 答疑书（</w:t>
      </w:r>
      <w:r>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t>或修改</w:t>
      </w:r>
      <w:r>
        <w:rPr>
          <w:rFonts w:hint="eastAsia" w:asciiTheme="minorEastAsia" w:hAnsiTheme="minorEastAsia" w:eastAsiaTheme="minorEastAsia" w:cstheme="minorEastAsia"/>
          <w:color w:val="000000" w:themeColor="text1"/>
          <w:highlight w:val="none"/>
          <w14:textFill>
            <w14:solidFill>
              <w14:schemeClr w14:val="tx1"/>
            </w14:solidFill>
          </w14:textFill>
        </w:rPr>
        <w:t>）对招标文件的修改或补充内容作为招标文件的组成部分，具有约束作用。招标文件的澄清、修改、补充等内容均以答疑书（</w:t>
      </w:r>
      <w:r>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t>或修改</w:t>
      </w:r>
      <w:r>
        <w:rPr>
          <w:rFonts w:hint="eastAsia" w:asciiTheme="minorEastAsia" w:hAnsiTheme="minorEastAsia" w:eastAsiaTheme="minorEastAsia" w:cstheme="minorEastAsia"/>
          <w:color w:val="000000" w:themeColor="text1"/>
          <w:highlight w:val="none"/>
          <w14:textFill>
            <w14:solidFill>
              <w14:schemeClr w14:val="tx1"/>
            </w14:solidFill>
          </w14:textFill>
        </w:rPr>
        <w:t>）中明确的内容为准。当招标文件、招标文件的澄清、修改、补充等文件在同一内容的表述上不一致时，以最后发出的答疑书（</w:t>
      </w:r>
      <w:r>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t>或修改</w:t>
      </w:r>
      <w:r>
        <w:rPr>
          <w:rFonts w:hint="eastAsia" w:asciiTheme="minorEastAsia" w:hAnsiTheme="minorEastAsia" w:eastAsiaTheme="minorEastAsia" w:cstheme="minorEastAsia"/>
          <w:color w:val="000000" w:themeColor="text1"/>
          <w:highlight w:val="none"/>
          <w14:textFill>
            <w14:solidFill>
              <w14:schemeClr w14:val="tx1"/>
            </w14:solidFill>
          </w14:textFill>
        </w:rPr>
        <w:t>）为准。</w:t>
      </w:r>
    </w:p>
    <w:p w14:paraId="34382E94">
      <w:pPr>
        <w:pStyle w:val="36"/>
        <w:ind w:firstLine="56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8.4 投标人在规定的时间内未对招标文件提出澄清或疑问的，招标人将视其为无异议。对招标文件中描述有歧义或前后不一致的地方，评标委员会有权进行评判，但对同一条款的评判应适用于每个投标人。</w:t>
      </w:r>
    </w:p>
    <w:p w14:paraId="530D0F38">
      <w:pPr>
        <w:pStyle w:val="36"/>
        <w:ind w:firstLine="56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8.5 招标人向投标人提供的资料和数据，是招标人现有的能使投标人利用的资料。投标人对招标人提供的招标文件所作出的推论、解释和结论，招标人概不负责；投标人由于对招标文件的任何推论和误解以及招标人对有关问题的口头解释所造成的后果，均由投标人自行负责。</w:t>
      </w:r>
    </w:p>
    <w:p w14:paraId="2E4FA8B2">
      <w:pPr>
        <w:pStyle w:val="38"/>
        <w:keepNext/>
        <w:keepLines/>
        <w:ind w:firstLine="480"/>
        <w:jc w:val="both"/>
        <w:rPr>
          <w:rFonts w:hint="eastAsia" w:asciiTheme="minorEastAsia" w:hAnsiTheme="minorEastAsia" w:eastAsiaTheme="minorEastAsia" w:cstheme="minorEastAsia"/>
          <w:b/>
          <w:color w:val="000000" w:themeColor="text1"/>
          <w:kern w:val="2"/>
          <w:highlight w:val="none"/>
          <w14:textFill>
            <w14:solidFill>
              <w14:schemeClr w14:val="tx1"/>
            </w14:solidFill>
          </w14:textFill>
        </w:rPr>
      </w:pPr>
      <w:bookmarkStart w:id="112" w:name="_Hlt69699188"/>
      <w:bookmarkEnd w:id="112"/>
      <w:bookmarkStart w:id="113" w:name="_Hlt92513715"/>
      <w:bookmarkEnd w:id="113"/>
      <w:bookmarkStart w:id="114" w:name="_Hlt92513711"/>
      <w:bookmarkEnd w:id="114"/>
      <w:bookmarkStart w:id="115" w:name="_Toc25532"/>
      <w:bookmarkStart w:id="116" w:name="_Toc15195"/>
      <w:bookmarkStart w:id="117" w:name="_Toc19156"/>
      <w:bookmarkStart w:id="118" w:name="_Toc31064"/>
      <w:bookmarkStart w:id="119" w:name="_Toc28777"/>
      <w:bookmarkStart w:id="120" w:name="_Toc30627"/>
      <w:bookmarkStart w:id="121" w:name="_Toc20643"/>
      <w:bookmarkStart w:id="122" w:name="_Toc8032"/>
      <w:bookmarkStart w:id="123" w:name="_Toc11301"/>
      <w:r>
        <w:rPr>
          <w:rFonts w:hint="eastAsia" w:asciiTheme="minorEastAsia" w:hAnsiTheme="minorEastAsia" w:eastAsiaTheme="minorEastAsia" w:cstheme="minorEastAsia"/>
          <w:b/>
          <w:color w:val="000000" w:themeColor="text1"/>
          <w:kern w:val="2"/>
          <w:highlight w:val="none"/>
          <w14:textFill>
            <w14:solidFill>
              <w14:schemeClr w14:val="tx1"/>
            </w14:solidFill>
          </w14:textFill>
        </w:rPr>
        <w:t>9 、投标报价的编制</w:t>
      </w:r>
      <w:bookmarkEnd w:id="115"/>
      <w:bookmarkEnd w:id="116"/>
      <w:bookmarkEnd w:id="117"/>
      <w:bookmarkEnd w:id="118"/>
      <w:bookmarkEnd w:id="119"/>
      <w:bookmarkEnd w:id="120"/>
      <w:bookmarkEnd w:id="121"/>
      <w:bookmarkEnd w:id="122"/>
      <w:bookmarkEnd w:id="123"/>
      <w:bookmarkStart w:id="124" w:name="_Hlt74498519"/>
      <w:bookmarkEnd w:id="124"/>
    </w:p>
    <w:p w14:paraId="5C87CE4D">
      <w:pPr>
        <w:pStyle w:val="36"/>
        <w:ind w:firstLine="560"/>
        <w:rPr>
          <w:rFonts w:hint="eastAsia" w:asciiTheme="minorEastAsia" w:hAnsiTheme="minorEastAsia" w:eastAsiaTheme="minorEastAsia" w:cstheme="minorEastAsia"/>
          <w:color w:val="000000" w:themeColor="text1"/>
          <w:spacing w:val="12"/>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12"/>
          <w:highlight w:val="none"/>
          <w14:textFill>
            <w14:solidFill>
              <w14:schemeClr w14:val="tx1"/>
            </w14:solidFill>
          </w14:textFill>
        </w:rPr>
        <w:t>9.1 本工程计价依据为：</w:t>
      </w:r>
    </w:p>
    <w:p w14:paraId="3DDDB697">
      <w:pPr>
        <w:pStyle w:val="36"/>
        <w:ind w:firstLine="560"/>
        <w:rPr>
          <w:rFonts w:hint="eastAsia" w:asciiTheme="minorEastAsia" w:hAnsiTheme="minorEastAsia" w:eastAsiaTheme="minorEastAsia" w:cstheme="minorEastAsia"/>
          <w:color w:val="000000" w:themeColor="text1"/>
          <w:highlight w:val="none"/>
          <w14:textFill>
            <w14:solidFill>
              <w14:schemeClr w14:val="tx1"/>
            </w14:solidFill>
          </w14:textFill>
        </w:rPr>
      </w:pPr>
      <w:bookmarkStart w:id="125" w:name="_Hlt69335755"/>
      <w:bookmarkEnd w:id="125"/>
      <w:r>
        <w:rPr>
          <w:rFonts w:hint="eastAsia" w:asciiTheme="minorEastAsia" w:hAnsiTheme="minorEastAsia" w:eastAsiaTheme="minorEastAsia" w:cstheme="minorEastAsia"/>
          <w:color w:val="000000" w:themeColor="text1"/>
          <w:highlight w:val="none"/>
          <w14:textFill>
            <w14:solidFill>
              <w14:schemeClr w14:val="tx1"/>
            </w14:solidFill>
          </w14:textFill>
        </w:rPr>
        <w:t>（1）《工程勘察设计收费管理规定》（计价格[2002]10号）、《工程勘察设计收费导则（第二版）》（粤勘设协〔2021〕2号）；</w:t>
      </w:r>
    </w:p>
    <w:p w14:paraId="68AA67A6">
      <w:pPr>
        <w:pStyle w:val="36"/>
        <w:ind w:firstLine="56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（2）</w:t>
      </w: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《建设工程工程量清单计价标准》（GB/T50500—2024）</w:t>
      </w:r>
      <w:r>
        <w:rPr>
          <w:rFonts w:hint="eastAsia" w:asciiTheme="minorEastAsia" w:hAnsiTheme="minorEastAsia" w:eastAsiaTheme="minorEastAsia" w:cstheme="minorEastAsia"/>
          <w:color w:val="000000" w:themeColor="text1"/>
          <w:highlight w:val="none"/>
          <w14:textFill>
            <w14:solidFill>
              <w14:schemeClr w14:val="tx1"/>
            </w14:solidFill>
          </w14:textFill>
        </w:rPr>
        <w:t>；</w:t>
      </w:r>
    </w:p>
    <w:p w14:paraId="5038FA5F">
      <w:pPr>
        <w:pStyle w:val="36"/>
        <w:ind w:firstLine="56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3）《广东省建设工程计价依据（2018）》。具体包括：《广东省房屋建筑与装饰工程综合定额（2018）》《广东省市政工程综合定额（2018）》《广东省通用安装工程综合定额（2018）》《广东省园林绿化工程综合定额（2018）》《广东省建设工程施工机具台班费用编制规则（2018）》等；</w:t>
      </w:r>
    </w:p>
    <w:p w14:paraId="5FC8EB18">
      <w:pPr>
        <w:pStyle w:val="36"/>
        <w:ind w:firstLine="56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（4）</w:t>
      </w:r>
      <w:r>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t>招标文件及其答疑（或修改）公告</w:t>
      </w:r>
      <w:r>
        <w:rPr>
          <w:rFonts w:hint="eastAsia" w:asciiTheme="minorEastAsia" w:hAnsiTheme="minorEastAsia" w:eastAsiaTheme="minorEastAsia" w:cstheme="minorEastAsia"/>
          <w:color w:val="000000" w:themeColor="text1"/>
          <w:highlight w:val="none"/>
          <w14:textFill>
            <w14:solidFill>
              <w14:schemeClr w14:val="tx1"/>
            </w14:solidFill>
          </w14:textFill>
        </w:rPr>
        <w:t>；</w:t>
      </w:r>
    </w:p>
    <w:p w14:paraId="3B5D297E">
      <w:pPr>
        <w:pStyle w:val="36"/>
        <w:ind w:firstLine="56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（5）施工现场情况、工程特点及常规施工方案；</w:t>
      </w:r>
    </w:p>
    <w:p w14:paraId="77396941">
      <w:pPr>
        <w:pStyle w:val="36"/>
        <w:ind w:firstLine="56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（6）项目所在地工程造价管理机构发布的工程造价信息，工程造价信息缺项的，参照市场价格；</w:t>
      </w:r>
    </w:p>
    <w:p w14:paraId="28B41DCC">
      <w:pPr>
        <w:pStyle w:val="36"/>
        <w:ind w:firstLine="56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（7）与建设项目相关的标准、规范、技术资料。</w:t>
      </w:r>
    </w:p>
    <w:p w14:paraId="2E1BB4AB">
      <w:pPr>
        <w:pStyle w:val="36"/>
        <w:ind w:firstLine="792" w:firstLineChars="30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12"/>
          <w:highlight w:val="none"/>
          <w14:textFill>
            <w14:solidFill>
              <w14:schemeClr w14:val="tx1"/>
            </w14:solidFill>
          </w14:textFill>
        </w:rPr>
        <w:t>9.2</w:t>
      </w: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 本工程投标前，招标人及招标代理机构不集中组织现场踏勘，投标人需要了解现场情况的，可自行进行现场踏勘。各投标人应勘察施工现场及周围环境、地形、地貌、水文、交通等情况，以获得一切可能影响到投标的直</w:t>
      </w:r>
      <w:bookmarkStart w:id="126" w:name="_Hlt66509056"/>
      <w:bookmarkEnd w:id="126"/>
      <w:r>
        <w:rPr>
          <w:rFonts w:hint="eastAsia" w:asciiTheme="minorEastAsia" w:hAnsiTheme="minorEastAsia" w:eastAsiaTheme="minorEastAsia" w:cstheme="minorEastAsia"/>
          <w:color w:val="000000" w:themeColor="text1"/>
          <w:highlight w:val="none"/>
          <w14:textFill>
            <w14:solidFill>
              <w14:schemeClr w14:val="tx1"/>
            </w14:solidFill>
          </w14:textFill>
        </w:rPr>
        <w:t>接资料。投标人应针对现场情况编制施工组织设计，并在写投标报价时考虑现场情况的影响。</w:t>
      </w:r>
    </w:p>
    <w:p w14:paraId="1D2A4D4D">
      <w:pPr>
        <w:pStyle w:val="45"/>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12"/>
          <w:highlight w:val="none"/>
          <w14:textFill>
            <w14:solidFill>
              <w14:schemeClr w14:val="tx1"/>
            </w14:solidFill>
          </w14:textFill>
        </w:rPr>
        <w:t>9.</w:t>
      </w:r>
      <w:bookmarkStart w:id="127" w:name="_Hlt88974322"/>
      <w:r>
        <w:rPr>
          <w:rFonts w:hint="eastAsia" w:asciiTheme="minorEastAsia" w:hAnsiTheme="minorEastAsia" w:eastAsiaTheme="minorEastAsia" w:cstheme="minorEastAsia"/>
          <w:color w:val="000000" w:themeColor="text1"/>
          <w:spacing w:val="12"/>
          <w:highlight w:val="none"/>
          <w14:textFill>
            <w14:solidFill>
              <w14:schemeClr w14:val="tx1"/>
            </w14:solidFill>
          </w14:textFill>
        </w:rPr>
        <w:t>3</w:t>
      </w: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 现场踏勘费以及其它施工措施项目费，由投标人在投标报价中综合考虑，</w:t>
      </w: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一次包定</w:t>
      </w:r>
      <w:r>
        <w:rPr>
          <w:rFonts w:hint="eastAsia" w:asciiTheme="minorEastAsia" w:hAnsiTheme="minorEastAsia" w:eastAsiaTheme="minorEastAsia" w:cstheme="minorEastAsia"/>
          <w:color w:val="000000" w:themeColor="text1"/>
          <w:highlight w:val="none"/>
          <w14:textFill>
            <w14:solidFill>
              <w14:schemeClr w14:val="tx1"/>
            </w14:solidFill>
          </w14:textFill>
        </w:rPr>
        <w:t>。无论投标人是否列出费用，招标人将一律视为已确认所有现场条件和可能发生的异常情况。</w:t>
      </w:r>
    </w:p>
    <w:bookmarkEnd w:id="127"/>
    <w:p w14:paraId="1DAD049C">
      <w:pPr>
        <w:pStyle w:val="36"/>
        <w:ind w:firstLine="56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9.4 招标人向投标人提供的有关现场的数据和资料，是招标人现有的能被投标人利用的资料，招标人对投标人做出的任何推论、理解和结论均不负责任。</w:t>
      </w:r>
    </w:p>
    <w:p w14:paraId="390D5AE0">
      <w:pPr>
        <w:spacing w:line="360" w:lineRule="auto"/>
        <w:ind w:firstLine="600"/>
        <w:rPr>
          <w:rFonts w:hint="eastAsia" w:asciiTheme="minorEastAsia" w:hAnsiTheme="minorEastAsia" w:eastAsiaTheme="minorEastAsia" w:cstheme="minorEastAsia"/>
          <w:color w:val="000000" w:themeColor="text1"/>
          <w:highlight w:val="none"/>
          <w:lang w:val="zh-CN"/>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9</w:t>
      </w:r>
      <w:r>
        <w:rPr>
          <w:rFonts w:hint="eastAsia" w:asciiTheme="minorEastAsia" w:hAnsiTheme="minorEastAsia" w:eastAsiaTheme="minorEastAsia" w:cstheme="minorEastAsia"/>
          <w:color w:val="000000" w:themeColor="text1"/>
          <w:highlight w:val="none"/>
          <w:lang w:val="zh-CN"/>
          <w14:textFill>
            <w14:solidFill>
              <w14:schemeClr w14:val="tx1"/>
            </w14:solidFill>
          </w14:textFill>
        </w:rPr>
        <w:t>.</w:t>
      </w:r>
      <w:r>
        <w:rPr>
          <w:rFonts w:hint="eastAsia" w:asciiTheme="minorEastAsia" w:hAnsiTheme="minorEastAsia" w:eastAsiaTheme="minorEastAsia" w:cstheme="minorEastAsia"/>
          <w:color w:val="000000" w:themeColor="text1"/>
          <w:highlight w:val="none"/>
          <w14:textFill>
            <w14:solidFill>
              <w14:schemeClr w14:val="tx1"/>
            </w14:solidFill>
          </w14:textFill>
        </w:rPr>
        <w:t>5</w:t>
      </w:r>
      <w:r>
        <w:rPr>
          <w:rFonts w:hint="eastAsia" w:asciiTheme="minorEastAsia" w:hAnsiTheme="minorEastAsia" w:eastAsiaTheme="minorEastAsia" w:cstheme="minorEastAsia"/>
          <w:color w:val="000000" w:themeColor="text1"/>
          <w:highlight w:val="none"/>
          <w:lang w:val="zh-CN"/>
          <w14:textFill>
            <w14:solidFill>
              <w14:schemeClr w14:val="tx1"/>
            </w14:solidFill>
          </w14:textFill>
        </w:rPr>
        <w:t>投标人负责协调处理因项目实施与周边企业和村民等关系并承担相关费用。</w:t>
      </w:r>
    </w:p>
    <w:p w14:paraId="7E6BA5A6">
      <w:pPr>
        <w:spacing w:line="360" w:lineRule="auto"/>
        <w:ind w:firstLine="600"/>
        <w:rPr>
          <w:rFonts w:hint="eastAsia" w:asciiTheme="minorEastAsia" w:hAnsiTheme="minorEastAsia" w:eastAsiaTheme="minorEastAsia" w:cstheme="minorEastAsia"/>
          <w:color w:val="000000" w:themeColor="text1"/>
          <w:highlight w:val="none"/>
          <w:lang w:val="zh-CN"/>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9</w:t>
      </w:r>
      <w:r>
        <w:rPr>
          <w:rFonts w:hint="eastAsia" w:asciiTheme="minorEastAsia" w:hAnsiTheme="minorEastAsia" w:eastAsiaTheme="minorEastAsia" w:cstheme="minorEastAsia"/>
          <w:color w:val="000000" w:themeColor="text1"/>
          <w:highlight w:val="none"/>
          <w:lang w:val="zh-CN"/>
          <w14:textFill>
            <w14:solidFill>
              <w14:schemeClr w14:val="tx1"/>
            </w14:solidFill>
          </w14:textFill>
        </w:rPr>
        <w:t>.</w:t>
      </w:r>
      <w:r>
        <w:rPr>
          <w:rFonts w:hint="eastAsia" w:asciiTheme="minorEastAsia" w:hAnsiTheme="minorEastAsia" w:eastAsiaTheme="minorEastAsia" w:cstheme="minorEastAsia"/>
          <w:color w:val="000000" w:themeColor="text1"/>
          <w:highlight w:val="none"/>
          <w14:textFill>
            <w14:solidFill>
              <w14:schemeClr w14:val="tx1"/>
            </w14:solidFill>
          </w14:textFill>
        </w:rPr>
        <w:t>6</w:t>
      </w:r>
      <w:r>
        <w:rPr>
          <w:rFonts w:hint="eastAsia" w:asciiTheme="minorEastAsia" w:hAnsiTheme="minorEastAsia" w:eastAsiaTheme="minorEastAsia" w:cstheme="minorEastAsia"/>
          <w:color w:val="000000" w:themeColor="text1"/>
          <w:highlight w:val="none"/>
          <w:lang w:val="zh-CN"/>
          <w14:textFill>
            <w14:solidFill>
              <w14:schemeClr w14:val="tx1"/>
            </w14:solidFill>
          </w14:textFill>
        </w:rPr>
        <w:t>投标人应采取设计优化的方式，通过土方平衡方法解决弃土问题，若仍有弃土，按实结算。</w:t>
      </w:r>
    </w:p>
    <w:p w14:paraId="2C0BB72B">
      <w:pPr>
        <w:spacing w:line="360" w:lineRule="auto"/>
        <w:ind w:firstLine="570"/>
        <w:rPr>
          <w:rFonts w:hint="eastAsia" w:asciiTheme="minorEastAsia" w:hAnsiTheme="minorEastAsia" w:eastAsiaTheme="minorEastAsia" w:cstheme="minorEastAsia"/>
          <w:b/>
          <w:color w:val="000000" w:themeColor="text1"/>
          <w:highlight w:val="none"/>
          <w:u w:val="doubl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9</w:t>
      </w:r>
      <w:r>
        <w:rPr>
          <w:rFonts w:hint="eastAsia" w:asciiTheme="minorEastAsia" w:hAnsiTheme="minorEastAsia" w:eastAsiaTheme="minorEastAsia" w:cstheme="minorEastAsia"/>
          <w:color w:val="000000" w:themeColor="text1"/>
          <w:highlight w:val="none"/>
          <w:lang w:val="zh-CN"/>
          <w14:textFill>
            <w14:solidFill>
              <w14:schemeClr w14:val="tx1"/>
            </w14:solidFill>
          </w14:textFill>
        </w:rPr>
        <w:t>.</w:t>
      </w:r>
      <w:bookmarkStart w:id="128" w:name="_Toc319917951"/>
      <w:r>
        <w:rPr>
          <w:rFonts w:hint="eastAsia" w:asciiTheme="minorEastAsia" w:hAnsiTheme="minorEastAsia" w:eastAsiaTheme="minorEastAsia" w:cstheme="minorEastAsia"/>
          <w:color w:val="000000" w:themeColor="text1"/>
          <w:highlight w:val="none"/>
          <w14:textFill>
            <w14:solidFill>
              <w14:schemeClr w14:val="tx1"/>
            </w14:solidFill>
          </w14:textFill>
        </w:rPr>
        <w:t>7</w:t>
      </w:r>
      <w:r>
        <w:rPr>
          <w:rFonts w:hint="eastAsia" w:asciiTheme="minorEastAsia" w:hAnsiTheme="minorEastAsia" w:eastAsiaTheme="minorEastAsia" w:cstheme="minorEastAsia"/>
          <w:b/>
          <w:color w:val="000000" w:themeColor="text1"/>
          <w:highlight w:val="none"/>
          <w:u w:val="double"/>
          <w14:textFill>
            <w14:solidFill>
              <w14:schemeClr w14:val="tx1"/>
            </w14:solidFill>
          </w14:textFill>
        </w:rPr>
        <w:t>投标人的投标报价不得超过招标人公布的最高投标限价。本项目为限额设计，工程结算总造价不得超过中标价。</w:t>
      </w:r>
    </w:p>
    <w:p w14:paraId="41AC832C">
      <w:pPr>
        <w:spacing w:line="360" w:lineRule="auto"/>
        <w:ind w:firstLine="570"/>
        <w:rPr>
          <w:rFonts w:hint="eastAsia" w:asciiTheme="minorEastAsia" w:hAnsiTheme="minorEastAsia" w:eastAsiaTheme="minorEastAsia" w:cstheme="minorEastAsia"/>
          <w:color w:val="000000" w:themeColor="text1"/>
          <w:highlight w:val="none"/>
          <w:lang w:val="zh-CN"/>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9.8</w:t>
      </w:r>
      <w:r>
        <w:rPr>
          <w:rFonts w:hint="eastAsia" w:asciiTheme="minorEastAsia" w:hAnsiTheme="minorEastAsia" w:eastAsiaTheme="minorEastAsia" w:cstheme="minorEastAsia"/>
          <w:b/>
          <w:color w:val="000000" w:themeColor="text1"/>
          <w:highlight w:val="none"/>
          <w:lang w:val="zh-CN"/>
          <w14:textFill>
            <w14:solidFill>
              <w14:schemeClr w14:val="tx1"/>
            </w14:solidFill>
          </w14:textFill>
        </w:rPr>
        <w:t>投标单位应充分考虑本招标文件“第二章 拟签订合同的主要条款”所列的结算原则进行投标及报价。</w:t>
      </w:r>
      <w:bookmarkEnd w:id="128"/>
    </w:p>
    <w:p w14:paraId="1C9FDD9A">
      <w:pPr>
        <w:spacing w:line="360" w:lineRule="auto"/>
        <w:ind w:firstLine="570"/>
        <w:rPr>
          <w:rFonts w:hint="eastAsia" w:asciiTheme="minorEastAsia" w:hAnsiTheme="minorEastAsia" w:eastAsiaTheme="minorEastAsia" w:cstheme="minorEastAsia"/>
          <w:color w:val="000000" w:themeColor="text1"/>
          <w:highlight w:val="none"/>
          <w:lang w:val="zh-CN"/>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9</w:t>
      </w:r>
      <w:r>
        <w:rPr>
          <w:rFonts w:hint="eastAsia" w:asciiTheme="minorEastAsia" w:hAnsiTheme="minorEastAsia" w:eastAsiaTheme="minorEastAsia" w:cstheme="minorEastAsia"/>
          <w:color w:val="000000" w:themeColor="text1"/>
          <w:highlight w:val="none"/>
          <w:lang w:val="zh-CN"/>
          <w14:textFill>
            <w14:solidFill>
              <w14:schemeClr w14:val="tx1"/>
            </w14:solidFill>
          </w14:textFill>
        </w:rPr>
        <w:t>.</w:t>
      </w:r>
      <w:r>
        <w:rPr>
          <w:rFonts w:hint="eastAsia" w:asciiTheme="minorEastAsia" w:hAnsiTheme="minorEastAsia" w:eastAsiaTheme="minorEastAsia" w:cstheme="minorEastAsia"/>
          <w:color w:val="000000" w:themeColor="text1"/>
          <w:highlight w:val="none"/>
          <w14:textFill>
            <w14:solidFill>
              <w14:schemeClr w14:val="tx1"/>
            </w14:solidFill>
          </w14:textFill>
        </w:rPr>
        <w:t>9</w:t>
      </w:r>
      <w:r>
        <w:rPr>
          <w:rFonts w:hint="eastAsia" w:asciiTheme="minorEastAsia" w:hAnsiTheme="minorEastAsia" w:eastAsiaTheme="minorEastAsia" w:cstheme="minorEastAsia"/>
          <w:color w:val="000000" w:themeColor="text1"/>
          <w:highlight w:val="none"/>
          <w:lang w:val="zh-CN"/>
          <w14:textFill>
            <w14:solidFill>
              <w14:schemeClr w14:val="tx1"/>
            </w14:solidFill>
          </w14:textFill>
        </w:rPr>
        <w:t>投标人的投标总报价应考虑完成招标文件中招标规模、内容所规定的所有工程及设备的费用，并承担结算原则中规定的一切风险，还应考虑预算编制费、报建和施工时应由施工单位承担的一切费用。各项费用的主要内容及其报价方式：</w:t>
      </w:r>
      <w:bookmarkStart w:id="129" w:name="_Toc18903"/>
      <w:bookmarkStart w:id="130" w:name="_Toc29402"/>
      <w:bookmarkStart w:id="131" w:name="_Toc3872"/>
      <w:bookmarkStart w:id="132" w:name="_Toc13707"/>
      <w:bookmarkStart w:id="133" w:name="_Toc17803"/>
      <w:bookmarkStart w:id="134" w:name="_Toc57"/>
      <w:bookmarkStart w:id="135" w:name="_Toc15059"/>
      <w:bookmarkStart w:id="136" w:name="_Toc11863"/>
      <w:bookmarkStart w:id="137" w:name="_Toc39136339"/>
      <w:bookmarkStart w:id="138" w:name="_Toc20815"/>
      <w:bookmarkStart w:id="139" w:name="_Toc32012"/>
      <w:bookmarkStart w:id="140" w:name="_Toc11568"/>
      <w:r>
        <w:rPr>
          <w:rFonts w:hint="eastAsia" w:asciiTheme="minorEastAsia" w:hAnsiTheme="minorEastAsia" w:eastAsiaTheme="minorEastAsia" w:cstheme="minorEastAsia"/>
          <w:b/>
          <w:bCs/>
          <w:color w:val="000000" w:themeColor="text1"/>
          <w:highlight w:val="none"/>
          <w:u w:val="single"/>
          <w:lang w:val="zh-CN"/>
          <w14:textFill>
            <w14:solidFill>
              <w14:schemeClr w14:val="tx1"/>
            </w14:solidFill>
          </w14:textFill>
        </w:rPr>
        <w:t>投标人投标报价=设计</w:t>
      </w:r>
      <w:r>
        <w:rPr>
          <w:rFonts w:hint="eastAsia" w:asciiTheme="minorEastAsia" w:hAnsiTheme="minorEastAsia" w:eastAsiaTheme="minorEastAsia" w:cstheme="minorEastAsia"/>
          <w:b/>
          <w:bCs/>
          <w:color w:val="000000" w:themeColor="text1"/>
          <w:highlight w:val="none"/>
          <w:u w:val="single"/>
          <w:lang w:val="zh-CN" w:eastAsia="zh-CN"/>
          <w14:textFill>
            <w14:solidFill>
              <w14:schemeClr w14:val="tx1"/>
            </w14:solidFill>
          </w14:textFill>
        </w:rPr>
        <w:t>费投标报价+</w:t>
      </w:r>
      <w:r>
        <w:rPr>
          <w:rFonts w:hint="eastAsia" w:asciiTheme="minorEastAsia" w:hAnsiTheme="minorEastAsia" w:eastAsiaTheme="minorEastAsia" w:cstheme="minorEastAsia"/>
          <w:b/>
          <w:bCs/>
          <w:color w:val="000000" w:themeColor="text1"/>
          <w:highlight w:val="none"/>
          <w:u w:val="single"/>
          <w:lang w:val="zh-CN"/>
          <w14:textFill>
            <w14:solidFill>
              <w14:schemeClr w14:val="tx1"/>
            </w14:solidFill>
          </w14:textFill>
        </w:rPr>
        <w:t>建安工程费投标报价</w:t>
      </w:r>
      <w:bookmarkEnd w:id="129"/>
      <w:bookmarkEnd w:id="130"/>
      <w:bookmarkEnd w:id="131"/>
      <w:bookmarkEnd w:id="132"/>
      <w:bookmarkEnd w:id="133"/>
      <w:bookmarkEnd w:id="134"/>
      <w:bookmarkEnd w:id="135"/>
      <w:bookmarkEnd w:id="136"/>
      <w:bookmarkEnd w:id="137"/>
      <w:bookmarkEnd w:id="138"/>
      <w:bookmarkEnd w:id="139"/>
      <w:bookmarkEnd w:id="140"/>
    </w:p>
    <w:p w14:paraId="7693C065">
      <w:pPr>
        <w:spacing w:line="360" w:lineRule="auto"/>
        <w:ind w:firstLine="570"/>
        <w:rPr>
          <w:rFonts w:hint="eastAsia" w:asciiTheme="minorEastAsia" w:hAnsiTheme="minorEastAsia" w:eastAsiaTheme="minorEastAsia" w:cstheme="minorEastAsia"/>
          <w:color w:val="000000" w:themeColor="text1"/>
          <w:szCs w:val="24"/>
          <w:highlight w:val="none"/>
          <w:lang w:val="zh-CN"/>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9</w:t>
      </w:r>
      <w:r>
        <w:rPr>
          <w:rFonts w:hint="eastAsia" w:asciiTheme="minorEastAsia" w:hAnsiTheme="minorEastAsia" w:eastAsiaTheme="minorEastAsia" w:cstheme="minorEastAsia"/>
          <w:color w:val="000000" w:themeColor="text1"/>
          <w:highlight w:val="none"/>
          <w:lang w:val="zh-CN"/>
          <w14:textFill>
            <w14:solidFill>
              <w14:schemeClr w14:val="tx1"/>
            </w14:solidFill>
          </w14:textFill>
        </w:rPr>
        <w:t>.</w:t>
      </w:r>
      <w:r>
        <w:rPr>
          <w:rFonts w:hint="eastAsia" w:asciiTheme="minorEastAsia" w:hAnsiTheme="minorEastAsia" w:eastAsiaTheme="minorEastAsia" w:cstheme="minorEastAsia"/>
          <w:color w:val="000000" w:themeColor="text1"/>
          <w:highlight w:val="none"/>
          <w14:textFill>
            <w14:solidFill>
              <w14:schemeClr w14:val="tx1"/>
            </w14:solidFill>
          </w14:textFill>
        </w:rPr>
        <w:t>9</w:t>
      </w:r>
      <w:r>
        <w:rPr>
          <w:rFonts w:hint="eastAsia" w:asciiTheme="minorEastAsia" w:hAnsiTheme="minorEastAsia" w:eastAsiaTheme="minorEastAsia" w:cstheme="minorEastAsia"/>
          <w:color w:val="000000" w:themeColor="text1"/>
          <w:highlight w:val="none"/>
          <w:lang w:val="zh-CN"/>
          <w14:textFill>
            <w14:solidFill>
              <w14:schemeClr w14:val="tx1"/>
            </w14:solidFill>
          </w14:textFill>
        </w:rPr>
        <w:t>.1</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设计</w:t>
      </w:r>
      <w:r>
        <w:rPr>
          <w:rFonts w:hint="eastAsia" w:asciiTheme="minorEastAsia" w:hAnsiTheme="minorEastAsia" w:eastAsiaTheme="minorEastAsia" w:cstheme="minorEastAsia"/>
          <w:color w:val="000000" w:themeColor="text1"/>
          <w:highlight w:val="none"/>
          <w:lang w:val="zh-CN"/>
          <w14:textFill>
            <w14:solidFill>
              <w14:schemeClr w14:val="tx1"/>
            </w14:solidFill>
          </w14:textFill>
        </w:rPr>
        <w:t>费投标报价</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w:t>
      </w:r>
      <w:r>
        <w:rPr>
          <w:rFonts w:hint="eastAsia" w:asciiTheme="minorEastAsia" w:hAnsiTheme="minorEastAsia" w:eastAsiaTheme="minorEastAsia" w:cstheme="minorEastAsia"/>
          <w:color w:val="000000" w:themeColor="text1"/>
          <w:szCs w:val="24"/>
          <w:highlight w:val="none"/>
          <w:lang w:val="zh-CN"/>
          <w14:textFill>
            <w14:solidFill>
              <w14:schemeClr w14:val="tx1"/>
            </w14:solidFill>
          </w14:textFill>
        </w:rPr>
        <w:t>在最高投标限价范围内，投标人自行报总价</w:t>
      </w:r>
      <w:r>
        <w:rPr>
          <w:rFonts w:hint="eastAsia" w:asciiTheme="minorEastAsia" w:hAnsiTheme="minorEastAsia" w:eastAsiaTheme="minorEastAsia" w:cstheme="minorEastAsia"/>
          <w:color w:val="000000" w:themeColor="text1"/>
          <w:szCs w:val="24"/>
          <w:highlight w:val="none"/>
          <w:lang w:val="zh-CN" w:eastAsia="zh-CN"/>
          <w14:textFill>
            <w14:solidFill>
              <w14:schemeClr w14:val="tx1"/>
            </w14:solidFill>
          </w14:textFill>
        </w:rPr>
        <w:t>及投标费率</w:t>
      </w:r>
      <w:r>
        <w:rPr>
          <w:rFonts w:hint="eastAsia" w:asciiTheme="minorEastAsia" w:hAnsiTheme="minorEastAsia" w:eastAsiaTheme="minorEastAsia" w:cstheme="minorEastAsia"/>
          <w:color w:val="000000" w:themeColor="text1"/>
          <w:szCs w:val="24"/>
          <w:highlight w:val="none"/>
          <w:lang w:val="zh-CN"/>
          <w14:textFill>
            <w14:solidFill>
              <w14:schemeClr w14:val="tx1"/>
            </w14:solidFill>
          </w14:textFill>
        </w:rPr>
        <w:t>，</w:t>
      </w:r>
      <w:r>
        <w:rPr>
          <w:rFonts w:hint="eastAsia" w:asciiTheme="minorEastAsia" w:hAnsiTheme="minorEastAsia" w:eastAsiaTheme="minorEastAsia" w:cstheme="minorEastAsia"/>
          <w:color w:val="000000" w:themeColor="text1"/>
          <w:szCs w:val="24"/>
          <w:highlight w:val="none"/>
          <w:lang w:val="zh-CN" w:eastAsia="zh-CN"/>
          <w14:textFill>
            <w14:solidFill>
              <w14:schemeClr w14:val="tx1"/>
            </w14:solidFill>
          </w14:textFill>
        </w:rPr>
        <w:t>按经审定的建安工程费最高投标限价×</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设计</w:t>
      </w:r>
      <w:r>
        <w:rPr>
          <w:rFonts w:hint="eastAsia" w:asciiTheme="minorEastAsia" w:hAnsiTheme="minorEastAsia" w:eastAsiaTheme="minorEastAsia" w:cstheme="minorEastAsia"/>
          <w:color w:val="000000" w:themeColor="text1"/>
          <w:szCs w:val="24"/>
          <w:highlight w:val="none"/>
          <w:lang w:val="en-US" w:eastAsia="zh-CN"/>
          <w14:textFill>
            <w14:solidFill>
              <w14:schemeClr w14:val="tx1"/>
            </w14:solidFill>
          </w14:textFill>
        </w:rPr>
        <w:t>费投标费率进行结算</w:t>
      </w:r>
      <w:r>
        <w:rPr>
          <w:rFonts w:hint="eastAsia" w:asciiTheme="minorEastAsia" w:hAnsiTheme="minorEastAsia" w:eastAsiaTheme="minorEastAsia" w:cstheme="minorEastAsia"/>
          <w:color w:val="000000" w:themeColor="text1"/>
          <w:szCs w:val="24"/>
          <w:highlight w:val="none"/>
          <w:lang w:val="zh-CN"/>
          <w14:textFill>
            <w14:solidFill>
              <w14:schemeClr w14:val="tx1"/>
            </w14:solidFill>
          </w14:textFill>
        </w:rPr>
        <w:t>。</w:t>
      </w:r>
      <w:r>
        <w:rPr>
          <w:rFonts w:hint="eastAsia" w:asciiTheme="minorEastAsia" w:hAnsiTheme="minorEastAsia" w:eastAsiaTheme="minorEastAsia" w:cstheme="minorEastAsia"/>
          <w:color w:val="000000" w:themeColor="text1"/>
          <w:szCs w:val="24"/>
          <w:highlight w:val="none"/>
          <w:lang w:val="en-US" w:eastAsia="zh-CN"/>
          <w14:textFill>
            <w14:solidFill>
              <w14:schemeClr w14:val="tx1"/>
            </w14:solidFill>
          </w14:textFill>
        </w:rPr>
        <w:t>设计费</w:t>
      </w:r>
      <w:r>
        <w:rPr>
          <w:rFonts w:hint="eastAsia" w:asciiTheme="minorEastAsia" w:hAnsiTheme="minorEastAsia" w:eastAsiaTheme="minorEastAsia" w:cstheme="minorEastAsia"/>
          <w:color w:val="000000" w:themeColor="text1"/>
          <w:szCs w:val="24"/>
          <w:highlight w:val="none"/>
          <w:lang w:val="zh-CN" w:eastAsia="zh-CN"/>
          <w14:textFill>
            <w14:solidFill>
              <w14:schemeClr w14:val="tx1"/>
            </w14:solidFill>
          </w14:textFill>
        </w:rPr>
        <w:t>报价应包含各</w:t>
      </w:r>
      <w:r>
        <w:rPr>
          <w:rFonts w:hint="eastAsia" w:asciiTheme="minorEastAsia" w:hAnsiTheme="minorEastAsia" w:eastAsiaTheme="minorEastAsia" w:cstheme="minorEastAsia"/>
          <w:color w:val="000000" w:themeColor="text1"/>
          <w:szCs w:val="24"/>
          <w:highlight w:val="none"/>
          <w:lang w:val="zh-CN"/>
          <w14:textFill>
            <w14:solidFill>
              <w14:schemeClr w14:val="tx1"/>
            </w14:solidFill>
          </w14:textFill>
        </w:rPr>
        <w:t>个不同专业的</w:t>
      </w:r>
      <w:r>
        <w:rPr>
          <w:rFonts w:hint="eastAsia" w:asciiTheme="minorEastAsia" w:hAnsiTheme="minorEastAsia" w:eastAsiaTheme="minorEastAsia" w:cstheme="minorEastAsia"/>
          <w:color w:val="000000" w:themeColor="text1"/>
          <w:szCs w:val="24"/>
          <w:highlight w:val="none"/>
          <w:lang w:val="en-US" w:eastAsia="zh-CN"/>
          <w14:textFill>
            <w14:solidFill>
              <w14:schemeClr w14:val="tx1"/>
            </w14:solidFill>
          </w14:textFill>
        </w:rPr>
        <w:t>施工图</w:t>
      </w:r>
      <w:r>
        <w:rPr>
          <w:rFonts w:hint="eastAsia" w:asciiTheme="minorEastAsia" w:hAnsiTheme="minorEastAsia" w:eastAsiaTheme="minorEastAsia" w:cstheme="minorEastAsia"/>
          <w:color w:val="000000" w:themeColor="text1"/>
          <w:szCs w:val="24"/>
          <w:highlight w:val="none"/>
          <w:lang w:val="zh-CN"/>
          <w14:textFill>
            <w14:solidFill>
              <w14:schemeClr w14:val="tx1"/>
            </w14:solidFill>
          </w14:textFill>
        </w:rPr>
        <w:t>设计费用、进行优化设计或修改设计所增加的设计费用、各项专家评审的专家费用。若中标单位不具备专业设计资质的，需经招标人同意后，委托有相应资质的单位进行设计，所产生的费用由投标人承担。</w:t>
      </w:r>
    </w:p>
    <w:p w14:paraId="6B2DF3DD">
      <w:pPr>
        <w:spacing w:line="360" w:lineRule="auto"/>
        <w:ind w:firstLine="570"/>
        <w:rPr>
          <w:rFonts w:hint="eastAsia" w:asciiTheme="minorEastAsia" w:hAnsiTheme="minorEastAsia" w:eastAsiaTheme="minorEastAsia" w:cstheme="minorEastAsia"/>
          <w:b/>
          <w:bCs/>
          <w:color w:val="000000" w:themeColor="text1"/>
          <w:szCs w:val="24"/>
          <w:highlight w:val="none"/>
          <w:u w:val="single"/>
          <w:lang w:val="zh-CN" w:eastAsia="zh-CN"/>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u w:val="single"/>
          <w:lang w:val="zh-CN" w:eastAsia="zh-CN"/>
          <w14:textFill>
            <w14:solidFill>
              <w14:schemeClr w14:val="tx1"/>
            </w14:solidFill>
          </w14:textFill>
        </w:rPr>
        <w:t>设计</w:t>
      </w:r>
      <w:r>
        <w:rPr>
          <w:rFonts w:hint="eastAsia" w:asciiTheme="minorEastAsia" w:hAnsiTheme="minorEastAsia" w:eastAsiaTheme="minorEastAsia" w:cstheme="minorEastAsia"/>
          <w:b/>
          <w:bCs/>
          <w:color w:val="000000" w:themeColor="text1"/>
          <w:szCs w:val="24"/>
          <w:highlight w:val="none"/>
          <w:u w:val="single"/>
          <w:lang w:val="zh-CN"/>
          <w14:textFill>
            <w14:solidFill>
              <w14:schemeClr w14:val="tx1"/>
            </w14:solidFill>
          </w14:textFill>
        </w:rPr>
        <w:t>费投标报价</w:t>
      </w:r>
      <w:r>
        <w:rPr>
          <w:rFonts w:hint="eastAsia" w:asciiTheme="minorEastAsia" w:hAnsiTheme="minorEastAsia" w:eastAsiaTheme="minorEastAsia" w:cstheme="minorEastAsia"/>
          <w:b/>
          <w:bCs/>
          <w:color w:val="000000" w:themeColor="text1"/>
          <w:szCs w:val="24"/>
          <w:highlight w:val="none"/>
          <w:u w:val="single"/>
          <w:lang w:val="en-US" w:eastAsia="zh-CN"/>
          <w14:textFill>
            <w14:solidFill>
              <w14:schemeClr w14:val="tx1"/>
            </w14:solidFill>
          </w14:textFill>
        </w:rPr>
        <w:t>=报价基数</w:t>
      </w:r>
      <w:r>
        <w:rPr>
          <w:rFonts w:hint="eastAsia" w:asciiTheme="minorEastAsia" w:hAnsiTheme="minorEastAsia" w:eastAsiaTheme="minorEastAsia" w:cstheme="minorEastAsia"/>
          <w:b/>
          <w:bCs/>
          <w:color w:val="000000" w:themeColor="text1"/>
          <w:szCs w:val="24"/>
          <w:highlight w:val="none"/>
          <w:u w:val="single"/>
          <w14:textFill>
            <w14:solidFill>
              <w14:schemeClr w14:val="tx1"/>
            </w14:solidFill>
          </w14:textFill>
        </w:rPr>
        <w:t>×</w:t>
      </w:r>
      <w:r>
        <w:rPr>
          <w:rFonts w:hint="eastAsia" w:asciiTheme="minorEastAsia" w:hAnsiTheme="minorEastAsia" w:eastAsiaTheme="minorEastAsia" w:cstheme="minorEastAsia"/>
          <w:b/>
          <w:bCs/>
          <w:color w:val="000000" w:themeColor="text1"/>
          <w:szCs w:val="24"/>
          <w:highlight w:val="none"/>
          <w:u w:val="single"/>
          <w:lang w:eastAsia="zh-CN"/>
          <w14:textFill>
            <w14:solidFill>
              <w14:schemeClr w14:val="tx1"/>
            </w14:solidFill>
          </w14:textFill>
        </w:rPr>
        <w:t>投标费率</w:t>
      </w:r>
    </w:p>
    <w:p w14:paraId="39988296">
      <w:pPr>
        <w:spacing w:line="360" w:lineRule="auto"/>
        <w:ind w:firstLine="570"/>
        <w:rPr>
          <w:rFonts w:hint="eastAsia" w:asciiTheme="minorEastAsia" w:hAnsiTheme="minorEastAsia" w:eastAsiaTheme="minorEastAsia" w:cstheme="minorEastAsia"/>
          <w:b/>
          <w:bCs/>
          <w:color w:val="000000" w:themeColor="text1"/>
          <w:highlight w:val="none"/>
          <w:lang w:val="zh-CN"/>
          <w14:textFill>
            <w14:solidFill>
              <w14:schemeClr w14:val="tx1"/>
            </w14:solidFill>
          </w14:textFill>
        </w:rPr>
      </w:pPr>
      <w:r>
        <w:rPr>
          <w:rFonts w:hint="eastAsia" w:asciiTheme="minorEastAsia" w:hAnsiTheme="minorEastAsia" w:eastAsiaTheme="minorEastAsia" w:cstheme="minorEastAsia"/>
          <w:b/>
          <w:bCs/>
          <w:color w:val="000000" w:themeColor="text1"/>
          <w:highlight w:val="none"/>
          <w:lang w:val="zh-CN"/>
          <w14:textFill>
            <w14:solidFill>
              <w14:schemeClr w14:val="tx1"/>
            </w14:solidFill>
          </w14:textFill>
        </w:rPr>
        <w:t>本项目在实施过程中可能出现设计成果已通过确认，仍需进行设计变更、修改、调整等情况，不另行增加设计费。</w:t>
      </w:r>
    </w:p>
    <w:p w14:paraId="374D821A">
      <w:pPr>
        <w:spacing w:line="360" w:lineRule="auto"/>
        <w:ind w:firstLine="570"/>
        <w:rPr>
          <w:rFonts w:hint="eastAsia" w:asciiTheme="minorEastAsia" w:hAnsiTheme="minorEastAsia" w:eastAsiaTheme="minorEastAsia" w:cstheme="minorEastAsia"/>
          <w:color w:val="000000" w:themeColor="text1"/>
          <w:szCs w:val="24"/>
          <w:highlight w:val="none"/>
          <w:lang w:val="zh-CN"/>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lang w:val="zh-CN"/>
          <w14:textFill>
            <w14:solidFill>
              <w14:schemeClr w14:val="tx1"/>
            </w14:solidFill>
          </w14:textFill>
        </w:rPr>
        <w:t>9.9.</w:t>
      </w:r>
      <w:r>
        <w:rPr>
          <w:rFonts w:hint="eastAsia" w:asciiTheme="minorEastAsia" w:hAnsiTheme="minorEastAsia" w:eastAsiaTheme="minorEastAsia" w:cstheme="minorEastAsia"/>
          <w:color w:val="000000" w:themeColor="text1"/>
          <w:szCs w:val="24"/>
          <w:highlight w:val="none"/>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szCs w:val="24"/>
          <w:highlight w:val="none"/>
          <w:lang w:val="zh-CN"/>
          <w14:textFill>
            <w14:solidFill>
              <w14:schemeClr w14:val="tx1"/>
            </w14:solidFill>
          </w14:textFill>
        </w:rPr>
        <w:t>建安工程费用：采用</w:t>
      </w:r>
      <w:r>
        <w:rPr>
          <w:rFonts w:hint="eastAsia" w:asciiTheme="minorEastAsia" w:hAnsiTheme="minorEastAsia" w:eastAsiaTheme="minorEastAsia" w:cstheme="minorEastAsia"/>
          <w:color w:val="000000" w:themeColor="text1"/>
          <w:szCs w:val="24"/>
          <w:highlight w:val="none"/>
          <w:lang w:val="en-US" w:eastAsia="zh-CN"/>
          <w14:textFill>
            <w14:solidFill>
              <w14:schemeClr w14:val="tx1"/>
            </w14:solidFill>
          </w14:textFill>
        </w:rPr>
        <w:t>投标</w:t>
      </w:r>
      <w:r>
        <w:rPr>
          <w:rFonts w:hint="eastAsia" w:asciiTheme="minorEastAsia" w:hAnsiTheme="minorEastAsia" w:eastAsiaTheme="minorEastAsia" w:cstheme="minorEastAsia"/>
          <w:color w:val="000000" w:themeColor="text1"/>
          <w:szCs w:val="24"/>
          <w:highlight w:val="none"/>
          <w:lang w:val="zh-CN"/>
          <w14:textFill>
            <w14:solidFill>
              <w14:schemeClr w14:val="tx1"/>
            </w14:solidFill>
          </w14:textFill>
        </w:rPr>
        <w:t>下浮率</w:t>
      </w:r>
      <w:r>
        <w:rPr>
          <w:rFonts w:hint="eastAsia" w:ascii="宋体" w:hAnsi="宋体" w:eastAsia="宋体" w:cs="宋体"/>
          <w:color w:val="000000" w:themeColor="text1"/>
          <w:sz w:val="24"/>
          <w:szCs w:val="24"/>
          <w:highlight w:val="none"/>
          <w:lang w:val="en-US" w:eastAsia="zh-CN"/>
          <w14:textFill>
            <w14:solidFill>
              <w14:schemeClr w14:val="tx1"/>
            </w14:solidFill>
          </w14:textFill>
        </w:rPr>
        <w:t>和投标报价</w:t>
      </w:r>
      <w:r>
        <w:rPr>
          <w:rFonts w:hint="eastAsia" w:asciiTheme="minorEastAsia" w:hAnsiTheme="minorEastAsia" w:eastAsiaTheme="minorEastAsia" w:cstheme="minorEastAsia"/>
          <w:color w:val="000000" w:themeColor="text1"/>
          <w:szCs w:val="24"/>
          <w:highlight w:val="none"/>
          <w:lang w:val="zh-CN"/>
          <w14:textFill>
            <w14:solidFill>
              <w14:schemeClr w14:val="tx1"/>
            </w14:solidFill>
          </w14:textFill>
        </w:rPr>
        <w:t>的方式进行报价，结算时按招标文件有关结算原则计算后再按建安工程费</w:t>
      </w:r>
      <w:r>
        <w:rPr>
          <w:rFonts w:hint="eastAsia" w:asciiTheme="minorEastAsia" w:hAnsiTheme="minorEastAsia" w:eastAsiaTheme="minorEastAsia" w:cstheme="minorEastAsia"/>
          <w:color w:val="000000" w:themeColor="text1"/>
          <w:szCs w:val="24"/>
          <w:highlight w:val="none"/>
          <w:lang w:val="en-US" w:eastAsia="zh-CN"/>
          <w14:textFill>
            <w14:solidFill>
              <w14:schemeClr w14:val="tx1"/>
            </w14:solidFill>
          </w14:textFill>
        </w:rPr>
        <w:t>投</w:t>
      </w:r>
      <w:r>
        <w:rPr>
          <w:rFonts w:hint="eastAsia" w:asciiTheme="minorEastAsia" w:hAnsiTheme="minorEastAsia" w:eastAsiaTheme="minorEastAsia" w:cstheme="minorEastAsia"/>
          <w:color w:val="000000" w:themeColor="text1"/>
          <w:szCs w:val="24"/>
          <w:highlight w:val="none"/>
          <w:lang w:val="zh-CN"/>
          <w14:textFill>
            <w14:solidFill>
              <w14:schemeClr w14:val="tx1"/>
            </w14:solidFill>
          </w14:textFill>
        </w:rPr>
        <w:t>标下浮率下浮。</w:t>
      </w:r>
    </w:p>
    <w:p w14:paraId="4E61EC64">
      <w:pPr>
        <w:spacing w:line="360" w:lineRule="auto"/>
        <w:ind w:firstLine="570"/>
        <w:rPr>
          <w:rFonts w:hint="eastAsia" w:asciiTheme="minorEastAsia" w:hAnsiTheme="minorEastAsia" w:eastAsiaTheme="minorEastAsia" w:cstheme="minorEastAsia"/>
          <w:b/>
          <w:bCs/>
          <w:color w:val="000000" w:themeColor="text1"/>
          <w:szCs w:val="24"/>
          <w:highlight w:val="none"/>
          <w:u w:val="single"/>
          <w:lang w:val="zh-CN" w:eastAsia="zh-CN"/>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u w:val="single"/>
          <w:lang w:val="zh-CN" w:eastAsia="zh-CN"/>
          <w14:textFill>
            <w14:solidFill>
              <w14:schemeClr w14:val="tx1"/>
            </w14:solidFill>
          </w14:textFill>
        </w:rPr>
        <w:t>建安工程费投标报价=报价基数×（1-投标下浮率）</w:t>
      </w:r>
    </w:p>
    <w:p w14:paraId="64C960E0">
      <w:pPr>
        <w:spacing w:line="360" w:lineRule="auto"/>
        <w:ind w:firstLine="570"/>
        <w:rPr>
          <w:rFonts w:hint="eastAsia" w:asciiTheme="minorEastAsia" w:hAnsiTheme="minorEastAsia" w:eastAsiaTheme="minorEastAsia" w:cstheme="minorEastAsia"/>
          <w:color w:val="000000" w:themeColor="text1"/>
          <w:szCs w:val="24"/>
          <w:highlight w:val="none"/>
          <w:lang w:val="zh-CN"/>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lang w:val="zh-CN"/>
          <w14:textFill>
            <w14:solidFill>
              <w14:schemeClr w14:val="tx1"/>
            </w14:solidFill>
          </w14:textFill>
        </w:rPr>
        <w:t>如投标人的建安工程费用投标报价下浮率高于15%时，投标人必须在投标报价书中另行作出详细合理的书面说明并提供相关证明材料供评标委员会评审，否则评标委员会将认定该投标人以低于成本报价竞标。</w:t>
      </w:r>
    </w:p>
    <w:p w14:paraId="2357C26F">
      <w:pPr>
        <w:spacing w:line="360" w:lineRule="auto"/>
        <w:ind w:firstLine="570"/>
        <w:rPr>
          <w:rFonts w:hint="eastAsia" w:asciiTheme="minorEastAsia" w:hAnsiTheme="minorEastAsia" w:eastAsiaTheme="minorEastAsia" w:cstheme="minorEastAsia"/>
          <w:color w:val="000000" w:themeColor="text1"/>
          <w:szCs w:val="24"/>
          <w:highlight w:val="none"/>
          <w:lang w:val="zh-CN"/>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lang w:val="zh-CN"/>
          <w14:textFill>
            <w14:solidFill>
              <w14:schemeClr w14:val="tx1"/>
            </w14:solidFill>
          </w14:textFill>
        </w:rPr>
        <w:t>建安工程费用的报价应考虑完成招标文件中招标规模、内容及可行性研究报告所规定的所有工程及设备的费用</w:t>
      </w:r>
      <w:r>
        <w:rPr>
          <w:rFonts w:hint="eastAsia" w:asciiTheme="minorEastAsia" w:hAnsiTheme="minorEastAsia" w:eastAsiaTheme="minorEastAsia" w:cstheme="minorEastAsia"/>
          <w:color w:val="000000" w:themeColor="text1"/>
          <w:szCs w:val="24"/>
          <w:highlight w:val="none"/>
          <w:lang w:val="zh-CN" w:eastAsia="zh-CN"/>
          <w14:textFill>
            <w14:solidFill>
              <w14:schemeClr w14:val="tx1"/>
            </w14:solidFill>
          </w14:textFill>
        </w:rPr>
        <w:t>，</w:t>
      </w:r>
      <w:r>
        <w:rPr>
          <w:rFonts w:hint="eastAsia" w:asciiTheme="minorEastAsia" w:hAnsiTheme="minorEastAsia" w:eastAsiaTheme="minorEastAsia" w:cstheme="minorEastAsia"/>
          <w:color w:val="000000" w:themeColor="text1"/>
          <w:szCs w:val="24"/>
          <w:highlight w:val="none"/>
          <w:lang w:val="zh-CN"/>
          <w14:textFill>
            <w14:solidFill>
              <w14:schemeClr w14:val="tx1"/>
            </w14:solidFill>
          </w14:textFill>
        </w:rPr>
        <w:t>并承担结算原则中规定的一切风险，还应考虑报建和施工时应由施工单位承担的一切费用、工程一切检测费用（除有文件规定必须招标人支付的费用外）、工程有关档案和影像等整理或制作及向相关部门交取的费用。</w:t>
      </w:r>
    </w:p>
    <w:p w14:paraId="1D5FF0F3">
      <w:pPr>
        <w:spacing w:line="360" w:lineRule="auto"/>
        <w:ind w:firstLine="588" w:firstLineChars="245"/>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9.9.3</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预算包干费：根据2018年《广东省市政工程综合定额》、2018年《广东省房屋建筑与装饰工程综合定额》、2018年《广东省通用安装工程综合定额》、2018年《广东省园林绿化工程综合定额》，以各专业分部分项的人工费与施工机具费之和为基础计算预算包干费。本工程的预算包干内容包括：按《广东省建设工程计价依据（2018）》相关规定。</w:t>
      </w:r>
    </w:p>
    <w:p w14:paraId="2643E6BF">
      <w:pPr>
        <w:spacing w:line="360" w:lineRule="auto"/>
        <w:ind w:firstLine="588" w:firstLineChars="245"/>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9.9.4</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投标人在投标报价时，自行考虑高温补贴费、施工视频监控系统费用，专业分包的总包服务及配合费，预算（含工程量清单编制费）等，并承担相应风险，结算时不另行计取。</w:t>
      </w:r>
    </w:p>
    <w:p w14:paraId="384FD12F">
      <w:pPr>
        <w:spacing w:line="360" w:lineRule="auto"/>
        <w:ind w:firstLine="588" w:firstLineChars="245"/>
        <w:rPr>
          <w:rFonts w:hint="eastAsia" w:asciiTheme="minorEastAsia" w:hAnsiTheme="minorEastAsia" w:eastAsiaTheme="minorEastAsia" w:cstheme="minorEastAsia"/>
          <w:bCs/>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9</w:t>
      </w:r>
      <w:r>
        <w:rPr>
          <w:rFonts w:hint="eastAsia" w:asciiTheme="minorEastAsia" w:hAnsiTheme="minorEastAsia" w:eastAsiaTheme="minorEastAsia" w:cstheme="minorEastAsia"/>
          <w:color w:val="000000" w:themeColor="text1"/>
          <w:highlight w:val="none"/>
          <w:lang w:val="zh-CN"/>
          <w14:textFill>
            <w14:solidFill>
              <w14:schemeClr w14:val="tx1"/>
            </w14:solidFill>
          </w14:textFill>
        </w:rPr>
        <w:t>.</w:t>
      </w:r>
      <w:r>
        <w:rPr>
          <w:rFonts w:hint="eastAsia" w:asciiTheme="minorEastAsia" w:hAnsiTheme="minorEastAsia" w:eastAsiaTheme="minorEastAsia" w:cstheme="minorEastAsia"/>
          <w:color w:val="000000" w:themeColor="text1"/>
          <w:highlight w:val="none"/>
          <w14:textFill>
            <w14:solidFill>
              <w14:schemeClr w14:val="tx1"/>
            </w14:solidFill>
          </w14:textFill>
        </w:rPr>
        <w:t>9.</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5</w:t>
      </w: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 </w:t>
      </w:r>
      <w:r>
        <w:rPr>
          <w:rFonts w:hint="eastAsia" w:ascii="Arial" w:hAnsi="Arial" w:eastAsia="宋体" w:cs="Arial"/>
          <w:b/>
          <w:color w:val="000000" w:themeColor="text1"/>
          <w:sz w:val="24"/>
          <w:szCs w:val="24"/>
          <w:highlight w:val="none"/>
          <w:u w:val="double"/>
          <w14:textFill>
            <w14:solidFill>
              <w14:schemeClr w14:val="tx1"/>
            </w14:solidFill>
          </w14:textFill>
        </w:rPr>
        <w:t>招标人可根据本项目实际情况对规模及内容进行调整或减少，投标人中标后不得因此调整或减少向招标人索赔，并且必须按调整或减少后的规模及内容完成工程建设。投标人在投标报价时需综合考虑该因素并报价。</w:t>
      </w:r>
    </w:p>
    <w:p w14:paraId="5F1356C9">
      <w:pPr>
        <w:pStyle w:val="38"/>
        <w:keepNext/>
        <w:keepLines/>
        <w:ind w:firstLine="480"/>
        <w:jc w:val="both"/>
        <w:rPr>
          <w:rFonts w:hint="eastAsia" w:asciiTheme="minorEastAsia" w:hAnsiTheme="minorEastAsia" w:eastAsiaTheme="minorEastAsia" w:cstheme="minorEastAsia"/>
          <w:b/>
          <w:color w:val="000000" w:themeColor="text1"/>
          <w:szCs w:val="24"/>
          <w:highlight w:val="none"/>
          <w14:textFill>
            <w14:solidFill>
              <w14:schemeClr w14:val="tx1"/>
            </w14:solidFill>
          </w14:textFill>
        </w:rPr>
      </w:pPr>
      <w:bookmarkStart w:id="141" w:name="_Toc1891"/>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10、最高</w:t>
      </w:r>
      <w:r>
        <w:rPr>
          <w:rFonts w:hint="eastAsia" w:asciiTheme="minorEastAsia" w:hAnsiTheme="minorEastAsia" w:eastAsiaTheme="minorEastAsia" w:cstheme="minorEastAsia"/>
          <w:b/>
          <w:color w:val="000000" w:themeColor="text1"/>
          <w:kern w:val="2"/>
          <w:highlight w:val="none"/>
          <w14:textFill>
            <w14:solidFill>
              <w14:schemeClr w14:val="tx1"/>
            </w14:solidFill>
          </w14:textFill>
        </w:rPr>
        <w:t>投标</w:t>
      </w: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限价的确定</w:t>
      </w:r>
      <w:bookmarkEnd w:id="141"/>
      <w:bookmarkStart w:id="142" w:name="_Hlt69335617"/>
      <w:bookmarkStart w:id="143" w:name="_Hlt121629839"/>
    </w:p>
    <w:p w14:paraId="68640D7E">
      <w:pPr>
        <w:spacing w:line="360" w:lineRule="auto"/>
        <w:ind w:firstLine="480" w:firstLineChars="200"/>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pPr>
      <w:bookmarkStart w:id="144" w:name="_Toc24510"/>
      <w:bookmarkStart w:id="145" w:name="_Toc7307"/>
      <w:bookmarkStart w:id="146" w:name="_Toc15152"/>
      <w:bookmarkStart w:id="147" w:name="_Toc5483"/>
      <w:bookmarkStart w:id="148" w:name="_Toc29734"/>
      <w:bookmarkStart w:id="149" w:name="_Toc32578"/>
      <w:bookmarkStart w:id="150" w:name="_Toc13350"/>
      <w:bookmarkStart w:id="151" w:name="_Toc4604"/>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本项目的最高投标限价为人民币(大写)：</w:t>
      </w:r>
      <w:r>
        <w:rPr>
          <w:rFonts w:hint="eastAsia" w:asciiTheme="minorEastAsia" w:hAnsiTheme="minorEastAsia" w:eastAsiaTheme="minorEastAsia" w:cstheme="minorEastAsia"/>
          <w:snapToGrid w:val="0"/>
          <w:color w:val="000000" w:themeColor="text1"/>
          <w:kern w:val="0"/>
          <w:sz w:val="24"/>
          <w:szCs w:val="24"/>
          <w:highlight w:val="none"/>
          <w:u w:val="single"/>
          <w:lang w:val="en-US" w:eastAsia="zh-CN"/>
          <w14:textFill>
            <w14:solidFill>
              <w14:schemeClr w14:val="tx1"/>
            </w14:solidFill>
          </w14:textFill>
        </w:rPr>
        <w:t>贰仟零玖拾陆万零肆佰元整</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(小写:</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¥20960400.00元</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Cs w:val="21"/>
          <w:highlight w:val="none"/>
          <w:u w:val="none"/>
          <w:lang w:eastAsia="zh-CN"/>
          <w14:textFill>
            <w14:solidFill>
              <w14:schemeClr w14:val="tx1"/>
            </w14:solidFill>
          </w14:textFill>
        </w:rPr>
        <w:t>其中：</w:t>
      </w:r>
      <w:r>
        <w:rPr>
          <w:rFonts w:hint="eastAsia" w:hAnsi="宋体" w:eastAsia="宋体" w:cs="宋体"/>
          <w:color w:val="000000" w:themeColor="text1"/>
          <w:szCs w:val="21"/>
          <w:highlight w:val="none"/>
          <w:u w:val="none"/>
          <w:lang w:val="en-US" w:eastAsia="zh-CN"/>
          <w14:textFill>
            <w14:solidFill>
              <w14:schemeClr w14:val="tx1"/>
            </w14:solidFill>
          </w14:textFill>
        </w:rPr>
        <w:t>设计</w:t>
      </w:r>
      <w:r>
        <w:rPr>
          <w:rFonts w:hint="eastAsia" w:ascii="宋体" w:hAnsi="宋体" w:eastAsia="宋体" w:cs="宋体"/>
          <w:color w:val="000000" w:themeColor="text1"/>
          <w:szCs w:val="21"/>
          <w:highlight w:val="none"/>
          <w:u w:val="none"/>
          <w:lang w:eastAsia="zh-CN"/>
          <w14:textFill>
            <w14:solidFill>
              <w14:schemeClr w14:val="tx1"/>
            </w14:solidFill>
          </w14:textFill>
        </w:rPr>
        <w:t>费：</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¥719400.00元</w:t>
      </w:r>
      <w:r>
        <w:rPr>
          <w:rFonts w:hint="eastAsia" w:ascii="宋体" w:hAnsi="宋体" w:eastAsia="宋体" w:cs="宋体"/>
          <w:color w:val="000000" w:themeColor="text1"/>
          <w:szCs w:val="21"/>
          <w:highlight w:val="none"/>
          <w:u w:val="none"/>
          <w:lang w:val="en-US" w:eastAsia="zh-CN"/>
          <w14:textFill>
            <w14:solidFill>
              <w14:schemeClr w14:val="tx1"/>
            </w14:solidFill>
          </w14:textFill>
        </w:rPr>
        <w:t>、建安工程费：</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¥20241000.00元</w:t>
      </w:r>
      <w:r>
        <w:rPr>
          <w:rFonts w:hint="eastAsia" w:ascii="宋体" w:hAnsi="宋体" w:eastAsia="宋体" w:cs="宋体"/>
          <w:color w:val="000000" w:themeColor="text1"/>
          <w:szCs w:val="21"/>
          <w:highlight w:val="none"/>
          <w:u w:val="none"/>
          <w14:textFill>
            <w14:solidFill>
              <w14:schemeClr w14:val="tx1"/>
            </w14:solidFill>
          </w14:textFill>
        </w:rPr>
        <w:t>。</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具体详见下表：</w:t>
      </w:r>
    </w:p>
    <w:tbl>
      <w:tblPr>
        <w:tblStyle w:val="21"/>
        <w:tblW w:w="9176"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9"/>
        <w:gridCol w:w="1251"/>
        <w:gridCol w:w="1550"/>
        <w:gridCol w:w="1676"/>
        <w:gridCol w:w="1706"/>
        <w:gridCol w:w="2474"/>
      </w:tblGrid>
      <w:tr w14:paraId="4ED4E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519" w:type="dxa"/>
            <w:noWrap w:val="0"/>
            <w:vAlign w:val="center"/>
          </w:tcPr>
          <w:p w14:paraId="2D94BCEA">
            <w:pPr>
              <w:widowControl/>
              <w:jc w:val="cente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序号</w:t>
            </w:r>
          </w:p>
        </w:tc>
        <w:tc>
          <w:tcPr>
            <w:tcW w:w="1251" w:type="dxa"/>
            <w:noWrap w:val="0"/>
            <w:vAlign w:val="center"/>
          </w:tcPr>
          <w:p w14:paraId="2305ED8E">
            <w:pPr>
              <w:widowControl/>
              <w:jc w:val="cente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项目名称</w:t>
            </w:r>
          </w:p>
        </w:tc>
        <w:tc>
          <w:tcPr>
            <w:tcW w:w="1550" w:type="dxa"/>
            <w:noWrap w:val="0"/>
            <w:vAlign w:val="center"/>
          </w:tcPr>
          <w:p w14:paraId="52A2D1AE">
            <w:pPr>
              <w:widowControl/>
              <w:jc w:val="cente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报价基数（元）</w:t>
            </w:r>
          </w:p>
        </w:tc>
        <w:tc>
          <w:tcPr>
            <w:tcW w:w="1676" w:type="dxa"/>
            <w:noWrap w:val="0"/>
            <w:vAlign w:val="center"/>
          </w:tcPr>
          <w:p w14:paraId="2EDA1167">
            <w:pPr>
              <w:widowControl/>
              <w:jc w:val="cente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1"/>
                <w:sz w:val="24"/>
                <w:szCs w:val="24"/>
                <w:highlight w:val="none"/>
                <w:lang w:val="zh-CN"/>
                <w14:textFill>
                  <w14:solidFill>
                    <w14:schemeClr w14:val="tx1"/>
                  </w14:solidFill>
                </w14:textFill>
              </w:rPr>
              <w:t>投标费率</w:t>
            </w:r>
            <w:r>
              <w:rPr>
                <w:rFonts w:hint="eastAsia" w:asciiTheme="minorEastAsia" w:hAnsiTheme="minorEastAsia" w:eastAsiaTheme="minorEastAsia" w:cstheme="minorEastAsia"/>
                <w:color w:val="000000" w:themeColor="text1"/>
                <w:kern w:val="1"/>
                <w:sz w:val="24"/>
                <w:szCs w:val="24"/>
                <w:highlight w:val="none"/>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投标下浮</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率</w:t>
            </w:r>
          </w:p>
        </w:tc>
        <w:tc>
          <w:tcPr>
            <w:tcW w:w="1706" w:type="dxa"/>
            <w:noWrap w:val="0"/>
            <w:vAlign w:val="center"/>
          </w:tcPr>
          <w:p w14:paraId="7F29E108">
            <w:pPr>
              <w:widowControl/>
              <w:jc w:val="cente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最高投标限价（元）</w:t>
            </w:r>
          </w:p>
        </w:tc>
        <w:tc>
          <w:tcPr>
            <w:tcW w:w="2474" w:type="dxa"/>
            <w:noWrap w:val="0"/>
            <w:vAlign w:val="center"/>
          </w:tcPr>
          <w:p w14:paraId="07408ACA">
            <w:pPr>
              <w:widowControl/>
              <w:jc w:val="cente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备注</w:t>
            </w:r>
          </w:p>
        </w:tc>
      </w:tr>
      <w:tr w14:paraId="7C2A2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519" w:type="dxa"/>
            <w:noWrap w:val="0"/>
            <w:vAlign w:val="center"/>
          </w:tcPr>
          <w:p w14:paraId="6B76A406">
            <w:pPr>
              <w:widowControl/>
              <w:jc w:val="cente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w:t>
            </w:r>
          </w:p>
        </w:tc>
        <w:tc>
          <w:tcPr>
            <w:tcW w:w="1251" w:type="dxa"/>
            <w:noWrap w:val="0"/>
            <w:vAlign w:val="center"/>
          </w:tcPr>
          <w:p w14:paraId="5F06520E">
            <w:pPr>
              <w:widowControl/>
              <w:ind w:right="-122" w:rightChars="-51"/>
              <w:jc w:val="cente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设计费</w:t>
            </w:r>
          </w:p>
        </w:tc>
        <w:tc>
          <w:tcPr>
            <w:tcW w:w="1550" w:type="dxa"/>
            <w:noWrap w:val="0"/>
            <w:vAlign w:val="center"/>
          </w:tcPr>
          <w:p w14:paraId="745C4D48">
            <w:pPr>
              <w:widowControl/>
              <w:jc w:val="center"/>
              <w:rPr>
                <w:rFonts w:hint="default"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719400.00</w:t>
            </w:r>
          </w:p>
        </w:tc>
        <w:tc>
          <w:tcPr>
            <w:tcW w:w="1676" w:type="dxa"/>
            <w:noWrap w:val="0"/>
            <w:vAlign w:val="center"/>
          </w:tcPr>
          <w:p w14:paraId="6D34F166">
            <w:pPr>
              <w:widowControl/>
              <w:jc w:val="cente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r>
              <w:rPr>
                <w:rFonts w:hint="eastAsia" w:ascii="Arial" w:hAnsi="Arial" w:cs="Arial" w:eastAsiaTheme="minorEastAsia"/>
                <w:color w:val="000000" w:themeColor="text1"/>
                <w:kern w:val="0"/>
                <w:sz w:val="24"/>
                <w:szCs w:val="24"/>
                <w:highlight w:val="none"/>
                <w:lang w:val="en-US" w:eastAsia="zh-CN"/>
                <w14:textFill>
                  <w14:solidFill>
                    <w14:schemeClr w14:val="tx1"/>
                  </w14:solidFill>
                </w14:textFill>
              </w:rPr>
              <w:t>投标费率</w:t>
            </w:r>
            <w:r>
              <w:rPr>
                <w:rFonts w:hint="default" w:ascii="Arial" w:hAnsi="Arial" w:cs="Arial" w:eastAsiaTheme="minorEastAsia"/>
                <w:color w:val="000000" w:themeColor="text1"/>
                <w:kern w:val="0"/>
                <w:sz w:val="24"/>
                <w:szCs w:val="24"/>
                <w:highlight w:val="none"/>
                <w14:textFill>
                  <w14:solidFill>
                    <w14:schemeClr w14:val="tx1"/>
                  </w14:solidFill>
                </w14:textFill>
              </w:rPr>
              <w:t>≤</w:t>
            </w:r>
            <w:r>
              <w:rPr>
                <w:rFonts w:hint="eastAsia" w:asciiTheme="minorEastAsia" w:hAnsiTheme="minorEastAsia" w:cstheme="minorEastAsia"/>
                <w:color w:val="000000" w:themeColor="text1"/>
                <w:kern w:val="0"/>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w:t>
            </w:r>
          </w:p>
        </w:tc>
        <w:tc>
          <w:tcPr>
            <w:tcW w:w="1706" w:type="dxa"/>
            <w:noWrap w:val="0"/>
            <w:vAlign w:val="center"/>
          </w:tcPr>
          <w:p w14:paraId="7A72B69A">
            <w:pPr>
              <w:widowControl/>
              <w:jc w:val="center"/>
              <w:rPr>
                <w:rFonts w:hint="default" w:asciiTheme="minorEastAsia" w:hAnsiTheme="minorEastAsia" w:eastAsiaTheme="minorEastAsia" w:cstheme="minorEastAsia"/>
                <w:color w:val="000000" w:themeColor="text1"/>
                <w:kern w:val="0"/>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719400.00</w:t>
            </w:r>
          </w:p>
        </w:tc>
        <w:tc>
          <w:tcPr>
            <w:tcW w:w="2474" w:type="dxa"/>
            <w:noWrap w:val="0"/>
            <w:vAlign w:val="center"/>
          </w:tcPr>
          <w:p w14:paraId="3ECE0DB4">
            <w:pPr>
              <w:widowControl/>
              <w:jc w:val="cente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按最高投标限价</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范围内</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自行报</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总</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价及</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投标费</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率。报价基数作为暂定量，仅作为投标报价编制依据，不作为结算依据。</w:t>
            </w:r>
          </w:p>
        </w:tc>
      </w:tr>
      <w:tr w14:paraId="675A0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19" w:type="dxa"/>
            <w:noWrap w:val="0"/>
            <w:vAlign w:val="center"/>
          </w:tcPr>
          <w:p w14:paraId="14F79737">
            <w:pPr>
              <w:widowControl/>
              <w:jc w:val="cente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2</w:t>
            </w:r>
          </w:p>
        </w:tc>
        <w:tc>
          <w:tcPr>
            <w:tcW w:w="1251" w:type="dxa"/>
            <w:noWrap w:val="0"/>
            <w:vAlign w:val="center"/>
          </w:tcPr>
          <w:p w14:paraId="231550D9">
            <w:pPr>
              <w:widowControl/>
              <w:jc w:val="cente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建安工程费</w:t>
            </w:r>
          </w:p>
        </w:tc>
        <w:tc>
          <w:tcPr>
            <w:tcW w:w="1550" w:type="dxa"/>
            <w:noWrap w:val="0"/>
            <w:vAlign w:val="center"/>
          </w:tcPr>
          <w:p w14:paraId="07823EB0">
            <w:pPr>
              <w:widowControl/>
              <w:jc w:val="center"/>
              <w:rPr>
                <w:rFonts w:hint="default"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20241000.00</w:t>
            </w:r>
          </w:p>
        </w:tc>
        <w:tc>
          <w:tcPr>
            <w:tcW w:w="1676" w:type="dxa"/>
            <w:noWrap w:val="0"/>
            <w:vAlign w:val="center"/>
          </w:tcPr>
          <w:p w14:paraId="258BC557">
            <w:pPr>
              <w:widowControl/>
              <w:jc w:val="cente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shd w:val="clear"/>
                <w14:textFill>
                  <w14:solidFill>
                    <w14:schemeClr w14:val="tx1"/>
                  </w14:solidFill>
                </w14:textFill>
              </w:rPr>
              <w:t>投标下浮率</w:t>
            </w:r>
            <w:r>
              <w:rPr>
                <w:rFonts w:hint="default" w:ascii="Arial" w:hAnsi="Arial" w:eastAsia="宋体" w:cs="Arial"/>
                <w:color w:val="000000" w:themeColor="text1"/>
                <w:kern w:val="0"/>
                <w:sz w:val="24"/>
                <w:szCs w:val="24"/>
                <w:highlight w:val="none"/>
                <w:shd w:val="clear"/>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kern w:val="0"/>
                <w:sz w:val="24"/>
                <w:szCs w:val="24"/>
                <w:highlight w:val="none"/>
                <w:shd w:val="clear"/>
                <w:lang w:val="en-US" w:eastAsia="zh-CN"/>
                <w14:textFill>
                  <w14:solidFill>
                    <w14:schemeClr w14:val="tx1"/>
                  </w14:solidFill>
                </w14:textFill>
              </w:rPr>
              <w:t>0.00%</w:t>
            </w:r>
          </w:p>
        </w:tc>
        <w:tc>
          <w:tcPr>
            <w:tcW w:w="1706" w:type="dxa"/>
            <w:noWrap w:val="0"/>
            <w:vAlign w:val="center"/>
          </w:tcPr>
          <w:p w14:paraId="08E52D6A">
            <w:pPr>
              <w:widowControl/>
              <w:jc w:val="center"/>
              <w:rPr>
                <w:rFonts w:hint="default" w:asciiTheme="minorEastAsia" w:hAnsiTheme="minorEastAsia" w:eastAsiaTheme="minorEastAsia" w:cstheme="minorEastAsia"/>
                <w:color w:val="000000" w:themeColor="text1"/>
                <w:kern w:val="0"/>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20241000.00</w:t>
            </w:r>
          </w:p>
        </w:tc>
        <w:tc>
          <w:tcPr>
            <w:tcW w:w="2474" w:type="dxa"/>
            <w:noWrap w:val="0"/>
            <w:vAlign w:val="center"/>
          </w:tcPr>
          <w:p w14:paraId="310342DF">
            <w:pPr>
              <w:widowControl/>
              <w:jc w:val="cente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本项目为限额设计，</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工程结算价</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未超过建安工程</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费中标价的</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按实结算，超过建安工程</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费中标价的</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则按建安工程</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费</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中标</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价</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结算。建安工程投标报价=</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报价基数</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×（1-投标下浮率）</w:t>
            </w:r>
          </w:p>
        </w:tc>
      </w:tr>
      <w:tr w14:paraId="74372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519" w:type="dxa"/>
            <w:noWrap w:val="0"/>
            <w:vAlign w:val="center"/>
          </w:tcPr>
          <w:p w14:paraId="2CB42FE5">
            <w:pPr>
              <w:widowControl/>
              <w:jc w:val="cente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pPr>
            <w:r>
              <w:rPr>
                <w:rFonts w:hint="eastAsia" w:asciiTheme="minorEastAsia" w:hAnsiTheme="minorEastAsia" w:cstheme="minorEastAsia"/>
                <w:color w:val="000000" w:themeColor="text1"/>
                <w:kern w:val="0"/>
                <w:sz w:val="24"/>
                <w:szCs w:val="24"/>
                <w:highlight w:val="none"/>
                <w:lang w:val="en-US" w:eastAsia="zh-CN"/>
                <w14:textFill>
                  <w14:solidFill>
                    <w14:schemeClr w14:val="tx1"/>
                  </w14:solidFill>
                </w14:textFill>
              </w:rPr>
              <w:t>3</w:t>
            </w:r>
          </w:p>
        </w:tc>
        <w:tc>
          <w:tcPr>
            <w:tcW w:w="1251" w:type="dxa"/>
            <w:noWrap w:val="0"/>
            <w:vAlign w:val="center"/>
          </w:tcPr>
          <w:p w14:paraId="53270442">
            <w:pPr>
              <w:widowControl/>
              <w:jc w:val="cente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合计（1+</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w:t>
            </w:r>
          </w:p>
        </w:tc>
        <w:tc>
          <w:tcPr>
            <w:tcW w:w="1550" w:type="dxa"/>
            <w:noWrap w:val="0"/>
            <w:vAlign w:val="center"/>
          </w:tcPr>
          <w:p w14:paraId="5D4A2FC3">
            <w:pPr>
              <w:widowControl/>
              <w:jc w:val="cente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w:t>
            </w:r>
          </w:p>
        </w:tc>
        <w:tc>
          <w:tcPr>
            <w:tcW w:w="1676" w:type="dxa"/>
            <w:noWrap w:val="0"/>
            <w:vAlign w:val="center"/>
          </w:tcPr>
          <w:p w14:paraId="7903A0CE">
            <w:pPr>
              <w:widowControl/>
              <w:jc w:val="cente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w:t>
            </w:r>
          </w:p>
        </w:tc>
        <w:tc>
          <w:tcPr>
            <w:tcW w:w="1706" w:type="dxa"/>
            <w:noWrap w:val="0"/>
            <w:vAlign w:val="center"/>
          </w:tcPr>
          <w:p w14:paraId="3ED96BAD">
            <w:pPr>
              <w:widowControl/>
              <w:jc w:val="center"/>
              <w:rPr>
                <w:rFonts w:hint="default" w:asciiTheme="minorEastAsia" w:hAnsiTheme="minorEastAsia" w:eastAsiaTheme="minorEastAsia" w:cstheme="minorEastAsia"/>
                <w:color w:val="000000" w:themeColor="text1"/>
                <w:kern w:val="0"/>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kern w:val="0"/>
                <w:sz w:val="24"/>
                <w:szCs w:val="24"/>
                <w:highlight w:val="none"/>
                <w:u w:val="none"/>
                <w:lang w:val="en-US" w:eastAsia="zh-CN"/>
                <w14:textFill>
                  <w14:solidFill>
                    <w14:schemeClr w14:val="tx1"/>
                  </w14:solidFill>
                </w14:textFill>
              </w:rPr>
              <w:t>20960400.00</w:t>
            </w:r>
          </w:p>
        </w:tc>
        <w:tc>
          <w:tcPr>
            <w:tcW w:w="2474" w:type="dxa"/>
            <w:noWrap w:val="0"/>
            <w:vAlign w:val="center"/>
          </w:tcPr>
          <w:p w14:paraId="58E5CECB">
            <w:pPr>
              <w:widowControl/>
              <w:jc w:val="cente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cstheme="minorEastAsia"/>
                <w:color w:val="000000" w:themeColor="text1"/>
                <w:kern w:val="0"/>
                <w:sz w:val="24"/>
                <w:szCs w:val="24"/>
                <w:highlight w:val="none"/>
                <w:lang w:val="en-US" w:eastAsia="zh-CN"/>
                <w14:textFill>
                  <w14:solidFill>
                    <w14:schemeClr w14:val="tx1"/>
                  </w14:solidFill>
                </w14:textFill>
              </w:rPr>
              <w:t>/</w:t>
            </w:r>
          </w:p>
        </w:tc>
      </w:tr>
    </w:tbl>
    <w:p w14:paraId="72C22DB8">
      <w:pPr>
        <w:spacing w:line="360" w:lineRule="auto"/>
        <w:ind w:firstLine="480" w:firstLineChars="200"/>
        <w:rPr>
          <w:rFonts w:hint="default"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pPr>
    </w:p>
    <w:p w14:paraId="6B5404F4">
      <w:pPr>
        <w:pStyle w:val="38"/>
        <w:keepNext/>
        <w:keepLines/>
        <w:ind w:firstLine="480"/>
        <w:jc w:val="both"/>
        <w:rPr>
          <w:rFonts w:hint="eastAsia" w:asciiTheme="minorEastAsia" w:hAnsiTheme="minorEastAsia" w:eastAsiaTheme="minorEastAsia" w:cstheme="minorEastAsia"/>
          <w:b/>
          <w:color w:val="000000" w:themeColor="text1"/>
          <w:szCs w:val="22"/>
          <w:highlight w:val="none"/>
          <w14:textFill>
            <w14:solidFill>
              <w14:schemeClr w14:val="tx1"/>
            </w14:solidFill>
          </w14:textFill>
        </w:rPr>
      </w:pPr>
      <w:bookmarkStart w:id="152" w:name="_Toc13330"/>
      <w:r>
        <w:rPr>
          <w:rFonts w:hint="eastAsia" w:asciiTheme="minorEastAsia" w:hAnsiTheme="minorEastAsia" w:eastAsiaTheme="minorEastAsia" w:cstheme="minorEastAsia"/>
          <w:b/>
          <w:color w:val="000000" w:themeColor="text1"/>
          <w:szCs w:val="22"/>
          <w:highlight w:val="none"/>
          <w14:textFill>
            <w14:solidFill>
              <w14:schemeClr w14:val="tx1"/>
            </w14:solidFill>
          </w14:textFill>
        </w:rPr>
        <w:t>11</w:t>
      </w:r>
      <w:r>
        <w:rPr>
          <w:rFonts w:hint="eastAsia" w:asciiTheme="minorEastAsia" w:hAnsiTheme="minorEastAsia" w:eastAsiaTheme="minorEastAsia" w:cstheme="minorEastAsia"/>
          <w:b/>
          <w:color w:val="000000" w:themeColor="text1"/>
          <w:szCs w:val="22"/>
          <w:highlight w:val="none"/>
          <w:lang w:eastAsia="zh-CN"/>
          <w14:textFill>
            <w14:solidFill>
              <w14:schemeClr w14:val="tx1"/>
            </w14:solidFill>
          </w14:textFill>
        </w:rPr>
        <w:t>、</w:t>
      </w:r>
      <w:r>
        <w:rPr>
          <w:rFonts w:hint="eastAsia" w:asciiTheme="minorEastAsia" w:hAnsiTheme="minorEastAsia" w:eastAsiaTheme="minorEastAsia" w:cstheme="minorEastAsia"/>
          <w:b/>
          <w:color w:val="000000" w:themeColor="text1"/>
          <w:kern w:val="2"/>
          <w:highlight w:val="none"/>
          <w14:textFill>
            <w14:solidFill>
              <w14:schemeClr w14:val="tx1"/>
            </w14:solidFill>
          </w14:textFill>
        </w:rPr>
        <w:t>投标</w:t>
      </w:r>
      <w:r>
        <w:rPr>
          <w:rFonts w:hint="eastAsia" w:asciiTheme="minorEastAsia" w:hAnsiTheme="minorEastAsia" w:eastAsiaTheme="minorEastAsia" w:cstheme="minorEastAsia"/>
          <w:b/>
          <w:color w:val="000000" w:themeColor="text1"/>
          <w:szCs w:val="22"/>
          <w:highlight w:val="none"/>
          <w14:textFill>
            <w14:solidFill>
              <w14:schemeClr w14:val="tx1"/>
            </w14:solidFill>
          </w14:textFill>
        </w:rPr>
        <w:t>文件的编制</w:t>
      </w:r>
      <w:bookmarkStart w:id="153" w:name="_Hlt69208262"/>
      <w:bookmarkEnd w:id="153"/>
      <w:bookmarkStart w:id="154" w:name="_Hlt69332370"/>
      <w:bookmarkEnd w:id="154"/>
      <w:r>
        <w:rPr>
          <w:rFonts w:hint="eastAsia" w:asciiTheme="minorEastAsia" w:hAnsiTheme="minorEastAsia" w:eastAsiaTheme="minorEastAsia" w:cstheme="minorEastAsia"/>
          <w:b/>
          <w:color w:val="000000" w:themeColor="text1"/>
          <w:szCs w:val="22"/>
          <w:highlight w:val="none"/>
          <w14:textFill>
            <w14:solidFill>
              <w14:schemeClr w14:val="tx1"/>
            </w14:solidFill>
          </w14:textFill>
        </w:rPr>
        <w:t>要求</w:t>
      </w:r>
      <w:bookmarkEnd w:id="144"/>
      <w:bookmarkEnd w:id="145"/>
      <w:bookmarkEnd w:id="146"/>
      <w:bookmarkEnd w:id="147"/>
      <w:bookmarkEnd w:id="148"/>
      <w:bookmarkEnd w:id="149"/>
      <w:bookmarkEnd w:id="150"/>
      <w:bookmarkEnd w:id="151"/>
      <w:bookmarkEnd w:id="152"/>
    </w:p>
    <w:p w14:paraId="4733A61A">
      <w:pPr>
        <w:pStyle w:val="46"/>
        <w:spacing w:line="360" w:lineRule="auto"/>
        <w:ind w:firstLine="482" w:firstLineChars="200"/>
        <w:jc w:val="both"/>
        <w:outlineLvl w:val="9"/>
        <w:rPr>
          <w:rFonts w:hint="eastAsia" w:asciiTheme="minorEastAsia" w:hAnsiTheme="minorEastAsia" w:eastAsiaTheme="minorEastAsia" w:cstheme="minorEastAsia"/>
          <w:b/>
          <w:bCs/>
          <w:snapToGrid w:val="0"/>
          <w:color w:val="000000" w:themeColor="text1"/>
          <w:kern w:val="0"/>
          <w:sz w:val="24"/>
          <w:highlight w:val="none"/>
          <w:lang w:val="en-US" w:eastAsia="zh-CN" w:bidi="ar-SA"/>
          <w14:textFill>
            <w14:solidFill>
              <w14:schemeClr w14:val="tx1"/>
            </w14:solidFill>
          </w14:textFill>
        </w:rPr>
      </w:pPr>
      <w:bookmarkStart w:id="155" w:name="_Hlt78768224"/>
      <w:bookmarkEnd w:id="155"/>
      <w:bookmarkStart w:id="156" w:name="_Hlt74497202"/>
      <w:bookmarkEnd w:id="156"/>
      <w:bookmarkStart w:id="157" w:name="_Hlt74495594"/>
      <w:bookmarkEnd w:id="157"/>
      <w:bookmarkStart w:id="158" w:name="_Toc5812"/>
      <w:bookmarkStart w:id="159" w:name="_Toc32061"/>
      <w:bookmarkStart w:id="160" w:name="_Toc25295"/>
      <w:bookmarkStart w:id="161" w:name="_Toc2841"/>
      <w:bookmarkStart w:id="162" w:name="_Toc6695"/>
      <w:bookmarkStart w:id="163" w:name="_Toc20541"/>
      <w:bookmarkStart w:id="164" w:name="_Toc29847"/>
      <w:bookmarkStart w:id="165" w:name="_Toc13462"/>
      <w:bookmarkStart w:id="166" w:name="_Toc20091"/>
      <w:bookmarkStart w:id="167" w:name="_Toc437"/>
      <w:bookmarkStart w:id="168" w:name="_Toc31856"/>
      <w:bookmarkStart w:id="169" w:name="_Toc12050"/>
      <w:bookmarkStart w:id="170" w:name="_Toc9699"/>
      <w:bookmarkStart w:id="171" w:name="_Toc9696"/>
      <w:bookmarkStart w:id="172" w:name="_Toc17330"/>
      <w:r>
        <w:rPr>
          <w:rFonts w:hint="eastAsia" w:asciiTheme="minorEastAsia" w:hAnsiTheme="minorEastAsia" w:eastAsiaTheme="minorEastAsia" w:cstheme="minorEastAsia"/>
          <w:b/>
          <w:bCs/>
          <w:snapToGrid w:val="0"/>
          <w:color w:val="000000" w:themeColor="text1"/>
          <w:kern w:val="0"/>
          <w:sz w:val="24"/>
          <w:highlight w:val="none"/>
          <w:lang w:val="en-US" w:eastAsia="zh-CN" w:bidi="ar-SA"/>
          <w14:textFill>
            <w14:solidFill>
              <w14:schemeClr w14:val="tx1"/>
            </w14:solidFill>
          </w14:textFill>
        </w:rPr>
        <w:t>11.1 一般要求</w:t>
      </w:r>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p>
    <w:p w14:paraId="7F7FE17B">
      <w:pPr>
        <w:pStyle w:val="44"/>
        <w:ind w:firstLineChars="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t>投标文件应按第七章 投标文件格式规定的内容，投标人提交的投标文件应当使用招标文件所提供的投标文件全部格式。</w:t>
      </w:r>
    </w:p>
    <w:p w14:paraId="5C5A60B4">
      <w:pPr>
        <w:pStyle w:val="36"/>
        <w:ind w:firstLine="560"/>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11.1.1</w:t>
      </w:r>
      <w:r>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t>投标人必须响应招标文件，并在充分理解招标人提供的全部文件、设计图纸、资料及现场条件的基础上编制投标文件。因投标文件不符合招标文件的要求而造成的损失和后果，由投标人自行承担。</w:t>
      </w:r>
    </w:p>
    <w:p w14:paraId="1C313306">
      <w:pPr>
        <w:pStyle w:val="36"/>
        <w:ind w:firstLine="56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11.1.2</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投标文件包含投标标书分为一册。</w:t>
      </w:r>
      <w:r>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t>投标文件在电子投标时全部采用电子文档（中标人自中标通知书发出之日起五个工作日内再提供正本1份、副本壹份的纸质版投标文件给招标人存档），投标文件所附证书证件均为原件彩色扫描件，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 （广东省 · 韶关市）（https://ygp.gdzwfw.gov.cn/ggzy-portal/#/440200/index）交易指引。</w:t>
      </w:r>
      <w:r>
        <w:rPr>
          <w:rFonts w:hint="eastAsia" w:asciiTheme="minorEastAsia" w:hAnsiTheme="minorEastAsia" w:eastAsiaTheme="minorEastAsia" w:cstheme="minorEastAsia"/>
          <w:color w:val="000000" w:themeColor="text1"/>
          <w:highlight w:val="none"/>
          <w14:textFill>
            <w14:solidFill>
              <w14:schemeClr w14:val="tx1"/>
            </w14:solidFill>
          </w14:textFill>
        </w:rPr>
        <w:t>（注：组成联合体时，只须加盖联合体牵头人的公章，联合体其它成员可不盖章）。</w:t>
      </w:r>
    </w:p>
    <w:p w14:paraId="6567A5AF">
      <w:pPr>
        <w:pStyle w:val="36"/>
        <w:ind w:firstLine="560"/>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t>11.1.3 投标文件需按以下要求签字、盖章：</w:t>
      </w:r>
    </w:p>
    <w:p w14:paraId="0B6E3BC9">
      <w:pPr>
        <w:pStyle w:val="36"/>
        <w:ind w:firstLine="560"/>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t>电子投标文件：</w:t>
      </w:r>
    </w:p>
    <w:p w14:paraId="2C642CB7">
      <w:pPr>
        <w:pStyle w:val="36"/>
        <w:ind w:firstLine="560"/>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t>11.1.3.1 投标文件封面、组成内容中凡注明“签字”处由要求的人员签字或电子签章；凡注明“签字或盖章”处由要求的人员签字或盖其私章（电子印章）；凡注明“签字并盖执业印章”处由要求的人员签字并盖其执业印章。</w:t>
      </w:r>
    </w:p>
    <w:p w14:paraId="3A299D90">
      <w:pPr>
        <w:pStyle w:val="36"/>
        <w:ind w:firstLine="560"/>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t>11.1.3.2 投标文件封面、组成内容中凡要求录入投标人名称且注明“盖单位章”处盖单位法人公章（电子印章）</w:t>
      </w:r>
    </w:p>
    <w:p w14:paraId="154E8AFF">
      <w:pPr>
        <w:pStyle w:val="36"/>
        <w:ind w:firstLine="560"/>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t>11.1.3.3 投标文件的签字均为签字人本人亲笔署名或签章（电子印章），其余部分的彩色扫描件无须另行签字、盖章。</w:t>
      </w:r>
    </w:p>
    <w:p w14:paraId="194AEBA4">
      <w:pPr>
        <w:pStyle w:val="36"/>
        <w:ind w:firstLine="560"/>
        <w:rPr>
          <w:rFonts w:hint="eastAsia" w:asciiTheme="minorEastAsia" w:hAnsiTheme="minorEastAsia" w:eastAsiaTheme="minorEastAsia" w:cstheme="minorEastAsia"/>
          <w:b/>
          <w:color w:val="000000" w:themeColor="text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t>11.1.3.4 联合体投标的，除《联合体协议书》外，由联合体牵头人按以上要求签字（电子印章）、盖章（电子印章）即可。</w:t>
      </w:r>
      <w:bookmarkStart w:id="173" w:name="_Toc257031159"/>
      <w:bookmarkStart w:id="174" w:name="_Toc274313880"/>
    </w:p>
    <w:p w14:paraId="11FE250F">
      <w:pPr>
        <w:pStyle w:val="46"/>
        <w:spacing w:line="360" w:lineRule="auto"/>
        <w:ind w:firstLine="482" w:firstLineChars="200"/>
        <w:jc w:val="both"/>
        <w:outlineLvl w:val="9"/>
        <w:rPr>
          <w:rFonts w:hint="eastAsia" w:asciiTheme="minorEastAsia" w:hAnsiTheme="minorEastAsia" w:eastAsiaTheme="minorEastAsia" w:cstheme="minorEastAsia"/>
          <w:b/>
          <w:bCs/>
          <w:snapToGrid w:val="0"/>
          <w:color w:val="000000" w:themeColor="text1"/>
          <w:kern w:val="0"/>
          <w:sz w:val="24"/>
          <w:highlight w:val="none"/>
          <w:lang w:val="en-US" w:eastAsia="zh-CN" w:bidi="ar-SA"/>
          <w14:textFill>
            <w14:solidFill>
              <w14:schemeClr w14:val="tx1"/>
            </w14:solidFill>
          </w14:textFill>
        </w:rPr>
      </w:pPr>
      <w:bookmarkStart w:id="175" w:name="_Toc38"/>
      <w:bookmarkStart w:id="176" w:name="_Toc27606"/>
      <w:bookmarkStart w:id="177" w:name="_Toc27670"/>
      <w:bookmarkStart w:id="178" w:name="_Toc26859"/>
      <w:bookmarkStart w:id="179" w:name="_Toc16107"/>
      <w:bookmarkStart w:id="180" w:name="_Toc6622"/>
      <w:bookmarkStart w:id="181" w:name="_Toc18076"/>
      <w:bookmarkStart w:id="182" w:name="_Toc8355"/>
      <w:bookmarkStart w:id="183" w:name="_Toc23484"/>
      <w:bookmarkStart w:id="184" w:name="_Toc4699"/>
      <w:bookmarkStart w:id="185" w:name="_Toc29894"/>
      <w:bookmarkStart w:id="186" w:name="_Toc26289"/>
      <w:bookmarkStart w:id="187" w:name="_Toc19460"/>
      <w:bookmarkStart w:id="188" w:name="_Toc18670"/>
      <w:bookmarkStart w:id="189" w:name="_Toc17946"/>
      <w:r>
        <w:rPr>
          <w:rFonts w:hint="eastAsia" w:asciiTheme="minorEastAsia" w:hAnsiTheme="minorEastAsia" w:eastAsiaTheme="minorEastAsia" w:cstheme="minorEastAsia"/>
          <w:b/>
          <w:bCs/>
          <w:snapToGrid w:val="0"/>
          <w:color w:val="000000" w:themeColor="text1"/>
          <w:kern w:val="0"/>
          <w:sz w:val="24"/>
          <w:highlight w:val="none"/>
          <w:lang w:val="en-US" w:eastAsia="zh-CN" w:bidi="ar-SA"/>
          <w14:textFill>
            <w14:solidFill>
              <w14:schemeClr w14:val="tx1"/>
            </w14:solidFill>
          </w14:textFill>
        </w:rPr>
        <w:t xml:space="preserve">11.2 </w:t>
      </w:r>
      <w:bookmarkEnd w:id="173"/>
      <w:bookmarkEnd w:id="174"/>
      <w:bookmarkEnd w:id="175"/>
      <w:bookmarkEnd w:id="176"/>
      <w:bookmarkEnd w:id="177"/>
      <w:bookmarkEnd w:id="178"/>
      <w:bookmarkEnd w:id="179"/>
      <w:bookmarkEnd w:id="180"/>
      <w:bookmarkEnd w:id="181"/>
      <w:bookmarkEnd w:id="182"/>
      <w:r>
        <w:rPr>
          <w:rFonts w:hint="eastAsia" w:asciiTheme="minorEastAsia" w:hAnsiTheme="minorEastAsia" w:eastAsiaTheme="minorEastAsia" w:cstheme="minorEastAsia"/>
          <w:b/>
          <w:bCs/>
          <w:snapToGrid w:val="0"/>
          <w:color w:val="000000" w:themeColor="text1"/>
          <w:kern w:val="0"/>
          <w:sz w:val="24"/>
          <w:highlight w:val="none"/>
          <w:lang w:val="en-US" w:eastAsia="zh-CN" w:bidi="ar-SA"/>
          <w14:textFill>
            <w14:solidFill>
              <w14:schemeClr w14:val="tx1"/>
            </w14:solidFill>
          </w14:textFill>
        </w:rPr>
        <w:t>投标标书的编制要求</w:t>
      </w:r>
      <w:bookmarkEnd w:id="183"/>
      <w:bookmarkEnd w:id="184"/>
      <w:bookmarkEnd w:id="185"/>
      <w:bookmarkEnd w:id="186"/>
      <w:bookmarkEnd w:id="187"/>
      <w:bookmarkEnd w:id="188"/>
      <w:bookmarkEnd w:id="189"/>
    </w:p>
    <w:p w14:paraId="5516FD77">
      <w:pPr>
        <w:pStyle w:val="36"/>
        <w:ind w:firstLine="561"/>
        <w:rPr>
          <w:rFonts w:hint="eastAsia" w:asciiTheme="minorEastAsia" w:hAnsiTheme="minorEastAsia" w:eastAsiaTheme="minorEastAsia" w:cstheme="minorEastAsia"/>
          <w:color w:val="000000" w:themeColor="text1"/>
          <w:highlight w:val="none"/>
          <w:u w:val="singl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11.2.1 投标标书包括但不限于以下内容：</w:t>
      </w:r>
    </w:p>
    <w:p w14:paraId="16F4BF3C">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（1）封面（格式一）；</w:t>
      </w:r>
    </w:p>
    <w:p w14:paraId="3D596251">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（2）目录； </w:t>
      </w:r>
    </w:p>
    <w:p w14:paraId="72457639">
      <w:pPr>
        <w:wordWrap w:val="0"/>
        <w:adjustRightInd w:val="0"/>
        <w:snapToGrid w:val="0"/>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（3）《投标函》及《工程项目总价表》（格式二）；</w:t>
      </w:r>
    </w:p>
    <w:p w14:paraId="42DD483C">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（4）《各项承诺一览表》（格式三）；</w:t>
      </w:r>
    </w:p>
    <w:p w14:paraId="30E6580C">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（5）《授权委托书》（格式四）；</w:t>
      </w:r>
    </w:p>
    <w:p w14:paraId="051A315E">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（6）《法定代表人身份证明》（格式五）；</w:t>
      </w:r>
    </w:p>
    <w:p w14:paraId="0581DFB8">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（7）《联合体协议书》（格式六）及所附资料；</w:t>
      </w:r>
    </w:p>
    <w:p w14:paraId="11BECBF3">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（8）投标保证缴纳证明（</w:t>
      </w:r>
      <w:r>
        <w:rPr>
          <w:rFonts w:hint="eastAsia" w:asciiTheme="minorEastAsia" w:hAnsiTheme="minorEastAsia" w:eastAsiaTheme="minorEastAsia" w:cstheme="minorEastAsia"/>
          <w:snapToGrid w:val="0"/>
          <w:color w:val="000000" w:themeColor="text1"/>
          <w:kern w:val="0"/>
          <w:szCs w:val="18"/>
          <w:highlight w:val="none"/>
          <w14:textFill>
            <w14:solidFill>
              <w14:schemeClr w14:val="tx1"/>
            </w14:solidFill>
          </w14:textFill>
        </w:rPr>
        <w:t>投标人采用投标保证金的，附建设工程交易系统《缴纳投标保证金通知书》页面截图和银行转账单</w:t>
      </w:r>
      <w:r>
        <w:rPr>
          <w:rFonts w:hint="eastAsia" w:asciiTheme="minorEastAsia" w:hAnsiTheme="minorEastAsia" w:eastAsiaTheme="minorEastAsia" w:cstheme="minorEastAsia"/>
          <w:snapToGrid w:val="0"/>
          <w:color w:val="000000" w:themeColor="text1"/>
          <w:kern w:val="0"/>
          <w:szCs w:val="18"/>
          <w:highlight w:val="none"/>
          <w:lang w:val="en-US" w:eastAsia="zh-CN"/>
          <w14:textFill>
            <w14:solidFill>
              <w14:schemeClr w14:val="tx1"/>
            </w14:solidFill>
          </w14:textFill>
        </w:rPr>
        <w:t>彩色扫描</w:t>
      </w:r>
      <w:r>
        <w:rPr>
          <w:rFonts w:hint="eastAsia" w:asciiTheme="minorEastAsia" w:hAnsiTheme="minorEastAsia" w:eastAsiaTheme="minorEastAsia" w:cstheme="minorEastAsia"/>
          <w:snapToGrid w:val="0"/>
          <w:color w:val="000000" w:themeColor="text1"/>
          <w:kern w:val="0"/>
          <w:szCs w:val="18"/>
          <w:highlight w:val="none"/>
          <w14:textFill>
            <w14:solidFill>
              <w14:schemeClr w14:val="tx1"/>
            </w14:solidFill>
          </w14:textFill>
        </w:rPr>
        <w:t>件；采用投标保证担保的，附银行保函</w:t>
      </w:r>
      <w:r>
        <w:rPr>
          <w:rFonts w:hint="eastAsia" w:asciiTheme="minorEastAsia" w:hAnsiTheme="minorEastAsia" w:eastAsiaTheme="minorEastAsia" w:cstheme="minorEastAsia"/>
          <w:snapToGrid w:val="0"/>
          <w:color w:val="000000" w:themeColor="text1"/>
          <w:kern w:val="0"/>
          <w:szCs w:val="18"/>
          <w:highlight w:val="none"/>
          <w:lang w:val="en-US" w:eastAsia="zh-CN"/>
          <w14:textFill>
            <w14:solidFill>
              <w14:schemeClr w14:val="tx1"/>
            </w14:solidFill>
          </w14:textFill>
        </w:rPr>
        <w:t>彩色扫描件</w:t>
      </w:r>
      <w:r>
        <w:rPr>
          <w:rFonts w:hint="eastAsia" w:asciiTheme="minorEastAsia" w:hAnsiTheme="minorEastAsia" w:eastAsiaTheme="minorEastAsia" w:cstheme="minorEastAsia"/>
          <w:snapToGrid w:val="0"/>
          <w:color w:val="000000" w:themeColor="text1"/>
          <w:kern w:val="0"/>
          <w:szCs w:val="18"/>
          <w:highlight w:val="none"/>
          <w14:textFill>
            <w14:solidFill>
              <w14:schemeClr w14:val="tx1"/>
            </w14:solidFill>
          </w14:textFill>
        </w:rPr>
        <w:t>；采用投标保证保险的，附电子保单和</w:t>
      </w:r>
      <w:r>
        <w:rPr>
          <w:rFonts w:hint="eastAsia" w:asciiTheme="minorEastAsia" w:hAnsiTheme="minorEastAsia" w:eastAsiaTheme="minorEastAsia" w:cstheme="minorEastAsia"/>
          <w:b w:val="0"/>
          <w:bCs w:val="0"/>
          <w:color w:val="000000" w:themeColor="text1"/>
          <w:szCs w:val="24"/>
          <w:highlight w:val="none"/>
          <w14:textFill>
            <w14:solidFill>
              <w14:schemeClr w14:val="tx1"/>
            </w14:solidFill>
          </w14:textFill>
        </w:rPr>
        <w:t>《韶关市公共资源交易一体化平台保证金缴纳信息》</w:t>
      </w:r>
      <w:r>
        <w:rPr>
          <w:rFonts w:hint="eastAsia" w:asciiTheme="minorEastAsia" w:hAnsiTheme="minorEastAsia" w:eastAsiaTheme="minorEastAsia" w:cstheme="minorEastAsia"/>
          <w:b w:val="0"/>
          <w:bCs w:val="0"/>
          <w:snapToGrid w:val="0"/>
          <w:color w:val="000000" w:themeColor="text1"/>
          <w:kern w:val="0"/>
          <w:szCs w:val="18"/>
          <w:highlight w:val="none"/>
          <w14:textFill>
            <w14:solidFill>
              <w14:schemeClr w14:val="tx1"/>
            </w14:solidFill>
          </w14:textFill>
        </w:rPr>
        <w:t>页面截图</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w:t>
      </w:r>
    </w:p>
    <w:p w14:paraId="209ACE12">
      <w:pPr>
        <w:wordWrap w:val="0"/>
        <w:adjustRightInd w:val="0"/>
        <w:snapToGrid w:val="0"/>
        <w:spacing w:line="360" w:lineRule="auto"/>
        <w:ind w:firstLine="480" w:firstLineChars="20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（9）《投标人基本情况表》（格式七）及所附资料；</w:t>
      </w:r>
    </w:p>
    <w:p w14:paraId="46EE9D72">
      <w:pPr>
        <w:wordWrap w:val="0"/>
        <w:adjustRightInd w:val="0"/>
        <w:snapToGrid w:val="0"/>
        <w:spacing w:line="360" w:lineRule="auto"/>
        <w:ind w:firstLine="480" w:firstLineChars="200"/>
        <w:rPr>
          <w:rFonts w:hint="eastAsia" w:asciiTheme="minorEastAsia" w:hAnsiTheme="minorEastAsia" w:eastAsiaTheme="minorEastAsia" w:cstheme="minorEastAsia"/>
          <w:strike/>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（10）《项目经理简历表》（格式八）及所附资料；</w:t>
      </w:r>
    </w:p>
    <w:p w14:paraId="5BA3EC6C">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（11）《项目经理任职声明》（格式九）；</w:t>
      </w:r>
    </w:p>
    <w:p w14:paraId="6BAD79D1">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（12）《项目技术负责人简历表》（格式十）及所附资料；</w:t>
      </w:r>
    </w:p>
    <w:p w14:paraId="798E521F">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（13）《项目设计负责人简历表》（格式十一）及所附资料；</w:t>
      </w:r>
    </w:p>
    <w:p w14:paraId="13704F88">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（1</w:t>
      </w:r>
      <w:r>
        <w:rPr>
          <w:rFonts w:hint="eastAsia" w:asciiTheme="minorEastAsia" w:hAnsiTheme="minorEastAsia" w:eastAsiaTheme="minorEastAsia" w:cstheme="minorEastAsia"/>
          <w:snapToGrid w:val="0"/>
          <w:color w:val="000000" w:themeColor="text1"/>
          <w:kern w:val="0"/>
          <w:szCs w:val="24"/>
          <w:highlight w:val="none"/>
          <w:lang w:val="en-US" w:eastAsia="zh-CN"/>
          <w14:textFill>
            <w14:solidFill>
              <w14:schemeClr w14:val="tx1"/>
            </w14:solidFill>
          </w14:textFill>
        </w:rPr>
        <w:t>4</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）《项目管理机构组成表》（格式十</w:t>
      </w:r>
      <w:r>
        <w:rPr>
          <w:rFonts w:hint="eastAsia" w:asciiTheme="minorEastAsia" w:hAnsiTheme="minorEastAsia" w:eastAsiaTheme="minorEastAsia" w:cstheme="minorEastAsia"/>
          <w:snapToGrid w:val="0"/>
          <w:color w:val="000000" w:themeColor="text1"/>
          <w:kern w:val="0"/>
          <w:szCs w:val="24"/>
          <w:highlight w:val="none"/>
          <w:lang w:val="en-US" w:eastAsia="zh-CN"/>
          <w14:textFill>
            <w14:solidFill>
              <w14:schemeClr w14:val="tx1"/>
            </w14:solidFill>
          </w14:textFill>
        </w:rPr>
        <w:t>二</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）及所附资料；</w:t>
      </w:r>
    </w:p>
    <w:p w14:paraId="14453957">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（1</w:t>
      </w:r>
      <w:r>
        <w:rPr>
          <w:rFonts w:hint="eastAsia" w:asciiTheme="minorEastAsia" w:hAnsiTheme="minorEastAsia" w:eastAsiaTheme="minorEastAsia" w:cstheme="minorEastAsia"/>
          <w:snapToGrid w:val="0"/>
          <w:color w:val="000000" w:themeColor="text1"/>
          <w:kern w:val="0"/>
          <w:szCs w:val="24"/>
          <w:highlight w:val="none"/>
          <w:lang w:val="en-US" w:eastAsia="zh-CN"/>
          <w14:textFill>
            <w14:solidFill>
              <w14:schemeClr w14:val="tx1"/>
            </w14:solidFill>
          </w14:textFill>
        </w:rPr>
        <w:t>5</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）本章第14.2目“评标方法”要求提供的评审资料（如有）；</w:t>
      </w:r>
    </w:p>
    <w:p w14:paraId="0FE86B70">
      <w:pPr>
        <w:pStyle w:val="36"/>
        <w:ind w:firstLine="480" w:firstLineChars="200"/>
        <w:rPr>
          <w:rFonts w:hint="eastAsia" w:asciiTheme="minorEastAsia" w:hAnsiTheme="minorEastAsia" w:eastAsiaTheme="minorEastAsia" w:cstheme="minorEastAsia"/>
          <w:color w:val="000000" w:themeColor="text1"/>
          <w:szCs w:val="18"/>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（1</w:t>
      </w:r>
      <w:r>
        <w:rPr>
          <w:rFonts w:hint="eastAsia" w:asciiTheme="minorEastAsia" w:hAnsiTheme="minorEastAsia" w:eastAsiaTheme="minorEastAsia" w:cstheme="minorEastAsia"/>
          <w:snapToGrid w:val="0"/>
          <w:color w:val="000000" w:themeColor="text1"/>
          <w:kern w:val="0"/>
          <w:szCs w:val="24"/>
          <w:highlight w:val="none"/>
          <w:lang w:val="en-US" w:eastAsia="zh-CN"/>
          <w14:textFill>
            <w14:solidFill>
              <w14:schemeClr w14:val="tx1"/>
            </w14:solidFill>
          </w14:textFill>
        </w:rPr>
        <w:t>6</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投标人认为有必要补充的其他资料。（例如投标人已经工商变更，但其企业资质证书、安全生产许可证或其员工执业资格注册证书上的企业名称未能在投标期间完成变更的书面说明和佐证材料；外省企业所在省、地级市</w:t>
      </w:r>
      <w:r>
        <w:rPr>
          <w:rFonts w:hint="eastAsia" w:asciiTheme="minorEastAsia" w:hAnsiTheme="minorEastAsia" w:eastAsiaTheme="minorEastAsia" w:cstheme="minorEastAsia"/>
          <w:snapToGrid w:val="0"/>
          <w:color w:val="000000" w:themeColor="text1"/>
          <w:kern w:val="0"/>
          <w:szCs w:val="24"/>
          <w:highlight w:val="none"/>
          <w:lang w:eastAsia="zh-CN"/>
          <w14:textFill>
            <w14:solidFill>
              <w14:schemeClr w14:val="tx1"/>
            </w14:solidFill>
          </w14:textFill>
        </w:rPr>
        <w:t>住房和城乡建设部</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门或其授权的组织（机构）关于企业资质、人员资格有效期自动顺延或延期办理的相关文件等；关于投标总价下浮率超过15%的书面说明和佐证材料）。</w:t>
      </w:r>
    </w:p>
    <w:p w14:paraId="2091977C">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11.2.</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2 本章第</w:t>
      </w:r>
      <w: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t>11.2.1</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目中所列出的投标标书组成内容中，第（1）至第（1</w:t>
      </w:r>
      <w:r>
        <w:rPr>
          <w:rFonts w:hint="eastAsia" w:asciiTheme="minorEastAsia" w:hAnsiTheme="minorEastAsia" w:eastAsiaTheme="minorEastAsia" w:cstheme="minorEastAsia"/>
          <w:snapToGrid w:val="0"/>
          <w:color w:val="000000" w:themeColor="text1"/>
          <w:kern w:val="0"/>
          <w:szCs w:val="24"/>
          <w:highlight w:val="none"/>
          <w:lang w:val="en-US" w:eastAsia="zh-CN"/>
          <w14:textFill>
            <w14:solidFill>
              <w14:schemeClr w14:val="tx1"/>
            </w14:solidFill>
          </w14:textFill>
        </w:rPr>
        <w:t>4</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）项所有投标人均应提供，</w:t>
      </w:r>
      <w: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t>但非联合体投标的，无需提供第（7）项内容。</w:t>
      </w:r>
    </w:p>
    <w:p w14:paraId="7154588F">
      <w:pPr>
        <w:wordWrap w:val="0"/>
        <w:adjustRightInd w:val="0"/>
        <w:snapToGrid w:val="0"/>
        <w:spacing w:line="360" w:lineRule="auto"/>
        <w:ind w:firstLine="480" w:firstLineChars="200"/>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11.2.</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3 投标标书的组成内容按本章第</w:t>
      </w:r>
      <w: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t>11.2.1</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目规定的顺序整理、编排后，逐页连续标记页码。</w:t>
      </w:r>
    </w:p>
    <w:p w14:paraId="587FF5A5">
      <w:pPr>
        <w:pStyle w:val="49"/>
        <w:ind w:firstLine="482" w:firstLineChars="200"/>
        <w:rPr>
          <w:rFonts w:hint="eastAsia" w:asciiTheme="minorEastAsia" w:hAnsiTheme="minorEastAsia" w:eastAsiaTheme="minorEastAsia" w:cstheme="minorEastAsia"/>
          <w:b/>
          <w:bCs/>
          <w:color w:val="000000" w:themeColor="text1"/>
          <w:highlight w:val="none"/>
          <w:u w:val="single"/>
          <w14:textFill>
            <w14:solidFill>
              <w14:schemeClr w14:val="tx1"/>
            </w14:solidFill>
          </w14:textFill>
        </w:rPr>
      </w:pPr>
      <w:r>
        <w:rPr>
          <w:rFonts w:hint="eastAsia" w:asciiTheme="minorEastAsia" w:hAnsiTheme="minorEastAsia" w:eastAsiaTheme="minorEastAsia" w:cstheme="minorEastAsia"/>
          <w:b/>
          <w:bCs/>
          <w:color w:val="000000" w:themeColor="text1"/>
          <w:highlight w:val="none"/>
          <w:u w:val="single"/>
          <w14:textFill>
            <w14:solidFill>
              <w14:schemeClr w14:val="tx1"/>
            </w14:solidFill>
          </w14:textFill>
        </w:rPr>
        <w:t>特别说明：</w:t>
      </w:r>
    </w:p>
    <w:p w14:paraId="2C82B520">
      <w:pPr>
        <w:pStyle w:val="49"/>
        <w:ind w:firstLine="482" w:firstLineChars="200"/>
        <w:rPr>
          <w:rFonts w:hint="eastAsia" w:asciiTheme="minorEastAsia" w:hAnsiTheme="minorEastAsia" w:eastAsiaTheme="minorEastAsia" w:cstheme="minorEastAsia"/>
          <w:b/>
          <w:bCs/>
          <w:color w:val="000000" w:themeColor="text1"/>
          <w:highlight w:val="none"/>
          <w:u w:val="single"/>
          <w14:textFill>
            <w14:solidFill>
              <w14:schemeClr w14:val="tx1"/>
            </w14:solidFill>
          </w14:textFill>
        </w:rPr>
      </w:pPr>
      <w:bookmarkStart w:id="190" w:name="_Toc17812"/>
      <w:bookmarkStart w:id="191" w:name="_Toc13003"/>
      <w:bookmarkStart w:id="192" w:name="_Toc1583"/>
      <w:bookmarkStart w:id="193" w:name="_Toc27175"/>
      <w:bookmarkStart w:id="194" w:name="_Toc17459"/>
      <w:bookmarkStart w:id="195" w:name="_Toc11313"/>
      <w:bookmarkStart w:id="196" w:name="_Toc14130"/>
      <w:bookmarkStart w:id="197" w:name="_Toc11926"/>
      <w:r>
        <w:rPr>
          <w:rFonts w:hint="eastAsia" w:asciiTheme="minorEastAsia" w:hAnsiTheme="minorEastAsia" w:eastAsiaTheme="minorEastAsia" w:cstheme="minorEastAsia"/>
          <w:b/>
          <w:bCs/>
          <w:color w:val="000000" w:themeColor="text1"/>
          <w:highlight w:val="none"/>
          <w:u w:val="single"/>
          <w14:textFill>
            <w14:solidFill>
              <w14:schemeClr w14:val="tx1"/>
            </w14:solidFill>
          </w14:textFill>
        </w:rPr>
        <w:t>1、本次招标投标时不要求编制施工组织设计。中标人中标后先按有关规定及要求提供设计成果文件，中标人设计成果确认经有关部门的审查及经有资质的审图机构审查合格通过，中标人还应编制施工组织设计及专项施工方案报监理及招标人审批，然后依据审图合格后的设计施工图编写施工组织设计，报有关部门审查批准后方可实施；中标人须向招标人提供经批准的施工组织设计一式五份。</w:t>
      </w:r>
    </w:p>
    <w:p w14:paraId="5D52E466">
      <w:pPr>
        <w:pStyle w:val="49"/>
        <w:ind w:firstLine="482" w:firstLineChars="200"/>
        <w:rPr>
          <w:rFonts w:hint="eastAsia" w:asciiTheme="minorEastAsia" w:hAnsiTheme="minorEastAsia" w:eastAsiaTheme="minorEastAsia" w:cstheme="minorEastAsia"/>
          <w:b/>
          <w:bCs/>
          <w:color w:val="000000" w:themeColor="text1"/>
          <w:highlight w:val="none"/>
          <w:u w:val="single"/>
          <w14:textFill>
            <w14:solidFill>
              <w14:schemeClr w14:val="tx1"/>
            </w14:solidFill>
          </w14:textFill>
        </w:rPr>
      </w:pPr>
      <w:r>
        <w:rPr>
          <w:rFonts w:hint="eastAsia" w:asciiTheme="minorEastAsia" w:hAnsiTheme="minorEastAsia" w:eastAsiaTheme="minorEastAsia" w:cstheme="minorEastAsia"/>
          <w:b/>
          <w:bCs/>
          <w:color w:val="000000" w:themeColor="text1"/>
          <w:highlight w:val="none"/>
          <w:u w:val="single"/>
          <w14:textFill>
            <w14:solidFill>
              <w14:schemeClr w14:val="tx1"/>
            </w14:solidFill>
          </w14:textFill>
        </w:rPr>
        <w:t>2、本次招标投标时不要求按编制工程量清单计价模式进行投标报价。投标人若中标后依据经审图合格后的设计施工图编制施工图预算，该施工图预算必须达到办理合同备案及开工手续的要求；中标人须向招标人提供一式伍份完整的预算资料（含工程量计算表、施工图预算书及电子版）。</w:t>
      </w:r>
    </w:p>
    <w:p w14:paraId="078C7FCC">
      <w:pPr>
        <w:pStyle w:val="49"/>
        <w:ind w:firstLine="482" w:firstLineChars="200"/>
        <w:rPr>
          <w:rFonts w:hint="eastAsia" w:asciiTheme="minorEastAsia" w:hAnsiTheme="minorEastAsia" w:eastAsiaTheme="minorEastAsia" w:cstheme="minorEastAsia"/>
          <w:b/>
          <w:snapToGrid w:val="0"/>
          <w:color w:val="000000" w:themeColor="text1"/>
          <w:highlight w:val="none"/>
          <w14:textFill>
            <w14:solidFill>
              <w14:schemeClr w14:val="tx1"/>
            </w14:solidFill>
          </w14:textFill>
        </w:rPr>
      </w:pPr>
      <w:r>
        <w:rPr>
          <w:rFonts w:hint="eastAsia" w:asciiTheme="minorEastAsia" w:hAnsiTheme="minorEastAsia" w:eastAsiaTheme="minorEastAsia" w:cstheme="minorEastAsia"/>
          <w:b/>
          <w:color w:val="000000" w:themeColor="text1"/>
          <w:highlight w:val="none"/>
          <w14:textFill>
            <w14:solidFill>
              <w14:schemeClr w14:val="tx1"/>
            </w14:solidFill>
          </w14:textFill>
        </w:rPr>
        <w:t>11.3</w:t>
      </w:r>
      <w:bookmarkEnd w:id="190"/>
      <w:bookmarkEnd w:id="191"/>
      <w:bookmarkEnd w:id="192"/>
      <w:bookmarkEnd w:id="193"/>
      <w:bookmarkEnd w:id="194"/>
      <w:bookmarkEnd w:id="195"/>
      <w:bookmarkEnd w:id="196"/>
      <w:bookmarkEnd w:id="197"/>
      <w:r>
        <w:rPr>
          <w:rFonts w:hint="eastAsia" w:asciiTheme="minorEastAsia" w:hAnsiTheme="minorEastAsia" w:eastAsiaTheme="minorEastAsia" w:cstheme="minorEastAsia"/>
          <w:b/>
          <w:snapToGrid w:val="0"/>
          <w:color w:val="000000" w:themeColor="text1"/>
          <w:highlight w:val="none"/>
          <w14:textFill>
            <w14:solidFill>
              <w14:schemeClr w14:val="tx1"/>
            </w14:solidFill>
          </w14:textFill>
        </w:rPr>
        <w:t>电子投标</w:t>
      </w:r>
      <w:bookmarkStart w:id="198" w:name="_Hlt88627590"/>
      <w:bookmarkEnd w:id="198"/>
      <w:bookmarkStart w:id="199" w:name="_Hlt66200498"/>
      <w:bookmarkEnd w:id="199"/>
      <w:bookmarkStart w:id="200" w:name="_Hlt66511038"/>
      <w:bookmarkEnd w:id="200"/>
      <w:bookmarkStart w:id="201" w:name="_Toc27961"/>
    </w:p>
    <w:p w14:paraId="57F688F3">
      <w:pPr>
        <w:pStyle w:val="49"/>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11.3.1、在交易平台上传加盖了电子印章的投标文件、录入相关信息及标书页码信息，并提交投标标书（页码起始从封面开始）。提交标书为已加密投标文件。具体操作参照《韶关市公共资源建设工程交易系统-投标人操作指南（电子评标）》。</w:t>
      </w:r>
    </w:p>
    <w:p w14:paraId="77A4A8F3">
      <w:pPr>
        <w:pStyle w:val="49"/>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本项目评标采用全流程电子化进行招标投标（投标人应在交易平台进行编辑投标相关内容、按招标文件电子投标要求上传已加盖电子印章的投标文件，否则将自行承担不利后果）。投标人在交易平台按要求上传加盖电子印章并经加密的电子投标文件，并在交易平台录入准确的页码信息即可完成在线投标。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5E5D50F7">
      <w:pPr>
        <w:pStyle w:val="49"/>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投标文件完成上传后，投标人应使用 CA 数字证书对投标文件进行文件加密，形成加密的投标文件并提交标书。</w:t>
      </w:r>
    </w:p>
    <w:p w14:paraId="230FCD87">
      <w:pPr>
        <w:pStyle w:val="49"/>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11.3.2电子投标文件的修改、撤回：在提交投标文件截止时间前，投标人可以修改或撤回未解密的电子投标文件，并于提交投标文件截止时间前将重新上传修改后的电子投标文件至交易平台，到达投标文件提交截止时间后投标人不得撤回、补充、修改和更换投标文件。</w:t>
      </w:r>
    </w:p>
    <w:p w14:paraId="0CE1FF3D">
      <w:pPr>
        <w:pStyle w:val="49"/>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11.3.3电子投标及投标解密失败及突发情况的补救方案</w:t>
      </w:r>
    </w:p>
    <w:p w14:paraId="585877D1">
      <w:pPr>
        <w:pStyle w:val="49"/>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11.3.3.1按照交易平台关于全流程电子化项目的相关指南进行操作。详见：全国公共资源交易平台（广东省·韶关市）发布的最新版操作指南。</w:t>
      </w:r>
    </w:p>
    <w:p w14:paraId="42F09261">
      <w:pPr>
        <w:pStyle w:val="49"/>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11.3.3.2补救方案</w:t>
      </w:r>
    </w:p>
    <w:p w14:paraId="2E9342F6">
      <w:pPr>
        <w:pStyle w:val="49"/>
        <w:numPr>
          <w:ilvl w:val="0"/>
          <w:numId w:val="2"/>
        </w:numPr>
        <w:ind w:firstLine="480" w:firstLineChars="200"/>
        <w:rPr>
          <w:rFonts w:hint="eastAsia" w:asciiTheme="minorEastAsia" w:hAnsiTheme="minorEastAsia" w:eastAsiaTheme="minorEastAsia" w:cstheme="minorEastAsia"/>
          <w:bCs/>
          <w:color w:val="000000" w:themeColor="text1"/>
          <w:kern w:val="2"/>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投标文件解密失败的补救方案：</w:t>
      </w:r>
      <w:bookmarkStart w:id="202" w:name="_Toc28927"/>
    </w:p>
    <w:p w14:paraId="5CD5D936">
      <w:pPr>
        <w:pStyle w:val="49"/>
        <w:numPr>
          <w:ilvl w:val="0"/>
          <w:numId w:val="0"/>
        </w:numPr>
        <w:ind w:firstLine="480" w:firstLineChars="200"/>
        <w:rPr>
          <w:rFonts w:hint="eastAsia" w:asciiTheme="minorEastAsia" w:hAnsiTheme="minorEastAsia" w:eastAsiaTheme="minorEastAsia" w:cstheme="minorEastAsia"/>
          <w:bCs/>
          <w:color w:val="000000" w:themeColor="text1"/>
          <w:kern w:val="2"/>
          <w:highlight w:val="none"/>
          <w14:textFill>
            <w14:solidFill>
              <w14:schemeClr w14:val="tx1"/>
            </w14:solidFill>
          </w14:textFill>
        </w:rPr>
      </w:pPr>
      <w:r>
        <w:rPr>
          <w:rFonts w:hint="eastAsia" w:asciiTheme="minorEastAsia" w:hAnsiTheme="minorEastAsia" w:eastAsiaTheme="minorEastAsia" w:cstheme="minorEastAsia"/>
          <w:bCs/>
          <w:color w:val="000000" w:themeColor="text1"/>
          <w:kern w:val="2"/>
          <w:highlight w:val="none"/>
          <w14:textFill>
            <w14:solidFill>
              <w14:schemeClr w14:val="tx1"/>
            </w14:solidFill>
          </w14:textFill>
        </w:rPr>
        <w:t>在规定时间内，因投标人之外原因(指网络瘫痪、服务器损坏、交易系统故障短期无法恢复)等导致的电子投标文件解密失败，在开标现场解密环节由代理授权后，解密失败投标人可在建设工程交易系统在规定时间（代理机构授权后30分钟内）内重新提交投标文件继续开标程序。电子投标文件解密失败且未在规定的时限内按要求成功上传未加密的备用投标文件的，视为无效投标。</w:t>
      </w:r>
      <w:bookmarkEnd w:id="202"/>
      <w:bookmarkStart w:id="203" w:name="_Toc9612"/>
    </w:p>
    <w:p w14:paraId="4A9AE2A5">
      <w:pPr>
        <w:pStyle w:val="49"/>
        <w:numPr>
          <w:ilvl w:val="0"/>
          <w:numId w:val="2"/>
        </w:numPr>
        <w:ind w:left="0" w:leftChars="0" w:firstLine="480" w:firstLineChars="200"/>
        <w:rPr>
          <w:rFonts w:hint="eastAsia" w:asciiTheme="minorEastAsia" w:hAnsiTheme="minorEastAsia" w:eastAsiaTheme="minorEastAsia" w:cstheme="minorEastAsia"/>
          <w:bCs/>
          <w:color w:val="000000" w:themeColor="text1"/>
          <w:kern w:val="2"/>
          <w:highlight w:val="none"/>
          <w14:textFill>
            <w14:solidFill>
              <w14:schemeClr w14:val="tx1"/>
            </w14:solidFill>
          </w14:textFill>
        </w:rPr>
      </w:pPr>
      <w:r>
        <w:rPr>
          <w:rFonts w:hint="eastAsia" w:asciiTheme="minorEastAsia" w:hAnsiTheme="minorEastAsia" w:eastAsiaTheme="minorEastAsia" w:cstheme="minorEastAsia"/>
          <w:bCs/>
          <w:color w:val="000000" w:themeColor="text1"/>
          <w:kern w:val="2"/>
          <w:highlight w:val="none"/>
          <w14:textFill>
            <w14:solidFill>
              <w14:schemeClr w14:val="tx1"/>
            </w14:solidFill>
          </w14:textFill>
        </w:rPr>
        <w:t>评标时突发情况的补救方案</w:t>
      </w:r>
      <w:bookmarkEnd w:id="203"/>
      <w:bookmarkStart w:id="204" w:name="_Toc6314"/>
      <w:r>
        <w:rPr>
          <w:rFonts w:hint="eastAsia" w:asciiTheme="minorEastAsia" w:hAnsiTheme="minorEastAsia" w:eastAsiaTheme="minorEastAsia" w:cstheme="minorEastAsia"/>
          <w:bCs/>
          <w:color w:val="000000" w:themeColor="text1"/>
          <w:kern w:val="2"/>
          <w:highlight w:val="none"/>
          <w:lang w:eastAsia="zh-CN"/>
          <w14:textFill>
            <w14:solidFill>
              <w14:schemeClr w14:val="tx1"/>
            </w14:solidFill>
          </w14:textFill>
        </w:rPr>
        <w:t>：</w:t>
      </w:r>
    </w:p>
    <w:p w14:paraId="370AF792">
      <w:pPr>
        <w:pStyle w:val="49"/>
        <w:numPr>
          <w:ilvl w:val="0"/>
          <w:numId w:val="0"/>
        </w:numPr>
        <w:ind w:firstLine="480" w:firstLineChars="200"/>
        <w:rPr>
          <w:rFonts w:hint="eastAsia" w:asciiTheme="minorEastAsia" w:hAnsiTheme="minorEastAsia" w:eastAsiaTheme="minorEastAsia" w:cstheme="minorEastAsia"/>
          <w:bCs/>
          <w:color w:val="000000" w:themeColor="text1"/>
          <w:kern w:val="2"/>
          <w:highlight w:val="none"/>
          <w14:textFill>
            <w14:solidFill>
              <w14:schemeClr w14:val="tx1"/>
            </w14:solidFill>
          </w14:textFill>
        </w:rPr>
      </w:pPr>
      <w:r>
        <w:rPr>
          <w:rFonts w:hint="eastAsia" w:asciiTheme="minorEastAsia" w:hAnsiTheme="minorEastAsia" w:eastAsiaTheme="minorEastAsia" w:cstheme="minorEastAsia"/>
          <w:bCs/>
          <w:color w:val="000000" w:themeColor="text1"/>
          <w:kern w:val="2"/>
          <w:highlight w:val="none"/>
          <w14:textFill>
            <w14:solidFill>
              <w14:schemeClr w14:val="tx1"/>
            </w14:solidFill>
          </w14:textFill>
        </w:rPr>
        <w:t>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bookmarkEnd w:id="204"/>
      <w:bookmarkStart w:id="205" w:name="_Toc10157"/>
    </w:p>
    <w:p w14:paraId="1A3A30C4">
      <w:pPr>
        <w:pStyle w:val="49"/>
        <w:numPr>
          <w:ilvl w:val="0"/>
          <w:numId w:val="2"/>
        </w:numPr>
        <w:ind w:left="0" w:leftChars="0" w:firstLine="480" w:firstLineChars="200"/>
        <w:rPr>
          <w:rFonts w:hint="eastAsia" w:asciiTheme="minorEastAsia" w:hAnsiTheme="minorEastAsia" w:eastAsiaTheme="minorEastAsia" w:cstheme="minorEastAsia"/>
          <w:bCs/>
          <w:color w:val="000000" w:themeColor="text1"/>
          <w:kern w:val="2"/>
          <w:highlight w:val="none"/>
          <w14:textFill>
            <w14:solidFill>
              <w14:schemeClr w14:val="tx1"/>
            </w14:solidFill>
          </w14:textFill>
        </w:rPr>
      </w:pPr>
      <w:r>
        <w:rPr>
          <w:rFonts w:hint="eastAsia" w:asciiTheme="minorEastAsia" w:hAnsiTheme="minorEastAsia" w:eastAsiaTheme="minorEastAsia" w:cstheme="minorEastAsia"/>
          <w:bCs/>
          <w:color w:val="000000" w:themeColor="text1"/>
          <w:kern w:val="2"/>
          <w:highlight w:val="none"/>
          <w14:textFill>
            <w14:solidFill>
              <w14:schemeClr w14:val="tx1"/>
            </w14:solidFill>
          </w14:textFill>
        </w:rPr>
        <w:t>除发生上述情况外，开标评标均以投标人通过交易平台网上递交的电子投标文件为准。</w:t>
      </w:r>
      <w:bookmarkEnd w:id="205"/>
      <w:bookmarkStart w:id="206" w:name="_Toc12675"/>
    </w:p>
    <w:p w14:paraId="1B7B6ECD">
      <w:pPr>
        <w:pStyle w:val="49"/>
        <w:numPr>
          <w:ilvl w:val="0"/>
          <w:numId w:val="0"/>
        </w:numPr>
        <w:ind w:leftChars="200"/>
        <w:rPr>
          <w:rFonts w:hint="eastAsia" w:asciiTheme="minorEastAsia" w:hAnsiTheme="minorEastAsia" w:eastAsiaTheme="minorEastAsia" w:cstheme="minorEastAsia"/>
          <w:b/>
          <w:color w:val="000000" w:themeColor="text1"/>
          <w:kern w:val="2"/>
          <w:highlight w:val="none"/>
          <w14:textFill>
            <w14:solidFill>
              <w14:schemeClr w14:val="tx1"/>
            </w14:solidFill>
          </w14:textFill>
        </w:rPr>
      </w:pPr>
      <w:r>
        <w:rPr>
          <w:rFonts w:hint="eastAsia" w:asciiTheme="minorEastAsia" w:hAnsiTheme="minorEastAsia" w:eastAsiaTheme="minorEastAsia" w:cstheme="minorEastAsia"/>
          <w:b/>
          <w:color w:val="000000" w:themeColor="text1"/>
          <w:kern w:val="2"/>
          <w:highlight w:val="none"/>
          <w14:textFill>
            <w14:solidFill>
              <w14:schemeClr w14:val="tx1"/>
            </w14:solidFill>
          </w14:textFill>
        </w:rPr>
        <w:t>11.4 投标文件的提交、修改和撤回</w:t>
      </w:r>
      <w:bookmarkEnd w:id="201"/>
      <w:bookmarkEnd w:id="206"/>
      <w:bookmarkStart w:id="207" w:name="_Hlt66608380"/>
      <w:bookmarkEnd w:id="207"/>
      <w:bookmarkStart w:id="208" w:name="_Hlt92512875"/>
      <w:bookmarkEnd w:id="208"/>
      <w:bookmarkStart w:id="209" w:name="_Hlt69699424"/>
      <w:bookmarkEnd w:id="209"/>
      <w:bookmarkStart w:id="210" w:name="_Hlt74494779"/>
      <w:bookmarkEnd w:id="210"/>
      <w:bookmarkStart w:id="211" w:name="_Hlt75685366"/>
      <w:bookmarkEnd w:id="211"/>
      <w:bookmarkStart w:id="212" w:name="_Toc24469"/>
      <w:bookmarkStart w:id="213" w:name="_Toc28454"/>
      <w:bookmarkStart w:id="214" w:name="_Toc106418820"/>
      <w:bookmarkStart w:id="215" w:name="_Toc104711075"/>
      <w:bookmarkStart w:id="216" w:name="_Toc22741"/>
      <w:bookmarkStart w:id="217" w:name="_Toc24322"/>
      <w:bookmarkStart w:id="218" w:name="_Toc3050"/>
      <w:bookmarkStart w:id="219" w:name="_Toc7631"/>
      <w:bookmarkStart w:id="220" w:name="_Toc9838"/>
      <w:bookmarkStart w:id="221" w:name="_Toc4483"/>
      <w:bookmarkStart w:id="222" w:name="_Toc30635"/>
    </w:p>
    <w:p w14:paraId="012D5A77">
      <w:pPr>
        <w:pStyle w:val="49"/>
        <w:numPr>
          <w:ilvl w:val="0"/>
          <w:numId w:val="0"/>
        </w:numPr>
        <w:ind w:leftChars="200"/>
        <w:rPr>
          <w:rFonts w:hint="eastAsia" w:asciiTheme="minorEastAsia" w:hAnsiTheme="minorEastAsia" w:eastAsiaTheme="minorEastAsia" w:cstheme="minorEastAsia"/>
          <w:bCs/>
          <w:color w:val="000000" w:themeColor="text1"/>
          <w:kern w:val="2"/>
          <w:highlight w:val="none"/>
          <w14:textFill>
            <w14:solidFill>
              <w14:schemeClr w14:val="tx1"/>
            </w14:solidFill>
          </w14:textFill>
        </w:rPr>
      </w:pPr>
      <w:r>
        <w:rPr>
          <w:rFonts w:hint="eastAsia" w:asciiTheme="minorEastAsia" w:hAnsiTheme="minorEastAsia" w:eastAsiaTheme="minorEastAsia" w:cstheme="minorEastAsia"/>
          <w:bCs/>
          <w:color w:val="000000" w:themeColor="text1"/>
          <w:kern w:val="2"/>
          <w:highlight w:val="none"/>
          <w14:textFill>
            <w14:solidFill>
              <w14:schemeClr w14:val="tx1"/>
            </w14:solidFill>
          </w14:textFill>
        </w:rPr>
        <w:t>11.4.1在投标文件提交截止时间前，投标人通过交易平台提交已加密投标文件。逾期提交的电子投标文件，交易平台将予以拒收。</w:t>
      </w:r>
      <w:bookmarkEnd w:id="212"/>
      <w:bookmarkStart w:id="223" w:name="_Toc25103"/>
    </w:p>
    <w:p w14:paraId="19A13F2B">
      <w:pPr>
        <w:pStyle w:val="49"/>
        <w:numPr>
          <w:ilvl w:val="0"/>
          <w:numId w:val="0"/>
        </w:numPr>
        <w:ind w:leftChars="200"/>
        <w:rPr>
          <w:rFonts w:hint="eastAsia" w:asciiTheme="minorEastAsia" w:hAnsiTheme="minorEastAsia" w:eastAsiaTheme="minorEastAsia" w:cstheme="minorEastAsia"/>
          <w:bCs/>
          <w:color w:val="000000" w:themeColor="text1"/>
          <w:kern w:val="2"/>
          <w:highlight w:val="none"/>
          <w14:textFill>
            <w14:solidFill>
              <w14:schemeClr w14:val="tx1"/>
            </w14:solidFill>
          </w14:textFill>
        </w:rPr>
      </w:pPr>
      <w:r>
        <w:rPr>
          <w:rFonts w:hint="eastAsia" w:asciiTheme="minorEastAsia" w:hAnsiTheme="minorEastAsia" w:eastAsiaTheme="minorEastAsia" w:cstheme="minorEastAsia"/>
          <w:bCs/>
          <w:color w:val="000000" w:themeColor="text1"/>
          <w:kern w:val="2"/>
          <w:highlight w:val="none"/>
          <w14:textFill>
            <w14:solidFill>
              <w14:schemeClr w14:val="tx1"/>
            </w14:solidFill>
          </w14:textFill>
        </w:rPr>
        <w:t>11.4.2提交时间：见本章第二节“重要事项时间地点一览表”。</w:t>
      </w:r>
      <w:bookmarkEnd w:id="223"/>
      <w:bookmarkStart w:id="224" w:name="_Toc9791"/>
    </w:p>
    <w:p w14:paraId="5D5E2591">
      <w:pPr>
        <w:pStyle w:val="49"/>
        <w:numPr>
          <w:ilvl w:val="0"/>
          <w:numId w:val="0"/>
        </w:numPr>
        <w:ind w:leftChars="200"/>
        <w:rPr>
          <w:rFonts w:hint="eastAsia" w:asciiTheme="minorEastAsia" w:hAnsiTheme="minorEastAsia" w:eastAsiaTheme="minorEastAsia" w:cstheme="minorEastAsia"/>
          <w:bCs/>
          <w:color w:val="000000" w:themeColor="text1"/>
          <w:kern w:val="2"/>
          <w:highlight w:val="none"/>
          <w14:textFill>
            <w14:solidFill>
              <w14:schemeClr w14:val="tx1"/>
            </w14:solidFill>
          </w14:textFill>
        </w:rPr>
      </w:pPr>
      <w:r>
        <w:rPr>
          <w:rFonts w:hint="eastAsia" w:asciiTheme="minorEastAsia" w:hAnsiTheme="minorEastAsia" w:eastAsiaTheme="minorEastAsia" w:cstheme="minorEastAsia"/>
          <w:bCs/>
          <w:color w:val="000000" w:themeColor="text1"/>
          <w:kern w:val="2"/>
          <w:highlight w:val="none"/>
          <w14:textFill>
            <w14:solidFill>
              <w14:schemeClr w14:val="tx1"/>
            </w14:solidFill>
          </w14:textFill>
        </w:rPr>
        <w:t>11.4.3投标人无须进行现场签到，如有招标文件要求提交的用于评审的证书、证件、证明原件等投标相关资料，投标人可在规定的地点、时间内递交至开标现场（附一式两份清单），无原件的不作要求。</w:t>
      </w:r>
      <w:bookmarkEnd w:id="224"/>
      <w:bookmarkStart w:id="225" w:name="_Toc25029"/>
    </w:p>
    <w:p w14:paraId="66D42C80">
      <w:pPr>
        <w:pStyle w:val="49"/>
        <w:numPr>
          <w:ilvl w:val="0"/>
          <w:numId w:val="0"/>
        </w:numPr>
        <w:ind w:leftChars="200"/>
        <w:rPr>
          <w:rFonts w:hint="eastAsia" w:asciiTheme="minorEastAsia" w:hAnsiTheme="minorEastAsia" w:eastAsiaTheme="minorEastAsia" w:cstheme="minorEastAsia"/>
          <w:bCs/>
          <w:color w:val="000000" w:themeColor="text1"/>
          <w:kern w:val="2"/>
          <w:highlight w:val="none"/>
          <w14:textFill>
            <w14:solidFill>
              <w14:schemeClr w14:val="tx1"/>
            </w14:solidFill>
          </w14:textFill>
        </w:rPr>
      </w:pPr>
      <w:r>
        <w:rPr>
          <w:rFonts w:hint="eastAsia" w:asciiTheme="minorEastAsia" w:hAnsiTheme="minorEastAsia" w:eastAsiaTheme="minorEastAsia" w:cstheme="minorEastAsia"/>
          <w:bCs/>
          <w:color w:val="000000" w:themeColor="text1"/>
          <w:kern w:val="2"/>
          <w:highlight w:val="none"/>
          <w14:textFill>
            <w14:solidFill>
              <w14:schemeClr w14:val="tx1"/>
            </w14:solidFill>
          </w14:textFill>
        </w:rPr>
        <w:t>11.4.4 递交时间和地点：见本章第二节“重要事项时间地点一览表”。</w:t>
      </w:r>
      <w:bookmarkEnd w:id="225"/>
      <w:bookmarkStart w:id="226" w:name="_Toc5665"/>
    </w:p>
    <w:p w14:paraId="0B2460FC">
      <w:pPr>
        <w:pStyle w:val="49"/>
        <w:numPr>
          <w:ilvl w:val="0"/>
          <w:numId w:val="0"/>
        </w:numPr>
        <w:ind w:leftChars="200"/>
        <w:rPr>
          <w:rFonts w:hint="eastAsia" w:asciiTheme="minorEastAsia" w:hAnsiTheme="minorEastAsia" w:eastAsiaTheme="minorEastAsia" w:cstheme="minorEastAsia"/>
          <w:bCs/>
          <w:color w:val="000000" w:themeColor="text1"/>
          <w:kern w:val="2"/>
          <w:highlight w:val="none"/>
          <w14:textFill>
            <w14:solidFill>
              <w14:schemeClr w14:val="tx1"/>
            </w14:solidFill>
          </w14:textFill>
        </w:rPr>
      </w:pPr>
      <w:r>
        <w:rPr>
          <w:rFonts w:hint="eastAsia" w:asciiTheme="minorEastAsia" w:hAnsiTheme="minorEastAsia" w:eastAsiaTheme="minorEastAsia" w:cstheme="minorEastAsia"/>
          <w:bCs/>
          <w:color w:val="000000" w:themeColor="text1"/>
          <w:kern w:val="2"/>
          <w:highlight w:val="none"/>
          <w14:textFill>
            <w14:solidFill>
              <w14:schemeClr w14:val="tx1"/>
            </w14:solidFill>
          </w14:textFill>
        </w:rPr>
        <w:t>11.4.5 投标人代表到达现场后，应出示以下身份证明材料：</w:t>
      </w:r>
      <w:bookmarkEnd w:id="226"/>
      <w:bookmarkStart w:id="227" w:name="_Toc1714"/>
    </w:p>
    <w:p w14:paraId="1D0EAFB6">
      <w:pPr>
        <w:pStyle w:val="49"/>
        <w:numPr>
          <w:ilvl w:val="0"/>
          <w:numId w:val="0"/>
        </w:numPr>
        <w:ind w:leftChars="200"/>
        <w:rPr>
          <w:rFonts w:hint="eastAsia" w:asciiTheme="minorEastAsia" w:hAnsiTheme="minorEastAsia" w:eastAsiaTheme="minorEastAsia" w:cstheme="minorEastAsia"/>
          <w:bCs/>
          <w:color w:val="000000" w:themeColor="text1"/>
          <w:kern w:val="2"/>
          <w:highlight w:val="none"/>
          <w14:textFill>
            <w14:solidFill>
              <w14:schemeClr w14:val="tx1"/>
            </w14:solidFill>
          </w14:textFill>
        </w:rPr>
      </w:pPr>
      <w:r>
        <w:rPr>
          <w:rFonts w:hint="eastAsia" w:asciiTheme="minorEastAsia" w:hAnsiTheme="minorEastAsia" w:eastAsiaTheme="minorEastAsia" w:cstheme="minorEastAsia"/>
          <w:bCs/>
          <w:color w:val="000000" w:themeColor="text1"/>
          <w:kern w:val="2"/>
          <w:highlight w:val="none"/>
          <w14:textFill>
            <w14:solidFill>
              <w14:schemeClr w14:val="tx1"/>
            </w14:solidFill>
          </w14:textFill>
        </w:rPr>
        <w:t>（1）本人有效的第二代居民身份证；</w:t>
      </w:r>
      <w:bookmarkEnd w:id="227"/>
      <w:bookmarkStart w:id="228" w:name="_Toc1212"/>
      <w:bookmarkStart w:id="229" w:name="_Toc30210"/>
      <w:bookmarkStart w:id="230" w:name="_Toc22519"/>
    </w:p>
    <w:p w14:paraId="7D6D8C0E">
      <w:pPr>
        <w:pStyle w:val="49"/>
        <w:numPr>
          <w:ilvl w:val="0"/>
          <w:numId w:val="0"/>
        </w:numPr>
        <w:ind w:leftChars="200"/>
        <w:rPr>
          <w:rFonts w:hint="eastAsia" w:asciiTheme="minorEastAsia" w:hAnsiTheme="minorEastAsia" w:eastAsiaTheme="minorEastAsia" w:cstheme="minorEastAsia"/>
          <w:bCs/>
          <w:color w:val="000000" w:themeColor="text1"/>
          <w:kern w:val="2"/>
          <w:highlight w:val="none"/>
          <w14:textFill>
            <w14:solidFill>
              <w14:schemeClr w14:val="tx1"/>
            </w14:solidFill>
          </w14:textFill>
        </w:rPr>
      </w:pPr>
      <w:r>
        <w:rPr>
          <w:rFonts w:hint="eastAsia" w:asciiTheme="minorEastAsia" w:hAnsiTheme="minorEastAsia" w:eastAsiaTheme="minorEastAsia" w:cstheme="minorEastAsia"/>
          <w:bCs/>
          <w:color w:val="000000" w:themeColor="text1"/>
          <w:kern w:val="2"/>
          <w:highlight w:val="none"/>
          <w14:textFill>
            <w14:solidFill>
              <w14:schemeClr w14:val="tx1"/>
            </w14:solidFill>
          </w14:textFill>
        </w:rPr>
        <w:t>（2）法定代表人到场的，出示《法定代表人身份证明》（格式五）；委托代理人到场的，应同时出示《授权委托书》（格式四）和《法定代表人身份证明》。</w:t>
      </w:r>
      <w:bookmarkEnd w:id="228"/>
      <w:bookmarkEnd w:id="229"/>
      <w:bookmarkEnd w:id="230"/>
      <w:bookmarkStart w:id="231" w:name="_Toc3014"/>
      <w:bookmarkStart w:id="232" w:name="_Toc29016"/>
      <w:bookmarkStart w:id="233" w:name="_Toc8927"/>
    </w:p>
    <w:p w14:paraId="31CA0B38">
      <w:pPr>
        <w:pStyle w:val="49"/>
        <w:numPr>
          <w:ilvl w:val="0"/>
          <w:numId w:val="0"/>
        </w:numPr>
        <w:ind w:leftChars="200"/>
        <w:rPr>
          <w:rFonts w:hint="eastAsia" w:asciiTheme="minorEastAsia" w:hAnsiTheme="minorEastAsia" w:eastAsiaTheme="minorEastAsia" w:cstheme="minorEastAsia"/>
          <w:bCs/>
          <w:color w:val="000000" w:themeColor="text1"/>
          <w:kern w:val="2"/>
          <w:highlight w:val="none"/>
          <w14:textFill>
            <w14:solidFill>
              <w14:schemeClr w14:val="tx1"/>
            </w14:solidFill>
          </w14:textFill>
        </w:rPr>
      </w:pPr>
      <w:r>
        <w:rPr>
          <w:rFonts w:hint="eastAsia" w:asciiTheme="minorEastAsia" w:hAnsiTheme="minorEastAsia" w:eastAsiaTheme="minorEastAsia" w:cstheme="minorEastAsia"/>
          <w:bCs/>
          <w:color w:val="000000" w:themeColor="text1"/>
          <w:kern w:val="2"/>
          <w:highlight w:val="none"/>
          <w14:textFill>
            <w14:solidFill>
              <w14:schemeClr w14:val="tx1"/>
            </w14:solidFill>
          </w14:textFill>
        </w:rPr>
        <w:t>11.4.6联合体投标的，由联合体牵头人按以上要求递交投标相关资料。</w:t>
      </w:r>
      <w:bookmarkEnd w:id="231"/>
      <w:bookmarkEnd w:id="232"/>
      <w:bookmarkEnd w:id="233"/>
      <w:bookmarkStart w:id="234" w:name="_Toc16539"/>
      <w:bookmarkStart w:id="235" w:name="_Toc13697"/>
      <w:bookmarkStart w:id="236" w:name="_Toc13703"/>
    </w:p>
    <w:p w14:paraId="3B5C6ACD">
      <w:pPr>
        <w:pStyle w:val="49"/>
        <w:numPr>
          <w:ilvl w:val="0"/>
          <w:numId w:val="0"/>
        </w:numPr>
        <w:ind w:leftChars="200"/>
        <w:rPr>
          <w:rFonts w:hint="eastAsia" w:asciiTheme="minorEastAsia" w:hAnsiTheme="minorEastAsia" w:eastAsiaTheme="minorEastAsia" w:cstheme="minorEastAsia"/>
          <w:bCs/>
          <w:color w:val="000000" w:themeColor="text1"/>
          <w:kern w:val="2"/>
          <w:highlight w:val="none"/>
          <w14:textFill>
            <w14:solidFill>
              <w14:schemeClr w14:val="tx1"/>
            </w14:solidFill>
          </w14:textFill>
        </w:rPr>
      </w:pPr>
      <w:r>
        <w:rPr>
          <w:rFonts w:hint="eastAsia" w:asciiTheme="minorEastAsia" w:hAnsiTheme="minorEastAsia" w:eastAsiaTheme="minorEastAsia" w:cstheme="minorEastAsia"/>
          <w:bCs/>
          <w:color w:val="000000" w:themeColor="text1"/>
          <w:kern w:val="2"/>
          <w:highlight w:val="none"/>
          <w14:textFill>
            <w14:solidFill>
              <w14:schemeClr w14:val="tx1"/>
            </w14:solidFill>
          </w14:textFill>
        </w:rPr>
        <w:t>11.4.7招标人或其授权的招标代理机构核对、接收投标人递交的投标相关资料后，应并妥善保管。</w:t>
      </w:r>
      <w:bookmarkEnd w:id="234"/>
      <w:bookmarkEnd w:id="235"/>
      <w:bookmarkEnd w:id="236"/>
      <w:bookmarkStart w:id="237" w:name="_Toc6708"/>
      <w:bookmarkStart w:id="238" w:name="_Toc20579"/>
      <w:bookmarkStart w:id="239" w:name="_Toc5287"/>
    </w:p>
    <w:p w14:paraId="2B4D9868">
      <w:pPr>
        <w:pStyle w:val="49"/>
        <w:numPr>
          <w:ilvl w:val="0"/>
          <w:numId w:val="0"/>
        </w:numPr>
        <w:ind w:leftChars="200"/>
        <w:rPr>
          <w:rFonts w:hint="eastAsia" w:asciiTheme="minorEastAsia" w:hAnsiTheme="minorEastAsia" w:eastAsiaTheme="minorEastAsia" w:cstheme="minorEastAsia"/>
          <w:bCs/>
          <w:color w:val="000000" w:themeColor="text1"/>
          <w:kern w:val="2"/>
          <w:highlight w:val="none"/>
          <w14:textFill>
            <w14:solidFill>
              <w14:schemeClr w14:val="tx1"/>
            </w14:solidFill>
          </w14:textFill>
        </w:rPr>
      </w:pPr>
      <w:r>
        <w:rPr>
          <w:rFonts w:hint="eastAsia" w:asciiTheme="minorEastAsia" w:hAnsiTheme="minorEastAsia" w:eastAsiaTheme="minorEastAsia" w:cstheme="minorEastAsia"/>
          <w:bCs/>
          <w:color w:val="000000" w:themeColor="text1"/>
          <w:kern w:val="2"/>
          <w:highlight w:val="none"/>
          <w14:textFill>
            <w14:solidFill>
              <w14:schemeClr w14:val="tx1"/>
            </w14:solidFill>
          </w14:textFill>
        </w:rPr>
        <w:t>11.4.8 投标人发生以下情形的，其投标相关资料招标人不予接收：</w:t>
      </w:r>
      <w:bookmarkEnd w:id="237"/>
      <w:bookmarkEnd w:id="238"/>
      <w:bookmarkEnd w:id="239"/>
      <w:bookmarkStart w:id="240" w:name="_Toc31045"/>
      <w:bookmarkStart w:id="241" w:name="_Toc32603"/>
      <w:bookmarkStart w:id="242" w:name="_Toc18916"/>
    </w:p>
    <w:p w14:paraId="67FFA51A">
      <w:pPr>
        <w:pStyle w:val="49"/>
        <w:numPr>
          <w:ilvl w:val="0"/>
          <w:numId w:val="0"/>
        </w:numPr>
        <w:ind w:leftChars="200"/>
        <w:rPr>
          <w:rFonts w:hint="eastAsia" w:asciiTheme="minorEastAsia" w:hAnsiTheme="minorEastAsia" w:eastAsiaTheme="minorEastAsia" w:cstheme="minorEastAsia"/>
          <w:bCs/>
          <w:color w:val="000000" w:themeColor="text1"/>
          <w:kern w:val="2"/>
          <w:highlight w:val="none"/>
          <w14:textFill>
            <w14:solidFill>
              <w14:schemeClr w14:val="tx1"/>
            </w14:solidFill>
          </w14:textFill>
        </w:rPr>
      </w:pPr>
      <w:r>
        <w:rPr>
          <w:rFonts w:hint="eastAsia" w:asciiTheme="minorEastAsia" w:hAnsiTheme="minorEastAsia" w:eastAsiaTheme="minorEastAsia" w:cstheme="minorEastAsia"/>
          <w:bCs/>
          <w:color w:val="000000" w:themeColor="text1"/>
          <w:kern w:val="2"/>
          <w:highlight w:val="none"/>
          <w14:textFill>
            <w14:solidFill>
              <w14:schemeClr w14:val="tx1"/>
            </w14:solidFill>
          </w14:textFill>
        </w:rPr>
        <w:t>（1）未在指定的时间和地点递交的；</w:t>
      </w:r>
      <w:bookmarkEnd w:id="240"/>
      <w:bookmarkEnd w:id="241"/>
      <w:bookmarkEnd w:id="242"/>
      <w:bookmarkStart w:id="243" w:name="_Toc15124"/>
      <w:bookmarkStart w:id="244" w:name="_Toc17194"/>
      <w:bookmarkStart w:id="245" w:name="_Toc15823"/>
    </w:p>
    <w:p w14:paraId="4CB70762">
      <w:pPr>
        <w:pStyle w:val="49"/>
        <w:numPr>
          <w:ilvl w:val="0"/>
          <w:numId w:val="0"/>
        </w:numPr>
        <w:ind w:leftChars="200"/>
        <w:rPr>
          <w:rFonts w:hint="eastAsia" w:asciiTheme="minorEastAsia" w:hAnsiTheme="minorEastAsia" w:eastAsiaTheme="minorEastAsia" w:cstheme="minorEastAsia"/>
          <w:bCs/>
          <w:color w:val="000000" w:themeColor="text1"/>
          <w:kern w:val="2"/>
          <w:highlight w:val="none"/>
          <w14:textFill>
            <w14:solidFill>
              <w14:schemeClr w14:val="tx1"/>
            </w14:solidFill>
          </w14:textFill>
        </w:rPr>
      </w:pPr>
      <w:r>
        <w:rPr>
          <w:rFonts w:hint="eastAsia" w:asciiTheme="minorEastAsia" w:hAnsiTheme="minorEastAsia" w:eastAsiaTheme="minorEastAsia" w:cstheme="minorEastAsia"/>
          <w:bCs/>
          <w:color w:val="000000" w:themeColor="text1"/>
          <w:kern w:val="2"/>
          <w:highlight w:val="none"/>
          <w14:textFill>
            <w14:solidFill>
              <w14:schemeClr w14:val="tx1"/>
            </w14:solidFill>
          </w14:textFill>
        </w:rPr>
        <w:t>（2）到场人员未出示身份证明材料的。</w:t>
      </w:r>
      <w:bookmarkEnd w:id="243"/>
      <w:bookmarkEnd w:id="244"/>
      <w:bookmarkEnd w:id="245"/>
      <w:bookmarkStart w:id="246" w:name="_Toc2022"/>
      <w:bookmarkStart w:id="247" w:name="_Toc23037"/>
      <w:bookmarkStart w:id="248" w:name="_Toc17679"/>
    </w:p>
    <w:p w14:paraId="6966CCDE">
      <w:pPr>
        <w:pStyle w:val="49"/>
        <w:numPr>
          <w:ilvl w:val="0"/>
          <w:numId w:val="0"/>
        </w:numPr>
        <w:ind w:leftChars="200"/>
        <w:rPr>
          <w:rFonts w:hint="eastAsia" w:asciiTheme="minorEastAsia" w:hAnsiTheme="minorEastAsia" w:eastAsiaTheme="minorEastAsia" w:cstheme="minorEastAsia"/>
          <w:bCs/>
          <w:color w:val="000000" w:themeColor="text1"/>
          <w:kern w:val="2"/>
          <w:highlight w:val="none"/>
          <w14:textFill>
            <w14:solidFill>
              <w14:schemeClr w14:val="tx1"/>
            </w14:solidFill>
          </w14:textFill>
        </w:rPr>
      </w:pPr>
      <w:r>
        <w:rPr>
          <w:rFonts w:hint="eastAsia" w:asciiTheme="minorEastAsia" w:hAnsiTheme="minorEastAsia" w:eastAsiaTheme="minorEastAsia" w:cstheme="minorEastAsia"/>
          <w:bCs/>
          <w:color w:val="000000" w:themeColor="text1"/>
          <w:kern w:val="2"/>
          <w:highlight w:val="none"/>
          <w14:textFill>
            <w14:solidFill>
              <w14:schemeClr w14:val="tx1"/>
            </w14:solidFill>
          </w14:textFill>
        </w:rPr>
        <w:t>11.4.9出现下述情形之一，属于未成功提交投标文件，按无效投标处理：</w:t>
      </w:r>
      <w:bookmarkEnd w:id="246"/>
      <w:bookmarkEnd w:id="247"/>
      <w:bookmarkEnd w:id="248"/>
      <w:bookmarkStart w:id="249" w:name="_Toc30279"/>
      <w:bookmarkStart w:id="250" w:name="_Toc27579"/>
      <w:bookmarkStart w:id="251" w:name="_Toc22805"/>
    </w:p>
    <w:p w14:paraId="3AA61B1E">
      <w:pPr>
        <w:pStyle w:val="36"/>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（1）至提交投标文件截止时，投标文件未完整上传或未提交投标；</w:t>
      </w:r>
      <w:bookmarkEnd w:id="249"/>
      <w:bookmarkEnd w:id="250"/>
      <w:bookmarkEnd w:id="251"/>
      <w:bookmarkStart w:id="252" w:name="_Toc17052"/>
      <w:bookmarkStart w:id="253" w:name="_Toc1293"/>
      <w:bookmarkStart w:id="254" w:name="_Toc26257"/>
    </w:p>
    <w:p w14:paraId="453F948A">
      <w:pPr>
        <w:pStyle w:val="36"/>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（2）投标文件未按投标格式中注明需签字盖章的要求进行签名（含电子签名）和加盖电子印章，或签名（含电子签名）或电子印章不完整的；</w:t>
      </w:r>
      <w:bookmarkEnd w:id="252"/>
      <w:bookmarkEnd w:id="253"/>
      <w:bookmarkEnd w:id="254"/>
    </w:p>
    <w:p w14:paraId="3B470C9B">
      <w:pPr>
        <w:pStyle w:val="36"/>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bookmarkStart w:id="255" w:name="_Toc444"/>
      <w:bookmarkStart w:id="256" w:name="_Toc7367"/>
      <w:bookmarkStart w:id="257" w:name="_Toc23907"/>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（3）解密失败且在规定时间内未重新提交投标文件的；</w:t>
      </w:r>
      <w:bookmarkEnd w:id="255"/>
      <w:bookmarkEnd w:id="256"/>
      <w:bookmarkEnd w:id="257"/>
    </w:p>
    <w:p w14:paraId="1B20CC6E">
      <w:pPr>
        <w:pStyle w:val="36"/>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bookmarkStart w:id="258" w:name="_Toc21719"/>
      <w:bookmarkStart w:id="259" w:name="_Toc13"/>
      <w:bookmarkStart w:id="260" w:name="_Toc26444"/>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（4）投标文件损坏或格式不正确的。</w:t>
      </w:r>
      <w:bookmarkEnd w:id="258"/>
      <w:bookmarkEnd w:id="259"/>
      <w:bookmarkEnd w:id="260"/>
    </w:p>
    <w:p w14:paraId="67B53C5C">
      <w:pPr>
        <w:pStyle w:val="38"/>
        <w:keepNext/>
        <w:keepLines/>
        <w:ind w:firstLine="480"/>
        <w:jc w:val="both"/>
        <w:rPr>
          <w:rFonts w:hint="eastAsia" w:asciiTheme="minorEastAsia" w:hAnsiTheme="minorEastAsia" w:eastAsiaTheme="minorEastAsia" w:cstheme="minorEastAsia"/>
          <w:b/>
          <w:color w:val="000000" w:themeColor="text1"/>
          <w:kern w:val="2"/>
          <w:highlight w:val="none"/>
          <w14:textFill>
            <w14:solidFill>
              <w14:schemeClr w14:val="tx1"/>
            </w14:solidFill>
          </w14:textFill>
        </w:rPr>
      </w:pPr>
      <w:bookmarkStart w:id="261" w:name="_Toc23010"/>
      <w:bookmarkStart w:id="262" w:name="_Toc32089"/>
      <w:r>
        <w:rPr>
          <w:rFonts w:hint="eastAsia" w:asciiTheme="minorEastAsia" w:hAnsiTheme="minorEastAsia" w:eastAsiaTheme="minorEastAsia" w:cstheme="minorEastAsia"/>
          <w:b/>
          <w:color w:val="000000" w:themeColor="text1"/>
          <w:kern w:val="2"/>
          <w:highlight w:val="none"/>
          <w14:textFill>
            <w14:solidFill>
              <w14:schemeClr w14:val="tx1"/>
            </w14:solidFill>
          </w14:textFill>
        </w:rPr>
        <w:t>12、 投标有效期及对投标人的其他要求</w:t>
      </w:r>
      <w:bookmarkEnd w:id="213"/>
      <w:bookmarkEnd w:id="214"/>
      <w:bookmarkEnd w:id="215"/>
      <w:bookmarkEnd w:id="216"/>
      <w:bookmarkEnd w:id="217"/>
      <w:bookmarkEnd w:id="218"/>
      <w:bookmarkEnd w:id="219"/>
      <w:bookmarkEnd w:id="220"/>
      <w:bookmarkEnd w:id="221"/>
      <w:bookmarkEnd w:id="222"/>
      <w:bookmarkEnd w:id="261"/>
      <w:bookmarkEnd w:id="262"/>
    </w:p>
    <w:p w14:paraId="22E1045D">
      <w:pPr>
        <w:pStyle w:val="36"/>
        <w:ind w:firstLine="480" w:firstLineChars="200"/>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本次招标投标有效期为</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u w:val="single"/>
          <w:lang w:val="en-US" w:eastAsia="zh-CN"/>
          <w14:textFill>
            <w14:solidFill>
              <w14:schemeClr w14:val="tx1"/>
            </w14:solidFill>
          </w14:textFill>
        </w:rPr>
        <w:t>90</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个日历天，投标有效期从提交投标文件的截止之日起计算。在此期间，投标人不得撤销或修改其投标文件，否则其投标保证不予退还。</w:t>
      </w:r>
    </w:p>
    <w:bookmarkEnd w:id="142"/>
    <w:p w14:paraId="74CE96D9">
      <w:pPr>
        <w:pStyle w:val="38"/>
        <w:keepNext/>
        <w:keepLines/>
        <w:ind w:firstLine="480"/>
        <w:jc w:val="both"/>
        <w:rPr>
          <w:rFonts w:hint="eastAsia" w:asciiTheme="minorEastAsia" w:hAnsiTheme="minorEastAsia" w:eastAsiaTheme="minorEastAsia" w:cstheme="minorEastAsia"/>
          <w:b/>
          <w:color w:val="000000" w:themeColor="text1"/>
          <w:kern w:val="2"/>
          <w:highlight w:val="none"/>
          <w14:textFill>
            <w14:solidFill>
              <w14:schemeClr w14:val="tx1"/>
            </w14:solidFill>
          </w14:textFill>
        </w:rPr>
      </w:pPr>
      <w:bookmarkStart w:id="263" w:name="_Hlt111081624"/>
      <w:bookmarkEnd w:id="263"/>
      <w:bookmarkStart w:id="264" w:name="_Toc31459"/>
      <w:r>
        <w:rPr>
          <w:rFonts w:hint="eastAsia" w:asciiTheme="minorEastAsia" w:hAnsiTheme="minorEastAsia" w:eastAsiaTheme="minorEastAsia" w:cstheme="minorEastAsia"/>
          <w:b/>
          <w:color w:val="000000" w:themeColor="text1"/>
          <w:kern w:val="2"/>
          <w:highlight w:val="none"/>
          <w14:textFill>
            <w14:solidFill>
              <w14:schemeClr w14:val="tx1"/>
            </w14:solidFill>
          </w14:textFill>
        </w:rPr>
        <w:t>13</w:t>
      </w:r>
      <w:r>
        <w:rPr>
          <w:rFonts w:hint="eastAsia" w:asciiTheme="minorEastAsia" w:hAnsiTheme="minorEastAsia" w:eastAsiaTheme="minorEastAsia" w:cstheme="minorEastAsia"/>
          <w:b/>
          <w:color w:val="000000" w:themeColor="text1"/>
          <w:kern w:val="2"/>
          <w:highlight w:val="none"/>
          <w:lang w:eastAsia="zh-CN"/>
          <w14:textFill>
            <w14:solidFill>
              <w14:schemeClr w14:val="tx1"/>
            </w14:solidFill>
          </w14:textFill>
        </w:rPr>
        <w:t>、</w:t>
      </w:r>
      <w:r>
        <w:rPr>
          <w:rFonts w:hint="eastAsia" w:asciiTheme="minorEastAsia" w:hAnsiTheme="minorEastAsia" w:eastAsiaTheme="minorEastAsia" w:cstheme="minorEastAsia"/>
          <w:b/>
          <w:color w:val="000000" w:themeColor="text1"/>
          <w:kern w:val="2"/>
          <w:highlight w:val="none"/>
          <w14:textFill>
            <w14:solidFill>
              <w14:schemeClr w14:val="tx1"/>
            </w14:solidFill>
          </w14:textFill>
        </w:rPr>
        <w:t>开标</w:t>
      </w:r>
      <w:bookmarkEnd w:id="264"/>
    </w:p>
    <w:p w14:paraId="2802C55F">
      <w:pPr>
        <w:pStyle w:val="36"/>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13.1 招标人邀请所有正确完成了网上获取招标文件、电子投标、缴纳投标保证、递交投标文件的投标人参加开标，投标人可自主决定是否参加。投标人不参加开标的，视其默认开标结果，以及放弃在开标期间见证、监督、投诉、申辩的权利。</w:t>
      </w:r>
    </w:p>
    <w:p w14:paraId="779F69ED">
      <w:pPr>
        <w:pStyle w:val="36"/>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13.1.1 开标时间和地点：见本章第二节“重要事项时间地点一览表”。</w:t>
      </w:r>
    </w:p>
    <w:p w14:paraId="207269D7">
      <w:pPr>
        <w:pStyle w:val="36"/>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13.1.2 开标前24小时，若交易平台显示缴纳投标保证（包括投标保证金、投标保证担保、投标保证保险）的投标人数量不足3个时，招标人将取消原定于次日召开的开标活动。投标人可在投标保证缴纳截止时间（见本章第二节“重要事项时间地点一览表”）至电子投标截止时间（见本章第二节“重要事项时间地点一览表”）期间登录全国公共资源交易平台（广东省·韶关市）（https://ygp.gdzwfw.gov.cn/ggzy-portal/#/440200/index）查询是否发布了取消开标活动的相关信息。</w:t>
      </w:r>
    </w:p>
    <w:p w14:paraId="61F07286">
      <w:pPr>
        <w:pStyle w:val="36"/>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13.1.3本项目实行全流程电子化招标投标，投标人在交易平台按要求上传加盖电子印章并经加密的电子投标文件，并在交易平台录入准确的页码信息即可完成在线投标。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363FEF86">
      <w:pPr>
        <w:pStyle w:val="36"/>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13.2 开标程序</w:t>
      </w:r>
    </w:p>
    <w:p w14:paraId="0B856965">
      <w:pPr>
        <w:pStyle w:val="36"/>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（1）主持人（招标人代表或招标人授权的招标代理机构人员）宣读开标纪律。</w:t>
      </w:r>
    </w:p>
    <w:p w14:paraId="4ADB381C">
      <w:pPr>
        <w:pStyle w:val="36"/>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（2）主持人宣布唱标人、记录人、见证人、监督人等有关人员姓名。</w:t>
      </w:r>
    </w:p>
    <w:p w14:paraId="7CD8EBDF">
      <w:pPr>
        <w:pStyle w:val="36"/>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（3）唱标人公布在投标截止时间前进行投标文件的投标人数量和名称</w:t>
      </w:r>
    </w:p>
    <w:p w14:paraId="2ECE91B0">
      <w:pPr>
        <w:pStyle w:val="36"/>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（4）招标代理机构会同交易场所工作人员对投标人的电子投标信息进行解密，建设工程交易系统自动生成《投标保证缴纳情况表》和《开标一览表》。</w:t>
      </w:r>
    </w:p>
    <w:p w14:paraId="47B6CFEB">
      <w:pPr>
        <w:pStyle w:val="36"/>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温馨提示：因本项目实行全流程电子化招标投标，投标人无须进行现场签到，可登录交易平台观看开标实况、提出异议或进行澄清、确认等操作，对开标事项的异议未在开标期间提出的，招标人不予受理。具体按招标文件和系统操作手册为准。</w:t>
      </w:r>
    </w:p>
    <w:p w14:paraId="76C7969B">
      <w:pPr>
        <w:pStyle w:val="36"/>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因本工程采用全流程电子招标投标方式进行招标，投标人在唱标环节为解密唱标时，以网上电子解密唱标信息为准。全流程电子招标投标采用线上评审，以电子投标文件为准。如果两者报价不一致的，视为报价不唯一，其响应性评审不通过。</w:t>
      </w:r>
    </w:p>
    <w:p w14:paraId="778C59D1">
      <w:pPr>
        <w:pStyle w:val="36"/>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13.3 投标人对开标相关事项（如开标程序等）有异议的，必须在开标期间及时提出，招标人或其授权的招标代理机构应当场作出答复，并记录在案。对开标事项的异议未在开标期间及时提出的，招标人不予受理。</w:t>
      </w:r>
    </w:p>
    <w:p w14:paraId="3EF6B83F">
      <w:pPr>
        <w:pStyle w:val="36"/>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13.4 招标代理机构将资料原件（若有）、《开标一览表》以及其他有关资料移交评标委员会。</w:t>
      </w:r>
    </w:p>
    <w:p w14:paraId="1B0DB037">
      <w:pPr>
        <w:pStyle w:val="38"/>
        <w:keepNext/>
        <w:keepLines/>
        <w:ind w:firstLine="480"/>
        <w:jc w:val="both"/>
        <w:rPr>
          <w:rFonts w:hint="eastAsia" w:asciiTheme="minorEastAsia" w:hAnsiTheme="minorEastAsia" w:eastAsiaTheme="minorEastAsia" w:cstheme="minorEastAsia"/>
          <w:b/>
          <w:color w:val="000000" w:themeColor="text1"/>
          <w:kern w:val="2"/>
          <w:highlight w:val="none"/>
          <w14:textFill>
            <w14:solidFill>
              <w14:schemeClr w14:val="tx1"/>
            </w14:solidFill>
          </w14:textFill>
        </w:rPr>
      </w:pPr>
      <w:bookmarkStart w:id="265" w:name="_Toc6038"/>
      <w:bookmarkStart w:id="266" w:name="_Toc21041"/>
      <w:r>
        <w:rPr>
          <w:rFonts w:hint="eastAsia" w:asciiTheme="minorEastAsia" w:hAnsiTheme="minorEastAsia" w:eastAsiaTheme="minorEastAsia" w:cstheme="minorEastAsia"/>
          <w:b/>
          <w:color w:val="000000" w:themeColor="text1"/>
          <w:kern w:val="2"/>
          <w:highlight w:val="none"/>
          <w14:textFill>
            <w14:solidFill>
              <w14:schemeClr w14:val="tx1"/>
            </w14:solidFill>
          </w14:textFill>
        </w:rPr>
        <w:t>14</w:t>
      </w:r>
      <w:bookmarkStart w:id="267" w:name="_Hlt127093805"/>
      <w:bookmarkEnd w:id="267"/>
      <w:r>
        <w:rPr>
          <w:rFonts w:hint="eastAsia" w:asciiTheme="minorEastAsia" w:hAnsiTheme="minorEastAsia" w:eastAsiaTheme="minorEastAsia" w:cstheme="minorEastAsia"/>
          <w:b/>
          <w:color w:val="000000" w:themeColor="text1"/>
          <w:kern w:val="2"/>
          <w:highlight w:val="none"/>
          <w:lang w:eastAsia="zh-CN"/>
          <w14:textFill>
            <w14:solidFill>
              <w14:schemeClr w14:val="tx1"/>
            </w14:solidFill>
          </w14:textFill>
        </w:rPr>
        <w:t>、</w:t>
      </w:r>
      <w:r>
        <w:rPr>
          <w:rFonts w:hint="eastAsia" w:asciiTheme="minorEastAsia" w:hAnsiTheme="minorEastAsia" w:eastAsiaTheme="minorEastAsia" w:cstheme="minorEastAsia"/>
          <w:b/>
          <w:color w:val="000000" w:themeColor="text1"/>
          <w:kern w:val="2"/>
          <w:highlight w:val="none"/>
          <w14:textFill>
            <w14:solidFill>
              <w14:schemeClr w14:val="tx1"/>
            </w14:solidFill>
          </w14:textFill>
        </w:rPr>
        <w:t>评标的方法和标准</w:t>
      </w:r>
      <w:bookmarkEnd w:id="265"/>
      <w:bookmarkEnd w:id="266"/>
    </w:p>
    <w:p w14:paraId="354F25F3">
      <w:pPr>
        <w:pStyle w:val="36"/>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评标分为初步评审和详细评审两个阶段，由评标委员会在有关部门的监督下，严格按照本招标文件指定的评标方法，对投标人的投标文件进行审查、评审。评标委员会完成评标后，向招标人推荐 3 个中标候选人，并向招标人提交由全体评标委员会成员签字的评标报告。</w:t>
      </w:r>
    </w:p>
    <w:p w14:paraId="1B3E43C8">
      <w:pPr>
        <w:pStyle w:val="36"/>
        <w:autoSpaceDE w:val="0"/>
        <w:autoSpaceDN w:val="0"/>
        <w:adjustRightInd w:val="0"/>
        <w:ind w:firstLine="482"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bookmarkStart w:id="268" w:name="_Toc32313"/>
      <w:r>
        <w:rPr>
          <w:rFonts w:hint="eastAsia" w:asciiTheme="minorEastAsia" w:hAnsiTheme="minorEastAsia" w:eastAsiaTheme="minorEastAsia" w:cstheme="minorEastAsia"/>
          <w:b/>
          <w:color w:val="000000" w:themeColor="text1"/>
          <w:highlight w:val="none"/>
          <w14:textFill>
            <w14:solidFill>
              <w14:schemeClr w14:val="tx1"/>
            </w14:solidFill>
          </w14:textFill>
        </w:rPr>
        <w:t>14.1 评标</w:t>
      </w:r>
      <w:bookmarkStart w:id="269" w:name="_Hlt69208274"/>
      <w:bookmarkEnd w:id="269"/>
      <w:r>
        <w:rPr>
          <w:rFonts w:hint="eastAsia" w:asciiTheme="minorEastAsia" w:hAnsiTheme="minorEastAsia" w:eastAsiaTheme="minorEastAsia" w:cstheme="minorEastAsia"/>
          <w:b/>
          <w:color w:val="000000" w:themeColor="text1"/>
          <w:highlight w:val="none"/>
          <w14:textFill>
            <w14:solidFill>
              <w14:schemeClr w14:val="tx1"/>
            </w14:solidFill>
          </w14:textFill>
        </w:rPr>
        <w:t>委员会</w:t>
      </w:r>
      <w:bookmarkEnd w:id="268"/>
      <w:bookmarkStart w:id="270" w:name="_Hlt69338169"/>
      <w:bookmarkEnd w:id="270"/>
    </w:p>
    <w:p w14:paraId="0F5EF10D">
      <w:pPr>
        <w:pStyle w:val="36"/>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 xml:space="preserve">    14.1.1 评标委员会由5人组成。专家从广东省综合评标评审专家库-韶关区域中随机抽取，其中技术类专家3人，经济类专家2人。评标委员会的负责人在评委中民主选出，负责人的权力与评委成员相等。</w:t>
      </w:r>
    </w:p>
    <w:p w14:paraId="246730F3">
      <w:pPr>
        <w:pStyle w:val="36"/>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 xml:space="preserve">  14.1.2 评标委员会应认真、公正、诚实、廉洁地履行职责。有下列情形之一的，不得担任评标委员会成员：</w:t>
      </w:r>
    </w:p>
    <w:p w14:paraId="08194B7F">
      <w:pPr>
        <w:pStyle w:val="36"/>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 xml:space="preserve">  14.1.2.1 投标人或者投标人主要负责人的近亲属；</w:t>
      </w:r>
    </w:p>
    <w:p w14:paraId="361CDB8D">
      <w:pPr>
        <w:pStyle w:val="36"/>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 xml:space="preserve"> 14.1.2.2 项目主管部门或者行政监督部门的人员；</w:t>
      </w:r>
    </w:p>
    <w:p w14:paraId="2724129D">
      <w:pPr>
        <w:pStyle w:val="36"/>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 xml:space="preserve"> 14.1.2.3 与投标人有经济利益关系，可能影响对投标公正评审的；</w:t>
      </w:r>
    </w:p>
    <w:p w14:paraId="4A670AE9">
      <w:pPr>
        <w:pStyle w:val="36"/>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14.1.2.4 曾因在</w:t>
      </w:r>
      <w:bookmarkStart w:id="271" w:name="_Hlt69700387"/>
      <w:bookmarkEnd w:id="271"/>
      <w:r>
        <w:rPr>
          <w:rFonts w:hint="eastAsia" w:asciiTheme="minorEastAsia" w:hAnsiTheme="minorEastAsia" w:eastAsiaTheme="minorEastAsia" w:cstheme="minorEastAsia"/>
          <w:bCs/>
          <w:color w:val="000000" w:themeColor="text1"/>
          <w:highlight w:val="none"/>
          <w14:textFill>
            <w14:solidFill>
              <w14:schemeClr w14:val="tx1"/>
            </w14:solidFill>
          </w14:textFill>
        </w:rPr>
        <w:t>招标、评标以及其他与招标投标有关活动中从事违法行为而受过行政处罚或刑事处罚的。</w:t>
      </w:r>
    </w:p>
    <w:p w14:paraId="48BBEE64">
      <w:pPr>
        <w:pStyle w:val="36"/>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14.1.3 评标委员会成员有前款规定情形之一的，应主动提出回避。</w:t>
      </w:r>
    </w:p>
    <w:p w14:paraId="37A18F78">
      <w:pPr>
        <w:pStyle w:val="36"/>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 xml:space="preserve"> 14.1.4 评标全过程实行封闭式管理，在中标结果公布前，禁止评标委员会成员以任何方式私下接触投标人。</w:t>
      </w:r>
    </w:p>
    <w:p w14:paraId="36DE5152">
      <w:pPr>
        <w:pStyle w:val="36"/>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 xml:space="preserve"> 14.1.5 在评标过程中，评标委员会可以书面形式要求投标人对所提交的投标文件中不明确的内容进行书面澄清或说明，但不接受投标人主动提出的澄清或说明。投标人的书面澄清或说明不得改变投标文件的实质性内容，并作为投标文件的组成部分。</w:t>
      </w:r>
    </w:p>
    <w:p w14:paraId="248EF759">
      <w:pPr>
        <w:pStyle w:val="36"/>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14.1.6 在任何评标环节中，当评标委员会就某项定性的评审结论不统一、需要做出表决时，由评标委员会全体成员按照少数服从多数的原则，以记名投票方式表决。评标委员会全体成员应共同遵守和执行表决结果，严禁评标委员会任何成员将个人意见强加给他人、影响评标正常秩序和妨碍评审结论的公正性。</w:t>
      </w:r>
    </w:p>
    <w:p w14:paraId="285C75E0">
      <w:pPr>
        <w:pStyle w:val="36"/>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p>
    <w:p w14:paraId="17BE0C71">
      <w:pPr>
        <w:pStyle w:val="36"/>
        <w:autoSpaceDE w:val="0"/>
        <w:autoSpaceDN w:val="0"/>
        <w:adjustRightInd w:val="0"/>
        <w:ind w:firstLine="482" w:firstLineChars="200"/>
        <w:rPr>
          <w:rFonts w:hint="eastAsia" w:asciiTheme="minorEastAsia" w:hAnsiTheme="minorEastAsia" w:eastAsiaTheme="minorEastAsia" w:cstheme="minorEastAsia"/>
          <w:b/>
          <w:color w:val="000000" w:themeColor="text1"/>
          <w:highlight w:val="none"/>
          <w14:textFill>
            <w14:solidFill>
              <w14:schemeClr w14:val="tx1"/>
            </w14:solidFill>
          </w14:textFill>
        </w:rPr>
      </w:pPr>
      <w:bookmarkStart w:id="272" w:name="_Toc106418823"/>
      <w:bookmarkStart w:id="273" w:name="_Toc104711078"/>
      <w:bookmarkStart w:id="274" w:name="_Toc17385"/>
      <w:r>
        <w:rPr>
          <w:rFonts w:hint="eastAsia" w:asciiTheme="minorEastAsia" w:hAnsiTheme="minorEastAsia" w:eastAsiaTheme="minorEastAsia" w:cstheme="minorEastAsia"/>
          <w:b/>
          <w:color w:val="000000" w:themeColor="text1"/>
          <w:highlight w:val="none"/>
          <w14:textFill>
            <w14:solidFill>
              <w14:schemeClr w14:val="tx1"/>
            </w14:solidFill>
          </w14:textFill>
        </w:rPr>
        <w:t>14.2</w:t>
      </w:r>
      <w:bookmarkEnd w:id="272"/>
      <w:bookmarkEnd w:id="273"/>
      <w:r>
        <w:rPr>
          <w:rFonts w:hint="eastAsia" w:asciiTheme="minorEastAsia" w:hAnsiTheme="minorEastAsia" w:eastAsiaTheme="minorEastAsia" w:cstheme="minorEastAsia"/>
          <w:b/>
          <w:color w:val="000000" w:themeColor="text1"/>
          <w:highlight w:val="none"/>
          <w14:textFill>
            <w14:solidFill>
              <w14:schemeClr w14:val="tx1"/>
            </w14:solidFill>
          </w14:textFill>
        </w:rPr>
        <w:t>评标方法</w:t>
      </w:r>
      <w:bookmarkEnd w:id="274"/>
    </w:p>
    <w:p w14:paraId="46B94855">
      <w:pPr>
        <w:pStyle w:val="36"/>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bookmarkStart w:id="275" w:name="_Hlt66591657"/>
      <w:bookmarkEnd w:id="275"/>
      <w:r>
        <w:rPr>
          <w:rFonts w:hint="eastAsia" w:asciiTheme="minorEastAsia" w:hAnsiTheme="minorEastAsia" w:eastAsiaTheme="minorEastAsia" w:cstheme="minorEastAsia"/>
          <w:bCs/>
          <w:color w:val="000000" w:themeColor="text1"/>
          <w:highlight w:val="none"/>
          <w14:textFill>
            <w14:solidFill>
              <w14:schemeClr w14:val="tx1"/>
            </w14:solidFill>
          </w14:textFill>
        </w:rPr>
        <w:t>根据有关法律、法规的相关规定，结合本招标项目资金来源和规模特点，本次招标采用综合评估法进行评标。</w:t>
      </w:r>
    </w:p>
    <w:p w14:paraId="336B55D1">
      <w:pPr>
        <w:pStyle w:val="36"/>
        <w:autoSpaceDE w:val="0"/>
        <w:autoSpaceDN w:val="0"/>
        <w:adjustRightInd w:val="0"/>
        <w:ind w:firstLine="482"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
          <w:bCs w:val="0"/>
          <w:color w:val="000000" w:themeColor="text1"/>
          <w:highlight w:val="none"/>
          <w14:textFill>
            <w14:solidFill>
              <w14:schemeClr w14:val="tx1"/>
            </w14:solidFill>
          </w14:textFill>
        </w:rPr>
        <w:t>14.</w:t>
      </w:r>
      <w:r>
        <w:rPr>
          <w:rFonts w:hint="eastAsia" w:asciiTheme="minorEastAsia" w:hAnsiTheme="minorEastAsia" w:eastAsiaTheme="minorEastAsia" w:cstheme="minorEastAsia"/>
          <w:b/>
          <w:bCs w:val="0"/>
          <w:color w:val="000000" w:themeColor="text1"/>
          <w:highlight w:val="none"/>
          <w:lang w:val="en-US" w:eastAsia="zh-CN"/>
          <w14:textFill>
            <w14:solidFill>
              <w14:schemeClr w14:val="tx1"/>
            </w14:solidFill>
          </w14:textFill>
        </w:rPr>
        <w:t>3</w:t>
      </w:r>
      <w:r>
        <w:rPr>
          <w:rFonts w:hint="eastAsia" w:asciiTheme="minorEastAsia" w:hAnsiTheme="minorEastAsia" w:eastAsiaTheme="minorEastAsia" w:cstheme="minorEastAsia"/>
          <w:bCs/>
          <w:color w:val="000000" w:themeColor="text1"/>
          <w:highlight w:val="none"/>
          <w14:textFill>
            <w14:solidFill>
              <w14:schemeClr w14:val="tx1"/>
            </w14:solidFill>
          </w14:textFill>
        </w:rPr>
        <w:t>评审范围：评标委员会应对所有投标人的投标文件进行评审。</w:t>
      </w:r>
    </w:p>
    <w:p w14:paraId="33F2CCB7">
      <w:pPr>
        <w:pStyle w:val="36"/>
        <w:autoSpaceDE w:val="0"/>
        <w:autoSpaceDN w:val="0"/>
        <w:adjustRightInd w:val="0"/>
        <w:ind w:firstLine="482"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
          <w:bCs w:val="0"/>
          <w:color w:val="000000" w:themeColor="text1"/>
          <w:highlight w:val="none"/>
          <w14:textFill>
            <w14:solidFill>
              <w14:schemeClr w14:val="tx1"/>
            </w14:solidFill>
          </w14:textFill>
        </w:rPr>
        <w:t>14.</w:t>
      </w:r>
      <w:r>
        <w:rPr>
          <w:rFonts w:hint="eastAsia" w:asciiTheme="minorEastAsia" w:hAnsiTheme="minorEastAsia" w:eastAsiaTheme="minorEastAsia" w:cstheme="minorEastAsia"/>
          <w:b/>
          <w:bCs w:val="0"/>
          <w:color w:val="000000" w:themeColor="text1"/>
          <w:highlight w:val="none"/>
          <w:lang w:val="en-US" w:eastAsia="zh-CN"/>
          <w14:textFill>
            <w14:solidFill>
              <w14:schemeClr w14:val="tx1"/>
            </w14:solidFill>
          </w14:textFill>
        </w:rPr>
        <w:t>4</w:t>
      </w:r>
      <w:r>
        <w:rPr>
          <w:rFonts w:hint="eastAsia" w:asciiTheme="minorEastAsia" w:hAnsiTheme="minorEastAsia" w:eastAsiaTheme="minorEastAsia" w:cstheme="minorEastAsia"/>
          <w:b/>
          <w:bCs w:val="0"/>
          <w:color w:val="000000" w:themeColor="text1"/>
          <w:highlight w:val="none"/>
          <w14:textFill>
            <w14:solidFill>
              <w14:schemeClr w14:val="tx1"/>
            </w14:solidFill>
          </w14:textFill>
        </w:rPr>
        <w:t xml:space="preserve"> </w:t>
      </w:r>
      <w:r>
        <w:rPr>
          <w:rFonts w:hint="eastAsia" w:asciiTheme="minorEastAsia" w:hAnsiTheme="minorEastAsia" w:eastAsiaTheme="minorEastAsia" w:cstheme="minorEastAsia"/>
          <w:bCs/>
          <w:color w:val="000000" w:themeColor="text1"/>
          <w:highlight w:val="none"/>
          <w14:textFill>
            <w14:solidFill>
              <w14:schemeClr w14:val="tx1"/>
            </w14:solidFill>
          </w14:textFill>
        </w:rPr>
        <w:t>初步评审阶段</w:t>
      </w:r>
    </w:p>
    <w:p w14:paraId="7A48C448">
      <w:pPr>
        <w:pStyle w:val="36"/>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初步评审阶段分为资格评审、形式评审和响应性评审三个环节。</w:t>
      </w:r>
    </w:p>
    <w:p w14:paraId="64ADCB47">
      <w:pPr>
        <w:pStyle w:val="36"/>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14.</w:t>
      </w:r>
      <w:r>
        <w:rPr>
          <w:rFonts w:hint="eastAsia" w:asciiTheme="minorEastAsia" w:hAnsiTheme="minorEastAsia" w:eastAsiaTheme="minorEastAsia" w:cstheme="minorEastAsia"/>
          <w:bCs/>
          <w:color w:val="000000" w:themeColor="text1"/>
          <w:highlight w:val="none"/>
          <w:lang w:val="en-US" w:eastAsia="zh-CN"/>
          <w14:textFill>
            <w14:solidFill>
              <w14:schemeClr w14:val="tx1"/>
            </w14:solidFill>
          </w14:textFill>
        </w:rPr>
        <w:t>4.1</w:t>
      </w:r>
      <w:r>
        <w:rPr>
          <w:rFonts w:hint="eastAsia" w:asciiTheme="minorEastAsia" w:hAnsiTheme="minorEastAsia" w:eastAsiaTheme="minorEastAsia" w:cstheme="minorEastAsia"/>
          <w:bCs/>
          <w:color w:val="000000" w:themeColor="text1"/>
          <w:highlight w:val="none"/>
          <w14:textFill>
            <w14:solidFill>
              <w14:schemeClr w14:val="tx1"/>
            </w14:solidFill>
          </w14:textFill>
        </w:rPr>
        <w:t>资格评审环节</w:t>
      </w:r>
    </w:p>
    <w:p w14:paraId="19A97792">
      <w:pPr>
        <w:pStyle w:val="36"/>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资格评审事项包括：</w:t>
      </w:r>
    </w:p>
    <w:p w14:paraId="7E7F5972">
      <w:pPr>
        <w:pStyle w:val="36"/>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（1）投标人是否符合本章第三节第 4.4条“禁止投标条款”规定。</w:t>
      </w:r>
    </w:p>
    <w:p w14:paraId="40095529">
      <w:pPr>
        <w:pStyle w:val="36"/>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（2）投标人名称是否与营业执照、资质证书、安全生产许可证一致。</w:t>
      </w:r>
    </w:p>
    <w:p w14:paraId="3EB53AA3">
      <w:pPr>
        <w:pStyle w:val="36"/>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（3）投标人的资质是否符合招标文件规定；其营业执照、资质证书、安全生产许可证是否合法、有效、准确。</w:t>
      </w:r>
    </w:p>
    <w:p w14:paraId="1854720B">
      <w:pPr>
        <w:pStyle w:val="36"/>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（4）《项目经理简历表》中拟派项目经理是否与《开标一览表》一致。</w:t>
      </w:r>
    </w:p>
    <w:p w14:paraId="2B305B71">
      <w:pPr>
        <w:pStyle w:val="36"/>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5）拟派项目经理、项目技术负责人、专职安全员、设计负责人的条件是否符合招标文件规定；项目管理机构组成人员的各类证书、证件、证明是否合法、有效、准确；是否擅自修改、遗漏《项目经理任职声明》的实质性内容。</w:t>
      </w:r>
    </w:p>
    <w:p w14:paraId="0D85F41D">
      <w:pPr>
        <w:pStyle w:val="36"/>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6）联合体投标的，是否提交《联合体协议书》；是否擅自修改、遗漏《联合体协议书》的实质性内容；联合体成员的数量、资质是否符合招标文件规定；联合体成员是否以自己名义单独或者参加其他联合体参与本招标工程投标。</w:t>
      </w:r>
    </w:p>
    <w:p w14:paraId="6CAE2E4E">
      <w:pPr>
        <w:pStyle w:val="36"/>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（7）投标人为外省建筑企业的，是否按规定在“进粤企业和人员诚信信息登记平台”录入企业及其拟派人员有关信息并通过数据规范检查。</w:t>
      </w:r>
    </w:p>
    <w:p w14:paraId="1CD4D761">
      <w:pPr>
        <w:pStyle w:val="36"/>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注：如果“禁止投标条款”包括失信惩戒的，投标人信用信息的获取采用现场实时查询的方式实施。由招标代理机构工作人员在交易场所工作人员共同见证下，登录信用中国网站（https://www.creditchina.gov.cn），在企业查询界面下载和打印《法人和非法人组织公共信用信息报告》，作为评审依据移交评标委员会。</w:t>
      </w:r>
    </w:p>
    <w:p w14:paraId="75B20E25">
      <w:pPr>
        <w:pStyle w:val="36"/>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14.</w:t>
      </w:r>
      <w:r>
        <w:rPr>
          <w:rFonts w:hint="eastAsia" w:asciiTheme="minorEastAsia" w:hAnsiTheme="minorEastAsia" w:eastAsiaTheme="minorEastAsia" w:cstheme="minorEastAsia"/>
          <w:bCs/>
          <w:color w:val="000000" w:themeColor="text1"/>
          <w:highlight w:val="none"/>
          <w:lang w:val="en-US" w:eastAsia="zh-CN"/>
          <w14:textFill>
            <w14:solidFill>
              <w14:schemeClr w14:val="tx1"/>
            </w14:solidFill>
          </w14:textFill>
        </w:rPr>
        <w:t>4</w:t>
      </w:r>
      <w:r>
        <w:rPr>
          <w:rFonts w:hint="eastAsia" w:asciiTheme="minorEastAsia" w:hAnsiTheme="minorEastAsia" w:eastAsiaTheme="minorEastAsia" w:cstheme="minorEastAsia"/>
          <w:bCs/>
          <w:color w:val="000000" w:themeColor="text1"/>
          <w:highlight w:val="none"/>
          <w14:textFill>
            <w14:solidFill>
              <w14:schemeClr w14:val="tx1"/>
            </w14:solidFill>
          </w14:textFill>
        </w:rPr>
        <w:t>.</w:t>
      </w:r>
      <w:r>
        <w:rPr>
          <w:rFonts w:hint="eastAsia" w:asciiTheme="minorEastAsia" w:hAnsiTheme="minorEastAsia" w:eastAsiaTheme="minorEastAsia" w:cstheme="minorEastAsia"/>
          <w:bCs/>
          <w:color w:val="000000" w:themeColor="text1"/>
          <w:highlight w:val="none"/>
          <w:lang w:val="en-US" w:eastAsia="zh-CN"/>
          <w14:textFill>
            <w14:solidFill>
              <w14:schemeClr w14:val="tx1"/>
            </w14:solidFill>
          </w14:textFill>
        </w:rPr>
        <w:t>2</w:t>
      </w:r>
      <w:r>
        <w:rPr>
          <w:rFonts w:hint="eastAsia" w:asciiTheme="minorEastAsia" w:hAnsiTheme="minorEastAsia" w:eastAsiaTheme="minorEastAsia" w:cstheme="minorEastAsia"/>
          <w:bCs/>
          <w:color w:val="000000" w:themeColor="text1"/>
          <w:highlight w:val="none"/>
          <w14:textFill>
            <w14:solidFill>
              <w14:schemeClr w14:val="tx1"/>
            </w14:solidFill>
          </w14:textFill>
        </w:rPr>
        <w:t xml:space="preserve"> 形式评审环节</w:t>
      </w:r>
    </w:p>
    <w:p w14:paraId="056BB61C">
      <w:pPr>
        <w:pStyle w:val="36"/>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形式评审事项包括：</w:t>
      </w:r>
    </w:p>
    <w:p w14:paraId="15DF92F8">
      <w:pPr>
        <w:pStyle w:val="36"/>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lang w:eastAsia="zh-CN"/>
          <w14:textFill>
            <w14:solidFill>
              <w14:schemeClr w14:val="tx1"/>
            </w14:solidFill>
          </w14:textFill>
        </w:rPr>
        <w:t>（</w:t>
      </w:r>
      <w:r>
        <w:rPr>
          <w:rFonts w:hint="eastAsia" w:asciiTheme="minorEastAsia" w:hAnsiTheme="minorEastAsia" w:eastAsiaTheme="minorEastAsia" w:cstheme="minorEastAsia"/>
          <w:bCs/>
          <w:color w:val="000000" w:themeColor="text1"/>
          <w:highlight w:val="none"/>
          <w:lang w:val="en-US" w:eastAsia="zh-CN"/>
          <w14:textFill>
            <w14:solidFill>
              <w14:schemeClr w14:val="tx1"/>
            </w14:solidFill>
          </w14:textFill>
        </w:rPr>
        <w:t>1</w:t>
      </w:r>
      <w:r>
        <w:rPr>
          <w:rFonts w:hint="eastAsia" w:asciiTheme="minorEastAsia" w:hAnsiTheme="minorEastAsia" w:eastAsiaTheme="minorEastAsia" w:cstheme="minorEastAsia"/>
          <w:bCs/>
          <w:color w:val="000000" w:themeColor="text1"/>
          <w:highlight w:val="none"/>
          <w:lang w:eastAsia="zh-CN"/>
          <w14:textFill>
            <w14:solidFill>
              <w14:schemeClr w14:val="tx1"/>
            </w14:solidFill>
          </w14:textFill>
        </w:rPr>
        <w:t>）</w:t>
      </w:r>
      <w:r>
        <w:rPr>
          <w:rFonts w:hint="eastAsia" w:asciiTheme="minorEastAsia" w:hAnsiTheme="minorEastAsia" w:eastAsiaTheme="minorEastAsia" w:cstheme="minorEastAsia"/>
          <w:bCs/>
          <w:color w:val="000000" w:themeColor="text1"/>
          <w:highlight w:val="none"/>
          <w14:textFill>
            <w14:solidFill>
              <w14:schemeClr w14:val="tx1"/>
            </w14:solidFill>
          </w14:textFill>
        </w:rPr>
        <w:t>投标文件是否按招标文件规定加盖电子印章。</w:t>
      </w:r>
    </w:p>
    <w:p w14:paraId="2080954B">
      <w:pPr>
        <w:pStyle w:val="36"/>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lang w:eastAsia="zh-CN"/>
          <w14:textFill>
            <w14:solidFill>
              <w14:schemeClr w14:val="tx1"/>
            </w14:solidFill>
          </w14:textFill>
        </w:rPr>
        <w:t>（</w:t>
      </w:r>
      <w:r>
        <w:rPr>
          <w:rFonts w:hint="eastAsia" w:asciiTheme="minorEastAsia" w:hAnsiTheme="minorEastAsia" w:eastAsiaTheme="minorEastAsia" w:cstheme="minorEastAsia"/>
          <w:bCs/>
          <w:color w:val="000000" w:themeColor="text1"/>
          <w:highlight w:val="none"/>
          <w:lang w:val="en-US" w:eastAsia="zh-CN"/>
          <w14:textFill>
            <w14:solidFill>
              <w14:schemeClr w14:val="tx1"/>
            </w14:solidFill>
          </w14:textFill>
        </w:rPr>
        <w:t>2</w:t>
      </w:r>
      <w:r>
        <w:rPr>
          <w:rFonts w:hint="eastAsia" w:asciiTheme="minorEastAsia" w:hAnsiTheme="minorEastAsia" w:eastAsiaTheme="minorEastAsia" w:cstheme="minorEastAsia"/>
          <w:bCs/>
          <w:color w:val="000000" w:themeColor="text1"/>
          <w:highlight w:val="none"/>
          <w:lang w:eastAsia="zh-CN"/>
          <w14:textFill>
            <w14:solidFill>
              <w14:schemeClr w14:val="tx1"/>
            </w14:solidFill>
          </w14:textFill>
        </w:rPr>
        <w:t>）</w:t>
      </w:r>
      <w:r>
        <w:rPr>
          <w:rFonts w:hint="eastAsia" w:asciiTheme="minorEastAsia" w:hAnsiTheme="minorEastAsia" w:eastAsiaTheme="minorEastAsia" w:cstheme="minorEastAsia"/>
          <w:bCs/>
          <w:color w:val="000000" w:themeColor="text1"/>
          <w:highlight w:val="none"/>
          <w14:textFill>
            <w14:solidFill>
              <w14:schemeClr w14:val="tx1"/>
            </w14:solidFill>
          </w14:textFill>
        </w:rPr>
        <w:t>本节第11.2.2目中规定的“所有投标人均应提供”的组成内容（包括该组成内容的所附资料）是否完整、齐全。</w:t>
      </w:r>
    </w:p>
    <w:p w14:paraId="3FD1877A">
      <w:pPr>
        <w:pStyle w:val="36"/>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14.</w:t>
      </w:r>
      <w:r>
        <w:rPr>
          <w:rFonts w:hint="eastAsia" w:asciiTheme="minorEastAsia" w:hAnsiTheme="minorEastAsia" w:eastAsiaTheme="minorEastAsia" w:cstheme="minorEastAsia"/>
          <w:bCs/>
          <w:color w:val="000000" w:themeColor="text1"/>
          <w:highlight w:val="none"/>
          <w:lang w:val="en-US" w:eastAsia="zh-CN"/>
          <w14:textFill>
            <w14:solidFill>
              <w14:schemeClr w14:val="tx1"/>
            </w14:solidFill>
          </w14:textFill>
        </w:rPr>
        <w:t>4</w:t>
      </w:r>
      <w:r>
        <w:rPr>
          <w:rFonts w:hint="eastAsia" w:asciiTheme="minorEastAsia" w:hAnsiTheme="minorEastAsia" w:eastAsiaTheme="minorEastAsia" w:cstheme="minorEastAsia"/>
          <w:bCs/>
          <w:color w:val="000000" w:themeColor="text1"/>
          <w:highlight w:val="none"/>
          <w14:textFill>
            <w14:solidFill>
              <w14:schemeClr w14:val="tx1"/>
            </w14:solidFill>
          </w14:textFill>
        </w:rPr>
        <w:t>.</w:t>
      </w:r>
      <w:r>
        <w:rPr>
          <w:rFonts w:hint="eastAsia" w:asciiTheme="minorEastAsia" w:hAnsiTheme="minorEastAsia" w:eastAsiaTheme="minorEastAsia" w:cstheme="minorEastAsia"/>
          <w:bCs/>
          <w:color w:val="000000" w:themeColor="text1"/>
          <w:highlight w:val="none"/>
          <w:lang w:val="en-US" w:eastAsia="zh-CN"/>
          <w14:textFill>
            <w14:solidFill>
              <w14:schemeClr w14:val="tx1"/>
            </w14:solidFill>
          </w14:textFill>
        </w:rPr>
        <w:t>3</w:t>
      </w:r>
      <w:r>
        <w:rPr>
          <w:rFonts w:hint="eastAsia" w:asciiTheme="minorEastAsia" w:hAnsiTheme="minorEastAsia" w:eastAsiaTheme="minorEastAsia" w:cstheme="minorEastAsia"/>
          <w:bCs/>
          <w:color w:val="000000" w:themeColor="text1"/>
          <w:highlight w:val="none"/>
          <w14:textFill>
            <w14:solidFill>
              <w14:schemeClr w14:val="tx1"/>
            </w14:solidFill>
          </w14:textFill>
        </w:rPr>
        <w:t xml:space="preserve"> 响应性评审环节</w:t>
      </w:r>
    </w:p>
    <w:p w14:paraId="6771CE76">
      <w:pPr>
        <w:pStyle w:val="36"/>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响应性评审事项包括：</w:t>
      </w:r>
    </w:p>
    <w:p w14:paraId="04FB26F9">
      <w:pPr>
        <w:pStyle w:val="36"/>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（1）投标有效期、质量标准、工期等是否响应招标文件实质性要求；是否擅自修改、遗漏《投标函》《各项承诺一览表》的实质性内容。</w:t>
      </w:r>
    </w:p>
    <w:p w14:paraId="42C032E1">
      <w:pPr>
        <w:pStyle w:val="36"/>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（2）编投标总价是否唯一；投标总价是否超出最高投标限价；投标人是否以低于成本的价格竞标。</w:t>
      </w:r>
    </w:p>
    <w:p w14:paraId="601591BE">
      <w:pPr>
        <w:pStyle w:val="36"/>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 xml:space="preserve">    注：如果某投标人的投标总价下浮率（投标总价下浮率＝100%－投标总价÷</w:t>
      </w:r>
      <w:r>
        <w:rPr>
          <w:rFonts w:hint="eastAsia" w:asciiTheme="minorEastAsia" w:hAnsiTheme="minorEastAsia" w:eastAsiaTheme="minorEastAsia" w:cstheme="minorEastAsia"/>
          <w:bCs/>
          <w:color w:val="000000" w:themeColor="text1"/>
          <w:highlight w:val="none"/>
          <w:lang w:eastAsia="zh-CN"/>
          <w14:textFill>
            <w14:solidFill>
              <w14:schemeClr w14:val="tx1"/>
            </w14:solidFill>
          </w14:textFill>
        </w:rPr>
        <w:t>最高投标限价</w:t>
      </w:r>
      <w:r>
        <w:rPr>
          <w:rFonts w:hint="eastAsia" w:asciiTheme="minorEastAsia" w:hAnsiTheme="minorEastAsia" w:eastAsiaTheme="minorEastAsia" w:cstheme="minorEastAsia"/>
          <w:bCs/>
          <w:color w:val="000000" w:themeColor="text1"/>
          <w:highlight w:val="none"/>
          <w14:textFill>
            <w14:solidFill>
              <w14:schemeClr w14:val="tx1"/>
            </w14:solidFill>
          </w14:textFill>
        </w:rPr>
        <w:t>×100%）超过15%，又未提供相应书面说明和佐证材料或提供的书面说明和佐证材料不能令人信服的，评标委员会应认定其以低于成本的价格竞标，并否决其投标。评标委员会接受该投标人的投标总价而未否决其投标的，应在评标报告中说明判断理由。</w:t>
      </w:r>
    </w:p>
    <w:p w14:paraId="4EA572DE">
      <w:pPr>
        <w:pStyle w:val="36"/>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14.</w:t>
      </w:r>
      <w:r>
        <w:rPr>
          <w:rFonts w:hint="eastAsia" w:asciiTheme="minorEastAsia" w:hAnsiTheme="minorEastAsia" w:eastAsiaTheme="minorEastAsia" w:cstheme="minorEastAsia"/>
          <w:bCs/>
          <w:color w:val="000000" w:themeColor="text1"/>
          <w:highlight w:val="none"/>
          <w:lang w:val="en-US" w:eastAsia="zh-CN"/>
          <w14:textFill>
            <w14:solidFill>
              <w14:schemeClr w14:val="tx1"/>
            </w14:solidFill>
          </w14:textFill>
        </w:rPr>
        <w:t>4</w:t>
      </w:r>
      <w:r>
        <w:rPr>
          <w:rFonts w:hint="eastAsia" w:asciiTheme="minorEastAsia" w:hAnsiTheme="minorEastAsia" w:eastAsiaTheme="minorEastAsia" w:cstheme="minorEastAsia"/>
          <w:bCs/>
          <w:color w:val="000000" w:themeColor="text1"/>
          <w:highlight w:val="none"/>
          <w14:textFill>
            <w14:solidFill>
              <w14:schemeClr w14:val="tx1"/>
            </w14:solidFill>
          </w14:textFill>
        </w:rPr>
        <w:t>.</w:t>
      </w:r>
      <w:r>
        <w:rPr>
          <w:rFonts w:hint="eastAsia" w:asciiTheme="minorEastAsia" w:hAnsiTheme="minorEastAsia" w:eastAsiaTheme="minorEastAsia" w:cstheme="minorEastAsia"/>
          <w:bCs/>
          <w:color w:val="000000" w:themeColor="text1"/>
          <w:highlight w:val="none"/>
          <w:lang w:val="en-US" w:eastAsia="zh-CN"/>
          <w14:textFill>
            <w14:solidFill>
              <w14:schemeClr w14:val="tx1"/>
            </w14:solidFill>
          </w14:textFill>
        </w:rPr>
        <w:t>4</w:t>
      </w:r>
      <w:r>
        <w:rPr>
          <w:rFonts w:hint="eastAsia" w:asciiTheme="minorEastAsia" w:hAnsiTheme="minorEastAsia" w:eastAsiaTheme="minorEastAsia" w:cstheme="minorEastAsia"/>
          <w:bCs/>
          <w:color w:val="000000" w:themeColor="text1"/>
          <w:highlight w:val="none"/>
          <w14:textFill>
            <w14:solidFill>
              <w14:schemeClr w14:val="tx1"/>
            </w14:solidFill>
          </w14:textFill>
        </w:rPr>
        <w:t>否决投标说明</w:t>
      </w:r>
    </w:p>
    <w:p w14:paraId="09CB7FDB">
      <w:pPr>
        <w:pStyle w:val="36"/>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初步评审阶段各个环节否决投标的全部条件，在本章第四节“否决投标条件”第1条至第4条中集中列示。投标人有其中所列任何一种情形的，由评标委员会否决其投标。在初步评审阶段任何环节被否决的投标人，不进入下一环节（或阶段）评审。在初步评审阶段任何环节，有效投标人数量不足3个时，招标人应依法重新组织招标。</w:t>
      </w:r>
    </w:p>
    <w:p w14:paraId="47761881">
      <w:pPr>
        <w:pStyle w:val="36"/>
        <w:autoSpaceDE w:val="0"/>
        <w:autoSpaceDN w:val="0"/>
        <w:adjustRightInd w:val="0"/>
        <w:ind w:firstLine="482"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bookmarkStart w:id="276" w:name="_Toc18413"/>
      <w:r>
        <w:rPr>
          <w:rFonts w:hint="eastAsia" w:asciiTheme="minorEastAsia" w:hAnsiTheme="minorEastAsia" w:eastAsiaTheme="minorEastAsia" w:cstheme="minorEastAsia"/>
          <w:b/>
          <w:color w:val="000000" w:themeColor="text1"/>
          <w:highlight w:val="none"/>
          <w14:textFill>
            <w14:solidFill>
              <w14:schemeClr w14:val="tx1"/>
            </w14:solidFill>
          </w14:textFill>
        </w:rPr>
        <w:t>14.</w:t>
      </w:r>
      <w:r>
        <w:rPr>
          <w:rFonts w:hint="eastAsia" w:asciiTheme="minorEastAsia" w:hAnsiTheme="minorEastAsia" w:eastAsiaTheme="minorEastAsia" w:cstheme="minorEastAsia"/>
          <w:b/>
          <w:color w:val="000000" w:themeColor="text1"/>
          <w:highlight w:val="none"/>
          <w:lang w:val="en-US" w:eastAsia="zh-CN"/>
          <w14:textFill>
            <w14:solidFill>
              <w14:schemeClr w14:val="tx1"/>
            </w14:solidFill>
          </w14:textFill>
        </w:rPr>
        <w:t>5</w:t>
      </w:r>
      <w:r>
        <w:rPr>
          <w:rFonts w:hint="eastAsia" w:asciiTheme="minorEastAsia" w:hAnsiTheme="minorEastAsia" w:eastAsiaTheme="minorEastAsia" w:cstheme="minorEastAsia"/>
          <w:b/>
          <w:color w:val="000000" w:themeColor="text1"/>
          <w:highlight w:val="none"/>
          <w14:textFill>
            <w14:solidFill>
              <w14:schemeClr w14:val="tx1"/>
            </w14:solidFill>
          </w14:textFill>
        </w:rPr>
        <w:t xml:space="preserve"> 详细评审阶段</w:t>
      </w:r>
      <w:bookmarkEnd w:id="276"/>
    </w:p>
    <w:p w14:paraId="1BF2C010">
      <w:pPr>
        <w:pStyle w:val="36"/>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 xml:space="preserve"> 14.</w:t>
      </w:r>
      <w:r>
        <w:rPr>
          <w:rFonts w:hint="eastAsia" w:asciiTheme="minorEastAsia" w:hAnsiTheme="minorEastAsia" w:eastAsiaTheme="minorEastAsia" w:cstheme="minorEastAsia"/>
          <w:bCs/>
          <w:color w:val="000000" w:themeColor="text1"/>
          <w:highlight w:val="none"/>
          <w:lang w:val="en-US" w:eastAsia="zh-CN"/>
          <w14:textFill>
            <w14:solidFill>
              <w14:schemeClr w14:val="tx1"/>
            </w14:solidFill>
          </w14:textFill>
        </w:rPr>
        <w:t>5</w:t>
      </w:r>
      <w:r>
        <w:rPr>
          <w:rFonts w:hint="eastAsia" w:asciiTheme="minorEastAsia" w:hAnsiTheme="minorEastAsia" w:eastAsiaTheme="minorEastAsia" w:cstheme="minorEastAsia"/>
          <w:bCs/>
          <w:color w:val="000000" w:themeColor="text1"/>
          <w:highlight w:val="none"/>
          <w14:textFill>
            <w14:solidFill>
              <w14:schemeClr w14:val="tx1"/>
            </w14:solidFill>
          </w14:textFill>
        </w:rPr>
        <w:t>.1 “综合评估法”评审程序</w:t>
      </w:r>
    </w:p>
    <w:p w14:paraId="5EB98105">
      <w:pPr>
        <w:pStyle w:val="36"/>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评审内容分为商务部分和经济部分</w:t>
      </w:r>
      <w:r>
        <w:rPr>
          <w:rFonts w:hint="eastAsia" w:asciiTheme="minorEastAsia" w:hAnsiTheme="minorEastAsia" w:eastAsiaTheme="minorEastAsia" w:cstheme="minorEastAsia"/>
          <w:bCs/>
          <w:color w:val="000000" w:themeColor="text1"/>
          <w:highlight w:val="none"/>
          <w:lang w:val="en-US" w:eastAsia="zh-CN"/>
          <w14:textFill>
            <w14:solidFill>
              <w14:schemeClr w14:val="tx1"/>
            </w14:solidFill>
          </w14:textFill>
        </w:rPr>
        <w:t>三</w:t>
      </w:r>
      <w:r>
        <w:rPr>
          <w:rFonts w:hint="eastAsia" w:asciiTheme="minorEastAsia" w:hAnsiTheme="minorEastAsia" w:eastAsiaTheme="minorEastAsia" w:cstheme="minorEastAsia"/>
          <w:bCs/>
          <w:color w:val="000000" w:themeColor="text1"/>
          <w:highlight w:val="none"/>
          <w14:textFill>
            <w14:solidFill>
              <w14:schemeClr w14:val="tx1"/>
            </w14:solidFill>
          </w14:textFill>
        </w:rPr>
        <w:t>大部分，实行分项计分，以100分为满分。具体分值详见《综合评分表》。</w:t>
      </w:r>
    </w:p>
    <w:p w14:paraId="2B222D1E">
      <w:pPr>
        <w:pStyle w:val="36"/>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除特别注明外，综合得分以及商务部分得分</w:t>
      </w:r>
      <w:r>
        <w:rPr>
          <w:rFonts w:hint="eastAsia" w:asciiTheme="minorEastAsia" w:hAnsiTheme="minorEastAsia" w:eastAsiaTheme="minorEastAsia" w:cstheme="minorEastAsia"/>
          <w:bCs/>
          <w:color w:val="000000" w:themeColor="text1"/>
          <w:highlight w:val="none"/>
          <w:lang w:eastAsia="zh-CN"/>
          <w14:textFill>
            <w14:solidFill>
              <w14:schemeClr w14:val="tx1"/>
            </w14:solidFill>
          </w14:textFill>
        </w:rPr>
        <w:t>、</w:t>
      </w:r>
      <w:r>
        <w:rPr>
          <w:rFonts w:hint="eastAsia" w:asciiTheme="minorEastAsia" w:hAnsiTheme="minorEastAsia" w:eastAsiaTheme="minorEastAsia" w:cstheme="minorEastAsia"/>
          <w:bCs/>
          <w:color w:val="000000" w:themeColor="text1"/>
          <w:highlight w:val="none"/>
          <w14:textFill>
            <w14:solidFill>
              <w14:schemeClr w14:val="tx1"/>
            </w14:solidFill>
          </w14:textFill>
        </w:rPr>
        <w:t>经济部分得分的中间过程计算值和最终值，均按“四舍五入”原则精确到两位小数。</w:t>
      </w:r>
    </w:p>
    <w:p w14:paraId="6677DFA1">
      <w:pPr>
        <w:pStyle w:val="36"/>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（1）商务部分得分</w:t>
      </w:r>
    </w:p>
    <w:p w14:paraId="63B59F20">
      <w:pPr>
        <w:pStyle w:val="36"/>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①评标委员会各成员独立按照《综合评分表》商务部分指定的评分标准对各评分因素进行打分。各评分因素得分之和即为某投标人的商务部分得分。</w:t>
      </w:r>
    </w:p>
    <w:p w14:paraId="4209B01D">
      <w:pPr>
        <w:pStyle w:val="36"/>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②全体评委对该投标人的商务部分总评分取平均值，按“四舍五入”原则精确到两位小数即为该投标人商务部分的最终得分。</w:t>
      </w:r>
    </w:p>
    <w:p w14:paraId="0794734A">
      <w:pPr>
        <w:pStyle w:val="36"/>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w:t>
      </w:r>
      <w:r>
        <w:rPr>
          <w:rFonts w:hint="eastAsia" w:asciiTheme="minorEastAsia" w:hAnsiTheme="minorEastAsia" w:eastAsiaTheme="minorEastAsia" w:cstheme="minorEastAsia"/>
          <w:bCs/>
          <w:color w:val="000000" w:themeColor="text1"/>
          <w:highlight w:val="none"/>
          <w:lang w:val="en-US" w:eastAsia="zh-CN"/>
          <w14:textFill>
            <w14:solidFill>
              <w14:schemeClr w14:val="tx1"/>
            </w14:solidFill>
          </w14:textFill>
        </w:rPr>
        <w:t>2</w:t>
      </w:r>
      <w:r>
        <w:rPr>
          <w:rFonts w:hint="eastAsia" w:asciiTheme="minorEastAsia" w:hAnsiTheme="minorEastAsia" w:eastAsiaTheme="minorEastAsia" w:cstheme="minorEastAsia"/>
          <w:bCs/>
          <w:color w:val="000000" w:themeColor="text1"/>
          <w:highlight w:val="none"/>
          <w14:textFill>
            <w14:solidFill>
              <w14:schemeClr w14:val="tx1"/>
            </w14:solidFill>
          </w14:textFill>
        </w:rPr>
        <w:t>）经济部分得分</w:t>
      </w:r>
    </w:p>
    <w:p w14:paraId="1B6DD527">
      <w:pPr>
        <w:pStyle w:val="36"/>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经济部分评分方法详见《综合评分表》。</w:t>
      </w:r>
    </w:p>
    <w:p w14:paraId="11ADE137">
      <w:pPr>
        <w:pStyle w:val="36"/>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w:t>
      </w:r>
      <w:r>
        <w:rPr>
          <w:rFonts w:hint="eastAsia" w:asciiTheme="minorEastAsia" w:hAnsiTheme="minorEastAsia" w:eastAsiaTheme="minorEastAsia" w:cstheme="minorEastAsia"/>
          <w:bCs/>
          <w:color w:val="000000" w:themeColor="text1"/>
          <w:highlight w:val="none"/>
          <w:lang w:val="en-US" w:eastAsia="zh-CN"/>
          <w14:textFill>
            <w14:solidFill>
              <w14:schemeClr w14:val="tx1"/>
            </w14:solidFill>
          </w14:textFill>
        </w:rPr>
        <w:t>4</w:t>
      </w:r>
      <w:r>
        <w:rPr>
          <w:rFonts w:hint="eastAsia" w:asciiTheme="minorEastAsia" w:hAnsiTheme="minorEastAsia" w:eastAsiaTheme="minorEastAsia" w:cstheme="minorEastAsia"/>
          <w:bCs/>
          <w:color w:val="000000" w:themeColor="text1"/>
          <w:highlight w:val="none"/>
          <w14:textFill>
            <w14:solidFill>
              <w14:schemeClr w14:val="tx1"/>
            </w14:solidFill>
          </w14:textFill>
        </w:rPr>
        <w:t>）综合得分</w:t>
      </w:r>
    </w:p>
    <w:p w14:paraId="232BC4DF">
      <w:pPr>
        <w:pStyle w:val="36"/>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综合得分=商务部分得分+经济部分得分</w:t>
      </w:r>
      <w:r>
        <w:rPr>
          <w:rFonts w:hint="eastAsia" w:asciiTheme="minorEastAsia" w:hAnsiTheme="minorEastAsia" w:eastAsiaTheme="minorEastAsia" w:cstheme="minorEastAsia"/>
          <w:bCs/>
          <w:color w:val="000000" w:themeColor="text1"/>
          <w:highlight w:val="none"/>
          <w:lang w:eastAsia="zh-CN"/>
          <w14:textFill>
            <w14:solidFill>
              <w14:schemeClr w14:val="tx1"/>
            </w14:solidFill>
          </w14:textFill>
        </w:rPr>
        <w:t>。</w:t>
      </w:r>
    </w:p>
    <w:p w14:paraId="169A5B0D">
      <w:pPr>
        <w:pStyle w:val="36"/>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w:t>
      </w:r>
      <w:r>
        <w:rPr>
          <w:rFonts w:hint="eastAsia" w:asciiTheme="minorEastAsia" w:hAnsiTheme="minorEastAsia" w:eastAsiaTheme="minorEastAsia" w:cstheme="minorEastAsia"/>
          <w:bCs/>
          <w:color w:val="000000" w:themeColor="text1"/>
          <w:highlight w:val="none"/>
          <w:lang w:val="en-US" w:eastAsia="zh-CN"/>
          <w14:textFill>
            <w14:solidFill>
              <w14:schemeClr w14:val="tx1"/>
            </w14:solidFill>
          </w14:textFill>
        </w:rPr>
        <w:t>5</w:t>
      </w:r>
      <w:r>
        <w:rPr>
          <w:rFonts w:hint="eastAsia" w:asciiTheme="minorEastAsia" w:hAnsiTheme="minorEastAsia" w:eastAsiaTheme="minorEastAsia" w:cstheme="minorEastAsia"/>
          <w:bCs/>
          <w:color w:val="000000" w:themeColor="text1"/>
          <w:highlight w:val="none"/>
          <w14:textFill>
            <w14:solidFill>
              <w14:schemeClr w14:val="tx1"/>
            </w14:solidFill>
          </w14:textFill>
        </w:rPr>
        <w:t>）评标委员会汇总、比较所有投标人的综合得分后，取综合得分最高的投标人为第一中标候选人，取综合得分第二、第三高的投标人为第二、第三中标候选人。如果最高综合得分相同，取投标总价低者为第一中标候选人，并依此确定第二、第三中标候选人。如果最高综合得分相同，投标总价也相同，由评标委员会投票确定。</w:t>
      </w:r>
      <w:bookmarkEnd w:id="143"/>
    </w:p>
    <w:p w14:paraId="3DBCE0E5">
      <w:pPr>
        <w:spacing w:line="440" w:lineRule="exact"/>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br w:type="page"/>
      </w:r>
    </w:p>
    <w:p w14:paraId="5492FD46">
      <w:pPr>
        <w:pStyle w:val="36"/>
        <w:autoSpaceDE w:val="0"/>
        <w:autoSpaceDN w:val="0"/>
        <w:adjustRightInd w:val="0"/>
        <w:jc w:val="center"/>
        <w:outlineLvl w:val="2"/>
        <w:rPr>
          <w:rFonts w:hint="eastAsia" w:hAnsi="宋体" w:cs="宋体"/>
          <w:b/>
          <w:bCs/>
          <w:color w:val="000000" w:themeColor="text1"/>
          <w:kern w:val="0"/>
          <w:sz w:val="28"/>
          <w:szCs w:val="30"/>
          <w:highlight w:val="none"/>
          <w14:textFill>
            <w14:solidFill>
              <w14:schemeClr w14:val="tx1"/>
            </w14:solidFill>
          </w14:textFill>
        </w:rPr>
      </w:pPr>
      <w:r>
        <w:rPr>
          <w:rFonts w:hint="eastAsia" w:hAnsi="宋体" w:cs="宋体"/>
          <w:b/>
          <w:bCs/>
          <w:color w:val="000000" w:themeColor="text1"/>
          <w:kern w:val="0"/>
          <w:sz w:val="28"/>
          <w:szCs w:val="30"/>
          <w:highlight w:val="none"/>
          <w14:textFill>
            <w14:solidFill>
              <w14:schemeClr w14:val="tx1"/>
            </w14:solidFill>
          </w14:textFill>
        </w:rPr>
        <w:t>综合评分表</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3"/>
        <w:gridCol w:w="1112"/>
        <w:gridCol w:w="940"/>
        <w:gridCol w:w="3648"/>
        <w:gridCol w:w="3922"/>
      </w:tblGrid>
      <w:tr w14:paraId="21C75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825" w:type="dxa"/>
            <w:gridSpan w:val="3"/>
            <w:tcBorders>
              <w:top w:val="single" w:color="auto" w:sz="4" w:space="0"/>
              <w:left w:val="single" w:color="auto" w:sz="4" w:space="0"/>
              <w:bottom w:val="single" w:color="auto" w:sz="4" w:space="0"/>
              <w:right w:val="single" w:color="auto" w:sz="4" w:space="0"/>
            </w:tcBorders>
            <w:noWrap/>
            <w:vAlign w:val="center"/>
          </w:tcPr>
          <w:p w14:paraId="48069FBA">
            <w:pPr>
              <w:widowControl/>
              <w:spacing w:line="440" w:lineRule="exact"/>
              <w:jc w:val="center"/>
              <w:rPr>
                <w:rFonts w:hint="eastAsia" w:asciiTheme="minorEastAsia" w:hAnsiTheme="minorEastAsia" w:eastAsiaTheme="minorEastAsia" w:cstheme="minorEastAsia"/>
                <w:b/>
                <w:bCs/>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kern w:val="0"/>
                <w:sz w:val="24"/>
                <w:szCs w:val="24"/>
                <w:highlight w:val="none"/>
                <w14:textFill>
                  <w14:solidFill>
                    <w14:schemeClr w14:val="tx1"/>
                  </w14:solidFill>
                </w14:textFill>
              </w:rPr>
              <w:t>评标内容</w:t>
            </w:r>
          </w:p>
        </w:tc>
        <w:tc>
          <w:tcPr>
            <w:tcW w:w="3648" w:type="dxa"/>
            <w:tcBorders>
              <w:top w:val="single" w:color="auto" w:sz="4" w:space="0"/>
              <w:left w:val="single" w:color="auto" w:sz="4" w:space="0"/>
              <w:bottom w:val="single" w:color="auto" w:sz="4" w:space="0"/>
              <w:right w:val="single" w:color="auto" w:sz="4" w:space="0"/>
            </w:tcBorders>
            <w:noWrap/>
            <w:vAlign w:val="center"/>
          </w:tcPr>
          <w:p w14:paraId="412A7D9C">
            <w:pPr>
              <w:widowControl/>
              <w:spacing w:line="440" w:lineRule="exact"/>
              <w:jc w:val="center"/>
              <w:rPr>
                <w:rFonts w:hint="eastAsia" w:asciiTheme="minorEastAsia" w:hAnsiTheme="minorEastAsia" w:eastAsiaTheme="minorEastAsia" w:cstheme="minorEastAsia"/>
                <w:b/>
                <w:bCs/>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kern w:val="0"/>
                <w:sz w:val="24"/>
                <w:szCs w:val="24"/>
                <w:highlight w:val="none"/>
                <w14:textFill>
                  <w14:solidFill>
                    <w14:schemeClr w14:val="tx1"/>
                  </w14:solidFill>
                </w14:textFill>
              </w:rPr>
              <w:t>说    明</w:t>
            </w:r>
          </w:p>
        </w:tc>
        <w:tc>
          <w:tcPr>
            <w:tcW w:w="3922" w:type="dxa"/>
            <w:tcBorders>
              <w:top w:val="single" w:color="auto" w:sz="4" w:space="0"/>
              <w:left w:val="single" w:color="auto" w:sz="4" w:space="0"/>
              <w:bottom w:val="single" w:color="auto" w:sz="4" w:space="0"/>
              <w:right w:val="single" w:color="auto" w:sz="4" w:space="0"/>
            </w:tcBorders>
            <w:noWrap/>
            <w:vAlign w:val="center"/>
          </w:tcPr>
          <w:p w14:paraId="162197C0">
            <w:pPr>
              <w:widowControl/>
              <w:spacing w:line="440" w:lineRule="exact"/>
              <w:jc w:val="center"/>
              <w:rPr>
                <w:rFonts w:hint="eastAsia" w:asciiTheme="minorEastAsia" w:hAnsiTheme="minorEastAsia" w:eastAsiaTheme="minorEastAsia" w:cstheme="minorEastAsia"/>
                <w:b/>
                <w:bCs/>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kern w:val="0"/>
                <w:sz w:val="24"/>
                <w:szCs w:val="24"/>
                <w:highlight w:val="none"/>
                <w14:textFill>
                  <w14:solidFill>
                    <w14:schemeClr w14:val="tx1"/>
                  </w14:solidFill>
                </w14:textFill>
              </w:rPr>
              <w:t>备注</w:t>
            </w:r>
          </w:p>
        </w:tc>
      </w:tr>
      <w:tr w14:paraId="0895E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vMerge w:val="restart"/>
            <w:tcBorders>
              <w:top w:val="single" w:color="auto" w:sz="4" w:space="0"/>
              <w:left w:val="single" w:color="auto" w:sz="4" w:space="0"/>
              <w:bottom w:val="single" w:color="auto" w:sz="4" w:space="0"/>
              <w:right w:val="single" w:color="auto" w:sz="4" w:space="0"/>
            </w:tcBorders>
            <w:noWrap/>
            <w:vAlign w:val="center"/>
          </w:tcPr>
          <w:p w14:paraId="7883B4E4">
            <w:pPr>
              <w:widowControl/>
              <w:spacing w:line="440" w:lineRule="exact"/>
              <w:jc w:val="cente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t>商务</w:t>
            </w:r>
          </w:p>
          <w:p w14:paraId="6FBF9552">
            <w:pPr>
              <w:widowControl/>
              <w:spacing w:line="440" w:lineRule="exact"/>
              <w:jc w:val="cente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t>部分</w:t>
            </w:r>
          </w:p>
          <w:p w14:paraId="23D06CCB">
            <w:pPr>
              <w:widowControl/>
              <w:spacing w:line="440" w:lineRule="exact"/>
              <w:jc w:val="cente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t>得分</w:t>
            </w:r>
          </w:p>
          <w:p w14:paraId="0DEA60EB">
            <w:pPr>
              <w:widowControl/>
              <w:spacing w:line="440" w:lineRule="exact"/>
              <w:jc w:val="cente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kern w:val="0"/>
                <w:sz w:val="24"/>
                <w:szCs w:val="24"/>
                <w:highlight w:val="none"/>
                <w14:textFill>
                  <w14:solidFill>
                    <w14:schemeClr w14:val="tx1"/>
                  </w14:solidFill>
                </w14:textFill>
              </w:rPr>
              <w:t>（50分）</w:t>
            </w:r>
          </w:p>
        </w:tc>
        <w:tc>
          <w:tcPr>
            <w:tcW w:w="1112" w:type="dxa"/>
            <w:vMerge w:val="restart"/>
            <w:tcBorders>
              <w:top w:val="single" w:color="auto" w:sz="4" w:space="0"/>
              <w:left w:val="single" w:color="auto" w:sz="4" w:space="0"/>
              <w:bottom w:val="single" w:color="auto" w:sz="4" w:space="0"/>
              <w:right w:val="single" w:color="auto" w:sz="4" w:space="0"/>
            </w:tcBorders>
            <w:noWrap/>
            <w:vAlign w:val="center"/>
          </w:tcPr>
          <w:p w14:paraId="7394E18C">
            <w:pPr>
              <w:widowControl/>
              <w:spacing w:line="440" w:lineRule="exact"/>
              <w:jc w:val="cente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kern w:val="0"/>
                <w:sz w:val="24"/>
                <w:szCs w:val="24"/>
                <w:highlight w:val="none"/>
                <w14:textFill>
                  <w14:solidFill>
                    <w14:schemeClr w14:val="tx1"/>
                  </w14:solidFill>
                </w14:textFill>
              </w:rPr>
              <w:t>施工企业（30分）</w:t>
            </w:r>
          </w:p>
        </w:tc>
        <w:tc>
          <w:tcPr>
            <w:tcW w:w="940" w:type="dxa"/>
            <w:tcBorders>
              <w:top w:val="single" w:color="auto" w:sz="4" w:space="0"/>
              <w:left w:val="single" w:color="auto" w:sz="4" w:space="0"/>
              <w:bottom w:val="single" w:color="auto" w:sz="4" w:space="0"/>
              <w:right w:val="single" w:color="auto" w:sz="4" w:space="0"/>
            </w:tcBorders>
            <w:noWrap/>
            <w:vAlign w:val="center"/>
          </w:tcPr>
          <w:p w14:paraId="319DB152">
            <w:pPr>
              <w:widowControl/>
              <w:tabs>
                <w:tab w:val="left" w:pos="7020"/>
              </w:tabs>
              <w:spacing w:line="440" w:lineRule="exact"/>
              <w:jc w:val="center"/>
              <w:textAlignment w:val="baseline"/>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bookmarkStart w:id="277" w:name="OLE_LINK19"/>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企业</w:t>
            </w:r>
          </w:p>
          <w:p w14:paraId="09A85B34">
            <w:pPr>
              <w:widowControl/>
              <w:tabs>
                <w:tab w:val="left" w:pos="7020"/>
              </w:tabs>
              <w:spacing w:line="440" w:lineRule="exact"/>
              <w:jc w:val="center"/>
              <w:textAlignment w:val="baseline"/>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奖项</w:t>
            </w:r>
          </w:p>
          <w:p w14:paraId="1ABF8726">
            <w:pPr>
              <w:widowControl/>
              <w:tabs>
                <w:tab w:val="left" w:pos="7020"/>
              </w:tabs>
              <w:spacing w:line="440" w:lineRule="exact"/>
              <w:textAlignment w:val="baseline"/>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（6分）</w:t>
            </w:r>
            <w:bookmarkEnd w:id="277"/>
          </w:p>
        </w:tc>
        <w:tc>
          <w:tcPr>
            <w:tcW w:w="3648" w:type="dxa"/>
            <w:tcBorders>
              <w:top w:val="single" w:color="auto" w:sz="4" w:space="0"/>
              <w:left w:val="single" w:color="auto" w:sz="4" w:space="0"/>
              <w:bottom w:val="single" w:color="auto" w:sz="4" w:space="0"/>
              <w:right w:val="single" w:color="auto" w:sz="4" w:space="0"/>
            </w:tcBorders>
            <w:noWrap/>
            <w:vAlign w:val="center"/>
          </w:tcPr>
          <w:p w14:paraId="40B08B8E">
            <w:pPr>
              <w:widowControl/>
              <w:spacing w:line="440" w:lineRule="exact"/>
              <w:textAlignment w:val="baseline"/>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企业近年来（2021年1月1日至今）</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获得</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工</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程类奖项情况(不含参建奖)：</w:t>
            </w:r>
          </w:p>
          <w:p w14:paraId="43371F89">
            <w:pPr>
              <w:wordWrap w:val="0"/>
              <w:adjustRightInd w:val="0"/>
              <w:snapToGrid w:val="0"/>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1.获得国家级奖项的，每个得</w:t>
            </w:r>
            <w:r>
              <w:rPr>
                <w:rFonts w:hint="eastAsia" w:asciiTheme="minorEastAsia" w:hAnsiTheme="minorEastAsia" w:eastAsiaTheme="minorEastAsia" w:cstheme="minorEastAsia"/>
                <w:snapToGrid w:val="0"/>
                <w:color w:val="000000" w:themeColor="text1"/>
                <w:kern w:val="0"/>
                <w:sz w:val="24"/>
                <w:szCs w:val="24"/>
                <w:highlight w:val="none"/>
                <w:u w:val="single"/>
                <w14:textFill>
                  <w14:solidFill>
                    <w14:schemeClr w14:val="tx1"/>
                  </w14:solidFill>
                </w14:textFill>
              </w:rPr>
              <w:t xml:space="preserve"> 6</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分。</w:t>
            </w:r>
          </w:p>
          <w:p w14:paraId="34C1A702">
            <w:pPr>
              <w:wordWrap w:val="0"/>
              <w:adjustRightInd w:val="0"/>
              <w:snapToGrid w:val="0"/>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2.获得省级奖项的，每个得</w:t>
            </w:r>
            <w:r>
              <w:rPr>
                <w:rFonts w:hint="eastAsia" w:asciiTheme="minorEastAsia" w:hAnsiTheme="minorEastAsia" w:eastAsiaTheme="minorEastAsia" w:cstheme="minorEastAsia"/>
                <w:snapToGrid w:val="0"/>
                <w:color w:val="000000" w:themeColor="text1"/>
                <w:kern w:val="0"/>
                <w:sz w:val="24"/>
                <w:szCs w:val="24"/>
                <w:highlight w:val="none"/>
                <w:u w:val="single"/>
                <w14:textFill>
                  <w14:solidFill>
                    <w14:schemeClr w14:val="tx1"/>
                  </w14:solidFill>
                </w14:textFill>
              </w:rPr>
              <w:t xml:space="preserve"> 3 </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分。</w:t>
            </w:r>
          </w:p>
          <w:p w14:paraId="0430C236">
            <w:pPr>
              <w:wordWrap w:val="0"/>
              <w:adjustRightInd w:val="0"/>
              <w:snapToGrid w:val="0"/>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3.获得地市级奖项的，每个得</w:t>
            </w:r>
            <w:r>
              <w:rPr>
                <w:rFonts w:hint="eastAsia" w:asciiTheme="minorEastAsia" w:hAnsiTheme="minorEastAsia" w:eastAsiaTheme="minorEastAsia" w:cstheme="minorEastAsia"/>
                <w:snapToGrid w:val="0"/>
                <w:color w:val="000000" w:themeColor="text1"/>
                <w:kern w:val="0"/>
                <w:sz w:val="24"/>
                <w:szCs w:val="24"/>
                <w:highlight w:val="none"/>
                <w:u w:val="single"/>
                <w14:textFill>
                  <w14:solidFill>
                    <w14:schemeClr w14:val="tx1"/>
                  </w14:solidFill>
                </w14:textFill>
              </w:rPr>
              <w:t xml:space="preserve"> 2</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分。</w:t>
            </w:r>
          </w:p>
          <w:p w14:paraId="0D31B6D1">
            <w:pPr>
              <w:wordWrap w:val="0"/>
              <w:spacing w:line="440" w:lineRule="exac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3．以上奖项均未获得的，不予计分。</w:t>
            </w:r>
          </w:p>
          <w:p w14:paraId="473F2BCB">
            <w:pPr>
              <w:spacing w:line="440" w:lineRule="exact"/>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4．本项最高得6分。</w:t>
            </w:r>
          </w:p>
        </w:tc>
        <w:tc>
          <w:tcPr>
            <w:tcW w:w="3922" w:type="dxa"/>
            <w:tcBorders>
              <w:top w:val="single" w:color="auto" w:sz="4" w:space="0"/>
              <w:left w:val="single" w:color="auto" w:sz="4" w:space="0"/>
              <w:bottom w:val="single" w:color="auto" w:sz="4" w:space="0"/>
              <w:right w:val="single" w:color="auto" w:sz="4" w:space="0"/>
            </w:tcBorders>
            <w:noWrap/>
            <w:vAlign w:val="center"/>
          </w:tcPr>
          <w:p w14:paraId="5D7FE99B">
            <w:pPr>
              <w:wordWrap w:val="0"/>
              <w:spacing w:line="440" w:lineRule="exac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1．允许投标人提交多个业绩，但同一业绩只按最高级别奖项计分一次。</w:t>
            </w:r>
          </w:p>
          <w:p w14:paraId="0F31B781">
            <w:pPr>
              <w:wordWrap w:val="0"/>
              <w:spacing w:line="440" w:lineRule="exac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2．需附有关奖项证明彩色扫描件（或打印件）。</w:t>
            </w:r>
          </w:p>
          <w:p w14:paraId="01597B53">
            <w:pPr>
              <w:wordWrap w:val="0"/>
              <w:spacing w:line="440" w:lineRule="exac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3．颁发机构限定以下范围：</w:t>
            </w:r>
          </w:p>
          <w:p w14:paraId="77809BC8">
            <w:pPr>
              <w:wordWrap w:val="0"/>
              <w:adjustRightInd w:val="0"/>
              <w:snapToGrid w:val="0"/>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①国家级奖项：</w:t>
            </w:r>
            <w:r>
              <w:rPr>
                <w:rFonts w:hint="eastAsia" w:asciiTheme="minorEastAsia" w:hAnsiTheme="minorEastAsia" w:eastAsiaTheme="minorEastAsia" w:cstheme="minorEastAsia"/>
                <w:snapToGrid w:val="0"/>
                <w:color w:val="000000" w:themeColor="text1"/>
                <w:kern w:val="0"/>
                <w:sz w:val="24"/>
                <w:szCs w:val="24"/>
                <w:highlight w:val="none"/>
                <w:u w:val="single"/>
                <w14:textFill>
                  <w14:solidFill>
                    <w14:schemeClr w14:val="tx1"/>
                  </w14:solidFill>
                </w14:textFill>
              </w:rPr>
              <w:t>国务院、住建部、国家建筑行业协会或国家级市政行业协会；（相关协会需经民政部门备案）；</w:t>
            </w:r>
          </w:p>
          <w:p w14:paraId="1BE537AD">
            <w:pPr>
              <w:wordWrap w:val="0"/>
              <w:adjustRightInd w:val="0"/>
              <w:snapToGrid w:val="0"/>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②省级奖项：</w:t>
            </w:r>
            <w:r>
              <w:rPr>
                <w:rFonts w:hint="eastAsia" w:asciiTheme="minorEastAsia" w:hAnsiTheme="minorEastAsia" w:eastAsiaTheme="minorEastAsia" w:cstheme="minorEastAsia"/>
                <w:snapToGrid w:val="0"/>
                <w:color w:val="000000" w:themeColor="text1"/>
                <w:kern w:val="0"/>
                <w:sz w:val="24"/>
                <w:szCs w:val="24"/>
                <w:highlight w:val="none"/>
                <w:u w:val="single"/>
                <w14:textFill>
                  <w14:solidFill>
                    <w14:schemeClr w14:val="tx1"/>
                  </w14:solidFill>
                </w14:textFill>
              </w:rPr>
              <w:t>省级人民政府、省级住建部门、省建筑行业协会或省市政行业协会；（相关协会需经民政部门备案）；</w:t>
            </w:r>
          </w:p>
          <w:p w14:paraId="4395B09A">
            <w:pPr>
              <w:wordWrap w:val="0"/>
              <w:adjustRightInd w:val="0"/>
              <w:snapToGrid w:val="0"/>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③地市级奖项：</w:t>
            </w:r>
            <w:r>
              <w:rPr>
                <w:rFonts w:hint="eastAsia" w:asciiTheme="minorEastAsia" w:hAnsiTheme="minorEastAsia" w:eastAsiaTheme="minorEastAsia" w:cstheme="minorEastAsia"/>
                <w:snapToGrid w:val="0"/>
                <w:color w:val="000000" w:themeColor="text1"/>
                <w:kern w:val="0"/>
                <w:sz w:val="24"/>
                <w:szCs w:val="24"/>
                <w:highlight w:val="none"/>
                <w:u w:val="single"/>
                <w14:textFill>
                  <w14:solidFill>
                    <w14:schemeClr w14:val="tx1"/>
                  </w14:solidFill>
                </w14:textFill>
              </w:rPr>
              <w:t>地市级人民政府、地市级住建部门、建筑行业协会或市政行业协会。（相关协会需经民政部门备案）。</w:t>
            </w:r>
          </w:p>
          <w:p w14:paraId="3F584A11">
            <w:pPr>
              <w:wordWrap w:val="0"/>
              <w:spacing w:line="440" w:lineRule="exac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4．获奖时间以奖项证明的落款日期为准。</w:t>
            </w:r>
          </w:p>
          <w:p w14:paraId="391E5175">
            <w:pPr>
              <w:wordWrap w:val="0"/>
              <w:spacing w:line="440" w:lineRule="exac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5．任一奖项有以下情形之一的，该奖项视为无效，不予计分：</w:t>
            </w:r>
          </w:p>
          <w:p w14:paraId="5B27C2D4">
            <w:pPr>
              <w:wordWrap w:val="0"/>
              <w:spacing w:line="440" w:lineRule="exact"/>
              <w:rPr>
                <w:rFonts w:hint="eastAsia" w:asciiTheme="minorEastAsia" w:hAnsiTheme="minorEastAsia" w:eastAsiaTheme="minorEastAsia" w:cstheme="minorEastAsia"/>
                <w:strike/>
                <w:dstrike w:val="0"/>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①奖项不属于指定类别的；</w:t>
            </w:r>
          </w:p>
          <w:p w14:paraId="1F6A2A3E">
            <w:pPr>
              <w:wordWrap w:val="0"/>
              <w:spacing w:line="440" w:lineRule="exac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②颁发机构不符合要求的；</w:t>
            </w:r>
          </w:p>
          <w:p w14:paraId="16B0B676">
            <w:pPr>
              <w:wordWrap w:val="0"/>
              <w:spacing w:line="440" w:lineRule="exac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③获奖时间不符合要求的。</w:t>
            </w:r>
          </w:p>
          <w:p w14:paraId="14547EEC">
            <w:pPr>
              <w:widowControl/>
              <w:spacing w:line="440" w:lineRule="exact"/>
              <w:textAlignment w:val="baseline"/>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 w:val="24"/>
                <w:szCs w:val="24"/>
                <w:highlight w:val="none"/>
                <w14:textFill>
                  <w14:solidFill>
                    <w14:schemeClr w14:val="tx1"/>
                  </w14:solidFill>
                </w14:textFill>
              </w:rPr>
              <w:t>说明：以上所称“要求”均指本表评分标准及备注的要求，下同。</w:t>
            </w:r>
          </w:p>
        </w:tc>
      </w:tr>
      <w:tr w14:paraId="16B5D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vMerge w:val="continue"/>
            <w:tcBorders>
              <w:top w:val="single" w:color="auto" w:sz="4" w:space="0"/>
              <w:left w:val="single" w:color="auto" w:sz="4" w:space="0"/>
              <w:bottom w:val="single" w:color="auto" w:sz="4" w:space="0"/>
              <w:right w:val="single" w:color="auto" w:sz="4" w:space="0"/>
            </w:tcBorders>
            <w:vAlign w:val="center"/>
          </w:tcPr>
          <w:p w14:paraId="24023034">
            <w:pPr>
              <w:widowControl/>
              <w:jc w:val="left"/>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p>
        </w:tc>
        <w:tc>
          <w:tcPr>
            <w:tcW w:w="1112" w:type="dxa"/>
            <w:vMerge w:val="continue"/>
            <w:tcBorders>
              <w:top w:val="single" w:color="auto" w:sz="4" w:space="0"/>
              <w:left w:val="single" w:color="auto" w:sz="4" w:space="0"/>
              <w:bottom w:val="single" w:color="auto" w:sz="4" w:space="0"/>
              <w:right w:val="single" w:color="auto" w:sz="4" w:space="0"/>
            </w:tcBorders>
            <w:vAlign w:val="center"/>
          </w:tcPr>
          <w:p w14:paraId="03000E5D">
            <w:pPr>
              <w:widowControl/>
              <w:jc w:val="left"/>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p>
        </w:tc>
        <w:tc>
          <w:tcPr>
            <w:tcW w:w="940" w:type="dxa"/>
            <w:tcBorders>
              <w:top w:val="single" w:color="auto" w:sz="4" w:space="0"/>
              <w:left w:val="single" w:color="auto" w:sz="4" w:space="0"/>
              <w:bottom w:val="single" w:color="auto" w:sz="4" w:space="0"/>
              <w:right w:val="single" w:color="auto" w:sz="4" w:space="0"/>
            </w:tcBorders>
            <w:noWrap/>
            <w:vAlign w:val="center"/>
          </w:tcPr>
          <w:p w14:paraId="3433C699">
            <w:pPr>
              <w:widowControl/>
              <w:tabs>
                <w:tab w:val="left" w:pos="7020"/>
              </w:tabs>
              <w:spacing w:line="440" w:lineRule="exact"/>
              <w:jc w:val="center"/>
              <w:textAlignment w:val="baseline"/>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企业</w:t>
            </w:r>
          </w:p>
          <w:p w14:paraId="4156B9FF">
            <w:pPr>
              <w:widowControl/>
              <w:tabs>
                <w:tab w:val="left" w:pos="7020"/>
              </w:tabs>
              <w:spacing w:line="440" w:lineRule="exact"/>
              <w:jc w:val="center"/>
              <w:textAlignment w:val="baseline"/>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业绩</w:t>
            </w:r>
          </w:p>
          <w:p w14:paraId="372A3105">
            <w:pPr>
              <w:widowControl/>
              <w:tabs>
                <w:tab w:val="left" w:pos="7020"/>
              </w:tabs>
              <w:spacing w:line="440" w:lineRule="exact"/>
              <w:textAlignment w:val="baseline"/>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（3分）</w:t>
            </w:r>
          </w:p>
        </w:tc>
        <w:tc>
          <w:tcPr>
            <w:tcW w:w="3648" w:type="dxa"/>
            <w:tcBorders>
              <w:top w:val="single" w:color="auto" w:sz="4" w:space="0"/>
              <w:left w:val="single" w:color="auto" w:sz="4" w:space="0"/>
              <w:bottom w:val="single" w:color="auto" w:sz="4" w:space="0"/>
              <w:right w:val="single" w:color="auto" w:sz="4" w:space="0"/>
            </w:tcBorders>
            <w:noWrap/>
            <w:vAlign w:val="center"/>
          </w:tcPr>
          <w:p w14:paraId="68A76E4C">
            <w:pPr>
              <w:wordWrap w:val="0"/>
              <w:spacing w:line="440" w:lineRule="exac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企业近年来（2021年1月1日至今）业绩情况：</w:t>
            </w:r>
          </w:p>
          <w:p w14:paraId="7A3F3F82">
            <w:pPr>
              <w:wordWrap w:val="0"/>
              <w:spacing w:line="440" w:lineRule="exac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1．</w:t>
            </w:r>
            <w:r>
              <w:rPr>
                <w:rFonts w:hint="eastAsia" w:asciiTheme="minorEastAsia" w:hAnsiTheme="minorEastAsia" w:eastAsiaTheme="minorEastAsia" w:cstheme="minorEastAsia"/>
                <w:snapToGrid w:val="0"/>
                <w:color w:val="000000" w:themeColor="text1"/>
                <w:kern w:val="0"/>
                <w:sz w:val="24"/>
                <w:szCs w:val="24"/>
                <w:highlight w:val="none"/>
                <w:u w:val="single"/>
                <w14:textFill>
                  <w14:solidFill>
                    <w14:schemeClr w14:val="tx1"/>
                  </w14:solidFill>
                </w14:textFill>
              </w:rPr>
              <w:t xml:space="preserve"> 承接 </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过类似工程的，每个得</w:t>
            </w:r>
            <w:r>
              <w:rPr>
                <w:rFonts w:hint="eastAsia" w:asciiTheme="minorEastAsia" w:hAnsiTheme="minorEastAsia" w:eastAsiaTheme="minorEastAsia" w:cstheme="minorEastAsia"/>
                <w:snapToGrid w:val="0"/>
                <w:color w:val="000000" w:themeColor="text1"/>
                <w:kern w:val="0"/>
                <w:sz w:val="24"/>
                <w:szCs w:val="24"/>
                <w:highlight w:val="none"/>
                <w:u w:val="single"/>
                <w14:textFill>
                  <w14:solidFill>
                    <w14:schemeClr w14:val="tx1"/>
                  </w14:solidFill>
                </w14:textFill>
              </w:rPr>
              <w:t xml:space="preserve"> 1 </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分。</w:t>
            </w:r>
          </w:p>
          <w:p w14:paraId="67745FA0">
            <w:pPr>
              <w:wordWrap w:val="0"/>
              <w:spacing w:line="440" w:lineRule="exac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2．未</w:t>
            </w:r>
            <w:r>
              <w:rPr>
                <w:rFonts w:hint="eastAsia" w:asciiTheme="minorEastAsia" w:hAnsiTheme="minorEastAsia" w:eastAsiaTheme="minorEastAsia" w:cstheme="minorEastAsia"/>
                <w:snapToGrid w:val="0"/>
                <w:color w:val="000000" w:themeColor="text1"/>
                <w:kern w:val="0"/>
                <w:sz w:val="24"/>
                <w:szCs w:val="24"/>
                <w:highlight w:val="none"/>
                <w:u w:val="single"/>
                <w14:textFill>
                  <w14:solidFill>
                    <w14:schemeClr w14:val="tx1"/>
                  </w14:solidFill>
                </w14:textFill>
              </w:rPr>
              <w:t xml:space="preserve"> 承接 </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过类似工程的，不予计分。</w:t>
            </w:r>
          </w:p>
          <w:p w14:paraId="768571A3">
            <w:pPr>
              <w:wordWrap w:val="0"/>
              <w:spacing w:line="440" w:lineRule="exac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 xml:space="preserve">3．本项最高得3分。 </w:t>
            </w:r>
          </w:p>
          <w:p w14:paraId="7865655C">
            <w:pPr>
              <w:pStyle w:val="2"/>
              <w:spacing w:line="440" w:lineRule="exac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p>
          <w:p w14:paraId="64EE7108">
            <w:pPr>
              <w:spacing w:line="440" w:lineRule="exact"/>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p>
        </w:tc>
        <w:tc>
          <w:tcPr>
            <w:tcW w:w="3922" w:type="dxa"/>
            <w:tcBorders>
              <w:top w:val="single" w:color="auto" w:sz="4" w:space="0"/>
              <w:left w:val="single" w:color="auto" w:sz="4" w:space="0"/>
              <w:bottom w:val="single" w:color="auto" w:sz="4" w:space="0"/>
              <w:right w:val="single" w:color="auto" w:sz="4" w:space="0"/>
            </w:tcBorders>
            <w:noWrap/>
            <w:vAlign w:val="center"/>
          </w:tcPr>
          <w:p w14:paraId="2A732E6D">
            <w:pPr>
              <w:wordWrap w:val="0"/>
              <w:spacing w:line="440" w:lineRule="exac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1．类似工程指：</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市政工程</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w:t>
            </w:r>
          </w:p>
          <w:p w14:paraId="1FC8E25E">
            <w:pPr>
              <w:wordWrap w:val="0"/>
              <w:spacing w:line="440" w:lineRule="exact"/>
              <w:rPr>
                <w:rFonts w:hint="eastAsia" w:asciiTheme="minorEastAsia" w:hAnsiTheme="minorEastAsia" w:eastAsiaTheme="minorEastAsia" w:cstheme="minorEastAsia"/>
                <w:i/>
                <w:iCs/>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2．需附有关业绩（</w:t>
            </w:r>
            <w:r>
              <w:rPr>
                <w:rFonts w:hint="eastAsia" w:asciiTheme="minorEastAsia" w:hAnsiTheme="minorEastAsia" w:eastAsiaTheme="minorEastAsia" w:cstheme="minorEastAsia"/>
                <w:snapToGrid w:val="0"/>
                <w:color w:val="000000" w:themeColor="text1"/>
                <w:kern w:val="0"/>
                <w:sz w:val="24"/>
                <w:szCs w:val="24"/>
                <w:highlight w:val="none"/>
                <w:u w:val="single"/>
                <w14:textFill>
                  <w14:solidFill>
                    <w14:schemeClr w14:val="tx1"/>
                  </w14:solidFill>
                </w14:textFill>
              </w:rPr>
              <w:t>施工总承包或勘察设计施工总承包或设计施工总承包</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身份参建的项目）合同协议书的彩色扫描件（或打印件）。</w:t>
            </w:r>
          </w:p>
          <w:p w14:paraId="78A0F0A9">
            <w:pPr>
              <w:wordWrap w:val="0"/>
              <w:spacing w:line="440" w:lineRule="exac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3．业绩时间以合同协议书日期为准。</w:t>
            </w:r>
          </w:p>
          <w:p w14:paraId="513D6C4B">
            <w:pPr>
              <w:wordWrap w:val="0"/>
              <w:spacing w:line="440" w:lineRule="exac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4．任一业绩有以下情形之一的，该业绩视为无效，不予计分：</w:t>
            </w:r>
          </w:p>
          <w:p w14:paraId="3C705E7A">
            <w:pPr>
              <w:wordWrap w:val="0"/>
              <w:spacing w:line="440" w:lineRule="exac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①未提供业绩证明材料的；</w:t>
            </w:r>
          </w:p>
          <w:p w14:paraId="3DE53102">
            <w:pPr>
              <w:wordWrap w:val="0"/>
              <w:spacing w:line="440" w:lineRule="exac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②业绩不属于类似工程的；</w:t>
            </w:r>
          </w:p>
          <w:p w14:paraId="1C95E688">
            <w:pPr>
              <w:wordWrap w:val="0"/>
              <w:spacing w:line="440" w:lineRule="exac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③不是以指定身份参建的；</w:t>
            </w:r>
          </w:p>
          <w:p w14:paraId="3DB9A9DA">
            <w:pPr>
              <w:wordWrap w:val="0"/>
              <w:spacing w:line="440" w:lineRule="exac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④业绩时间不符合要求的。</w:t>
            </w:r>
          </w:p>
        </w:tc>
      </w:tr>
      <w:tr w14:paraId="2C092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vMerge w:val="continue"/>
            <w:tcBorders>
              <w:top w:val="single" w:color="auto" w:sz="4" w:space="0"/>
              <w:left w:val="single" w:color="auto" w:sz="4" w:space="0"/>
              <w:bottom w:val="single" w:color="auto" w:sz="4" w:space="0"/>
              <w:right w:val="single" w:color="auto" w:sz="4" w:space="0"/>
            </w:tcBorders>
            <w:vAlign w:val="center"/>
          </w:tcPr>
          <w:p w14:paraId="5A08C226">
            <w:pPr>
              <w:widowControl/>
              <w:jc w:val="left"/>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p>
        </w:tc>
        <w:tc>
          <w:tcPr>
            <w:tcW w:w="1112" w:type="dxa"/>
            <w:vMerge w:val="continue"/>
            <w:tcBorders>
              <w:top w:val="single" w:color="auto" w:sz="4" w:space="0"/>
              <w:left w:val="single" w:color="auto" w:sz="4" w:space="0"/>
              <w:bottom w:val="single" w:color="auto" w:sz="4" w:space="0"/>
              <w:right w:val="single" w:color="auto" w:sz="4" w:space="0"/>
            </w:tcBorders>
            <w:vAlign w:val="center"/>
          </w:tcPr>
          <w:p w14:paraId="1D0D1CE0">
            <w:pPr>
              <w:widowControl/>
              <w:jc w:val="left"/>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p>
        </w:tc>
        <w:tc>
          <w:tcPr>
            <w:tcW w:w="940" w:type="dxa"/>
            <w:tcBorders>
              <w:top w:val="single" w:color="auto" w:sz="4" w:space="0"/>
              <w:left w:val="single" w:color="auto" w:sz="4" w:space="0"/>
              <w:bottom w:val="single" w:color="auto" w:sz="4" w:space="0"/>
              <w:right w:val="single" w:color="auto" w:sz="4" w:space="0"/>
            </w:tcBorders>
            <w:noWrap/>
            <w:vAlign w:val="center"/>
          </w:tcPr>
          <w:p w14:paraId="1B197486">
            <w:pPr>
              <w:keepNext/>
              <w:widowControl/>
              <w:adjustRightInd w:val="0"/>
              <w:snapToGrid w:val="0"/>
              <w:spacing w:line="340" w:lineRule="exact"/>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企业管理体系认证</w:t>
            </w:r>
          </w:p>
          <w:p w14:paraId="3A980688">
            <w:pPr>
              <w:widowControl/>
              <w:tabs>
                <w:tab w:val="left" w:pos="7020"/>
              </w:tabs>
              <w:spacing w:line="440" w:lineRule="exact"/>
              <w:textAlignment w:val="baseline"/>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（6分）</w:t>
            </w:r>
          </w:p>
        </w:tc>
        <w:tc>
          <w:tcPr>
            <w:tcW w:w="3648" w:type="dxa"/>
            <w:tcBorders>
              <w:top w:val="single" w:color="auto" w:sz="4" w:space="0"/>
              <w:left w:val="single" w:color="auto" w:sz="4" w:space="0"/>
              <w:bottom w:val="single" w:color="auto" w:sz="4" w:space="0"/>
              <w:right w:val="single" w:color="auto" w:sz="4" w:space="0"/>
            </w:tcBorders>
            <w:noWrap/>
            <w:vAlign w:val="center"/>
          </w:tcPr>
          <w:p w14:paraId="753F5EAD">
            <w:pPr>
              <w:wordWrap w:val="0"/>
              <w:spacing w:line="440" w:lineRule="exac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质量管理体系认证证书、职业健康安全管理体系认证证书、环境管理体系认证证书</w:t>
            </w:r>
            <w:r>
              <w:rPr>
                <w:rFonts w:hint="eastAsia" w:asciiTheme="minorEastAsia" w:hAnsiTheme="minorEastAsia" w:eastAsiaTheme="minorEastAsia" w:cstheme="minorEastAsia"/>
                <w:snapToGrid w:val="0"/>
                <w:color w:val="000000" w:themeColor="text1"/>
                <w:spacing w:val="7"/>
                <w:kern w:val="0"/>
                <w:sz w:val="24"/>
                <w:szCs w:val="24"/>
                <w:highlight w:val="none"/>
                <w14:textFill>
                  <w14:solidFill>
                    <w14:schemeClr w14:val="tx1"/>
                  </w14:solidFill>
                </w14:textFill>
              </w:rPr>
              <w:t>、</w:t>
            </w: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工程总承包服务规范体系认证</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证书：</w:t>
            </w:r>
          </w:p>
          <w:p w14:paraId="713F5FF6">
            <w:pPr>
              <w:spacing w:line="460" w:lineRule="exact"/>
              <w:ind w:right="19"/>
              <w:rPr>
                <w:rFonts w:hint="eastAsia" w:asciiTheme="minorEastAsia" w:hAnsiTheme="minorEastAsia" w:eastAsiaTheme="minorEastAsia" w:cstheme="minorEastAsia"/>
                <w:color w:val="000000" w:themeColor="text1"/>
                <w:spacing w:val="4"/>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8"/>
                <w:sz w:val="24"/>
                <w:szCs w:val="24"/>
                <w:highlight w:val="none"/>
                <w14:textFill>
                  <w14:solidFill>
                    <w14:schemeClr w14:val="tx1"/>
                  </w14:solidFill>
                </w14:textFill>
              </w:rPr>
              <w:t>1.企业获得其中4项证书的得6分。</w:t>
            </w:r>
            <w:r>
              <w:rPr>
                <w:rFonts w:hint="eastAsia" w:asciiTheme="minorEastAsia" w:hAnsiTheme="minorEastAsia" w:eastAsiaTheme="minorEastAsia" w:cstheme="minorEastAsia"/>
                <w:color w:val="000000" w:themeColor="text1"/>
                <w:spacing w:val="4"/>
                <w:sz w:val="24"/>
                <w:szCs w:val="24"/>
                <w:highlight w:val="none"/>
                <w14:textFill>
                  <w14:solidFill>
                    <w14:schemeClr w14:val="tx1"/>
                  </w14:solidFill>
                </w14:textFill>
              </w:rPr>
              <w:t xml:space="preserve"> </w:t>
            </w:r>
          </w:p>
          <w:p w14:paraId="2751460C">
            <w:pPr>
              <w:spacing w:line="460" w:lineRule="exact"/>
              <w:ind w:right="19"/>
              <w:rPr>
                <w:rFonts w:hint="eastAsia" w:asciiTheme="minorEastAsia" w:hAnsiTheme="minorEastAsia" w:eastAsiaTheme="minorEastAsia" w:cstheme="minorEastAsia"/>
                <w:color w:val="000000" w:themeColor="text1"/>
                <w:spacing w:val="1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10"/>
                <w:sz w:val="24"/>
                <w:szCs w:val="24"/>
                <w:highlight w:val="none"/>
                <w14:textFill>
                  <w14:solidFill>
                    <w14:schemeClr w14:val="tx1"/>
                  </w14:solidFill>
                </w14:textFill>
              </w:rPr>
              <w:t>2.企业获得其中3项证书的得3分。</w:t>
            </w:r>
          </w:p>
          <w:p w14:paraId="73F90090">
            <w:pPr>
              <w:spacing w:line="460" w:lineRule="exact"/>
              <w:ind w:right="19"/>
              <w:rPr>
                <w:rFonts w:hint="eastAsia" w:asciiTheme="minorEastAsia" w:hAnsiTheme="minorEastAsia" w:eastAsiaTheme="minorEastAsia" w:cstheme="minorEastAsia"/>
                <w:color w:val="000000" w:themeColor="text1"/>
                <w:spacing w:val="4"/>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10"/>
                <w:sz w:val="24"/>
                <w:szCs w:val="24"/>
                <w:highlight w:val="none"/>
                <w14:textFill>
                  <w14:solidFill>
                    <w14:schemeClr w14:val="tx1"/>
                  </w14:solidFill>
                </w14:textFill>
              </w:rPr>
              <w:t>3.企业获得其中3项证书的得2</w:t>
            </w:r>
            <w:r>
              <w:rPr>
                <w:rFonts w:hint="eastAsia" w:asciiTheme="minorEastAsia" w:hAnsiTheme="minorEastAsia" w:eastAsiaTheme="minorEastAsia" w:cstheme="minorEastAsia"/>
                <w:color w:val="000000" w:themeColor="text1"/>
                <w:spacing w:val="4"/>
                <w:sz w:val="24"/>
                <w:szCs w:val="24"/>
                <w:highlight w:val="none"/>
                <w14:textFill>
                  <w14:solidFill>
                    <w14:schemeClr w14:val="tx1"/>
                  </w14:solidFill>
                </w14:textFill>
              </w:rPr>
              <w:t xml:space="preserve"> </w:t>
            </w:r>
          </w:p>
          <w:p w14:paraId="32979C15">
            <w:pPr>
              <w:spacing w:line="460" w:lineRule="exact"/>
              <w:ind w:right="19"/>
              <w:rPr>
                <w:rFonts w:hint="eastAsia" w:asciiTheme="minorEastAsia" w:hAnsiTheme="minorEastAsia" w:eastAsiaTheme="minorEastAsia" w:cstheme="minorEastAsia"/>
                <w:color w:val="000000" w:themeColor="text1"/>
                <w:spacing w:val="1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10"/>
                <w:sz w:val="24"/>
                <w:szCs w:val="24"/>
                <w:highlight w:val="none"/>
                <w14:textFill>
                  <w14:solidFill>
                    <w14:schemeClr w14:val="tx1"/>
                  </w14:solidFill>
                </w14:textFill>
              </w:rPr>
              <w:t>4.企业获得其中2项证书的得1分。</w:t>
            </w:r>
          </w:p>
          <w:p w14:paraId="7CB986B5">
            <w:pPr>
              <w:spacing w:line="460" w:lineRule="exact"/>
              <w:ind w:right="19"/>
              <w:rPr>
                <w:rFonts w:hint="eastAsia" w:asciiTheme="minorEastAsia" w:hAnsiTheme="minorEastAsia" w:eastAsiaTheme="minorEastAsia" w:cstheme="minorEastAsia"/>
                <w:color w:val="000000" w:themeColor="text1"/>
                <w:spacing w:val="-5"/>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10"/>
                <w:sz w:val="24"/>
                <w:szCs w:val="24"/>
                <w:highlight w:val="none"/>
                <w14:textFill>
                  <w14:solidFill>
                    <w14:schemeClr w14:val="tx1"/>
                  </w14:solidFill>
                </w14:textFill>
              </w:rPr>
              <w:t>5.</w:t>
            </w:r>
            <w:r>
              <w:rPr>
                <w:rFonts w:hint="eastAsia" w:asciiTheme="minorEastAsia" w:hAnsiTheme="minorEastAsia" w:eastAsiaTheme="minorEastAsia" w:cstheme="minorEastAsia"/>
                <w:color w:val="000000" w:themeColor="text1"/>
                <w:spacing w:val="2"/>
                <w:sz w:val="24"/>
                <w:szCs w:val="24"/>
                <w:highlight w:val="none"/>
                <w14:textFill>
                  <w14:solidFill>
                    <w14:schemeClr w14:val="tx1"/>
                  </w14:solidFill>
                </w14:textFill>
              </w:rPr>
              <w:t>以上认证证书均未获得的，不予计</w:t>
            </w:r>
            <w:r>
              <w:rPr>
                <w:rFonts w:hint="eastAsia" w:asciiTheme="minorEastAsia" w:hAnsiTheme="minorEastAsia" w:eastAsiaTheme="minorEastAsia" w:cstheme="minorEastAsia"/>
                <w:color w:val="000000" w:themeColor="text1"/>
                <w:spacing w:val="-5"/>
                <w:sz w:val="24"/>
                <w:szCs w:val="24"/>
                <w:highlight w:val="none"/>
                <w14:textFill>
                  <w14:solidFill>
                    <w14:schemeClr w14:val="tx1"/>
                  </w14:solidFill>
                </w14:textFill>
              </w:rPr>
              <w:t>分。</w:t>
            </w:r>
          </w:p>
          <w:p w14:paraId="53815EFE">
            <w:pPr>
              <w:spacing w:line="460" w:lineRule="exact"/>
              <w:ind w:right="19"/>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9"/>
                <w:sz w:val="24"/>
                <w:szCs w:val="24"/>
                <w:highlight w:val="none"/>
                <w14:textFill>
                  <w14:solidFill>
                    <w14:schemeClr w14:val="tx1"/>
                  </w14:solidFill>
                </w14:textFill>
              </w:rPr>
              <w:t>6.本项最高得6分。</w:t>
            </w:r>
          </w:p>
        </w:tc>
        <w:tc>
          <w:tcPr>
            <w:tcW w:w="3922" w:type="dxa"/>
            <w:tcBorders>
              <w:top w:val="single" w:color="auto" w:sz="4" w:space="0"/>
              <w:left w:val="single" w:color="auto" w:sz="4" w:space="0"/>
              <w:bottom w:val="single" w:color="auto" w:sz="4" w:space="0"/>
              <w:right w:val="single" w:color="auto" w:sz="4" w:space="0"/>
            </w:tcBorders>
            <w:noWrap/>
            <w:vAlign w:val="center"/>
          </w:tcPr>
          <w:p w14:paraId="1B872E55">
            <w:pPr>
              <w:wordWrap w:val="0"/>
              <w:adjustRightInd w:val="0"/>
              <w:snapToGrid w:val="0"/>
              <w:spacing w:line="460" w:lineRule="exact"/>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12"/>
                <w:sz w:val="24"/>
                <w:szCs w:val="24"/>
                <w:highlight w:val="none"/>
                <w14:textFill>
                  <w14:solidFill>
                    <w14:schemeClr w14:val="tx1"/>
                  </w14:solidFill>
                </w14:textFill>
              </w:rPr>
              <w:t>注：须</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附在有效期内的认证证书彩色</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扫描件(或打印件)并加盖公章，否则不得分。</w:t>
            </w:r>
          </w:p>
        </w:tc>
      </w:tr>
      <w:tr w14:paraId="3E0A0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vMerge w:val="continue"/>
            <w:tcBorders>
              <w:top w:val="single" w:color="auto" w:sz="4" w:space="0"/>
              <w:left w:val="single" w:color="auto" w:sz="4" w:space="0"/>
              <w:bottom w:val="single" w:color="auto" w:sz="4" w:space="0"/>
              <w:right w:val="single" w:color="auto" w:sz="4" w:space="0"/>
            </w:tcBorders>
            <w:vAlign w:val="center"/>
          </w:tcPr>
          <w:p w14:paraId="1B050B1F">
            <w:pPr>
              <w:widowControl/>
              <w:jc w:val="left"/>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p>
        </w:tc>
        <w:tc>
          <w:tcPr>
            <w:tcW w:w="1112" w:type="dxa"/>
            <w:vMerge w:val="continue"/>
            <w:tcBorders>
              <w:top w:val="single" w:color="auto" w:sz="4" w:space="0"/>
              <w:left w:val="single" w:color="auto" w:sz="4" w:space="0"/>
              <w:bottom w:val="single" w:color="auto" w:sz="4" w:space="0"/>
              <w:right w:val="single" w:color="auto" w:sz="4" w:space="0"/>
            </w:tcBorders>
            <w:vAlign w:val="center"/>
          </w:tcPr>
          <w:p w14:paraId="2B886DEB">
            <w:pPr>
              <w:widowControl/>
              <w:jc w:val="left"/>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p>
        </w:tc>
        <w:tc>
          <w:tcPr>
            <w:tcW w:w="940" w:type="dxa"/>
            <w:tcBorders>
              <w:top w:val="single" w:color="auto" w:sz="4" w:space="0"/>
              <w:left w:val="single" w:color="auto" w:sz="4" w:space="0"/>
              <w:bottom w:val="single" w:color="auto" w:sz="4" w:space="0"/>
              <w:right w:val="single" w:color="auto" w:sz="4" w:space="0"/>
            </w:tcBorders>
            <w:noWrap/>
            <w:vAlign w:val="center"/>
          </w:tcPr>
          <w:p w14:paraId="2BED990E">
            <w:pPr>
              <w:keepNext/>
              <w:widowControl/>
              <w:adjustRightInd w:val="0"/>
              <w:snapToGrid w:val="0"/>
              <w:spacing w:line="340" w:lineRule="exac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bidi="ar"/>
                <w14:textFill>
                  <w14:solidFill>
                    <w14:schemeClr w14:val="tx1"/>
                  </w14:solidFill>
                </w14:textFill>
              </w:rPr>
              <w:t>企业信誉（10分）</w:t>
            </w:r>
          </w:p>
        </w:tc>
        <w:tc>
          <w:tcPr>
            <w:tcW w:w="3648" w:type="dxa"/>
            <w:tcBorders>
              <w:top w:val="single" w:color="auto" w:sz="4" w:space="0"/>
              <w:left w:val="single" w:color="auto" w:sz="4" w:space="0"/>
              <w:bottom w:val="single" w:color="auto" w:sz="4" w:space="0"/>
              <w:right w:val="single" w:color="auto" w:sz="4" w:space="0"/>
            </w:tcBorders>
            <w:noWrap/>
            <w:vAlign w:val="center"/>
          </w:tcPr>
          <w:p w14:paraId="551568E7">
            <w:pPr>
              <w:wordWrap w:val="0"/>
              <w:spacing w:line="440" w:lineRule="exac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投标人从2021年1月1日至今获得过国级“诚信示范企业”或“AAA级信用企业”称号的得2分，超过一年的，每增加一年加2分，本项最高得10分。</w:t>
            </w:r>
          </w:p>
        </w:tc>
        <w:tc>
          <w:tcPr>
            <w:tcW w:w="3922" w:type="dxa"/>
            <w:tcBorders>
              <w:top w:val="single" w:color="auto" w:sz="4" w:space="0"/>
              <w:left w:val="single" w:color="auto" w:sz="4" w:space="0"/>
              <w:bottom w:val="single" w:color="auto" w:sz="4" w:space="0"/>
              <w:right w:val="single" w:color="auto" w:sz="4" w:space="0"/>
            </w:tcBorders>
            <w:noWrap/>
            <w:vAlign w:val="center"/>
          </w:tcPr>
          <w:p w14:paraId="6F7BD862">
            <w:pPr>
              <w:pStyle w:val="8"/>
              <w:wordWrap w:val="0"/>
              <w:adjustRightInd w:val="0"/>
              <w:snapToGrid w:val="0"/>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1.需附相关证书彩色扫描件（或打印件）并加盖公章。</w:t>
            </w:r>
          </w:p>
          <w:p w14:paraId="7D291777">
            <w:pPr>
              <w:pStyle w:val="8"/>
              <w:wordWrap w:val="0"/>
              <w:adjustRightInd w:val="0"/>
              <w:snapToGrid w:val="0"/>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2.证书须由国级企业联合会和企业家协会同时颁发。</w:t>
            </w:r>
          </w:p>
          <w:p w14:paraId="31665650">
            <w:pPr>
              <w:keepNext/>
              <w:widowControl/>
              <w:adjustRightInd w:val="0"/>
              <w:snapToGrid w:val="0"/>
              <w:spacing w:line="340" w:lineRule="exac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3.颁发机构、获奖时间不符合评分标准和备注规定的，不予得分。</w:t>
            </w:r>
          </w:p>
        </w:tc>
      </w:tr>
      <w:tr w14:paraId="744DD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vMerge w:val="continue"/>
            <w:tcBorders>
              <w:top w:val="single" w:color="auto" w:sz="4" w:space="0"/>
              <w:left w:val="single" w:color="auto" w:sz="4" w:space="0"/>
              <w:bottom w:val="single" w:color="auto" w:sz="4" w:space="0"/>
              <w:right w:val="single" w:color="auto" w:sz="4" w:space="0"/>
            </w:tcBorders>
            <w:vAlign w:val="center"/>
          </w:tcPr>
          <w:p w14:paraId="0C638073">
            <w:pPr>
              <w:widowControl/>
              <w:jc w:val="left"/>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p>
        </w:tc>
        <w:tc>
          <w:tcPr>
            <w:tcW w:w="1112" w:type="dxa"/>
            <w:vMerge w:val="continue"/>
            <w:tcBorders>
              <w:top w:val="single" w:color="auto" w:sz="4" w:space="0"/>
              <w:left w:val="single" w:color="auto" w:sz="4" w:space="0"/>
              <w:bottom w:val="single" w:color="auto" w:sz="4" w:space="0"/>
              <w:right w:val="single" w:color="auto" w:sz="4" w:space="0"/>
            </w:tcBorders>
            <w:vAlign w:val="center"/>
          </w:tcPr>
          <w:p w14:paraId="604363CA">
            <w:pPr>
              <w:widowControl/>
              <w:jc w:val="left"/>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p>
        </w:tc>
        <w:tc>
          <w:tcPr>
            <w:tcW w:w="940" w:type="dxa"/>
            <w:tcBorders>
              <w:top w:val="single" w:color="auto" w:sz="4" w:space="0"/>
              <w:left w:val="single" w:color="auto" w:sz="4" w:space="0"/>
              <w:bottom w:val="single" w:color="auto" w:sz="4" w:space="0"/>
              <w:right w:val="single" w:color="auto" w:sz="4" w:space="0"/>
            </w:tcBorders>
            <w:noWrap/>
            <w:vAlign w:val="center"/>
          </w:tcPr>
          <w:p w14:paraId="12539AA4">
            <w:pPr>
              <w:pStyle w:val="8"/>
              <w:wordWrap w:val="0"/>
              <w:adjustRightInd w:val="0"/>
              <w:snapToGrid w:val="0"/>
              <w:spacing w:line="400" w:lineRule="exact"/>
              <w:jc w:val="center"/>
              <w:rPr>
                <w:rFonts w:hint="eastAsia" w:asciiTheme="minorEastAsia" w:hAnsiTheme="minorEastAsia" w:eastAsiaTheme="minorEastAsia" w:cstheme="minorEastAsia"/>
                <w:snapToGrid w:val="0"/>
                <w:color w:val="000000" w:themeColor="text1"/>
                <w:kern w:val="0"/>
                <w:sz w:val="24"/>
                <w:szCs w:val="24"/>
                <w:highlight w:val="none"/>
                <w:lang w:bidi="ar"/>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bidi="ar"/>
                <w14:textFill>
                  <w14:solidFill>
                    <w14:schemeClr w14:val="tx1"/>
                  </w14:solidFill>
                </w14:textFill>
              </w:rPr>
              <w:t>企业荣誉（5分）</w:t>
            </w:r>
          </w:p>
        </w:tc>
        <w:tc>
          <w:tcPr>
            <w:tcW w:w="3648" w:type="dxa"/>
            <w:tcBorders>
              <w:top w:val="single" w:color="auto" w:sz="4" w:space="0"/>
              <w:left w:val="single" w:color="auto" w:sz="4" w:space="0"/>
              <w:bottom w:val="single" w:color="auto" w:sz="4" w:space="0"/>
              <w:right w:val="single" w:color="auto" w:sz="4" w:space="0"/>
            </w:tcBorders>
            <w:noWrap/>
            <w:vAlign w:val="center"/>
          </w:tcPr>
          <w:p w14:paraId="662BDDF6">
            <w:pPr>
              <w:wordWrap w:val="0"/>
              <w:spacing w:line="440" w:lineRule="exact"/>
              <w:ind w:firstLine="240" w:firstLineChars="100"/>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投标人从2021年1月1日至今，企业连续3年获得地级市及以上建设行政主管部门或建筑业协会颁发的优秀诚信AAA级施工企业的，得5分。</w:t>
            </w:r>
          </w:p>
        </w:tc>
        <w:tc>
          <w:tcPr>
            <w:tcW w:w="3922" w:type="dxa"/>
            <w:tcBorders>
              <w:top w:val="single" w:color="auto" w:sz="4" w:space="0"/>
              <w:left w:val="single" w:color="auto" w:sz="4" w:space="0"/>
              <w:bottom w:val="single" w:color="auto" w:sz="4" w:space="0"/>
              <w:right w:val="single" w:color="auto" w:sz="4" w:space="0"/>
            </w:tcBorders>
            <w:noWrap/>
            <w:vAlign w:val="center"/>
          </w:tcPr>
          <w:p w14:paraId="72CE6D8E">
            <w:pPr>
              <w:pStyle w:val="8"/>
              <w:wordWrap w:val="0"/>
              <w:adjustRightInd w:val="0"/>
              <w:snapToGrid w:val="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1.须提供证书和相关文件彩色扫描件（或打印件）并加盖单位公章。</w:t>
            </w:r>
          </w:p>
        </w:tc>
      </w:tr>
      <w:tr w14:paraId="49892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vMerge w:val="restart"/>
            <w:tcBorders>
              <w:top w:val="single" w:color="auto" w:sz="4" w:space="0"/>
              <w:left w:val="single" w:color="auto" w:sz="4" w:space="0"/>
              <w:bottom w:val="single" w:color="auto" w:sz="4" w:space="0"/>
              <w:right w:val="single" w:color="auto" w:sz="4" w:space="0"/>
            </w:tcBorders>
            <w:noWrap/>
            <w:vAlign w:val="center"/>
          </w:tcPr>
          <w:p w14:paraId="685F9207">
            <w:pPr>
              <w:widowControl/>
              <w:spacing w:line="440" w:lineRule="exact"/>
              <w:jc w:val="left"/>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p>
        </w:tc>
        <w:tc>
          <w:tcPr>
            <w:tcW w:w="1112" w:type="dxa"/>
            <w:vMerge w:val="restart"/>
            <w:tcBorders>
              <w:top w:val="single" w:color="auto" w:sz="4" w:space="0"/>
              <w:left w:val="single" w:color="auto" w:sz="4" w:space="0"/>
              <w:bottom w:val="single" w:color="auto" w:sz="4" w:space="0"/>
              <w:right w:val="single" w:color="auto" w:sz="4" w:space="0"/>
            </w:tcBorders>
            <w:noWrap/>
            <w:vAlign w:val="center"/>
          </w:tcPr>
          <w:p w14:paraId="3572042A">
            <w:pPr>
              <w:widowControl/>
              <w:spacing w:line="440" w:lineRule="exact"/>
              <w:jc w:val="left"/>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设计企业（20分）</w:t>
            </w:r>
          </w:p>
        </w:tc>
        <w:tc>
          <w:tcPr>
            <w:tcW w:w="940" w:type="dxa"/>
            <w:tcBorders>
              <w:top w:val="single" w:color="auto" w:sz="4" w:space="0"/>
              <w:left w:val="single" w:color="auto" w:sz="4" w:space="0"/>
              <w:bottom w:val="single" w:color="auto" w:sz="4" w:space="0"/>
              <w:right w:val="single" w:color="auto" w:sz="4" w:space="0"/>
            </w:tcBorders>
            <w:noWrap/>
            <w:vAlign w:val="center"/>
          </w:tcPr>
          <w:p w14:paraId="5D26C45E">
            <w:pPr>
              <w:keepNext/>
              <w:widowControl/>
              <w:snapToGrid w:val="0"/>
              <w:jc w:val="left"/>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企业业绩</w:t>
            </w:r>
          </w:p>
          <w:p w14:paraId="667DD6F4">
            <w:pPr>
              <w:spacing w:line="400" w:lineRule="exac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（3分）</w:t>
            </w:r>
          </w:p>
        </w:tc>
        <w:tc>
          <w:tcPr>
            <w:tcW w:w="3648" w:type="dxa"/>
            <w:tcBorders>
              <w:top w:val="single" w:color="auto" w:sz="4" w:space="0"/>
              <w:left w:val="single" w:color="auto" w:sz="4" w:space="0"/>
              <w:bottom w:val="single" w:color="auto" w:sz="4" w:space="0"/>
              <w:right w:val="single" w:color="auto" w:sz="4" w:space="0"/>
            </w:tcBorders>
            <w:noWrap/>
            <w:vAlign w:val="center"/>
          </w:tcPr>
          <w:p w14:paraId="13B7540F">
            <w:pPr>
              <w:snapToGrid w:val="0"/>
              <w:spacing w:line="420" w:lineRule="exac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投标人2021年1月1日至今承接过市政工程类设计业绩的，每项得1分；最高得3分。</w:t>
            </w:r>
          </w:p>
          <w:p w14:paraId="05CADF98">
            <w:pPr>
              <w:pStyle w:val="8"/>
              <w:wordWrap w:val="0"/>
              <w:adjustRightInd w:val="0"/>
              <w:snapToGrid w:val="0"/>
              <w:spacing w:line="400" w:lineRule="exact"/>
              <w:jc w:val="left"/>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注：不符合上述条件或未提供相关证明材料的不得分。</w:t>
            </w:r>
          </w:p>
        </w:tc>
        <w:tc>
          <w:tcPr>
            <w:tcW w:w="3922" w:type="dxa"/>
            <w:tcBorders>
              <w:top w:val="single" w:color="auto" w:sz="4" w:space="0"/>
              <w:left w:val="single" w:color="auto" w:sz="4" w:space="0"/>
              <w:bottom w:val="single" w:color="auto" w:sz="4" w:space="0"/>
              <w:right w:val="single" w:color="auto" w:sz="4" w:space="0"/>
            </w:tcBorders>
            <w:noWrap/>
            <w:vAlign w:val="center"/>
          </w:tcPr>
          <w:p w14:paraId="042DF3BC">
            <w:pPr>
              <w:pStyle w:val="8"/>
              <w:adjustRightInd w:val="0"/>
              <w:snapToGrid w:val="0"/>
              <w:spacing w:line="420" w:lineRule="exac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1.须附有关业绩中标通知书、合同及初步设计批复（或施工图审查合格书）彩色扫描件并加盖公章，否则不予计分。</w:t>
            </w:r>
          </w:p>
          <w:p w14:paraId="6632E507">
            <w:pPr>
              <w:pStyle w:val="8"/>
              <w:wordWrap w:val="0"/>
              <w:adjustRightInd w:val="0"/>
              <w:snapToGrid w:val="0"/>
              <w:spacing w:line="400" w:lineRule="exact"/>
              <w:jc w:val="lef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2.业绩认定时间以初步设计批复或施工图审查合格书日期为准。</w:t>
            </w:r>
          </w:p>
        </w:tc>
      </w:tr>
      <w:tr w14:paraId="7A8A2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vMerge w:val="continue"/>
            <w:tcBorders>
              <w:top w:val="single" w:color="auto" w:sz="4" w:space="0"/>
              <w:left w:val="single" w:color="auto" w:sz="4" w:space="0"/>
              <w:bottom w:val="single" w:color="auto" w:sz="4" w:space="0"/>
              <w:right w:val="single" w:color="auto" w:sz="4" w:space="0"/>
            </w:tcBorders>
            <w:vAlign w:val="center"/>
          </w:tcPr>
          <w:p w14:paraId="2D13481A">
            <w:pPr>
              <w:widowControl/>
              <w:jc w:val="left"/>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p>
        </w:tc>
        <w:tc>
          <w:tcPr>
            <w:tcW w:w="1112" w:type="dxa"/>
            <w:vMerge w:val="continue"/>
            <w:tcBorders>
              <w:top w:val="single" w:color="auto" w:sz="4" w:space="0"/>
              <w:left w:val="single" w:color="auto" w:sz="4" w:space="0"/>
              <w:bottom w:val="single" w:color="auto" w:sz="4" w:space="0"/>
              <w:right w:val="single" w:color="auto" w:sz="4" w:space="0"/>
            </w:tcBorders>
            <w:vAlign w:val="center"/>
          </w:tcPr>
          <w:p w14:paraId="57C1C9C3">
            <w:pPr>
              <w:widowControl/>
              <w:jc w:val="left"/>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p>
        </w:tc>
        <w:tc>
          <w:tcPr>
            <w:tcW w:w="940" w:type="dxa"/>
            <w:tcBorders>
              <w:top w:val="single" w:color="auto" w:sz="4" w:space="0"/>
              <w:left w:val="single" w:color="auto" w:sz="4" w:space="0"/>
              <w:right w:val="single" w:color="auto" w:sz="4" w:space="0"/>
            </w:tcBorders>
            <w:vAlign w:val="center"/>
          </w:tcPr>
          <w:p w14:paraId="59811568">
            <w:pPr>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设计企业</w:t>
            </w:r>
          </w:p>
          <w:p w14:paraId="481F121E">
            <w:pPr>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奖项</w:t>
            </w:r>
          </w:p>
          <w:p w14:paraId="28EC1145">
            <w:pPr>
              <w:spacing w:line="400" w:lineRule="exact"/>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（5分）</w:t>
            </w:r>
          </w:p>
        </w:tc>
        <w:tc>
          <w:tcPr>
            <w:tcW w:w="3648" w:type="dxa"/>
            <w:tcBorders>
              <w:top w:val="single" w:color="auto" w:sz="4" w:space="0"/>
              <w:left w:val="single" w:color="auto" w:sz="4" w:space="0"/>
              <w:right w:val="single" w:color="auto" w:sz="4" w:space="0"/>
            </w:tcBorders>
            <w:vAlign w:val="center"/>
          </w:tcPr>
          <w:p w14:paraId="3FA869D8">
            <w:pPr>
              <w:snapToGrid w:val="0"/>
              <w:spacing w:line="420" w:lineRule="exac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投标人2021年1月1日至今所承接过市政工程类设计项目获奖情况：</w:t>
            </w:r>
          </w:p>
          <w:p w14:paraId="3AF16BD8">
            <w:pPr>
              <w:snapToGrid w:val="0"/>
              <w:spacing w:line="420" w:lineRule="exac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1.获得省级（含直辖市）或以上优秀设计类或优秀勘察设计类奖项的，每个得1分；</w:t>
            </w:r>
          </w:p>
          <w:p w14:paraId="5AC31848">
            <w:pPr>
              <w:snapToGrid w:val="0"/>
              <w:spacing w:line="420" w:lineRule="exac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2.获得市级优秀设计类或优秀勘察设计类奖项的，每个得0.5分。</w:t>
            </w:r>
          </w:p>
          <w:p w14:paraId="098761B2">
            <w:pPr>
              <w:snapToGrid w:val="0"/>
              <w:spacing w:line="420" w:lineRule="exac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3.本项最高得5分。</w:t>
            </w:r>
          </w:p>
          <w:p w14:paraId="50F3B673">
            <w:pPr>
              <w:spacing w:line="400" w:lineRule="exact"/>
              <w:jc w:val="left"/>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注：不符合上述条件或未提供相关证明材料的不得分。</w:t>
            </w:r>
          </w:p>
        </w:tc>
        <w:tc>
          <w:tcPr>
            <w:tcW w:w="3922" w:type="dxa"/>
            <w:tcBorders>
              <w:top w:val="single" w:color="auto" w:sz="4" w:space="0"/>
              <w:left w:val="single" w:color="auto" w:sz="4" w:space="0"/>
              <w:right w:val="single" w:color="auto" w:sz="4" w:space="0"/>
            </w:tcBorders>
            <w:vAlign w:val="center"/>
          </w:tcPr>
          <w:p w14:paraId="50C5C21E">
            <w:pPr>
              <w:pStyle w:val="8"/>
              <w:adjustRightInd w:val="0"/>
              <w:snapToGrid w:val="0"/>
              <w:spacing w:line="420" w:lineRule="exac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1.同一项目获得多个奖项的，仅按最高奖项计分一次；提供多个项目获奖的，仅计单项级别最高的有效获奖。</w:t>
            </w:r>
          </w:p>
          <w:p w14:paraId="4DB4CF37">
            <w:pPr>
              <w:pStyle w:val="8"/>
              <w:adjustRightInd w:val="0"/>
              <w:snapToGrid w:val="0"/>
              <w:spacing w:line="420" w:lineRule="exac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2.须附有关奖项证书、证明彩色扫描件并加盖公章。</w:t>
            </w:r>
          </w:p>
          <w:p w14:paraId="2C7E5469">
            <w:pPr>
              <w:pStyle w:val="8"/>
              <w:adjustRightInd w:val="0"/>
              <w:snapToGrid w:val="0"/>
              <w:spacing w:line="420" w:lineRule="exac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3.</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省级（含直辖市）或以上奖项：须由省级（含直辖市）或以上政府或行业行政主管部门或经民政部门批准成立的相关行业协会颁发，否则不予计分。</w:t>
            </w:r>
          </w:p>
          <w:p w14:paraId="73E570DB">
            <w:pPr>
              <w:pStyle w:val="8"/>
              <w:adjustRightInd w:val="0"/>
              <w:snapToGrid w:val="0"/>
              <w:spacing w:line="420" w:lineRule="exac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4</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.市级奖项：须由市级政府或行业行政主管部门或经民政部门批准成立的相关行业协会颁发，否则不予计分</w:t>
            </w:r>
          </w:p>
          <w:p w14:paraId="329789B1">
            <w:pPr>
              <w:spacing w:line="400" w:lineRule="exact"/>
              <w:jc w:val="left"/>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5</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.获奖时间以奖项证明的落款日期为准。</w:t>
            </w:r>
          </w:p>
        </w:tc>
      </w:tr>
      <w:tr w14:paraId="63972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vMerge w:val="continue"/>
            <w:tcBorders>
              <w:top w:val="single" w:color="auto" w:sz="4" w:space="0"/>
              <w:left w:val="single" w:color="auto" w:sz="4" w:space="0"/>
              <w:bottom w:val="single" w:color="auto" w:sz="4" w:space="0"/>
              <w:right w:val="single" w:color="auto" w:sz="4" w:space="0"/>
            </w:tcBorders>
            <w:vAlign w:val="center"/>
          </w:tcPr>
          <w:p w14:paraId="3FB2F782">
            <w:pPr>
              <w:widowControl/>
              <w:jc w:val="left"/>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p>
        </w:tc>
        <w:tc>
          <w:tcPr>
            <w:tcW w:w="1112" w:type="dxa"/>
            <w:vMerge w:val="continue"/>
            <w:tcBorders>
              <w:top w:val="single" w:color="auto" w:sz="4" w:space="0"/>
              <w:left w:val="single" w:color="auto" w:sz="4" w:space="0"/>
              <w:bottom w:val="single" w:color="auto" w:sz="4" w:space="0"/>
              <w:right w:val="single" w:color="auto" w:sz="4" w:space="0"/>
            </w:tcBorders>
            <w:vAlign w:val="center"/>
          </w:tcPr>
          <w:p w14:paraId="4FCE0906">
            <w:pPr>
              <w:widowControl/>
              <w:jc w:val="left"/>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p>
        </w:tc>
        <w:tc>
          <w:tcPr>
            <w:tcW w:w="940" w:type="dxa"/>
            <w:tcBorders>
              <w:top w:val="single" w:color="auto" w:sz="4" w:space="0"/>
              <w:left w:val="single" w:color="auto" w:sz="4" w:space="0"/>
              <w:bottom w:val="single" w:color="auto" w:sz="4" w:space="0"/>
              <w:right w:val="single" w:color="auto" w:sz="4" w:space="0"/>
            </w:tcBorders>
            <w:vAlign w:val="center"/>
          </w:tcPr>
          <w:p w14:paraId="61312D90">
            <w:pPr>
              <w:snapToGrid w:val="0"/>
              <w:spacing w:line="350" w:lineRule="exact"/>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项目负责人（设计负责人）</w:t>
            </w:r>
          </w:p>
          <w:p w14:paraId="2E3CFA01">
            <w:pPr>
              <w:spacing w:line="400" w:lineRule="exact"/>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（3分）</w:t>
            </w:r>
          </w:p>
        </w:tc>
        <w:tc>
          <w:tcPr>
            <w:tcW w:w="3648" w:type="dxa"/>
            <w:tcBorders>
              <w:top w:val="single" w:color="auto" w:sz="4" w:space="0"/>
              <w:left w:val="single" w:color="auto" w:sz="4" w:space="0"/>
              <w:bottom w:val="single" w:color="auto" w:sz="4" w:space="0"/>
              <w:right w:val="single" w:color="auto" w:sz="4" w:space="0"/>
            </w:tcBorders>
            <w:vAlign w:val="center"/>
          </w:tcPr>
          <w:p w14:paraId="4BCDA5CA">
            <w:pPr>
              <w:snapToGrid w:val="0"/>
              <w:spacing w:line="420" w:lineRule="exac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拟派项目负责人（设计负责人）情况：</w:t>
            </w:r>
          </w:p>
          <w:p w14:paraId="2B5E0A74">
            <w:pPr>
              <w:snapToGrid w:val="0"/>
              <w:spacing w:line="420" w:lineRule="exac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1、具备给排水相关专业正高级工程师职称的，得1分；</w:t>
            </w:r>
          </w:p>
          <w:p w14:paraId="51C3D656">
            <w:pPr>
              <w:snapToGrid w:val="0"/>
              <w:spacing w:line="420" w:lineRule="exac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2、具备注册公用设备工程师（给水排水）资格的，得1分；</w:t>
            </w:r>
          </w:p>
          <w:p w14:paraId="6102850C">
            <w:pPr>
              <w:snapToGrid w:val="0"/>
              <w:spacing w:line="420" w:lineRule="exac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3、具备“工程勘察设计大师”荣誉称号的，得1分。</w:t>
            </w:r>
          </w:p>
          <w:p w14:paraId="38B6F51A">
            <w:pPr>
              <w:snapToGrid w:val="0"/>
              <w:spacing w:line="420" w:lineRule="exac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4、本项最高得3分。</w:t>
            </w:r>
          </w:p>
          <w:p w14:paraId="744FD57F">
            <w:pPr>
              <w:wordWrap w:val="0"/>
              <w:adjustRightInd w:val="0"/>
              <w:snapToGrid w:val="0"/>
              <w:spacing w:line="420" w:lineRule="exact"/>
              <w:jc w:val="lef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注：不符合上述条件或未提供相关证明材料的不得分。</w:t>
            </w:r>
          </w:p>
        </w:tc>
        <w:tc>
          <w:tcPr>
            <w:tcW w:w="3922" w:type="dxa"/>
            <w:tcBorders>
              <w:top w:val="single" w:color="auto" w:sz="4" w:space="0"/>
              <w:left w:val="single" w:color="auto" w:sz="4" w:space="0"/>
              <w:bottom w:val="single" w:color="auto" w:sz="4" w:space="0"/>
              <w:right w:val="single" w:color="auto" w:sz="4" w:space="0"/>
            </w:tcBorders>
            <w:vAlign w:val="center"/>
          </w:tcPr>
          <w:p w14:paraId="35BE60E0">
            <w:pPr>
              <w:spacing w:line="440" w:lineRule="exac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须提供人员的相关证书证明材料彩色扫描件及在本单位（或分支机构）缴纳社保的有效证明彩色扫描件</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（至少</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1</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个月，其中必须有2025年</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11</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月）</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并加盖公章，否则不予计分。</w:t>
            </w:r>
          </w:p>
        </w:tc>
      </w:tr>
      <w:tr w14:paraId="03ED4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vMerge w:val="continue"/>
            <w:tcBorders>
              <w:top w:val="single" w:color="auto" w:sz="4" w:space="0"/>
              <w:left w:val="single" w:color="auto" w:sz="4" w:space="0"/>
              <w:bottom w:val="single" w:color="auto" w:sz="4" w:space="0"/>
              <w:right w:val="single" w:color="auto" w:sz="4" w:space="0"/>
            </w:tcBorders>
            <w:vAlign w:val="center"/>
          </w:tcPr>
          <w:p w14:paraId="20B9E803">
            <w:pPr>
              <w:widowControl/>
              <w:jc w:val="left"/>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p>
        </w:tc>
        <w:tc>
          <w:tcPr>
            <w:tcW w:w="1112" w:type="dxa"/>
            <w:vMerge w:val="continue"/>
            <w:tcBorders>
              <w:top w:val="single" w:color="auto" w:sz="4" w:space="0"/>
              <w:left w:val="single" w:color="auto" w:sz="4" w:space="0"/>
              <w:bottom w:val="single" w:color="auto" w:sz="4" w:space="0"/>
              <w:right w:val="single" w:color="auto" w:sz="4" w:space="0"/>
            </w:tcBorders>
            <w:vAlign w:val="center"/>
          </w:tcPr>
          <w:p w14:paraId="1706765C">
            <w:pPr>
              <w:widowControl/>
              <w:jc w:val="left"/>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p>
        </w:tc>
        <w:tc>
          <w:tcPr>
            <w:tcW w:w="940" w:type="dxa"/>
            <w:tcBorders>
              <w:top w:val="single" w:color="auto" w:sz="4" w:space="0"/>
              <w:left w:val="single" w:color="auto" w:sz="4" w:space="0"/>
              <w:bottom w:val="single" w:color="auto" w:sz="4" w:space="0"/>
              <w:right w:val="single" w:color="auto" w:sz="4" w:space="0"/>
            </w:tcBorders>
            <w:vAlign w:val="center"/>
          </w:tcPr>
          <w:p w14:paraId="1C842F17">
            <w:pPr>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企业信誉</w:t>
            </w:r>
          </w:p>
          <w:p w14:paraId="494C6E5A">
            <w:pPr>
              <w:spacing w:line="400" w:lineRule="exact"/>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（3分）</w:t>
            </w:r>
          </w:p>
        </w:tc>
        <w:tc>
          <w:tcPr>
            <w:tcW w:w="3648" w:type="dxa"/>
            <w:tcBorders>
              <w:top w:val="single" w:color="auto" w:sz="4" w:space="0"/>
              <w:left w:val="single" w:color="auto" w:sz="4" w:space="0"/>
              <w:bottom w:val="single" w:color="auto" w:sz="4" w:space="0"/>
              <w:right w:val="single" w:color="auto" w:sz="4" w:space="0"/>
            </w:tcBorders>
            <w:vAlign w:val="center"/>
          </w:tcPr>
          <w:p w14:paraId="367BB030">
            <w:pPr>
              <w:spacing w:line="360" w:lineRule="auto"/>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1、投标人获得过省级（或以上） “专精特新企业”称号且在有效期内的，得1分；</w:t>
            </w:r>
          </w:p>
          <w:p w14:paraId="1D18C248">
            <w:pPr>
              <w:spacing w:line="360" w:lineRule="auto"/>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2、投标人获得过国家级“优秀勘察设计企业”称号的，得2分。</w:t>
            </w:r>
          </w:p>
          <w:p w14:paraId="670B4852">
            <w:pPr>
              <w:snapToGrid w:val="0"/>
              <w:spacing w:line="420" w:lineRule="exac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本项最高得3分。</w:t>
            </w:r>
          </w:p>
        </w:tc>
        <w:tc>
          <w:tcPr>
            <w:tcW w:w="3922" w:type="dxa"/>
            <w:tcBorders>
              <w:top w:val="single" w:color="auto" w:sz="4" w:space="0"/>
              <w:left w:val="single" w:color="auto" w:sz="4" w:space="0"/>
              <w:bottom w:val="single" w:color="auto" w:sz="4" w:space="0"/>
              <w:right w:val="single" w:color="auto" w:sz="4" w:space="0"/>
            </w:tcBorders>
            <w:vAlign w:val="center"/>
          </w:tcPr>
          <w:p w14:paraId="401515AC">
            <w:pPr>
              <w:spacing w:line="440" w:lineRule="exact"/>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须提供人员的相关证书奖状或红头文件证明材料彩色扫描件并加盖公章，否则不予计分。</w:t>
            </w:r>
          </w:p>
        </w:tc>
      </w:tr>
      <w:tr w14:paraId="693B5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vMerge w:val="continue"/>
            <w:tcBorders>
              <w:top w:val="single" w:color="auto" w:sz="4" w:space="0"/>
              <w:left w:val="single" w:color="auto" w:sz="4" w:space="0"/>
              <w:bottom w:val="single" w:color="auto" w:sz="4" w:space="0"/>
              <w:right w:val="single" w:color="auto" w:sz="4" w:space="0"/>
            </w:tcBorders>
            <w:vAlign w:val="center"/>
          </w:tcPr>
          <w:p w14:paraId="40433B13">
            <w:pPr>
              <w:widowControl/>
              <w:jc w:val="left"/>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p>
        </w:tc>
        <w:tc>
          <w:tcPr>
            <w:tcW w:w="1112" w:type="dxa"/>
            <w:vMerge w:val="continue"/>
            <w:tcBorders>
              <w:top w:val="single" w:color="auto" w:sz="4" w:space="0"/>
              <w:left w:val="single" w:color="auto" w:sz="4" w:space="0"/>
              <w:bottom w:val="single" w:color="auto" w:sz="4" w:space="0"/>
              <w:right w:val="single" w:color="auto" w:sz="4" w:space="0"/>
            </w:tcBorders>
            <w:vAlign w:val="center"/>
          </w:tcPr>
          <w:p w14:paraId="6E3E1CDE">
            <w:pPr>
              <w:widowControl/>
              <w:jc w:val="left"/>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p>
        </w:tc>
        <w:tc>
          <w:tcPr>
            <w:tcW w:w="940" w:type="dxa"/>
            <w:tcBorders>
              <w:top w:val="single" w:color="auto" w:sz="4" w:space="0"/>
              <w:left w:val="single" w:color="auto" w:sz="4" w:space="0"/>
              <w:bottom w:val="single" w:color="auto" w:sz="4" w:space="0"/>
              <w:right w:val="single" w:color="auto" w:sz="4" w:space="0"/>
            </w:tcBorders>
            <w:vAlign w:val="center"/>
          </w:tcPr>
          <w:p w14:paraId="759BB26C">
            <w:pPr>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拟投入本项目设计各专业负责人情况</w:t>
            </w:r>
          </w:p>
          <w:p w14:paraId="26676E3D">
            <w:pPr>
              <w:keepNext/>
              <w:widowControl/>
              <w:adjustRightInd w:val="0"/>
              <w:snapToGrid w:val="0"/>
              <w:jc w:val="left"/>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（6分）</w:t>
            </w:r>
          </w:p>
        </w:tc>
        <w:tc>
          <w:tcPr>
            <w:tcW w:w="3648" w:type="dxa"/>
            <w:tcBorders>
              <w:top w:val="single" w:color="auto" w:sz="4" w:space="0"/>
              <w:left w:val="single" w:color="auto" w:sz="4" w:space="0"/>
              <w:bottom w:val="single" w:color="auto" w:sz="4" w:space="0"/>
              <w:right w:val="single" w:color="auto" w:sz="4" w:space="0"/>
            </w:tcBorders>
            <w:vAlign w:val="center"/>
          </w:tcPr>
          <w:p w14:paraId="170F79A1">
            <w:pPr>
              <w:snapToGrid w:val="0"/>
              <w:spacing w:line="420" w:lineRule="exac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拟投入本项目设计各专业负责人情况</w:t>
            </w:r>
            <w:r>
              <w:rPr>
                <w:rFonts w:hint="eastAsia" w:asciiTheme="minorEastAsia" w:hAnsiTheme="minorEastAsia" w:eastAsiaTheme="minorEastAsia" w:cstheme="minorEastAsia"/>
                <w:b/>
                <w:bCs/>
                <w:snapToGrid w:val="0"/>
                <w:color w:val="000000" w:themeColor="text1"/>
                <w:kern w:val="0"/>
                <w:sz w:val="24"/>
                <w:szCs w:val="24"/>
                <w:highlight w:val="none"/>
                <w14:textFill>
                  <w14:solidFill>
                    <w14:schemeClr w14:val="tx1"/>
                  </w14:solidFill>
                </w14:textFill>
              </w:rPr>
              <w:t>（项目负责人</w:t>
            </w:r>
            <w:r>
              <w:rPr>
                <w:rFonts w:hint="eastAsia" w:asciiTheme="minorEastAsia" w:hAnsiTheme="minorEastAsia" w:eastAsiaTheme="minorEastAsia" w:cstheme="minorEastAsia"/>
                <w:b/>
                <w:bCs/>
                <w:snapToGrid w:val="0"/>
                <w:color w:val="000000" w:themeColor="text1"/>
                <w:kern w:val="0"/>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b/>
                <w:bCs/>
                <w:snapToGrid w:val="0"/>
                <w:color w:val="000000" w:themeColor="text1"/>
                <w:kern w:val="0"/>
                <w:sz w:val="24"/>
                <w:szCs w:val="24"/>
                <w:highlight w:val="none"/>
                <w14:textFill>
                  <w14:solidFill>
                    <w14:schemeClr w14:val="tx1"/>
                  </w14:solidFill>
                </w14:textFill>
              </w:rPr>
              <w:t>设计负责人除外）</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w:t>
            </w:r>
          </w:p>
          <w:p w14:paraId="47B9D733">
            <w:pPr>
              <w:snapToGrid w:val="0"/>
              <w:spacing w:line="420" w:lineRule="exact"/>
              <w:rPr>
                <w:rFonts w:hint="eastAsia" w:asciiTheme="minorEastAsia" w:hAnsiTheme="minorEastAsia" w:eastAsiaTheme="minorEastAsia" w:cstheme="minorEastAsia"/>
                <w:b/>
                <w:bCs/>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 w:val="24"/>
                <w:szCs w:val="24"/>
                <w:highlight w:val="none"/>
                <w14:textFill>
                  <w14:solidFill>
                    <w14:schemeClr w14:val="tx1"/>
                  </w14:solidFill>
                </w14:textFill>
              </w:rPr>
              <w:t>1.给排水专业负责人</w:t>
            </w:r>
          </w:p>
          <w:p w14:paraId="3F81A4D5">
            <w:pPr>
              <w:snapToGrid w:val="0"/>
              <w:spacing w:line="420" w:lineRule="exac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①具备注册公用设备工程师（给水排水）资格的，得0.5分；</w:t>
            </w:r>
          </w:p>
          <w:p w14:paraId="6B9D4908">
            <w:pPr>
              <w:snapToGrid w:val="0"/>
              <w:spacing w:line="420" w:lineRule="exac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②具有给排水相关专业工程师高级（或以上）职称的，得1分；</w:t>
            </w:r>
          </w:p>
          <w:p w14:paraId="0C07A6F4">
            <w:pPr>
              <w:snapToGrid w:val="0"/>
              <w:spacing w:line="420" w:lineRule="exac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本小项最高得1.5分。</w:t>
            </w:r>
          </w:p>
          <w:p w14:paraId="1C9C999D">
            <w:pPr>
              <w:snapToGrid w:val="0"/>
              <w:spacing w:line="420" w:lineRule="exact"/>
              <w:rPr>
                <w:rFonts w:hint="eastAsia" w:asciiTheme="minorEastAsia" w:hAnsiTheme="minorEastAsia" w:eastAsiaTheme="minorEastAsia" w:cstheme="minorEastAsia"/>
                <w:b/>
                <w:bCs/>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 w:val="24"/>
                <w:szCs w:val="24"/>
                <w:highlight w:val="none"/>
                <w14:textFill>
                  <w14:solidFill>
                    <w14:schemeClr w14:val="tx1"/>
                  </w14:solidFill>
                </w14:textFill>
              </w:rPr>
              <w:t>2.结构专业负责人</w:t>
            </w:r>
          </w:p>
          <w:p w14:paraId="3EBDCDA3">
            <w:pPr>
              <w:snapToGrid w:val="0"/>
              <w:spacing w:line="420" w:lineRule="exac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①具备一级注册结构工程师资格的，得0.5分；</w:t>
            </w:r>
          </w:p>
          <w:p w14:paraId="1286C97F">
            <w:pPr>
              <w:snapToGrid w:val="0"/>
              <w:spacing w:line="420" w:lineRule="exac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②具备结构相关专业工程师职称的，得0.5分；具备结构相关专业高级工程师（或以上）职称的，得1分。</w:t>
            </w:r>
          </w:p>
          <w:p w14:paraId="57ECDA76">
            <w:pPr>
              <w:snapToGrid w:val="0"/>
              <w:spacing w:line="420" w:lineRule="exac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本小项最高得2分。</w:t>
            </w:r>
          </w:p>
          <w:p w14:paraId="3485CC17">
            <w:pPr>
              <w:snapToGrid w:val="0"/>
              <w:spacing w:line="420" w:lineRule="exact"/>
              <w:rPr>
                <w:rFonts w:hint="eastAsia" w:asciiTheme="minorEastAsia" w:hAnsiTheme="minorEastAsia" w:eastAsiaTheme="minorEastAsia" w:cstheme="minorEastAsia"/>
                <w:b/>
                <w:bCs/>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 w:val="24"/>
                <w:szCs w:val="24"/>
                <w:highlight w:val="none"/>
                <w14:textFill>
                  <w14:solidFill>
                    <w14:schemeClr w14:val="tx1"/>
                  </w14:solidFill>
                </w14:textFill>
              </w:rPr>
              <w:t>3.造价专业负责人</w:t>
            </w:r>
          </w:p>
          <w:p w14:paraId="0BF3656D">
            <w:pPr>
              <w:snapToGrid w:val="0"/>
              <w:spacing w:line="420" w:lineRule="exac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①具备注册造价工程师资格的，得0.5分，具备注册咨询工程师（投资）证书的，得0.5分；</w:t>
            </w:r>
          </w:p>
          <w:p w14:paraId="1386BCA0">
            <w:pPr>
              <w:snapToGrid w:val="0"/>
              <w:spacing w:line="420" w:lineRule="exac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②具备造价相关专业工程师职称的，得0.5分；具备造价相关专业高级（或以上）工程师职称的，得1分。</w:t>
            </w:r>
          </w:p>
          <w:p w14:paraId="32FEF82E">
            <w:pPr>
              <w:snapToGrid w:val="0"/>
              <w:spacing w:line="420" w:lineRule="exac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本小项最高得2.5分。</w:t>
            </w:r>
          </w:p>
          <w:p w14:paraId="7A83BD12">
            <w:pPr>
              <w:snapToGrid w:val="0"/>
              <w:spacing w:line="420" w:lineRule="exac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4.本项最高得6分。</w:t>
            </w:r>
          </w:p>
          <w:p w14:paraId="26686079">
            <w:pPr>
              <w:pStyle w:val="8"/>
              <w:wordWrap w:val="0"/>
              <w:adjustRightInd w:val="0"/>
              <w:snapToGrid w:val="0"/>
              <w:spacing w:line="400" w:lineRule="exact"/>
              <w:jc w:val="left"/>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注：不符合上述条件或未提供相关证明材料的不得分。</w:t>
            </w:r>
          </w:p>
        </w:tc>
        <w:tc>
          <w:tcPr>
            <w:tcW w:w="3922" w:type="dxa"/>
            <w:tcBorders>
              <w:top w:val="single" w:color="auto" w:sz="4" w:space="0"/>
              <w:left w:val="single" w:color="auto" w:sz="4" w:space="0"/>
              <w:bottom w:val="single" w:color="auto" w:sz="4" w:space="0"/>
              <w:right w:val="single" w:color="auto" w:sz="4" w:space="0"/>
            </w:tcBorders>
            <w:vAlign w:val="center"/>
          </w:tcPr>
          <w:p w14:paraId="6290D4AA">
            <w:pPr>
              <w:pStyle w:val="7"/>
              <w:spacing w:line="400" w:lineRule="exact"/>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须提供人员的相关证书证明材料彩色扫描件及在本单位（或分支机构）缴纳社保的有效证明彩色扫描件（</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至少</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1</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个月，其中必须有2025年</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11</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月</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）并加盖公章，否则不予计分。</w:t>
            </w:r>
          </w:p>
        </w:tc>
      </w:tr>
      <w:tr w14:paraId="60555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vMerge w:val="restart"/>
            <w:tcBorders>
              <w:top w:val="single" w:color="auto" w:sz="4" w:space="0"/>
              <w:left w:val="single" w:color="auto" w:sz="4" w:space="0"/>
              <w:bottom w:val="single" w:color="auto" w:sz="4" w:space="0"/>
              <w:right w:val="single" w:color="auto" w:sz="4" w:space="0"/>
            </w:tcBorders>
            <w:vAlign w:val="center"/>
          </w:tcPr>
          <w:p w14:paraId="255FD176">
            <w:pPr>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经济部分得分（50分）</w:t>
            </w:r>
          </w:p>
        </w:tc>
        <w:tc>
          <w:tcPr>
            <w:tcW w:w="2052" w:type="dxa"/>
            <w:gridSpan w:val="2"/>
            <w:tcBorders>
              <w:top w:val="single" w:color="auto" w:sz="4" w:space="0"/>
              <w:left w:val="single" w:color="auto" w:sz="4" w:space="0"/>
              <w:bottom w:val="single" w:color="auto" w:sz="4" w:space="0"/>
              <w:right w:val="single" w:color="auto" w:sz="4" w:space="0"/>
            </w:tcBorders>
            <w:vAlign w:val="center"/>
          </w:tcPr>
          <w:p w14:paraId="67F36991">
            <w:pPr>
              <w:keepNext/>
              <w:widowControl/>
              <w:spacing w:line="340" w:lineRule="exact"/>
              <w:outlineLvl w:val="3"/>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评标基准价D</w:t>
            </w:r>
          </w:p>
        </w:tc>
        <w:tc>
          <w:tcPr>
            <w:tcW w:w="7570" w:type="dxa"/>
            <w:gridSpan w:val="2"/>
            <w:tcBorders>
              <w:top w:val="single" w:color="auto" w:sz="4" w:space="0"/>
              <w:left w:val="single" w:color="auto" w:sz="4" w:space="0"/>
              <w:bottom w:val="single" w:color="auto" w:sz="4" w:space="0"/>
              <w:right w:val="single" w:color="auto" w:sz="4" w:space="0"/>
            </w:tcBorders>
            <w:vAlign w:val="center"/>
          </w:tcPr>
          <w:p w14:paraId="3EF40DE9">
            <w:pPr>
              <w:pStyle w:val="8"/>
              <w:wordWrap w:val="0"/>
              <w:adjustRightInd w:val="0"/>
              <w:snapToGrid w:val="0"/>
              <w:spacing w:line="400" w:lineRule="exac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（1）确定</w:t>
            </w: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最高投标限价</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下浮系数n：用1～21号球分别代表一个下浮系数，由评委代表从这21个号码中随机抽取 3 次，每次抽取1个号码，抽出的号球不参与下次抽取。所抽取的3个号码对应下浮系数的算术平均值作为</w:t>
            </w: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最高投标限价</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下浮系数n。具体号码对应的下浮系数详见下表：</w:t>
            </w:r>
          </w:p>
          <w:tbl>
            <w:tblPr>
              <w:tblStyle w:val="21"/>
              <w:tblW w:w="0" w:type="auto"/>
              <w:tblInd w:w="113" w:type="dxa"/>
              <w:tblLayout w:type="fixed"/>
              <w:tblCellMar>
                <w:top w:w="0" w:type="dxa"/>
                <w:left w:w="108" w:type="dxa"/>
                <w:bottom w:w="0" w:type="dxa"/>
                <w:right w:w="108" w:type="dxa"/>
              </w:tblCellMar>
            </w:tblPr>
            <w:tblGrid>
              <w:gridCol w:w="1465"/>
              <w:gridCol w:w="794"/>
              <w:gridCol w:w="830"/>
              <w:gridCol w:w="864"/>
              <w:gridCol w:w="848"/>
              <w:gridCol w:w="882"/>
              <w:gridCol w:w="829"/>
              <w:gridCol w:w="819"/>
            </w:tblGrid>
            <w:tr w14:paraId="5387EA81">
              <w:tblPrEx>
                <w:tblCellMar>
                  <w:top w:w="0" w:type="dxa"/>
                  <w:left w:w="108" w:type="dxa"/>
                  <w:bottom w:w="0" w:type="dxa"/>
                  <w:right w:w="108" w:type="dxa"/>
                </w:tblCellMar>
              </w:tblPrEx>
              <w:trPr>
                <w:trHeight w:val="248" w:hRule="atLeast"/>
              </w:trPr>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67A1D">
                  <w:pPr>
                    <w:pStyle w:val="8"/>
                    <w:shd w:val="clear"/>
                    <w:wordWrap w:val="0"/>
                    <w:adjustRightInd w:val="0"/>
                    <w:snapToGrid w:val="0"/>
                    <w:spacing w:line="400" w:lineRule="exac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号球</w:t>
                  </w: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77589">
                  <w:pPr>
                    <w:pStyle w:val="8"/>
                    <w:shd w:val="clear"/>
                    <w:wordWrap w:val="0"/>
                    <w:adjustRightInd w:val="0"/>
                    <w:snapToGrid w:val="0"/>
                    <w:spacing w:line="400" w:lineRule="exact"/>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1</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50228">
                  <w:pPr>
                    <w:pStyle w:val="8"/>
                    <w:shd w:val="clear"/>
                    <w:wordWrap w:val="0"/>
                    <w:adjustRightInd w:val="0"/>
                    <w:snapToGrid w:val="0"/>
                    <w:spacing w:line="400" w:lineRule="exact"/>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2</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075E7">
                  <w:pPr>
                    <w:pStyle w:val="8"/>
                    <w:shd w:val="clear"/>
                    <w:wordWrap w:val="0"/>
                    <w:adjustRightInd w:val="0"/>
                    <w:snapToGrid w:val="0"/>
                    <w:spacing w:line="400" w:lineRule="exact"/>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3</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7C954">
                  <w:pPr>
                    <w:pStyle w:val="8"/>
                    <w:shd w:val="clear"/>
                    <w:wordWrap w:val="0"/>
                    <w:adjustRightInd w:val="0"/>
                    <w:snapToGrid w:val="0"/>
                    <w:spacing w:line="400" w:lineRule="exact"/>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4</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36E04">
                  <w:pPr>
                    <w:pStyle w:val="8"/>
                    <w:shd w:val="clear"/>
                    <w:wordWrap w:val="0"/>
                    <w:adjustRightInd w:val="0"/>
                    <w:snapToGrid w:val="0"/>
                    <w:spacing w:line="400" w:lineRule="exact"/>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5</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04267">
                  <w:pPr>
                    <w:pStyle w:val="8"/>
                    <w:shd w:val="clear"/>
                    <w:wordWrap w:val="0"/>
                    <w:adjustRightInd w:val="0"/>
                    <w:snapToGrid w:val="0"/>
                    <w:spacing w:line="400" w:lineRule="exact"/>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6</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0570A">
                  <w:pPr>
                    <w:pStyle w:val="8"/>
                    <w:shd w:val="clear"/>
                    <w:wordWrap w:val="0"/>
                    <w:adjustRightInd w:val="0"/>
                    <w:snapToGrid w:val="0"/>
                    <w:spacing w:line="400" w:lineRule="exact"/>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7</w:t>
                  </w:r>
                </w:p>
              </w:tc>
            </w:tr>
            <w:tr w14:paraId="5C6A5087">
              <w:tblPrEx>
                <w:tblCellMar>
                  <w:top w:w="0" w:type="dxa"/>
                  <w:left w:w="108" w:type="dxa"/>
                  <w:bottom w:w="0" w:type="dxa"/>
                  <w:right w:w="108" w:type="dxa"/>
                </w:tblCellMar>
              </w:tblPrEx>
              <w:trPr>
                <w:trHeight w:val="575" w:hRule="atLeast"/>
              </w:trPr>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C48D5">
                  <w:pPr>
                    <w:pStyle w:val="8"/>
                    <w:shd w:val="clear"/>
                    <w:wordWrap w:val="0"/>
                    <w:adjustRightInd w:val="0"/>
                    <w:snapToGrid w:val="0"/>
                    <w:spacing w:line="400" w:lineRule="exac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下浮系数（%）</w:t>
                  </w: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2D16B">
                  <w:pPr>
                    <w:pStyle w:val="8"/>
                    <w:shd w:val="clear"/>
                    <w:wordWrap w:val="0"/>
                    <w:adjustRightInd w:val="0"/>
                    <w:snapToGrid w:val="0"/>
                    <w:spacing w:line="400" w:lineRule="exact"/>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1.0</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8DEFF">
                  <w:pPr>
                    <w:pStyle w:val="8"/>
                    <w:shd w:val="clear"/>
                    <w:wordWrap w:val="0"/>
                    <w:adjustRightInd w:val="0"/>
                    <w:snapToGrid w:val="0"/>
                    <w:spacing w:line="400" w:lineRule="exact"/>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1.1</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FB068">
                  <w:pPr>
                    <w:pStyle w:val="8"/>
                    <w:shd w:val="clear"/>
                    <w:wordWrap w:val="0"/>
                    <w:adjustRightInd w:val="0"/>
                    <w:snapToGrid w:val="0"/>
                    <w:spacing w:line="400" w:lineRule="exact"/>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1.2</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F6278">
                  <w:pPr>
                    <w:pStyle w:val="8"/>
                    <w:shd w:val="clear"/>
                    <w:wordWrap w:val="0"/>
                    <w:adjustRightInd w:val="0"/>
                    <w:snapToGrid w:val="0"/>
                    <w:spacing w:line="400" w:lineRule="exact"/>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1.3</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16385">
                  <w:pPr>
                    <w:pStyle w:val="8"/>
                    <w:shd w:val="clear"/>
                    <w:wordWrap w:val="0"/>
                    <w:adjustRightInd w:val="0"/>
                    <w:snapToGrid w:val="0"/>
                    <w:spacing w:line="400" w:lineRule="exact"/>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1.4</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3BB8F">
                  <w:pPr>
                    <w:pStyle w:val="8"/>
                    <w:shd w:val="clear"/>
                    <w:wordWrap w:val="0"/>
                    <w:adjustRightInd w:val="0"/>
                    <w:snapToGrid w:val="0"/>
                    <w:spacing w:line="400" w:lineRule="exact"/>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1.5</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F396A">
                  <w:pPr>
                    <w:pStyle w:val="8"/>
                    <w:shd w:val="clear"/>
                    <w:wordWrap w:val="0"/>
                    <w:adjustRightInd w:val="0"/>
                    <w:snapToGrid w:val="0"/>
                    <w:spacing w:line="400" w:lineRule="exact"/>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1.6</w:t>
                  </w:r>
                </w:p>
              </w:tc>
            </w:tr>
            <w:tr w14:paraId="54FF4CED">
              <w:tblPrEx>
                <w:tblCellMar>
                  <w:top w:w="0" w:type="dxa"/>
                  <w:left w:w="108" w:type="dxa"/>
                  <w:bottom w:w="0" w:type="dxa"/>
                  <w:right w:w="108" w:type="dxa"/>
                </w:tblCellMar>
              </w:tblPrEx>
              <w:trPr>
                <w:trHeight w:val="515" w:hRule="atLeast"/>
              </w:trPr>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02DA5">
                  <w:pPr>
                    <w:pStyle w:val="8"/>
                    <w:shd w:val="clear"/>
                    <w:wordWrap w:val="0"/>
                    <w:adjustRightInd w:val="0"/>
                    <w:snapToGrid w:val="0"/>
                    <w:spacing w:line="400" w:lineRule="exac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号球</w:t>
                  </w: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414A5">
                  <w:pPr>
                    <w:pStyle w:val="8"/>
                    <w:shd w:val="clear"/>
                    <w:wordWrap w:val="0"/>
                    <w:adjustRightInd w:val="0"/>
                    <w:snapToGrid w:val="0"/>
                    <w:spacing w:line="400" w:lineRule="exact"/>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8</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8C19A">
                  <w:pPr>
                    <w:pStyle w:val="8"/>
                    <w:shd w:val="clear"/>
                    <w:wordWrap w:val="0"/>
                    <w:adjustRightInd w:val="0"/>
                    <w:snapToGrid w:val="0"/>
                    <w:spacing w:line="400" w:lineRule="exact"/>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9</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80B9C">
                  <w:pPr>
                    <w:pStyle w:val="8"/>
                    <w:shd w:val="clear"/>
                    <w:wordWrap w:val="0"/>
                    <w:adjustRightInd w:val="0"/>
                    <w:snapToGrid w:val="0"/>
                    <w:spacing w:line="400" w:lineRule="exact"/>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10</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23145">
                  <w:pPr>
                    <w:pStyle w:val="8"/>
                    <w:shd w:val="clear"/>
                    <w:wordWrap w:val="0"/>
                    <w:adjustRightInd w:val="0"/>
                    <w:snapToGrid w:val="0"/>
                    <w:spacing w:line="400" w:lineRule="exact"/>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11</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8F67C">
                  <w:pPr>
                    <w:pStyle w:val="8"/>
                    <w:shd w:val="clear"/>
                    <w:wordWrap w:val="0"/>
                    <w:adjustRightInd w:val="0"/>
                    <w:snapToGrid w:val="0"/>
                    <w:spacing w:line="400" w:lineRule="exact"/>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12</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4EBC1">
                  <w:pPr>
                    <w:pStyle w:val="8"/>
                    <w:shd w:val="clear"/>
                    <w:wordWrap w:val="0"/>
                    <w:adjustRightInd w:val="0"/>
                    <w:snapToGrid w:val="0"/>
                    <w:spacing w:line="400" w:lineRule="exact"/>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13</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53CEE">
                  <w:pPr>
                    <w:pStyle w:val="8"/>
                    <w:shd w:val="clear"/>
                    <w:wordWrap w:val="0"/>
                    <w:adjustRightInd w:val="0"/>
                    <w:snapToGrid w:val="0"/>
                    <w:spacing w:line="400" w:lineRule="exact"/>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14</w:t>
                  </w:r>
                </w:p>
              </w:tc>
            </w:tr>
            <w:tr w14:paraId="3C750AF9">
              <w:tblPrEx>
                <w:tblCellMar>
                  <w:top w:w="0" w:type="dxa"/>
                  <w:left w:w="108" w:type="dxa"/>
                  <w:bottom w:w="0" w:type="dxa"/>
                  <w:right w:w="108" w:type="dxa"/>
                </w:tblCellMar>
              </w:tblPrEx>
              <w:trPr>
                <w:trHeight w:val="515" w:hRule="atLeast"/>
              </w:trPr>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71176">
                  <w:pPr>
                    <w:pStyle w:val="8"/>
                    <w:shd w:val="clear"/>
                    <w:wordWrap w:val="0"/>
                    <w:adjustRightInd w:val="0"/>
                    <w:snapToGrid w:val="0"/>
                    <w:spacing w:line="400" w:lineRule="exac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下浮系数（%）</w:t>
                  </w: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5D541">
                  <w:pPr>
                    <w:pStyle w:val="8"/>
                    <w:shd w:val="clear"/>
                    <w:wordWrap w:val="0"/>
                    <w:adjustRightInd w:val="0"/>
                    <w:snapToGrid w:val="0"/>
                    <w:spacing w:line="400" w:lineRule="exact"/>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1.7</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2DBFB">
                  <w:pPr>
                    <w:pStyle w:val="8"/>
                    <w:shd w:val="clear"/>
                    <w:wordWrap w:val="0"/>
                    <w:adjustRightInd w:val="0"/>
                    <w:snapToGrid w:val="0"/>
                    <w:spacing w:line="400" w:lineRule="exact"/>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1.8</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DFCF4">
                  <w:pPr>
                    <w:pStyle w:val="8"/>
                    <w:shd w:val="clear"/>
                    <w:wordWrap w:val="0"/>
                    <w:adjustRightInd w:val="0"/>
                    <w:snapToGrid w:val="0"/>
                    <w:spacing w:line="400" w:lineRule="exact"/>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1.9</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E157F">
                  <w:pPr>
                    <w:pStyle w:val="8"/>
                    <w:shd w:val="clear"/>
                    <w:wordWrap w:val="0"/>
                    <w:adjustRightInd w:val="0"/>
                    <w:snapToGrid w:val="0"/>
                    <w:spacing w:line="400" w:lineRule="exact"/>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2.0</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BA8E3">
                  <w:pPr>
                    <w:pStyle w:val="8"/>
                    <w:shd w:val="clear"/>
                    <w:wordWrap w:val="0"/>
                    <w:adjustRightInd w:val="0"/>
                    <w:snapToGrid w:val="0"/>
                    <w:spacing w:line="400" w:lineRule="exact"/>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2.1</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B0120">
                  <w:pPr>
                    <w:pStyle w:val="8"/>
                    <w:shd w:val="clear"/>
                    <w:wordWrap w:val="0"/>
                    <w:adjustRightInd w:val="0"/>
                    <w:snapToGrid w:val="0"/>
                    <w:spacing w:line="400" w:lineRule="exact"/>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2.2</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721B6">
                  <w:pPr>
                    <w:pStyle w:val="8"/>
                    <w:shd w:val="clear"/>
                    <w:wordWrap w:val="0"/>
                    <w:adjustRightInd w:val="0"/>
                    <w:snapToGrid w:val="0"/>
                    <w:spacing w:line="400" w:lineRule="exact"/>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2.3</w:t>
                  </w:r>
                </w:p>
              </w:tc>
            </w:tr>
            <w:tr w14:paraId="20174E91">
              <w:tblPrEx>
                <w:tblCellMar>
                  <w:top w:w="0" w:type="dxa"/>
                  <w:left w:w="108" w:type="dxa"/>
                  <w:bottom w:w="0" w:type="dxa"/>
                  <w:right w:w="108" w:type="dxa"/>
                </w:tblCellMar>
              </w:tblPrEx>
              <w:trPr>
                <w:trHeight w:val="470" w:hRule="atLeast"/>
              </w:trPr>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2D3B6">
                  <w:pPr>
                    <w:pStyle w:val="8"/>
                    <w:shd w:val="clear"/>
                    <w:wordWrap w:val="0"/>
                    <w:adjustRightInd w:val="0"/>
                    <w:snapToGrid w:val="0"/>
                    <w:spacing w:line="400" w:lineRule="exac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号球</w:t>
                  </w: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0E47A">
                  <w:pPr>
                    <w:pStyle w:val="8"/>
                    <w:shd w:val="clear"/>
                    <w:wordWrap w:val="0"/>
                    <w:adjustRightInd w:val="0"/>
                    <w:snapToGrid w:val="0"/>
                    <w:spacing w:line="400" w:lineRule="exact"/>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15</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A03CC">
                  <w:pPr>
                    <w:pStyle w:val="8"/>
                    <w:shd w:val="clear"/>
                    <w:wordWrap w:val="0"/>
                    <w:adjustRightInd w:val="0"/>
                    <w:snapToGrid w:val="0"/>
                    <w:spacing w:line="400" w:lineRule="exact"/>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16</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07D07">
                  <w:pPr>
                    <w:pStyle w:val="8"/>
                    <w:shd w:val="clear"/>
                    <w:wordWrap w:val="0"/>
                    <w:adjustRightInd w:val="0"/>
                    <w:snapToGrid w:val="0"/>
                    <w:spacing w:line="400" w:lineRule="exact"/>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17</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9602A">
                  <w:pPr>
                    <w:pStyle w:val="8"/>
                    <w:shd w:val="clear"/>
                    <w:wordWrap w:val="0"/>
                    <w:adjustRightInd w:val="0"/>
                    <w:snapToGrid w:val="0"/>
                    <w:spacing w:line="400" w:lineRule="exact"/>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18</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B1762">
                  <w:pPr>
                    <w:pStyle w:val="8"/>
                    <w:shd w:val="clear"/>
                    <w:wordWrap w:val="0"/>
                    <w:adjustRightInd w:val="0"/>
                    <w:snapToGrid w:val="0"/>
                    <w:spacing w:line="400" w:lineRule="exact"/>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19</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CC233">
                  <w:pPr>
                    <w:pStyle w:val="8"/>
                    <w:shd w:val="clear"/>
                    <w:wordWrap w:val="0"/>
                    <w:adjustRightInd w:val="0"/>
                    <w:snapToGrid w:val="0"/>
                    <w:spacing w:line="400" w:lineRule="exact"/>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20</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2EFD3">
                  <w:pPr>
                    <w:pStyle w:val="8"/>
                    <w:shd w:val="clear"/>
                    <w:wordWrap w:val="0"/>
                    <w:adjustRightInd w:val="0"/>
                    <w:snapToGrid w:val="0"/>
                    <w:spacing w:line="400" w:lineRule="exact"/>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21</w:t>
                  </w:r>
                </w:p>
              </w:tc>
            </w:tr>
            <w:tr w14:paraId="576EC0B1">
              <w:tblPrEx>
                <w:tblCellMar>
                  <w:top w:w="0" w:type="dxa"/>
                  <w:left w:w="108" w:type="dxa"/>
                  <w:bottom w:w="0" w:type="dxa"/>
                  <w:right w:w="108" w:type="dxa"/>
                </w:tblCellMar>
              </w:tblPrEx>
              <w:trPr>
                <w:trHeight w:val="600" w:hRule="atLeast"/>
              </w:trPr>
              <w:tc>
                <w:tcPr>
                  <w:tcW w:w="1465" w:type="dxa"/>
                  <w:tcBorders>
                    <w:top w:val="single" w:color="000000" w:sz="4" w:space="0"/>
                    <w:left w:val="single" w:color="000000" w:sz="4" w:space="0"/>
                    <w:bottom w:val="single" w:color="000000" w:sz="4" w:space="0"/>
                    <w:right w:val="single" w:color="000000" w:sz="4" w:space="0"/>
                  </w:tcBorders>
                  <w:vAlign w:val="center"/>
                </w:tcPr>
                <w:p w14:paraId="392DCD25">
                  <w:pPr>
                    <w:pStyle w:val="8"/>
                    <w:shd w:val="clear"/>
                    <w:wordWrap w:val="0"/>
                    <w:adjustRightInd w:val="0"/>
                    <w:snapToGrid w:val="0"/>
                    <w:spacing w:line="400" w:lineRule="exac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下浮系数（%）</w:t>
                  </w:r>
                </w:p>
              </w:tc>
              <w:tc>
                <w:tcPr>
                  <w:tcW w:w="794" w:type="dxa"/>
                  <w:tcBorders>
                    <w:top w:val="single" w:color="000000" w:sz="4" w:space="0"/>
                    <w:left w:val="single" w:color="000000" w:sz="4" w:space="0"/>
                    <w:bottom w:val="single" w:color="000000" w:sz="4" w:space="0"/>
                    <w:right w:val="single" w:color="000000" w:sz="4" w:space="0"/>
                  </w:tcBorders>
                  <w:vAlign w:val="center"/>
                </w:tcPr>
                <w:p w14:paraId="2D23CE52">
                  <w:pPr>
                    <w:pStyle w:val="8"/>
                    <w:shd w:val="clear"/>
                    <w:wordWrap w:val="0"/>
                    <w:adjustRightInd w:val="0"/>
                    <w:snapToGrid w:val="0"/>
                    <w:spacing w:line="400" w:lineRule="exact"/>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2.4</w:t>
                  </w:r>
                </w:p>
              </w:tc>
              <w:tc>
                <w:tcPr>
                  <w:tcW w:w="830" w:type="dxa"/>
                  <w:tcBorders>
                    <w:top w:val="single" w:color="000000" w:sz="4" w:space="0"/>
                    <w:left w:val="single" w:color="000000" w:sz="4" w:space="0"/>
                    <w:bottom w:val="single" w:color="000000" w:sz="4" w:space="0"/>
                    <w:right w:val="single" w:color="000000" w:sz="4" w:space="0"/>
                  </w:tcBorders>
                  <w:vAlign w:val="center"/>
                </w:tcPr>
                <w:p w14:paraId="51AEFD60">
                  <w:pPr>
                    <w:pStyle w:val="8"/>
                    <w:shd w:val="clear"/>
                    <w:wordWrap w:val="0"/>
                    <w:adjustRightInd w:val="0"/>
                    <w:snapToGrid w:val="0"/>
                    <w:spacing w:line="400" w:lineRule="exact"/>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2.5</w:t>
                  </w:r>
                </w:p>
              </w:tc>
              <w:tc>
                <w:tcPr>
                  <w:tcW w:w="864" w:type="dxa"/>
                  <w:tcBorders>
                    <w:top w:val="single" w:color="000000" w:sz="4" w:space="0"/>
                    <w:left w:val="single" w:color="000000" w:sz="4" w:space="0"/>
                    <w:bottom w:val="single" w:color="000000" w:sz="4" w:space="0"/>
                    <w:right w:val="single" w:color="000000" w:sz="4" w:space="0"/>
                  </w:tcBorders>
                  <w:vAlign w:val="center"/>
                </w:tcPr>
                <w:p w14:paraId="413B20B2">
                  <w:pPr>
                    <w:pStyle w:val="8"/>
                    <w:shd w:val="clear"/>
                    <w:wordWrap w:val="0"/>
                    <w:adjustRightInd w:val="0"/>
                    <w:snapToGrid w:val="0"/>
                    <w:spacing w:line="400" w:lineRule="exact"/>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2.6</w:t>
                  </w:r>
                </w:p>
              </w:tc>
              <w:tc>
                <w:tcPr>
                  <w:tcW w:w="848" w:type="dxa"/>
                  <w:tcBorders>
                    <w:top w:val="single" w:color="000000" w:sz="4" w:space="0"/>
                    <w:left w:val="single" w:color="000000" w:sz="4" w:space="0"/>
                    <w:bottom w:val="single" w:color="000000" w:sz="4" w:space="0"/>
                    <w:right w:val="single" w:color="000000" w:sz="4" w:space="0"/>
                  </w:tcBorders>
                  <w:vAlign w:val="center"/>
                </w:tcPr>
                <w:p w14:paraId="146217D2">
                  <w:pPr>
                    <w:pStyle w:val="8"/>
                    <w:shd w:val="clear"/>
                    <w:wordWrap w:val="0"/>
                    <w:adjustRightInd w:val="0"/>
                    <w:snapToGrid w:val="0"/>
                    <w:spacing w:line="400" w:lineRule="exact"/>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2.7</w:t>
                  </w:r>
                </w:p>
              </w:tc>
              <w:tc>
                <w:tcPr>
                  <w:tcW w:w="882" w:type="dxa"/>
                  <w:tcBorders>
                    <w:top w:val="single" w:color="000000" w:sz="4" w:space="0"/>
                    <w:left w:val="single" w:color="000000" w:sz="4" w:space="0"/>
                    <w:bottom w:val="single" w:color="000000" w:sz="4" w:space="0"/>
                    <w:right w:val="single" w:color="000000" w:sz="4" w:space="0"/>
                  </w:tcBorders>
                  <w:vAlign w:val="center"/>
                </w:tcPr>
                <w:p w14:paraId="12388DE3">
                  <w:pPr>
                    <w:pStyle w:val="8"/>
                    <w:shd w:val="clear"/>
                    <w:wordWrap w:val="0"/>
                    <w:adjustRightInd w:val="0"/>
                    <w:snapToGrid w:val="0"/>
                    <w:spacing w:line="400" w:lineRule="exact"/>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2.8</w:t>
                  </w:r>
                </w:p>
              </w:tc>
              <w:tc>
                <w:tcPr>
                  <w:tcW w:w="829" w:type="dxa"/>
                  <w:tcBorders>
                    <w:top w:val="single" w:color="000000" w:sz="4" w:space="0"/>
                    <w:left w:val="single" w:color="000000" w:sz="4" w:space="0"/>
                    <w:bottom w:val="single" w:color="000000" w:sz="4" w:space="0"/>
                    <w:right w:val="single" w:color="000000" w:sz="4" w:space="0"/>
                  </w:tcBorders>
                  <w:vAlign w:val="center"/>
                </w:tcPr>
                <w:p w14:paraId="1EA7F297">
                  <w:pPr>
                    <w:pStyle w:val="8"/>
                    <w:shd w:val="clear"/>
                    <w:wordWrap w:val="0"/>
                    <w:adjustRightInd w:val="0"/>
                    <w:snapToGrid w:val="0"/>
                    <w:spacing w:line="400" w:lineRule="exact"/>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2.9</w:t>
                  </w:r>
                </w:p>
              </w:tc>
              <w:tc>
                <w:tcPr>
                  <w:tcW w:w="819" w:type="dxa"/>
                  <w:tcBorders>
                    <w:top w:val="single" w:color="000000" w:sz="4" w:space="0"/>
                    <w:left w:val="single" w:color="000000" w:sz="4" w:space="0"/>
                    <w:bottom w:val="single" w:color="000000" w:sz="4" w:space="0"/>
                    <w:right w:val="single" w:color="000000" w:sz="4" w:space="0"/>
                  </w:tcBorders>
                  <w:vAlign w:val="center"/>
                </w:tcPr>
                <w:p w14:paraId="2C125C61">
                  <w:pPr>
                    <w:pStyle w:val="8"/>
                    <w:shd w:val="clear"/>
                    <w:wordWrap w:val="0"/>
                    <w:adjustRightInd w:val="0"/>
                    <w:snapToGrid w:val="0"/>
                    <w:spacing w:line="400" w:lineRule="exact"/>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3.0</w:t>
                  </w:r>
                </w:p>
              </w:tc>
            </w:tr>
          </w:tbl>
          <w:p w14:paraId="69CFB4BB">
            <w:pPr>
              <w:pStyle w:val="7"/>
              <w:shd w:val="clear"/>
              <w:spacing w:line="400" w:lineRule="exact"/>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（2）评标基准价D＝</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最高投标限价</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×（1－n）</w:t>
            </w:r>
          </w:p>
        </w:tc>
      </w:tr>
      <w:tr w14:paraId="59F1A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vMerge w:val="continue"/>
            <w:tcBorders>
              <w:top w:val="single" w:color="auto" w:sz="4" w:space="0"/>
              <w:left w:val="single" w:color="auto" w:sz="4" w:space="0"/>
              <w:bottom w:val="single" w:color="auto" w:sz="4" w:space="0"/>
              <w:right w:val="single" w:color="auto" w:sz="4" w:space="0"/>
            </w:tcBorders>
            <w:vAlign w:val="center"/>
          </w:tcPr>
          <w:p w14:paraId="446BB9B4">
            <w:pPr>
              <w:widowControl/>
              <w:jc w:val="left"/>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p>
        </w:tc>
        <w:tc>
          <w:tcPr>
            <w:tcW w:w="2052" w:type="dxa"/>
            <w:gridSpan w:val="2"/>
            <w:tcBorders>
              <w:top w:val="single" w:color="auto" w:sz="4" w:space="0"/>
              <w:left w:val="single" w:color="auto" w:sz="4" w:space="0"/>
              <w:bottom w:val="single" w:color="auto" w:sz="4" w:space="0"/>
              <w:right w:val="single" w:color="auto" w:sz="4" w:space="0"/>
            </w:tcBorders>
            <w:vAlign w:val="center"/>
          </w:tcPr>
          <w:p w14:paraId="73BFFA97">
            <w:pPr>
              <w:keepNext/>
              <w:widowControl/>
              <w:snapToGrid w:val="0"/>
              <w:spacing w:line="340" w:lineRule="exact"/>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投标报价得分N</w:t>
            </w:r>
          </w:p>
        </w:tc>
        <w:tc>
          <w:tcPr>
            <w:tcW w:w="7570" w:type="dxa"/>
            <w:gridSpan w:val="2"/>
            <w:tcBorders>
              <w:top w:val="single" w:color="auto" w:sz="4" w:space="0"/>
              <w:left w:val="single" w:color="auto" w:sz="4" w:space="0"/>
              <w:bottom w:val="single" w:color="auto" w:sz="4" w:space="0"/>
              <w:right w:val="single" w:color="auto" w:sz="4" w:space="0"/>
            </w:tcBorders>
            <w:vAlign w:val="center"/>
          </w:tcPr>
          <w:p w14:paraId="26FD68A5">
            <w:pPr>
              <w:keepNext/>
              <w:widowControl/>
              <w:spacing w:line="340" w:lineRule="exact"/>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采用内插法计算某投标人的投标报价得分N，即当投标人的投标总价等于评标基准价时得5</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0分，每高于评标基准价一个百分点扣</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0.5</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分,每低于评标基准价一个百分点扣0.</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5分，扣完为止。公式如下：</w:t>
            </w:r>
          </w:p>
          <w:p w14:paraId="62A44A18">
            <w:pPr>
              <w:keepNext/>
              <w:widowControl/>
              <w:spacing w:line="340" w:lineRule="exact"/>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N＝50－（|Di－D|÷D）×100×E</w:t>
            </w:r>
          </w:p>
          <w:p w14:paraId="53BB77D9">
            <w:pPr>
              <w:pStyle w:val="7"/>
              <w:spacing w:line="400" w:lineRule="exact"/>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式中：D为评标基准价；Di为某投标人的投标总价；E为扣分因子，当Di＞D时，E＝</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0.5</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；当Di＜D时，E＝0.</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5。</w:t>
            </w:r>
          </w:p>
        </w:tc>
      </w:tr>
      <w:tr w14:paraId="70395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3" w:type="dxa"/>
            <w:vMerge w:val="continue"/>
            <w:tcBorders>
              <w:top w:val="single" w:color="auto" w:sz="4" w:space="0"/>
              <w:left w:val="single" w:color="auto" w:sz="4" w:space="0"/>
              <w:bottom w:val="single" w:color="auto" w:sz="4" w:space="0"/>
              <w:right w:val="single" w:color="auto" w:sz="4" w:space="0"/>
            </w:tcBorders>
            <w:vAlign w:val="center"/>
          </w:tcPr>
          <w:p w14:paraId="269556A8">
            <w:pPr>
              <w:widowControl/>
              <w:jc w:val="left"/>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p>
        </w:tc>
        <w:tc>
          <w:tcPr>
            <w:tcW w:w="2052" w:type="dxa"/>
            <w:gridSpan w:val="2"/>
            <w:tcBorders>
              <w:top w:val="single" w:color="auto" w:sz="4" w:space="0"/>
              <w:left w:val="single" w:color="auto" w:sz="4" w:space="0"/>
              <w:bottom w:val="single" w:color="auto" w:sz="4" w:space="0"/>
              <w:right w:val="single" w:color="auto" w:sz="4" w:space="0"/>
            </w:tcBorders>
            <w:vAlign w:val="center"/>
          </w:tcPr>
          <w:p w14:paraId="4A2A29E5">
            <w:pPr>
              <w:keepNext/>
              <w:widowControl/>
              <w:snapToGrid w:val="0"/>
              <w:spacing w:line="340" w:lineRule="exact"/>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合计</w:t>
            </w:r>
          </w:p>
        </w:tc>
        <w:tc>
          <w:tcPr>
            <w:tcW w:w="7570" w:type="dxa"/>
            <w:gridSpan w:val="2"/>
            <w:tcBorders>
              <w:top w:val="single" w:color="auto" w:sz="4" w:space="0"/>
              <w:left w:val="single" w:color="auto" w:sz="4" w:space="0"/>
              <w:bottom w:val="single" w:color="auto" w:sz="4" w:space="0"/>
              <w:right w:val="single" w:color="auto" w:sz="4" w:space="0"/>
            </w:tcBorders>
            <w:vAlign w:val="center"/>
          </w:tcPr>
          <w:p w14:paraId="4E961F3E">
            <w:pPr>
              <w:pStyle w:val="7"/>
              <w:spacing w:line="400" w:lineRule="exact"/>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综合得分=商务部分得分+经济部分得分</w:t>
            </w:r>
          </w:p>
        </w:tc>
      </w:tr>
    </w:tbl>
    <w:p w14:paraId="48FD37A5">
      <w:pPr>
        <w:rPr>
          <w:rFonts w:hint="eastAsia"/>
          <w:color w:val="000000" w:themeColor="text1"/>
          <w:highlight w:val="none"/>
          <w14:textFill>
            <w14:solidFill>
              <w14:schemeClr w14:val="tx1"/>
            </w14:solidFill>
          </w14:textFill>
        </w:rPr>
      </w:pPr>
    </w:p>
    <w:p w14:paraId="652B4D38">
      <w:pPr>
        <w:spacing w:line="440" w:lineRule="exact"/>
        <w:rPr>
          <w:rFonts w:hint="eastAsia" w:asciiTheme="minorEastAsia" w:hAnsiTheme="minorEastAsia" w:eastAsiaTheme="minorEastAsia" w:cstheme="minorEastAsia"/>
          <w:color w:val="000000" w:themeColor="text1"/>
          <w:spacing w:val="10"/>
          <w:kern w:val="0"/>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10"/>
          <w:kern w:val="0"/>
          <w:szCs w:val="24"/>
          <w:highlight w:val="none"/>
          <w14:textFill>
            <w14:solidFill>
              <w14:schemeClr w14:val="tx1"/>
            </w14:solidFill>
          </w14:textFill>
        </w:rPr>
        <w:t>备注：</w:t>
      </w:r>
    </w:p>
    <w:p w14:paraId="4C82F864">
      <w:pPr>
        <w:spacing w:line="440" w:lineRule="exact"/>
        <w:ind w:firstLine="482" w:firstLineChars="200"/>
        <w:rPr>
          <w:rFonts w:hint="eastAsia" w:asciiTheme="minorEastAsia" w:hAnsiTheme="minorEastAsia" w:eastAsiaTheme="minorEastAsia" w:cstheme="minorEastAsia"/>
          <w:b/>
          <w:bCs/>
          <w:color w:val="000000" w:themeColor="text1"/>
          <w:szCs w:val="24"/>
          <w:highlight w:val="none"/>
          <w:u w:val="doubl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1、</w:t>
      </w:r>
      <w:r>
        <w:rPr>
          <w:rFonts w:hint="eastAsia" w:asciiTheme="minorEastAsia" w:hAnsiTheme="minorEastAsia" w:eastAsiaTheme="minorEastAsia" w:cstheme="minorEastAsia"/>
          <w:b/>
          <w:bCs/>
          <w:color w:val="000000" w:themeColor="text1"/>
          <w:szCs w:val="24"/>
          <w:highlight w:val="none"/>
          <w:u w:val="double"/>
          <w14:textFill>
            <w14:solidFill>
              <w14:schemeClr w14:val="tx1"/>
            </w14:solidFill>
          </w14:textFill>
        </w:rPr>
        <w:t>评分如出现小数点，则保留小数点后两位，第三位四舍五入。</w:t>
      </w:r>
    </w:p>
    <w:p w14:paraId="60FF2AA3">
      <w:pPr>
        <w:spacing w:line="440" w:lineRule="exact"/>
        <w:ind w:firstLine="482" w:firstLineChars="200"/>
        <w:rPr>
          <w:rFonts w:hint="eastAsia" w:asciiTheme="minorEastAsia" w:hAnsiTheme="minorEastAsia" w:eastAsiaTheme="minorEastAsia" w:cstheme="minorEastAsia"/>
          <w:b/>
          <w:color w:val="000000" w:themeColor="text1"/>
          <w:kern w:val="1"/>
          <w:highlight w:val="none"/>
          <w:u w:val="singl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lang w:val="en-US" w:eastAsia="zh-CN"/>
          <w14:textFill>
            <w14:solidFill>
              <w14:schemeClr w14:val="tx1"/>
            </w14:solidFill>
          </w14:textFill>
        </w:rPr>
        <w:t>2</w:t>
      </w: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w:t>
      </w:r>
      <w:r>
        <w:rPr>
          <w:rFonts w:hint="eastAsia" w:asciiTheme="minorEastAsia" w:hAnsiTheme="minorEastAsia" w:eastAsiaTheme="minorEastAsia" w:cstheme="minorEastAsia"/>
          <w:b/>
          <w:bCs/>
          <w:color w:val="000000" w:themeColor="text1"/>
          <w:szCs w:val="24"/>
          <w:highlight w:val="none"/>
          <w:u w:val="double"/>
          <w14:textFill>
            <w14:solidFill>
              <w14:schemeClr w14:val="tx1"/>
            </w14:solidFill>
          </w14:textFill>
        </w:rPr>
        <w:t>如果某投标人的建安工程费下浮率高于15%时，又未提供相应书面说明和佐证材料或提供的书面说明和佐证材料不能令人信服的，评标委员会应认定其以低于成本的价格竞标，并否决其投标。评标委员会接受该投标人的投标总价而未否决其投标的，应在评标报告中说明判断理由。</w:t>
      </w:r>
    </w:p>
    <w:p w14:paraId="644408AA">
      <w:pPr>
        <w:wordWrap w:val="0"/>
        <w:adjustRightInd w:val="0"/>
        <w:snapToGrid w:val="0"/>
        <w:spacing w:line="440" w:lineRule="exact"/>
        <w:ind w:firstLine="520" w:firstLineChars="200"/>
        <w:rPr>
          <w:rFonts w:hint="eastAsia" w:asciiTheme="minorEastAsia" w:hAnsiTheme="minorEastAsia" w:eastAsiaTheme="minorEastAsia" w:cstheme="minorEastAsia"/>
          <w:bCs/>
          <w:color w:val="000000" w:themeColor="text1"/>
          <w:spacing w:val="10"/>
          <w:kern w:val="0"/>
          <w:szCs w:val="24"/>
          <w:highlight w:val="none"/>
          <w14:textFill>
            <w14:solidFill>
              <w14:schemeClr w14:val="tx1"/>
            </w14:solidFill>
          </w14:textFill>
        </w:rPr>
      </w:pPr>
    </w:p>
    <w:p w14:paraId="124DC73F">
      <w:pPr>
        <w:wordWrap w:val="0"/>
        <w:adjustRightInd w:val="0"/>
        <w:snapToGrid w:val="0"/>
        <w:spacing w:line="440" w:lineRule="exact"/>
        <w:ind w:firstLine="52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spacing w:val="10"/>
          <w:kern w:val="0"/>
          <w:szCs w:val="24"/>
          <w:highlight w:val="none"/>
          <w14:textFill>
            <w14:solidFill>
              <w14:schemeClr w14:val="tx1"/>
            </w14:solidFill>
          </w14:textFill>
        </w:rPr>
        <w:t>14.</w:t>
      </w:r>
      <w:r>
        <w:rPr>
          <w:rFonts w:hint="eastAsia" w:asciiTheme="minorEastAsia" w:hAnsiTheme="minorEastAsia" w:eastAsiaTheme="minorEastAsia" w:cstheme="minorEastAsia"/>
          <w:bCs/>
          <w:color w:val="000000" w:themeColor="text1"/>
          <w:spacing w:val="10"/>
          <w:kern w:val="0"/>
          <w:szCs w:val="24"/>
          <w:highlight w:val="none"/>
          <w:lang w:val="en-US" w:eastAsia="zh-CN"/>
          <w14:textFill>
            <w14:solidFill>
              <w14:schemeClr w14:val="tx1"/>
            </w14:solidFill>
          </w14:textFill>
        </w:rPr>
        <w:t>5</w:t>
      </w:r>
      <w:r>
        <w:rPr>
          <w:rFonts w:hint="eastAsia" w:asciiTheme="minorEastAsia" w:hAnsiTheme="minorEastAsia" w:eastAsiaTheme="minorEastAsia" w:cstheme="minorEastAsia"/>
          <w:bCs/>
          <w:color w:val="000000" w:themeColor="text1"/>
          <w:spacing w:val="10"/>
          <w:kern w:val="0"/>
          <w:szCs w:val="24"/>
          <w:highlight w:val="none"/>
          <w14:textFill>
            <w14:solidFill>
              <w14:schemeClr w14:val="tx1"/>
            </w14:solidFill>
          </w14:textFill>
        </w:rPr>
        <w:t>.2</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否决投标说明</w:t>
      </w:r>
    </w:p>
    <w:p w14:paraId="2F46DD7E">
      <w:pPr>
        <w:wordWrap w:val="0"/>
        <w:adjustRightInd w:val="0"/>
        <w:snapToGrid w:val="0"/>
        <w:spacing w:line="440" w:lineRule="exact"/>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详细评审阶段否决投标的全部条件，在本章第四节“否决投标条件”第1条至第4条中集中列示。投标人有其中所列任何一种情形的，由评标委员会否决其投标。经详细评审后，有效投标人数量不足3个时，招标人应依法重新组织招标。</w:t>
      </w:r>
    </w:p>
    <w:p w14:paraId="524E4F43">
      <w:pPr>
        <w:pStyle w:val="36"/>
        <w:spacing w:line="400" w:lineRule="exact"/>
        <w:rPr>
          <w:rFonts w:hint="eastAsia" w:asciiTheme="minorEastAsia" w:hAnsiTheme="minorEastAsia" w:eastAsiaTheme="minorEastAsia" w:cstheme="minorEastAsia"/>
          <w:b/>
          <w:color w:val="000000" w:themeColor="text1"/>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t>注：投标人在详细评审阶段根据评分方法提供的佐证材料，其合法性、有效性和准确性不符合要求的，有关量化因素（或评分因素）的折算、调整（或评分）按相应量化标准（或评分标准）处理，但不否决投标。</w:t>
      </w:r>
    </w:p>
    <w:p w14:paraId="70091841">
      <w:pPr>
        <w:pStyle w:val="46"/>
        <w:ind w:firstLine="482" w:firstLineChars="200"/>
        <w:jc w:val="both"/>
        <w:outlineLvl w:val="9"/>
        <w:rPr>
          <w:rFonts w:hint="eastAsia" w:asciiTheme="minorEastAsia" w:hAnsiTheme="minorEastAsia" w:eastAsiaTheme="minorEastAsia" w:cstheme="minorEastAsia"/>
          <w:b/>
          <w:color w:val="000000" w:themeColor="text1"/>
          <w:highlight w:val="none"/>
          <w14:textFill>
            <w14:solidFill>
              <w14:schemeClr w14:val="tx1"/>
            </w14:solidFill>
          </w14:textFill>
        </w:rPr>
      </w:pPr>
    </w:p>
    <w:p w14:paraId="13A69B6E">
      <w:pPr>
        <w:pStyle w:val="38"/>
        <w:keepNext/>
        <w:keepLines/>
        <w:ind w:firstLine="480"/>
        <w:jc w:val="both"/>
        <w:rPr>
          <w:rFonts w:hint="eastAsia" w:asciiTheme="minorEastAsia" w:hAnsiTheme="minorEastAsia" w:eastAsiaTheme="minorEastAsia" w:cstheme="minorEastAsia"/>
          <w:b/>
          <w:color w:val="000000" w:themeColor="text1"/>
          <w:kern w:val="2"/>
          <w:highlight w:val="none"/>
          <w14:textFill>
            <w14:solidFill>
              <w14:schemeClr w14:val="tx1"/>
            </w14:solidFill>
          </w14:textFill>
        </w:rPr>
      </w:pPr>
      <w:bookmarkStart w:id="278" w:name="_Toc32481"/>
      <w:bookmarkStart w:id="279" w:name="_Toc8759"/>
      <w:r>
        <w:rPr>
          <w:rFonts w:hint="eastAsia" w:asciiTheme="minorEastAsia" w:hAnsiTheme="minorEastAsia" w:eastAsiaTheme="minorEastAsia" w:cstheme="minorEastAsia"/>
          <w:b/>
          <w:color w:val="000000" w:themeColor="text1"/>
          <w:kern w:val="2"/>
          <w:highlight w:val="none"/>
          <w14:textFill>
            <w14:solidFill>
              <w14:schemeClr w14:val="tx1"/>
            </w14:solidFill>
          </w14:textFill>
        </w:rPr>
        <w:t>15</w:t>
      </w:r>
      <w:r>
        <w:rPr>
          <w:rFonts w:hint="eastAsia" w:asciiTheme="minorEastAsia" w:hAnsiTheme="minorEastAsia" w:eastAsiaTheme="minorEastAsia" w:cstheme="minorEastAsia"/>
          <w:b/>
          <w:color w:val="000000" w:themeColor="text1"/>
          <w:kern w:val="2"/>
          <w:highlight w:val="none"/>
          <w:lang w:val="en-US" w:eastAsia="zh-CN"/>
          <w14:textFill>
            <w14:solidFill>
              <w14:schemeClr w14:val="tx1"/>
            </w14:solidFill>
          </w14:textFill>
        </w:rPr>
        <w:t>、</w:t>
      </w:r>
      <w:r>
        <w:rPr>
          <w:rFonts w:hint="eastAsia" w:asciiTheme="minorEastAsia" w:hAnsiTheme="minorEastAsia" w:eastAsiaTheme="minorEastAsia" w:cstheme="minorEastAsia"/>
          <w:b/>
          <w:color w:val="000000" w:themeColor="text1"/>
          <w:kern w:val="2"/>
          <w:highlight w:val="none"/>
          <w14:textFill>
            <w14:solidFill>
              <w14:schemeClr w14:val="tx1"/>
            </w14:solidFill>
          </w14:textFill>
        </w:rPr>
        <w:t>中标候选人公示</w:t>
      </w:r>
      <w:bookmarkEnd w:id="278"/>
      <w:bookmarkEnd w:id="279"/>
    </w:p>
    <w:p w14:paraId="472398B4">
      <w:pPr>
        <w:pStyle w:val="36"/>
        <w:spacing w:line="400" w:lineRule="exact"/>
        <w:ind w:firstLine="480" w:firstLineChars="200"/>
        <w:rPr>
          <w:rFonts w:hint="eastAsia" w:asciiTheme="minorEastAsia" w:hAnsiTheme="minorEastAsia" w:eastAsiaTheme="minorEastAsia" w:cstheme="minorEastAsia"/>
          <w:bCs/>
          <w:snapToGrid w:val="0"/>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15.1</w:t>
      </w:r>
      <w:r>
        <w:rPr>
          <w:rFonts w:hint="eastAsia" w:asciiTheme="minorEastAsia" w:hAnsiTheme="minorEastAsia" w:eastAsiaTheme="minorEastAsia" w:cstheme="minorEastAsia"/>
          <w:bCs/>
          <w:snapToGrid w:val="0"/>
          <w:color w:val="000000" w:themeColor="text1"/>
          <w:kern w:val="0"/>
          <w:highlight w:val="none"/>
          <w14:textFill>
            <w14:solidFill>
              <w14:schemeClr w14:val="tx1"/>
            </w14:solidFill>
          </w14:textFill>
        </w:rPr>
        <w:t>招标人自收到评标委员会提交的书面评标报告和中标候选人名单之日起3日内，将评标结果（即中标候选人名单）、中标候选人投标文件、评标过程（评标专家姓名用代码标记）一并在广东省招标投标监管网（http://zbtb.gd.gov.cn）、全国公共资源交易平台（广东省·韶关市）（https://ygp.gdzwfw.gov.cn/ggzy-portal/#/440200/index）进行公示，公示期不得少于3天。</w:t>
      </w:r>
    </w:p>
    <w:p w14:paraId="698089A6">
      <w:pPr>
        <w:pStyle w:val="36"/>
        <w:spacing w:line="400" w:lineRule="exact"/>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15.2</w:t>
      </w:r>
      <w:r>
        <w:rPr>
          <w:rFonts w:hint="eastAsia" w:asciiTheme="minorEastAsia" w:hAnsiTheme="minorEastAsia" w:eastAsiaTheme="minorEastAsia" w:cstheme="minorEastAsia"/>
          <w:bCs/>
          <w:snapToGrid w:val="0"/>
          <w:color w:val="000000" w:themeColor="text1"/>
          <w:kern w:val="0"/>
          <w:highlight w:val="none"/>
          <w14:textFill>
            <w14:solidFill>
              <w14:schemeClr w14:val="tx1"/>
            </w14:solidFill>
          </w14:textFill>
        </w:rPr>
        <w:t>投标人对评标结果、中标候选人投标文件、评标过程有异议的，必须在以上内容公示期间向招标人提出书面异议，否则招标人不予受理。经招标人书面答复，异议人仍不满意的，可在法律规定的时限内向行政监督部门提出书面投诉。异议（投诉）提出、处理的具体办法和要求，按照《韶关市工程建设项目招标投标活动异议和投诉处理办法》（韶法审〔2020〕19号）执行。</w:t>
      </w:r>
    </w:p>
    <w:p w14:paraId="76AC70F7">
      <w:pPr>
        <w:pStyle w:val="36"/>
        <w:spacing w:line="400" w:lineRule="exact"/>
        <w:ind w:firstLine="480" w:firstLineChars="200"/>
        <w:rPr>
          <w:rFonts w:hint="eastAsia" w:asciiTheme="minorEastAsia" w:hAnsiTheme="minorEastAsia" w:eastAsiaTheme="minorEastAsia" w:cstheme="minorEastAsia"/>
          <w:bCs/>
          <w:snapToGrid w:val="0"/>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bCs/>
          <w:snapToGrid w:val="0"/>
          <w:color w:val="000000" w:themeColor="text1"/>
          <w:kern w:val="0"/>
          <w:highlight w:val="none"/>
          <w14:textFill>
            <w14:solidFill>
              <w14:schemeClr w14:val="tx1"/>
            </w14:solidFill>
          </w14:textFill>
        </w:rPr>
        <w:t>15.3 中标候选人公示期满无异议（投诉）后，招标人确定第一中标候选人为中标人，并在中标人确定之日起7日内向中标人发出中标通知书。在中标通知书发出后5个工作日内，韶关市公共资源交易中心将投标保证金退还给中标候选人以外的投标人。</w:t>
      </w:r>
    </w:p>
    <w:p w14:paraId="1FDA3118">
      <w:pPr>
        <w:pStyle w:val="36"/>
        <w:spacing w:line="400" w:lineRule="exact"/>
        <w:ind w:firstLine="480" w:firstLineChars="200"/>
        <w:rPr>
          <w:rFonts w:hint="eastAsia" w:asciiTheme="minorEastAsia" w:hAnsiTheme="minorEastAsia" w:eastAsiaTheme="minorEastAsia" w:cstheme="minorEastAsia"/>
          <w:bCs/>
          <w:snapToGrid w:val="0"/>
          <w:color w:val="000000" w:themeColor="text1"/>
          <w:kern w:val="0"/>
          <w:highlight w:val="none"/>
          <w14:textFill>
            <w14:solidFill>
              <w14:schemeClr w14:val="tx1"/>
            </w14:solidFill>
          </w14:textFill>
        </w:rPr>
      </w:pPr>
    </w:p>
    <w:p w14:paraId="512E32FC">
      <w:pPr>
        <w:pStyle w:val="36"/>
        <w:spacing w:line="400" w:lineRule="exact"/>
        <w:ind w:firstLine="480" w:firstLineChars="200"/>
        <w:rPr>
          <w:rFonts w:hint="eastAsia" w:asciiTheme="minorEastAsia" w:hAnsiTheme="minorEastAsia" w:eastAsiaTheme="minorEastAsia" w:cstheme="minorEastAsia"/>
          <w:bCs/>
          <w:snapToGrid w:val="0"/>
          <w:color w:val="000000" w:themeColor="text1"/>
          <w:kern w:val="0"/>
          <w:highlight w:val="none"/>
          <w14:textFill>
            <w14:solidFill>
              <w14:schemeClr w14:val="tx1"/>
            </w14:solidFill>
          </w14:textFill>
        </w:rPr>
      </w:pPr>
    </w:p>
    <w:p w14:paraId="3A0AA3D2">
      <w:pPr>
        <w:pStyle w:val="36"/>
        <w:spacing w:line="400" w:lineRule="exact"/>
        <w:ind w:firstLine="480" w:firstLineChars="200"/>
        <w:rPr>
          <w:rFonts w:hint="eastAsia" w:asciiTheme="minorEastAsia" w:hAnsiTheme="minorEastAsia" w:eastAsiaTheme="minorEastAsia" w:cstheme="minorEastAsia"/>
          <w:bCs/>
          <w:snapToGrid w:val="0"/>
          <w:color w:val="000000" w:themeColor="text1"/>
          <w:kern w:val="0"/>
          <w:highlight w:val="none"/>
          <w14:textFill>
            <w14:solidFill>
              <w14:schemeClr w14:val="tx1"/>
            </w14:solidFill>
          </w14:textFill>
        </w:rPr>
      </w:pPr>
    </w:p>
    <w:p w14:paraId="06C2D9AA">
      <w:pPr>
        <w:pStyle w:val="36"/>
        <w:spacing w:line="400" w:lineRule="exact"/>
        <w:ind w:firstLine="480" w:firstLineChars="200"/>
        <w:rPr>
          <w:rFonts w:hint="eastAsia" w:asciiTheme="minorEastAsia" w:hAnsiTheme="minorEastAsia" w:eastAsiaTheme="minorEastAsia" w:cstheme="minorEastAsia"/>
          <w:bCs/>
          <w:snapToGrid w:val="0"/>
          <w:color w:val="000000" w:themeColor="text1"/>
          <w:kern w:val="0"/>
          <w:highlight w:val="none"/>
          <w14:textFill>
            <w14:solidFill>
              <w14:schemeClr w14:val="tx1"/>
            </w14:solidFill>
          </w14:textFill>
        </w:rPr>
      </w:pPr>
    </w:p>
    <w:p w14:paraId="28821CF2">
      <w:pPr>
        <w:pStyle w:val="36"/>
        <w:spacing w:line="400" w:lineRule="exact"/>
        <w:ind w:firstLine="480" w:firstLineChars="200"/>
        <w:rPr>
          <w:rFonts w:hint="eastAsia" w:asciiTheme="minorEastAsia" w:hAnsiTheme="minorEastAsia" w:eastAsiaTheme="minorEastAsia" w:cstheme="minorEastAsia"/>
          <w:bCs/>
          <w:snapToGrid w:val="0"/>
          <w:color w:val="000000" w:themeColor="text1"/>
          <w:kern w:val="0"/>
          <w:highlight w:val="none"/>
          <w14:textFill>
            <w14:solidFill>
              <w14:schemeClr w14:val="tx1"/>
            </w14:solidFill>
          </w14:textFill>
        </w:rPr>
      </w:pPr>
    </w:p>
    <w:p w14:paraId="419DA419">
      <w:pPr>
        <w:wordWrap w:val="0"/>
        <w:adjustRightInd w:val="0"/>
        <w:snapToGrid w:val="0"/>
        <w:spacing w:line="440" w:lineRule="exact"/>
        <w:outlineLvl w:val="1"/>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bookmarkStart w:id="280" w:name="_Hlt112206772"/>
      <w:bookmarkEnd w:id="280"/>
      <w:bookmarkStart w:id="281" w:name="_Hlt69669771"/>
      <w:bookmarkEnd w:id="281"/>
      <w:bookmarkStart w:id="282" w:name="_Toc16300"/>
      <w:bookmarkStart w:id="283" w:name="_Toc9083"/>
      <w:bookmarkStart w:id="284" w:name="_Toc13416"/>
      <w:bookmarkStart w:id="285" w:name="_Toc24184"/>
      <w:bookmarkStart w:id="286" w:name="_Toc16203"/>
      <w:bookmarkStart w:id="287" w:name="_Toc11519"/>
      <w:bookmarkStart w:id="288" w:name="_Toc16649"/>
      <w:bookmarkStart w:id="289" w:name="_Toc21045"/>
      <w:bookmarkStart w:id="290" w:name="_Hlt69698765"/>
      <w:bookmarkStart w:id="291" w:name="_Hlt69698713"/>
      <w: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t>第四节 否决投标条件</w:t>
      </w:r>
    </w:p>
    <w:p w14:paraId="37D31EA2">
      <w:pPr>
        <w:wordWrap w:val="0"/>
        <w:adjustRightInd w:val="0"/>
        <w:snapToGrid w:val="0"/>
        <w:spacing w:line="44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t>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本节所集中列示的否决投标条件，是本章第三节“投标人须知正文”的组成部分，是对本章第三节所规定的否决投标条件的总结和补充。投标人未有列入本节情形的，评标时一律不得否决其投标。本节所称“规定”均指招标文件的规定。</w:t>
      </w:r>
    </w:p>
    <w:p w14:paraId="057A333B">
      <w:pPr>
        <w:wordWrap w:val="0"/>
        <w:adjustRightInd w:val="0"/>
        <w:snapToGrid w:val="0"/>
        <w:spacing w:line="440" w:lineRule="exact"/>
        <w:outlineLvl w:val="1"/>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pPr>
      <w:bookmarkStart w:id="292" w:name="_Toc25868"/>
      <w: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t>1．资格评审环节</w:t>
      </w:r>
      <w:bookmarkEnd w:id="292"/>
    </w:p>
    <w:p w14:paraId="5EBB77B9">
      <w:pPr>
        <w:wordWrap w:val="0"/>
        <w:adjustRightInd w:val="0"/>
        <w:snapToGrid w:val="0"/>
        <w:spacing w:line="44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投标人有下列情形之一的，评标委员会应否决其投标。被否决的投标人，不进入形式评审环节。</w:t>
      </w:r>
    </w:p>
    <w:p w14:paraId="42BF76F7">
      <w:pPr>
        <w:wordWrap w:val="0"/>
        <w:adjustRightInd w:val="0"/>
        <w:snapToGrid w:val="0"/>
        <w:spacing w:line="44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（1）有本章第三节第4.4条“禁止投标条款”规定的任何一种情形；</w:t>
      </w:r>
    </w:p>
    <w:p w14:paraId="303439CA">
      <w:pPr>
        <w:wordWrap w:val="0"/>
        <w:adjustRightInd w:val="0"/>
        <w:snapToGrid w:val="0"/>
        <w:spacing w:line="44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（2）投标人资质不符合规定的；</w:t>
      </w:r>
    </w:p>
    <w:p w14:paraId="6772FD05">
      <w:pPr>
        <w:wordWrap w:val="0"/>
        <w:adjustRightInd w:val="0"/>
        <w:snapToGrid w:val="0"/>
        <w:spacing w:line="44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3）投标人名称与营业执照、资质证书、安全生产许可证上的企业名称相互不一致的；其资质证书、安全生产许可证不是由住房城乡建设主管部门颁发的；营业执照、资质证书、安全生产许可证被吊销、暂扣或不在有效期内的；</w:t>
      </w:r>
    </w:p>
    <w:p w14:paraId="0CA531CE">
      <w:pPr>
        <w:wordWrap w:val="0"/>
        <w:adjustRightInd w:val="0"/>
        <w:snapToGrid w:val="0"/>
        <w:spacing w:line="440" w:lineRule="exact"/>
        <w:ind w:firstLine="723" w:firstLineChars="300"/>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t>注：投标人已经工商变更，但其企业资质证书、安全生产许可证的企业名称未完成变更的，不得否决其投标；投标人营业执照、资质证书、安全生产许可证之间登记的信息不一致，应当允许投标人澄清，不得直接否决其投标。</w:t>
      </w:r>
    </w:p>
    <w:p w14:paraId="7523EE7F">
      <w:pPr>
        <w:wordWrap w:val="0"/>
        <w:adjustRightInd w:val="0"/>
        <w:snapToGrid w:val="0"/>
        <w:spacing w:line="440" w:lineRule="exact"/>
        <w:ind w:firstLine="482"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t>根据有关文件精神，投标人的企业相关证书到期的，均按该证书的发证机构相关行政主管部门最新文件执行（如自动顺延或推迟办理延期业务的通知等）投标人须提供相关证明材料附在该证书后面，证明在开标日继续有效的。</w:t>
      </w:r>
    </w:p>
    <w:p w14:paraId="11CA74C1">
      <w:pPr>
        <w:wordWrap w:val="0"/>
        <w:adjustRightInd w:val="0"/>
        <w:snapToGrid w:val="0"/>
        <w:spacing w:line="44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（4）拟派项目经理、项目技术负责人、专职安全员、设计负责人的条件不符合规定的；拟派专职安全员数量不符合规定的；</w:t>
      </w:r>
    </w:p>
    <w:p w14:paraId="3A8BE00D">
      <w:pPr>
        <w:wordWrap w:val="0"/>
        <w:adjustRightInd w:val="0"/>
        <w:snapToGrid w:val="0"/>
        <w:spacing w:line="440" w:lineRule="exact"/>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（5）《项目经理简历表》中拟派项目经理与《开标一览表》不一致的；建造师的注册证书不是</w:t>
      </w:r>
      <w:r>
        <w:rPr>
          <w:rFonts w:hint="eastAsia" w:asciiTheme="minorEastAsia" w:hAnsiTheme="minorEastAsia" w:eastAsiaTheme="minorEastAsia" w:cstheme="minorEastAsia"/>
          <w:snapToGrid w:val="0"/>
          <w:color w:val="000000" w:themeColor="text1"/>
          <w:kern w:val="0"/>
          <w:szCs w:val="24"/>
          <w:highlight w:val="none"/>
          <w:lang w:eastAsia="zh-CN"/>
          <w14:textFill>
            <w14:solidFill>
              <w14:schemeClr w14:val="tx1"/>
            </w14:solidFill>
          </w14:textFill>
        </w:rPr>
        <w:t>住房和城乡建设部</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门颁发的；建造师的注册单位与投标人不一致的；项目管理班子组成人员的各类证书、证件、证明不在有效期内的（建造师注册证书不在使用有效期内的）；擅自修改、遗漏《项目经理任职声明》实质性内容的；</w:t>
      </w:r>
    </w:p>
    <w:p w14:paraId="5C290081">
      <w:pPr>
        <w:wordWrap w:val="0"/>
        <w:adjustRightInd w:val="0"/>
        <w:snapToGrid w:val="0"/>
        <w:spacing w:line="440" w:lineRule="exact"/>
        <w:ind w:firstLine="723" w:firstLineChars="300"/>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t>注：投标人已经工商变更，但其员工执业资格注册证书的注册单位名称未完成变更的，不得否决其投标。</w:t>
      </w:r>
    </w:p>
    <w:p w14:paraId="3E6E6AC6">
      <w:pPr>
        <w:wordWrap w:val="0"/>
        <w:adjustRightInd w:val="0"/>
        <w:snapToGrid w:val="0"/>
        <w:spacing w:line="440" w:lineRule="exact"/>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（6）联合体投标，未提交《联合体协议书》的；擅自修改、遗漏《联合体协议书》实质性内容的；联合体成员的数量、资质不符合规定的；联合体成员同时以自己名义单独投标或者参加其他联合体投标的；</w:t>
      </w:r>
    </w:p>
    <w:p w14:paraId="37BB7948">
      <w:pPr>
        <w:wordWrap w:val="0"/>
        <w:adjustRightInd w:val="0"/>
        <w:snapToGrid w:val="0"/>
        <w:spacing w:line="440" w:lineRule="exact"/>
        <w:ind w:firstLine="240" w:firstLineChars="1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（7）投标人为外省建筑企业，但未提供“进粤企业和人员诚信信息登记平台”企业和拟派人员信息情况打印页或网页截图的。</w:t>
      </w:r>
    </w:p>
    <w:p w14:paraId="41D23B3A">
      <w:pPr>
        <w:wordWrap w:val="0"/>
        <w:adjustRightInd w:val="0"/>
        <w:snapToGrid w:val="0"/>
        <w:spacing w:line="440" w:lineRule="exact"/>
        <w:outlineLvl w:val="1"/>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pPr>
      <w:bookmarkStart w:id="293" w:name="_Toc16862"/>
      <w: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t>2．形式评审环节</w:t>
      </w:r>
      <w:bookmarkEnd w:id="293"/>
    </w:p>
    <w:p w14:paraId="5BD34366">
      <w:pPr>
        <w:wordWrap w:val="0"/>
        <w:adjustRightInd w:val="0"/>
        <w:snapToGrid w:val="0"/>
        <w:spacing w:line="44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投标人有下列情形之一的，评标委员会应否决其投标。被否决的投标人，不进入响应性评审环节。</w:t>
      </w:r>
    </w:p>
    <w:p w14:paraId="2208CC05">
      <w:pPr>
        <w:wordWrap w:val="0"/>
        <w:adjustRightInd w:val="0"/>
        <w:snapToGrid w:val="0"/>
        <w:spacing w:line="440" w:lineRule="exact"/>
        <w:ind w:firstLine="240" w:firstLineChars="1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w:t>
      </w:r>
      <w:r>
        <w:rPr>
          <w:rFonts w:hint="eastAsia" w:asciiTheme="minorEastAsia" w:hAnsiTheme="minorEastAsia" w:eastAsiaTheme="minorEastAsia" w:cstheme="minorEastAsia"/>
          <w:snapToGrid w:val="0"/>
          <w:color w:val="000000" w:themeColor="text1"/>
          <w:kern w:val="0"/>
          <w:szCs w:val="24"/>
          <w:highlight w:val="none"/>
          <w:lang w:val="en-US" w:eastAsia="zh-CN"/>
          <w14:textFill>
            <w14:solidFill>
              <w14:schemeClr w14:val="tx1"/>
            </w14:solidFill>
          </w14:textFill>
        </w:rPr>
        <w:t>8</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）本章第三节第11.2.2目中规定的“所有投标人均应提供”的组成内容（包括该组成内容的所附资料）中，任何一项有缺漏的；</w:t>
      </w:r>
    </w:p>
    <w:p w14:paraId="3D21ACF1">
      <w:pPr>
        <w:wordWrap w:val="0"/>
        <w:adjustRightInd w:val="0"/>
        <w:snapToGrid w:val="0"/>
        <w:spacing w:line="440" w:lineRule="exact"/>
        <w:ind w:firstLine="240" w:firstLineChars="1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w:t>
      </w:r>
      <w:r>
        <w:rPr>
          <w:rFonts w:hint="eastAsia" w:asciiTheme="minorEastAsia" w:hAnsiTheme="minorEastAsia" w:eastAsiaTheme="minorEastAsia" w:cstheme="minorEastAsia"/>
          <w:snapToGrid w:val="0"/>
          <w:color w:val="000000" w:themeColor="text1"/>
          <w:kern w:val="0"/>
          <w:szCs w:val="24"/>
          <w:highlight w:val="none"/>
          <w:lang w:val="en-US" w:eastAsia="zh-CN"/>
          <w14:textFill>
            <w14:solidFill>
              <w14:schemeClr w14:val="tx1"/>
            </w14:solidFill>
          </w14:textFill>
        </w:rPr>
        <w:t>9</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关键字迹模糊、无法辨认，且该种过错将导致评标委员会无法判断投标文件是否响应招标文件实质性要求的；出现手工涂改、行间插字或删除，但未加盖单位章或由投标人的法定代表人或其委托代理人签字确认的；</w:t>
      </w:r>
    </w:p>
    <w:p w14:paraId="7414069F">
      <w:pPr>
        <w:wordWrap w:val="0"/>
        <w:adjustRightInd w:val="0"/>
        <w:snapToGrid w:val="0"/>
        <w:spacing w:line="440" w:lineRule="exact"/>
        <w:ind w:firstLine="240" w:firstLineChars="1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（1</w:t>
      </w:r>
      <w:r>
        <w:rPr>
          <w:rFonts w:hint="eastAsia" w:asciiTheme="minorEastAsia" w:hAnsiTheme="minorEastAsia" w:eastAsiaTheme="minorEastAsia" w:cstheme="minorEastAsia"/>
          <w:snapToGrid w:val="0"/>
          <w:color w:val="000000" w:themeColor="text1"/>
          <w:kern w:val="0"/>
          <w:szCs w:val="24"/>
          <w:highlight w:val="none"/>
          <w:lang w:val="en-US" w:eastAsia="zh-CN"/>
          <w14:textFill>
            <w14:solidFill>
              <w14:schemeClr w14:val="tx1"/>
            </w14:solidFill>
          </w14:textFill>
        </w:rPr>
        <w:t>0</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）投标文件未按规定签字、盖章的；</w:t>
      </w:r>
    </w:p>
    <w:p w14:paraId="290C357F">
      <w:pPr>
        <w:wordWrap w:val="0"/>
        <w:adjustRightInd w:val="0"/>
        <w:snapToGrid w:val="0"/>
        <w:spacing w:line="440" w:lineRule="exact"/>
        <w:outlineLvl w:val="1"/>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pPr>
      <w:bookmarkStart w:id="294" w:name="_Toc11607"/>
      <w: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t>3．响应性评审环节</w:t>
      </w:r>
      <w:bookmarkEnd w:id="294"/>
    </w:p>
    <w:p w14:paraId="7F5913C3">
      <w:pPr>
        <w:wordWrap w:val="0"/>
        <w:adjustRightInd w:val="0"/>
        <w:snapToGrid w:val="0"/>
        <w:spacing w:line="440" w:lineRule="exact"/>
        <w:ind w:firstLine="240" w:firstLineChars="1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投标人有下列情形之一的，评标委员会应否决其投标。被否决的投标人，不进入详细评审阶段。</w:t>
      </w:r>
    </w:p>
    <w:p w14:paraId="6D3A250A">
      <w:pPr>
        <w:wordWrap w:val="0"/>
        <w:adjustRightInd w:val="0"/>
        <w:snapToGrid w:val="0"/>
        <w:spacing w:line="440" w:lineRule="exact"/>
        <w:ind w:firstLine="240" w:firstLineChars="1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（1</w:t>
      </w:r>
      <w:r>
        <w:rPr>
          <w:rFonts w:hint="eastAsia" w:asciiTheme="minorEastAsia" w:hAnsiTheme="minorEastAsia" w:eastAsiaTheme="minorEastAsia" w:cstheme="minorEastAsia"/>
          <w:snapToGrid w:val="0"/>
          <w:color w:val="000000" w:themeColor="text1"/>
          <w:kern w:val="0"/>
          <w:szCs w:val="24"/>
          <w:highlight w:val="none"/>
          <w:lang w:val="en-US" w:eastAsia="zh-CN"/>
          <w14:textFill>
            <w14:solidFill>
              <w14:schemeClr w14:val="tx1"/>
            </w14:solidFill>
          </w14:textFill>
        </w:rPr>
        <w:t>1</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）承诺的投标有效期短于规定的；工期超出规定的；擅自修改、遗漏《投标函》《各项承诺一览表》实质性内容的；</w:t>
      </w:r>
    </w:p>
    <w:p w14:paraId="6AF21AAC">
      <w:pPr>
        <w:wordWrap w:val="0"/>
        <w:adjustRightInd w:val="0"/>
        <w:snapToGrid w:val="0"/>
        <w:spacing w:line="440" w:lineRule="exact"/>
        <w:ind w:firstLine="240" w:firstLineChars="1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（1</w:t>
      </w:r>
      <w:r>
        <w:rPr>
          <w:rFonts w:hint="eastAsia" w:asciiTheme="minorEastAsia" w:hAnsiTheme="minorEastAsia" w:eastAsiaTheme="minorEastAsia" w:cstheme="minorEastAsia"/>
          <w:snapToGrid w:val="0"/>
          <w:color w:val="000000" w:themeColor="text1"/>
          <w:kern w:val="0"/>
          <w:szCs w:val="24"/>
          <w:highlight w:val="none"/>
          <w:lang w:val="en-US" w:eastAsia="zh-CN"/>
          <w14:textFill>
            <w14:solidFill>
              <w14:schemeClr w14:val="tx1"/>
            </w14:solidFill>
          </w14:textFill>
        </w:rPr>
        <w:t>2</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两个或两个以上投标总价的（同一个投标总价大、小写不一致的除外）；投标总价超出最高投标限价的；投标总价下浮率超过15%，又未提供相应书面说明和佐证材料或提供的书面说明和佐证材料不能令人信服，被评标委员会认定以低于成本报价竞标的；</w:t>
      </w:r>
    </w:p>
    <w:p w14:paraId="6118D55F">
      <w:pPr>
        <w:wordWrap w:val="0"/>
        <w:adjustRightInd w:val="0"/>
        <w:snapToGrid w:val="0"/>
        <w:spacing w:line="440" w:lineRule="exact"/>
        <w:outlineLvl w:val="1"/>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pPr>
      <w:bookmarkStart w:id="295" w:name="_Toc29578"/>
      <w: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t>4．其他</w:t>
      </w:r>
      <w:bookmarkEnd w:id="295"/>
    </w:p>
    <w:p w14:paraId="29E56635">
      <w:pPr>
        <w:wordWrap w:val="0"/>
        <w:adjustRightInd w:val="0"/>
        <w:snapToGrid w:val="0"/>
        <w:spacing w:line="440" w:lineRule="exact"/>
        <w:ind w:firstLine="240" w:firstLineChars="1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在任何评标环节（或阶段），投标人有下列情形之一的，评标委员会应否决其投标。被否决的投标人，不进入下一环节（或阶段）。</w:t>
      </w:r>
    </w:p>
    <w:p w14:paraId="3A2D1E13">
      <w:pPr>
        <w:wordWrap w:val="0"/>
        <w:adjustRightInd w:val="0"/>
        <w:snapToGrid w:val="0"/>
        <w:spacing w:line="440" w:lineRule="exact"/>
        <w:ind w:firstLine="240" w:firstLineChars="1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（14）不按评标委员会要求澄清、说明或补正的；</w:t>
      </w:r>
    </w:p>
    <w:p w14:paraId="3E049FB5">
      <w:pPr>
        <w:wordWrap w:val="0"/>
        <w:adjustRightInd w:val="0"/>
        <w:snapToGrid w:val="0"/>
        <w:spacing w:line="440" w:lineRule="exact"/>
        <w:ind w:firstLine="240" w:firstLineChars="1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（15）有下列情形之一，被评标委员会认定属于串通投标的：</w:t>
      </w:r>
    </w:p>
    <w:p w14:paraId="7D30B0F8">
      <w:pPr>
        <w:wordWrap w:val="0"/>
        <w:adjustRightInd w:val="0"/>
        <w:snapToGrid w:val="0"/>
        <w:spacing w:line="440" w:lineRule="exact"/>
        <w:ind w:firstLine="240" w:firstLineChars="1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①不同投标人的投标文件两处以上（含两处）错、漏一致；</w:t>
      </w:r>
    </w:p>
    <w:p w14:paraId="572F1E6B">
      <w:pPr>
        <w:wordWrap w:val="0"/>
        <w:adjustRightInd w:val="0"/>
        <w:snapToGrid w:val="0"/>
        <w:spacing w:line="440" w:lineRule="exact"/>
        <w:ind w:firstLine="240" w:firstLineChars="1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②不同投标人的投标总价相近且各分项报价、综合单价分析表内容混乱不能相互对应、乱调乱压或乱抬的，而在询标时没有合理的解释或者不能提供计算依据和报价依据；</w:t>
      </w:r>
    </w:p>
    <w:p w14:paraId="2D72A873">
      <w:pPr>
        <w:wordWrap w:val="0"/>
        <w:adjustRightInd w:val="0"/>
        <w:snapToGrid w:val="0"/>
        <w:spacing w:line="440" w:lineRule="exact"/>
        <w:ind w:firstLine="240" w:firstLineChars="1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③不同投标人的投标各项报价存在异常一致或者呈规律性变化；</w:t>
      </w:r>
    </w:p>
    <w:p w14:paraId="5FBCB267">
      <w:pPr>
        <w:wordWrap w:val="0"/>
        <w:adjustRightInd w:val="0"/>
        <w:snapToGrid w:val="0"/>
        <w:spacing w:line="440" w:lineRule="exact"/>
        <w:ind w:firstLine="240" w:firstLineChars="1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④不同投标人的投标文件由同一单位或者同一个人编制；</w:t>
      </w:r>
    </w:p>
    <w:p w14:paraId="2C8B44E2">
      <w:pPr>
        <w:wordWrap w:val="0"/>
        <w:adjustRightInd w:val="0"/>
        <w:snapToGrid w:val="0"/>
        <w:spacing w:line="440" w:lineRule="exact"/>
        <w:ind w:firstLine="240" w:firstLineChars="1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⑤不同投标人的投标文件中投标资料（包括电子资料）相互混装或项目班子成员出现同一人；</w:t>
      </w:r>
    </w:p>
    <w:p w14:paraId="530885B0">
      <w:pPr>
        <w:wordWrap w:val="0"/>
        <w:adjustRightInd w:val="0"/>
        <w:snapToGrid w:val="0"/>
        <w:spacing w:line="440" w:lineRule="exact"/>
        <w:ind w:firstLine="240" w:firstLineChars="1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⑥不同投标人的投标文件由同一电脑编制或同一台附属设备打印，或投标报价用同一个预算编制软件密码锁制作或出自同一电子文档；</w:t>
      </w:r>
    </w:p>
    <w:p w14:paraId="6A9CD7D9">
      <w:pPr>
        <w:wordWrap w:val="0"/>
        <w:adjustRightInd w:val="0"/>
        <w:snapToGrid w:val="0"/>
        <w:spacing w:line="440" w:lineRule="exact"/>
        <w:ind w:firstLine="240" w:firstLineChars="1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⑦不同投标人的投标保证由同一企业或同一账户资金缴纳；</w:t>
      </w:r>
    </w:p>
    <w:p w14:paraId="69D505B6">
      <w:pPr>
        <w:wordWrap w:val="0"/>
        <w:adjustRightInd w:val="0"/>
        <w:snapToGrid w:val="0"/>
        <w:spacing w:line="440" w:lineRule="exact"/>
        <w:ind w:firstLine="240" w:firstLineChars="1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⑧不同投标人委托同一个人或注册在同一家企业的注册人员或同一家企业为其投标提供投标咨询、商务报价、技术咨询（招标工程本身要求采用专有技术的除外）等服务。</w:t>
      </w:r>
    </w:p>
    <w:p w14:paraId="728F1526">
      <w:pPr>
        <w:wordWrap w:val="0"/>
        <w:adjustRightInd w:val="0"/>
        <w:snapToGrid w:val="0"/>
        <w:spacing w:line="44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sectPr>
          <w:footerReference r:id="rId5" w:type="default"/>
          <w:endnotePr>
            <w:numFmt w:val="decimal"/>
          </w:endnotePr>
          <w:pgSz w:w="11906" w:h="16838"/>
          <w:pgMar w:top="1701" w:right="1531" w:bottom="1417" w:left="1531" w:header="850" w:footer="992" w:gutter="0"/>
          <w:pgNumType w:fmt="decimal" w:start="1"/>
          <w:cols w:space="720" w:num="1"/>
          <w:docGrid w:linePitch="327" w:charSpace="0"/>
        </w:sectPr>
      </w:pPr>
    </w:p>
    <w:p w14:paraId="2680555D">
      <w:pPr>
        <w:pStyle w:val="37"/>
        <w:keepNext/>
        <w:keepLines/>
        <w:tabs>
          <w:tab w:val="left" w:pos="885"/>
        </w:tabs>
        <w:spacing w:line="400" w:lineRule="exact"/>
        <w:jc w:val="center"/>
        <w:rPr>
          <w:rFonts w:hint="eastAsia" w:asciiTheme="minorEastAsia" w:hAnsiTheme="minorEastAsia" w:eastAsiaTheme="minorEastAsia" w:cstheme="minorEastAsia"/>
          <w:b/>
          <w:color w:val="000000" w:themeColor="text1"/>
          <w:kern w:val="44"/>
          <w:sz w:val="36"/>
          <w:szCs w:val="36"/>
          <w:highlight w:val="none"/>
          <w14:textFill>
            <w14:solidFill>
              <w14:schemeClr w14:val="tx1"/>
            </w14:solidFill>
          </w14:textFill>
        </w:rPr>
      </w:pPr>
      <w:bookmarkStart w:id="296" w:name="_Toc9442"/>
      <w:r>
        <w:rPr>
          <w:rFonts w:hint="eastAsia" w:asciiTheme="minorEastAsia" w:hAnsiTheme="minorEastAsia" w:eastAsiaTheme="minorEastAsia" w:cstheme="minorEastAsia"/>
          <w:b/>
          <w:color w:val="000000" w:themeColor="text1"/>
          <w:kern w:val="44"/>
          <w:sz w:val="36"/>
          <w:szCs w:val="36"/>
          <w:highlight w:val="none"/>
          <w14:textFill>
            <w14:solidFill>
              <w14:schemeClr w14:val="tx1"/>
            </w14:solidFill>
          </w14:textFill>
        </w:rPr>
        <w:t>第二章</w:t>
      </w:r>
      <w:bookmarkStart w:id="297" w:name="_Hlt87793831"/>
      <w:bookmarkEnd w:id="297"/>
      <w:r>
        <w:rPr>
          <w:rFonts w:hint="eastAsia" w:asciiTheme="minorEastAsia" w:hAnsiTheme="minorEastAsia" w:eastAsiaTheme="minorEastAsia" w:cstheme="minorEastAsia"/>
          <w:b/>
          <w:color w:val="000000" w:themeColor="text1"/>
          <w:kern w:val="44"/>
          <w:sz w:val="36"/>
          <w:szCs w:val="36"/>
          <w:highlight w:val="none"/>
          <w14:textFill>
            <w14:solidFill>
              <w14:schemeClr w14:val="tx1"/>
            </w14:solidFill>
          </w14:textFill>
        </w:rPr>
        <w:t xml:space="preserve"> 拟签订合同的主要条款</w:t>
      </w:r>
      <w:bookmarkEnd w:id="282"/>
      <w:bookmarkEnd w:id="283"/>
      <w:bookmarkEnd w:id="284"/>
      <w:bookmarkEnd w:id="285"/>
      <w:bookmarkEnd w:id="286"/>
      <w:bookmarkEnd w:id="287"/>
      <w:bookmarkEnd w:id="288"/>
      <w:bookmarkEnd w:id="289"/>
      <w:bookmarkEnd w:id="296"/>
    </w:p>
    <w:p w14:paraId="028A984B">
      <w:pPr>
        <w:pStyle w:val="36"/>
        <w:rPr>
          <w:rFonts w:hint="eastAsia" w:asciiTheme="minorEastAsia" w:hAnsiTheme="minorEastAsia" w:eastAsiaTheme="minorEastAsia" w:cstheme="minorEastAsia"/>
          <w:color w:val="000000" w:themeColor="text1"/>
          <w:highlight w:val="none"/>
          <w14:textFill>
            <w14:solidFill>
              <w14:schemeClr w14:val="tx1"/>
            </w14:solidFill>
          </w14:textFill>
        </w:rPr>
      </w:pPr>
    </w:p>
    <w:bookmarkEnd w:id="290"/>
    <w:bookmarkEnd w:id="291"/>
    <w:p w14:paraId="5B0BC685">
      <w:pPr>
        <w:pStyle w:val="38"/>
        <w:keepNext/>
        <w:keepLines/>
        <w:ind w:firstLine="480"/>
        <w:jc w:val="both"/>
        <w:rPr>
          <w:rFonts w:hint="eastAsia" w:asciiTheme="minorEastAsia" w:hAnsiTheme="minorEastAsia" w:eastAsiaTheme="minorEastAsia" w:cstheme="minorEastAsia"/>
          <w:b/>
          <w:color w:val="000000" w:themeColor="text1"/>
          <w:kern w:val="2"/>
          <w:highlight w:val="none"/>
          <w14:textFill>
            <w14:solidFill>
              <w14:schemeClr w14:val="tx1"/>
            </w14:solidFill>
          </w14:textFill>
        </w:rPr>
      </w:pPr>
      <w:bookmarkStart w:id="298" w:name="_Toc22879"/>
      <w:bookmarkStart w:id="299" w:name="_Toc12651"/>
      <w:bookmarkStart w:id="300" w:name="_Toc8407"/>
      <w:bookmarkStart w:id="301" w:name="_Toc326916629"/>
      <w:bookmarkStart w:id="302" w:name="_Toc18454"/>
      <w:bookmarkStart w:id="303" w:name="_Toc19931"/>
      <w:bookmarkStart w:id="304" w:name="_Toc28378"/>
      <w:bookmarkStart w:id="305" w:name="_Toc7347"/>
      <w:bookmarkStart w:id="306" w:name="_Toc13627"/>
      <w:bookmarkStart w:id="307" w:name="_Toc21667"/>
      <w:bookmarkStart w:id="308" w:name="_Toc322793288"/>
      <w:bookmarkStart w:id="309" w:name="_Toc26552"/>
      <w:bookmarkStart w:id="310" w:name="_Hlt69698769"/>
      <w:bookmarkStart w:id="311" w:name="_Hlt69698722"/>
      <w:bookmarkStart w:id="312" w:name="_Hlt69698741"/>
      <w:r>
        <w:rPr>
          <w:rFonts w:hint="eastAsia" w:asciiTheme="minorEastAsia" w:hAnsiTheme="minorEastAsia" w:eastAsiaTheme="minorEastAsia" w:cstheme="minorEastAsia"/>
          <w:b/>
          <w:color w:val="000000" w:themeColor="text1"/>
          <w:kern w:val="2"/>
          <w:highlight w:val="none"/>
          <w14:textFill>
            <w14:solidFill>
              <w14:schemeClr w14:val="tx1"/>
            </w14:solidFill>
          </w14:textFill>
        </w:rPr>
        <w:t>1 工程承包方式</w:t>
      </w:r>
      <w:bookmarkEnd w:id="298"/>
      <w:bookmarkEnd w:id="299"/>
      <w:bookmarkEnd w:id="300"/>
      <w:bookmarkEnd w:id="301"/>
      <w:bookmarkEnd w:id="302"/>
      <w:bookmarkEnd w:id="303"/>
      <w:bookmarkEnd w:id="304"/>
      <w:bookmarkEnd w:id="305"/>
      <w:bookmarkEnd w:id="306"/>
      <w:bookmarkEnd w:id="307"/>
      <w:bookmarkEnd w:id="308"/>
      <w:bookmarkEnd w:id="309"/>
    </w:p>
    <w:p w14:paraId="127D77C7">
      <w:pPr>
        <w:pStyle w:val="36"/>
        <w:ind w:firstLine="480" w:firstLineChars="20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1.1承包人按中标价以总承包方式在规定的期限内对</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设计、施工</w:t>
      </w:r>
      <w:r>
        <w:rPr>
          <w:rFonts w:hint="eastAsia" w:asciiTheme="minorEastAsia" w:hAnsiTheme="minorEastAsia" w:eastAsiaTheme="minorEastAsia" w:cstheme="minorEastAsia"/>
          <w:color w:val="000000" w:themeColor="text1"/>
          <w:highlight w:val="none"/>
          <w14:textFill>
            <w14:solidFill>
              <w14:schemeClr w14:val="tx1"/>
            </w14:solidFill>
          </w14:textFill>
        </w:rPr>
        <w:t>（包工</w:t>
      </w:r>
      <w:bookmarkStart w:id="313" w:name="_Hlt87948212"/>
      <w:bookmarkEnd w:id="313"/>
      <w:r>
        <w:rPr>
          <w:rFonts w:hint="eastAsia" w:asciiTheme="minorEastAsia" w:hAnsiTheme="minorEastAsia" w:eastAsiaTheme="minorEastAsia" w:cstheme="minorEastAsia"/>
          <w:color w:val="000000" w:themeColor="text1"/>
          <w:highlight w:val="none"/>
          <w14:textFill>
            <w14:solidFill>
              <w14:schemeClr w14:val="tx1"/>
            </w14:solidFill>
          </w14:textFill>
        </w:rPr>
        <w:t>包料、包质量、包机械、包绿色安全文明施工、包工期等）进行总承包，不允许转包和违法分包，如承包人无相应专业资质，确需分包须与发包人协商并得到发包人和监理人同意并报工程主管部门备案。</w:t>
      </w:r>
    </w:p>
    <w:p w14:paraId="610509CE">
      <w:pPr>
        <w:pStyle w:val="36"/>
        <w:ind w:firstLine="480" w:firstLineChars="20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1.1.1 包工包料：材料符合招标文件要求</w:t>
      </w:r>
      <w:r>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t>及合同的相关约定</w:t>
      </w:r>
      <w:r>
        <w:rPr>
          <w:rFonts w:hint="eastAsia" w:asciiTheme="minorEastAsia" w:hAnsiTheme="minorEastAsia" w:eastAsiaTheme="minorEastAsia" w:cstheme="minorEastAsia"/>
          <w:color w:val="000000" w:themeColor="text1"/>
          <w:highlight w:val="none"/>
          <w14:textFill>
            <w14:solidFill>
              <w14:schemeClr w14:val="tx1"/>
            </w14:solidFill>
          </w14:textFill>
        </w:rPr>
        <w:t>，报验使用；办理用工保险。</w:t>
      </w:r>
    </w:p>
    <w:p w14:paraId="6F1A281D">
      <w:pPr>
        <w:pStyle w:val="36"/>
        <w:ind w:firstLine="480" w:firstLineChars="20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1.1.2 包质量：符合招标文件要求</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及合同有关质量的相关约定</w:t>
      </w:r>
      <w:r>
        <w:rPr>
          <w:rFonts w:hint="eastAsia" w:asciiTheme="minorEastAsia" w:hAnsiTheme="minorEastAsia" w:eastAsiaTheme="minorEastAsia" w:cstheme="minorEastAsia"/>
          <w:color w:val="000000" w:themeColor="text1"/>
          <w:highlight w:val="none"/>
          <w14:textFill>
            <w14:solidFill>
              <w14:schemeClr w14:val="tx1"/>
            </w14:solidFill>
          </w14:textFill>
        </w:rPr>
        <w:t>。</w:t>
      </w:r>
    </w:p>
    <w:p w14:paraId="49CBA812">
      <w:pPr>
        <w:wordWrap w:val="0"/>
        <w:adjustRightInd w:val="0"/>
        <w:snapToGrid w:val="0"/>
        <w:spacing w:line="360" w:lineRule="auto"/>
        <w:ind w:firstLine="480" w:firstLineChars="200"/>
        <w:rPr>
          <w:rFonts w:hint="eastAsia" w:asciiTheme="minorEastAsia" w:hAnsiTheme="minorEastAsia" w:eastAsiaTheme="minorEastAsia" w:cstheme="minorEastAsia"/>
          <w:color w:val="000000" w:themeColor="text1"/>
          <w:szCs w:val="22"/>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1.1.3 包安全包文明施工：符合国家及省、市的相关规定及招标文件、合同的相关约定要求。</w:t>
      </w:r>
    </w:p>
    <w:p w14:paraId="0721E94B">
      <w:pPr>
        <w:pStyle w:val="36"/>
        <w:ind w:firstLine="480" w:firstLineChars="20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1.1.4 包工期：</w:t>
      </w:r>
      <w:r>
        <w:rPr>
          <w:rFonts w:hint="eastAsia"/>
          <w:snapToGrid w:val="0"/>
          <w:color w:val="000000" w:themeColor="text1"/>
          <w:kern w:val="0"/>
          <w:szCs w:val="21"/>
          <w:highlight w:val="none"/>
          <w14:textFill>
            <w14:solidFill>
              <w14:schemeClr w14:val="tx1"/>
            </w14:solidFill>
          </w14:textFill>
        </w:rPr>
        <w:t>本招标工程</w:t>
      </w:r>
      <w:r>
        <w:rPr>
          <w:rFonts w:hint="eastAsia" w:hAnsi="宋体" w:cs="宋体"/>
          <w:bCs/>
          <w:color w:val="000000" w:themeColor="text1"/>
          <w:szCs w:val="21"/>
          <w:highlight w:val="none"/>
          <w:lang w:eastAsia="zh-CN"/>
          <w14:textFill>
            <w14:solidFill>
              <w14:schemeClr w14:val="tx1"/>
            </w14:solidFill>
          </w14:textFill>
        </w:rPr>
        <w:t>设计、施工</w:t>
      </w:r>
      <w:r>
        <w:rPr>
          <w:rFonts w:hint="eastAsia"/>
          <w:snapToGrid w:val="0"/>
          <w:color w:val="000000" w:themeColor="text1"/>
          <w:kern w:val="0"/>
          <w:szCs w:val="21"/>
          <w:highlight w:val="none"/>
          <w14:textFill>
            <w14:solidFill>
              <w14:schemeClr w14:val="tx1"/>
            </w14:solidFill>
          </w14:textFill>
        </w:rPr>
        <w:t>必须在招标</w:t>
      </w:r>
      <w:r>
        <w:rPr>
          <w:rFonts w:hint="eastAsia"/>
          <w:snapToGrid w:val="0"/>
          <w:color w:val="000000" w:themeColor="text1"/>
          <w:kern w:val="0"/>
          <w:szCs w:val="21"/>
          <w:highlight w:val="none"/>
          <w:lang w:val="en-US" w:eastAsia="zh-CN"/>
          <w14:textFill>
            <w14:solidFill>
              <w14:schemeClr w14:val="tx1"/>
            </w14:solidFill>
          </w14:textFill>
        </w:rPr>
        <w:t>文件</w:t>
      </w:r>
      <w:r>
        <w:rPr>
          <w:rFonts w:hint="eastAsia" w:ascii="宋体" w:hAnsi="宋体" w:eastAsia="宋体" w:cs="宋体"/>
          <w:color w:val="000000" w:themeColor="text1"/>
          <w:highlight w:val="none"/>
          <w14:textFill>
            <w14:solidFill>
              <w14:schemeClr w14:val="tx1"/>
            </w14:solidFill>
          </w14:textFill>
        </w:rPr>
        <w:t>规定</w:t>
      </w:r>
      <w:r>
        <w:rPr>
          <w:rFonts w:hint="eastAsia" w:ascii="宋体" w:hAnsi="宋体" w:eastAsia="宋体" w:cs="宋体"/>
          <w:color w:val="000000" w:themeColor="text1"/>
          <w:highlight w:val="none"/>
          <w:lang w:val="en-US" w:eastAsia="zh-CN"/>
          <w14:textFill>
            <w14:solidFill>
              <w14:schemeClr w14:val="tx1"/>
            </w14:solidFill>
          </w14:textFill>
        </w:rPr>
        <w:t>的</w:t>
      </w:r>
      <w:r>
        <w:rPr>
          <w:rFonts w:hint="eastAsia"/>
          <w:snapToGrid w:val="0"/>
          <w:color w:val="000000" w:themeColor="text1"/>
          <w:kern w:val="0"/>
          <w:szCs w:val="21"/>
          <w:highlight w:val="none"/>
          <w14:textFill>
            <w14:solidFill>
              <w14:schemeClr w14:val="tx1"/>
            </w14:solidFill>
          </w14:textFill>
        </w:rPr>
        <w:t>工期内完成</w:t>
      </w:r>
      <w:r>
        <w:rPr>
          <w:rFonts w:hint="eastAsia" w:asciiTheme="minorEastAsia" w:hAnsiTheme="minorEastAsia" w:eastAsiaTheme="minorEastAsia" w:cstheme="minorEastAsia"/>
          <w:color w:val="000000" w:themeColor="text1"/>
          <w:highlight w:val="none"/>
          <w14:textFill>
            <w14:solidFill>
              <w14:schemeClr w14:val="tx1"/>
            </w14:solidFill>
          </w14:textFill>
        </w:rPr>
        <w:t>。</w:t>
      </w:r>
    </w:p>
    <w:p w14:paraId="5DC2B739">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 xml:space="preserve">1.2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限额设计要求：</w:t>
      </w:r>
    </w:p>
    <w:p w14:paraId="37F4114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1.2.1</w:t>
      </w:r>
      <w:r>
        <w:rPr>
          <w:rFonts w:hint="eastAsia" w:asciiTheme="minorEastAsia" w:hAnsiTheme="minorEastAsia" w:eastAsiaTheme="minorEastAsia" w:cstheme="minorEastAsia"/>
          <w:color w:val="000000" w:themeColor="text1"/>
          <w:szCs w:val="24"/>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施工图预算中的建安工程费预算价不得超过经发改部门审定的概算建安工程费</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且不得超过建安工程费的中标价。</w:t>
      </w:r>
    </w:p>
    <w:p w14:paraId="2542D17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1.2.2 </w:t>
      </w:r>
      <w:r>
        <w:rPr>
          <w:rFonts w:hint="eastAsia" w:asciiTheme="minorEastAsia" w:hAnsiTheme="minorEastAsia" w:eastAsiaTheme="minorEastAsia" w:cstheme="minorEastAsia"/>
          <w:color w:val="000000" w:themeColor="text1"/>
          <w:szCs w:val="24"/>
          <w:highlight w:val="none"/>
          <w:lang w:val="en-US" w:eastAsia="zh-CN"/>
          <w14:textFill>
            <w14:solidFill>
              <w14:schemeClr w14:val="tx1"/>
            </w14:solidFill>
          </w14:textFill>
        </w:rPr>
        <w:t>设计</w:t>
      </w:r>
      <w:r>
        <w:rPr>
          <w:rFonts w:hint="eastAsia" w:asciiTheme="minorEastAsia" w:hAnsiTheme="minorEastAsia" w:eastAsiaTheme="minorEastAsia" w:cstheme="minorEastAsia"/>
          <w:color w:val="000000" w:themeColor="text1"/>
          <w:szCs w:val="24"/>
          <w:highlight w:val="none"/>
          <w:lang w:eastAsia="zh-CN"/>
          <w14:textFill>
            <w14:solidFill>
              <w14:schemeClr w14:val="tx1"/>
            </w14:solidFill>
          </w14:textFill>
        </w:rPr>
        <w:t>单位</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在提交设计施工图时必须同时提交施工图预算。施工图预算作为</w:t>
      </w:r>
      <w:r>
        <w:rPr>
          <w:rFonts w:hint="eastAsia" w:asciiTheme="minorEastAsia" w:hAnsiTheme="minorEastAsia" w:eastAsiaTheme="minorEastAsia" w:cstheme="minorEastAsia"/>
          <w:color w:val="000000" w:themeColor="text1"/>
          <w:szCs w:val="24"/>
          <w:highlight w:val="none"/>
          <w:lang w:val="en-US" w:eastAsia="zh-CN"/>
          <w14:textFill>
            <w14:solidFill>
              <w14:schemeClr w14:val="tx1"/>
            </w14:solidFill>
          </w14:textFill>
        </w:rPr>
        <w:t>设计</w:t>
      </w:r>
      <w:r>
        <w:rPr>
          <w:rFonts w:hint="eastAsia" w:asciiTheme="minorEastAsia" w:hAnsiTheme="minorEastAsia" w:eastAsiaTheme="minorEastAsia" w:cstheme="minorEastAsia"/>
          <w:color w:val="000000" w:themeColor="text1"/>
          <w:szCs w:val="24"/>
          <w:highlight w:val="none"/>
          <w:lang w:eastAsia="zh-CN"/>
          <w14:textFill>
            <w14:solidFill>
              <w14:schemeClr w14:val="tx1"/>
            </w14:solidFill>
          </w14:textFill>
        </w:rPr>
        <w:t>单位</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自我核算是否符合限额设计要求的依据。若</w:t>
      </w:r>
      <w:r>
        <w:rPr>
          <w:rFonts w:hint="eastAsia" w:asciiTheme="minorEastAsia" w:hAnsiTheme="minorEastAsia" w:eastAsiaTheme="minorEastAsia" w:cstheme="minorEastAsia"/>
          <w:color w:val="000000" w:themeColor="text1"/>
          <w:szCs w:val="24"/>
          <w:highlight w:val="none"/>
          <w:lang w:eastAsia="zh-CN"/>
          <w14:textFill>
            <w14:solidFill>
              <w14:schemeClr w14:val="tx1"/>
            </w14:solidFill>
          </w14:textFill>
        </w:rPr>
        <w:t>第三方</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造价咨询单位按施工图编制或审核的建安工程费高于建安工程费的中标价时，</w:t>
      </w:r>
      <w:r>
        <w:rPr>
          <w:rFonts w:hint="eastAsia" w:asciiTheme="minorEastAsia" w:hAnsiTheme="minorEastAsia" w:eastAsiaTheme="minorEastAsia" w:cstheme="minorEastAsia"/>
          <w:color w:val="000000" w:themeColor="text1"/>
          <w:szCs w:val="24"/>
          <w:highlight w:val="none"/>
          <w:lang w:val="en-US" w:eastAsia="zh-CN"/>
          <w14:textFill>
            <w14:solidFill>
              <w14:schemeClr w14:val="tx1"/>
            </w14:solidFill>
          </w14:textFill>
        </w:rPr>
        <w:t>设计</w:t>
      </w:r>
      <w:r>
        <w:rPr>
          <w:rFonts w:hint="eastAsia" w:asciiTheme="minorEastAsia" w:hAnsiTheme="minorEastAsia" w:eastAsiaTheme="minorEastAsia" w:cstheme="minorEastAsia"/>
          <w:color w:val="000000" w:themeColor="text1"/>
          <w:szCs w:val="24"/>
          <w:highlight w:val="none"/>
          <w:lang w:eastAsia="zh-CN"/>
          <w14:textFill>
            <w14:solidFill>
              <w14:schemeClr w14:val="tx1"/>
            </w14:solidFill>
          </w14:textFill>
        </w:rPr>
        <w:t>单位</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必须无条件对施工图进行修改，直至满足限额设计要求，</w:t>
      </w:r>
      <w:r>
        <w:rPr>
          <w:rFonts w:hint="eastAsia" w:asciiTheme="minorEastAsia" w:hAnsiTheme="minorEastAsia" w:eastAsiaTheme="minorEastAsia" w:cstheme="minorEastAsia"/>
          <w:color w:val="000000" w:themeColor="text1"/>
          <w:szCs w:val="24"/>
          <w:highlight w:val="none"/>
          <w:lang w:val="zh-CN"/>
          <w14:textFill>
            <w14:solidFill>
              <w14:schemeClr w14:val="tx1"/>
            </w14:solidFill>
          </w14:textFill>
        </w:rPr>
        <w:t>发包人</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不另行增加设计费。由此造成造价咨询单位重复编制或审核施工图预算的费用由</w:t>
      </w:r>
      <w:r>
        <w:rPr>
          <w:rFonts w:hint="eastAsia" w:asciiTheme="minorEastAsia" w:hAnsiTheme="minorEastAsia" w:eastAsiaTheme="minorEastAsia" w:cstheme="minorEastAsia"/>
          <w:color w:val="000000" w:themeColor="text1"/>
          <w:szCs w:val="24"/>
          <w:highlight w:val="none"/>
          <w:lang w:val="en-US" w:eastAsia="zh-CN"/>
          <w14:textFill>
            <w14:solidFill>
              <w14:schemeClr w14:val="tx1"/>
            </w14:solidFill>
          </w14:textFill>
        </w:rPr>
        <w:t>设计</w:t>
      </w:r>
      <w:r>
        <w:rPr>
          <w:rFonts w:hint="eastAsia" w:asciiTheme="minorEastAsia" w:hAnsiTheme="minorEastAsia" w:eastAsiaTheme="minorEastAsia" w:cstheme="minorEastAsia"/>
          <w:color w:val="000000" w:themeColor="text1"/>
          <w:szCs w:val="24"/>
          <w:highlight w:val="none"/>
          <w:lang w:eastAsia="zh-CN"/>
          <w14:textFill>
            <w14:solidFill>
              <w14:schemeClr w14:val="tx1"/>
            </w14:solidFill>
          </w14:textFill>
        </w:rPr>
        <w:t>单位</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承担，结算时在设计费中扣除</w:t>
      </w:r>
      <w:r>
        <w:rPr>
          <w:rFonts w:hint="eastAsia" w:ascii="宋体" w:hAnsi="宋体" w:eastAsia="宋体" w:cs="宋体"/>
          <w:color w:val="000000" w:themeColor="text1"/>
          <w:sz w:val="24"/>
          <w:szCs w:val="24"/>
          <w:highlight w:val="none"/>
          <w14:textFill>
            <w14:solidFill>
              <w14:schemeClr w14:val="tx1"/>
            </w14:solidFill>
          </w14:textFill>
        </w:rPr>
        <w:t>。</w:t>
      </w:r>
    </w:p>
    <w:p w14:paraId="1857BC07">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000000" w:themeColor="text1"/>
          <w:sz w:val="24"/>
          <w:szCs w:val="24"/>
          <w:highlight w:val="none"/>
          <w14:textFill>
            <w14:solidFill>
              <w14:schemeClr w14:val="tx1"/>
            </w14:solidFill>
          </w14:textFill>
        </w:rPr>
      </w:pPr>
      <w:bookmarkStart w:id="314" w:name="_Toc20951"/>
      <w:bookmarkStart w:id="315" w:name="_Toc4817"/>
      <w:bookmarkStart w:id="316" w:name="_Toc13383"/>
      <w:bookmarkStart w:id="317" w:name="_Toc16000"/>
      <w:bookmarkStart w:id="318" w:name="_Toc469940920"/>
      <w:bookmarkStart w:id="319" w:name="_Toc467587699"/>
      <w:bookmarkStart w:id="320" w:name="_Toc1359"/>
      <w:bookmarkStart w:id="321" w:name="_Toc28315"/>
      <w:bookmarkStart w:id="322" w:name="_Toc10533"/>
      <w:bookmarkStart w:id="323" w:name="_Toc3936"/>
      <w:bookmarkStart w:id="324" w:name="_Toc16582"/>
      <w:bookmarkStart w:id="325" w:name="_Toc27815"/>
      <w:r>
        <w:rPr>
          <w:rFonts w:hint="eastAsia" w:ascii="宋体" w:hAnsi="宋体" w:eastAsia="宋体" w:cs="宋体"/>
          <w:b/>
          <w:bCs/>
          <w:color w:val="000000" w:themeColor="text1"/>
          <w:sz w:val="24"/>
          <w:szCs w:val="24"/>
          <w:highlight w:val="none"/>
          <w14:textFill>
            <w14:solidFill>
              <w14:schemeClr w14:val="tx1"/>
            </w14:solidFill>
          </w14:textFill>
        </w:rPr>
        <w:t>2 施工图工程量清单预算的编制原则</w:t>
      </w:r>
      <w:bookmarkEnd w:id="314"/>
      <w:bookmarkEnd w:id="315"/>
      <w:bookmarkEnd w:id="316"/>
      <w:bookmarkEnd w:id="317"/>
      <w:bookmarkEnd w:id="318"/>
      <w:bookmarkEnd w:id="319"/>
      <w:bookmarkEnd w:id="320"/>
      <w:bookmarkEnd w:id="321"/>
      <w:bookmarkEnd w:id="322"/>
      <w:bookmarkEnd w:id="323"/>
      <w:bookmarkEnd w:id="324"/>
      <w:bookmarkEnd w:id="325"/>
    </w:p>
    <w:p w14:paraId="644EC58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2.1 施工图设计必须符合本项目限额设计要求。本项目的建安工程费预算价不得超过已批复概算中相应的建安工程费且不得超过建安工程费的中标价。否则，承包人必须进行调整，直至符合限额设计要求为止。</w:t>
      </w:r>
    </w:p>
    <w:p w14:paraId="149A457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2.2 施工图工程量清单预算价的编制：承包人根据招标文件等相关的文件完成本项目的</w:t>
      </w:r>
      <w:r>
        <w:rPr>
          <w:rFonts w:hint="eastAsia" w:ascii="宋体" w:hAnsi="宋体" w:eastAsia="宋体" w:cs="宋体"/>
          <w:color w:val="000000" w:themeColor="text1"/>
          <w:sz w:val="24"/>
          <w:szCs w:val="24"/>
          <w:highlight w:val="none"/>
          <w:lang w:val="en-US" w:eastAsia="zh-CN"/>
          <w14:textFill>
            <w14:solidFill>
              <w14:schemeClr w14:val="tx1"/>
            </w14:solidFill>
          </w14:textFill>
        </w:rPr>
        <w:t>设计</w:t>
      </w:r>
      <w:r>
        <w:rPr>
          <w:rFonts w:hint="eastAsia" w:ascii="宋体" w:hAnsi="宋体" w:eastAsia="宋体" w:cs="宋体"/>
          <w:color w:val="000000" w:themeColor="text1"/>
          <w:sz w:val="24"/>
          <w:szCs w:val="24"/>
          <w:highlight w:val="none"/>
          <w14:textFill>
            <w14:solidFill>
              <w14:schemeClr w14:val="tx1"/>
            </w14:solidFill>
          </w14:textFill>
        </w:rPr>
        <w:t>工作，承包人设计的施工图经发包人确认后由发包人委托有资质的审图公司审查，施工图经审查合格后，由承包人编制的施工图工程量清单预算需经过发包人委托的第三方造价咨询单位审核通过后，并报</w:t>
      </w:r>
      <w:r>
        <w:rPr>
          <w:rFonts w:hint="eastAsia" w:hAnsi="宋体" w:eastAsia="宋体" w:cs="宋体"/>
          <w:color w:val="000000" w:themeColor="text1"/>
          <w:sz w:val="24"/>
          <w:szCs w:val="24"/>
          <w:highlight w:val="none"/>
          <w:lang w:eastAsia="zh-CN"/>
          <w14:textFill>
            <w14:solidFill>
              <w14:schemeClr w14:val="tx1"/>
            </w14:solidFill>
          </w14:textFill>
        </w:rPr>
        <w:t>翁源</w:t>
      </w:r>
      <w:r>
        <w:rPr>
          <w:rFonts w:hint="eastAsia" w:ascii="宋体" w:hAnsi="宋体" w:eastAsia="宋体" w:cs="宋体"/>
          <w:color w:val="000000" w:themeColor="text1"/>
          <w:sz w:val="24"/>
          <w:szCs w:val="24"/>
          <w:highlight w:val="none"/>
          <w:lang w:eastAsia="zh-CN"/>
          <w14:textFill>
            <w14:solidFill>
              <w14:schemeClr w14:val="tx1"/>
            </w14:solidFill>
          </w14:textFill>
        </w:rPr>
        <w:t>县</w:t>
      </w:r>
      <w:r>
        <w:rPr>
          <w:rFonts w:hint="eastAsia" w:ascii="宋体" w:hAnsi="宋体" w:eastAsia="宋体" w:cs="宋体"/>
          <w:color w:val="000000" w:themeColor="text1"/>
          <w:sz w:val="24"/>
          <w:szCs w:val="24"/>
          <w:highlight w:val="none"/>
          <w14:textFill>
            <w14:solidFill>
              <w14:schemeClr w14:val="tx1"/>
            </w14:solidFill>
          </w14:textFill>
        </w:rPr>
        <w:t>财政局投资评审中心审核。施工图工程量清单预算的编制依据为：（1）《建设工程工程量清单计价标准》（GB/T50500—2024）；（2）《广东省建设工程计价依据（2018）》。具体包括：《广东省房屋建筑与装饰工程综合定额（2018）》《广东省市政工程综合定额（2018）》《广东省通用安装工程综合定额（2018）》《广东省园林绿化工程综合定额（2018）》《广东省建设工程施工机具台班费用编制规则（2018）》等；工程量按施工图计算，主要材料价格按预算编制时（招标文件所规定的设计预算编制工期内）当季</w:t>
      </w:r>
      <w:r>
        <w:rPr>
          <w:rFonts w:hint="eastAsia" w:hAnsi="宋体" w:eastAsia="宋体" w:cs="宋体"/>
          <w:color w:val="000000" w:themeColor="text1"/>
          <w:sz w:val="24"/>
          <w:szCs w:val="24"/>
          <w:highlight w:val="none"/>
          <w:lang w:eastAsia="zh-CN"/>
          <w14:textFill>
            <w14:solidFill>
              <w14:schemeClr w14:val="tx1"/>
            </w14:solidFill>
          </w14:textFill>
        </w:rPr>
        <w:t>翁源</w:t>
      </w:r>
      <w:r>
        <w:rPr>
          <w:rFonts w:hint="eastAsia" w:ascii="宋体" w:hAnsi="宋体" w:eastAsia="宋体" w:cs="宋体"/>
          <w:color w:val="000000" w:themeColor="text1"/>
          <w:sz w:val="24"/>
          <w:szCs w:val="24"/>
          <w:highlight w:val="none"/>
          <w:lang w:eastAsia="zh-CN"/>
          <w14:textFill>
            <w14:solidFill>
              <w14:schemeClr w14:val="tx1"/>
            </w14:solidFill>
          </w14:textFill>
        </w:rPr>
        <w:t>县</w:t>
      </w:r>
      <w:r>
        <w:rPr>
          <w:rFonts w:hint="eastAsia" w:ascii="宋体" w:hAnsi="宋体" w:eastAsia="宋体" w:cs="宋体"/>
          <w:color w:val="000000" w:themeColor="text1"/>
          <w:sz w:val="24"/>
          <w:szCs w:val="24"/>
          <w:highlight w:val="none"/>
          <w14:textFill>
            <w14:solidFill>
              <w14:schemeClr w14:val="tx1"/>
            </w14:solidFill>
          </w14:textFill>
        </w:rPr>
        <w:t>工程造价管理机构发布的人工、材料、机械台班综合单价（若</w:t>
      </w:r>
      <w:r>
        <w:rPr>
          <w:rFonts w:hint="eastAsia" w:hAnsi="宋体" w:eastAsia="宋体" w:cs="宋体"/>
          <w:color w:val="000000" w:themeColor="text1"/>
          <w:sz w:val="24"/>
          <w:szCs w:val="24"/>
          <w:highlight w:val="none"/>
          <w:lang w:eastAsia="zh-CN"/>
          <w14:textFill>
            <w14:solidFill>
              <w14:schemeClr w14:val="tx1"/>
            </w14:solidFill>
          </w14:textFill>
        </w:rPr>
        <w:t>翁源</w:t>
      </w:r>
      <w:r>
        <w:rPr>
          <w:rFonts w:hint="eastAsia" w:ascii="宋体" w:hAnsi="宋体" w:eastAsia="宋体" w:cs="宋体"/>
          <w:color w:val="000000" w:themeColor="text1"/>
          <w:sz w:val="24"/>
          <w:szCs w:val="24"/>
          <w:highlight w:val="none"/>
          <w:lang w:eastAsia="zh-CN"/>
          <w14:textFill>
            <w14:solidFill>
              <w14:schemeClr w14:val="tx1"/>
            </w14:solidFill>
          </w14:textFill>
        </w:rPr>
        <w:t>县</w:t>
      </w:r>
      <w:r>
        <w:rPr>
          <w:rFonts w:hint="eastAsia" w:ascii="宋体" w:hAnsi="宋体" w:eastAsia="宋体" w:cs="宋体"/>
          <w:color w:val="000000" w:themeColor="text1"/>
          <w:sz w:val="24"/>
          <w:szCs w:val="24"/>
          <w:highlight w:val="none"/>
          <w14:textFill>
            <w14:solidFill>
              <w14:schemeClr w14:val="tx1"/>
            </w14:solidFill>
          </w14:textFill>
        </w:rPr>
        <w:t>未发布信息则依次参照广东省韶关市、广东省清远市、广东省肇庆市、广东省佛山市、广东省东莞市、广东省广州市，若以上城市均没有信息价则按市场询价，市场询价方式优先从京东、国美、苏宁等大型电商平台查询）执行、经发包人确认的材料价格或暂定材料价格计算，规费、税金等其它费用则按有关规定计算（费率有上、下限的按平均值计算），预算包干费按2018年广东省计价办法的规定计算，赶工措施费不另行计算。</w:t>
      </w:r>
    </w:p>
    <w:p w14:paraId="34CE21CF">
      <w:pPr>
        <w:pStyle w:val="4"/>
        <w:keepNext/>
        <w:keepLines/>
        <w:spacing w:line="360" w:lineRule="auto"/>
        <w:ind w:firstLine="480"/>
        <w:jc w:val="both"/>
        <w:rPr>
          <w:rFonts w:hint="eastAsia" w:asciiTheme="minorEastAsia" w:hAnsiTheme="minorEastAsia" w:eastAsiaTheme="minorEastAsia" w:cstheme="minorEastAsia"/>
          <w:b/>
          <w:color w:val="000000" w:themeColor="text1"/>
          <w:kern w:val="2"/>
          <w:szCs w:val="24"/>
          <w:highlight w:val="none"/>
          <w14:textFill>
            <w14:solidFill>
              <w14:schemeClr w14:val="tx1"/>
            </w14:solidFill>
          </w14:textFill>
        </w:rPr>
      </w:pPr>
      <w:bookmarkStart w:id="326" w:name="_Toc24837"/>
      <w:bookmarkStart w:id="327" w:name="_Toc3958"/>
      <w:bookmarkStart w:id="328" w:name="_Toc30405"/>
      <w:bookmarkStart w:id="329" w:name="_Toc2286"/>
      <w:bookmarkStart w:id="330" w:name="_Toc466640604"/>
      <w:bookmarkStart w:id="331" w:name="_Toc25565"/>
      <w:bookmarkStart w:id="332" w:name="_Toc13437"/>
      <w:bookmarkStart w:id="333" w:name="_Toc6675"/>
      <w:bookmarkStart w:id="334" w:name="_Toc755"/>
      <w:bookmarkStart w:id="335" w:name="_Toc28537"/>
      <w:bookmarkStart w:id="336" w:name="_Toc11307"/>
      <w:bookmarkStart w:id="337" w:name="_Hlt87948449"/>
      <w:bookmarkStart w:id="338" w:name="_Hlt87948447"/>
      <w:r>
        <w:rPr>
          <w:rFonts w:hint="eastAsia" w:asciiTheme="minorEastAsia" w:hAnsiTheme="minorEastAsia" w:eastAsiaTheme="minorEastAsia" w:cstheme="minorEastAsia"/>
          <w:b/>
          <w:color w:val="000000" w:themeColor="text1"/>
          <w:kern w:val="2"/>
          <w:szCs w:val="24"/>
          <w:highlight w:val="none"/>
          <w:lang w:val="en-US" w:eastAsia="zh-CN"/>
          <w14:textFill>
            <w14:solidFill>
              <w14:schemeClr w14:val="tx1"/>
            </w14:solidFill>
          </w14:textFill>
        </w:rPr>
        <w:t>3</w:t>
      </w:r>
      <w:r>
        <w:rPr>
          <w:rFonts w:hint="eastAsia" w:asciiTheme="minorEastAsia" w:hAnsiTheme="minorEastAsia" w:eastAsiaTheme="minorEastAsia" w:cstheme="minorEastAsia"/>
          <w:b/>
          <w:color w:val="000000" w:themeColor="text1"/>
          <w:kern w:val="2"/>
          <w:szCs w:val="24"/>
          <w:highlight w:val="none"/>
          <w14:textFill>
            <w14:solidFill>
              <w14:schemeClr w14:val="tx1"/>
            </w14:solidFill>
          </w14:textFill>
        </w:rPr>
        <w:t xml:space="preserve"> 工程结算原则</w:t>
      </w:r>
      <w:bookmarkEnd w:id="326"/>
      <w:bookmarkEnd w:id="327"/>
      <w:bookmarkEnd w:id="328"/>
      <w:bookmarkEnd w:id="329"/>
      <w:bookmarkEnd w:id="330"/>
      <w:bookmarkEnd w:id="331"/>
      <w:bookmarkEnd w:id="332"/>
      <w:bookmarkEnd w:id="333"/>
      <w:bookmarkEnd w:id="334"/>
      <w:bookmarkEnd w:id="335"/>
      <w:bookmarkEnd w:id="336"/>
    </w:p>
    <w:p w14:paraId="05C13550">
      <w:pPr>
        <w:spacing w:line="500" w:lineRule="exact"/>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3.1</w:t>
      </w:r>
      <w:r>
        <w:rPr>
          <w:rFonts w:hint="eastAsia" w:asciiTheme="minorEastAsia" w:hAnsiTheme="minorEastAsia" w:eastAsiaTheme="minorEastAsia" w:cstheme="minorEastAsia"/>
          <w:color w:val="000000" w:themeColor="text1"/>
          <w:szCs w:val="24"/>
          <w:highlight w:val="none"/>
          <w:lang w:val="en-US" w:eastAsia="zh-CN"/>
          <w14:textFill>
            <w14:solidFill>
              <w14:schemeClr w14:val="tx1"/>
            </w14:solidFill>
          </w14:textFill>
        </w:rPr>
        <w:t>设计</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费结算原则</w:t>
      </w:r>
    </w:p>
    <w:p w14:paraId="249B4CA7">
      <w:pPr>
        <w:spacing w:line="500" w:lineRule="exact"/>
        <w:ind w:firstLine="480" w:firstLineChars="200"/>
        <w:rPr>
          <w:rFonts w:hint="eastAsia" w:asciiTheme="minorEastAsia" w:hAnsiTheme="minorEastAsia" w:eastAsiaTheme="minorEastAsia" w:cstheme="minorEastAsia"/>
          <w:color w:val="000000" w:themeColor="text1"/>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lang w:val="en-US" w:eastAsia="zh-CN"/>
          <w14:textFill>
            <w14:solidFill>
              <w14:schemeClr w14:val="tx1"/>
            </w14:solidFill>
          </w14:textFill>
        </w:rPr>
        <w:t>3.1.1</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设计</w:t>
      </w:r>
      <w:r>
        <w:rPr>
          <w:rFonts w:hint="eastAsia" w:asciiTheme="minorEastAsia" w:hAnsiTheme="minorEastAsia" w:eastAsiaTheme="minorEastAsia" w:cstheme="minorEastAsia"/>
          <w:color w:val="000000" w:themeColor="text1"/>
          <w:szCs w:val="24"/>
          <w:highlight w:val="none"/>
          <w:lang w:val="en-US" w:eastAsia="zh-CN"/>
          <w14:textFill>
            <w14:solidFill>
              <w14:schemeClr w14:val="tx1"/>
            </w14:solidFill>
          </w14:textFill>
        </w:rPr>
        <w:t>费结算价：按经审定的建安工程费最高投标限价×设计费中标费率进行结算</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w:t>
      </w:r>
    </w:p>
    <w:p w14:paraId="24788174">
      <w:pPr>
        <w:spacing w:line="500" w:lineRule="exact"/>
        <w:ind w:firstLine="480" w:firstLineChars="200"/>
        <w:rPr>
          <w:rFonts w:hint="eastAsia" w:asciiTheme="minorEastAsia" w:hAnsiTheme="minorEastAsia" w:eastAsiaTheme="minorEastAsia" w:cstheme="minorEastAsia"/>
          <w:color w:val="000000" w:themeColor="text1"/>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lang w:val="en-US" w:eastAsia="zh-CN"/>
          <w14:textFill>
            <w14:solidFill>
              <w14:schemeClr w14:val="tx1"/>
            </w14:solidFill>
          </w14:textFill>
        </w:rPr>
        <w:t>3.1.2设计费在中标价范围内按实结算，结算价超中标价时按中标价结算。</w:t>
      </w:r>
    </w:p>
    <w:p w14:paraId="0BE16FDF">
      <w:pPr>
        <w:spacing w:line="500" w:lineRule="exact"/>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3.2工程费用结算基准价的确定：以</w:t>
      </w:r>
      <w:r>
        <w:rPr>
          <w:rFonts w:hint="eastAsia" w:asciiTheme="minorEastAsia" w:hAnsiTheme="minorEastAsia" w:eastAsiaTheme="minorEastAsia" w:cstheme="minorEastAsia"/>
          <w:color w:val="000000" w:themeColor="text1"/>
          <w:szCs w:val="24"/>
          <w:highlight w:val="none"/>
          <w:lang w:val="en-US" w:eastAsia="zh-CN"/>
          <w14:textFill>
            <w14:solidFill>
              <w14:schemeClr w14:val="tx1"/>
            </w14:solidFill>
          </w14:textFill>
        </w:rPr>
        <w:t>本章</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第2条工程预算价编制原则编制的经审核后的预算价乘以（1－承包人中标下浮率）作为此工程项目的建安工程结算基准价（不含预备费），其分部分项工程量清单对应的综合单价即为结算基准单价。</w:t>
      </w:r>
    </w:p>
    <w:p w14:paraId="4907D2EB">
      <w:pPr>
        <w:spacing w:line="500" w:lineRule="exact"/>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3.3工程费用结算原则：发包人在不增减建设规模的情况下，结算价即为结算基准价，但下列情形除外：</w:t>
      </w:r>
    </w:p>
    <w:p w14:paraId="72A5F579">
      <w:pPr>
        <w:spacing w:line="500" w:lineRule="exact"/>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3.3.1 国家政策性人工价差调整：调整方式按省、市有关规定调整。</w:t>
      </w:r>
    </w:p>
    <w:p w14:paraId="452D02EA">
      <w:pPr>
        <w:spacing w:line="500" w:lineRule="exact"/>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3.3.2 当后继相关法律、法规、规章和政策引起安全文明施工费发生变化时，应当按照省建设行政主管部门或省、韶关市、</w:t>
      </w:r>
      <w:r>
        <w:rPr>
          <w:rFonts w:hint="eastAsia" w:asciiTheme="minorEastAsia" w:hAnsiTheme="minorEastAsia" w:eastAsiaTheme="minorEastAsia" w:cstheme="minorEastAsia"/>
          <w:color w:val="000000" w:themeColor="text1"/>
          <w:szCs w:val="24"/>
          <w:highlight w:val="none"/>
          <w:lang w:eastAsia="zh-CN"/>
          <w14:textFill>
            <w14:solidFill>
              <w14:schemeClr w14:val="tx1"/>
            </w14:solidFill>
          </w14:textFill>
        </w:rPr>
        <w:t>翁源县</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工程造价管理机构据此发布的规定调整；</w:t>
      </w:r>
    </w:p>
    <w:p w14:paraId="0CA102BE">
      <w:pPr>
        <w:spacing w:line="500" w:lineRule="exact"/>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3.3.3 当后继相关法律、法规、规章和政策引起规费、税金等发生变化时，应当按照省政府或省、韶关市、</w:t>
      </w:r>
      <w:r>
        <w:rPr>
          <w:rFonts w:hint="eastAsia" w:asciiTheme="minorEastAsia" w:hAnsiTheme="minorEastAsia" w:eastAsiaTheme="minorEastAsia" w:cstheme="minorEastAsia"/>
          <w:color w:val="000000" w:themeColor="text1"/>
          <w:szCs w:val="24"/>
          <w:highlight w:val="none"/>
          <w:lang w:eastAsia="zh-CN"/>
          <w14:textFill>
            <w14:solidFill>
              <w14:schemeClr w14:val="tx1"/>
            </w14:solidFill>
          </w14:textFill>
        </w:rPr>
        <w:t>翁源县</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有关主管部门据此发布的规定调整；</w:t>
      </w:r>
    </w:p>
    <w:p w14:paraId="295EBA04">
      <w:pPr>
        <w:spacing w:line="500" w:lineRule="exact"/>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3.3.4 当施工期间市场物价发生涨落，引起工程所在地工程造价管理机构发布的价格信息中材料价格变化，主要建筑材料价格浮动超过±5%（指钢材、商品砼、商品砂浆、水泥、砂、石等主要材料），则双方同意调整5％以外部分价差；人工费根据国家政策按实调整；机械费浮动超过±10%，双方同意调整10％以外部分价差。其工、料、机消耗量以发包人确认的施工图工程量清单预算及进度中的消耗量为准。</w:t>
      </w:r>
    </w:p>
    <w:p w14:paraId="19E421B8">
      <w:pPr>
        <w:spacing w:line="500" w:lineRule="exact"/>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注：人工费、材料单价、机械台班的价差调整基数是以施工当季《</w:t>
      </w:r>
      <w:r>
        <w:rPr>
          <w:rFonts w:hint="eastAsia" w:asciiTheme="minorEastAsia" w:hAnsiTheme="minorEastAsia" w:eastAsiaTheme="minorEastAsia" w:cstheme="minorEastAsia"/>
          <w:color w:val="000000" w:themeColor="text1"/>
          <w:szCs w:val="24"/>
          <w:highlight w:val="none"/>
          <w:lang w:val="en-US" w:eastAsia="zh-CN"/>
          <w14:textFill>
            <w14:solidFill>
              <w14:schemeClr w14:val="tx1"/>
            </w14:solidFill>
          </w14:textFill>
        </w:rPr>
        <w:t>翁源县</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建筑工程造价信息》（如信息价没有时参考施工当月&lt;韶关建筑工程造价信息&gt;）公布的信息价（包括人工费、材料单价、机械台班）为F1与编制施工图工程量清单预算当季（招标文件所规定的设计预算编制工期内）《</w:t>
      </w:r>
      <w:r>
        <w:rPr>
          <w:rFonts w:hint="eastAsia" w:asciiTheme="minorEastAsia" w:hAnsiTheme="minorEastAsia" w:eastAsiaTheme="minorEastAsia" w:cstheme="minorEastAsia"/>
          <w:color w:val="000000" w:themeColor="text1"/>
          <w:szCs w:val="24"/>
          <w:highlight w:val="none"/>
          <w:lang w:val="en-US" w:eastAsia="zh-CN"/>
          <w14:textFill>
            <w14:solidFill>
              <w14:schemeClr w14:val="tx1"/>
            </w14:solidFill>
          </w14:textFill>
        </w:rPr>
        <w:t>翁源县</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建筑工程造价信息》（如信息价没有时参考预算编制当月（招标文件所规定的设计预算编制工期内）&lt;韶关建筑工程造价信息&gt;）公布的信息价（包括人工费、材料单价、机械台班）F0比较。</w:t>
      </w:r>
    </w:p>
    <w:p w14:paraId="51256664">
      <w:pPr>
        <w:spacing w:line="500" w:lineRule="exact"/>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1）人工费调整方式：按省、市有关规定调整。</w:t>
      </w:r>
    </w:p>
    <w:p w14:paraId="668D9E16">
      <w:pPr>
        <w:spacing w:line="500" w:lineRule="exact"/>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2）材料补差方式：</w:t>
      </w:r>
    </w:p>
    <w:p w14:paraId="18724649">
      <w:pPr>
        <w:spacing w:line="500" w:lineRule="exact"/>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调价系数A=（F1-F0）÷F0×100%</w:t>
      </w:r>
    </w:p>
    <w:p w14:paraId="5D767CF7">
      <w:pPr>
        <w:spacing w:line="500" w:lineRule="exact"/>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当材料涨价时，材料补差= F0×（A-5%），当材料跌价时，材料补差= F0×（A+5%），材料补差只计算相应的规费和税金。</w:t>
      </w:r>
    </w:p>
    <w:p w14:paraId="5812B7E6">
      <w:pPr>
        <w:spacing w:line="500" w:lineRule="exact"/>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3）施工机械使用费补差方式：</w:t>
      </w:r>
    </w:p>
    <w:p w14:paraId="3969FF9A">
      <w:pPr>
        <w:spacing w:line="500" w:lineRule="exact"/>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调价系数A=（F1-F0）÷F0×100%</w:t>
      </w:r>
    </w:p>
    <w:p w14:paraId="56BBD2E5">
      <w:pPr>
        <w:spacing w:line="500" w:lineRule="exact"/>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当施工机械台班费涨价时，机械台班补差= F0×（A-10%），当施工机械台班费跌价时，机械台班补差= F0×（A+10%）， 施工机械使用费补差只计算相应的规费和税金。</w:t>
      </w:r>
    </w:p>
    <w:p w14:paraId="4894E0E1">
      <w:pPr>
        <w:spacing w:line="500" w:lineRule="exact"/>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4）若项目规模、建设标准等发生变化，因变化而发生的措施项目费结算时进行相应增减。</w:t>
      </w:r>
    </w:p>
    <w:p w14:paraId="5EF9B67C">
      <w:pPr>
        <w:spacing w:line="500" w:lineRule="exact"/>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5）施工合同履行期间，由于非承包人原因导致工程变更的，发、承包双方应当按照GB/T50500—2024年《建设工程工程量清单计价标准》和省的有关规定，依据实际变更项目调整工程价款。工程变更引起工程量发生变化，出现本合同价款调整方式第3.3.5款情形的，应当按照其规定调整；其他情形的，按照以下规定调整：</w:t>
      </w:r>
    </w:p>
    <w:p w14:paraId="5EAF2E02">
      <w:pPr>
        <w:spacing w:line="500" w:lineRule="exact"/>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①结算基准价中有适用于变更工程项目的，按照该项目的单价或合价调整；</w:t>
      </w:r>
    </w:p>
    <w:p w14:paraId="68B3DD49">
      <w:pPr>
        <w:spacing w:line="500" w:lineRule="exact"/>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②结算基准价中没有适用、只有类似于变更工程项目的，可在合理范围内参照类似项目的单价或合价调整；</w:t>
      </w:r>
    </w:p>
    <w:p w14:paraId="5C7C3CE9">
      <w:pPr>
        <w:spacing w:line="500" w:lineRule="exact"/>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③结算基准价中没有适用也没有类似于变更工程项目的，根据变更工程资料、计量规则和计价办法、施工期间工程造价管理机构发布的价格信息，按本结算原则第3.3.5款重新确定综合单价后，相应调整工程价款；</w:t>
      </w:r>
    </w:p>
    <w:p w14:paraId="30754E36">
      <w:pPr>
        <w:spacing w:line="500" w:lineRule="exact"/>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④结算基准价中没有适用也没有类似于变更工程项目，且施工期间工程造价管理机构发布的价格信息缺项的，根据变更工程资料、计量规则、计价办法和通过市场调查等的有合法依据的市场价格，按本原则第3.3.5条提出变更工程项目的单价或合价，经发、承包双方确认后调整；</w:t>
      </w:r>
    </w:p>
    <w:p w14:paraId="6C35E33E">
      <w:pPr>
        <w:spacing w:line="500" w:lineRule="exact"/>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⑤如发包人只调整材料的等级、规格或品牌，则其综合单价按结算基准价中单价＋该项材料的价差（经发包人审定后的材料单价-结算基准价中的材料单价）进行调整，规费、税金按有关规定调整。</w:t>
      </w:r>
    </w:p>
    <w:p w14:paraId="6DF0FACD">
      <w:pPr>
        <w:spacing w:line="500" w:lineRule="exact"/>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6）建设工程完工后，发、承包双方和受其委托具有相应资质的工程造价咨询企业必须按照GB/T50500—2024年《建设工程工程量清单计价标准》和省的有关规定办理竣工结算。</w:t>
      </w:r>
    </w:p>
    <w:p w14:paraId="6748E5FA">
      <w:pPr>
        <w:spacing w:line="500" w:lineRule="exact"/>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3.3.5 工程造价调整项目若是结算基准价中没有的项目，其造价调整如下：</w:t>
      </w:r>
    </w:p>
    <w:p w14:paraId="4382EBA4">
      <w:pPr>
        <w:spacing w:line="500" w:lineRule="exact"/>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按（1）GB/T50500—2024年《建设工程工程量清单计价标准》、（2）2018年广东省建设工程计价依据（包括2018年《广东省市政工程综合定额》、2018年《广东省房屋建筑与装饰工程综合定额》、2018年《广东省通用安装工程综合定额》、2018年《广东省园林绿化工程综合定额》、2018年《广东省建设工程施工机具台班费用编制规则》），工程量按发、承包双方签证确认的、应予计量的实际完成的工程量计算，主要材料价格按施工同期工程所在地工程造价管理机构发布的价格信息中的综合单价计算，工程所在地工程造价管理机构发布的价格信息中参考价没有的材料价由发、承包双方市场询价确定，规费、税金等其它费用则按有关规定计算（费率有上、下限的以下限计算），预算包干费及赶工措施费不予计算。经发包人或其指定的有关单位审核，经审核后的造价按承包人的建安工程费中标下浮率下浮后作为工程结算价。</w:t>
      </w:r>
    </w:p>
    <w:p w14:paraId="30FD1E6B">
      <w:pPr>
        <w:spacing w:line="500" w:lineRule="exact"/>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清单项目如只单独调整人工、材料、机械台班价差的，其人工、材料、机械台班消耗量均以审定施工图预算中的该清单项目的人工、材料、机械台班消耗量为准。</w:t>
      </w:r>
    </w:p>
    <w:p w14:paraId="036DE8B0">
      <w:pPr>
        <w:spacing w:line="500" w:lineRule="exact"/>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承包人不得以不完全了解现场情况为理由，提出额外付款或延长工期等要求。对此类要求，发包人不作任何考虑及答复。</w:t>
      </w:r>
    </w:p>
    <w:p w14:paraId="61E38A15">
      <w:pPr>
        <w:spacing w:line="500" w:lineRule="exact"/>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合同履行期间，由于承包人原因导致发生设计变更或现场签证的，由此增加的工程造价费用，由承包人自行承担，发包人不予以考虑和补偿，同时按相关违约条款处罚。</w:t>
      </w:r>
    </w:p>
    <w:p w14:paraId="118FDF74">
      <w:pPr>
        <w:spacing w:line="500" w:lineRule="exact"/>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3.4 如发包人减少建设规模，则根据经发包人确认的预算书扣减减少部分工程造价。最终结算价由</w:t>
      </w:r>
      <w:r>
        <w:rPr>
          <w:rFonts w:hint="eastAsia" w:asciiTheme="minorEastAsia" w:hAnsiTheme="minorEastAsia" w:eastAsiaTheme="minorEastAsia" w:cstheme="minorEastAsia"/>
          <w:color w:val="000000" w:themeColor="text1"/>
          <w:szCs w:val="24"/>
          <w:highlight w:val="none"/>
          <w:lang w:eastAsia="zh-CN"/>
          <w14:textFill>
            <w14:solidFill>
              <w14:schemeClr w14:val="tx1"/>
            </w14:solidFill>
          </w14:textFill>
        </w:rPr>
        <w:t>翁源县</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财政局投资评审中心审定为准。 </w:t>
      </w:r>
    </w:p>
    <w:p w14:paraId="7ED0A14A">
      <w:pPr>
        <w:spacing w:line="500" w:lineRule="exact"/>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3.5 预备费：由发包人掌握使用，不发生时不计入结算总价。使用范围用于以下情形：</w:t>
      </w:r>
    </w:p>
    <w:p w14:paraId="225B11EC">
      <w:pPr>
        <w:spacing w:line="500" w:lineRule="exact"/>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1）由于发包人的要求导致发生设计变更或合同约定调整因素出现时的工程价款调整以及发生的索赔、现场签证等，其工程量按实调整，结算时按实际施工工作量及招标文件、合同约定进行结算，不发生时不计入结算总价。</w:t>
      </w:r>
    </w:p>
    <w:p w14:paraId="4B4534D7">
      <w:pPr>
        <w:spacing w:line="500" w:lineRule="exact"/>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（2）国家政策变化导致的调整。</w:t>
      </w:r>
    </w:p>
    <w:p w14:paraId="40B30378">
      <w:pPr>
        <w:spacing w:line="500" w:lineRule="exact"/>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（3）施工期间市场物价涨落，引起工程所在地工程造价管理机构发布的价格信息中材料价格变化，主要建筑材料（具体参照第3.3.4条款）价格浮动超过+5%的。</w:t>
      </w:r>
    </w:p>
    <w:p w14:paraId="51890202">
      <w:pPr>
        <w:spacing w:line="500" w:lineRule="exact"/>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（4）施工合同签订时尚未确定或者不可预见的所需材料、设备、服务的采购。结算时按实际发生根据本招标文件的工程结算原则第3.3.5款进行结算。</w:t>
      </w:r>
    </w:p>
    <w:p w14:paraId="2B4ABEB0">
      <w:pPr>
        <w:spacing w:line="500" w:lineRule="exact"/>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（5）因不可预见的原因施工局部调整或施工技术工艺调整或应急工作需要发生的工程量。</w:t>
      </w:r>
    </w:p>
    <w:p w14:paraId="76C01753">
      <w:pPr>
        <w:spacing w:line="500" w:lineRule="exact"/>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（6）土石方工程等相应的投资概算范围之外的及因地质情况引起的基础变更的工程价款调整：其工程量按实调整，结算时按实际施工工作量及招标文件、合同约定进行结算。</w:t>
      </w:r>
    </w:p>
    <w:p w14:paraId="70010A9A">
      <w:pPr>
        <w:spacing w:line="500" w:lineRule="exact"/>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3.6 预算包干费：根据2018年《广东省市政工程综合定额》、2018年《广东省房屋建筑与装饰工程综合定额》、2018年《广东省通用安装工程综合定额》、2018年《广东省园林绿化工程综合定额》，以各专业分部分项的人工费与施工机具费之和为基础计算预算包干费。本工程的预算包干内容包括：按《广东省建设工程计价依据（2018）》相关规定。</w:t>
      </w:r>
    </w:p>
    <w:p w14:paraId="54AC51B2">
      <w:pPr>
        <w:spacing w:line="500" w:lineRule="exact"/>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3.7本工程结算不另行计取高温补贴费用、预算编制费、专业分包总包服务及配合费、设计优化及修改增加的费用。</w:t>
      </w:r>
    </w:p>
    <w:p w14:paraId="6AABE6EA">
      <w:pPr>
        <w:spacing w:line="500" w:lineRule="exact"/>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3.8 本工程暂估价（若有）为发包人用于支付必然发生但暂时不能确定价格的材料、工程设备的单价以及专业工程的金额，其结算原则按本章“2～3 工程结算原则”有关条款进行结算，结算时不得超过预算中所列相应的暂估价。</w:t>
      </w:r>
    </w:p>
    <w:p w14:paraId="5970436E">
      <w:pPr>
        <w:spacing w:line="500" w:lineRule="exact"/>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3.9 因本项目为设计、施工总承包，如果设计图纸、施工图预算由于设计深度原因导致的设计变更，不另行增加费用。</w:t>
      </w:r>
    </w:p>
    <w:p w14:paraId="25847557">
      <w:pPr>
        <w:spacing w:line="500" w:lineRule="exact"/>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3.10 项目工程费用最终结算价以</w:t>
      </w:r>
      <w:r>
        <w:rPr>
          <w:rFonts w:hint="eastAsia" w:asciiTheme="minorEastAsia" w:hAnsiTheme="minorEastAsia" w:eastAsiaTheme="minorEastAsia" w:cstheme="minorEastAsia"/>
          <w:color w:val="000000" w:themeColor="text1"/>
          <w:szCs w:val="24"/>
          <w:highlight w:val="none"/>
          <w:lang w:eastAsia="zh-CN"/>
          <w14:textFill>
            <w14:solidFill>
              <w14:schemeClr w14:val="tx1"/>
            </w14:solidFill>
          </w14:textFill>
        </w:rPr>
        <w:t>翁源县</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财政局投资评审中心的审定意见为准：若最终结算价超过中标价，则按中标价结算；若最终结算价未超过中标价，则按</w:t>
      </w:r>
      <w:r>
        <w:rPr>
          <w:rFonts w:hint="eastAsia" w:asciiTheme="minorEastAsia" w:hAnsiTheme="minorEastAsia" w:eastAsiaTheme="minorEastAsia" w:cstheme="minorEastAsia"/>
          <w:color w:val="000000" w:themeColor="text1"/>
          <w:szCs w:val="24"/>
          <w:highlight w:val="none"/>
          <w:lang w:eastAsia="zh-CN"/>
          <w14:textFill>
            <w14:solidFill>
              <w14:schemeClr w14:val="tx1"/>
            </w14:solidFill>
          </w14:textFill>
        </w:rPr>
        <w:t>翁源县</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财政局投资评审中心审定的结算价进行结算。</w:t>
      </w:r>
    </w:p>
    <w:bookmarkEnd w:id="337"/>
    <w:bookmarkEnd w:id="338"/>
    <w:p w14:paraId="70D6157D">
      <w:pPr>
        <w:pStyle w:val="38"/>
        <w:keepNext/>
        <w:keepLines/>
        <w:spacing w:line="500" w:lineRule="exact"/>
        <w:ind w:firstLine="480"/>
        <w:jc w:val="both"/>
        <w:rPr>
          <w:rFonts w:hint="eastAsia" w:asciiTheme="minorEastAsia" w:hAnsiTheme="minorEastAsia" w:eastAsiaTheme="minorEastAsia" w:cstheme="minorEastAsia"/>
          <w:b/>
          <w:color w:val="000000" w:themeColor="text1"/>
          <w:kern w:val="2"/>
          <w:szCs w:val="24"/>
          <w:highlight w:val="none"/>
          <w14:textFill>
            <w14:solidFill>
              <w14:schemeClr w14:val="tx1"/>
            </w14:solidFill>
          </w14:textFill>
        </w:rPr>
      </w:pPr>
      <w:bookmarkStart w:id="339" w:name="_Hlt112206782"/>
      <w:bookmarkEnd w:id="339"/>
      <w:bookmarkStart w:id="340" w:name="_Toc30894"/>
      <w:bookmarkStart w:id="341" w:name="_Toc322793290"/>
      <w:bookmarkStart w:id="342" w:name="_Toc16793"/>
      <w:bookmarkStart w:id="343" w:name="_Toc24211"/>
      <w:bookmarkStart w:id="344" w:name="_Toc20983"/>
      <w:bookmarkStart w:id="345" w:name="_Toc15300"/>
      <w:bookmarkStart w:id="346" w:name="_Toc29998"/>
      <w:bookmarkStart w:id="347" w:name="_Toc4915"/>
      <w:bookmarkStart w:id="348" w:name="_Toc2973"/>
      <w:bookmarkStart w:id="349" w:name="_Toc11208"/>
      <w:bookmarkStart w:id="350" w:name="_Toc23408"/>
      <w:bookmarkStart w:id="351" w:name="_Toc326916631"/>
      <w:bookmarkStart w:id="352" w:name="_Hlt87951777"/>
      <w:r>
        <w:rPr>
          <w:rFonts w:hint="eastAsia" w:asciiTheme="minorEastAsia" w:hAnsiTheme="minorEastAsia" w:eastAsiaTheme="minorEastAsia" w:cstheme="minorEastAsia"/>
          <w:b/>
          <w:color w:val="000000" w:themeColor="text1"/>
          <w:kern w:val="2"/>
          <w:szCs w:val="24"/>
          <w:highlight w:val="none"/>
          <w:lang w:val="en-US" w:eastAsia="zh-CN"/>
          <w14:textFill>
            <w14:solidFill>
              <w14:schemeClr w14:val="tx1"/>
            </w14:solidFill>
          </w14:textFill>
        </w:rPr>
        <w:t>4</w:t>
      </w:r>
      <w:r>
        <w:rPr>
          <w:rFonts w:hint="eastAsia" w:asciiTheme="minorEastAsia" w:hAnsiTheme="minorEastAsia" w:eastAsiaTheme="minorEastAsia" w:cstheme="minorEastAsia"/>
          <w:b/>
          <w:color w:val="000000" w:themeColor="text1"/>
          <w:kern w:val="2"/>
          <w:szCs w:val="24"/>
          <w:highlight w:val="none"/>
          <w14:textFill>
            <w14:solidFill>
              <w14:schemeClr w14:val="tx1"/>
            </w14:solidFill>
          </w14:textFill>
        </w:rPr>
        <w:t xml:space="preserve"> 工程付款办法</w:t>
      </w:r>
      <w:bookmarkEnd w:id="340"/>
      <w:bookmarkEnd w:id="341"/>
      <w:bookmarkEnd w:id="342"/>
      <w:bookmarkEnd w:id="343"/>
      <w:bookmarkEnd w:id="344"/>
      <w:bookmarkEnd w:id="345"/>
      <w:bookmarkEnd w:id="346"/>
      <w:bookmarkEnd w:id="347"/>
      <w:bookmarkEnd w:id="348"/>
      <w:bookmarkEnd w:id="349"/>
      <w:bookmarkEnd w:id="350"/>
      <w:bookmarkEnd w:id="351"/>
    </w:p>
    <w:bookmarkEnd w:id="352"/>
    <w:p w14:paraId="57EC80B8">
      <w:pPr>
        <w:pStyle w:val="36"/>
        <w:spacing w:line="500" w:lineRule="exact"/>
        <w:ind w:firstLine="480"/>
        <w:rPr>
          <w:rFonts w:hint="eastAsia" w:asciiTheme="minorEastAsia" w:hAnsiTheme="minorEastAsia" w:eastAsiaTheme="minorEastAsia" w:cstheme="minorEastAsia"/>
          <w:color w:val="000000" w:themeColor="text1"/>
          <w:szCs w:val="22"/>
          <w:highlight w:val="none"/>
          <w14:textFill>
            <w14:solidFill>
              <w14:schemeClr w14:val="tx1"/>
            </w14:solidFill>
          </w14:textFill>
        </w:rPr>
      </w:pPr>
      <w:bookmarkStart w:id="353" w:name="_Hlt69700007"/>
      <w:bookmarkEnd w:id="353"/>
      <w:bookmarkStart w:id="354" w:name="_Hlt66593437"/>
      <w:bookmarkEnd w:id="354"/>
      <w:bookmarkStart w:id="355" w:name="_Hlt88976467"/>
      <w:bookmarkEnd w:id="355"/>
      <w:bookmarkStart w:id="356" w:name="_Hlt66608388"/>
      <w:bookmarkEnd w:id="356"/>
      <w:bookmarkStart w:id="357" w:name="_Hlt69114106"/>
      <w:bookmarkEnd w:id="357"/>
      <w:bookmarkStart w:id="358" w:name="_Hlt69669774"/>
      <w:bookmarkEnd w:id="358"/>
      <w:bookmarkStart w:id="359" w:name="_Hlt70150985"/>
      <w:bookmarkEnd w:id="359"/>
      <w:bookmarkStart w:id="360" w:name="_Hlt66591689"/>
      <w:bookmarkEnd w:id="360"/>
      <w:bookmarkStart w:id="361" w:name="_Toc11306"/>
      <w:r>
        <w:rPr>
          <w:rFonts w:hint="eastAsia" w:asciiTheme="minorEastAsia" w:hAnsiTheme="minorEastAsia" w:eastAsiaTheme="minorEastAsia" w:cstheme="minorEastAsia"/>
          <w:b/>
          <w:bCs/>
          <w:color w:val="000000" w:themeColor="text1"/>
          <w:szCs w:val="22"/>
          <w:highlight w:val="none"/>
          <w14:textFill>
            <w14:solidFill>
              <w14:schemeClr w14:val="tx1"/>
            </w14:solidFill>
          </w14:textFill>
        </w:rPr>
        <w:t>4.1</w:t>
      </w:r>
      <w:r>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t>设计费的支付</w:t>
      </w: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w:t>
      </w:r>
    </w:p>
    <w:p w14:paraId="5236EB40">
      <w:pPr>
        <w:pStyle w:val="36"/>
        <w:spacing w:line="440" w:lineRule="exact"/>
        <w:ind w:firstLine="48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4.1.1</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提交</w:t>
      </w:r>
      <w:r>
        <w:rPr>
          <w:rFonts w:hint="eastAsia" w:asciiTheme="minorEastAsia" w:hAnsiTheme="minorEastAsia" w:eastAsiaTheme="minorEastAsia" w:cstheme="minorEastAsia"/>
          <w:color w:val="000000" w:themeColor="text1"/>
          <w:highlight w:val="none"/>
          <w14:textFill>
            <w14:solidFill>
              <w14:schemeClr w14:val="tx1"/>
            </w14:solidFill>
          </w14:textFill>
        </w:rPr>
        <w:t>施工图设计</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文件和施工图预算</w:t>
      </w:r>
      <w:r>
        <w:rPr>
          <w:rFonts w:hint="eastAsia" w:asciiTheme="minorEastAsia" w:hAnsiTheme="minorEastAsia" w:eastAsiaTheme="minorEastAsia" w:cstheme="minorEastAsia"/>
          <w:color w:val="000000" w:themeColor="text1"/>
          <w:highlight w:val="none"/>
          <w14:textFill>
            <w14:solidFill>
              <w14:schemeClr w14:val="tx1"/>
            </w14:solidFill>
          </w14:textFill>
        </w:rPr>
        <w:t>，</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且</w:t>
      </w:r>
      <w:r>
        <w:rPr>
          <w:rFonts w:hint="eastAsia" w:asciiTheme="minorEastAsia" w:hAnsiTheme="minorEastAsia" w:eastAsiaTheme="minorEastAsia" w:cstheme="minorEastAsia"/>
          <w:color w:val="000000" w:themeColor="text1"/>
          <w:highlight w:val="none"/>
          <w14:textFill>
            <w14:solidFill>
              <w14:schemeClr w14:val="tx1"/>
            </w14:solidFill>
          </w14:textFill>
        </w:rPr>
        <w:t>本项目工程施工图设计经发包人委托具有资质的第三方审图机构审查合格并提交合格的完整施工图设计成果文件后，相关请款资料经</w:t>
      </w: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翁源县</w:t>
      </w:r>
      <w:r>
        <w:rPr>
          <w:rFonts w:hint="eastAsia" w:asciiTheme="minorEastAsia" w:hAnsiTheme="minorEastAsia" w:eastAsiaTheme="minorEastAsia" w:cstheme="minorEastAsia"/>
          <w:color w:val="000000" w:themeColor="text1"/>
          <w:highlight w:val="none"/>
          <w14:textFill>
            <w14:solidFill>
              <w14:schemeClr w14:val="tx1"/>
            </w14:solidFill>
          </w14:textFill>
        </w:rPr>
        <w:t>财政局审批后10个工作日内，支付至设计费合同价款的</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7</w:t>
      </w:r>
      <w:r>
        <w:rPr>
          <w:rFonts w:hint="eastAsia" w:asciiTheme="minorEastAsia" w:hAnsiTheme="minorEastAsia" w:eastAsiaTheme="minorEastAsia" w:cstheme="minorEastAsia"/>
          <w:color w:val="000000" w:themeColor="text1"/>
          <w:highlight w:val="none"/>
          <w14:textFill>
            <w14:solidFill>
              <w14:schemeClr w14:val="tx1"/>
            </w14:solidFill>
          </w14:textFill>
        </w:rPr>
        <w:t>0%。</w:t>
      </w:r>
    </w:p>
    <w:p w14:paraId="0A548E9B">
      <w:pPr>
        <w:pStyle w:val="36"/>
        <w:spacing w:line="440" w:lineRule="exact"/>
        <w:ind w:firstLine="48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4.1.2工</w:t>
      </w:r>
      <w:r>
        <w:rPr>
          <w:rFonts w:hint="eastAsia" w:asciiTheme="minorEastAsia" w:hAnsiTheme="minorEastAsia" w:eastAsiaTheme="minorEastAsia" w:cstheme="minorEastAsia"/>
          <w:color w:val="000000" w:themeColor="text1"/>
          <w:highlight w:val="none"/>
          <w14:textFill>
            <w14:solidFill>
              <w14:schemeClr w14:val="tx1"/>
            </w14:solidFill>
          </w14:textFill>
        </w:rPr>
        <w:t>程竣工验收合格后，相关请款资料经</w:t>
      </w: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翁源县</w:t>
      </w:r>
      <w:r>
        <w:rPr>
          <w:rFonts w:hint="eastAsia" w:asciiTheme="minorEastAsia" w:hAnsiTheme="minorEastAsia" w:eastAsiaTheme="minorEastAsia" w:cstheme="minorEastAsia"/>
          <w:color w:val="000000" w:themeColor="text1"/>
          <w:highlight w:val="none"/>
          <w14:textFill>
            <w14:solidFill>
              <w14:schemeClr w14:val="tx1"/>
            </w14:solidFill>
          </w14:textFill>
        </w:rPr>
        <w:t>财政局审批后10个工作日内支付剩余的设计费余额。</w:t>
      </w:r>
    </w:p>
    <w:p w14:paraId="4F9C76A8">
      <w:pPr>
        <w:pStyle w:val="36"/>
        <w:spacing w:line="500" w:lineRule="exact"/>
        <w:ind w:firstLine="482" w:firstLineChars="20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b/>
          <w:bCs/>
          <w:color w:val="000000" w:themeColor="text1"/>
          <w:highlight w:val="none"/>
          <w14:textFill>
            <w14:solidFill>
              <w14:schemeClr w14:val="tx1"/>
            </w14:solidFill>
          </w14:textFill>
        </w:rPr>
        <w:t xml:space="preserve">4.2 </w:t>
      </w:r>
      <w:r>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t>建安工程款的支付</w:t>
      </w: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w:t>
      </w:r>
    </w:p>
    <w:p w14:paraId="09F21294">
      <w:pPr>
        <w:pStyle w:val="36"/>
        <w:spacing w:line="500" w:lineRule="exact"/>
        <w:ind w:firstLine="48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4.2.1 本工程</w:t>
      </w:r>
      <w:r>
        <w:rPr>
          <w:rFonts w:hint="eastAsia" w:asciiTheme="minorEastAsia" w:hAnsiTheme="minorEastAsia" w:eastAsiaTheme="minorEastAsia" w:cstheme="minorEastAsia"/>
          <w:color w:val="000000" w:themeColor="text1"/>
          <w:highlight w:val="none"/>
          <w:u w:val="single"/>
          <w14:textFill>
            <w14:solidFill>
              <w14:schemeClr w14:val="tx1"/>
            </w14:solidFill>
          </w14:textFill>
        </w:rPr>
        <w:t>支付</w:t>
      </w:r>
      <w:r>
        <w:rPr>
          <w:rFonts w:hint="eastAsia" w:asciiTheme="minorEastAsia" w:hAnsiTheme="minorEastAsia" w:eastAsiaTheme="minorEastAsia" w:cstheme="minorEastAsia"/>
          <w:color w:val="000000" w:themeColor="text1"/>
          <w:highlight w:val="none"/>
          <w14:textFill>
            <w14:solidFill>
              <w14:schemeClr w14:val="tx1"/>
            </w14:solidFill>
          </w14:textFill>
        </w:rPr>
        <w:t>施工预付款。</w:t>
      </w:r>
    </w:p>
    <w:p w14:paraId="670160A9">
      <w:pPr>
        <w:pStyle w:val="36"/>
        <w:spacing w:line="500" w:lineRule="exact"/>
        <w:ind w:firstLine="480"/>
        <w:rPr>
          <w:rFonts w:hint="eastAsia" w:asciiTheme="minorEastAsia" w:hAnsiTheme="minorEastAsia" w:eastAsiaTheme="minorEastAsia" w:cstheme="minorEastAsia"/>
          <w:i/>
          <w:snapToGrid w:val="0"/>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4.2.2 </w:t>
      </w:r>
      <w:r>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t>施工预付款必须专用于合同工程，并按以下原则支付和抵扣：</w:t>
      </w:r>
    </w:p>
    <w:p w14:paraId="4D54BFDA">
      <w:pPr>
        <w:adjustRightInd w:val="0"/>
        <w:snapToGrid w:val="0"/>
        <w:spacing w:line="500" w:lineRule="exact"/>
        <w:ind w:firstLine="56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（1）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施工预付款支付比例为：按施工合同价（预备费除外）的</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30%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支付（视资金到位情况为准），施工预付款中包含工人工资预付款，其中工人工资预付款比例为施工合同价（预备费除外）的1</w:t>
      </w:r>
      <w:r>
        <w:rPr>
          <w:rFonts w:hint="eastAsia" w:asciiTheme="minorEastAsia" w:hAnsiTheme="minorEastAsia" w:eastAsiaTheme="minorEastAsia" w:cstheme="minorEastAsia"/>
          <w:snapToGrid w:val="0"/>
          <w:color w:val="000000" w:themeColor="text1"/>
          <w:kern w:val="0"/>
          <w:szCs w:val="24"/>
          <w:highlight w:val="none"/>
          <w:lang w:val="en-US" w:eastAsia="zh-CN"/>
          <w14:textFill>
            <w14:solidFill>
              <w14:schemeClr w14:val="tx1"/>
            </w14:solidFill>
          </w14:textFill>
        </w:rPr>
        <w:t>0</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w:t>
      </w:r>
    </w:p>
    <w:p w14:paraId="53A73730">
      <w:pPr>
        <w:adjustRightInd w:val="0"/>
        <w:snapToGrid w:val="0"/>
        <w:spacing w:line="500" w:lineRule="exact"/>
        <w:ind w:firstLine="560"/>
        <w:rPr>
          <w:rFonts w:hint="eastAsia" w:asciiTheme="minorEastAsia" w:hAnsiTheme="minorEastAsia" w:eastAsiaTheme="minorEastAsia" w:cstheme="minorEastAsia"/>
          <w:b/>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（2）本</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工程要求承包人提供与预付款等额的预付款银行保函</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w:t>
      </w:r>
      <w:r>
        <w:rPr>
          <w:rFonts w:hint="eastAsia" w:asciiTheme="minorEastAsia" w:hAnsiTheme="minorEastAsia" w:eastAsiaTheme="minorEastAsia" w:cstheme="minorEastAsia"/>
          <w:snapToGrid w:val="0"/>
          <w:color w:val="000000" w:themeColor="text1"/>
          <w:kern w:val="0"/>
          <w:szCs w:val="22"/>
          <w:highlight w:val="none"/>
          <w14:textFill>
            <w14:solidFill>
              <w14:schemeClr w14:val="tx1"/>
            </w14:solidFill>
          </w14:textFill>
        </w:rPr>
        <w:t>预付款银行保函按发包人提供的格式，详见招标文件第八章：预付款保函</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w:t>
      </w:r>
      <w:r>
        <w:rPr>
          <w:rFonts w:hint="eastAsia" w:asciiTheme="minorEastAsia" w:hAnsiTheme="minorEastAsia" w:eastAsiaTheme="minorEastAsia" w:cstheme="minorEastAsia"/>
          <w:b/>
          <w:snapToGrid w:val="0"/>
          <w:color w:val="000000" w:themeColor="text1"/>
          <w:kern w:val="0"/>
          <w:szCs w:val="24"/>
          <w:highlight w:val="none"/>
          <w14:textFill>
            <w14:solidFill>
              <w14:schemeClr w14:val="tx1"/>
            </w14:solidFill>
          </w14:textFill>
        </w:rPr>
        <w:t>且本工程预付款保函期限原则上不少于</w:t>
      </w:r>
      <w:r>
        <w:rPr>
          <w:rFonts w:hint="eastAsia" w:asciiTheme="minorEastAsia" w:hAnsiTheme="minorEastAsia" w:eastAsiaTheme="minorEastAsia" w:cstheme="minorEastAsia"/>
          <w:b/>
          <w:snapToGrid w:val="0"/>
          <w:color w:val="000000" w:themeColor="text1"/>
          <w:kern w:val="0"/>
          <w:szCs w:val="24"/>
          <w:highlight w:val="none"/>
          <w:lang w:val="en-US" w:eastAsia="zh-CN"/>
          <w14:textFill>
            <w14:solidFill>
              <w14:schemeClr w14:val="tx1"/>
            </w14:solidFill>
          </w14:textFill>
        </w:rPr>
        <w:t>3</w:t>
      </w:r>
      <w:r>
        <w:rPr>
          <w:rFonts w:hint="eastAsia" w:asciiTheme="minorEastAsia" w:hAnsiTheme="minorEastAsia" w:eastAsiaTheme="minorEastAsia" w:cstheme="minorEastAsia"/>
          <w:b/>
          <w:snapToGrid w:val="0"/>
          <w:color w:val="000000" w:themeColor="text1"/>
          <w:kern w:val="0"/>
          <w:szCs w:val="24"/>
          <w:highlight w:val="none"/>
          <w14:textFill>
            <w14:solidFill>
              <w14:schemeClr w14:val="tx1"/>
            </w14:solidFill>
          </w14:textFill>
        </w:rPr>
        <w:t>个月，承包人的预付款保函有效期应保证在扣回预付款前有效，未扣回预付款但保函过期的，承包人应重新开具预付款保函。</w:t>
      </w:r>
    </w:p>
    <w:p w14:paraId="12821A52">
      <w:pPr>
        <w:pStyle w:val="36"/>
        <w:ind w:firstLine="480"/>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（3）承包人应在签订施工合同后，在提供等额的预付款保函及具备施工条件的前提下（如承包人主要人员及主要机械进场到位），向发包人提交预付款支付申请。</w:t>
      </w:r>
    </w:p>
    <w:p w14:paraId="207B064D">
      <w:pPr>
        <w:pStyle w:val="36"/>
        <w:ind w:firstLine="480" w:firstLineChars="200"/>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t>发包人在收到支付申请的7天内进行核实后，按程序向财政部门申请一次性支付预付款（工人工资预付款单独支付至工人工资专用账户）。</w:t>
      </w:r>
      <w:r>
        <w:rPr>
          <w:rFonts w:hint="eastAsia" w:asciiTheme="minorEastAsia" w:hAnsiTheme="minorEastAsia" w:eastAsiaTheme="minorEastAsia" w:cstheme="minorEastAsia"/>
          <w:b/>
          <w:snapToGrid w:val="0"/>
          <w:color w:val="000000" w:themeColor="text1"/>
          <w:kern w:val="0"/>
          <w:highlight w:val="none"/>
          <w14:textFill>
            <w14:solidFill>
              <w14:schemeClr w14:val="tx1"/>
            </w14:solidFill>
          </w14:textFill>
        </w:rPr>
        <w:t>凡未签订合同、未提供预付款保函或不具备施工条件的工程，发包人不预付工程款。</w:t>
      </w:r>
    </w:p>
    <w:p w14:paraId="4ADB2FC7">
      <w:pPr>
        <w:pStyle w:val="36"/>
        <w:ind w:firstLine="480" w:firstLineChars="200"/>
        <w:rPr>
          <w:rFonts w:hint="eastAsia" w:asciiTheme="minorEastAsia" w:hAnsiTheme="minorEastAsia" w:eastAsiaTheme="minorEastAsia" w:cstheme="minorEastAsia"/>
          <w:bCs/>
          <w:snapToGrid w:val="0"/>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bCs/>
          <w:snapToGrid w:val="0"/>
          <w:color w:val="000000" w:themeColor="text1"/>
          <w:kern w:val="0"/>
          <w:highlight w:val="none"/>
          <w14:textFill>
            <w14:solidFill>
              <w14:schemeClr w14:val="tx1"/>
            </w14:solidFill>
          </w14:textFill>
        </w:rPr>
        <w:t>（4）</w:t>
      </w:r>
      <w:r>
        <w:rPr>
          <w:rFonts w:hint="eastAsia" w:asciiTheme="minorEastAsia" w:hAnsiTheme="minorEastAsia" w:eastAsiaTheme="minorEastAsia" w:cstheme="minorEastAsia"/>
          <w:bCs/>
          <w:snapToGrid w:val="0"/>
          <w:color w:val="000000" w:themeColor="text1"/>
          <w:kern w:val="0"/>
          <w:highlight w:val="none"/>
          <w14:textFill>
            <w14:solidFill>
              <w14:schemeClr w14:val="tx1"/>
            </w14:solidFill>
          </w14:textFill>
        </w:rPr>
        <w:t>预付款应从每支付期应支付给承包人的工程进度款中扣回，扣回比例为每支付期的工程进度款的50%，直到扣回的金额达到合同约定的预付款金额为止。</w:t>
      </w:r>
    </w:p>
    <w:p w14:paraId="075720DF">
      <w:pPr>
        <w:pStyle w:val="36"/>
        <w:ind w:firstLine="480" w:firstLineChars="200"/>
        <w:rPr>
          <w:rFonts w:hint="eastAsia" w:asciiTheme="minorEastAsia" w:hAnsiTheme="minorEastAsia" w:eastAsiaTheme="minorEastAsia" w:cstheme="minorEastAsia"/>
          <w:bCs/>
          <w:snapToGrid w:val="0"/>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 4.2.3工程进度款支付条件：承包人必须提供完整的施工图预算（加盖承包人公章及注册造价工程师注册章）报发包人审核后方可支付工程进度款。</w:t>
      </w:r>
    </w:p>
    <w:p w14:paraId="653CBE20">
      <w:pPr>
        <w:pStyle w:val="36"/>
        <w:rPr>
          <w:rFonts w:hint="eastAsia" w:asciiTheme="minorEastAsia" w:hAnsiTheme="minorEastAsia" w:eastAsiaTheme="minorEastAsia" w:cstheme="minorEastAsia"/>
          <w:strike/>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4.2.4</w:t>
      </w: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 施工过程中按月支付工程进度款：承包人每月按</w:t>
      </w: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工程形象进度申</w:t>
      </w:r>
      <w:r>
        <w:rPr>
          <w:rFonts w:hint="eastAsia" w:asciiTheme="minorEastAsia" w:hAnsiTheme="minorEastAsia" w:eastAsiaTheme="minorEastAsia" w:cstheme="minorEastAsia"/>
          <w:color w:val="000000" w:themeColor="text1"/>
          <w:highlight w:val="none"/>
          <w14:textFill>
            <w14:solidFill>
              <w14:schemeClr w14:val="tx1"/>
            </w14:solidFill>
          </w14:textFill>
        </w:rPr>
        <w:t>报，截止日为当月26日，形象进度和</w:t>
      </w:r>
      <w:r>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t>《工程付款申请书》</w:t>
      </w:r>
      <w:r>
        <w:rPr>
          <w:rFonts w:hint="eastAsia" w:asciiTheme="minorEastAsia" w:hAnsiTheme="minorEastAsia" w:eastAsiaTheme="minorEastAsia" w:cstheme="minorEastAsia"/>
          <w:color w:val="000000" w:themeColor="text1"/>
          <w:highlight w:val="none"/>
          <w14:textFill>
            <w14:solidFill>
              <w14:schemeClr w14:val="tx1"/>
            </w14:solidFill>
          </w14:textFill>
        </w:rPr>
        <w:t>由监理单位核实确认，经</w:t>
      </w:r>
      <w:r>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t>造价咨询单位（如有造价单位）审核，</w:t>
      </w:r>
      <w:r>
        <w:rPr>
          <w:rFonts w:hint="eastAsia" w:asciiTheme="minorEastAsia" w:hAnsiTheme="minorEastAsia" w:eastAsiaTheme="minorEastAsia" w:cstheme="minorEastAsia"/>
          <w:color w:val="000000" w:themeColor="text1"/>
          <w:highlight w:val="none"/>
          <w14:textFill>
            <w14:solidFill>
              <w14:schemeClr w14:val="tx1"/>
            </w14:solidFill>
          </w14:textFill>
        </w:rPr>
        <w:t>再经发包人审核确认后于申报工程进度款的次月支付。</w:t>
      </w:r>
    </w:p>
    <w:p w14:paraId="0D2666E7">
      <w:pPr>
        <w:spacing w:line="360" w:lineRule="auto"/>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4.2.5</w:t>
      </w:r>
      <w:r>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t>每月的工程进度款按应付金额的 80 ％支付，工程进度款中的作业工人工资款项暂为该月工程进度款的 30 ％，具体工人工资拨付金额以该月实际审核确认的为准，由发包人将该月审核确认后的作业工人工资款项单独足额拨付到承包人的工资专户。</w:t>
      </w:r>
    </w:p>
    <w:p w14:paraId="249461E7">
      <w:pPr>
        <w:pStyle w:val="36"/>
        <w:ind w:firstLine="480" w:firstLineChars="200"/>
        <w:rPr>
          <w:rFonts w:hint="eastAsia" w:asciiTheme="minorEastAsia" w:hAnsiTheme="minorEastAsia" w:eastAsiaTheme="minorEastAsia" w:cstheme="minorEastAsia"/>
          <w:strike/>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4.3</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措施项目费中的“</w:t>
      </w:r>
      <w:r>
        <w:rPr>
          <w:rFonts w:hint="eastAsia" w:asciiTheme="minorEastAsia" w:hAnsiTheme="minorEastAsia" w:eastAsiaTheme="minorEastAsia" w:cstheme="minorEastAsia"/>
          <w:snapToGrid w:val="0"/>
          <w:color w:val="000000" w:themeColor="text1"/>
          <w:kern w:val="0"/>
          <w:szCs w:val="24"/>
          <w:highlight w:val="none"/>
          <w:lang w:eastAsia="zh-CN"/>
          <w14:textFill>
            <w14:solidFill>
              <w14:schemeClr w14:val="tx1"/>
            </w14:solidFill>
          </w14:textFill>
        </w:rPr>
        <w:t>安全生产措施费</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”拨付按照《广东省建设工程计价依据（2018）》执行，按照</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韶关市住房和城乡建设管理局《关于明确建筑工程安全防护、文明施工措施费用具体管理办法的通知》韶市建字〔2015〕26号文的</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有关规定支付。发生一般事故及以上等级重大安全事故的，发包人可扣除承包人金额相当于所有“</w:t>
      </w:r>
      <w:r>
        <w:rPr>
          <w:rFonts w:hint="eastAsia" w:asciiTheme="minorEastAsia" w:hAnsiTheme="minorEastAsia" w:eastAsiaTheme="minorEastAsia" w:cstheme="minorEastAsia"/>
          <w:snapToGrid w:val="0"/>
          <w:color w:val="000000" w:themeColor="text1"/>
          <w:kern w:val="0"/>
          <w:szCs w:val="24"/>
          <w:highlight w:val="none"/>
          <w:lang w:eastAsia="zh-CN"/>
          <w14:textFill>
            <w14:solidFill>
              <w14:schemeClr w14:val="tx1"/>
            </w14:solidFill>
          </w14:textFill>
        </w:rPr>
        <w:t>安全生产措施费</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”的工程管理费。</w:t>
      </w:r>
    </w:p>
    <w:p w14:paraId="4AEB485F">
      <w:pPr>
        <w:wordWrap w:val="0"/>
        <w:adjustRightInd w:val="0"/>
        <w:snapToGrid w:val="0"/>
        <w:spacing w:line="360" w:lineRule="auto"/>
        <w:ind w:firstLine="480" w:firstLineChars="200"/>
        <w:rPr>
          <w:rFonts w:hint="eastAsia" w:asciiTheme="minorEastAsia" w:hAnsiTheme="minorEastAsia" w:eastAsiaTheme="minorEastAsia" w:cstheme="minorEastAsia"/>
          <w:strike/>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4.4</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变更工程造价必须经监理单位核实及造价咨询单位（如有造价单位）审核，并经发包人核定后方可支付。</w:t>
      </w:r>
    </w:p>
    <w:p w14:paraId="59113E51">
      <w:pPr>
        <w:pStyle w:val="36"/>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    4.5 工程完工后可支付至80％（但不局限于80％）</w:t>
      </w: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highlight w:val="none"/>
          <w14:textFill>
            <w14:solidFill>
              <w14:schemeClr w14:val="tx1"/>
            </w14:solidFill>
          </w14:textFill>
        </w:rPr>
        <w:t>结算审核完成后，于次月支付至审定总造价的97%。</w:t>
      </w:r>
    </w:p>
    <w:p w14:paraId="2227DF26">
      <w:pPr>
        <w:pStyle w:val="36"/>
        <w:rPr>
          <w:rFonts w:hint="eastAsia" w:asciiTheme="minorEastAsia" w:hAnsiTheme="minorEastAsia" w:eastAsiaTheme="minorEastAsia" w:cstheme="minorEastAsia"/>
          <w:strike/>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    4.6 剩余3%为工程质量保证金，从工程竣工验收合格之日起满</w:t>
      </w:r>
      <w:r>
        <w:rPr>
          <w:rFonts w:hint="eastAsia" w:asciiTheme="minorEastAsia" w:hAnsiTheme="minorEastAsia" w:eastAsiaTheme="minorEastAsia" w:cstheme="minorEastAsia"/>
          <w:color w:val="000000" w:themeColor="text1"/>
          <w:highlight w:val="none"/>
          <w:u w:val="single"/>
          <w14:textFill>
            <w14:solidFill>
              <w14:schemeClr w14:val="tx1"/>
            </w14:solidFill>
          </w14:textFill>
        </w:rPr>
        <w:t>2</w:t>
      </w:r>
      <w:r>
        <w:rPr>
          <w:rFonts w:hint="eastAsia" w:asciiTheme="minorEastAsia" w:hAnsiTheme="minorEastAsia" w:eastAsiaTheme="minorEastAsia" w:cstheme="minorEastAsia"/>
          <w:color w:val="000000" w:themeColor="text1"/>
          <w:highlight w:val="none"/>
          <w14:textFill>
            <w14:solidFill>
              <w14:schemeClr w14:val="tx1"/>
            </w14:solidFill>
          </w14:textFill>
        </w:rPr>
        <w:t>年，</w:t>
      </w:r>
      <w:r>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t>若未发现质量问题，</w:t>
      </w:r>
      <w:r>
        <w:rPr>
          <w:rFonts w:hint="eastAsia" w:asciiTheme="minorEastAsia" w:hAnsiTheme="minorEastAsia" w:eastAsiaTheme="minorEastAsia" w:cstheme="minorEastAsia"/>
          <w:bCs/>
          <w:snapToGrid w:val="0"/>
          <w:color w:val="000000" w:themeColor="text1"/>
          <w:kern w:val="0"/>
          <w:highlight w:val="none"/>
          <w14:textFill>
            <w14:solidFill>
              <w14:schemeClr w14:val="tx1"/>
            </w14:solidFill>
          </w14:textFill>
        </w:rPr>
        <w:t>承包人向发包人申请退还质量保证（或保证金），发包人按照《建设工程质量保证金管理办法》及合同的有关规定和约定将质量保证（或保证金）</w:t>
      </w:r>
      <w:r>
        <w:rPr>
          <w:rFonts w:hint="eastAsia" w:asciiTheme="minorEastAsia" w:hAnsiTheme="minorEastAsia" w:eastAsiaTheme="minorEastAsia" w:cstheme="minorEastAsia"/>
          <w:bCs/>
          <w:color w:val="000000" w:themeColor="text1"/>
          <w:kern w:val="0"/>
          <w:highlight w:val="none"/>
          <w14:textFill>
            <w14:solidFill>
              <w14:schemeClr w14:val="tx1"/>
            </w14:solidFill>
          </w14:textFill>
        </w:rPr>
        <w:t>于次月</w:t>
      </w:r>
      <w:r>
        <w:rPr>
          <w:rFonts w:hint="eastAsia" w:asciiTheme="minorEastAsia" w:hAnsiTheme="minorEastAsia" w:eastAsiaTheme="minorEastAsia" w:cstheme="minorEastAsia"/>
          <w:bCs/>
          <w:snapToGrid w:val="0"/>
          <w:color w:val="000000" w:themeColor="text1"/>
          <w:kern w:val="0"/>
          <w:highlight w:val="none"/>
          <w14:textFill>
            <w14:solidFill>
              <w14:schemeClr w14:val="tx1"/>
            </w14:solidFill>
          </w14:textFill>
        </w:rPr>
        <w:t>退还给承包人</w:t>
      </w:r>
      <w:r>
        <w:rPr>
          <w:rFonts w:hint="eastAsia" w:asciiTheme="minorEastAsia" w:hAnsiTheme="minorEastAsia" w:eastAsiaTheme="minorEastAsia" w:cstheme="minorEastAsia"/>
          <w:bCs/>
          <w:color w:val="000000" w:themeColor="text1"/>
          <w:kern w:val="0"/>
          <w:highlight w:val="none"/>
          <w14:textFill>
            <w14:solidFill>
              <w14:schemeClr w14:val="tx1"/>
            </w14:solidFill>
          </w14:textFill>
        </w:rPr>
        <w:t>（不计息）。</w:t>
      </w:r>
    </w:p>
    <w:p w14:paraId="536CC4CC">
      <w:pPr>
        <w:wordWrap w:val="0"/>
        <w:adjustRightInd w:val="0"/>
        <w:snapToGrid w:val="0"/>
        <w:spacing w:line="360" w:lineRule="auto"/>
        <w:ind w:firstLine="480" w:firstLineChars="20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4.7承包人提供的工程款发票必须按照发包人要求提供相应增值税发票给发包人，发包人收到符合要求的发票后方可支付工程款。</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如果承包人无法提供符合要求的发票，由此造成的相应损失由承包人承担。</w:t>
      </w:r>
    </w:p>
    <w:p w14:paraId="74B3C7B0">
      <w:pPr>
        <w:pStyle w:val="36"/>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    4.8本项目为政府全额投资，所有支付手续经发包人审批后，还须报政府财政部门审批完毕方可支付，如经发包人审批后已及时履行了向财政部门申报审批手续，则发包人不支付延期付</w:t>
      </w: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款的利息，承包人也不得因政府财政部门履行审批程序所造成的延期付款而暂停施工和相关服务。</w:t>
      </w:r>
    </w:p>
    <w:p w14:paraId="6A24EEB7">
      <w:pPr>
        <w:wordWrap w:val="0"/>
        <w:adjustRightInd w:val="0"/>
        <w:snapToGrid w:val="0"/>
        <w:spacing w:line="360" w:lineRule="auto"/>
        <w:ind w:firstLine="482" w:firstLineChars="200"/>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4.9</w:t>
      </w:r>
      <w:r>
        <w:rPr>
          <w:rFonts w:hint="eastAsia" w:asciiTheme="minorEastAsia" w:hAnsiTheme="minorEastAsia" w:eastAsiaTheme="minorEastAsia" w:cstheme="minorEastAsia"/>
          <w:color w:val="000000" w:themeColor="text1"/>
          <w:highlight w:val="none"/>
          <w14:textFill>
            <w14:solidFill>
              <w14:schemeClr w14:val="tx1"/>
            </w14:solidFill>
          </w14:textFill>
        </w:rPr>
        <w:t>预备费支付方式：与每个月的工程进度款一并报送（若发生符合使用范围的情形需使用预备费时），在预备费的范围内由监理单位进行签认，造价咨询单位审核，发包人确认，进度款中需要列明涉及预备费的部分。在预备费的范围内由监理单位进行签证，造价咨询单位审核后，经发包人确认后按该进度款项的50％支付，其余部分待结算完成审核后支付。预备费如有余额归发包人，不发生时不计入结算总价。</w:t>
      </w:r>
    </w:p>
    <w:p w14:paraId="1DFBFF78">
      <w:pPr>
        <w:wordWrap w:val="0"/>
        <w:adjustRightInd w:val="0"/>
        <w:snapToGrid w:val="0"/>
        <w:spacing w:line="360" w:lineRule="auto"/>
        <w:ind w:firstLine="482"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4.10</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本工程按政府有关要求或资金安排情况、合同有关约定，经双方协商可调整建安费支付办法。</w:t>
      </w:r>
    </w:p>
    <w:p w14:paraId="4D87B18B">
      <w:pPr>
        <w:pStyle w:val="36"/>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补充条款：</w:t>
      </w:r>
    </w:p>
    <w:p w14:paraId="292FCDAC">
      <w:pPr>
        <w:pStyle w:val="36"/>
        <w:numPr>
          <w:ilvl w:val="0"/>
          <w:numId w:val="3"/>
        </w:numPr>
        <w:ind w:firstLine="361" w:firstLineChars="150"/>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施工部分</w:t>
      </w:r>
    </w:p>
    <w:p w14:paraId="3C8380D7">
      <w:pPr>
        <w:pStyle w:val="54"/>
        <w:widowControl/>
        <w:spacing w:line="360" w:lineRule="auto"/>
        <w:ind w:firstLine="420"/>
        <w:jc w:val="left"/>
        <w:rPr>
          <w:rFonts w:hint="eastAsia" w:asciiTheme="minorEastAsia" w:hAnsiTheme="minorEastAsia" w:eastAsiaTheme="minorEastAsia" w:cstheme="minorEastAsia"/>
          <w:b/>
          <w:bCs/>
          <w:color w:val="000000" w:themeColor="text1"/>
          <w:highlight w:val="none"/>
          <w:lang w:val="zh-CN"/>
          <w14:textFill>
            <w14:solidFill>
              <w14:schemeClr w14:val="tx1"/>
            </w14:solidFill>
          </w14:textFill>
        </w:rPr>
      </w:pPr>
      <w:r>
        <w:rPr>
          <w:rFonts w:hint="eastAsia" w:asciiTheme="minorEastAsia" w:hAnsiTheme="minorEastAsia" w:eastAsiaTheme="minorEastAsia" w:cstheme="minorEastAsia"/>
          <w:b/>
          <w:bCs/>
          <w:color w:val="000000" w:themeColor="text1"/>
          <w:highlight w:val="none"/>
          <w14:textFill>
            <w14:solidFill>
              <w14:schemeClr w14:val="tx1"/>
            </w14:solidFill>
          </w14:textFill>
        </w:rPr>
        <w:t>5.1</w:t>
      </w:r>
      <w:r>
        <w:rPr>
          <w:rFonts w:hint="eastAsia" w:asciiTheme="minorEastAsia" w:hAnsiTheme="minorEastAsia" w:eastAsiaTheme="minorEastAsia" w:cstheme="minorEastAsia"/>
          <w:b/>
          <w:bCs/>
          <w:color w:val="000000" w:themeColor="text1"/>
          <w:highlight w:val="none"/>
          <w:lang w:val="zh-CN"/>
          <w14:textFill>
            <w14:solidFill>
              <w14:schemeClr w14:val="tx1"/>
            </w14:solidFill>
          </w14:textFill>
        </w:rPr>
        <w:t>项目管理</w:t>
      </w:r>
    </w:p>
    <w:p w14:paraId="2482A92B">
      <w:pPr>
        <w:pStyle w:val="54"/>
        <w:widowControl/>
        <w:spacing w:line="360" w:lineRule="auto"/>
        <w:ind w:firstLine="420"/>
        <w:jc w:val="left"/>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5.1.1项目经理要求：</w:t>
      </w:r>
    </w:p>
    <w:p w14:paraId="32FE1A4C">
      <w:pPr>
        <w:pStyle w:val="54"/>
        <w:widowControl/>
        <w:spacing w:line="360" w:lineRule="auto"/>
        <w:ind w:firstLine="420"/>
        <w:jc w:val="left"/>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 项目经理与投标文件承诺不一致或未及时到位，发包人将按照下列方式对承包人进行处罚：</w:t>
      </w:r>
    </w:p>
    <w:p w14:paraId="52B110CF">
      <w:pPr>
        <w:pStyle w:val="54"/>
        <w:widowControl/>
        <w:numPr>
          <w:ilvl w:val="0"/>
          <w:numId w:val="4"/>
        </w:numPr>
        <w:spacing w:line="360" w:lineRule="auto"/>
        <w:ind w:firstLine="420"/>
        <w:jc w:val="left"/>
        <w:rPr>
          <w:rFonts w:hint="eastAsia" w:asciiTheme="minorEastAsia" w:hAnsiTheme="minorEastAsia" w:eastAsiaTheme="minorEastAsia" w:cstheme="minorEastAsia"/>
          <w:color w:val="000000" w:themeColor="text1"/>
          <w:highlight w:val="none"/>
          <w:u w:val="single"/>
          <w14:textFill>
            <w14:solidFill>
              <w14:schemeClr w14:val="tx1"/>
            </w14:solidFill>
          </w14:textFill>
        </w:rPr>
      </w:pPr>
      <w:r>
        <w:rPr>
          <w:rFonts w:hint="eastAsia" w:asciiTheme="minorEastAsia" w:hAnsiTheme="minorEastAsia" w:eastAsiaTheme="minorEastAsia" w:cstheme="minorEastAsia"/>
          <w:color w:val="000000" w:themeColor="text1"/>
          <w:highlight w:val="none"/>
          <w:u w:val="single"/>
          <w14:textFill>
            <w14:solidFill>
              <w14:schemeClr w14:val="tx1"/>
            </w14:solidFill>
          </w14:textFill>
        </w:rPr>
        <w:t>担任项目经理的注册建造师与投标书承诺不一致，将视为承包人严重违约。除符合广东省住房和城乡建设厅《关于建设工程项目招标中标后监督检查的办法》〔2009〕8号文第九条规定的情形外，项目经理一律不得更换。承包人未经监理工程师和发包人书面同意，擅自更换投标书中确认的本工程项目经理的，监理工程师或发包人有权责令承包人三天内整改，且发包人有权提请建设行政主管部门对其作不良行为记录，有权给予承包人履约评价为不合格，同时发包人有权拒绝承包人3年内参加发包人其它工程的投标。</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擅自更换本工程项目经理的，</w:t>
      </w:r>
      <w:r>
        <w:rPr>
          <w:rFonts w:hint="eastAsia" w:asciiTheme="minorEastAsia" w:hAnsiTheme="minorEastAsia" w:eastAsiaTheme="minorEastAsia" w:cstheme="minorEastAsia"/>
          <w:color w:val="000000" w:themeColor="text1"/>
          <w:highlight w:val="none"/>
          <w:u w:val="single"/>
          <w14:textFill>
            <w14:solidFill>
              <w14:schemeClr w14:val="tx1"/>
            </w14:solidFill>
          </w14:textFill>
        </w:rPr>
        <w:t>即使发包人</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事后</w:t>
      </w:r>
      <w:r>
        <w:rPr>
          <w:rFonts w:hint="eastAsia" w:asciiTheme="minorEastAsia" w:hAnsiTheme="minorEastAsia" w:eastAsiaTheme="minorEastAsia" w:cstheme="minorEastAsia"/>
          <w:color w:val="000000" w:themeColor="text1"/>
          <w:highlight w:val="none"/>
          <w:u w:val="single"/>
          <w14:textFill>
            <w14:solidFill>
              <w14:schemeClr w14:val="tx1"/>
            </w14:solidFill>
          </w14:textFill>
        </w:rPr>
        <w:t>批准同意更换，承包人仍需支付每换一次15万元的违约金（仅被羁押或判处刑罚、身亡可免责）。</w:t>
      </w:r>
    </w:p>
    <w:p w14:paraId="313C1628">
      <w:pPr>
        <w:pStyle w:val="54"/>
        <w:widowControl/>
        <w:numPr>
          <w:ilvl w:val="0"/>
          <w:numId w:val="4"/>
        </w:numPr>
        <w:spacing w:line="360" w:lineRule="auto"/>
        <w:ind w:firstLine="420"/>
        <w:jc w:val="left"/>
        <w:rPr>
          <w:rFonts w:hint="eastAsia" w:asciiTheme="minorEastAsia" w:hAnsiTheme="minorEastAsia" w:eastAsiaTheme="minorEastAsia" w:cstheme="minorEastAsia"/>
          <w:color w:val="000000" w:themeColor="text1"/>
          <w:highlight w:val="none"/>
          <w:u w:val="single"/>
          <w14:textFill>
            <w14:solidFill>
              <w14:schemeClr w14:val="tx1"/>
            </w14:solidFill>
          </w14:textFill>
        </w:rPr>
      </w:pPr>
      <w:r>
        <w:rPr>
          <w:rFonts w:hint="eastAsia" w:asciiTheme="minorEastAsia" w:hAnsiTheme="minorEastAsia" w:eastAsiaTheme="minorEastAsia" w:cstheme="minorEastAsia"/>
          <w:color w:val="000000" w:themeColor="text1"/>
          <w:highlight w:val="none"/>
          <w:u w:val="single"/>
          <w14:textFill>
            <w14:solidFill>
              <w14:schemeClr w14:val="tx1"/>
            </w14:solidFill>
          </w14:textFill>
        </w:rPr>
        <w:t>项目经理每延迟到位一天承包人应向发包人支付违约金5万元/天，超过10天（含10天）发包人有权单方解除合同，并要求承包人承担由此造成的一切损失。</w:t>
      </w:r>
    </w:p>
    <w:p w14:paraId="0612E8F1">
      <w:pPr>
        <w:pStyle w:val="54"/>
        <w:widowControl/>
        <w:numPr>
          <w:ilvl w:val="0"/>
          <w:numId w:val="4"/>
        </w:numPr>
        <w:spacing w:line="360" w:lineRule="auto"/>
        <w:ind w:firstLine="420"/>
        <w:jc w:val="left"/>
        <w:rPr>
          <w:rFonts w:hint="eastAsia" w:asciiTheme="minorEastAsia" w:hAnsiTheme="minorEastAsia" w:eastAsiaTheme="minorEastAsia" w:cstheme="minorEastAsia"/>
          <w:color w:val="000000" w:themeColor="text1"/>
          <w:highlight w:val="none"/>
          <w:u w:val="single"/>
          <w14:textFill>
            <w14:solidFill>
              <w14:schemeClr w14:val="tx1"/>
            </w14:solidFill>
          </w14:textFill>
        </w:rPr>
      </w:pPr>
      <w:r>
        <w:rPr>
          <w:rFonts w:hint="eastAsia" w:asciiTheme="minorEastAsia" w:hAnsiTheme="minorEastAsia" w:eastAsiaTheme="minorEastAsia" w:cstheme="minorEastAsia"/>
          <w:color w:val="000000" w:themeColor="text1"/>
          <w:highlight w:val="none"/>
          <w:u w:val="single"/>
          <w14:textFill>
            <w14:solidFill>
              <w14:schemeClr w14:val="tx1"/>
            </w14:solidFill>
          </w14:textFill>
        </w:rPr>
        <w:t>项目经理必须按时参加工程例会、图纸会审和技术交底、现场协调会、方案论证会、专项工作碰头会，以及发包人要求其参加的会议。未经发包人同意不到会者，承包人每次向发包人支付1万元违约金，并承担一般违约责任1次。</w:t>
      </w:r>
    </w:p>
    <w:p w14:paraId="31E9BC25">
      <w:pPr>
        <w:pStyle w:val="54"/>
        <w:widowControl/>
        <w:numPr>
          <w:ilvl w:val="0"/>
          <w:numId w:val="4"/>
        </w:numPr>
        <w:spacing w:line="360" w:lineRule="auto"/>
        <w:ind w:firstLine="420"/>
        <w:jc w:val="left"/>
        <w:rPr>
          <w:rFonts w:hint="eastAsia" w:asciiTheme="minorEastAsia" w:hAnsiTheme="minorEastAsia" w:eastAsiaTheme="minorEastAsia" w:cstheme="minorEastAsia"/>
          <w:color w:val="000000" w:themeColor="text1"/>
          <w:highlight w:val="none"/>
          <w:u w:val="single"/>
          <w14:textFill>
            <w14:solidFill>
              <w14:schemeClr w14:val="tx1"/>
            </w14:solidFill>
          </w14:textFill>
        </w:rPr>
      </w:pPr>
      <w:r>
        <w:rPr>
          <w:rFonts w:hint="eastAsia" w:asciiTheme="minorEastAsia" w:hAnsiTheme="minorEastAsia" w:eastAsiaTheme="minorEastAsia" w:cstheme="minorEastAsia"/>
          <w:color w:val="000000" w:themeColor="text1"/>
          <w:highlight w:val="none"/>
          <w:u w:val="single"/>
          <w14:textFill>
            <w14:solidFill>
              <w14:schemeClr w14:val="tx1"/>
            </w14:solidFill>
          </w14:textFill>
        </w:rPr>
        <w:t>项目经理若需离开施工现场1日以上（含1日）需经发包人批准。在其请假离开的时间段内应委托项目副经理或项目总工全权代表其行使职权，否则每违约一次，承包人应当承担一般违约责任1次。项目经理每月的出勤天数不得少于22天，如少于22天的，按每缺勤一天向发包人支付违约金人民币3仟元，并承担一般违约责任1次。</w:t>
      </w:r>
    </w:p>
    <w:p w14:paraId="034ED971">
      <w:pPr>
        <w:pStyle w:val="54"/>
        <w:widowControl/>
        <w:spacing w:line="360" w:lineRule="auto"/>
        <w:ind w:firstLine="480" w:firstLineChars="200"/>
        <w:jc w:val="left"/>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u w:val="single"/>
          <w14:textFill>
            <w14:solidFill>
              <w14:schemeClr w14:val="tx1"/>
            </w14:solidFill>
          </w14:textFill>
        </w:rPr>
        <w:t>（5）对于难以胜任工作项目经理，发包人有权要求承包人进行更换，直至发包人满意为止，且更换人员应在接到书面通知后的3天内到位。更换项目经理期间延误的工期不予顺延，所有费用由承包人承担，给发包人造成的损失由承包人承担。</w:t>
      </w:r>
    </w:p>
    <w:p w14:paraId="73D145EC">
      <w:pPr>
        <w:pStyle w:val="54"/>
        <w:widowControl/>
        <w:spacing w:line="360" w:lineRule="auto"/>
        <w:ind w:firstLine="420"/>
        <w:jc w:val="left"/>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u w:val="single"/>
          <w14:textFill>
            <w14:solidFill>
              <w14:schemeClr w14:val="tx1"/>
            </w14:solidFill>
          </w14:textFill>
        </w:rPr>
        <w:t>上述违约金由承包人直接向发包人支付，未付清之前，发包人有权暂停支付工程款。</w:t>
      </w:r>
    </w:p>
    <w:p w14:paraId="3465CDCF">
      <w:pPr>
        <w:pStyle w:val="54"/>
        <w:widowControl/>
        <w:spacing w:line="360" w:lineRule="auto"/>
        <w:ind w:firstLine="420"/>
        <w:jc w:val="left"/>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5.1.2承包人必须遵守国家相关法律法规、政府相关规定及</w:t>
      </w: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ab/>
      </w: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翁源县住房和城乡建设管理局</w:t>
      </w:r>
      <w:r>
        <w:rPr>
          <w:rFonts w:hint="eastAsia" w:asciiTheme="minorEastAsia" w:hAnsiTheme="minorEastAsia" w:eastAsiaTheme="minorEastAsia" w:cstheme="minorEastAsia"/>
          <w:color w:val="000000" w:themeColor="text1"/>
          <w:highlight w:val="none"/>
          <w14:textFill>
            <w14:solidFill>
              <w14:schemeClr w14:val="tx1"/>
            </w14:solidFill>
          </w14:textFill>
        </w:rPr>
        <w:t>的工程管理制度。</w:t>
      </w:r>
    </w:p>
    <w:p w14:paraId="2603A58B">
      <w:pPr>
        <w:pStyle w:val="54"/>
        <w:widowControl/>
        <w:spacing w:line="360" w:lineRule="auto"/>
        <w:ind w:firstLine="420"/>
        <w:jc w:val="left"/>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5.1.3承包人应根据工程实际需要，配备满足进度要求的施工机械，自备发电机保证供电稳定，所有费用已包含在合同价中。</w:t>
      </w:r>
    </w:p>
    <w:p w14:paraId="6F73243C">
      <w:pPr>
        <w:pStyle w:val="54"/>
        <w:widowControl/>
        <w:spacing w:line="360" w:lineRule="auto"/>
        <w:ind w:firstLine="420"/>
        <w:jc w:val="left"/>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5.1.4如果承包人未能按照规定的工期完成合同工程（含材料、设备采购等），或者未能在相应的工期内完成某区段或某单项工程，经发包人书面发出通知要求承包人在规定时间内完成前述工程后，承包人仍未完成，则发包人有权直接雇用他人执行该项指令，并向其支付有关费用，所发生的费用从承包人合同总价中扣除，同时，在工程结算时发包人有权扣除承包人向发包人支付所发生费用10%的违约金，并由承包人承担影响工期的一切责任。</w:t>
      </w:r>
    </w:p>
    <w:p w14:paraId="55C3E380">
      <w:pPr>
        <w:pStyle w:val="54"/>
        <w:widowControl/>
        <w:spacing w:line="360" w:lineRule="auto"/>
        <w:ind w:firstLine="420"/>
        <w:jc w:val="left"/>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5.1.5在合同履行中如发包人、承包人双方发生争议，承包人不得以争议未解决为由擅自停工，否则将视为违约，由此产生工期的延误不予顺延。</w:t>
      </w:r>
    </w:p>
    <w:p w14:paraId="62192196">
      <w:pPr>
        <w:pStyle w:val="54"/>
        <w:widowControl/>
        <w:spacing w:line="360" w:lineRule="auto"/>
        <w:ind w:firstLine="420"/>
        <w:jc w:val="left"/>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5.1.6对于隐蔽工程，若发现承包人在验收合格后到隐蔽施工前，对合格部分做任何改动，应重新进行验收；若承包人同一分项工程验收两次仍不合格，则以后每增加一次验收，承包人向发包人支付违约金5000元。如出现未经验收就进行隐蔽施工，承包人向发包人支付10万元/次的违约金，并且发包人有权暂停支付该部分进度款，直至发包人确认该部分工程合格为止，并通报相关部门，由此产生质量、工期延误等等均由承包人负责。</w:t>
      </w:r>
    </w:p>
    <w:p w14:paraId="5F098AF2">
      <w:pPr>
        <w:wordWrap w:val="0"/>
        <w:adjustRightInd w:val="0"/>
        <w:snapToGrid w:val="0"/>
        <w:spacing w:line="440" w:lineRule="exact"/>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经承包人的自检确认隐蔽工程和工程的隐蔽部位具备覆盖条件后的24小时内，承包人应通知监理人进行检查，通知应按规定的格式说明检查地点、内容和检查时间，并附有承包人自检记录和必要的检查资料。监理人应按通知约定的时间派员到场进行检查，在监理人员确认质量符合要求，并在检查记录上签字后，承包人才能进行覆盖。</w:t>
      </w:r>
    </w:p>
    <w:p w14:paraId="251B2CC6">
      <w:pPr>
        <w:pStyle w:val="54"/>
        <w:widowControl/>
        <w:spacing w:line="360" w:lineRule="auto"/>
        <w:ind w:firstLine="420"/>
        <w:jc w:val="left"/>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承包人未及时通知监理人到场检查，私自将隐蔽部位覆盖，监理人有权指示承包人采用钻孔探测揭开进行检查，由此增加的费用和工期延误责任由承包人承担。</w:t>
      </w:r>
    </w:p>
    <w:p w14:paraId="1D4514FA">
      <w:pPr>
        <w:pStyle w:val="54"/>
        <w:widowControl/>
        <w:spacing w:line="360" w:lineRule="auto"/>
        <w:ind w:firstLine="420"/>
        <w:jc w:val="left"/>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5.1.7承包人必须编制合理的交通维护方案并负责实施，保证施工期间的交通组织符合</w:t>
      </w:r>
      <w:r>
        <w:rPr>
          <w:rFonts w:hint="eastAsia" w:asciiTheme="minorEastAsia" w:hAnsiTheme="minorEastAsia" w:eastAsiaTheme="minorEastAsia" w:cstheme="minorEastAsia"/>
          <w:color w:val="000000" w:themeColor="text1"/>
          <w:szCs w:val="24"/>
          <w:highlight w:val="none"/>
          <w:lang w:val="en-US" w:eastAsia="zh-CN"/>
          <w14:textFill>
            <w14:solidFill>
              <w14:schemeClr w14:val="tx1"/>
            </w14:solidFill>
          </w14:textFill>
        </w:rPr>
        <w:t>翁源县</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公安交通管理的有关规定，确保施工安全，其费用包含在合同价中。</w:t>
      </w:r>
    </w:p>
    <w:p w14:paraId="116C4A87">
      <w:pPr>
        <w:pStyle w:val="54"/>
        <w:widowControl/>
        <w:spacing w:line="360" w:lineRule="auto"/>
        <w:ind w:firstLine="420"/>
        <w:jc w:val="left"/>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5.1.8发生伤亡事故，承包人应在第一时间通知发包人，并按规定立即上报有关部门，同时按法律、法规及相关规定的要求及时处理，否则记承包人严重违约责任一次。</w:t>
      </w:r>
    </w:p>
    <w:p w14:paraId="628AB4A8">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因承包人原因，承包人施工现场发生工伤或其他责任事故的，除按相关法律法规依法接受处理和赔偿所造成的损失外，承包人还须按下列标准向发包人支付惩罚性违约金：</w:t>
      </w:r>
    </w:p>
    <w:p w14:paraId="2636272A">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（1）一次事故或全年累计死亡3人及以上：安全第一责任人在韶关市地区建设范围内公开检查；承包人必须撤换项目经理、安全主管，同时支付合同价款15％的惩罚性违约金。</w:t>
      </w:r>
    </w:p>
    <w:p w14:paraId="1406F8C3">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（2）一次事故或全年累计死亡2人：安全第一责任人在韶关市地区建设范围内公开检查；承包人必须撤换项目经理、安全主管，同时支付合同价款10％的惩罚性违约金。</w:t>
      </w:r>
    </w:p>
    <w:p w14:paraId="49761E21">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（3）全年死亡1人：安全第一责任人在韶关市地区建设范围内公开检查，并报其上级单位；承包人必须撤换项目经理、安全主管；同时支付合同价款5％的惩罚性违约金。</w:t>
      </w:r>
    </w:p>
    <w:p w14:paraId="03BBC801">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（4）重伤事故、造成10人及以上集体中毒住院、经济损失重大的火灾、设备及交通事故，依法由承包人承担责任，并支付惩罚性违约金3万元。</w:t>
      </w:r>
    </w:p>
    <w:p w14:paraId="0D29A54B">
      <w:pPr>
        <w:pStyle w:val="54"/>
        <w:widowControl/>
        <w:spacing w:line="360" w:lineRule="auto"/>
        <w:ind w:firstLine="420"/>
        <w:jc w:val="left"/>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（5）因施工造成的道路交通中断、通讯中断、管线漏水漏气等全部责任事故，依法由承包人承担责任，并支付惩罚性违约金2万元。</w:t>
      </w:r>
    </w:p>
    <w:p w14:paraId="36449FE1">
      <w:pPr>
        <w:pStyle w:val="54"/>
        <w:widowControl/>
        <w:spacing w:line="360" w:lineRule="auto"/>
        <w:ind w:firstLine="420"/>
        <w:jc w:val="left"/>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5.1.9 承包人必须遵守有关环境保护的法律法规，并采取有效措施控制施工现场的各种粉尘、废气、废弃物、噪声、振动等对身体健康和周边环境造成的危害和污染，有关费用已包含在合同价中。 </w:t>
      </w:r>
    </w:p>
    <w:p w14:paraId="6E29EE8D">
      <w:pPr>
        <w:autoSpaceDE w:val="0"/>
        <w:autoSpaceDN w:val="0"/>
        <w:adjustRightInd w:val="0"/>
        <w:snapToGrid w:val="0"/>
        <w:spacing w:beforeLines="50" w:line="360" w:lineRule="auto"/>
        <w:ind w:firstLine="48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5.1.10 工程竣工验收合格后30天内，承包人必须及时</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按</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韶关市城市建设档案要求及发包人要求提交真实完整的竣工图纸等竣工资料，并由承包人负责汇总后，移交相关管理部门，且办理完成相关移交手续，否则每延迟１天，承包人向发包人支付2000元/天的违约金。同时，承包人向发包人提供完整的竣工图纸等竣工资料各8套（包括声像及电子文件），档案的制作费用由承包人承担。 </w:t>
      </w:r>
    </w:p>
    <w:p w14:paraId="149B13F6">
      <w:pPr>
        <w:autoSpaceDE w:val="0"/>
        <w:autoSpaceDN w:val="0"/>
        <w:adjustRightInd w:val="0"/>
        <w:snapToGrid w:val="0"/>
        <w:spacing w:beforeLines="50" w:line="360" w:lineRule="auto"/>
        <w:ind w:firstLine="48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5.1.11 如承包人不按合同内容及条款施工，或违反正常施工程序、施工工艺进行施工，或施工质量、安全、环保等达不到有关要求，或施工用材料设备不符合规定，发包人有权勒令承包人暂停施工，承包人必须停工整改，一切责任由承包人负责。</w:t>
      </w:r>
    </w:p>
    <w:p w14:paraId="7E28E6C9">
      <w:pPr>
        <w:autoSpaceDE w:val="0"/>
        <w:autoSpaceDN w:val="0"/>
        <w:adjustRightInd w:val="0"/>
        <w:snapToGrid w:val="0"/>
        <w:spacing w:beforeLines="50" w:line="360" w:lineRule="auto"/>
        <w:ind w:firstLine="48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5.1.12 承包人全体现场施工人员佩戴安全帽，全部施工人员佩戴工作牌。</w:t>
      </w:r>
    </w:p>
    <w:p w14:paraId="7D7117BB">
      <w:pPr>
        <w:autoSpaceDE w:val="0"/>
        <w:autoSpaceDN w:val="0"/>
        <w:adjustRightInd w:val="0"/>
        <w:snapToGrid w:val="0"/>
        <w:spacing w:beforeLines="50" w:line="360" w:lineRule="auto"/>
        <w:ind w:firstLine="48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5.1.13 未经发包人书面许可，承包人不得在施工现场布置任何与本项目工程无关的商业广告，否则发包人有权要求承包人予以拆除，承包人并向发包人每次支付违约金10000元。</w:t>
      </w:r>
    </w:p>
    <w:p w14:paraId="79971E51">
      <w:pPr>
        <w:autoSpaceDE w:val="0"/>
        <w:autoSpaceDN w:val="0"/>
        <w:adjustRightInd w:val="0"/>
        <w:snapToGrid w:val="0"/>
        <w:spacing w:beforeLines="50" w:line="360" w:lineRule="auto"/>
        <w:ind w:firstLine="48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5.1.14 承包人下列人员有以下情形的，承包人必须在24小时内将其调离，并应在3天内补充经发包人批准的相关合格人员。若承包人不及时履行，发包人则有权要求承包人按每人每次支付违约金1000元/天，具体情形如下：</w:t>
      </w:r>
    </w:p>
    <w:p w14:paraId="251DEF3C">
      <w:pPr>
        <w:autoSpaceDE w:val="0"/>
        <w:autoSpaceDN w:val="0"/>
        <w:adjustRightInd w:val="0"/>
        <w:snapToGrid w:val="0"/>
        <w:spacing w:line="360" w:lineRule="auto"/>
        <w:ind w:firstLine="240" w:firstLineChars="1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（1）发包人确认无法胜任工作者，包括：对分部分项工程施工进度及施工质量达不到合同要求负有责任的施工人员、不熟悉本专业的施工人员、工作责任心不强的施工人员等；</w:t>
      </w:r>
    </w:p>
    <w:p w14:paraId="25225CAB">
      <w:pPr>
        <w:autoSpaceDE w:val="0"/>
        <w:autoSpaceDN w:val="0"/>
        <w:adjustRightInd w:val="0"/>
        <w:snapToGrid w:val="0"/>
        <w:spacing w:line="360" w:lineRule="auto"/>
        <w:ind w:firstLine="240" w:firstLineChars="1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（2）不积极配合发包人、监理工程师正常工作人员；</w:t>
      </w:r>
    </w:p>
    <w:p w14:paraId="58CCD63D">
      <w:pPr>
        <w:autoSpaceDE w:val="0"/>
        <w:autoSpaceDN w:val="0"/>
        <w:adjustRightInd w:val="0"/>
        <w:snapToGrid w:val="0"/>
        <w:spacing w:line="360" w:lineRule="auto"/>
        <w:ind w:firstLine="240" w:firstLineChars="1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（3）违反承包人或发包人工地现场管理规定的人员；</w:t>
      </w:r>
    </w:p>
    <w:p w14:paraId="18699EC8">
      <w:pPr>
        <w:autoSpaceDE w:val="0"/>
        <w:autoSpaceDN w:val="0"/>
        <w:adjustRightInd w:val="0"/>
        <w:snapToGrid w:val="0"/>
        <w:spacing w:line="360" w:lineRule="auto"/>
        <w:ind w:firstLine="240" w:firstLineChars="1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（4）无证上岗人员（适用于按规定必须有上岗证的）；</w:t>
      </w:r>
    </w:p>
    <w:p w14:paraId="45C9954D">
      <w:pPr>
        <w:adjustRightInd w:val="0"/>
        <w:snapToGrid w:val="0"/>
        <w:spacing w:line="360" w:lineRule="auto"/>
        <w:ind w:firstLine="240" w:firstLineChars="1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（5）与本工程施工无关的人员。</w:t>
      </w:r>
    </w:p>
    <w:p w14:paraId="547442A6">
      <w:pPr>
        <w:adjustRightInd w:val="0"/>
        <w:snapToGrid w:val="0"/>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5.1.15 本工程禁止转包，若发包人和监理人认为承包人有转包行为，且经行政主管部门落实认定。发包人有权勒令承包人停工、驱逐其出现场，并提请建设行政主管部门对承包人按相关法律法规进行行政处罚；发包人还有权给予承包人履约评价为不合格，及有权拒绝承包人3年内参加发包人其它工程的投标；同时发包人有权单方面解除本合同。由此造成的损失均由承包人承担。 </w:t>
      </w:r>
    </w:p>
    <w:p w14:paraId="420F868C">
      <w:pPr>
        <w:spacing w:line="360" w:lineRule="auto"/>
        <w:ind w:firstLine="482" w:firstLineChars="200"/>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5.2 用工和劳务</w:t>
      </w:r>
    </w:p>
    <w:p w14:paraId="53F9D999">
      <w:pPr>
        <w:adjustRightInd w:val="0"/>
        <w:snapToGrid w:val="0"/>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5.2.1承包人不得从为发包人或工程师服务的人员中招雇任何人员。</w:t>
      </w:r>
    </w:p>
    <w:p w14:paraId="6049EFEE">
      <w:pPr>
        <w:adjustRightInd w:val="0"/>
        <w:snapToGrid w:val="0"/>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5.2.2承包人不得以任何理由延期支付雇员的工资和劳务分包人的劳务费用。对发包人支付的工程款，承包人须优先用于支付工人劳动报酬，确保不发生因拖欠工人工资、劳务费而停工、上访，或因此在媒体曝光等事件。如果发生因拖欠工人工资、劳务费而停工上访，或因此在媒体曝光等事件，视为承包人违约，发包人有权要求承包人支付违约金20万元/次。</w:t>
      </w:r>
    </w:p>
    <w:p w14:paraId="15350BFC">
      <w:pPr>
        <w:adjustRightInd w:val="0"/>
        <w:snapToGrid w:val="0"/>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5.2.3承包人应避免发包人因施工工人追索劳务费或工程款而将发包人诉至法庭或仲裁庭，否则一切责任由承包人承担，所发生的所有费用（包括但不限于诉讼费、调查费、律师费、赔偿费、违约金等）全部由承包人承担，发包人有权将此等费用从任何应支付的工程款中扣除或没收履约保函中的相应金额。</w:t>
      </w:r>
    </w:p>
    <w:p w14:paraId="7F9982F4">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5.2.4如果现场工程师需要了解承包人在现场的管理人员和各种劳务工种操作人员情况，以及工程师要求的有关承包人机械设备、主要施工机具、周转材料等的详细资料。承包人则应向工程师提交一份详细的统计表，其格式和提交的间隔时间应符合工程师的规定。</w:t>
      </w:r>
    </w:p>
    <w:p w14:paraId="6B734B08">
      <w:pPr>
        <w:spacing w:line="360" w:lineRule="auto"/>
        <w:ind w:firstLine="482" w:firstLineChars="200"/>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5.3施工准备工作</w:t>
      </w:r>
    </w:p>
    <w:p w14:paraId="7C8A4476">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5.3.1承包人应充分认识到本工程的特殊性和复杂性，施工前应切实做好各项准备工作，包括但不限于以下（1）、（2）、（3）的内容：</w:t>
      </w:r>
    </w:p>
    <w:p w14:paraId="1EBE6D0A">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（1）必须按要求完成临时设施建设和现场指挥部建设。</w:t>
      </w:r>
    </w:p>
    <w:p w14:paraId="449BE6AE">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（2）按照相关规定及发包人要求做好现场申报、宣传、走访、排查和解释工作。</w:t>
      </w:r>
    </w:p>
    <w:p w14:paraId="046F4D98">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（3）根据现场实际环境，做好防火、防盗、防坠落等各项措施，排除安全隐患，确保施工期间施工的安全。</w:t>
      </w:r>
    </w:p>
    <w:p w14:paraId="6E31B1D1">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5.3.2存在设计图纸疑问，必须在施工前30日提出，不得在施工时临时提出，也不得以此手段要求任何索赔，由此造成的一切损失由承包人承担。</w:t>
      </w:r>
    </w:p>
    <w:p w14:paraId="28D45533">
      <w:pPr>
        <w:spacing w:line="360" w:lineRule="auto"/>
        <w:ind w:left="480" w:leftChars="200"/>
        <w:rPr>
          <w:rFonts w:hint="eastAsia" w:asciiTheme="minorEastAsia" w:hAnsiTheme="minorEastAsia" w:eastAsiaTheme="minorEastAsia" w:cstheme="minorEastAsia"/>
          <w:strike/>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5.4工程变更</w:t>
      </w:r>
    </w:p>
    <w:p w14:paraId="2E8FE34A">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5.4.1承包人报送的变更价款，应实事求是，不得虚报数量，增加或变更的工程内容按招标文件中约定计价办法进行计量。若其报送金额超出建设工程造价管理部门或政府审核部门审定金额15%以上的，每次承包人向发包人支付人民币伍仟（￥5000）元的违约金，并在结算中予以扣除。</w:t>
      </w:r>
    </w:p>
    <w:p w14:paraId="45AC0939">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5.4.2承包人应充分考虑工程设计变更带来的风险。工程变更须按政府及发包人的有关规定、审批权限和审批程序进行审批，凡未经发包人审批同意，承包人擅自实施的，一律视为无效变更，结算时发包人不予承认。</w:t>
      </w:r>
    </w:p>
    <w:p w14:paraId="685E6856">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5.4.3承包人应按</w:t>
      </w:r>
      <w:r>
        <w:rPr>
          <w:rFonts w:hint="eastAsia" w:asciiTheme="minorEastAsia" w:hAnsiTheme="minorEastAsia" w:eastAsiaTheme="minorEastAsia" w:cstheme="minorEastAsia"/>
          <w:color w:val="000000" w:themeColor="text1"/>
          <w:szCs w:val="24"/>
          <w:highlight w:val="none"/>
          <w:lang w:eastAsia="zh-CN"/>
          <w14:textFill>
            <w14:solidFill>
              <w14:schemeClr w14:val="tx1"/>
            </w14:solidFill>
          </w14:textFill>
        </w:rPr>
        <w:t>翁源县</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人民政府办公室《关于加强市本级政府投资项目财政投资评审监督管理的实施意见》雄府办函[2023]5号的规定及时申报办理工程变更审批手续，并于申请当期工程款之前或一并申报完整的工程变更资料予以备案；凡不符合实施意见要求的变更均为无效变更。</w:t>
      </w:r>
    </w:p>
    <w:p w14:paraId="545F90FB">
      <w:pPr>
        <w:spacing w:line="360" w:lineRule="auto"/>
        <w:ind w:firstLine="482" w:firstLineChars="200"/>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5.5工程量计量的约定：</w:t>
      </w:r>
    </w:p>
    <w:p w14:paraId="79136E9A">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①承包人不得自行取消施工图或清单中的任何项目，发包人根据需要取消的未施工项目，经监理工程师核实后予以扣减，相应的措施费用予以扣减。</w:t>
      </w:r>
    </w:p>
    <w:p w14:paraId="1FAA1436">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②承包人自身原因造成的返工工程量，不予计量。</w:t>
      </w:r>
    </w:p>
    <w:p w14:paraId="6C7F2168">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③凡超出图纸范围又未经变更审批的工程量，不予计量。</w:t>
      </w:r>
    </w:p>
    <w:p w14:paraId="034C1B8E">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④不符合工程质量标准的工程量，不予计量。</w:t>
      </w:r>
    </w:p>
    <w:p w14:paraId="26315C27">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⑤发包人书面通知承包人取消的工程量，不予计量。</w:t>
      </w:r>
    </w:p>
    <w:p w14:paraId="788E8FBC">
      <w:pPr>
        <w:pStyle w:val="31"/>
        <w:spacing w:line="360" w:lineRule="auto"/>
        <w:jc w:val="left"/>
        <w:rPr>
          <w:rFonts w:hint="eastAsia" w:asciiTheme="minorEastAsia" w:hAnsiTheme="minorEastAsia" w:eastAsiaTheme="minorEastAsia" w:cstheme="minorEastAsia"/>
          <w:b w:val="0"/>
          <w:bCs/>
          <w:color w:val="000000" w:themeColor="text1"/>
          <w:highlight w:val="none"/>
          <w14:textFill>
            <w14:solidFill>
              <w14:schemeClr w14:val="tx1"/>
            </w14:solidFill>
          </w14:textFill>
        </w:rPr>
      </w:pPr>
      <w:r>
        <w:rPr>
          <w:rFonts w:hint="eastAsia" w:asciiTheme="minorEastAsia" w:hAnsiTheme="minorEastAsia" w:eastAsiaTheme="minorEastAsia" w:cstheme="minorEastAsia"/>
          <w:b w:val="0"/>
          <w:bCs/>
          <w:snapToGrid w:val="0"/>
          <w:color w:val="000000" w:themeColor="text1"/>
          <w:kern w:val="0"/>
          <w:sz w:val="24"/>
          <w:highlight w:val="none"/>
          <w14:textFill>
            <w14:solidFill>
              <w14:schemeClr w14:val="tx1"/>
            </w14:solidFill>
          </w14:textFill>
        </w:rPr>
        <w:t>承包人编制的工程量预算清单中的综合单价为按技术规范与技术要求完成一个规定计量单位的工程所需的人工费、材料费、机械使用费、管理费、利润并考虑风险因素。按技术规范、招标文件、设计图纸、国标《建设工程工程量清单计价标准》、省市现行计价规程等要求为完成一个规定计量单位的工程量所需的其他一切费用，承包人不得以综合单价和措施费所含工作内容缺漏项为由，向发包人提出任何变更工程价款的要求。</w:t>
      </w:r>
    </w:p>
    <w:p w14:paraId="2D48AA9F">
      <w:pPr>
        <w:spacing w:line="360" w:lineRule="auto"/>
        <w:ind w:firstLine="482" w:firstLineChars="200"/>
        <w:rPr>
          <w:rFonts w:hint="eastAsia" w:asciiTheme="minorEastAsia" w:hAnsiTheme="minorEastAsia" w:eastAsiaTheme="minorEastAsia" w:cstheme="minorEastAsia"/>
          <w:b/>
          <w:bCs/>
          <w:color w:val="000000" w:themeColor="text1"/>
          <w:szCs w:val="24"/>
          <w:highlight w:val="none"/>
          <w:u w:val="singl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5.6承包人对专业分包的总要求</w:t>
      </w:r>
    </w:p>
    <w:p w14:paraId="257110EF">
      <w:pPr>
        <w:adjustRightInd w:val="0"/>
        <w:snapToGrid w:val="0"/>
        <w:spacing w:beforeLines="50"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5.6.1承包人对本工程所有分包人的管理费和相互间的配合费用由承包人与分包人自行商定，已含在承包人的投标报价中，发包人不予任何补偿。承包人承担全部管理、组织、协调和配合工作。</w:t>
      </w:r>
    </w:p>
    <w:p w14:paraId="23F9743A">
      <w:pPr>
        <w:spacing w:line="360" w:lineRule="auto"/>
        <w:ind w:firstLine="495"/>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5.6.2若承包人的施工承包资质缺少本工程的专业承包资质，应按照有关规定事先报发包人和监理工程师审查并取得发包人批准后分包给具有相应资质的专业承包人（如果分包工程按规定需要进行招标的，由承包人在建设交易中心自行组织），由此产生的一切分包费用、配合费、招标费用以及其他可能存在风险所产生的费用都含在合同价中。承包人因上述情况提出的任何索赔或工期延长申请将不获批准。若承包人在施工过程中由于自身缺少本工程要求的专业承包资质，而又不能按规定时间发包给具有资质的专业承包企业或者分包企业不能按照设计要求实施专业工程的，由此造成工期延误，每延误1天承包人向发包人支付违约金3万元；给发包人造成质量损失的，承包人负责赔偿，同时发包人有权从合同价中按分包工程的审定预算价扣除，并委托其他施工单位实施，承包人须无条件与分包人签订合同。</w:t>
      </w:r>
    </w:p>
    <w:p w14:paraId="29EA8FC6">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5.6.3若同一分包工程的分包申请被否定二次，发包人有权就该分包工程采用单独招标形式确定分包人或直接指定分包人，承包人须无条件与分包人签订合同，并不得收取任何费用。同时发包人有权从合同价中按分包工程的审定预算价扣除，并委托其他施工单位实施，承包人须无条件与分包人签订合同。同时由此造成工期延误，每延误1天承包人向发包人支付违约金3万元；给发包人造成质量损失的，承包人负责赔偿。</w:t>
      </w:r>
    </w:p>
    <w:p w14:paraId="47050590">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5.6.4经工程师、发包人认可，承包人与分包人签订分包合同后的5天内，承包人必须将分包合同等相关资料按规定送建设行政主管部门及其他相关管理部门备案，分包合同与本施工合同发生抵触，以本施工合同为准。承包人对分包合同承担连带责任。分包合同不解除承包人任何义务与责任，承包人在分包现场应派驻监督管理人员，保证合同的履行。分包人的任何违约或疏忽，均视为承包人违约或疏忽。</w:t>
      </w:r>
    </w:p>
    <w:p w14:paraId="34549A2A">
      <w:pPr>
        <w:adjustRightInd w:val="0"/>
        <w:snapToGrid w:val="0"/>
        <w:spacing w:line="360" w:lineRule="auto"/>
        <w:ind w:firstLine="600" w:firstLineChars="25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5.6.5若发包人和监理均认定承包人有未经发包人同意的分包行为（无须承包人认可，除非承包人在发包人发出通知后3天内提出有效举证），发包人有权勒令其停工、驱逐出现场等，由此造成的损失均由承包人承担，同时承包人向发包人支付违约金30万元/每次。发包人有权提请建设行政主管部门对其作不良行为记录，有权给予承包人履约评价为不合格，同时发包人有权拒绝承包人3年内参加发包人其它工程的投标。 </w:t>
      </w:r>
    </w:p>
    <w:p w14:paraId="07DECECA">
      <w:pPr>
        <w:adjustRightInd w:val="0"/>
        <w:snapToGrid w:val="0"/>
        <w:spacing w:line="360" w:lineRule="auto"/>
        <w:ind w:firstLine="482" w:firstLineChars="200"/>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5.7 措施项目</w:t>
      </w:r>
    </w:p>
    <w:p w14:paraId="13162F67">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5.7.1现场安全文明设计必须满足国家、省市相关的要求，除此之外，尚应满足如下要求：</w:t>
      </w:r>
    </w:p>
    <w:p w14:paraId="4EAD3CF0">
      <w:pPr>
        <w:numPr>
          <w:ilvl w:val="0"/>
          <w:numId w:val="5"/>
        </w:num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安全、文明、临时设施要求：①主要管理人员与投标文件内填写的应一致；</w:t>
      </w:r>
    </w:p>
    <w:p w14:paraId="4C032665">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②施工现场应封闭施工。进出口要设大门、门卫和门卫制度。主进出口门头设企业标志，两侧要挂“七牌一图”，标牌应规范、整齐；</w:t>
      </w:r>
    </w:p>
    <w:p w14:paraId="0503B4F9">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③施工场地及生活区的所有临时道路，无污水、积水，地面要平整，路面满足施工及生活需要；排水要通畅，要有防止泥浆、污物堵塞排水管道的措施；按要求张挂各种安全标志牌和标语，设宣传栏，读报栏和黑板报并设有吸烟处；有绿化布置；</w:t>
      </w:r>
    </w:p>
    <w:p w14:paraId="6E058AF2">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④施工期间，承包人应随时根据现场情况对围挡进行维修和保护，确保施工界面达到韶关市、</w:t>
      </w:r>
      <w:r>
        <w:rPr>
          <w:rFonts w:hint="eastAsia" w:asciiTheme="minorEastAsia" w:hAnsiTheme="minorEastAsia" w:eastAsiaTheme="minorEastAsia" w:cstheme="minorEastAsia"/>
          <w:color w:val="000000" w:themeColor="text1"/>
          <w:szCs w:val="24"/>
          <w:highlight w:val="none"/>
          <w:lang w:eastAsia="zh-CN"/>
          <w14:textFill>
            <w14:solidFill>
              <w14:schemeClr w14:val="tx1"/>
            </w14:solidFill>
          </w14:textFill>
        </w:rPr>
        <w:t>翁源县</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和建设部有关规定的标准。为确保施工安全，防止无关人员进入现场，承包人必须对施工范围（特殊情况除外）进行全封闭围挡，并设置车辆进出口，若确因条件限制或环境要求无法实施封闭围挡，承包人应切实做好安全防护及安全通道，设置合理科学的安全警示标志。如果承包人开工后经监理工程师下达整改通知后3天内仍未按规定实施，发包人有权安排其他施工队伍进场作好封闭围挡，相应费用从本合同总价中的现场安全文明措施费中扣除。承包人承诺按发包人制定的此条款执行，不得有任何异议；</w:t>
      </w:r>
    </w:p>
    <w:p w14:paraId="04F3F899">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⑤施工场内，建筑材料、构件和料具要按施工现场平面图的布置要求堆放整齐，并挂物料名称，品种，规格等标牌，施工现场渣土和垃圾清运应当采取喷淋压尘装载；</w:t>
      </w:r>
    </w:p>
    <w:p w14:paraId="219C0041">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⑥承包人必须按照粤建安字〔2009〕20号文件要求，在开工前按有关规定要求，编制施工组织设计和施工现场消防设施平面布置图，按规定配备合格的消防器材等，满足施工现场所需的消防措施、制度和灭火器材，灭火器材配置、消防水源所有器材和设备应合理、合格，使用明火应有动火审批手续和动火监护，所发生的费用已含合同中；</w:t>
      </w:r>
    </w:p>
    <w:p w14:paraId="39188D2D">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⑦施工现场的施工区、 办公区、生活区应当分开设置，实行区划管理，临时办公和生活用房应采用轻钢板房，并要具有抗强台风的措施，确保安全；</w:t>
      </w:r>
    </w:p>
    <w:p w14:paraId="48307432">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⑧工地内要配备经培训的急救人员、保健医药箱、安全急救措施和急救器材，要开展卫生、防病自救、互救宣传教育；</w:t>
      </w:r>
    </w:p>
    <w:p w14:paraId="7B19D664">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⑨要建立治安保卫制度，责任要分解到人。承包人在施工过程中的施工人员应配备必要的劳动、安全保护用品并佩戴工作证，以及满足招标文件中其他相关规定。</w:t>
      </w:r>
    </w:p>
    <w:p w14:paraId="64D51957">
      <w:pPr>
        <w:numPr>
          <w:ilvl w:val="0"/>
          <w:numId w:val="5"/>
        </w:num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环保要求：承包人在施工过程中必须根据环保部门和城管部门的要求采取一切可能的措施做好环境保护和水土保持工作，有效控制施工现场的各种粉尘、废气、废弃物、噪音、振动、雨污水等对周边环境造成的污染和危害，避免对周围的管线、道路、构筑物、建筑物造成损坏，环境保护所采用的措施包括但不局限于：</w:t>
      </w:r>
    </w:p>
    <w:p w14:paraId="37ACB754">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①环境污染防治措施：禁止向周边和雨水口、河道倾倒一切废物，包括生产和生活污水、生产和生活垃圾等；生活废水要自建生活污水处理装置；生活垃圾要收集在有防雨棚和防地表径流冲刷的临时垃圾池内，及时集中、清运；堆土区表面进行覆盖；</w:t>
      </w:r>
    </w:p>
    <w:p w14:paraId="68353F33">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②大气污染防治措施：采用洒水湿法抑尘；重点时段防护如：对</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工地进出运输</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车辆进行冲洗；运送散装物料的机动车、存放散装物料的堆放场地必须用棚布遮盖，拌和设备尽量封闭；</w:t>
      </w:r>
    </w:p>
    <w:p w14:paraId="65FF53E1">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③施工噪音防护措施：施工噪音执行《建筑施工噪音标准限值》（GB12523-90）规定的有关标准，未经环保部门批准中午和夜间不得施工作业；对高噪音的施工机械或加工环节尽量安排在远离民居的地方；</w:t>
      </w:r>
    </w:p>
    <w:p w14:paraId="1FE44F34">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instrText xml:space="preserve"> = 4 \* GB3 </w:instrTex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4"/>
          <w:highlight w:val="none"/>
          <w:lang w:val="zh-CN"/>
          <w14:textFill>
            <w14:solidFill>
              <w14:schemeClr w14:val="tx1"/>
            </w14:solidFill>
          </w14:textFill>
        </w:rPr>
        <w:t>④</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针对固体废物可能产生的多种环境影响，须采取必要的措施分类收集，运至指定地点和按规定进行处理；</w:t>
      </w:r>
    </w:p>
    <w:p w14:paraId="270BA08C">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instrText xml:space="preserve"> = 5 \* GB3 </w:instrTex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4"/>
          <w:highlight w:val="none"/>
          <w:lang w:val="zh-CN"/>
          <w14:textFill>
            <w14:solidFill>
              <w14:schemeClr w14:val="tx1"/>
            </w14:solidFill>
          </w14:textFill>
        </w:rPr>
        <w:t>⑤</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制定建筑废弃物管理计划，达到绿色安全文明施工的要求；</w:t>
      </w:r>
    </w:p>
    <w:p w14:paraId="0C8116D0">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instrText xml:space="preserve"> = 6 \* GB3 </w:instrTex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4"/>
          <w:highlight w:val="none"/>
          <w:lang w:val="zh-CN"/>
          <w14:textFill>
            <w14:solidFill>
              <w14:schemeClr w14:val="tx1"/>
            </w14:solidFill>
          </w14:textFill>
        </w:rPr>
        <w:t>⑥</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红线范围内必须落实雨污分流，生活污水须经过化粪池处理后接入市政管网排放。</w:t>
      </w:r>
    </w:p>
    <w:p w14:paraId="44E46898">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由于承包人原因导致的投诉、索赔、指控，由承包人承担全部责任，同时造成工期延误的，发包人将按照合同条款相关约定进行索赔。</w:t>
      </w:r>
    </w:p>
    <w:p w14:paraId="612A7679">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以上须采取的所有措施费用及相关的费用已含在合同价中。</w:t>
      </w:r>
    </w:p>
    <w:p w14:paraId="249EAFDD">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第三、承包人须按建设主管部门的相关规定，在工地安装视频监控系统，覆盖全场，保证正常使用。采取相应保卫措施防止出现财、物被盗行为，相关费用已包括在安全文明施工措施费中，发包人不再另行支付此类费用。</w:t>
      </w:r>
    </w:p>
    <w:p w14:paraId="6DB13838">
      <w:pPr>
        <w:spacing w:line="360" w:lineRule="auto"/>
        <w:ind w:firstLine="480" w:firstLineChars="200"/>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t>5.7.2已完工程及设备保护费</w:t>
      </w:r>
    </w:p>
    <w:p w14:paraId="513D2F55">
      <w:pPr>
        <w:spacing w:line="360" w:lineRule="auto"/>
        <w:ind w:firstLine="480" w:firstLineChars="200"/>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①承包人应充分考虑本工程的</w:t>
      </w:r>
      <w:r>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t>已完工程及设备保护，其费用已包含在合同价内，结算不再调整；</w:t>
      </w:r>
    </w:p>
    <w:p w14:paraId="14B897B8">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②承包人应充分考虑施工影响范围内的地上、地下设施，建筑物的临时保护等措施，</w:t>
      </w:r>
      <w:r>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t>以及</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对周围建筑物、周围道路管线的沉降和位移按照施工规范进行质量、安全性检查，对于现场及周边临近的可能发生的危险情况及时向监理工程师或主管部门报告，在施工现场根据相关要求准备应急物资并及时采取有效措施，保护费用已包含在合同价中，结算时不再调整。</w:t>
      </w:r>
    </w:p>
    <w:p w14:paraId="68B88870">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5.7.3施工降排水</w:t>
      </w:r>
    </w:p>
    <w:p w14:paraId="1D7F6DE3">
      <w:pPr>
        <w:spacing w:line="360" w:lineRule="auto"/>
        <w:ind w:firstLine="480" w:firstLineChars="200"/>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承包人应按照地质报告、设计图纸要求、降水水位要求、现场实际和工程经验等对降排水进行深化设计、维护和加固，其深化应经过设计单位的审批、监理工程师和发包人的同意，施工降排水应包括设计、施工、加固、维护直至竣工的全部施工和抽排水工作，同时</w:t>
      </w:r>
      <w:r>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t>保证护栏的安全性。</w:t>
      </w:r>
    </w:p>
    <w:p w14:paraId="70DCED58">
      <w:pPr>
        <w:spacing w:line="360" w:lineRule="auto"/>
        <w:ind w:firstLine="480" w:firstLineChars="200"/>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t xml:space="preserve">本工程施工期间地表及地下水采用有组织的排放，尤其是主体结构工程施工期间，应确保满足低于设计抗浮水位要求并满足防水工程需要，采取的施工排水、降水应确保周边建（构）筑物的安全等有效措施。 </w:t>
      </w:r>
    </w:p>
    <w:p w14:paraId="338A19DB">
      <w:pPr>
        <w:spacing w:line="360" w:lineRule="auto"/>
        <w:ind w:firstLine="480" w:firstLineChars="200"/>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t>承包人应综合考虑施工期间除不可抗力原因外的气候条件造成的现场工程量的增加及其它风险（如发包人提供的地质报告等相关资料可能存在与实际不符）。</w:t>
      </w:r>
    </w:p>
    <w:p w14:paraId="7B493697">
      <w:pPr>
        <w:spacing w:line="360" w:lineRule="auto"/>
        <w:ind w:firstLine="480" w:firstLineChars="200"/>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t>雨季施工随时与气象部门保持联系，在大雨、台风到来之前按有关主管部门规定的防洪防汛应急措施等。</w:t>
      </w:r>
    </w:p>
    <w:p w14:paraId="644A43F3">
      <w:pPr>
        <w:spacing w:line="360" w:lineRule="auto"/>
        <w:ind w:firstLine="480" w:firstLineChars="200"/>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t>以上有关费用已含在合同价中，结算不作调整。</w:t>
      </w:r>
    </w:p>
    <w:p w14:paraId="1A5E0D59">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5.7.4水土保持</w:t>
      </w:r>
    </w:p>
    <w:p w14:paraId="10C196AB">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承包人必须按照水土保持方案以及监理和检测单位的要求，采取设置排水沟、排洪沟、沉砂池、砂袋、植草等水土保持和防洪排涝措施，优化挖方填方，对土石方合理利用；对已完工土石方工程裸露表面，及时采取防护措施、严格控制水土流失，实现水土流失防治目标；及时做好排水导流工作，使地表径流和工程用水经沉砂池沉降后方可排放，沉砂池要定期清理，减轻水流对裸露地表的冲刷，防止泥砂流出对周边区域造成危害；临时堆土要全面覆盖，减少粉尘及雨水冲刷，堆土清理后或其他裸露地要采取恢复植被或其他防止水土流失措施。</w:t>
      </w:r>
    </w:p>
    <w:p w14:paraId="3C9B8928">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5.7.5施工用水、用电等</w:t>
      </w:r>
    </w:p>
    <w:p w14:paraId="47630043">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（1）承包人根据现场条件和工程情况，接通生活和生产区场内外的给水、排水、施工用电、通讯等工作，</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同时承包人应自备充足的发电机，确保施工过程中的水、电安全稳定供应，结算费用不作调整。</w:t>
      </w:r>
    </w:p>
    <w:p w14:paraId="07622A2A">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（2）所有施工范围内涉及的清理、外运全部拆除物与垃圾，以及场地平整。</w:t>
      </w:r>
    </w:p>
    <w:p w14:paraId="7EB238C3">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（3）为建设单位、监理单位提供施工现场临时办公用房和办公必须品，并开通通讯线路。</w:t>
      </w:r>
    </w:p>
    <w:p w14:paraId="2741F93D">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（4）合同工期和顺延工期内临时用地（含占道）、房屋租赁的手续费和租金。</w:t>
      </w:r>
    </w:p>
    <w:p w14:paraId="3DEFAC9F">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承包人在投标报价时应充分考虑施工场地现状与地形图不符的风险，谨慎报价，该部分报价为包干费用，承包人不得以任何理由提出增加费用。</w:t>
      </w:r>
    </w:p>
    <w:p w14:paraId="360054AC">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5.7.6与其他工程的衔接、管理与配合费</w:t>
      </w:r>
    </w:p>
    <w:p w14:paraId="4D2427DF">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由承包人负责工程衔接各专业工程进度安排、施工现场管理协调等工作。对安全、文明、施工、运输、仓储、住宿统筹管理；确定合理的工序和进度计划、安排作业面与通道、提供场地；工程完工后的整体调试、验收和竣工资料整理；按专业设计图纸要求配合做好埋件、预留洞、预埋管等工作；提供脚手架供专业承包人使用；提供照明、临时水电等设施。其费用在对其他工程的衔接、管理和配合费用中报价，结算不做调整。</w:t>
      </w:r>
    </w:p>
    <w:p w14:paraId="3EBC3A50">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5.7.7因承包人原因而引起的罚款、索赔和指控等责任由承包人自行承担。</w:t>
      </w:r>
    </w:p>
    <w:p w14:paraId="17707A07">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5.7.8工程完工后需要恢复的建筑物、构筑物，承包人必须及时恢复，并使监理工程师和发包人满意，满足政府管理部门的规定和要求。</w:t>
      </w:r>
    </w:p>
    <w:p w14:paraId="630CDAAB">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5.7.9承包人必须按有关法规、标准、规定或发包人的合理要求实施有关措施项目，若以上设施或措施达不到要求，工程师发出指令后，承包人应按照要求予以整改，其费用由承包人承担。承包人拒绝整改的，发包人有权要求承包人支付违约金50万元，并将其列入履约考评不良记录，同时发包人有权委托第三方实施，所有费用由承包人承担。由于承包人原因导致的投诉、索赔、指控，由承包人承担全部责任，同时造成工期延误的，发包人将按照合同条款相关约定进行索赔。</w:t>
      </w:r>
    </w:p>
    <w:p w14:paraId="40B7CBED">
      <w:pPr>
        <w:spacing w:line="360" w:lineRule="auto"/>
        <w:ind w:firstLine="482" w:firstLineChars="200"/>
        <w:rPr>
          <w:rFonts w:hint="eastAsia" w:asciiTheme="minorEastAsia" w:hAnsiTheme="minorEastAsia" w:eastAsiaTheme="minorEastAsia" w:cstheme="minorEastAsia"/>
          <w:b/>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5.7.10承包人必须按照《建设工程安全生产管理条例》和《危险性较大的分部分项工程安全管理办法》进行施工，应按有关规定提供相应的防护措施且在施工前编制危险性较大分部分项工程的专项施工方案，有关费用已含在合同价中。因承包人原因，导致的安全事故，由承包人承担相应责任及发生的费用。</w:t>
      </w:r>
    </w:p>
    <w:p w14:paraId="49618159">
      <w:pPr>
        <w:spacing w:line="360" w:lineRule="auto"/>
        <w:ind w:firstLine="480" w:firstLineChars="200"/>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5.7.11承包人必须严格按照相关规定和安全规范等，以及设计图纸，结合实际情况对施工作业面进行处理，以保证各施工机械有效支撑，确保其施工安全和正常使用。任何对支护的修改必须经设计单位、发包人和监理工程师同意，方可实施，同时承包人必须对周边建筑物、周边道路管线的沉降和位移进行巡查和跟踪，如因承包人的措施无法满足施工安全、正常施工的要求，有关的责任、损失、补救费用全部由承包人自行承担。</w:t>
      </w:r>
    </w:p>
    <w:p w14:paraId="60884C1B">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5.7.12根据广东省、韶关市、</w:t>
      </w:r>
      <w:r>
        <w:rPr>
          <w:rFonts w:hint="eastAsia" w:asciiTheme="minorEastAsia" w:hAnsiTheme="minorEastAsia" w:eastAsiaTheme="minorEastAsia" w:cstheme="minorEastAsia"/>
          <w:color w:val="000000" w:themeColor="text1"/>
          <w:szCs w:val="24"/>
          <w:highlight w:val="none"/>
          <w:lang w:eastAsia="zh-CN"/>
          <w14:textFill>
            <w14:solidFill>
              <w14:schemeClr w14:val="tx1"/>
            </w14:solidFill>
          </w14:textFill>
        </w:rPr>
        <w:t>翁源县</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建设主管部门的相关文件规定，承包人须在工程施工现场安装使用视频监控系统、工人实名制系统并接入至</w:t>
      </w:r>
      <w:r>
        <w:rPr>
          <w:rFonts w:hint="eastAsia" w:asciiTheme="minorEastAsia" w:hAnsiTheme="minorEastAsia" w:eastAsiaTheme="minorEastAsia" w:cstheme="minorEastAsia"/>
          <w:color w:val="000000" w:themeColor="text1"/>
          <w:szCs w:val="24"/>
          <w:highlight w:val="none"/>
          <w:lang w:eastAsia="zh-CN"/>
          <w14:textFill>
            <w14:solidFill>
              <w14:schemeClr w14:val="tx1"/>
            </w14:solidFill>
          </w14:textFill>
        </w:rPr>
        <w:t>翁源县</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住建主管部门建筑工地视频监控专网及发包人视频监控系统。</w:t>
      </w:r>
    </w:p>
    <w:p w14:paraId="29034EC0">
      <w:pPr>
        <w:spacing w:line="360" w:lineRule="auto"/>
        <w:ind w:firstLine="480" w:firstLineChars="200"/>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t>以上措施项目有关费用已含在合同价中，结算不作调整。</w:t>
      </w:r>
    </w:p>
    <w:p w14:paraId="29DA001C">
      <w:pPr>
        <w:adjustRightInd w:val="0"/>
        <w:snapToGrid w:val="0"/>
        <w:spacing w:line="360" w:lineRule="auto"/>
        <w:ind w:firstLine="482" w:firstLineChars="200"/>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5.8 解除合同后续工程的补充约定</w:t>
      </w:r>
    </w:p>
    <w:p w14:paraId="4F0D30C1">
      <w:pPr>
        <w:adjustRightInd w:val="0"/>
        <w:snapToGrid w:val="0"/>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5.8.1发包人向承包人发出解除或部分解除合同通知到达后，本合同即解除或部分解除，承包人必须在3日内停止施工，5日内将现场施工材料设备、工程用机具设备和人员等撤出施工场地，完成现场和有关资料的移交，并于完成交接工作当日内离场。承包人应保护好已完工程、已购设备材料，保证所移交的资料齐全完整。承包人无特殊原因未在规定期限内移交、离场或移交完整资料，发包人有权处理其留在现场的材料、设备和其他物件，处理费用由承包人承担。</w:t>
      </w:r>
    </w:p>
    <w:p w14:paraId="6A4FB4C9">
      <w:pPr>
        <w:adjustRightInd w:val="0"/>
        <w:snapToGrid w:val="0"/>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对于部分解除合同的情形，承包人拒不履行配合，发包人有权全部解除合同，如果引致发包人工期延误和其他方面的损失，发包人将要求承包人赔偿有关损失。发包人在发出解除合同的通知后，发包人即可清理现场、委托重新招标或委托新的承包人承接该工程。同时，承包人不得影响或阻碍新的承包人办理进场手续和相关工作。</w:t>
      </w:r>
    </w:p>
    <w:p w14:paraId="48A9536C">
      <w:pPr>
        <w:spacing w:line="360" w:lineRule="auto"/>
        <w:ind w:left="-2" w:leftChars="-1" w:firstLine="424" w:firstLineChars="177"/>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t>5.8.2由于承包人原因导致的合同解除或部分合同解除，承包人已经订货的材料、设备，以及已进场尚未安装的材料设备均由承包人负责退货或解除订货合同，不能退还的货款、定金、订金，因退货和解除订货合同发生的费用以及因无法退货造成的损失均由承包人承担，发包人不予补偿。</w:t>
      </w:r>
    </w:p>
    <w:p w14:paraId="04078CE5">
      <w:pPr>
        <w:spacing w:line="360" w:lineRule="auto"/>
        <w:ind w:left="-2" w:leftChars="-1" w:firstLine="424" w:firstLineChars="177"/>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承包人没有正当合理的理由中途退场，除扣除合同价款20％作为履约违约金外，承包人还须承当因其无故中途退场所造成的全部损失责任。</w:t>
      </w:r>
    </w:p>
    <w:p w14:paraId="33730160">
      <w:pPr>
        <w:spacing w:line="360" w:lineRule="auto"/>
        <w:ind w:left="-2" w:leftChars="-1" w:firstLine="424" w:firstLineChars="177"/>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t>5.8.3非承包人原因导致的合同解除或部分合同解除，承包人已经签订订货合同，但尚未进场的材料、设备；或虽已进场但发包人或监理工程师验货不合格的，解除订货合同或退货发生的费用以及因无法退货造成的损失均由承包人承担，发包人不予补偿。</w:t>
      </w:r>
    </w:p>
    <w:p w14:paraId="26F44C16">
      <w:pPr>
        <w:spacing w:line="360" w:lineRule="auto"/>
        <w:ind w:left="-2" w:leftChars="-1" w:firstLine="424" w:firstLineChars="177"/>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t>经发包人或监理工程验货、签收，且已进场的材料设备但尚未安装的材料设备，费用由发包人承担。数量按发包人、监理工程师审核确认的数量；原投标设备材料表中已列明单价，单价按投标报价计算，原投标设备材料表中未列明单价的，按预算审定价中的材料设备价*（1－下浮率）计算。</w:t>
      </w:r>
    </w:p>
    <w:p w14:paraId="0FDD36AB">
      <w:pPr>
        <w:spacing w:line="360" w:lineRule="auto"/>
        <w:ind w:left="-2" w:leftChars="-1" w:firstLine="424" w:firstLineChars="177"/>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t>5.8.4承包人的已完工程结算时间由发包人确定。按本合同结算条款约定办理结算，同时必须按合同约定扣除违约金、赔偿金。</w:t>
      </w:r>
    </w:p>
    <w:p w14:paraId="59F8E06D">
      <w:pPr>
        <w:spacing w:line="360" w:lineRule="auto"/>
        <w:ind w:left="-2" w:leftChars="-1" w:firstLine="424" w:firstLineChars="177"/>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t>5.8.5因承包人原因导致解除合同，发包人所遭受的一切损失，由承包人承担全部赔偿责任。</w:t>
      </w:r>
    </w:p>
    <w:p w14:paraId="2A2FF75D">
      <w:pPr>
        <w:adjustRightInd w:val="0"/>
        <w:snapToGrid w:val="0"/>
        <w:spacing w:line="360" w:lineRule="auto"/>
        <w:ind w:firstLine="482" w:firstLineChars="200"/>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5.9承包人违约责任追究补充细则</w:t>
      </w:r>
    </w:p>
    <w:p w14:paraId="26E57CEB">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5.9.1工程质量达不到合同约定的质量标准承包人违约责任：如未达到合格标准，除则按合同价款的</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1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%向发包人返纳质量违约金外，发包人有权利选择以下方式返工或修复，承包人不得异议：</w:t>
      </w:r>
    </w:p>
    <w:p w14:paraId="3BEBA97D">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（1）发包人要求承包人在监理工程师和发包人要求的合理时间内，完成质量不合格工程的返工或修复工作，直至合同约定的质量标准，由此造成的工期延误和所有费用，全部由承包人承担；</w:t>
      </w:r>
    </w:p>
    <w:p w14:paraId="399AE79D">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（2）发包人直接委托其它承包人完成质量不合格部分工程的返工或修复工作，由此造成的工期延误和所有费用，全部由承包人承担。</w:t>
      </w:r>
    </w:p>
    <w:p w14:paraId="48C06EDE">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（3）无论采取以上何种方式返工或修复，发包人均有权提请建设行政主管部门对其作不良行为记录，有权给予承包人履约评价为不合格，同时发包人有权拒绝承包人3年内参加发包人其它工程的投标。</w:t>
      </w:r>
    </w:p>
    <w:p w14:paraId="21677C8A">
      <w:pPr>
        <w:adjustRightInd w:val="0"/>
        <w:snapToGrid w:val="0"/>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5.9.2承包人违反本合同的约定，应当按约定向发包人承担相应的违约责任。本合同违约责任形式按以下情况分类：</w:t>
      </w:r>
    </w:p>
    <w:p w14:paraId="4BB819E2">
      <w:pPr>
        <w:adjustRightInd w:val="0"/>
        <w:snapToGrid w:val="0"/>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（1） 限期改正。承包人未履行或未按时履行或未按质履行义务时，发包人有权提出书面警告，承包人必须在发包人限定的时间内履行义务。每一次书面警告扣除违约金人民币壹仟元（￥1000）。</w:t>
      </w:r>
    </w:p>
    <w:p w14:paraId="4CF36AC1">
      <w:pPr>
        <w:adjustRightInd w:val="0"/>
        <w:snapToGrid w:val="0"/>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（2）一般违约责任。承包人按本合同约定应当承担一般违约责任时，在发包人提出书面警告或通知后扣除违约金人民币伍仟元（￥5000）/次。合同另有约定的除外。</w:t>
      </w:r>
    </w:p>
    <w:p w14:paraId="6D4E416B">
      <w:pPr>
        <w:adjustRightInd w:val="0"/>
        <w:snapToGrid w:val="0"/>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（3）严重违约责任。承包人按本合同约定应当承担严重违约责任时，在发包人提出书面警告或通知后扣除违约金伍万元（￥50000）/次。合同另有约定的除外。</w:t>
      </w:r>
    </w:p>
    <w:p w14:paraId="53B6DDC5">
      <w:pPr>
        <w:adjustRightInd w:val="0"/>
        <w:snapToGrid w:val="0"/>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（4）部分解除合同。三次受到发包人书面警告，发包人有权直接解除合同或部分解除合同，按承包人违约解除合同的条款执行。</w:t>
      </w:r>
    </w:p>
    <w:p w14:paraId="1D4B96A2">
      <w:pPr>
        <w:adjustRightInd w:val="0"/>
        <w:snapToGrid w:val="0"/>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5.9.3三次限期改正责任相当于一次一般违约责任，三次一般违约责任相当于一次严重违约责任；累计三次严重违约责任，发包人有权单方部分解除合同；累计五次严重违约责任，发包人有权全部解除合同。合同另有约定的除外。</w:t>
      </w:r>
    </w:p>
    <w:p w14:paraId="03750A85">
      <w:pPr>
        <w:adjustRightInd w:val="0"/>
        <w:snapToGrid w:val="0"/>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5.9.4承包人未按合同要求建立组织架构、派驻项目管理人员和投入设备，承包人必须按发包人要求限期整改，并承担相应违约责任。具体约定为：</w:t>
      </w:r>
    </w:p>
    <w:p w14:paraId="0606BC6D">
      <w:pPr>
        <w:adjustRightInd w:val="0"/>
        <w:snapToGrid w:val="0"/>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1）在中标通知书发出后3日内，承包人承诺的项目技术负责人（总工）不到位，或到位后又离开，造成该岗位空缺。发包人一旦发现，将要求承包人做出书面解释并保证限期到位，同时将承担一般违约责任1次；若承包人拒不配合，未在发包人提出限期改正的期限内进行整改的，应承担严重违约责任1次，发包人有权单方提出解除合同，并要求承包人承担由此造成的一切损失。</w:t>
      </w:r>
    </w:p>
    <w:p w14:paraId="7DC7B212">
      <w:pPr>
        <w:adjustRightInd w:val="0"/>
        <w:snapToGrid w:val="0"/>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2）在规定的时间内施工人员和设备进场后3日内，承包人在投标文件中承诺的其他主要管理人员未能足额到位，或到位后又离开，造成该岗位空缺，以及未按承诺依时、足额投入有关设备，发包人一旦发现将要求承包人做出书面解释并保证人员、设备限期到位。上述情况每发生1次，承包人应承担限期改正责任1次。如果承包人拒不配合，未在发包人提出限期改正的期限内进行整改的，承包人应承担一般违约责任1次，连续二次书面通知整改拒不配合的，承包人应承担严重违约责任1次。</w:t>
      </w:r>
    </w:p>
    <w:p w14:paraId="05FB3CB3">
      <w:pPr>
        <w:adjustRightInd w:val="0"/>
        <w:snapToGrid w:val="0"/>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5.9.5承包人如需要调换除项目经理外的其他主要管理人员，必须事先征得发包人书面同意。如承包人未经发包人书面同意，擅自调换项目主要管理人员，除必须限期改正外，承包人必须承担严重违约责任，发包人有权暂停支付工程款，并保留索赔的权利。</w:t>
      </w:r>
    </w:p>
    <w:p w14:paraId="7B968B14">
      <w:pPr>
        <w:adjustRightInd w:val="0"/>
        <w:snapToGrid w:val="0"/>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5.9.6除项目经理外的其他主要管理人员需离开施工现场3日以上（含3日）需报发包人批准。在其请假离开的时间段内应书面委托其他驻场管理人员全权代表其行使相应职权。否则，每违约一次，承包人应当承担限期整改责任1次。在国家法定节假日期间，承包人应做好管理人员的轮休，并保证现场管理人员不少于3名。在工程实施期间，承包人应对现场主要管理人员进行考勤，并在每月1日前将前一月考勤表报送甲方审核。现场主要管理人员出勤天数均不得少于22天，若少于22天将按每缺勤一天扣减工程费用叁仟元（￥3000）/每人次处理。</w:t>
      </w:r>
    </w:p>
    <w:p w14:paraId="6E0606B3">
      <w:pPr>
        <w:adjustRightInd w:val="0"/>
        <w:snapToGrid w:val="0"/>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5.9.7承包人项目经理和主要管理人员的考勤实行实名制打卡，承包人项目经理和主要管理人员的考勤若发现有弄虚作假行为，发现一次，承包人应承担一般违约责任1次。</w:t>
      </w:r>
    </w:p>
    <w:p w14:paraId="4EA641E7">
      <w:pPr>
        <w:adjustRightInd w:val="0"/>
        <w:snapToGrid w:val="0"/>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5.9.8对于难以胜任工作的承包人管理人员和主要操作技术人员，发包人有权要求承包人进行更换，直至发包人满意为止，且更换人员应在接到书面通知后的3天内到位。</w:t>
      </w:r>
    </w:p>
    <w:p w14:paraId="23E11B98">
      <w:pPr>
        <w:adjustRightInd w:val="0"/>
        <w:snapToGrid w:val="0"/>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5.9.9承包人未按招标文件及合同要求按期提交发包人工程指挥部所需要的各项设施，应承担限期整改责任1次，若限期整改仍不提交，应承担一般违约责任1次，发包人有权自行安排临时设施的建设，所有费用由承包人工程费用中扣减。</w:t>
      </w:r>
    </w:p>
    <w:p w14:paraId="7773082E">
      <w:pPr>
        <w:adjustRightInd w:val="0"/>
        <w:snapToGrid w:val="0"/>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5.9.10承包人未按合同及投标书所作的承诺投入机械、设备、材料等，被监理工程师或发包人发现后，承包人除必须限期改正外，应承担限期改正责任1次。</w:t>
      </w:r>
    </w:p>
    <w:p w14:paraId="488EE77B">
      <w:pPr>
        <w:adjustRightInd w:val="0"/>
        <w:snapToGrid w:val="0"/>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5.9.11工程承包人每次的进场材料，若出现不合格材料使用于工程上并造成质量缺陷，承包人必须承担一般违约责任1次。若出现质量事故或经济损失一次人民币壹拾万元（￥100,000）以上的，必须承担严重违约责任1次。造成重大质量安全事故（按国家安监部门规定界定），发包人视情况部分或全部解除合同。同时，发包人有权追究当事人和承包人的法律责任。</w:t>
      </w:r>
    </w:p>
    <w:p w14:paraId="62066166">
      <w:pPr>
        <w:adjustRightInd w:val="0"/>
        <w:snapToGrid w:val="0"/>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5.9.12承包人的工程质量，经监理工程师、发包人或工程质量监督机构抽查，发现质量有不合格、或未按设计要求和有关规范进行施工的，每发现一处承包人应承担一般违约责任1次；出现大面积质量不合格（占比达30％及以上），每发现一处承包人应承担严重违约责任1次，发包人将情况通报纪检监察和建设行政主管部门，必要时申请调查责任相关人员，且承包人应赔偿发包人的经济损失。</w:t>
      </w:r>
    </w:p>
    <w:p w14:paraId="64C9F866">
      <w:pPr>
        <w:adjustRightInd w:val="0"/>
        <w:snapToGrid w:val="0"/>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5.9.13承包人没有按投标承诺和有关规定做好文明施工措施及安全生产，当发生包括但不限于以下情况：工人不统一着装、施工临时材料如脚手架、泥网等过于陈旧、现场垃圾未安排专人清理、现场排水不畅污水横流、交通组织不力现场交通严重拥挤、材料设备堆放混乱、安全防护不符合要求、既有管线被破坏、野蛮施工造成周边环境破坏及警示安全标志不齐等，被监理工程师、发包人发现后，承包人除必须限期改正外， 每发生一次（或一处），承包人必须承担限期改正责任1次。由此而被上级主管部门通报批评、被新闻媒体曝光的，承包人应承担一般违约责任1次；若由此发生安全生产事故，承包人应承担严重违约责任1次；造成严重安全事故等情节严重的，发包人有权部分或全部解除合同。</w:t>
      </w:r>
    </w:p>
    <w:p w14:paraId="0F88D76C">
      <w:pPr>
        <w:adjustRightInd w:val="0"/>
        <w:snapToGrid w:val="0"/>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5.9.14因承包人原因造成工程投资增加的，承包人应赔偿发包人由此遭受的实际损失，情况严重时发包人有权单方解除本施工合同。</w:t>
      </w:r>
    </w:p>
    <w:p w14:paraId="13CBB292">
      <w:pPr>
        <w:adjustRightInd w:val="0"/>
        <w:snapToGrid w:val="0"/>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1）若因承包人未按设计规定和施工技术规程要求认真做好施工现场的临时降水、排水（尤其是雨季施工期间）工作导致需要进行地基处理、边坡加固等情况时，每发生一处承包人应负严重违约责任1次，由此造成的工程投资增加由承包人承担。</w:t>
      </w:r>
    </w:p>
    <w:p w14:paraId="4333D635">
      <w:pPr>
        <w:adjustRightInd w:val="0"/>
        <w:snapToGrid w:val="0"/>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（2）若承包人未严格按施工进度计划要求组织施工造成工期拖延，导致一些工程项目被迫进入雨季施工而引起投资增加的，承包人应承担严重违约责任1次，由此造成的投资增加由承包人负责。</w:t>
      </w:r>
    </w:p>
    <w:p w14:paraId="2E36C0A7">
      <w:pPr>
        <w:adjustRightInd w:val="0"/>
        <w:snapToGrid w:val="0"/>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（3）承包人未经监理工程师、发包人同意擅自改变施工技术方案和工艺，造成投资增加的，应承担严重违约责任1次，由此造成的投资增加由承包人负责。</w:t>
      </w:r>
    </w:p>
    <w:p w14:paraId="052AD3E2">
      <w:pPr>
        <w:adjustRightInd w:val="0"/>
        <w:snapToGrid w:val="0"/>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4）承包人未拟定临时设施方案并经监理工程师、发包人审批同意擅自实施临时设施建设，若此临时设施建设经核实无法达到合同规定的要求，承包人应承担限期整改责任1次，若承包人拒绝限期整改应当承担一般违约责任1次，同时发包人有权按实际发生重新核定安全文明施工措施费。</w:t>
      </w:r>
    </w:p>
    <w:p w14:paraId="505808AD">
      <w:pPr>
        <w:adjustRightInd w:val="0"/>
        <w:snapToGrid w:val="0"/>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（5）承包人提供虚假情况或制造现场假象造成设计变更及投资增加时，经监理公司、发包人发现，承包人应承担严重违约责任1次，造成的投资增加由承包人承担。 </w:t>
      </w:r>
    </w:p>
    <w:p w14:paraId="1CDAB87C">
      <w:pPr>
        <w:adjustRightInd w:val="0"/>
        <w:snapToGrid w:val="0"/>
        <w:spacing w:line="360" w:lineRule="auto"/>
        <w:ind w:firstLine="482"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5.10、</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发包人将根据承包人的投标文件，严格考核施工项目管理人员的日常到位情况，并定期按照发包人的合同履约评价管理办法、质量安全评估管理办法对承包人的合同履行情况进行评价和评估，评价和评估内容包含人员到位情况、服务配合程度、工程质量、安全、项目后期服务及信用评价结果、评估结果的运用等。履约评价为不合格的，发包人有权拒绝承包人3年内参加发包人任何其它工程的投标，有权报请建设行政主管部门对其作不良行为记录。</w:t>
      </w:r>
    </w:p>
    <w:p w14:paraId="05B51DDF">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 xml:space="preserve"> 5.11 承包人提供竣工资料的约定：</w:t>
      </w:r>
    </w:p>
    <w:p w14:paraId="2C6565E7">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本工程具备竣工验收条件后14天内，承包人按国家建设部、广东省及</w:t>
      </w:r>
      <w:r>
        <w:rPr>
          <w:rFonts w:hint="eastAsia" w:asciiTheme="minorEastAsia" w:hAnsiTheme="minorEastAsia" w:eastAsiaTheme="minorEastAsia" w:cstheme="minorEastAsia"/>
          <w:color w:val="000000" w:themeColor="text1"/>
          <w:szCs w:val="24"/>
          <w:highlight w:val="none"/>
          <w:lang w:eastAsia="zh-CN"/>
          <w14:textFill>
            <w14:solidFill>
              <w14:schemeClr w14:val="tx1"/>
            </w14:solidFill>
          </w14:textFill>
        </w:rPr>
        <w:t>翁源县</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的有关规定和发包人的要求编制工程竣工资料（包括施工原始记录、照片等资料），向工程师提供完整竣工验收资料8套、竣工验收报告和相应的声像、电子文件，并由承包人及时向主管部门和监督部门备案。工程师收到竣工验收资料后，应在10天内审核，若不符合要求，工程师可提出整改意见。承包人按要求整改合格后报工程师，工程师在整改验收合格后10天内应组织有关单位进行初步验收，并在10天内对工程质量予以认可或提出再次整改意见。承包人按要求再次整改，并承担由其自身原因造成的整改费用。编制竣工图、竣工资料的费用已含在合同价中。</w:t>
      </w:r>
    </w:p>
    <w:p w14:paraId="377272C5">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竣工验收资料包括全部工程（包括项目单位发包项目及其他分包工程）的竣工图纸和竣工资料，以及经确认的深化设计图纸和技术资料。各类分包工程的竣工资料均由承包人负责编制、指导、审阅、汇总、整理、归档，费用由本合同承包人自行承担。    </w:t>
      </w:r>
    </w:p>
    <w:p w14:paraId="5B21FBD4">
      <w:pPr>
        <w:spacing w:line="360" w:lineRule="auto"/>
        <w:ind w:firstLine="482" w:firstLineChars="200"/>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5.12工程移交及档案管理</w:t>
      </w:r>
    </w:p>
    <w:p w14:paraId="5C0BFF77">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5.12.1工程完工后，承包人必须及时按城建相关档案管理规定整理及移交竣工档案，承包人办理工程结算需提交相关工程档案移交签字单，否则结算不予办理。</w:t>
      </w:r>
    </w:p>
    <w:p w14:paraId="1171D6FF">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5.12.2工程竣工验收合格后承包人必须将成品移交给发包人指定的接管单位。在移交工作完成前，现场所有安全及成品保护责任和费用由承包人承担。</w:t>
      </w:r>
    </w:p>
    <w:p w14:paraId="54EA2311">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5.12.3在向发包人指定的接管单位移交钥匙的同时提供下列清单：</w:t>
      </w:r>
    </w:p>
    <w:p w14:paraId="69670281">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①办理钥匙移交清单（如有）；</w:t>
      </w:r>
    </w:p>
    <w:p w14:paraId="36213C55">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②双方抄好水表电表底数；</w:t>
      </w:r>
    </w:p>
    <w:p w14:paraId="239A1EB7">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③列出详细的设备、物件移交清单，标明名称、数量、外观、状态等基本资料</w:t>
      </w:r>
    </w:p>
    <w:p w14:paraId="15144D85">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5.12.4按国家、省市和建设主管部门的相关规定应当移交的其他资料。</w:t>
      </w:r>
    </w:p>
    <w:p w14:paraId="1A9726E8">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5.13在质量缺陷保修期内，承包人必须在接到保修通知之日起7天内无条件派人先行保修，发生涉及结构安全、严重影响使用功能的质量缺陷或给排水、供电、燃气、通信及路灯等特殊工程的紧急抢修事故的，承包人接到保修通知后，必须立即到达现场实施保修。质量保修完成后，由发包人组织承包人和监理人，配合项目使用（管养）单位验收。涉及结构安全的，发包人将报当地相关行政主管部门备案，同时承包人应将其产生的原因、补救措施、完成保修情况以书面形式提交发包人。</w:t>
      </w:r>
    </w:p>
    <w:p w14:paraId="666278FA">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5.14在工程质量缺陷保修期内，承包人的违约责任。</w:t>
      </w:r>
    </w:p>
    <w:p w14:paraId="4148FF67">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5.14.1在保修期内发生质量缺陷或紧急抢修事故的时，如发包人无法联系到承包人，或联系到承包人但承包人不能及时履行保修义务时，无论缺陷责任是否属于承包人，承包人必须承担由此产生的一切保修费用、相关损失及违约责任。</w:t>
      </w:r>
    </w:p>
    <w:p w14:paraId="4579A2D5">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5.14.2若承包人未及时到达现场实施保修，发包人有权直接委托其他单位或管养单位代承包人组织实施保修，承包人必须承担由此发生的一切保修费用及相关损失。发包人将在缺陷质量保修金中扣除保修费，并处承包人保修费用30%的违约金，如缺陷质量保修金余额不足，发包人将向承包人索赔。发包人还将承包人不履行保修义务的不良行为报送相关行政主管部门。</w:t>
      </w:r>
    </w:p>
    <w:p w14:paraId="4D79129B">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5.14.3若承包人及时到达现场，但认为自行无法按时完成保修义务，可与发包人协商，直接委托管养单位或发包人确认的其他单位实施保修。若承包人未及时与发包人完成协商事宜，又未能在规定时限内完成保修的，发包人有权通知管养单位或其他单位进行保修，承包人必须承担由此发生的一切保修费用及相关损失。发包人将在缺陷质量保修金中扣除保修费，并处承包人保修费用30%的违约金，如缺陷质量保修金余额不足，发包人将向承包人索赔。发包人还将承包人不履行保修义务的不良行为报送相关行政主管部门。</w:t>
      </w:r>
    </w:p>
    <w:p w14:paraId="23B2389C">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5.14.4若承包人及时到达现场，并与发包人完成协商，同意直接委托管养单位或发包人确认的其他单位实施保修。承包人在收到支付工程保修费用的通知7天内，应将保修费用支付给代其实施保修的单位。如在规定时间内未支付有关费用的，发包人可直接从工程质量缺陷保修金中扣除该保修费用，并支付给保修单位，并处承包人保修费用30%的违约金，如缺陷质量保修金余额不足，发包人将向承包人索赔。发包人还将承包人不履行保修义务的不良行为报送相关行政主管部门。</w:t>
      </w:r>
    </w:p>
    <w:p w14:paraId="4B226C62">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5.14.5若承包人按照发包人的要求及时履行了保修义务，并能提供证据说明质量缺陷非承包人的责任，保修费用及相关损失由缺陷责任方承担。</w:t>
      </w:r>
    </w:p>
    <w:p w14:paraId="226DA47A">
      <w:pPr>
        <w:pStyle w:val="56"/>
        <w:adjustRightInd w:val="0"/>
        <w:snapToGrid w:val="0"/>
        <w:ind w:firstLine="480" w:firstLineChars="20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5.14.6对于涉及结构安全的工程质量问题，无论何时，在所有人、使用人或者第三方向当地建设行政主管部门报告并通知承包人后，承包人应立即采取安全防范措施，同时发包人将委托原设计单位或者具有相应资质等级的设计单位提出保修方案后，承包人应立即实施保修。承包人立即实施了有效的防范措施和保修的，保修费用、人身和财产损害赔偿，由经过法定程序确认的缺陷责任方承担。承包人拖延安全防范措施或者拖延保修，所造成的一切人身、财产损害责任和赔偿均由承包人承担，同时发包人将提请相关行政主管部门按相关法律、法规对承包人予以处罚。</w:t>
      </w:r>
    </w:p>
    <w:p w14:paraId="02864164">
      <w:pPr>
        <w:spacing w:line="360" w:lineRule="auto"/>
        <w:ind w:firstLine="482" w:firstLineChars="200"/>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5.15发包人有权根据有关管理制度对承包人的履约情况纳入履约信用评价和</w:t>
      </w: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第三方质量安全评估</w:t>
      </w: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体系进行履约信用评价和</w:t>
      </w: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质量安全</w:t>
      </w: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评估，并将评价结果和评估结果报送给有关监管部门。</w:t>
      </w:r>
    </w:p>
    <w:p w14:paraId="00BC0222">
      <w:pPr>
        <w:spacing w:line="360" w:lineRule="auto"/>
        <w:ind w:firstLine="480" w:firstLineChars="20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履约信用评价</w:t>
      </w:r>
      <w:r>
        <w:rPr>
          <w:rFonts w:hint="eastAsia" w:asciiTheme="minorEastAsia" w:hAnsiTheme="minorEastAsia" w:eastAsiaTheme="minorEastAsia" w:cstheme="minorEastAsia"/>
          <w:bCs/>
          <w:color w:val="000000" w:themeColor="text1"/>
          <w:szCs w:val="24"/>
          <w:highlight w:val="none"/>
          <w14:textFill>
            <w14:solidFill>
              <w14:schemeClr w14:val="tx1"/>
            </w14:solidFill>
          </w14:textFill>
        </w:rPr>
        <w:t>和</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第三方质量安全评估按发包人履约信用评价</w:t>
      </w:r>
      <w:r>
        <w:rPr>
          <w:rFonts w:hint="eastAsia" w:asciiTheme="minorEastAsia" w:hAnsiTheme="minorEastAsia" w:eastAsiaTheme="minorEastAsia" w:cstheme="minorEastAsia"/>
          <w:bCs/>
          <w:color w:val="000000" w:themeColor="text1"/>
          <w:szCs w:val="24"/>
          <w:highlight w:val="none"/>
          <w14:textFill>
            <w14:solidFill>
              <w14:schemeClr w14:val="tx1"/>
            </w14:solidFill>
          </w14:textFill>
        </w:rPr>
        <w:t>、</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质量安全</w:t>
      </w:r>
      <w:r>
        <w:rPr>
          <w:rFonts w:hint="eastAsia" w:asciiTheme="minorEastAsia" w:hAnsiTheme="minorEastAsia" w:eastAsiaTheme="minorEastAsia" w:cstheme="minorEastAsia"/>
          <w:bCs/>
          <w:color w:val="000000" w:themeColor="text1"/>
          <w:szCs w:val="24"/>
          <w:highlight w:val="none"/>
          <w14:textFill>
            <w14:solidFill>
              <w14:schemeClr w14:val="tx1"/>
            </w14:solidFill>
          </w14:textFill>
        </w:rPr>
        <w:t>评估</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管理规定执行，评价内容包含人员到位情况、服务配合程度、工程质量、安全、项目后期服务及信用评价结果、评估结果的运用等。</w:t>
      </w:r>
    </w:p>
    <w:p w14:paraId="522EEDD8">
      <w:pPr>
        <w:tabs>
          <w:tab w:val="left" w:pos="1260"/>
        </w:tabs>
        <w:snapToGrid w:val="0"/>
        <w:spacing w:line="360" w:lineRule="auto"/>
        <w:ind w:firstLine="442" w:firstLineChars="200"/>
        <w:rPr>
          <w:rFonts w:hint="eastAsia" w:asciiTheme="minorEastAsia" w:hAnsiTheme="minorEastAsia" w:eastAsiaTheme="minorEastAsia" w:cstheme="minorEastAsia"/>
          <w:b/>
          <w:bCs/>
          <w:color w:val="000000" w:themeColor="text1"/>
          <w:spacing w:val="-10"/>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pacing w:val="-10"/>
          <w:szCs w:val="24"/>
          <w:highlight w:val="none"/>
          <w14:textFill>
            <w14:solidFill>
              <w14:schemeClr w14:val="tx1"/>
            </w14:solidFill>
          </w14:textFill>
        </w:rPr>
        <w:t>6.设计部分：</w:t>
      </w:r>
    </w:p>
    <w:p w14:paraId="29A97204">
      <w:pPr>
        <w:tabs>
          <w:tab w:val="left" w:pos="1260"/>
        </w:tabs>
        <w:snapToGrid w:val="0"/>
        <w:spacing w:line="360" w:lineRule="auto"/>
        <w:ind w:firstLine="440" w:firstLineChars="200"/>
        <w:rPr>
          <w:rFonts w:hint="eastAsia" w:asciiTheme="minorEastAsia" w:hAnsiTheme="minorEastAsia" w:eastAsiaTheme="minorEastAsia" w:cstheme="minorEastAsia"/>
          <w:color w:val="000000" w:themeColor="text1"/>
          <w:spacing w:val="-10"/>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10"/>
          <w:szCs w:val="24"/>
          <w:highlight w:val="none"/>
          <w14:textFill>
            <w14:solidFill>
              <w14:schemeClr w14:val="tx1"/>
            </w14:solidFill>
          </w14:textFill>
        </w:rPr>
        <w:t>6.1 本合同设计总价包括所有设计事务工作收费、技术工作收费、税金和完成合同约定的所有与工程设计有关的全部费用。</w:t>
      </w:r>
    </w:p>
    <w:p w14:paraId="3068EC39">
      <w:pPr>
        <w:tabs>
          <w:tab w:val="left" w:pos="1260"/>
        </w:tabs>
        <w:snapToGrid w:val="0"/>
        <w:spacing w:line="360" w:lineRule="auto"/>
        <w:ind w:firstLine="44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10"/>
          <w:szCs w:val="24"/>
          <w:highlight w:val="none"/>
          <w14:textFill>
            <w14:solidFill>
              <w14:schemeClr w14:val="tx1"/>
            </w14:solidFill>
          </w14:textFill>
        </w:rPr>
        <w:t>6.2 承包人必须严格按有关设计规范设</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计图纸，承包人必须秉承合理、经济、环保、适用等原则进行施工图设计，发包人有权委托第三方对承包人每阶段的设计成果（含节能、结构计算模型等）进行精细化审图、各专业优化工作，承包人需无条件根据经发包人确认的精细化审图、结构优化报告进行设计文件修改，费用不另计。</w:t>
      </w:r>
    </w:p>
    <w:p w14:paraId="62755E63">
      <w:pPr>
        <w:tabs>
          <w:tab w:val="left" w:pos="1260"/>
        </w:tabs>
        <w:snapToGrid w:val="0"/>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t xml:space="preserve">6.3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承包人未经发包人同意擅自对工程设计进行分包的，发包人有权收回未经发包人同意的设计分包内容，已支付该部分分包内容设计费用的在下次支付设计费时扣除，未支付的将不予支付该部分分包内容设计费 。如需其他专业分包，需提前向发包人报备，并提供相应专业资质文件，发包人同意后方可进行分包。</w:t>
      </w:r>
    </w:p>
    <w:p w14:paraId="05255332">
      <w:pPr>
        <w:tabs>
          <w:tab w:val="left" w:pos="1260"/>
        </w:tabs>
        <w:snapToGrid w:val="0"/>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bookmarkStart w:id="362" w:name="_Toc390613831"/>
      <w:r>
        <w:rPr>
          <w:rFonts w:hint="eastAsia" w:asciiTheme="minorEastAsia" w:hAnsiTheme="minorEastAsia" w:eastAsiaTheme="minorEastAsia" w:cstheme="minorEastAsia"/>
          <w:color w:val="000000" w:themeColor="text1"/>
          <w:szCs w:val="24"/>
          <w:highlight w:val="none"/>
          <w14:textFill>
            <w14:solidFill>
              <w14:schemeClr w14:val="tx1"/>
            </w14:solidFill>
          </w14:textFill>
        </w:rPr>
        <w:t>6.4.知识产权和专利权</w:t>
      </w:r>
      <w:bookmarkEnd w:id="362"/>
    </w:p>
    <w:p w14:paraId="0F42AAA0">
      <w:pPr>
        <w:tabs>
          <w:tab w:val="left" w:pos="1260"/>
        </w:tabs>
        <w:snapToGrid w:val="0"/>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6.4.1承包人保证投标文件及资料均未侵犯他人的知识产权，否则必须承担全部责任。若承包人使用了他人的专利、专有技术，涉及的费用由承包人负责。合同价包括所有应支付的对专利权和版权、设计和其他知识产权而需要向其他方支付的版税。</w:t>
      </w:r>
    </w:p>
    <w:p w14:paraId="7DB1507A">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6.4.2承包人应保护发包人的知识产权，不得向第三人泄露、转让发包人提交的产品图纸等技术经济资料。未经发包人同意，承包人不得将设计成果转让给第三方。如发生以上情况并给发包人造成经济损失，发包人有权向承包人索赔。</w:t>
      </w:r>
    </w:p>
    <w:p w14:paraId="42F31B8A">
      <w:pPr>
        <w:spacing w:beforeLines="50" w:line="360" w:lineRule="auto"/>
        <w:ind w:firstLine="472" w:firstLineChars="197"/>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6.4.3承包人应保证发包人在本项目建设过程中使用其设计文件和设计文件的任何一部分时，发包人免受第三方提出侵犯其专利权、商标权或其他知识产权的起诉。</w:t>
      </w:r>
    </w:p>
    <w:p w14:paraId="34D63474">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承包人保证发包人使用承包人设计成果将不会对任何第三方构成侵权，如因此引起任何第三方向发包人提出侵权之诉讼或索赔，均由承包人承担处理、应诉和赔偿责任。</w:t>
      </w:r>
    </w:p>
    <w:p w14:paraId="06AC1D0E">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6.4.4承包人提交给发包人的设计文件，其著作权、版权、专利权和使用权归发包人所有（署名权除外）。   </w:t>
      </w:r>
    </w:p>
    <w:p w14:paraId="54BEA719">
      <w:pPr>
        <w:spacing w:line="360" w:lineRule="auto"/>
        <w:ind w:firstLine="482"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6.5.</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承包人在合同有效期内，应当履行合同约定的义务，如因承包人的原因产生设计质量事故、工期延误或设计缺陷，造成损失的应承担赔偿责任。</w:t>
      </w:r>
    </w:p>
    <w:p w14:paraId="5AEE96FD">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（1）因设计错误而造成一般质量事故的，承包人除应免收受损失部分的设计费外，还应无偿修改和完善设计，并承担给发包人造成的直接损失。</w:t>
      </w:r>
    </w:p>
    <w:p w14:paraId="7643E47F">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（2）因设计错误而造成重大质量事故的，承包人承担给发包人造成的直接损失，发包人有权解除设计合同，并报请有关主管部门视事故造成的损失情况给予其他处罚。</w:t>
      </w:r>
    </w:p>
    <w:p w14:paraId="2D522419">
      <w:pPr>
        <w:spacing w:line="360" w:lineRule="auto"/>
        <w:ind w:firstLine="482"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6.6.</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若因承包人原因导致提交的设计成果文件无法通过发包人组织的设计审查，发包人有权发出如下任何指令，承包人必须遵照执行。</w:t>
      </w:r>
    </w:p>
    <w:p w14:paraId="76878F52">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1）对不合格部分进行重新设计或修改，由此引起的费用增加和工期延误由承包人负全部责任，发包人还可视造成的时间延误和费用损失，承包人按合同价的5%～10%向甲方支付违约金；同时发包人有权解除设计合同。</w:t>
      </w:r>
    </w:p>
    <w:p w14:paraId="72F8BC8C">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2）如果重新设计或修改后的设计成果仍不能通过设计审查，或承包人没有能力完成该部分设计，发包人解除该不合格部分的合同，发包人将该不合格部分指定分包给其他设计单位，并扣除设计单位合同总价中此部分的设计费用；</w:t>
      </w:r>
    </w:p>
    <w:p w14:paraId="61AB668E">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（3）承包人须在发包人书面同意后，将该部分内容另行委托给其他具有相应资质等级的单位设计，直至通过设计审查，该部分设计费用已包含在合同价中，不另行计算，造成损失的依法承担赔偿责任。</w:t>
      </w:r>
    </w:p>
    <w:p w14:paraId="1163B91F">
      <w:pPr>
        <w:spacing w:line="360" w:lineRule="auto"/>
        <w:ind w:firstLine="482"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 xml:space="preserve">6.7.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承包人应赔偿因设计质量或设计图纸不完善带来的设计变更所引发的工程费增加、施工返工费、误工费等，处理原则如下：</w:t>
      </w:r>
    </w:p>
    <w:p w14:paraId="0CE1675C">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（1）由于设计质量或设计图纸不完善引起的施工返工，承包人应及时处理，并每次扣减设计合同价的2%作为违约金。</w:t>
      </w:r>
    </w:p>
    <w:p w14:paraId="31614E27">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2）由于设计质量或设计图纸不完善引起的施工返工、停工，承包人未能及时处理，每次扣减设计合同价的2%作为违约金，对施工工期造成较大影响，还须按设计合同价的15%赔偿，经监理单位和发包人确认后，承包人在申请当期设计费之前支付给发包人。</w:t>
      </w:r>
    </w:p>
    <w:p w14:paraId="32172B3F">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3）由于设计质量或设计图纸不完善导致的设计变更引起工程造价增加，以至超出审批的概算投资额，如设计变更未对施工工期造成影响，承包人按超额部分的5%赔偿发包人；如设计变更对施工工期造成影响，承包人按超额部分的10%赔偿发包人。承包人还应对设计进行修改或调整，以保证工程总费用控制在总投资计划内或限额设计指标内。</w:t>
      </w:r>
    </w:p>
    <w:p w14:paraId="15FF93F0">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4）由于设计质量设计图纸不完善所引起的工程费增加，超出审批的概算投资额，承包人无法调整到限额内，发包人有权不支付设计费，已支付的设计费承包人应返还发包人，发包人有权拒绝承包人参加发包人的任何设计项目的投标，并将承包人的不良行为上报行业主管部门。</w:t>
      </w:r>
    </w:p>
    <w:p w14:paraId="4D3759D9">
      <w:pPr>
        <w:pStyle w:val="69"/>
        <w:ind w:firstLine="602" w:firstLineChars="25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6.7.1</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工程变更的程序和管理按</w:t>
      </w:r>
      <w:r>
        <w:rPr>
          <w:rFonts w:hint="eastAsia" w:asciiTheme="minorEastAsia" w:hAnsiTheme="minorEastAsia" w:eastAsiaTheme="minorEastAsia" w:cstheme="minorEastAsia"/>
          <w:color w:val="000000" w:themeColor="text1"/>
          <w:szCs w:val="24"/>
          <w:highlight w:val="none"/>
          <w:lang w:val="en-US" w:eastAsia="zh-CN"/>
          <w14:textFill>
            <w14:solidFill>
              <w14:schemeClr w14:val="tx1"/>
            </w14:solidFill>
          </w14:textFill>
        </w:rPr>
        <w:t>项目所在地的</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政府投资项目财政投资评审</w:t>
      </w:r>
      <w:r>
        <w:rPr>
          <w:rFonts w:hint="eastAsia" w:asciiTheme="minorEastAsia" w:hAnsiTheme="minorEastAsia" w:eastAsiaTheme="minorEastAsia" w:cstheme="minorEastAsia"/>
          <w:color w:val="000000" w:themeColor="text1"/>
          <w:szCs w:val="24"/>
          <w:highlight w:val="none"/>
          <w:lang w:val="en-US" w:eastAsia="zh-CN"/>
          <w14:textFill>
            <w14:solidFill>
              <w14:schemeClr w14:val="tx1"/>
            </w14:solidFill>
          </w14:textFill>
        </w:rPr>
        <w:t>相关文件</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执行。如因设计人的责任引起变更造成投资规模增加，按如下规定追究设计人的违约责任：</w:t>
      </w:r>
    </w:p>
    <w:p w14:paraId="7C356A83">
      <w:pPr>
        <w:pStyle w:val="69"/>
        <w:ind w:firstLine="600" w:firstLineChars="25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（1）因设计人责任引起变更造成投资规模增加10%以上的，扣减设计人设计合同价20%的违约金；</w:t>
      </w:r>
    </w:p>
    <w:p w14:paraId="2756393E">
      <w:pPr>
        <w:pStyle w:val="69"/>
        <w:ind w:firstLine="600" w:firstLineChars="25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（2）因设计人责任引起变更造成投资规模增加15%以上的，扣减设计人设计合同价30%的违约金；</w:t>
      </w:r>
    </w:p>
    <w:p w14:paraId="1999C965">
      <w:pPr>
        <w:spacing w:line="360" w:lineRule="auto"/>
        <w:ind w:firstLine="480" w:firstLineChars="200"/>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（3）因设计人责任引起变更造成投资规模增加20%以上的，扣减设计人设计合同价40%的违约金。</w:t>
      </w:r>
    </w:p>
    <w:p w14:paraId="51AA0F1F">
      <w:pPr>
        <w:spacing w:line="360" w:lineRule="auto"/>
        <w:ind w:firstLine="482"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6.8</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承包人未按照国家及建设部现行的强制性技术标准、规范和规程进行设计，或承包人在设计成果中未经发包人认可擅自指定或变相指定材料或设备生产厂商、供应商的，承包人按合同价的5%～10%向发包人支付违约金。</w:t>
      </w:r>
    </w:p>
    <w:p w14:paraId="3C993A0E">
      <w:pPr>
        <w:spacing w:line="360" w:lineRule="auto"/>
        <w:ind w:firstLine="482"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6.9</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承包人保证，未经发包人书面同意，不得将本合同项下的任何工作任务委托第三人履行，对于工程设计内容中超出承包人资质条件的分部、分项工程，承包人不得超越自身资质条件进行设计或自行将设计任务转包、分包，否则，发包人可以立即解除本合同，并且不需要向承包人支付任何费用。发包人将有权终止合同，承包人按合同价的5%～10%向发包人支付违约金。</w:t>
      </w:r>
    </w:p>
    <w:p w14:paraId="72FEB3D5">
      <w:pPr>
        <w:pStyle w:val="8"/>
        <w:snapToGrid w:val="0"/>
        <w:spacing w:line="360" w:lineRule="auto"/>
        <w:ind w:left="63" w:right="63" w:firstLine="482" w:firstLineChars="200"/>
        <w:jc w:val="left"/>
        <w:rPr>
          <w:rFonts w:hint="eastAsia" w:asciiTheme="minorEastAsia" w:hAnsiTheme="minorEastAsia" w:eastAsiaTheme="minorEastAsia" w:cstheme="minorEastAsia"/>
          <w:b/>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kern w:val="0"/>
          <w:szCs w:val="24"/>
          <w:highlight w:val="none"/>
          <w14:textFill>
            <w14:solidFill>
              <w14:schemeClr w14:val="tx1"/>
            </w14:solidFill>
          </w14:textFill>
        </w:rPr>
        <w:t>6.10 除招标文件规定的服务内容外，承包人还须完成以下各阶段服务内容：</w:t>
      </w:r>
    </w:p>
    <w:p w14:paraId="2175DFEE">
      <w:pPr>
        <w:spacing w:line="360" w:lineRule="auto"/>
        <w:ind w:firstLine="482" w:firstLineChars="200"/>
        <w:rPr>
          <w:rFonts w:hint="eastAsia" w:asciiTheme="minorEastAsia" w:hAnsiTheme="minorEastAsia" w:eastAsiaTheme="minorEastAsia" w:cstheme="minorEastAsia"/>
          <w:b/>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6.10.1 施工图设计阶段</w:t>
      </w:r>
    </w:p>
    <w:p w14:paraId="29FD0A3D">
      <w:pPr>
        <w:pStyle w:val="36"/>
        <w:ind w:firstLine="240" w:firstLineChars="100"/>
        <w:jc w:val="left"/>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（1）负责完成并制作总图、建筑、结构、</w:t>
      </w:r>
      <w:r>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t>建筑装饰装修、给排水、电气、照明、消防、节能、无障碍设计、安防及智能系统、充电桩、</w:t>
      </w:r>
      <w:r>
        <w:rPr>
          <w:rFonts w:hint="eastAsia" w:asciiTheme="minorEastAsia" w:hAnsiTheme="minorEastAsia" w:eastAsiaTheme="minorEastAsia" w:cstheme="minorEastAsia"/>
          <w:snapToGrid w:val="0"/>
          <w:color w:val="000000" w:themeColor="text1"/>
          <w:kern w:val="0"/>
          <w:highlight w:val="none"/>
          <w:u w:val="none" w:color="auto"/>
          <w14:textFill>
            <w14:solidFill>
              <w14:schemeClr w14:val="tx1"/>
            </w14:solidFill>
          </w14:textFill>
        </w:rPr>
        <w:t>海绵城市</w:t>
      </w:r>
      <w:r>
        <w:rPr>
          <w:rFonts w:hint="eastAsia" w:asciiTheme="minorEastAsia" w:hAnsiTheme="minorEastAsia" w:eastAsiaTheme="minorEastAsia" w:cstheme="minorEastAsia"/>
          <w:snapToGrid w:val="0"/>
          <w:color w:val="000000" w:themeColor="text1"/>
          <w:kern w:val="0"/>
          <w:highlight w:val="none"/>
          <w:u w:val="none" w:color="auto"/>
          <w:lang w:eastAsia="zh-CN"/>
          <w14:textFill>
            <w14:solidFill>
              <w14:schemeClr w14:val="tx1"/>
            </w14:solidFill>
          </w14:textFill>
        </w:rPr>
        <w:t>、</w:t>
      </w:r>
      <w:r>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t>雨污分流、道路、综合管网等所有专项设计及红线范围内的所有工程及相关配套工程、设施等本项目涉及的全部专业的施工图设计文件；</w:t>
      </w:r>
    </w:p>
    <w:p w14:paraId="19325EF9">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（2）对发包人的审核修改意见进行修改、完善，保证其设计意图的最终实现； </w:t>
      </w:r>
    </w:p>
    <w:p w14:paraId="153C61CD">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（3）根据项目开发进度要求及时提供各阶段报审图纸，协助发包人进行报审工作，根据审查结果在本合同约定的范围内进行修改调整，直至审查通过，并最终向发包人提交正式的施工图设计文件； </w:t>
      </w:r>
    </w:p>
    <w:p w14:paraId="1F5346D0">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（4）协助发包人进行工程招标答疑。</w:t>
      </w:r>
    </w:p>
    <w:p w14:paraId="4FFCC1D1">
      <w:pPr>
        <w:spacing w:line="360" w:lineRule="auto"/>
        <w:ind w:firstLine="482" w:firstLineChars="200"/>
        <w:rPr>
          <w:rFonts w:hint="eastAsia" w:asciiTheme="minorEastAsia" w:hAnsiTheme="minorEastAsia" w:eastAsiaTheme="minorEastAsia" w:cstheme="minorEastAsia"/>
          <w:b/>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6.10.2 施工配合阶段</w:t>
      </w:r>
    </w:p>
    <w:p w14:paraId="547B7ED4">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（1）负责工程设计交底，解答施工过程中施工承包人有关施工图的问题，项目负责人及各专业设计负责人，及时对施工中与设计有关的问题做出回应，保证设计满足施工要求； </w:t>
      </w:r>
    </w:p>
    <w:p w14:paraId="19AC6B3D">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（2）根据发包人要求，及时参加与设计有关的专题会，现场解决技术问题； </w:t>
      </w:r>
    </w:p>
    <w:p w14:paraId="489EDBE0">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（3）协助发包人处理工程洽商和设计变更，负责有关设计修改，及时办理相关手续； </w:t>
      </w:r>
    </w:p>
    <w:p w14:paraId="0534CC7F">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（4）参与与承包人相关的必要的验收以及项目竣工验收工作，并及时办理相关手续； </w:t>
      </w:r>
    </w:p>
    <w:p w14:paraId="22E2A7DA">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（5）提供产品选型、设备加工订货、建筑材料选择以及分包商考察等技术咨询工作； </w:t>
      </w:r>
    </w:p>
    <w:p w14:paraId="0C51C4B6">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（6）应发包人要求协助审核各分包商的设计文件是否满足接口条件并签署意见，以保证其与总体设计协调一致，并满足工程要求。</w:t>
      </w:r>
    </w:p>
    <w:p w14:paraId="10E6925A">
      <w:pPr>
        <w:spacing w:line="360" w:lineRule="auto"/>
        <w:ind w:firstLine="482" w:firstLineChars="200"/>
        <w:rPr>
          <w:rFonts w:hint="eastAsia" w:asciiTheme="minorEastAsia" w:hAnsiTheme="minorEastAsia" w:eastAsiaTheme="minorEastAsia" w:cstheme="minorEastAsia"/>
          <w:b/>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 xml:space="preserve">6.11 </w:t>
      </w: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承包人义务及违约责任</w:t>
      </w:r>
    </w:p>
    <w:p w14:paraId="03CEEBCC">
      <w:pPr>
        <w:spacing w:line="360" w:lineRule="auto"/>
        <w:ind w:firstLine="482" w:firstLineChars="200"/>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6.11.1 承包人义务</w:t>
      </w:r>
    </w:p>
    <w:p w14:paraId="37DF53F7">
      <w:pPr>
        <w:adjustRightInd w:val="0"/>
        <w:snapToGrid w:val="0"/>
        <w:spacing w:line="360" w:lineRule="auto"/>
        <w:ind w:firstLine="360" w:firstLineChars="150"/>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（1）中标通知书发出后30天内第一中标候选人不按招标文件约定条款签订设计合同的，视为自动放弃中标资格，没收投标保证金，并确定第二中标候选人为承包人，以此类推。并上报建设行政主管部门。</w:t>
      </w:r>
    </w:p>
    <w:p w14:paraId="037F504B">
      <w:pPr>
        <w:adjustRightInd w:val="0"/>
        <w:snapToGrid w:val="0"/>
        <w:spacing w:line="360" w:lineRule="auto"/>
        <w:ind w:firstLine="360" w:firstLineChars="150"/>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（2）合同生效后，承包人要求终止或解除合同视为承包人违约，扣除履约保证金。</w:t>
      </w:r>
    </w:p>
    <w:p w14:paraId="4436E564">
      <w:pPr>
        <w:adjustRightInd w:val="0"/>
        <w:snapToGrid w:val="0"/>
        <w:spacing w:line="360" w:lineRule="auto"/>
        <w:ind w:firstLine="360" w:firstLineChars="150"/>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3）承包人负责按照合同规定承包范围、内容和方式，在规定时间内提交满足规定质量要求的设计成果，并完成约定的服务内容。承包人交付设计文件后，按规定参加有关的设计审查，并根据审查结论负责不超出原定范围的内容做必要调整补充。承包人按合同规定时限交付设计文件，负责向发包人及施工单位进行设计交底、处理有关设计问题和参加竣工验收。施工过程中负责有关工程变更的变更设计和变更预算编制。</w:t>
      </w:r>
    </w:p>
    <w:p w14:paraId="1D96A15D">
      <w:pPr>
        <w:adjustRightInd w:val="0"/>
        <w:snapToGrid w:val="0"/>
        <w:spacing w:line="360" w:lineRule="auto"/>
        <w:ind w:firstLine="360" w:firstLineChars="15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（4）承包人应对发包人提供的文件、资料进行认真研究，对本项目的特点和不确定因素进行认真考虑，并提出合理建议和评价，对影响设计稳定的重大问题要进行多方案比较选择。</w:t>
      </w:r>
    </w:p>
    <w:p w14:paraId="19A7012B">
      <w:pPr>
        <w:adjustRightInd w:val="0"/>
        <w:snapToGrid w:val="0"/>
        <w:spacing w:line="360" w:lineRule="auto"/>
        <w:ind w:firstLine="360" w:firstLineChars="15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（5）设计应尽可能减少施工难度，为施工创造方便合理的施工条件；应尽量减少施工对城市交通、市民生活以及水利、通航的干扰，并尽可能减少对施工期的影响。</w:t>
      </w:r>
    </w:p>
    <w:p w14:paraId="730E9C99">
      <w:pPr>
        <w:adjustRightInd w:val="0"/>
        <w:snapToGrid w:val="0"/>
        <w:spacing w:line="360" w:lineRule="auto"/>
        <w:ind w:firstLine="240" w:firstLineChars="1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（6）未经发包人书面同意，承包人不得对已批准的设计和勘探点布置方案作重大修改、增减或删除。</w:t>
      </w:r>
    </w:p>
    <w:p w14:paraId="45D87103">
      <w:pPr>
        <w:adjustRightInd w:val="0"/>
        <w:snapToGrid w:val="0"/>
        <w:spacing w:line="360" w:lineRule="auto"/>
        <w:ind w:firstLine="240" w:firstLineChars="1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（7）承包人提交的全部设计文件应考虑地质因素、正常施工中可能出现的各种因素，对设计文件出现的遗漏或错误负责修改或补充。</w:t>
      </w:r>
    </w:p>
    <w:p w14:paraId="1AA108A5">
      <w:pPr>
        <w:adjustRightInd w:val="0"/>
        <w:snapToGrid w:val="0"/>
        <w:spacing w:line="360" w:lineRule="auto"/>
        <w:ind w:firstLine="240" w:firstLineChars="1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（8）承包人承诺在交付项目的部分或全部设计文件后，如有更好的新工艺、新技术、新材料、新设备等适用于本项目，应及时向发包人推荐并提供科学的评估和来源证明。</w:t>
      </w:r>
    </w:p>
    <w:p w14:paraId="3C94C904">
      <w:pPr>
        <w:adjustRightInd w:val="0"/>
        <w:snapToGrid w:val="0"/>
        <w:spacing w:line="360" w:lineRule="auto"/>
        <w:ind w:firstLine="240" w:firstLineChars="1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（9）承包人驻</w:t>
      </w:r>
      <w:r>
        <w:rPr>
          <w:rFonts w:hint="eastAsia" w:asciiTheme="minorEastAsia" w:hAnsiTheme="minorEastAsia" w:eastAsiaTheme="minorEastAsia" w:cstheme="minorEastAsia"/>
          <w:snapToGrid w:val="0"/>
          <w:color w:val="000000" w:themeColor="text1"/>
          <w:kern w:val="0"/>
          <w:szCs w:val="24"/>
          <w:highlight w:val="none"/>
          <w:lang w:val="en-US" w:eastAsia="zh-CN"/>
          <w14:textFill>
            <w14:solidFill>
              <w14:schemeClr w14:val="tx1"/>
            </w14:solidFill>
          </w14:textFill>
        </w:rPr>
        <w:t>翁源县</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办公的项目负责人（即投标文件所拟派的项目负责人）必须负责本项目设计全过程（包括施工图设计审查、施工图设计修编、图纸会审和技术交底）。</w:t>
      </w:r>
    </w:p>
    <w:p w14:paraId="6E589187">
      <w:pPr>
        <w:adjustRightInd w:val="0"/>
        <w:snapToGrid w:val="0"/>
        <w:spacing w:line="360" w:lineRule="auto"/>
        <w:ind w:firstLine="240" w:firstLineChars="1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10）承包人应委派1名参与并熟悉本项目设计任务，有现场处理经验的设计代表常驻项目现场。承包人应为派驻现场的设计工作人员提供工作、生活及交通等方面的便利条件及准备必要的劳动保护装备。在正常施工阶段，每月应保证最少20天在现场。</w:t>
      </w:r>
    </w:p>
    <w:p w14:paraId="5F7D5B2E">
      <w:pPr>
        <w:adjustRightInd w:val="0"/>
        <w:snapToGrid w:val="0"/>
        <w:spacing w:line="360" w:lineRule="auto"/>
        <w:ind w:firstLine="240" w:firstLineChars="1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（11）承包人要按照批准的总概算控制施工图设计，即限额设计。承包人要无条件对设计文件出现的遗漏或错误负责修改或补充，直到满足要求。</w:t>
      </w:r>
    </w:p>
    <w:p w14:paraId="690E42CD">
      <w:pPr>
        <w:adjustRightInd w:val="0"/>
        <w:snapToGrid w:val="0"/>
        <w:spacing w:line="360" w:lineRule="auto"/>
        <w:ind w:firstLine="244" w:firstLineChars="1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2"/>
          <w:szCs w:val="24"/>
          <w:highlight w:val="none"/>
          <w14:textFill>
            <w14:solidFill>
              <w14:schemeClr w14:val="tx1"/>
            </w14:solidFill>
          </w14:textFill>
        </w:rPr>
        <w:t xml:space="preserve"> （12）发包人及咨询</w:t>
      </w:r>
      <w:r>
        <w:rPr>
          <w:rFonts w:hint="eastAsia" w:asciiTheme="minorEastAsia" w:hAnsiTheme="minorEastAsia" w:eastAsiaTheme="minorEastAsia" w:cstheme="minorEastAsia"/>
          <w:color w:val="000000" w:themeColor="text1"/>
          <w:spacing w:val="1"/>
          <w:szCs w:val="24"/>
          <w:highlight w:val="none"/>
          <w14:textFill>
            <w14:solidFill>
              <w14:schemeClr w14:val="tx1"/>
            </w14:solidFill>
          </w14:textFill>
        </w:rPr>
        <w:t>单</w:t>
      </w:r>
      <w:r>
        <w:rPr>
          <w:rFonts w:hint="eastAsia" w:asciiTheme="minorEastAsia" w:hAnsiTheme="minorEastAsia" w:eastAsiaTheme="minorEastAsia" w:cstheme="minorEastAsia"/>
          <w:color w:val="000000" w:themeColor="text1"/>
          <w:spacing w:val="2"/>
          <w:szCs w:val="24"/>
          <w:highlight w:val="none"/>
          <w14:textFill>
            <w14:solidFill>
              <w14:schemeClr w14:val="tx1"/>
            </w14:solidFill>
          </w14:textFill>
        </w:rPr>
        <w:t>位、上级</w:t>
      </w:r>
      <w:r>
        <w:rPr>
          <w:rFonts w:hint="eastAsia" w:asciiTheme="minorEastAsia" w:hAnsiTheme="minorEastAsia" w:eastAsiaTheme="minorEastAsia" w:cstheme="minorEastAsia"/>
          <w:color w:val="000000" w:themeColor="text1"/>
          <w:spacing w:val="1"/>
          <w:szCs w:val="24"/>
          <w:highlight w:val="none"/>
          <w14:textFill>
            <w14:solidFill>
              <w14:schemeClr w14:val="tx1"/>
            </w14:solidFill>
          </w14:textFill>
        </w:rPr>
        <w:t>主</w:t>
      </w:r>
      <w:r>
        <w:rPr>
          <w:rFonts w:hint="eastAsia" w:asciiTheme="minorEastAsia" w:hAnsiTheme="minorEastAsia" w:eastAsiaTheme="minorEastAsia" w:cstheme="minorEastAsia"/>
          <w:color w:val="000000" w:themeColor="text1"/>
          <w:spacing w:val="2"/>
          <w:szCs w:val="24"/>
          <w:highlight w:val="none"/>
          <w14:textFill>
            <w14:solidFill>
              <w14:schemeClr w14:val="tx1"/>
            </w14:solidFill>
          </w14:textFill>
        </w:rPr>
        <w:t>管部门对设计</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文件的审查并不免除承包人的责任。</w:t>
      </w:r>
    </w:p>
    <w:p w14:paraId="63F45F6A">
      <w:pPr>
        <w:adjustRightInd w:val="0"/>
        <w:snapToGrid w:val="0"/>
        <w:spacing w:line="360" w:lineRule="auto"/>
        <w:ind w:firstLine="360" w:firstLineChars="15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（13）中标通知书发出后三天内，中标单位法定代表人及主要负责人、项目经理、设计负责人应积极主动与发包人接洽工作，迅速有效推动工程前期工作顺利开展，逾期未履行，作违约处理。</w:t>
      </w:r>
    </w:p>
    <w:p w14:paraId="61E9954E">
      <w:pPr>
        <w:adjustRightInd w:val="0"/>
        <w:snapToGrid w:val="0"/>
        <w:spacing w:line="360" w:lineRule="auto"/>
        <w:ind w:firstLine="120" w:firstLineChars="50"/>
        <w:rPr>
          <w:rFonts w:hint="eastAsia" w:asciiTheme="minorEastAsia" w:hAnsiTheme="minorEastAsia" w:eastAsiaTheme="minorEastAsia" w:cstheme="minorEastAsia"/>
          <w:b/>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 xml:space="preserve">   6.11.2 </w:t>
      </w:r>
      <w:r>
        <w:rPr>
          <w:rFonts w:hint="eastAsia" w:asciiTheme="minorEastAsia" w:hAnsiTheme="minorEastAsia" w:eastAsiaTheme="minorEastAsia" w:cstheme="minorEastAsia"/>
          <w:b/>
          <w:snapToGrid w:val="0"/>
          <w:color w:val="000000" w:themeColor="text1"/>
          <w:kern w:val="0"/>
          <w:szCs w:val="24"/>
          <w:highlight w:val="none"/>
          <w14:textFill>
            <w14:solidFill>
              <w14:schemeClr w14:val="tx1"/>
            </w14:solidFill>
          </w14:textFill>
        </w:rPr>
        <w:t>承包人违约的处理</w:t>
      </w:r>
    </w:p>
    <w:p w14:paraId="4435F6A8">
      <w:pPr>
        <w:spacing w:line="360" w:lineRule="auto"/>
        <w:ind w:firstLine="360" w:firstLineChars="15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（1）承包人发生合同约定的违约情况时，无论发包人是否解除合同，发包人均有权按相关规定</w:t>
      </w:r>
      <w:r>
        <w:rPr>
          <w:rFonts w:hint="eastAsia" w:asciiTheme="minorEastAsia" w:hAnsiTheme="minorEastAsia" w:eastAsiaTheme="minorEastAsia" w:cstheme="minorEastAsia"/>
          <w:color w:val="000000" w:themeColor="text1"/>
          <w:highlight w:val="none"/>
          <w14:textFill>
            <w14:solidFill>
              <w14:schemeClr w14:val="tx1"/>
            </w14:solidFill>
          </w14:textFill>
        </w:rPr>
        <w:t>扣除</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承包人</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违约金，并由发包人将其违约行为记录在合同履约评价报告中，作为合同履约综合评价的依据。同时，发包人将</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承包人</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的违约行为</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上报建设行政主管部门。</w:t>
      </w:r>
    </w:p>
    <w:p w14:paraId="2A043B31">
      <w:pPr>
        <w:spacing w:line="360" w:lineRule="auto"/>
        <w:ind w:firstLine="360" w:firstLineChars="15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（2）发包人按合同规定向</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承包人</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开出的任何违约金，除合同另有规定外，均从发包人应向</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承包人</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支付的</w:t>
      </w:r>
      <w:r>
        <w:rPr>
          <w:rFonts w:hint="eastAsia" w:asciiTheme="minorEastAsia" w:hAnsiTheme="minorEastAsia" w:eastAsiaTheme="minorEastAsia" w:cstheme="minorEastAsia"/>
          <w:color w:val="000000" w:themeColor="text1"/>
          <w:highlight w:val="none"/>
          <w14:textFill>
            <w14:solidFill>
              <w14:schemeClr w14:val="tx1"/>
            </w14:solidFill>
          </w14:textFill>
        </w:rPr>
        <w:t>服务费</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中直接扣除。除非合同另有规定，发包人向</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承包人</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开出的任何违约金将导致承包人最终的应得结算价款相应地减少。</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承包人</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必须完全接受上述条款。</w:t>
      </w:r>
    </w:p>
    <w:p w14:paraId="76AE8934">
      <w:pPr>
        <w:spacing w:line="360" w:lineRule="auto"/>
        <w:ind w:firstLine="360" w:firstLineChars="15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（3）发包人按合同规定向</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承包人</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开出的任何违约金的扣除时间，可以在发包人认为合适的任何一个期中支付月份中扣除。发包人扣除违约金时间的延迟或滞后并不代表对</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承包人</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当时各种行为的认可或默认。</w:t>
      </w:r>
    </w:p>
    <w:p w14:paraId="7861C873">
      <w:pPr>
        <w:spacing w:line="360" w:lineRule="auto"/>
        <w:ind w:firstLine="360" w:firstLineChars="15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（4）</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承包人</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的违约金由发包人掌握使用。</w:t>
      </w:r>
    </w:p>
    <w:p w14:paraId="469E4442">
      <w:pPr>
        <w:spacing w:line="360" w:lineRule="auto"/>
        <w:ind w:firstLine="480" w:firstLineChars="200"/>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6.12</w:t>
      </w: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发包人有权根据有关管理制度对承包人的履约情况纳入履约信用评价体系进行履约信用评价，并将评价结果报送给有关监管部门。</w:t>
      </w:r>
    </w:p>
    <w:p w14:paraId="7EF33D28">
      <w:pPr>
        <w:pStyle w:val="7"/>
        <w:spacing w:line="360" w:lineRule="auto"/>
        <w:ind w:firstLine="480" w:firstLineChars="20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履约信用评价按发包人履约信用评价管理规定执行，评价内容包含人员到位情况、服务配合程度、服务成果质量、项目后期服务及履约信用评价结果的运用等。</w:t>
      </w:r>
    </w:p>
    <w:p w14:paraId="3DA6AA42">
      <w:pPr>
        <w:pStyle w:val="37"/>
        <w:keepNext/>
        <w:keepLines/>
        <w:tabs>
          <w:tab w:val="left" w:pos="885"/>
        </w:tabs>
        <w:spacing w:line="400" w:lineRule="exact"/>
        <w:jc w:val="center"/>
        <w:rPr>
          <w:rFonts w:hint="eastAsia" w:asciiTheme="minorEastAsia" w:hAnsiTheme="minorEastAsia" w:eastAsiaTheme="minorEastAsia" w:cstheme="minorEastAsia"/>
          <w:b/>
          <w:color w:val="000000" w:themeColor="text1"/>
          <w:kern w:val="44"/>
          <w:sz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kern w:val="44"/>
          <w:sz w:val="24"/>
          <w:highlight w:val="none"/>
          <w14:textFill>
            <w14:solidFill>
              <w14:schemeClr w14:val="tx1"/>
            </w14:solidFill>
          </w14:textFill>
        </w:rPr>
        <w:br w:type="page"/>
      </w:r>
      <w:bookmarkStart w:id="363" w:name="_Toc16036"/>
      <w:bookmarkStart w:id="364" w:name="_Toc5081"/>
      <w:bookmarkStart w:id="365" w:name="_Toc18208"/>
      <w:bookmarkStart w:id="366" w:name="_Toc29022"/>
      <w:bookmarkStart w:id="367" w:name="_Toc10003"/>
      <w:bookmarkStart w:id="368" w:name="_Toc15865"/>
      <w:bookmarkStart w:id="369" w:name="_Toc31905"/>
      <w:bookmarkStart w:id="370" w:name="_Toc28950"/>
      <w:r>
        <w:rPr>
          <w:rFonts w:hint="eastAsia" w:asciiTheme="minorEastAsia" w:hAnsiTheme="minorEastAsia" w:eastAsiaTheme="minorEastAsia" w:cstheme="minorEastAsia"/>
          <w:b/>
          <w:color w:val="000000" w:themeColor="text1"/>
          <w:kern w:val="44"/>
          <w:sz w:val="36"/>
          <w:szCs w:val="36"/>
          <w:highlight w:val="none"/>
          <w14:textFill>
            <w14:solidFill>
              <w14:schemeClr w14:val="tx1"/>
            </w14:solidFill>
          </w14:textFill>
        </w:rPr>
        <w:t>第三</w:t>
      </w:r>
      <w:bookmarkStart w:id="371" w:name="_Hlt69669171"/>
      <w:bookmarkEnd w:id="371"/>
      <w:r>
        <w:rPr>
          <w:rFonts w:hint="eastAsia" w:asciiTheme="minorEastAsia" w:hAnsiTheme="minorEastAsia" w:eastAsiaTheme="minorEastAsia" w:cstheme="minorEastAsia"/>
          <w:b/>
          <w:color w:val="000000" w:themeColor="text1"/>
          <w:kern w:val="44"/>
          <w:sz w:val="36"/>
          <w:szCs w:val="36"/>
          <w:highlight w:val="none"/>
          <w14:textFill>
            <w14:solidFill>
              <w14:schemeClr w14:val="tx1"/>
            </w14:solidFill>
          </w14:textFill>
        </w:rPr>
        <w:t>章</w:t>
      </w:r>
      <w:bookmarkStart w:id="372" w:name="_Hlt87793839"/>
      <w:bookmarkEnd w:id="372"/>
      <w:r>
        <w:rPr>
          <w:rFonts w:hint="eastAsia" w:asciiTheme="minorEastAsia" w:hAnsiTheme="minorEastAsia" w:eastAsiaTheme="minorEastAsia" w:cstheme="minorEastAsia"/>
          <w:b/>
          <w:color w:val="000000" w:themeColor="text1"/>
          <w:kern w:val="44"/>
          <w:sz w:val="36"/>
          <w:szCs w:val="36"/>
          <w:highlight w:val="none"/>
          <w14:textFill>
            <w14:solidFill>
              <w14:schemeClr w14:val="tx1"/>
            </w14:solidFill>
          </w14:textFill>
        </w:rPr>
        <w:t xml:space="preserve"> 中标人须知</w:t>
      </w:r>
      <w:bookmarkEnd w:id="361"/>
      <w:bookmarkEnd w:id="363"/>
      <w:bookmarkEnd w:id="364"/>
      <w:bookmarkEnd w:id="365"/>
      <w:bookmarkEnd w:id="366"/>
      <w:bookmarkEnd w:id="367"/>
      <w:bookmarkEnd w:id="368"/>
      <w:bookmarkEnd w:id="369"/>
      <w:bookmarkEnd w:id="370"/>
    </w:p>
    <w:p w14:paraId="5E0C751A">
      <w:pPr>
        <w:pStyle w:val="36"/>
        <w:rPr>
          <w:rFonts w:hint="eastAsia" w:asciiTheme="minorEastAsia" w:hAnsiTheme="minorEastAsia" w:eastAsiaTheme="minorEastAsia" w:cstheme="minorEastAsia"/>
          <w:color w:val="000000" w:themeColor="text1"/>
          <w:highlight w:val="none"/>
          <w14:textFill>
            <w14:solidFill>
              <w14:schemeClr w14:val="tx1"/>
            </w14:solidFill>
          </w14:textFill>
        </w:rPr>
      </w:pPr>
    </w:p>
    <w:bookmarkEnd w:id="310"/>
    <w:bookmarkEnd w:id="311"/>
    <w:bookmarkEnd w:id="312"/>
    <w:p w14:paraId="0058A4E3">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 xml:space="preserve">    3.1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招标人向中标人发出的《中标通知书》对招标人和中标人均具有法律约束力。中标通知书发出后，招标人改变中标结果和中标人放弃中标的，应当承担法律责任。</w:t>
      </w:r>
    </w:p>
    <w:p w14:paraId="234D73AD">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 xml:space="preserve">    3.2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中标人不与招标人签订合同，招标人可以取消其中标人资格。给招标人造成经济损失的，招标人可以向中标人索赔。</w:t>
      </w:r>
    </w:p>
    <w:p w14:paraId="20496272">
      <w:pPr>
        <w:spacing w:line="360" w:lineRule="auto"/>
        <w:ind w:firstLine="48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 xml:space="preserve">3.3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中标人在施工期间应严格遵守国家、省、市有关防火、爆破和施工安全以及文明施工、深夜施工、环卫城管等规定，建立规章制度和防护措施。否则，由此造成的经济损失和法律责任，均由中标人负责。</w:t>
      </w:r>
    </w:p>
    <w:p w14:paraId="69865219">
      <w:pPr>
        <w:spacing w:line="360" w:lineRule="auto"/>
        <w:ind w:firstLine="48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中标人必须做好施工场地地下地上管线和邻近建筑物、构筑物（包括文物保护建筑）、名树名木（如有）的保护工作。</w:t>
      </w:r>
    </w:p>
    <w:p w14:paraId="424CAA53">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 xml:space="preserve">    3.4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中标人应按安全施工的要求，采取严格科学的安全措施，确保施工安全和第三者的安全，承担由于自身安全措施不力所造成的事故责任和发生的费用。</w:t>
      </w:r>
    </w:p>
    <w:p w14:paraId="63C049DA">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bookmarkStart w:id="373" w:name="_Hlt93117969"/>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 xml:space="preserve">    3.5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为保证施工现场的环境卫生，中标人在本项目施工过程中，所有的车辆必须按招标人规定的行车路线行驶。</w:t>
      </w:r>
    </w:p>
    <w:bookmarkEnd w:id="373"/>
    <w:p w14:paraId="3B62520D">
      <w:pPr>
        <w:spacing w:line="360" w:lineRule="auto"/>
        <w:ind w:firstLine="48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 xml:space="preserve">3.6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中标人的投标书所报的项目管理班子人员（项目经理、技术负责人、施工员、质量员、安全员等）必须是</w:t>
      </w:r>
      <w:bookmarkStart w:id="374" w:name="_Hlt66261069"/>
      <w:bookmarkEnd w:id="374"/>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中标后实际的项目管理班子人员，否则招标人有权终止合同。</w:t>
      </w:r>
    </w:p>
    <w:p w14:paraId="576E7641">
      <w:pPr>
        <w:pStyle w:val="7"/>
        <w:spacing w:line="360" w:lineRule="auto"/>
        <w:ind w:firstLine="48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 w:val="24"/>
          <w:szCs w:val="24"/>
          <w:highlight w:val="none"/>
          <w14:textFill>
            <w14:solidFill>
              <w14:schemeClr w14:val="tx1"/>
            </w14:solidFill>
          </w14:textFill>
        </w:rPr>
        <w:t>根据项目实施进度情况，招标人有权要求中标人增派项目管理人员，以满足项目的现场管理工作要求。</w:t>
      </w:r>
    </w:p>
    <w:p w14:paraId="735E9A98">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 xml:space="preserve">    3.7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项目竣工验收合格后三十个工作日内必须向招标人提供一式八份符合韶关市及</w:t>
      </w:r>
      <w:r>
        <w:rPr>
          <w:rFonts w:hint="eastAsia" w:asciiTheme="minorEastAsia" w:hAnsiTheme="minorEastAsia" w:eastAsiaTheme="minorEastAsia" w:cstheme="minorEastAsia"/>
          <w:color w:val="000000" w:themeColor="text1"/>
          <w:szCs w:val="24"/>
          <w:highlight w:val="none"/>
          <w:lang w:eastAsia="zh-CN"/>
          <w14:textFill>
            <w14:solidFill>
              <w14:schemeClr w14:val="tx1"/>
            </w14:solidFill>
          </w14:textFill>
        </w:rPr>
        <w:t>翁源县</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城市建设档案馆要求的工程竣工档案（含纸质、声像及电子等形式的档案），声像及电子档案的制作费用由中标人承担。</w:t>
      </w:r>
    </w:p>
    <w:p w14:paraId="676A5B77">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 xml:space="preserve">    3.8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合同范围内的工程项目未经招标人同意一律不得分包，一经发现，取消中标人的承包资格，中标人承担由此引起的一切责任和经济损失。</w:t>
      </w:r>
    </w:p>
    <w:p w14:paraId="47B280C0">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 xml:space="preserve">    3.9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现场应自设检验实验室，用于对建筑材料、构件和建筑物进行一般性鉴定、检查等。</w:t>
      </w:r>
    </w:p>
    <w:p w14:paraId="3D930995">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 xml:space="preserve">    3.10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中标人须服从工程监理单位对工程质量全方位的监理，施工中的年度计划、季度计划、月度计划、施工方案等应报送监理单位审批和招标人备案。施工中的质量保证等资料均应及时报送监理单位和招标人备案。</w:t>
      </w:r>
    </w:p>
    <w:p w14:paraId="42B876A9">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 xml:space="preserve">    3.11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招标文件、招标答疑书、投标文件和中标通知书是招标人与中标人双方签订的施工合同的主要组成部分，并与合同一样，具有相同的法律效力。</w:t>
      </w:r>
      <w:bookmarkStart w:id="375" w:name="_Hlt66508904"/>
      <w:bookmarkEnd w:id="375"/>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如中标通知书发出后，发现中标人的投标文件中有与招标文件所述内容及要求不符的，按招标文件执行。</w:t>
      </w:r>
    </w:p>
    <w:p w14:paraId="42E241A5">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 xml:space="preserve">    3.12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中标人中标之后，若招标范围内有专业工程必须分包的，招标人不另行支付总包服务费；其分包合同由中标人与分包人双方签订，招标人不参与中标人与分包人之间的结算，该部分工程的造价仍按中标人与招标人签订的合同的有关结算条款进行结算。</w:t>
      </w:r>
    </w:p>
    <w:p w14:paraId="021D5F7C">
      <w:pPr>
        <w:spacing w:line="360" w:lineRule="auto"/>
        <w:ind w:firstLine="354" w:firstLineChars="147"/>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 xml:space="preserve"> 3.13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若设计超过了限额标准，中标人必须无条件优化，直至达到限额要求为止，设计及施工工期不予以顺延，招标人不再支付由此而增加的设计费。</w:t>
      </w:r>
    </w:p>
    <w:p w14:paraId="1AD583C4">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 xml:space="preserve">    3.14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中标人提交的施工图阶段的设计成果必须经招标人组织的专家委员会评审确认后，再送有资质的审图单位的进行审查，若由于专家委员会和审图单位在审查过程中提出的设计修改或变更，中标人必须无条件进行修改或优化设计，招标人不再支付由此而增加的设计费用。</w:t>
      </w:r>
    </w:p>
    <w:p w14:paraId="6B02BEA9">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 xml:space="preserve">    3.15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增加工程造价在施工14天前中标人必须提供详细的报价书（含工程项目名称、变更部位、理由、预计造价等）给监理单位核实并报招标人或有关审核部门核定后，方可施工。</w:t>
      </w:r>
    </w:p>
    <w:p w14:paraId="143225EE">
      <w:pPr>
        <w:spacing w:line="360" w:lineRule="auto"/>
        <w:ind w:firstLine="354" w:firstLineChars="147"/>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 xml:space="preserve"> 3.16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中标人中标后，必须按规定到韶关市公共资源交易中心办理相关手续方可领取中标通知书。</w:t>
      </w:r>
    </w:p>
    <w:p w14:paraId="3574B252">
      <w:pPr>
        <w:spacing w:line="360" w:lineRule="auto"/>
        <w:ind w:firstLine="354" w:firstLineChars="147"/>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 xml:space="preserve"> 3.17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中标人中标后必须按招标人的要求采购材料及设备。</w:t>
      </w:r>
    </w:p>
    <w:p w14:paraId="5FF749A6">
      <w:pPr>
        <w:spacing w:line="360" w:lineRule="auto"/>
        <w:ind w:firstLine="354" w:firstLineChars="147"/>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 xml:space="preserve"> 3.18 </w:t>
      </w: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中标通知书发出后，中标方应在30个日历天内缴工人工资保证金、意外伤害险等。</w:t>
      </w:r>
    </w:p>
    <w:p w14:paraId="4F086136">
      <w:pPr>
        <w:wordWrap w:val="0"/>
        <w:adjustRightInd w:val="0"/>
        <w:snapToGrid w:val="0"/>
        <w:spacing w:line="360" w:lineRule="auto"/>
        <w:ind w:firstLine="482" w:firstLineChars="200"/>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t>中标人必须在项目开工前，在项目所在地银行</w:t>
      </w: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设立工人工资支付专用账户和安全文明施工措施费专用帐户</w:t>
      </w:r>
      <w:r>
        <w:rPr>
          <w:rFonts w:hint="eastAsia" w:asciiTheme="minorEastAsia" w:hAnsiTheme="minorEastAsia" w:eastAsiaTheme="minorEastAsia" w:cstheme="minorEastAsia"/>
          <w:b/>
          <w:bCs/>
          <w:snapToGrid w:val="0"/>
          <w:color w:val="000000" w:themeColor="text1"/>
          <w:kern w:val="0"/>
          <w:highlight w:val="none"/>
          <w14:textFill>
            <w14:solidFill>
              <w14:schemeClr w14:val="tx1"/>
            </w14:solidFill>
          </w14:textFill>
        </w:rPr>
        <w:t>，</w:t>
      </w:r>
      <w: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t>中标人应在工资专户开立后2个工作日内，将开户银行及其账号、开户协议等资料提交给招标人。</w:t>
      </w:r>
    </w:p>
    <w:p w14:paraId="6F771656">
      <w:pPr>
        <w:spacing w:line="360" w:lineRule="auto"/>
        <w:ind w:firstLine="354" w:firstLineChars="147"/>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中标人应建立劳动用工管理台账，并按月将工人工资支付明细表报招标人备案。若中标人拖延按工期延误处理，拖延一天，则计算工期延误一天。</w:t>
      </w:r>
    </w:p>
    <w:p w14:paraId="508BA343">
      <w:pPr>
        <w:wordWrap w:val="0"/>
        <w:adjustRightInd w:val="0"/>
        <w:snapToGrid w:val="0"/>
        <w:spacing w:line="360" w:lineRule="auto"/>
        <w:ind w:firstLine="482" w:firstLineChars="200"/>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t>中标人必须按相关规定做好用工实名制管理，建立考勤机制，并实施实名信息化管理。</w:t>
      </w:r>
    </w:p>
    <w:p w14:paraId="75A5DC25">
      <w:pPr>
        <w:spacing w:line="360" w:lineRule="auto"/>
        <w:ind w:firstLine="354" w:firstLineChars="147"/>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3.19</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本项目各个阶段的设计成果必须经招标人及有关审批部门同意后方可进行下一工序的设计工作，若招标人或有关审批部门在审批过程中提出的设计修改或变更，中标人必须无条件进行修改或变更，招标人不再支付由此而增加的设计费用。</w:t>
      </w:r>
    </w:p>
    <w:p w14:paraId="333B69E0">
      <w:pPr>
        <w:spacing w:line="360" w:lineRule="auto"/>
        <w:ind w:firstLine="482" w:firstLineChars="200"/>
        <w:rPr>
          <w:rFonts w:hint="eastAsia" w:asciiTheme="minorEastAsia" w:hAnsiTheme="minorEastAsia" w:eastAsiaTheme="minorEastAsia" w:cstheme="minorEastAsia"/>
          <w:b/>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 xml:space="preserve">3.20 </w:t>
      </w: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若中标人自中标通知书发出之日起20个工作日内仍未提供履约担保的，视同中标单位自动放弃中标资格，招标人通报建设行政主管部门后有权另行选择中标人。</w:t>
      </w:r>
    </w:p>
    <w:p w14:paraId="61DB5ED5">
      <w:pPr>
        <w:spacing w:line="360" w:lineRule="auto"/>
        <w:ind w:firstLine="482" w:firstLineChars="200"/>
        <w:rPr>
          <w:rFonts w:hint="eastAsia" w:asciiTheme="minorEastAsia" w:hAnsiTheme="minorEastAsia" w:eastAsiaTheme="minorEastAsia" w:cstheme="minorEastAsia"/>
          <w:b/>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 xml:space="preserve">3.21 </w:t>
      </w: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若中标人自中标通知书发出之日起30天内仍未签订合同，视同中标人自动放弃中标权利，招标人通报建设行政主管部门后有权另行选择中标人。</w:t>
      </w:r>
    </w:p>
    <w:p w14:paraId="76B3E789">
      <w:pPr>
        <w:pStyle w:val="36"/>
        <w:ind w:firstLine="482" w:firstLineChars="200"/>
        <w:rPr>
          <w:rFonts w:hint="eastAsia" w:asciiTheme="minorEastAsia" w:hAnsiTheme="minorEastAsia" w:eastAsiaTheme="minorEastAsia" w:cstheme="minorEastAsia"/>
          <w:b/>
          <w:color w:val="000000" w:themeColor="text1"/>
          <w:highlight w:val="none"/>
          <w14:textFill>
            <w14:solidFill>
              <w14:schemeClr w14:val="tx1"/>
            </w14:solidFill>
          </w14:textFill>
        </w:rPr>
      </w:pPr>
      <w:r>
        <w:rPr>
          <w:rFonts w:hint="eastAsia" w:asciiTheme="minorEastAsia" w:hAnsiTheme="minorEastAsia" w:eastAsiaTheme="minorEastAsia" w:cstheme="minorEastAsia"/>
          <w:b/>
          <w:color w:val="000000" w:themeColor="text1"/>
          <w:highlight w:val="none"/>
          <w14:textFill>
            <w14:solidFill>
              <w14:schemeClr w14:val="tx1"/>
            </w14:solidFill>
          </w14:textFill>
        </w:rPr>
        <w:t>3.22 中标人应按招标人确认后的主要材料的规格、颜色要求采购。如变更规格或颜色，必须经招标人、业主同意，并报有关审核部门重新核定单价后方可采购，并相应调整工程造价。主要材料必须先提供样板或有关资料给招标人、业主确定其规格、颜色、等级等，然后方可使用。</w:t>
      </w:r>
    </w:p>
    <w:p w14:paraId="65A24042">
      <w:pPr>
        <w:snapToGrid w:val="0"/>
        <w:spacing w:line="360" w:lineRule="auto"/>
        <w:ind w:firstLine="472" w:firstLineChars="196"/>
        <w:rPr>
          <w:rFonts w:hint="eastAsia" w:asciiTheme="minorEastAsia" w:hAnsiTheme="minorEastAsia" w:eastAsiaTheme="minorEastAsia" w:cstheme="minorEastAsia"/>
          <w:b/>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highlight w:val="none"/>
          <w14:textFill>
            <w14:solidFill>
              <w14:schemeClr w14:val="tx1"/>
            </w14:solidFill>
          </w14:textFill>
        </w:rPr>
        <w:t xml:space="preserve"> 3.23 </w:t>
      </w: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根据《</w:t>
      </w: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印发〈广东省住房和城乡建设厅 广东省发展改革委关于房屋建筑和市政基础设施工程建设项目招标投标全过程信息公开的管理规定〉的通知</w:t>
      </w: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》（粤建规范〔2018〕6号）文件精神，产生中标候选人后，招标人应将中标候选人投标文件商务部分除涉及商业秘密的其他资料在广东省招标投标监管网</w:t>
      </w:r>
      <w:r>
        <w:rPr>
          <w:rFonts w:hint="eastAsia" w:asciiTheme="minorEastAsia" w:hAnsiTheme="minorEastAsia" w:eastAsiaTheme="minorEastAsia" w:cstheme="minorEastAsia"/>
          <w:b/>
          <w:bCs/>
          <w:color w:val="000000" w:themeColor="text1"/>
          <w:kern w:val="0"/>
          <w:szCs w:val="24"/>
          <w:highlight w:val="none"/>
          <w14:textFill>
            <w14:solidFill>
              <w14:schemeClr w14:val="tx1"/>
            </w14:solidFill>
          </w14:textFill>
        </w:rPr>
        <w:t>、广东省公共资源交易平台（韶关市）</w:t>
      </w: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公示，公示期不得少于3日。</w:t>
      </w:r>
    </w:p>
    <w:p w14:paraId="41120FDB">
      <w:pPr>
        <w:snapToGrid w:val="0"/>
        <w:spacing w:line="360" w:lineRule="auto"/>
        <w:ind w:firstLine="560"/>
        <w:rPr>
          <w:rFonts w:hint="eastAsia" w:asciiTheme="minorEastAsia" w:hAnsiTheme="minorEastAsia" w:eastAsiaTheme="minorEastAsia" w:cstheme="minorEastAsia"/>
          <w:b/>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招标人应当在发出中标通知书15日内，将中标结果依法在广东省招标投标监管网、</w:t>
      </w:r>
      <w:r>
        <w:rPr>
          <w:rFonts w:hint="eastAsia" w:asciiTheme="minorEastAsia" w:hAnsiTheme="minorEastAsia" w:eastAsiaTheme="minorEastAsia" w:cstheme="minorEastAsia"/>
          <w:b/>
          <w:bCs/>
          <w:color w:val="000000" w:themeColor="text1"/>
          <w:kern w:val="0"/>
          <w:szCs w:val="24"/>
          <w:highlight w:val="none"/>
          <w14:textFill>
            <w14:solidFill>
              <w14:schemeClr w14:val="tx1"/>
            </w14:solidFill>
          </w14:textFill>
        </w:rPr>
        <w:t>广东省公共资源交易平台（韶关市）</w:t>
      </w: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公示。</w:t>
      </w:r>
    </w:p>
    <w:p w14:paraId="4FF744ED">
      <w:pPr>
        <w:pStyle w:val="36"/>
        <w:ind w:firstLine="590" w:firstLineChars="245"/>
        <w:rPr>
          <w:rFonts w:hint="eastAsia" w:asciiTheme="minorEastAsia" w:hAnsiTheme="minorEastAsia" w:eastAsiaTheme="minorEastAsia" w:cstheme="minorEastAsia"/>
          <w:b/>
          <w:color w:val="000000" w:themeColor="text1"/>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 xml:space="preserve">如果其他投标人或其他利害关系人对公示内容有异议，一经查实有虚假内容等违法违规情况的，将取消其中标候选人资格，并由招投标监管部门按有关规定处理。 </w:t>
      </w:r>
    </w:p>
    <w:p w14:paraId="29411EF3">
      <w:pPr>
        <w:spacing w:line="360" w:lineRule="auto"/>
        <w:ind w:firstLine="352" w:firstLineChars="147"/>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3.24中标人须按韶关市、</w:t>
      </w:r>
      <w:r>
        <w:rPr>
          <w:rFonts w:hint="eastAsia" w:asciiTheme="minorEastAsia" w:hAnsiTheme="minorEastAsia" w:eastAsiaTheme="minorEastAsia" w:cstheme="minorEastAsia"/>
          <w:color w:val="000000" w:themeColor="text1"/>
          <w:szCs w:val="24"/>
          <w:highlight w:val="none"/>
          <w:lang w:eastAsia="zh-CN"/>
          <w14:textFill>
            <w14:solidFill>
              <w14:schemeClr w14:val="tx1"/>
            </w14:solidFill>
          </w14:textFill>
        </w:rPr>
        <w:t>翁源县</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关于建筑垃圾运输、建筑渣土管理和扬尘治理等有关规定执行。</w:t>
      </w:r>
    </w:p>
    <w:p w14:paraId="0DD5FCA5">
      <w:pPr>
        <w:spacing w:line="360" w:lineRule="auto"/>
        <w:ind w:firstLine="352" w:firstLineChars="147"/>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3.25中标人须按相关规定要求，设置本工程符合相关要求的永久性标牌及规划公示牌，投标人在投标报价时综合考虑在报价内，招标人不另行支付该部分费用。</w:t>
      </w:r>
    </w:p>
    <w:p w14:paraId="431642EE">
      <w:pPr>
        <w:spacing w:line="360" w:lineRule="auto"/>
        <w:ind w:firstLine="352" w:firstLineChars="147"/>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3.26中标人须服从招标人的项目管理方式；中标人须无条件组织施工班组按招标人提供的管理软件（如有）及管理流程进行施工管理。</w:t>
      </w:r>
    </w:p>
    <w:p w14:paraId="15187C19">
      <w:pPr>
        <w:pStyle w:val="7"/>
        <w:spacing w:line="360" w:lineRule="auto"/>
        <w:ind w:firstLine="482" w:firstLineChars="200"/>
        <w:rPr>
          <w:rFonts w:hint="eastAsia" w:asciiTheme="minorEastAsia" w:hAnsiTheme="minorEastAsia" w:eastAsiaTheme="minorEastAsia" w:cstheme="minorEastAsia"/>
          <w:b/>
          <w:color w:val="000000" w:themeColor="text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4"/>
          <w:szCs w:val="24"/>
          <w:highlight w:val="none"/>
          <w14:textFill>
            <w14:solidFill>
              <w14:schemeClr w14:val="tx1"/>
            </w14:solidFill>
          </w14:textFill>
        </w:rPr>
        <w:t>中标</w:t>
      </w:r>
      <w:r>
        <w:rPr>
          <w:rFonts w:hint="eastAsia" w:asciiTheme="minorEastAsia" w:hAnsiTheme="minorEastAsia" w:eastAsiaTheme="minorEastAsia" w:cstheme="minorEastAsia"/>
          <w:b/>
          <w:snapToGrid w:val="0"/>
          <w:color w:val="000000" w:themeColor="text1"/>
          <w:sz w:val="24"/>
          <w:szCs w:val="24"/>
          <w:highlight w:val="none"/>
          <w14:textFill>
            <w14:solidFill>
              <w14:schemeClr w14:val="tx1"/>
            </w14:solidFill>
          </w14:textFill>
        </w:rPr>
        <w:t>人应根据施工任务做好工期分析工作，按工期节点要求进行人料机的安排，及时根据计划的实施情况调整人料机的投入。</w:t>
      </w:r>
      <w:r>
        <w:rPr>
          <w:rFonts w:hint="eastAsia" w:asciiTheme="minorEastAsia" w:hAnsiTheme="minorEastAsia" w:eastAsiaTheme="minorEastAsia" w:cstheme="minorEastAsia"/>
          <w:b/>
          <w:color w:val="000000" w:themeColor="text1"/>
          <w:sz w:val="24"/>
          <w:szCs w:val="24"/>
          <w:highlight w:val="none"/>
          <w14:textFill>
            <w14:solidFill>
              <w14:schemeClr w14:val="tx1"/>
            </w14:solidFill>
          </w14:textFill>
        </w:rPr>
        <w:t>中标</w:t>
      </w:r>
      <w:r>
        <w:rPr>
          <w:rFonts w:hint="eastAsia" w:asciiTheme="minorEastAsia" w:hAnsiTheme="minorEastAsia" w:eastAsiaTheme="minorEastAsia" w:cstheme="minorEastAsia"/>
          <w:b/>
          <w:snapToGrid w:val="0"/>
          <w:color w:val="000000" w:themeColor="text1"/>
          <w:sz w:val="24"/>
          <w:szCs w:val="24"/>
          <w:highlight w:val="none"/>
          <w14:textFill>
            <w14:solidFill>
              <w14:schemeClr w14:val="tx1"/>
            </w14:solidFill>
          </w14:textFill>
        </w:rPr>
        <w:t>人作为总承包单位，应合理安排施工工作，统筹各专业单位（如有）的工作界面，不得影响施工进度。</w:t>
      </w:r>
      <w:r>
        <w:rPr>
          <w:rFonts w:hint="eastAsia" w:asciiTheme="minorEastAsia" w:hAnsiTheme="minorEastAsia" w:eastAsiaTheme="minorEastAsia" w:cstheme="minorEastAsia"/>
          <w:b/>
          <w:color w:val="000000" w:themeColor="text1"/>
          <w:sz w:val="24"/>
          <w:szCs w:val="24"/>
          <w:highlight w:val="none"/>
          <w14:textFill>
            <w14:solidFill>
              <w14:schemeClr w14:val="tx1"/>
            </w14:solidFill>
          </w14:textFill>
        </w:rPr>
        <w:t>中标</w:t>
      </w:r>
      <w:r>
        <w:rPr>
          <w:rFonts w:hint="eastAsia" w:asciiTheme="minorEastAsia" w:hAnsiTheme="minorEastAsia" w:eastAsiaTheme="minorEastAsia" w:cstheme="minorEastAsia"/>
          <w:b/>
          <w:snapToGrid w:val="0"/>
          <w:color w:val="000000" w:themeColor="text1"/>
          <w:sz w:val="24"/>
          <w:szCs w:val="24"/>
          <w:highlight w:val="none"/>
          <w14:textFill>
            <w14:solidFill>
              <w14:schemeClr w14:val="tx1"/>
            </w14:solidFill>
          </w14:textFill>
        </w:rPr>
        <w:t>人应根据工作面的变化情况及工程进度要求，合理增配人员及施工机械设备。</w:t>
      </w:r>
    </w:p>
    <w:p w14:paraId="47B5D214">
      <w:pPr>
        <w:spacing w:line="360" w:lineRule="auto"/>
        <w:ind w:firstLine="352" w:firstLineChars="147"/>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3.27施工视频监控系统必须符合韶市建字〔2014〕163号文件规定，并在投标报价中综合考虑，招标人及项目业主不再另行支付该部分费用。</w:t>
      </w:r>
    </w:p>
    <w:p w14:paraId="0443BEA1">
      <w:pPr>
        <w:spacing w:line="360" w:lineRule="auto"/>
        <w:ind w:firstLine="420" w:firstLineChars="175"/>
        <w:rPr>
          <w:rFonts w:hint="eastAsia" w:asciiTheme="minorEastAsia" w:hAnsiTheme="minorEastAsia" w:eastAsiaTheme="minorEastAsia" w:cstheme="minorEastAsia"/>
          <w:bCs/>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Cs/>
          <w:snapToGrid w:val="0"/>
          <w:color w:val="000000" w:themeColor="text1"/>
          <w:kern w:val="0"/>
          <w:szCs w:val="24"/>
          <w:highlight w:val="none"/>
          <w14:textFill>
            <w14:solidFill>
              <w14:schemeClr w14:val="tx1"/>
            </w14:solidFill>
          </w14:textFill>
        </w:rPr>
        <w:t>开工一个月内必须按相关规定和要求安装视频监控系统，并接入相关部门监控系统，如未按时安装视频监控系统，发包人有权在措施费中扣除相关费用。</w:t>
      </w:r>
    </w:p>
    <w:p w14:paraId="0998303F">
      <w:pPr>
        <w:spacing w:line="360" w:lineRule="auto"/>
        <w:ind w:firstLine="354" w:firstLineChars="147"/>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highlight w:val="none"/>
          <w14:textFill>
            <w14:solidFill>
              <w14:schemeClr w14:val="tx1"/>
            </w14:solidFill>
          </w14:textFill>
        </w:rPr>
        <w:t>3.28</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中标人应已详细了解本项目的前期工作（包括征地拆迁），同时也应已勘察施工现场、周围环境、地形、地貌、水文、交通等情况。中标人投标报价应已充分考虑在施工中由于招标人原因造成停工或工期延误等因素所产生的相关费用，招标人不予另计费；中标人不得以不完全了解项目的前期工作（包括征地拆迁）及现场情况为理由，提出因外界因素造成停工或工期延误的额外付款要求；对此类要求，招标人不作任何考虑及答复。</w:t>
      </w:r>
    </w:p>
    <w:p w14:paraId="3F31406A">
      <w:pPr>
        <w:spacing w:line="360" w:lineRule="auto"/>
        <w:ind w:firstLine="352" w:firstLineChars="147"/>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如因招标人原因（自然灾害等不可抗力因素除外），工程不能按期开工，或开工后全部停滞，工期按相关规定予以顺延。停工发生后，若可复工时，中标人应在收到招标人发出的复工通知书后3日内开始复工。</w:t>
      </w:r>
    </w:p>
    <w:p w14:paraId="32D14A45">
      <w:pPr>
        <w:spacing w:line="360" w:lineRule="auto"/>
        <w:ind w:firstLine="560"/>
        <w:rPr>
          <w:rFonts w:hint="eastAsia" w:asciiTheme="minorEastAsia" w:hAnsiTheme="minorEastAsia" w:eastAsiaTheme="minorEastAsia" w:cstheme="minorEastAsia"/>
          <w:b/>
          <w:color w:val="000000" w:themeColor="text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3.29</w:t>
      </w:r>
      <w:r>
        <w:rPr>
          <w:rFonts w:hint="eastAsia" w:asciiTheme="minorEastAsia" w:hAnsiTheme="minorEastAsia" w:eastAsiaTheme="minorEastAsia" w:cstheme="minorEastAsia"/>
          <w:b/>
          <w:color w:val="000000" w:themeColor="text1"/>
          <w:highlight w:val="none"/>
          <w14:textFill>
            <w14:solidFill>
              <w14:schemeClr w14:val="tx1"/>
            </w14:solidFill>
          </w14:textFill>
        </w:rPr>
        <w:t>中标人必须严格按有关设计规范设计图纸，中标人须秉承合理、经济、环保、适用等原则进行施工图设计，招标人有权委托第三方对中标人每阶段的设计成果文件进行精细化审图、各专业优化工作，招标人将根据第三方出具的有关报告及优化金额对中标人进行考核。若中标人成果的建安投资与优化金额（各分项工程进行对比）误差率在3%范围内则不作违约处理（含3%），否则以优化金额的10%从设计费用中扣取违约金（违约金总额以设计费为限，扣取的违约金作为第三方的咨询费），中标人需无条件根据经招标人确认的精细化审图、结构优化报告进行设计文件修改，费用不另计。</w:t>
      </w:r>
    </w:p>
    <w:p w14:paraId="266C1A21">
      <w:pPr>
        <w:spacing w:line="360" w:lineRule="auto"/>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 xml:space="preserve">    3.30</w:t>
      </w:r>
      <w:r>
        <w:rPr>
          <w:rFonts w:hint="eastAsia" w:asciiTheme="minorEastAsia" w:hAnsiTheme="minorEastAsia" w:eastAsiaTheme="minorEastAsia" w:cstheme="minorEastAsia"/>
          <w:b/>
          <w:color w:val="000000" w:themeColor="text1"/>
          <w:highlight w:val="none"/>
          <w14:textFill>
            <w14:solidFill>
              <w14:schemeClr w14:val="tx1"/>
            </w14:solidFill>
          </w14:textFill>
        </w:rPr>
        <w:t>中标人须在收到初步设计文件之日起三天内无条件对初步设计文件进行审核，如发现遗漏或错误，须向招标人提出书面报告。</w:t>
      </w:r>
    </w:p>
    <w:p w14:paraId="5B7DEF03">
      <w:pPr>
        <w:spacing w:line="360" w:lineRule="auto"/>
        <w:rPr>
          <w:rFonts w:hint="eastAsia" w:asciiTheme="minorEastAsia" w:hAnsiTheme="minorEastAsia" w:eastAsiaTheme="minorEastAsia" w:cstheme="minorEastAsia"/>
          <w:b/>
          <w:color w:val="000000" w:themeColor="text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 xml:space="preserve">    3.31</w:t>
      </w:r>
      <w:r>
        <w:rPr>
          <w:rFonts w:hint="eastAsia" w:asciiTheme="minorEastAsia" w:hAnsiTheme="minorEastAsia" w:eastAsiaTheme="minorEastAsia" w:cstheme="minorEastAsia"/>
          <w:b/>
          <w:color w:val="000000" w:themeColor="text1"/>
          <w:highlight w:val="none"/>
          <w14:textFill>
            <w14:solidFill>
              <w14:schemeClr w14:val="tx1"/>
            </w14:solidFill>
          </w14:textFill>
        </w:rPr>
        <w:t>中标人须在收到中标通知书之日十天内向招标人提交各阶段详细的工期计划承诺书。</w:t>
      </w:r>
    </w:p>
    <w:p w14:paraId="7A645245">
      <w:pPr>
        <w:pStyle w:val="54"/>
        <w:widowControl/>
        <w:spacing w:line="360" w:lineRule="auto"/>
        <w:jc w:val="left"/>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    3.32按照《广东省住房和城乡建设厅关于建设工程项目招标中标后监督检查的办法》（粤建市〔2009〕8号）和《韶关市住房和城乡建设局关于加强房屋建筑和市政基础设施工程项目招标中标后监督检查的通知》（韶市建字〔2014〕145号）等相关法律法规。中标人中标之后，工程施工项目负责人和项目管理班子其他成员必须是该工程中标时所承诺的项目管理班子成员。</w:t>
      </w:r>
    </w:p>
    <w:p w14:paraId="59D6A593">
      <w:pPr>
        <w:pStyle w:val="54"/>
        <w:widowControl/>
        <w:spacing w:line="360" w:lineRule="auto"/>
        <w:jc w:val="left"/>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    项目管理班子成员不得擅自变更，项目管理班子成员因有粤建市〔2009〕8号第九条所述情形之一确属不能履行职责需要变更的，中标单位应向建设行政主管部门填报《建设工程项目管理班子变更情况报告表》并附上有关证明文件，经建设行政主管部门审核同意方可变更。更换后的项目经理与中标单位的投标文件所确定的项目负责人或总监理工程师的主要条件一致。</w:t>
      </w:r>
    </w:p>
    <w:p w14:paraId="13D83132">
      <w:pPr>
        <w:pStyle w:val="54"/>
        <w:widowControl/>
        <w:spacing w:line="360" w:lineRule="auto"/>
        <w:jc w:val="left"/>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    若中标单位有下列行为之一的，除依照有关法律、法规进行处罚外，将通过市建设与房地产信息网站予以及时曝光，并作为今后该单位参与投标的评分扣分依据直至取消投标资格。</w:t>
      </w:r>
    </w:p>
    <w:p w14:paraId="46B76230">
      <w:pPr>
        <w:pStyle w:val="54"/>
        <w:widowControl/>
        <w:spacing w:line="360" w:lineRule="auto"/>
        <w:jc w:val="left"/>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    1.建设单位违反规定指定分包单位的；</w:t>
      </w:r>
    </w:p>
    <w:p w14:paraId="03B4AD11">
      <w:pPr>
        <w:pStyle w:val="54"/>
        <w:widowControl/>
        <w:spacing w:line="360" w:lineRule="auto"/>
        <w:jc w:val="left"/>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    2.施工单位转包、违法分包或违反投标承诺分包工程的；   </w:t>
      </w:r>
    </w:p>
    <w:p w14:paraId="49E73FA9">
      <w:pPr>
        <w:pStyle w:val="54"/>
        <w:widowControl/>
        <w:spacing w:line="360" w:lineRule="auto"/>
        <w:jc w:val="left"/>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    3.非原参加投标中标的项目经理负责组织施工或在实施过程违反粤建市〔2009〕8号第九条规定更换项目经理的、项目的其他主要管理人员与中标文件确定的人员不相符的；</w:t>
      </w:r>
    </w:p>
    <w:p w14:paraId="311D9E9D">
      <w:pPr>
        <w:pStyle w:val="54"/>
        <w:widowControl/>
        <w:spacing w:line="360" w:lineRule="auto"/>
        <w:jc w:val="left"/>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    4.投标文件确定的大型机械设备没有进入施工现场的；</w:t>
      </w:r>
    </w:p>
    <w:p w14:paraId="416A5DDD">
      <w:pPr>
        <w:pStyle w:val="54"/>
        <w:widowControl/>
        <w:spacing w:line="360" w:lineRule="auto"/>
        <w:jc w:val="left"/>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    5.建设、监理、施工等单位串通，签认虚假工程量或工程造价的；</w:t>
      </w:r>
    </w:p>
    <w:p w14:paraId="2496E11B">
      <w:pPr>
        <w:pStyle w:val="54"/>
        <w:widowControl/>
        <w:spacing w:line="360" w:lineRule="auto"/>
        <w:jc w:val="left"/>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    6.施工现场管理不到位的；</w:t>
      </w:r>
    </w:p>
    <w:p w14:paraId="257C2DA9">
      <w:pPr>
        <w:pStyle w:val="54"/>
        <w:widowControl/>
        <w:spacing w:line="360" w:lineRule="auto"/>
        <w:jc w:val="left"/>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    7.非本人资格证书登记所在的单位从事工程项目施工管理的；</w:t>
      </w:r>
    </w:p>
    <w:p w14:paraId="4568D4B7">
      <w:pPr>
        <w:pStyle w:val="54"/>
        <w:widowControl/>
        <w:spacing w:line="360" w:lineRule="auto"/>
        <w:jc w:val="left"/>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    8.项目经理同时承担超过一项工程项目的；</w:t>
      </w:r>
    </w:p>
    <w:p w14:paraId="050F0B44">
      <w:pPr>
        <w:pStyle w:val="54"/>
        <w:widowControl/>
        <w:spacing w:line="360" w:lineRule="auto"/>
        <w:ind w:firstLine="480"/>
        <w:jc w:val="left"/>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9.违反有关法律、法规、规章规定的其它行为。</w:t>
      </w:r>
    </w:p>
    <w:p w14:paraId="4EE02A84">
      <w:pPr>
        <w:pStyle w:val="54"/>
        <w:widowControl/>
        <w:spacing w:line="360" w:lineRule="auto"/>
        <w:ind w:firstLine="480"/>
        <w:jc w:val="left"/>
        <w:rPr>
          <w:rFonts w:hint="eastAsia" w:asciiTheme="minorEastAsia" w:hAnsiTheme="minorEastAsia" w:eastAsiaTheme="minorEastAsia" w:cstheme="minorEastAsia"/>
          <w:b/>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8"/>
          <w:highlight w:val="none"/>
          <w14:textFill>
            <w14:solidFill>
              <w14:schemeClr w14:val="tx1"/>
            </w14:solidFill>
          </w14:textFill>
        </w:rPr>
        <w:t>3.33依据《关于印发&lt;广东省建筑工程领域工人工资支付专用账户管理办法&gt;的通知》（粤人社规[2018]14号）文件精神，中标人必须设立工人工资支付专用账户，专门用于发放作业工人工资。</w:t>
      </w:r>
      <w:bookmarkStart w:id="376" w:name="_Hlt69698776"/>
    </w:p>
    <w:p w14:paraId="67FA367E">
      <w:pPr>
        <w:pStyle w:val="36"/>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根据《韶关市建设领域施工企业工人工资支付保证金管理办法》（韶人社〔2017〕133号）文件规定，中标人中标后，应在30个日历天内按承包合同工程造价5%的比例（不超过300万元）一次性将工人工资保证金存入银行专用存款账户。逾期未交纳的，招标人将扣留与本项目工人工资保证金等额的工程款（工人工资除外），直至中标人按《韶关市建设领域施工企业工人工资支付保证金管理办法》相关文件要求缴纳工人工资保证金。在中标人未按要求缴纳工人工资保证金期间，招标人扣留的工程款将作为工人工资保证金的预备资金，招标人有权将该部分资金用于处理该项目工人工资拖欠等情况的问题。</w:t>
      </w:r>
    </w:p>
    <w:p w14:paraId="0ED1C48F">
      <w:pPr>
        <w:pStyle w:val="36"/>
        <w:ind w:firstLine="482"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3.34</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中标人在施工图设计前，要充分进行市场调查，主要材料、设备在满足设计规范及建设标准的情况下，尽量采用造价管理机构发布的信息价中有相应型号、规格的标准材料，若必须采用非标准材料的</w:t>
      </w:r>
      <w:r>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t>，</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必须经招标人同意，否则参照信息价中相近且低于其标准的材料信息价作为该项材料的结算价。</w:t>
      </w:r>
    </w:p>
    <w:p w14:paraId="5993B0D3">
      <w:pPr>
        <w:pStyle w:val="36"/>
        <w:ind w:firstLine="482"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3.35</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中标人应按招标人提供的场地出平图先行进行场地平整。</w:t>
      </w:r>
    </w:p>
    <w:p w14:paraId="14A36D98">
      <w:pPr>
        <w:pStyle w:val="36"/>
        <w:ind w:firstLine="482"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3.36</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中标人必须根据设计施工图及现场编制施工组织设计及专项施工方案报有关部门审批。</w:t>
      </w:r>
    </w:p>
    <w:p w14:paraId="7109CA1F">
      <w:pPr>
        <w:pStyle w:val="56"/>
        <w:snapToGrid w:val="0"/>
        <w:ind w:firstLine="482" w:firstLineChars="200"/>
        <w:rPr>
          <w:rFonts w:hint="eastAsia" w:asciiTheme="minorEastAsia" w:hAnsiTheme="minorEastAsia" w:eastAsiaTheme="minorEastAsia" w:cstheme="minorEastAsia"/>
          <w:b/>
          <w:color w:val="000000" w:themeColor="text1"/>
          <w:highlight w:val="none"/>
          <w:shd w:val="clear" w:color="auto" w:fill="FFFFFF"/>
          <w14:textFill>
            <w14:solidFill>
              <w14:schemeClr w14:val="tx1"/>
            </w14:solidFill>
          </w14:textFill>
        </w:rPr>
      </w:pPr>
      <w:r>
        <w:rPr>
          <w:rFonts w:hint="eastAsia" w:asciiTheme="minorEastAsia" w:hAnsiTheme="minorEastAsia" w:eastAsiaTheme="minorEastAsia" w:cstheme="minorEastAsia"/>
          <w:b/>
          <w:color w:val="000000" w:themeColor="text1"/>
          <w:highlight w:val="none"/>
          <w:shd w:val="clear" w:color="auto" w:fill="FFFFFF"/>
          <w14:textFill>
            <w14:solidFill>
              <w14:schemeClr w14:val="tx1"/>
            </w14:solidFill>
          </w14:textFill>
        </w:rPr>
        <w:t>3.37危险性较大的分部分项工程安全管理约定</w:t>
      </w:r>
    </w:p>
    <w:p w14:paraId="559E5490">
      <w:pPr>
        <w:pStyle w:val="56"/>
        <w:wordWrap w:val="0"/>
        <w:adjustRightInd w:val="0"/>
        <w:snapToGrid w:val="0"/>
        <w:ind w:firstLine="482" w:firstLineChars="200"/>
        <w:rPr>
          <w:rFonts w:hint="eastAsia" w:asciiTheme="minorEastAsia" w:hAnsiTheme="minorEastAsia" w:eastAsiaTheme="minorEastAsia" w:cstheme="minorEastAsia"/>
          <w:b/>
          <w:color w:val="000000" w:themeColor="text1"/>
          <w:highlight w:val="none"/>
          <w:shd w:val="clear" w:color="auto" w:fill="FFFFFF"/>
          <w14:textFill>
            <w14:solidFill>
              <w14:schemeClr w14:val="tx1"/>
            </w14:solidFill>
          </w14:textFill>
        </w:rPr>
      </w:pPr>
      <w:r>
        <w:rPr>
          <w:rFonts w:hint="eastAsia" w:asciiTheme="minorEastAsia" w:hAnsiTheme="minorEastAsia" w:eastAsiaTheme="minorEastAsia" w:cstheme="minorEastAsia"/>
          <w:b/>
          <w:color w:val="000000" w:themeColor="text1"/>
          <w:highlight w:val="none"/>
          <w:shd w:val="clear" w:color="auto" w:fill="FFFFFF"/>
          <w14:textFill>
            <w14:solidFill>
              <w14:schemeClr w14:val="tx1"/>
            </w14:solidFill>
          </w14:textFill>
        </w:rPr>
        <w:t>中标人对危险性较大的工程必须按《危险性较大的分部分项工程安全管理规定》（中华人民共和国住房和城乡建设部令第37号）的规定编制专项施工方案。同时，中标人必须按照《危险性较大的分部分项工程安全管理规定》的规定和经审批的专项施工方案履行安全职责，严格执行国家、地方政府有关施工安全管理方面的法律、法规及规章制度，同时严格执行招标人制订的本项目安全生产管理方面的规章制度、安全检查程序及施工安全管理要求，以及监理人有关安全工作的指令。</w:t>
      </w:r>
    </w:p>
    <w:p w14:paraId="0560B31A">
      <w:pPr>
        <w:pStyle w:val="36"/>
        <w:ind w:firstLine="482" w:firstLineChars="200"/>
        <w:rPr>
          <w:rFonts w:hint="eastAsia" w:asciiTheme="minorEastAsia" w:hAnsiTheme="minorEastAsia" w:eastAsiaTheme="minorEastAsia" w:cstheme="minorEastAsia"/>
          <w:b/>
          <w:color w:val="000000" w:themeColor="text1"/>
          <w:highlight w:val="none"/>
          <w:shd w:val="clear" w:color="auto" w:fill="FFFFFF"/>
          <w14:textFill>
            <w14:solidFill>
              <w14:schemeClr w14:val="tx1"/>
            </w14:solidFill>
          </w14:textFill>
        </w:rPr>
      </w:pPr>
      <w:r>
        <w:rPr>
          <w:rFonts w:hint="eastAsia" w:asciiTheme="minorEastAsia" w:hAnsiTheme="minorEastAsia" w:eastAsiaTheme="minorEastAsia" w:cstheme="minorEastAsia"/>
          <w:b/>
          <w:color w:val="000000" w:themeColor="text1"/>
          <w:highlight w:val="none"/>
          <w:shd w:val="clear" w:color="auto" w:fill="FFFFFF"/>
          <w14:textFill>
            <w14:solidFill>
              <w14:schemeClr w14:val="tx1"/>
            </w14:solidFill>
          </w14:textFill>
        </w:rPr>
        <w:t>中标人应根据《危险性较大的分部分项工程安全管理规定》（住房城乡建设部令第37号）、《住房城乡建设部办公厅关于实施&lt;危险性较大的分部分项工程安全管理规定&gt;有关问题的通知》（建办质〔2018〕31号）、《广东省住房和城乡建设厅关于房屋市政工程危险性较大的分部分项工程安全管理的实施细则的通知》（粤建规范〔2019〕2号） 和《广东省安全生产委员会办公室 广东省住房和城乡建设厅关于&lt;严格落实危险性较大的分部分项工程“六不施工”要求的通知&gt;》（粤安办〔2020〕151 号）等有关危险性较大的分部分项工程的法规规定通知，履行建设工程安全生产管理职责。</w:t>
      </w:r>
    </w:p>
    <w:p w14:paraId="74EE28CF">
      <w:pPr>
        <w:pStyle w:val="36"/>
        <w:ind w:firstLine="482" w:firstLineChars="200"/>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highlight w:val="none"/>
          <w:shd w:val="clear" w:color="auto" w:fill="FFFFFF"/>
          <w14:textFill>
            <w14:solidFill>
              <w14:schemeClr w14:val="tx1"/>
            </w14:solidFill>
          </w14:textFill>
        </w:rPr>
        <w:t>3.38</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中标人项目经理和主要管理人员的考勤实行实名制打卡，中标人项目经理和主要管理人员的考勤若发现有弄虚作假行为，发现一次，中标人应承担一般违约责任1次。</w:t>
      </w:r>
    </w:p>
    <w:p w14:paraId="4C86ED20">
      <w:pPr>
        <w:pStyle w:val="36"/>
        <w:ind w:firstLine="482" w:firstLineChars="200"/>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highlight w:val="none"/>
          <w:shd w:val="clear" w:color="auto" w:fill="FFFFFF"/>
          <w14:textFill>
            <w14:solidFill>
              <w14:schemeClr w14:val="tx1"/>
            </w14:solidFill>
          </w14:textFill>
        </w:rPr>
        <w:t>3.</w:t>
      </w:r>
      <w:r>
        <w:rPr>
          <w:rFonts w:hint="eastAsia" w:asciiTheme="minorEastAsia" w:hAnsiTheme="minorEastAsia" w:eastAsiaTheme="minorEastAsia" w:cstheme="minorEastAsia"/>
          <w:b/>
          <w:color w:val="000000" w:themeColor="text1"/>
          <w:highlight w:val="none"/>
          <w:shd w:val="clear" w:color="auto" w:fill="FFFFFF"/>
          <w:lang w:val="en-US" w:eastAsia="zh-CN"/>
          <w14:textFill>
            <w14:solidFill>
              <w14:schemeClr w14:val="tx1"/>
            </w14:solidFill>
          </w14:textFill>
        </w:rPr>
        <w:t xml:space="preserve">39 </w:t>
      </w: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本项目在建设过程中，中标人的设计及施工的质量安全等相关实施内容要按照业主单位、发包单位的相关管理规定和质量安全考核要求，随时接受业主单位、发包单位自行或委托的第三方的监督检查及考核，中标人必须无条件配合，如中标人不配合或未通过相关的监督检查及考核，中标人须接受业主单位、发包单位的相关管理规定和处罚，并承担相应的责任。</w:t>
      </w:r>
    </w:p>
    <w:p w14:paraId="5D301C72">
      <w:pPr>
        <w:pStyle w:val="36"/>
        <w:ind w:firstLine="482" w:firstLineChars="200"/>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highlight w:val="none"/>
          <w:shd w:val="clear" w:color="auto" w:fill="FFFFFF"/>
          <w14:textFill>
            <w14:solidFill>
              <w14:schemeClr w14:val="tx1"/>
            </w14:solidFill>
          </w14:textFill>
        </w:rPr>
        <w:t>3.4</w:t>
      </w:r>
      <w:r>
        <w:rPr>
          <w:rFonts w:hint="eastAsia" w:asciiTheme="minorEastAsia" w:hAnsiTheme="minorEastAsia" w:eastAsiaTheme="minorEastAsia" w:cstheme="minorEastAsia"/>
          <w:b/>
          <w:color w:val="000000" w:themeColor="text1"/>
          <w:highlight w:val="none"/>
          <w:shd w:val="clear" w:color="auto" w:fill="FFFFFF"/>
          <w:lang w:val="en-US" w:eastAsia="zh-CN"/>
          <w14:textFill>
            <w14:solidFill>
              <w14:schemeClr w14:val="tx1"/>
            </w14:solidFill>
          </w14:textFill>
        </w:rPr>
        <w:t>0</w:t>
      </w: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其他事项</w:t>
      </w:r>
    </w:p>
    <w:p w14:paraId="6462C9C9">
      <w:pPr>
        <w:spacing w:line="360" w:lineRule="auto"/>
        <w:ind w:firstLine="542" w:firstLineChars="225"/>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highlight w:val="none"/>
          <w:shd w:val="clear" w:color="auto" w:fill="FFFFFF"/>
          <w14:textFill>
            <w14:solidFill>
              <w14:schemeClr w14:val="tx1"/>
            </w14:solidFill>
          </w14:textFill>
        </w:rPr>
        <w:t>3.4</w:t>
      </w:r>
      <w:r>
        <w:rPr>
          <w:rFonts w:hint="eastAsia" w:asciiTheme="minorEastAsia" w:hAnsiTheme="minorEastAsia" w:eastAsiaTheme="minorEastAsia" w:cstheme="minorEastAsia"/>
          <w:b/>
          <w:color w:val="000000" w:themeColor="text1"/>
          <w:highlight w:val="none"/>
          <w:shd w:val="clear" w:color="auto" w:fill="FFFFFF"/>
          <w:lang w:val="en-US" w:eastAsia="zh-CN"/>
          <w14:textFill>
            <w14:solidFill>
              <w14:schemeClr w14:val="tx1"/>
            </w14:solidFill>
          </w14:textFill>
        </w:rPr>
        <w:t>0</w:t>
      </w:r>
      <w:r>
        <w:rPr>
          <w:rFonts w:hint="eastAsia" w:asciiTheme="minorEastAsia" w:hAnsiTheme="minorEastAsia" w:eastAsiaTheme="minorEastAsia" w:cstheme="minorEastAsia"/>
          <w:b/>
          <w:color w:val="000000" w:themeColor="text1"/>
          <w:highlight w:val="none"/>
          <w:shd w:val="clear" w:color="auto" w:fill="FFFFFF"/>
          <w14:textFill>
            <w14:solidFill>
              <w14:schemeClr w14:val="tx1"/>
            </w14:solidFill>
          </w14:textFill>
        </w:rPr>
        <w:t xml:space="preserve">.1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招标文件中涉及的合同实质性内容以及拟签合同的主要条款内容、中标须知、相关附件、格式内容等为中标后拟签合同实质性内容，在订立合同时不得擅自进行更改。</w:t>
      </w:r>
    </w:p>
    <w:p w14:paraId="4904C669">
      <w:pPr>
        <w:pStyle w:val="31"/>
        <w:spacing w:line="360" w:lineRule="auto"/>
        <w:ind w:firstLine="480"/>
        <w:jc w:val="left"/>
        <w:rPr>
          <w:rFonts w:hint="eastAsia" w:asciiTheme="minorEastAsia" w:hAnsiTheme="minorEastAsia" w:eastAsiaTheme="minorEastAsia" w:cstheme="minorEastAsia"/>
          <w:b w:val="0"/>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shd w:val="clear" w:color="auto" w:fill="FFFFFF"/>
          <w14:textFill>
            <w14:solidFill>
              <w14:schemeClr w14:val="tx1"/>
            </w14:solidFill>
          </w14:textFill>
        </w:rPr>
        <w:t>3.4</w:t>
      </w:r>
      <w:r>
        <w:rPr>
          <w:rFonts w:hint="eastAsia" w:asciiTheme="minorEastAsia" w:hAnsiTheme="minorEastAsia" w:eastAsiaTheme="minorEastAsia" w:cstheme="minorEastAsia"/>
          <w:color w:val="000000" w:themeColor="text1"/>
          <w:sz w:val="24"/>
          <w:highlight w:val="none"/>
          <w:shd w:val="clear" w:color="auto" w:fill="FFFFFF"/>
          <w:lang w:val="en-US" w:eastAsia="zh-CN"/>
          <w14:textFill>
            <w14:solidFill>
              <w14:schemeClr w14:val="tx1"/>
            </w14:solidFill>
          </w14:textFill>
        </w:rPr>
        <w:t>0</w:t>
      </w:r>
      <w:r>
        <w:rPr>
          <w:rFonts w:hint="eastAsia" w:asciiTheme="minorEastAsia" w:hAnsiTheme="minorEastAsia" w:eastAsiaTheme="minorEastAsia" w:cstheme="minorEastAsia"/>
          <w:color w:val="000000" w:themeColor="text1"/>
          <w:sz w:val="24"/>
          <w:highlight w:val="none"/>
          <w:shd w:val="clear" w:color="auto" w:fill="FFFFFF"/>
          <w14:textFill>
            <w14:solidFill>
              <w14:schemeClr w14:val="tx1"/>
            </w14:solidFill>
          </w14:textFill>
        </w:rPr>
        <w:t>.2</w:t>
      </w:r>
      <w:r>
        <w:rPr>
          <w:rFonts w:hint="eastAsia" w:asciiTheme="minorEastAsia" w:hAnsiTheme="minorEastAsia" w:eastAsiaTheme="minorEastAsia" w:cstheme="minorEastAsia"/>
          <w:b w:val="0"/>
          <w:snapToGrid w:val="0"/>
          <w:color w:val="000000" w:themeColor="text1"/>
          <w:kern w:val="0"/>
          <w:sz w:val="24"/>
          <w:highlight w:val="none"/>
          <w14:textFill>
            <w14:solidFill>
              <w14:schemeClr w14:val="tx1"/>
            </w14:solidFill>
          </w14:textFill>
        </w:rPr>
        <w:t>中标人应按《关于印发&lt;</w:t>
      </w:r>
      <w:r>
        <w:rPr>
          <w:rFonts w:hint="eastAsia" w:asciiTheme="minorEastAsia" w:hAnsiTheme="minorEastAsia" w:eastAsiaTheme="minorEastAsia" w:cstheme="minorEastAsia"/>
          <w:b w:val="0"/>
          <w:snapToGrid w:val="0"/>
          <w:color w:val="000000" w:themeColor="text1"/>
          <w:kern w:val="0"/>
          <w:sz w:val="24"/>
          <w:highlight w:val="none"/>
          <w:lang w:eastAsia="zh-CN"/>
          <w14:textFill>
            <w14:solidFill>
              <w14:schemeClr w14:val="tx1"/>
            </w14:solidFill>
          </w14:textFill>
        </w:rPr>
        <w:t>翁源县</w:t>
      </w:r>
      <w:r>
        <w:rPr>
          <w:rFonts w:hint="eastAsia" w:asciiTheme="minorEastAsia" w:hAnsiTheme="minorEastAsia" w:eastAsiaTheme="minorEastAsia" w:cstheme="minorEastAsia"/>
          <w:b w:val="0"/>
          <w:snapToGrid w:val="0"/>
          <w:color w:val="000000" w:themeColor="text1"/>
          <w:kern w:val="0"/>
          <w:sz w:val="24"/>
          <w:highlight w:val="none"/>
          <w14:textFill>
            <w14:solidFill>
              <w14:schemeClr w14:val="tx1"/>
            </w14:solidFill>
          </w14:textFill>
        </w:rPr>
        <w:t>安全生产责任保险实施方案（2020-2021）年&gt;的通知》文件办理安全生产责任保险。</w:t>
      </w:r>
    </w:p>
    <w:p w14:paraId="555C4B97">
      <w:pPr>
        <w:pStyle w:val="36"/>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p>
    <w:p w14:paraId="5B54C4CB">
      <w:pPr>
        <w:pStyle w:val="37"/>
        <w:keepNext/>
        <w:keepLines/>
        <w:tabs>
          <w:tab w:val="left" w:pos="885"/>
        </w:tabs>
        <w:jc w:val="center"/>
        <w:rPr>
          <w:rFonts w:hint="eastAsia" w:asciiTheme="minorEastAsia" w:hAnsiTheme="minorEastAsia" w:eastAsiaTheme="minorEastAsia" w:cstheme="minorEastAsia"/>
          <w:b/>
          <w:color w:val="000000" w:themeColor="text1"/>
          <w:kern w:val="44"/>
          <w:sz w:val="36"/>
          <w:szCs w:val="36"/>
          <w:highlight w:val="none"/>
          <w14:textFill>
            <w14:solidFill>
              <w14:schemeClr w14:val="tx1"/>
            </w14:solidFill>
          </w14:textFill>
        </w:rPr>
      </w:pPr>
      <w:r>
        <w:rPr>
          <w:rFonts w:hint="eastAsia" w:asciiTheme="minorEastAsia" w:hAnsiTheme="minorEastAsia" w:eastAsiaTheme="minorEastAsia" w:cstheme="minorEastAsia"/>
          <w:b/>
          <w:color w:val="000000" w:themeColor="text1"/>
          <w:kern w:val="44"/>
          <w:sz w:val="24"/>
          <w:highlight w:val="none"/>
          <w14:textFill>
            <w14:solidFill>
              <w14:schemeClr w14:val="tx1"/>
            </w14:solidFill>
          </w14:textFill>
        </w:rPr>
        <w:br w:type="page"/>
      </w:r>
      <w:bookmarkStart w:id="377" w:name="_Toc28287"/>
      <w:bookmarkStart w:id="378" w:name="_Toc24187"/>
      <w:bookmarkStart w:id="379" w:name="_Toc20219"/>
      <w:bookmarkStart w:id="380" w:name="_Toc27728"/>
      <w:bookmarkStart w:id="381" w:name="_Toc25756"/>
      <w:bookmarkStart w:id="382" w:name="_Toc21424"/>
      <w:bookmarkStart w:id="383" w:name="_Toc26670"/>
      <w:bookmarkStart w:id="384" w:name="_Toc29153"/>
      <w:bookmarkStart w:id="385" w:name="_Toc18638"/>
      <w:r>
        <w:rPr>
          <w:rFonts w:hint="eastAsia" w:asciiTheme="minorEastAsia" w:hAnsiTheme="minorEastAsia" w:eastAsiaTheme="minorEastAsia" w:cstheme="minorEastAsia"/>
          <w:b/>
          <w:color w:val="000000" w:themeColor="text1"/>
          <w:kern w:val="44"/>
          <w:sz w:val="36"/>
          <w:szCs w:val="36"/>
          <w:highlight w:val="none"/>
          <w14:textFill>
            <w14:solidFill>
              <w14:schemeClr w14:val="tx1"/>
            </w14:solidFill>
          </w14:textFill>
        </w:rPr>
        <w:t>第四</w:t>
      </w:r>
      <w:bookmarkStart w:id="386" w:name="_Hlt69669176"/>
      <w:bookmarkEnd w:id="386"/>
      <w:r>
        <w:rPr>
          <w:rFonts w:hint="eastAsia" w:asciiTheme="minorEastAsia" w:hAnsiTheme="minorEastAsia" w:eastAsiaTheme="minorEastAsia" w:cstheme="minorEastAsia"/>
          <w:b/>
          <w:color w:val="000000" w:themeColor="text1"/>
          <w:kern w:val="44"/>
          <w:sz w:val="36"/>
          <w:szCs w:val="36"/>
          <w:highlight w:val="none"/>
          <w14:textFill>
            <w14:solidFill>
              <w14:schemeClr w14:val="tx1"/>
            </w14:solidFill>
          </w14:textFill>
        </w:rPr>
        <w:t>章</w:t>
      </w:r>
      <w:bookmarkStart w:id="387" w:name="_Hlt87793847"/>
      <w:bookmarkEnd w:id="387"/>
      <w:r>
        <w:rPr>
          <w:rFonts w:hint="eastAsia" w:asciiTheme="minorEastAsia" w:hAnsiTheme="minorEastAsia" w:eastAsiaTheme="minorEastAsia" w:cstheme="minorEastAsia"/>
          <w:b/>
          <w:color w:val="000000" w:themeColor="text1"/>
          <w:kern w:val="44"/>
          <w:sz w:val="36"/>
          <w:szCs w:val="36"/>
          <w:highlight w:val="none"/>
          <w14:textFill>
            <w14:solidFill>
              <w14:schemeClr w14:val="tx1"/>
            </w14:solidFill>
          </w14:textFill>
        </w:rPr>
        <w:t xml:space="preserve"> 投标人提交的其他材料</w:t>
      </w:r>
      <w:bookmarkEnd w:id="377"/>
      <w:bookmarkEnd w:id="378"/>
      <w:bookmarkEnd w:id="379"/>
      <w:bookmarkEnd w:id="380"/>
      <w:bookmarkEnd w:id="381"/>
      <w:bookmarkEnd w:id="382"/>
      <w:bookmarkEnd w:id="383"/>
      <w:bookmarkEnd w:id="384"/>
      <w:bookmarkEnd w:id="385"/>
    </w:p>
    <w:p w14:paraId="4A978215">
      <w:pPr>
        <w:pStyle w:val="36"/>
        <w:rPr>
          <w:rFonts w:hint="eastAsia" w:asciiTheme="minorEastAsia" w:hAnsiTheme="minorEastAsia" w:eastAsiaTheme="minorEastAsia" w:cstheme="minorEastAsia"/>
          <w:color w:val="000000" w:themeColor="text1"/>
          <w:highlight w:val="none"/>
          <w14:textFill>
            <w14:solidFill>
              <w14:schemeClr w14:val="tx1"/>
            </w14:solidFill>
          </w14:textFill>
        </w:rPr>
      </w:pPr>
    </w:p>
    <w:bookmarkEnd w:id="376"/>
    <w:p w14:paraId="19AA2CEA">
      <w:pPr>
        <w:pStyle w:val="4"/>
        <w:spacing w:line="360" w:lineRule="auto"/>
        <w:ind w:firstLine="241" w:firstLineChars="100"/>
        <w:outlineLvl w:val="1"/>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bookmarkStart w:id="388" w:name="_Hlt66104911"/>
      <w:bookmarkEnd w:id="388"/>
      <w:bookmarkStart w:id="389" w:name="_Hlt66531751"/>
      <w:bookmarkEnd w:id="389"/>
      <w:bookmarkStart w:id="390" w:name="_Toc19932"/>
      <w:bookmarkStart w:id="391" w:name="_Toc28975"/>
      <w:bookmarkStart w:id="392" w:name="_Toc1109"/>
      <w:bookmarkStart w:id="393" w:name="_Toc5994"/>
      <w:bookmarkStart w:id="394" w:name="_Toc18673"/>
      <w:bookmarkStart w:id="395" w:name="_Toc5733"/>
      <w:bookmarkStart w:id="396" w:name="_Toc21505"/>
      <w:bookmarkStart w:id="397" w:name="_Toc31172"/>
      <w:bookmarkStart w:id="398" w:name="_Toc16764"/>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1</w:t>
      </w:r>
      <w:bookmarkStart w:id="399" w:name="_Hlt69356768"/>
      <w:bookmarkEnd w:id="399"/>
      <w:bookmarkStart w:id="400" w:name="_Hlt66677316"/>
      <w:r>
        <w:rPr>
          <w:rFonts w:hint="eastAsia" w:asciiTheme="minorEastAsia" w:hAnsiTheme="minorEastAsia" w:eastAsiaTheme="minorEastAsia" w:cstheme="minorEastAsia"/>
          <w:b/>
          <w:bCs/>
          <w:color w:val="000000" w:themeColor="text1"/>
          <w:szCs w:val="24"/>
          <w:highlight w:val="none"/>
          <w:lang w:eastAsia="zh-CN"/>
          <w14:textFill>
            <w14:solidFill>
              <w14:schemeClr w14:val="tx1"/>
            </w14:solidFill>
          </w14:textFill>
        </w:rPr>
        <w:t>、</w:t>
      </w: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 xml:space="preserve"> 投标保证</w:t>
      </w:r>
      <w:bookmarkEnd w:id="390"/>
      <w:bookmarkEnd w:id="391"/>
      <w:bookmarkEnd w:id="392"/>
      <w:bookmarkEnd w:id="393"/>
      <w:bookmarkEnd w:id="394"/>
      <w:bookmarkEnd w:id="395"/>
      <w:bookmarkEnd w:id="396"/>
      <w:bookmarkEnd w:id="397"/>
      <w:bookmarkEnd w:id="398"/>
      <w:bookmarkEnd w:id="400"/>
    </w:p>
    <w:p w14:paraId="66682DF2">
      <w:pPr>
        <w:snapToGrid w:val="0"/>
        <w:spacing w:beforeLines="50" w:line="360" w:lineRule="auto"/>
        <w:ind w:firstLine="482"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1.1</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投标保证的形式包括投标保证金、投标保证担保、投标保证保险三种，由投标人自主选择。</w:t>
      </w:r>
    </w:p>
    <w:p w14:paraId="105C575E">
      <w:pPr>
        <w:pStyle w:val="57"/>
        <w:snapToGrid w:val="0"/>
        <w:ind w:firstLine="57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1）采用投标保证金的，投标人在建设工程交易系统获取招标文件完毕后，即可在系统申请缴纳投标保证金，获取本次招标投标保证金缴纳账号。投标人必须于投标保证金到账截止时间（见招标文件“重要事项时间地点一览表”）前，从其基本账户将投标保证金转账到指定的缴纳账号。逾期到账的、从非投标人基本账户转出的，其投标无效。</w:t>
      </w:r>
    </w:p>
    <w:p w14:paraId="7C7D7078">
      <w:pPr>
        <w:pStyle w:val="57"/>
        <w:snapToGrid w:val="0"/>
        <w:ind w:firstLine="57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2）采用投标保证担保的，投标人应提交有效的银行保函，银行保函的有效期不得短于投标有效期。投标人必须在投标保证担保截止时间（见本招标文件“重要事项时间地点一览表”）前，使用工程建设交易系统完成网上办理电子保函。</w:t>
      </w:r>
    </w:p>
    <w:p w14:paraId="7730A314">
      <w:pPr>
        <w:pStyle w:val="57"/>
        <w:snapToGrid w:val="0"/>
        <w:ind w:firstLine="57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3）采用投标保证保险的，投标人须在投标保证保险投保截止时间（见本招标文件“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在【服务指南】栏目中下载《韶关市公共资源建设工程交易系统-投标人操作指南》，了解网上投保具体操作流程。逾期投保的，其投标无效。</w:t>
      </w:r>
    </w:p>
    <w:p w14:paraId="0D940964">
      <w:pPr>
        <w:pStyle w:val="57"/>
        <w:snapToGrid w:val="0"/>
        <w:ind w:firstLine="57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温馨提醒：投标人采用投标保证担保或投标保证保险的，为避免在评标过程中因有效期发生争议，建议投标人将银行保函或电子保单有效期设置为较招标文件规定的投标有效期延长不少于20个日历天。</w:t>
      </w:r>
    </w:p>
    <w:p w14:paraId="5D7C8DF6">
      <w:pPr>
        <w:pStyle w:val="57"/>
        <w:snapToGrid w:val="0"/>
        <w:ind w:firstLine="57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b/>
          <w:bCs/>
          <w:color w:val="000000" w:themeColor="text1"/>
          <w:highlight w:val="none"/>
          <w14:textFill>
            <w14:solidFill>
              <w14:schemeClr w14:val="tx1"/>
            </w14:solidFill>
          </w14:textFill>
        </w:rPr>
        <w:t>1.2</w:t>
      </w:r>
      <w:r>
        <w:rPr>
          <w:rFonts w:hint="eastAsia" w:asciiTheme="minorEastAsia" w:hAnsiTheme="minorEastAsia" w:eastAsiaTheme="minorEastAsia" w:cstheme="minorEastAsia"/>
          <w:color w:val="000000" w:themeColor="text1"/>
          <w:highlight w:val="none"/>
          <w14:textFill>
            <w14:solidFill>
              <w14:schemeClr w14:val="tx1"/>
            </w14:solidFill>
          </w14:textFill>
        </w:rPr>
        <w:t>投标人撤回已提交的投标文件，应当在投标截止时间前书面通知招标人。投标截止后投标人撤销投标文件的，招标人可以不退还投标保证。</w:t>
      </w:r>
    </w:p>
    <w:p w14:paraId="61CBA223">
      <w:pPr>
        <w:pStyle w:val="57"/>
        <w:snapToGrid w:val="0"/>
        <w:ind w:firstLine="57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b/>
          <w:bCs/>
          <w:color w:val="000000" w:themeColor="text1"/>
          <w:highlight w:val="none"/>
          <w14:textFill>
            <w14:solidFill>
              <w14:schemeClr w14:val="tx1"/>
            </w14:solidFill>
          </w14:textFill>
        </w:rPr>
        <w:t>1.3</w:t>
      </w:r>
      <w:r>
        <w:rPr>
          <w:rFonts w:hint="eastAsia" w:asciiTheme="minorEastAsia" w:hAnsiTheme="minorEastAsia" w:eastAsiaTheme="minorEastAsia" w:cstheme="minorEastAsia"/>
          <w:color w:val="000000" w:themeColor="text1"/>
          <w:highlight w:val="none"/>
          <w14:textFill>
            <w14:solidFill>
              <w14:schemeClr w14:val="tx1"/>
            </w14:solidFill>
          </w14:textFill>
        </w:rPr>
        <w:t>投标保证的退还方式：</w:t>
      </w:r>
    </w:p>
    <w:p w14:paraId="07FE1BBA">
      <w:pPr>
        <w:pStyle w:val="57"/>
        <w:snapToGrid w:val="0"/>
        <w:ind w:firstLine="57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1）中标候选人公示期满无异议（投诉）后，招标人确定第一中标候选人为中标人，并在中标人确定之日起7个工作日内向中标人发出中标通知书。在中标通知书发出后5个工作日内，韶关市公共资源交易中心将投标保证金（或银行保函）退还给中标候选人以外的投标人。</w:t>
      </w:r>
    </w:p>
    <w:p w14:paraId="6039B922">
      <w:pPr>
        <w:pStyle w:val="57"/>
        <w:snapToGrid w:val="0"/>
        <w:ind w:firstLine="57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2）在书面合同订立之日起2个工作日内，由中标人将合同上传至建设工程交易系统，并发起退还投标保证的申请。韶关市公共资源交易中心在收到申请之日起3个工作日内，将投标保证金（或银行保函）退还给中标人和其他中标候选人。</w:t>
      </w:r>
    </w:p>
    <w:p w14:paraId="07ABFB0F">
      <w:pPr>
        <w:pStyle w:val="57"/>
        <w:snapToGrid w:val="0"/>
        <w:ind w:firstLine="57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b/>
          <w:bCs/>
          <w:color w:val="000000" w:themeColor="text1"/>
          <w:highlight w:val="none"/>
          <w14:textFill>
            <w14:solidFill>
              <w14:schemeClr w14:val="tx1"/>
            </w14:solidFill>
          </w14:textFill>
        </w:rPr>
        <w:t>1.4</w:t>
      </w: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 投标人中标后不与招标人依据招标文件要求签订工程合同的，由建设行政主管部门按规定处理其投标保证。</w:t>
      </w:r>
    </w:p>
    <w:p w14:paraId="1A2A67A8">
      <w:pPr>
        <w:pStyle w:val="57"/>
        <w:snapToGrid w:val="0"/>
        <w:ind w:firstLine="57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b/>
          <w:bCs/>
          <w:color w:val="000000" w:themeColor="text1"/>
          <w:highlight w:val="none"/>
          <w14:textFill>
            <w14:solidFill>
              <w14:schemeClr w14:val="tx1"/>
            </w14:solidFill>
          </w14:textFill>
        </w:rPr>
        <w:t>1.5</w:t>
      </w: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 组成联合体时由联合体牵头人缴纳投标保证。</w:t>
      </w:r>
    </w:p>
    <w:p w14:paraId="50807269">
      <w:pPr>
        <w:pStyle w:val="4"/>
        <w:spacing w:line="360" w:lineRule="auto"/>
        <w:ind w:firstLine="241" w:firstLineChars="100"/>
        <w:outlineLvl w:val="1"/>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bookmarkStart w:id="401" w:name="_Hlt87792499"/>
      <w:bookmarkEnd w:id="401"/>
      <w:bookmarkStart w:id="402" w:name="_Hlt87793359"/>
      <w:bookmarkEnd w:id="402"/>
      <w:bookmarkStart w:id="403" w:name="_Toc23304"/>
      <w:bookmarkStart w:id="404" w:name="_Toc3054"/>
      <w:bookmarkStart w:id="405" w:name="_Toc19536"/>
      <w:bookmarkStart w:id="406" w:name="_Toc10164"/>
      <w:bookmarkStart w:id="407" w:name="_Toc22441"/>
      <w:bookmarkStart w:id="408" w:name="_Toc26440"/>
      <w:bookmarkStart w:id="409" w:name="_Toc3284"/>
      <w:bookmarkStart w:id="410" w:name="_Toc20998"/>
      <w:bookmarkStart w:id="411" w:name="_Toc985"/>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2</w:t>
      </w:r>
      <w:r>
        <w:rPr>
          <w:rFonts w:hint="eastAsia" w:asciiTheme="minorEastAsia" w:hAnsiTheme="minorEastAsia" w:eastAsiaTheme="minorEastAsia" w:cstheme="minorEastAsia"/>
          <w:b/>
          <w:bCs/>
          <w:color w:val="000000" w:themeColor="text1"/>
          <w:szCs w:val="24"/>
          <w:highlight w:val="none"/>
          <w:lang w:eastAsia="zh-CN"/>
          <w14:textFill>
            <w14:solidFill>
              <w14:schemeClr w14:val="tx1"/>
            </w14:solidFill>
          </w14:textFill>
        </w:rPr>
        <w:t>、</w:t>
      </w: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 xml:space="preserve"> 履约保证金</w:t>
      </w:r>
      <w:bookmarkEnd w:id="403"/>
      <w:bookmarkEnd w:id="404"/>
      <w:bookmarkEnd w:id="405"/>
      <w:bookmarkEnd w:id="406"/>
      <w:bookmarkEnd w:id="407"/>
      <w:bookmarkEnd w:id="408"/>
      <w:bookmarkEnd w:id="409"/>
      <w:bookmarkEnd w:id="410"/>
      <w:bookmarkEnd w:id="411"/>
    </w:p>
    <w:bookmarkEnd w:id="1"/>
    <w:p w14:paraId="5CCA0AD4">
      <w:pPr>
        <w:widowControl/>
        <w:wordWrap/>
        <w:adjustRightInd/>
        <w:snapToGrid/>
        <w:spacing w:line="360" w:lineRule="auto"/>
        <w:ind w:firstLine="482" w:firstLineChars="200"/>
        <w:jc w:val="left"/>
        <w:rPr>
          <w:rFonts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bookmarkStart w:id="412" w:name="_Toc466640610"/>
      <w: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t>2.1</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中标人须在领取中标通知书之日起</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5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个工作日内、签订合同前向招标人提交金额为中标价</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u w:val="single"/>
          <w:lang w:val="en-US" w:eastAsia="zh-CN"/>
          <w14:textFill>
            <w14:solidFill>
              <w14:schemeClr w14:val="tx1"/>
            </w14:solidFill>
          </w14:textFill>
        </w:rPr>
        <w:t>3</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的履约保证。</w:t>
      </w:r>
      <w:r>
        <w:rPr>
          <w:rFonts w:asciiTheme="minorEastAsia" w:hAnsiTheme="minorEastAsia" w:eastAsiaTheme="minorEastAsia" w:cstheme="minorEastAsia"/>
          <w:snapToGrid w:val="0"/>
          <w:color w:val="000000" w:themeColor="text1"/>
          <w:kern w:val="0"/>
          <w:szCs w:val="24"/>
          <w:highlight w:val="none"/>
          <w14:textFill>
            <w14:solidFill>
              <w14:schemeClr w14:val="tx1"/>
            </w14:solidFill>
          </w14:textFill>
        </w:rPr>
        <w:t>联合体中标的，由联合体牵头人提交。同时招标人向中标人提供合同价</w:t>
      </w:r>
      <w:r>
        <w:rPr>
          <w:rFonts w:hint="eastAsia" w:asciiTheme="minorEastAsia" w:hAnsiTheme="minorEastAsia" w:eastAsiaTheme="minorEastAsia" w:cstheme="minorEastAsia"/>
          <w:snapToGrid w:val="0"/>
          <w:color w:val="000000" w:themeColor="text1"/>
          <w:kern w:val="0"/>
          <w:szCs w:val="24"/>
          <w:highlight w:val="none"/>
          <w:u w:val="none"/>
          <w:lang w:val="en-US" w:eastAsia="zh-CN"/>
          <w14:textFill>
            <w14:solidFill>
              <w14:schemeClr w14:val="tx1"/>
            </w14:solidFill>
          </w14:textFill>
        </w:rPr>
        <w:t>3</w:t>
      </w:r>
      <w:r>
        <w:rPr>
          <w:rFonts w:asciiTheme="minorEastAsia" w:hAnsiTheme="minorEastAsia" w:eastAsiaTheme="minorEastAsia" w:cstheme="minorEastAsia"/>
          <w:snapToGrid w:val="0"/>
          <w:color w:val="000000" w:themeColor="text1"/>
          <w:kern w:val="0"/>
          <w:szCs w:val="24"/>
          <w:highlight w:val="none"/>
          <w14:textFill>
            <w14:solidFill>
              <w14:schemeClr w14:val="tx1"/>
            </w14:solidFill>
          </w14:textFill>
        </w:rPr>
        <w:t>%的支付担保，并将工程款支付担保文书作为建设工程合同的组成部分(担保期限届至招标人支付除工程质量保修金以外的全部工程结算款项之日后</w:t>
      </w:r>
      <w:r>
        <w:rPr>
          <w:rFonts w:asciiTheme="minorEastAsia" w:hAnsiTheme="minorEastAsia" w:eastAsiaTheme="minorEastAsia" w:cstheme="minorEastAsia"/>
          <w:snapToGrid w:val="0"/>
          <w:color w:val="000000" w:themeColor="text1"/>
          <w:kern w:val="0"/>
          <w:szCs w:val="24"/>
          <w:highlight w:val="none"/>
          <w:u w:val="none"/>
          <w14:textFill>
            <w14:solidFill>
              <w14:schemeClr w14:val="tx1"/>
            </w14:solidFill>
          </w14:textFill>
        </w:rPr>
        <w:t>30</w:t>
      </w:r>
      <w:r>
        <w:rPr>
          <w:rFonts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天)。</w:t>
      </w:r>
    </w:p>
    <w:p w14:paraId="54F47084">
      <w:pPr>
        <w:widowControl/>
        <w:wordWrap/>
        <w:adjustRightInd/>
        <w:snapToGrid/>
        <w:spacing w:line="360" w:lineRule="auto"/>
        <w:ind w:firstLine="480" w:firstLineChars="200"/>
        <w:jc w:val="lef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lang w:val="en-US" w:eastAsia="zh-CN" w:bidi="ar"/>
          <w14:textFill>
            <w14:solidFill>
              <w14:schemeClr w14:val="tx1"/>
            </w14:solidFill>
          </w14:textFill>
        </w:rPr>
        <w:t>注：</w:t>
      </w:r>
      <w:r>
        <w:rPr>
          <w:rFonts w:hint="eastAsia" w:asciiTheme="minorEastAsia" w:hAnsiTheme="minorEastAsia" w:eastAsiaTheme="minorEastAsia" w:cstheme="minorEastAsia"/>
          <w:i w:val="0"/>
          <w:iCs w:val="0"/>
          <w:snapToGrid w:val="0"/>
          <w:color w:val="000000" w:themeColor="text1"/>
          <w:kern w:val="0"/>
          <w:sz w:val="24"/>
          <w:szCs w:val="24"/>
          <w:highlight w:val="none"/>
          <w:lang w:val="en-US" w:eastAsia="zh-CN" w:bidi="ar"/>
          <w14:textFill>
            <w14:solidFill>
              <w14:schemeClr w14:val="tx1"/>
            </w14:solidFill>
          </w14:textFill>
        </w:rPr>
        <w:t>根据《保障农民工工资支付条例》，发包人必须落实工程款支付担保制度， 需有项目预付款。 2017 年 2 月，国务院出台《关于促进建筑业持续健康发展的意见》， 要求“严格执行工程预付款制度，及时按合同约定足额向承包单位支付预付款。通过工 程款支付担保等经济、法律手段约束建设单位履约行为，预防拖欠工程款。”</w:t>
      </w:r>
    </w:p>
    <w:p w14:paraId="4A5FE97F">
      <w:pPr>
        <w:wordWrap w:val="0"/>
        <w:adjustRightInd w:val="0"/>
        <w:snapToGrid w:val="0"/>
        <w:spacing w:line="360" w:lineRule="auto"/>
        <w:ind w:firstLine="562"/>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t>2.2</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w:t>
      </w:r>
      <w:r>
        <w:rPr>
          <w:rFonts w:asciiTheme="minorEastAsia" w:hAnsiTheme="minorEastAsia" w:eastAsiaTheme="minorEastAsia" w:cstheme="minorEastAsia"/>
          <w:snapToGrid w:val="0"/>
          <w:color w:val="000000" w:themeColor="text1"/>
          <w:kern w:val="0"/>
          <w:szCs w:val="24"/>
          <w:highlight w:val="none"/>
          <w:lang w:bidi="ar"/>
          <w14:textFill>
            <w14:solidFill>
              <w14:schemeClr w14:val="tx1"/>
            </w14:solidFill>
          </w14:textFill>
        </w:rPr>
        <w:t>中标人根据《关于统一在市公共资源交易一体化服务平台缴退工程建设项目履约保证金的通知》办理相关手续，履约保证的形式包括履约保证金、履约保证担保、履约保证保险三种，由中标人自主选择。商业保函、银行保函或保险合同（或保险单）的有效期应当自合同生效之日起至项目通过竣工验收之日后</w:t>
      </w:r>
      <w:r>
        <w:rPr>
          <w:rFonts w:hint="eastAsia" w:asciiTheme="minorEastAsia" w:hAnsiTheme="minorEastAsia" w:eastAsiaTheme="minorEastAsia" w:cstheme="minorEastAsia"/>
          <w:snapToGrid w:val="0"/>
          <w:color w:val="000000" w:themeColor="text1"/>
          <w:kern w:val="0"/>
          <w:szCs w:val="24"/>
          <w:highlight w:val="none"/>
          <w:u w:val="none"/>
          <w:lang w:bidi="ar"/>
          <w14:textFill>
            <w14:solidFill>
              <w14:schemeClr w14:val="tx1"/>
            </w14:solidFill>
          </w14:textFill>
        </w:rPr>
        <w:t>28</w:t>
      </w:r>
      <w:r>
        <w:rPr>
          <w:rFonts w:asciiTheme="minorEastAsia" w:hAnsiTheme="minorEastAsia" w:eastAsiaTheme="minorEastAsia" w:cstheme="minorEastAsia"/>
          <w:snapToGrid w:val="0"/>
          <w:color w:val="000000" w:themeColor="text1"/>
          <w:kern w:val="0"/>
          <w:szCs w:val="24"/>
          <w:highlight w:val="none"/>
          <w:lang w:bidi="ar"/>
          <w14:textFill>
            <w14:solidFill>
              <w14:schemeClr w14:val="tx1"/>
            </w14:solidFill>
          </w14:textFill>
        </w:rPr>
        <w:t>天止。</w:t>
      </w:r>
    </w:p>
    <w:p w14:paraId="66EBDFAF">
      <w:pPr>
        <w:wordWrap w:val="0"/>
        <w:adjustRightInd w:val="0"/>
        <w:snapToGrid w:val="0"/>
        <w:spacing w:line="360" w:lineRule="auto"/>
        <w:ind w:firstLine="482"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t>2.3</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中标人在领取中标通知书之日起10个工作日内仍未提交履约保证的，招标人发出第一次提醒函；在领取中标通知书之日起15个工作日内仍未提交的，招标人发出第二次提醒函；在领取中标通知书之日起20个工作日内仍未提交的，视其放弃中标。</w:t>
      </w:r>
    </w:p>
    <w:p w14:paraId="3ACC46F5">
      <w:pPr>
        <w:wordWrap w:val="0"/>
        <w:adjustRightInd w:val="0"/>
        <w:snapToGrid w:val="0"/>
        <w:spacing w:line="360" w:lineRule="auto"/>
        <w:ind w:firstLine="482"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t>2.4</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在工程实施过程中，如果中标人（即招标阶段的中标人，下同）由于自身的资金、技术、质量、非不可抗力等原因给招标人（即招标阶段的招标人，下同）造成经济损失，扣除相应履约保证。</w:t>
      </w:r>
    </w:p>
    <w:p w14:paraId="643EEAB2">
      <w:pPr>
        <w:wordWrap w:val="0"/>
        <w:adjustRightInd w:val="0"/>
        <w:snapToGrid w:val="0"/>
        <w:spacing w:line="360" w:lineRule="auto"/>
        <w:ind w:firstLine="482"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t>2.5</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项目通过竣工验收之日后28天内，招标人将履约保证</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或全部履约保证金（不计算利息）</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退还给中标人。</w:t>
      </w:r>
    </w:p>
    <w:p w14:paraId="66F39DBB">
      <w:pPr>
        <w:pStyle w:val="4"/>
        <w:spacing w:line="360" w:lineRule="auto"/>
        <w:ind w:firstLine="241" w:firstLineChars="100"/>
        <w:outlineLvl w:val="1"/>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bookmarkStart w:id="413" w:name="_Toc24561"/>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3</w:t>
      </w:r>
      <w:r>
        <w:rPr>
          <w:rFonts w:hint="eastAsia" w:asciiTheme="minorEastAsia" w:hAnsiTheme="minorEastAsia" w:eastAsiaTheme="minorEastAsia" w:cstheme="minorEastAsia"/>
          <w:b/>
          <w:bCs/>
          <w:color w:val="000000" w:themeColor="text1"/>
          <w:szCs w:val="24"/>
          <w:highlight w:val="none"/>
          <w:lang w:eastAsia="zh-CN"/>
          <w14:textFill>
            <w14:solidFill>
              <w14:schemeClr w14:val="tx1"/>
            </w14:solidFill>
          </w14:textFill>
        </w:rPr>
        <w:t>、</w:t>
      </w: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质量保证</w:t>
      </w:r>
      <w:bookmarkEnd w:id="413"/>
    </w:p>
    <w:p w14:paraId="79F6FD7D">
      <w:pPr>
        <w:wordWrap w:val="0"/>
        <w:adjustRightInd w:val="0"/>
        <w:snapToGrid w:val="0"/>
        <w:spacing w:line="360" w:lineRule="auto"/>
        <w:ind w:firstLine="560"/>
        <w:rPr>
          <w:rFonts w:hint="eastAsia" w:asciiTheme="minorEastAsia" w:hAnsiTheme="minorEastAsia" w:eastAsiaTheme="minorEastAsia" w:cstheme="minorEastAsia"/>
          <w:bCs/>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t>3.1</w:t>
      </w:r>
      <w:r>
        <w:rPr>
          <w:rFonts w:hint="eastAsia" w:asciiTheme="minorEastAsia" w:hAnsiTheme="minorEastAsia" w:eastAsiaTheme="minorEastAsia" w:cstheme="minorEastAsia"/>
          <w:bCs/>
          <w:snapToGrid w:val="0"/>
          <w:color w:val="000000" w:themeColor="text1"/>
          <w:kern w:val="0"/>
          <w:szCs w:val="24"/>
          <w:highlight w:val="none"/>
          <w14:textFill>
            <w14:solidFill>
              <w14:schemeClr w14:val="tx1"/>
            </w14:solidFill>
          </w14:textFill>
        </w:rPr>
        <w:t xml:space="preserve"> 本工程缺陷责任期为</w:t>
      </w:r>
      <w:r>
        <w:rPr>
          <w:rFonts w:hint="eastAsia" w:asciiTheme="minorEastAsia" w:hAnsiTheme="minorEastAsia" w:eastAsiaTheme="minorEastAsia" w:cstheme="minorEastAsia"/>
          <w:bCs/>
          <w:snapToGrid w:val="0"/>
          <w:color w:val="000000" w:themeColor="text1"/>
          <w:kern w:val="0"/>
          <w:szCs w:val="24"/>
          <w:highlight w:val="none"/>
          <w:u w:val="single"/>
          <w:lang w:val="en-US" w:eastAsia="zh-CN"/>
          <w14:textFill>
            <w14:solidFill>
              <w14:schemeClr w14:val="tx1"/>
            </w14:solidFill>
          </w14:textFill>
        </w:rPr>
        <w:t>1</w:t>
      </w:r>
      <w:r>
        <w:rPr>
          <w:rFonts w:hint="eastAsia" w:asciiTheme="minorEastAsia" w:hAnsiTheme="minorEastAsia" w:eastAsiaTheme="minorEastAsia" w:cstheme="minorEastAsia"/>
          <w:bCs/>
          <w:snapToGrid w:val="0"/>
          <w:color w:val="000000" w:themeColor="text1"/>
          <w:kern w:val="0"/>
          <w:szCs w:val="24"/>
          <w:highlight w:val="none"/>
          <w14:textFill>
            <w14:solidFill>
              <w14:schemeClr w14:val="tx1"/>
            </w14:solidFill>
          </w14:textFill>
        </w:rPr>
        <w:t>年（自通过竣工验收之日起计），在此期间预留金额为结算价</w:t>
      </w:r>
      <w:r>
        <w:rPr>
          <w:rFonts w:hint="eastAsia" w:asciiTheme="minorEastAsia" w:hAnsiTheme="minorEastAsia" w:eastAsiaTheme="minorEastAsia" w:cstheme="minorEastAsia"/>
          <w:bCs/>
          <w:snapToGrid w:val="0"/>
          <w:color w:val="000000" w:themeColor="text1"/>
          <w:kern w:val="0"/>
          <w:szCs w:val="24"/>
          <w:highlight w:val="none"/>
          <w:u w:val="single"/>
          <w14:textFill>
            <w14:solidFill>
              <w14:schemeClr w14:val="tx1"/>
            </w14:solidFill>
          </w14:textFill>
        </w:rPr>
        <w:t>3%</w:t>
      </w:r>
      <w:r>
        <w:rPr>
          <w:rFonts w:hint="eastAsia" w:asciiTheme="minorEastAsia" w:hAnsiTheme="minorEastAsia" w:eastAsiaTheme="minorEastAsia" w:cstheme="minorEastAsia"/>
          <w:bCs/>
          <w:snapToGrid w:val="0"/>
          <w:color w:val="000000" w:themeColor="text1"/>
          <w:kern w:val="0"/>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Cs/>
          <w:snapToGrid w:val="0"/>
          <w:color w:val="000000" w:themeColor="text1"/>
          <w:kern w:val="0"/>
          <w:szCs w:val="24"/>
          <w:highlight w:val="none"/>
          <w14:textFill>
            <w14:solidFill>
              <w14:schemeClr w14:val="tx1"/>
            </w14:solidFill>
          </w14:textFill>
        </w:rPr>
        <w:t>的质量保证。</w:t>
      </w:r>
    </w:p>
    <w:p w14:paraId="0827A14A">
      <w:pPr>
        <w:wordWrap w:val="0"/>
        <w:adjustRightInd w:val="0"/>
        <w:snapToGrid w:val="0"/>
        <w:spacing w:line="360" w:lineRule="auto"/>
        <w:ind w:firstLine="560"/>
        <w:rPr>
          <w:rFonts w:hint="eastAsia" w:asciiTheme="minorEastAsia" w:hAnsiTheme="minorEastAsia" w:eastAsiaTheme="minorEastAsia" w:cstheme="minorEastAsia"/>
          <w:bCs/>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t>3.2</w:t>
      </w:r>
      <w:r>
        <w:rPr>
          <w:rFonts w:hint="eastAsia" w:asciiTheme="minorEastAsia" w:hAnsiTheme="minorEastAsia" w:eastAsiaTheme="minorEastAsia" w:cstheme="minorEastAsia"/>
          <w:bCs/>
          <w:snapToGrid w:val="0"/>
          <w:color w:val="000000" w:themeColor="text1"/>
          <w:kern w:val="0"/>
          <w:szCs w:val="24"/>
          <w:highlight w:val="none"/>
          <w14:textFill>
            <w14:solidFill>
              <w14:schemeClr w14:val="tx1"/>
            </w14:solidFill>
          </w14:textFill>
        </w:rPr>
        <w:t xml:space="preserve"> 质量保证的形式包括质量保证金、质量保证担保、质量保证保险三种，由中标人自主选择。</w:t>
      </w:r>
    </w:p>
    <w:p w14:paraId="1B90E0A3">
      <w:pPr>
        <w:wordWrap w:val="0"/>
        <w:adjustRightInd w:val="0"/>
        <w:snapToGrid w:val="0"/>
        <w:spacing w:line="360" w:lineRule="auto"/>
        <w:ind w:firstLine="561"/>
        <w:rPr>
          <w:rFonts w:hint="eastAsia" w:asciiTheme="minorEastAsia" w:hAnsiTheme="minorEastAsia" w:eastAsiaTheme="minorEastAsia" w:cstheme="minorEastAsia"/>
          <w:bCs/>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Cs/>
          <w:snapToGrid w:val="0"/>
          <w:color w:val="000000" w:themeColor="text1"/>
          <w:kern w:val="0"/>
          <w:szCs w:val="24"/>
          <w:highlight w:val="none"/>
          <w14:textFill>
            <w14:solidFill>
              <w14:schemeClr w14:val="tx1"/>
            </w14:solidFill>
          </w14:textFill>
        </w:rPr>
        <w:t>（1）采用质量保证金形式的，在结清审定总造价时一次性扣留相应金额作为质量保证金。</w:t>
      </w:r>
    </w:p>
    <w:p w14:paraId="5899375C">
      <w:pPr>
        <w:wordWrap w:val="0"/>
        <w:adjustRightInd w:val="0"/>
        <w:snapToGrid w:val="0"/>
        <w:spacing w:line="360" w:lineRule="auto"/>
        <w:ind w:firstLine="561"/>
        <w:rPr>
          <w:rFonts w:hint="eastAsia" w:asciiTheme="minorEastAsia" w:hAnsiTheme="minorEastAsia" w:eastAsiaTheme="minorEastAsia" w:cstheme="minorEastAsia"/>
          <w:bCs/>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Cs/>
          <w:snapToGrid w:val="0"/>
          <w:color w:val="000000" w:themeColor="text1"/>
          <w:kern w:val="0"/>
          <w:szCs w:val="24"/>
          <w:highlight w:val="none"/>
          <w14:textFill>
            <w14:solidFill>
              <w14:schemeClr w14:val="tx1"/>
            </w14:solidFill>
          </w14:textFill>
        </w:rPr>
        <w:t>（2）采用质量保证担保或质量保证保险的，中标人应在竣工验收时向招标人提交有效的银行保函原件或保险合同原件（或保险单），银行保函或保险合同原件（或保险单）的有效期不得短于缺陷责任期。</w:t>
      </w:r>
    </w:p>
    <w:p w14:paraId="2A806795">
      <w:pPr>
        <w:wordWrap w:val="0"/>
        <w:adjustRightInd w:val="0"/>
        <w:snapToGrid w:val="0"/>
        <w:spacing w:line="360" w:lineRule="auto"/>
        <w:ind w:firstLine="561"/>
        <w:rPr>
          <w:rFonts w:hint="eastAsia" w:asciiTheme="minorEastAsia" w:hAnsiTheme="minorEastAsia" w:eastAsiaTheme="minorEastAsia" w:cstheme="minorEastAsia"/>
          <w:bCs/>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t>3.3</w:t>
      </w:r>
      <w:r>
        <w:rPr>
          <w:rFonts w:hint="eastAsia" w:asciiTheme="minorEastAsia" w:hAnsiTheme="minorEastAsia" w:eastAsiaTheme="minorEastAsia" w:cstheme="minorEastAsia"/>
          <w:bCs/>
          <w:snapToGrid w:val="0"/>
          <w:color w:val="000000" w:themeColor="text1"/>
          <w:kern w:val="0"/>
          <w:szCs w:val="24"/>
          <w:highlight w:val="none"/>
          <w14:textFill>
            <w14:solidFill>
              <w14:schemeClr w14:val="tx1"/>
            </w14:solidFill>
          </w14:textFill>
        </w:rPr>
        <w:t xml:space="preserve"> 缺陷责任期内，由中标人原因造成的缺陷，中标人应负责维修，并承担鉴定及维修费用。如果中标人不维修也不承担费用，招标人可按合同约定从质量保证中扣除，维修费用超出保证金额的，招标人可按合同约定向中标人进行索赔。中标人维修并承担相应费用后，不免除对工程的损失赔偿责任。</w:t>
      </w:r>
    </w:p>
    <w:p w14:paraId="18324B43">
      <w:pPr>
        <w:wordWrap w:val="0"/>
        <w:adjustRightInd w:val="0"/>
        <w:snapToGrid w:val="0"/>
        <w:spacing w:line="360" w:lineRule="auto"/>
        <w:ind w:firstLine="561"/>
        <w:rPr>
          <w:rFonts w:hint="eastAsia" w:asciiTheme="minorEastAsia" w:hAnsiTheme="minorEastAsia" w:eastAsiaTheme="minorEastAsia" w:cstheme="minorEastAsia"/>
          <w:bCs/>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Cs/>
          <w:snapToGrid w:val="0"/>
          <w:color w:val="000000" w:themeColor="text1"/>
          <w:kern w:val="0"/>
          <w:szCs w:val="24"/>
          <w:highlight w:val="none"/>
          <w14:textFill>
            <w14:solidFill>
              <w14:schemeClr w14:val="tx1"/>
            </w14:solidFill>
          </w14:textFill>
        </w:rPr>
        <w:t>由他人原因造成的缺陷，招标人负责组织维修，中标人不承担费用，且招标人不得从质量保证中扣除费用。</w:t>
      </w:r>
    </w:p>
    <w:p w14:paraId="7148BBA8">
      <w:pPr>
        <w:wordWrap w:val="0"/>
        <w:adjustRightInd w:val="0"/>
        <w:snapToGrid w:val="0"/>
        <w:spacing w:line="360" w:lineRule="auto"/>
        <w:ind w:firstLine="561"/>
        <w:rPr>
          <w:rFonts w:hint="eastAsia" w:asciiTheme="minorEastAsia" w:hAnsiTheme="minorEastAsia" w:eastAsiaTheme="minorEastAsia" w:cstheme="minorEastAsia"/>
          <w:bCs/>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t>3.4</w:t>
      </w:r>
      <w:r>
        <w:rPr>
          <w:rFonts w:hint="eastAsia" w:asciiTheme="minorEastAsia" w:hAnsiTheme="minorEastAsia" w:eastAsiaTheme="minorEastAsia" w:cstheme="minorEastAsia"/>
          <w:bCs/>
          <w:snapToGrid w:val="0"/>
          <w:color w:val="000000" w:themeColor="text1"/>
          <w:kern w:val="0"/>
          <w:szCs w:val="24"/>
          <w:highlight w:val="none"/>
          <w14:textFill>
            <w14:solidFill>
              <w14:schemeClr w14:val="tx1"/>
            </w14:solidFill>
          </w14:textFill>
        </w:rPr>
        <w:t xml:space="preserve"> 缺陷责任期内，中标人应认真履行合同约定的责任。缺陷责任期到期后，中标人向招标人申请退还质量保证，招标人应按照《建设工程质量保证金管理办法》有关规定将质量保证退还给中标人（不计息）。</w:t>
      </w:r>
    </w:p>
    <w:p w14:paraId="0859BDA5">
      <w:pPr>
        <w:rPr>
          <w:rFonts w:hint="eastAsia" w:asciiTheme="minorEastAsia" w:hAnsiTheme="minorEastAsia" w:eastAsiaTheme="minorEastAsia" w:cstheme="minorEastAsia"/>
          <w:bCs/>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Cs/>
          <w:snapToGrid w:val="0"/>
          <w:color w:val="000000" w:themeColor="text1"/>
          <w:kern w:val="0"/>
          <w:szCs w:val="24"/>
          <w:highlight w:val="none"/>
          <w14:textFill>
            <w14:solidFill>
              <w14:schemeClr w14:val="tx1"/>
            </w14:solidFill>
          </w14:textFill>
        </w:rPr>
        <w:br w:type="page"/>
      </w:r>
    </w:p>
    <w:p w14:paraId="067FC25D">
      <w:pPr>
        <w:pStyle w:val="37"/>
        <w:keepNext/>
        <w:keepLines/>
        <w:tabs>
          <w:tab w:val="left" w:pos="885"/>
        </w:tabs>
        <w:spacing w:line="240" w:lineRule="auto"/>
        <w:jc w:val="center"/>
        <w:rPr>
          <w:rFonts w:hint="eastAsia" w:asciiTheme="minorEastAsia" w:hAnsiTheme="minorEastAsia" w:eastAsiaTheme="minorEastAsia" w:cstheme="minorEastAsia"/>
          <w:b/>
          <w:color w:val="000000" w:themeColor="text1"/>
          <w:kern w:val="44"/>
          <w:sz w:val="36"/>
          <w:szCs w:val="36"/>
          <w:highlight w:val="none"/>
          <w14:textFill>
            <w14:solidFill>
              <w14:schemeClr w14:val="tx1"/>
            </w14:solidFill>
          </w14:textFill>
        </w:rPr>
      </w:pPr>
      <w:bookmarkStart w:id="414" w:name="_Toc4262"/>
      <w:bookmarkStart w:id="415" w:name="_Toc12936"/>
      <w:bookmarkStart w:id="416" w:name="_Toc16873"/>
      <w:bookmarkStart w:id="417" w:name="_Toc25046"/>
      <w:bookmarkStart w:id="418" w:name="_Toc22105"/>
      <w:bookmarkStart w:id="419" w:name="_Toc26916"/>
      <w:bookmarkStart w:id="420" w:name="_Toc29236"/>
      <w:bookmarkStart w:id="421" w:name="_Toc17661"/>
      <w:bookmarkStart w:id="422" w:name="_Toc31291"/>
      <w:r>
        <w:rPr>
          <w:rFonts w:hint="eastAsia" w:asciiTheme="minorEastAsia" w:hAnsiTheme="minorEastAsia" w:eastAsiaTheme="minorEastAsia" w:cstheme="minorEastAsia"/>
          <w:b/>
          <w:color w:val="000000" w:themeColor="text1"/>
          <w:kern w:val="44"/>
          <w:sz w:val="36"/>
          <w:szCs w:val="36"/>
          <w:highlight w:val="none"/>
          <w14:textFill>
            <w14:solidFill>
              <w14:schemeClr w14:val="tx1"/>
            </w14:solidFill>
          </w14:textFill>
        </w:rPr>
        <w:t>第五章 招标工程的技术要求</w:t>
      </w:r>
      <w:bookmarkEnd w:id="412"/>
      <w:bookmarkEnd w:id="414"/>
      <w:bookmarkEnd w:id="415"/>
      <w:bookmarkEnd w:id="416"/>
      <w:bookmarkEnd w:id="417"/>
      <w:bookmarkEnd w:id="418"/>
      <w:bookmarkEnd w:id="419"/>
      <w:bookmarkEnd w:id="420"/>
      <w:bookmarkEnd w:id="421"/>
      <w:bookmarkEnd w:id="422"/>
    </w:p>
    <w:p w14:paraId="1EE2FAAA">
      <w:pPr>
        <w:pStyle w:val="4"/>
        <w:spacing w:line="360" w:lineRule="auto"/>
        <w:ind w:firstLine="241" w:firstLineChars="100"/>
        <w:outlineLvl w:val="1"/>
        <w:rPr>
          <w:rFonts w:hint="eastAsia" w:asciiTheme="minorEastAsia" w:hAnsiTheme="minorEastAsia" w:eastAsiaTheme="minorEastAsia" w:cstheme="minorEastAsia"/>
          <w:b/>
          <w:bCs/>
          <w:color w:val="000000" w:themeColor="text1"/>
          <w:szCs w:val="22"/>
          <w:highlight w:val="none"/>
          <w14:textFill>
            <w14:solidFill>
              <w14:schemeClr w14:val="tx1"/>
            </w14:solidFill>
          </w14:textFill>
        </w:rPr>
      </w:pPr>
      <w:bookmarkStart w:id="423" w:name="_Hlt69357851"/>
      <w:bookmarkEnd w:id="423"/>
      <w:bookmarkStart w:id="424" w:name="_Hlt69116854"/>
      <w:bookmarkEnd w:id="424"/>
      <w:bookmarkStart w:id="425" w:name="_Hlt69359335"/>
      <w:bookmarkEnd w:id="425"/>
      <w:bookmarkStart w:id="426" w:name="_Hlt80411122"/>
      <w:bookmarkEnd w:id="426"/>
      <w:bookmarkStart w:id="427" w:name="_Hlt66104926"/>
      <w:bookmarkEnd w:id="427"/>
      <w:bookmarkStart w:id="428" w:name="_Hlt87793346"/>
      <w:bookmarkEnd w:id="428"/>
      <w:bookmarkStart w:id="429" w:name="_Hlt68774758"/>
      <w:bookmarkEnd w:id="429"/>
      <w:bookmarkStart w:id="430" w:name="_Hlt69358207"/>
      <w:bookmarkEnd w:id="430"/>
      <w:bookmarkStart w:id="431" w:name="_Hlt75685840"/>
      <w:bookmarkEnd w:id="431"/>
      <w:bookmarkStart w:id="432" w:name="_Hlt87793370"/>
      <w:bookmarkEnd w:id="432"/>
      <w:bookmarkStart w:id="433" w:name="_Hlt69265216"/>
      <w:bookmarkEnd w:id="433"/>
      <w:bookmarkStart w:id="434" w:name="_Toc1436"/>
      <w:bookmarkStart w:id="435" w:name="_Toc1173"/>
      <w:bookmarkStart w:id="436" w:name="_Toc5215"/>
      <w:bookmarkStart w:id="437" w:name="_Toc466640611"/>
      <w:bookmarkStart w:id="438" w:name="_Toc21545"/>
      <w:bookmarkStart w:id="439" w:name="_Toc31511"/>
      <w:bookmarkStart w:id="440" w:name="_Toc7837"/>
      <w:bookmarkStart w:id="441" w:name="_Toc25463"/>
      <w:bookmarkStart w:id="442" w:name="_Toc8935"/>
    </w:p>
    <w:p w14:paraId="50BE59D3">
      <w:pPr>
        <w:pStyle w:val="4"/>
        <w:spacing w:line="360" w:lineRule="auto"/>
        <w:ind w:firstLine="241" w:firstLineChars="100"/>
        <w:outlineLvl w:val="1"/>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bookmarkStart w:id="443" w:name="_Toc5947"/>
      <w:r>
        <w:rPr>
          <w:rFonts w:hint="eastAsia" w:asciiTheme="minorEastAsia" w:hAnsiTheme="minorEastAsia" w:eastAsiaTheme="minorEastAsia" w:cstheme="minorEastAsia"/>
          <w:b/>
          <w:bCs/>
          <w:color w:val="000000" w:themeColor="text1"/>
          <w:szCs w:val="22"/>
          <w:highlight w:val="none"/>
          <w:lang w:val="en-US" w:eastAsia="zh-CN"/>
          <w14:textFill>
            <w14:solidFill>
              <w14:schemeClr w14:val="tx1"/>
            </w14:solidFill>
          </w14:textFill>
        </w:rPr>
        <w:t>一</w:t>
      </w:r>
      <w:r>
        <w:rPr>
          <w:rFonts w:hint="eastAsia" w:asciiTheme="minorEastAsia" w:hAnsiTheme="minorEastAsia" w:eastAsiaTheme="minorEastAsia" w:cstheme="minorEastAsia"/>
          <w:b/>
          <w:bCs/>
          <w:color w:val="000000" w:themeColor="text1"/>
          <w:szCs w:val="22"/>
          <w:highlight w:val="none"/>
          <w:lang w:eastAsia="zh-CN"/>
          <w14:textFill>
            <w14:solidFill>
              <w14:schemeClr w14:val="tx1"/>
            </w14:solidFill>
          </w14:textFill>
        </w:rPr>
        <w:t>、</w:t>
      </w: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工程的技术要求</w:t>
      </w:r>
      <w:bookmarkEnd w:id="434"/>
      <w:bookmarkEnd w:id="435"/>
      <w:bookmarkEnd w:id="436"/>
      <w:bookmarkEnd w:id="437"/>
      <w:bookmarkEnd w:id="438"/>
      <w:bookmarkEnd w:id="439"/>
      <w:bookmarkEnd w:id="440"/>
      <w:bookmarkEnd w:id="441"/>
      <w:bookmarkEnd w:id="442"/>
      <w:bookmarkEnd w:id="443"/>
    </w:p>
    <w:p w14:paraId="384FFE18">
      <w:pPr>
        <w:shd w:val="clear" w:color="auto" w:fill="auto"/>
        <w:tabs>
          <w:tab w:val="left" w:pos="180"/>
        </w:tabs>
        <w:snapToGrid w:val="0"/>
        <w:spacing w:line="360" w:lineRule="auto"/>
        <w:ind w:firstLine="424" w:firstLineChars="176"/>
        <w:outlineLvl w:val="2"/>
        <w:rPr>
          <w:rFonts w:hint="eastAsia" w:ascii="宋体" w:hAnsi="宋体" w:eastAsia="宋体" w:cs="宋体"/>
          <w:b/>
          <w:color w:val="000000" w:themeColor="text1"/>
          <w:kern w:val="0"/>
          <w:sz w:val="24"/>
          <w:szCs w:val="24"/>
          <w:highlight w:val="none"/>
          <w14:textFill>
            <w14:solidFill>
              <w14:schemeClr w14:val="tx1"/>
            </w14:solidFill>
          </w14:textFill>
        </w:rPr>
      </w:pPr>
      <w:bookmarkStart w:id="444" w:name="_Hlt69358458"/>
      <w:bookmarkEnd w:id="444"/>
      <w:bookmarkStart w:id="445" w:name="_Hlt69635252"/>
      <w:bookmarkEnd w:id="445"/>
      <w:bookmarkStart w:id="446" w:name="_Hlt69359245"/>
      <w:bookmarkEnd w:id="446"/>
      <w:bookmarkStart w:id="447" w:name="_Hlt78709799"/>
      <w:bookmarkEnd w:id="447"/>
      <w:bookmarkStart w:id="448" w:name="_Hlt69359086"/>
      <w:bookmarkEnd w:id="448"/>
      <w:bookmarkStart w:id="449" w:name="_Hlt69359243"/>
      <w:bookmarkEnd w:id="449"/>
      <w:bookmarkStart w:id="450" w:name="_Hlt69116858"/>
      <w:bookmarkEnd w:id="450"/>
      <w:bookmarkStart w:id="451" w:name="_Toc26078"/>
      <w:bookmarkStart w:id="452" w:name="_Toc16151"/>
      <w:r>
        <w:rPr>
          <w:rFonts w:hint="eastAsia" w:ascii="宋体" w:hAnsi="宋体" w:eastAsia="宋体" w:cs="宋体"/>
          <w:b/>
          <w:color w:val="000000" w:themeColor="text1"/>
          <w:kern w:val="0"/>
          <w:sz w:val="24"/>
          <w:szCs w:val="24"/>
          <w:highlight w:val="none"/>
          <w:lang w:val="en-US" w:eastAsia="zh-CN"/>
          <w14:textFill>
            <w14:solidFill>
              <w14:schemeClr w14:val="tx1"/>
            </w14:solidFill>
          </w14:textFill>
        </w:rPr>
        <w:t>1.</w:t>
      </w:r>
      <w:r>
        <w:rPr>
          <w:rFonts w:hint="eastAsia" w:ascii="宋体" w:hAnsi="宋体" w:eastAsia="宋体" w:cs="宋体"/>
          <w:b/>
          <w:color w:val="000000" w:themeColor="text1"/>
          <w:kern w:val="0"/>
          <w:sz w:val="24"/>
          <w:szCs w:val="24"/>
          <w:highlight w:val="none"/>
          <w14:textFill>
            <w14:solidFill>
              <w14:schemeClr w14:val="tx1"/>
            </w14:solidFill>
          </w14:textFill>
        </w:rPr>
        <w:t>工程设计标准规范</w:t>
      </w:r>
      <w:bookmarkEnd w:id="451"/>
      <w:bookmarkEnd w:id="452"/>
    </w:p>
    <w:p w14:paraId="0D0785F3">
      <w:pPr>
        <w:shd w:val="clear" w:color="auto" w:fill="auto"/>
        <w:spacing w:line="360" w:lineRule="auto"/>
        <w:ind w:left="547" w:leftChars="22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本工程设计必须达到且不限于以下规范的要求：</w:t>
      </w:r>
    </w:p>
    <w:p w14:paraId="5985C641">
      <w:pPr>
        <w:wordWrap w:val="0"/>
        <w:adjustRightInd w:val="0"/>
        <w:snapToGrid w:val="0"/>
        <w:spacing w:line="440" w:lineRule="exact"/>
        <w:ind w:left="42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14:textFill>
            <w14:solidFill>
              <w14:schemeClr w14:val="tx1"/>
            </w14:solidFill>
          </w14:textFill>
        </w:rPr>
        <w:t>1)《农田灌溉水质标准》（GB5084-2021）；</w:t>
      </w:r>
    </w:p>
    <w:p w14:paraId="1AEDF501">
      <w:pPr>
        <w:wordWrap w:val="0"/>
        <w:adjustRightInd w:val="0"/>
        <w:snapToGrid w:val="0"/>
        <w:spacing w:line="440" w:lineRule="exact"/>
        <w:ind w:left="42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14:textFill>
            <w14:solidFill>
              <w14:schemeClr w14:val="tx1"/>
            </w14:solidFill>
          </w14:textFill>
        </w:rPr>
        <w:t>2)《粪便无害化卫生要求》（GB7959-2012）；</w:t>
      </w:r>
    </w:p>
    <w:p w14:paraId="28B85BD7">
      <w:pPr>
        <w:wordWrap w:val="0"/>
        <w:adjustRightInd w:val="0"/>
        <w:snapToGrid w:val="0"/>
        <w:spacing w:line="440" w:lineRule="exact"/>
        <w:ind w:left="42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14:textFill>
            <w14:solidFill>
              <w14:schemeClr w14:val="tx1"/>
            </w14:solidFill>
          </w14:textFill>
        </w:rPr>
        <w:t>3)《农村户厕卫生规范》（GB19379-2012）；</w:t>
      </w:r>
    </w:p>
    <w:p w14:paraId="4C593590">
      <w:pPr>
        <w:wordWrap w:val="0"/>
        <w:adjustRightInd w:val="0"/>
        <w:snapToGrid w:val="0"/>
        <w:spacing w:line="440" w:lineRule="exact"/>
        <w:ind w:left="42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14:textFill>
            <w14:solidFill>
              <w14:schemeClr w14:val="tx1"/>
            </w14:solidFill>
          </w14:textFill>
        </w:rPr>
        <w:t>4)《室外排水设计标准》（GB50014-2021）；</w:t>
      </w:r>
    </w:p>
    <w:p w14:paraId="4E5E15BD">
      <w:pPr>
        <w:wordWrap w:val="0"/>
        <w:adjustRightInd w:val="0"/>
        <w:snapToGrid w:val="0"/>
        <w:spacing w:line="440" w:lineRule="exact"/>
        <w:ind w:left="42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14:textFill>
            <w14:solidFill>
              <w14:schemeClr w14:val="tx1"/>
            </w14:solidFill>
          </w14:textFill>
        </w:rPr>
        <w:t>5)《农村生活污水处理导则》（GB/T37071-2018）；</w:t>
      </w:r>
    </w:p>
    <w:p w14:paraId="71A2D5A6">
      <w:pPr>
        <w:wordWrap w:val="0"/>
        <w:adjustRightInd w:val="0"/>
        <w:snapToGrid w:val="0"/>
        <w:spacing w:line="440" w:lineRule="exact"/>
        <w:ind w:left="42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14:textFill>
            <w14:solidFill>
              <w14:schemeClr w14:val="tx1"/>
            </w14:solidFill>
          </w14:textFill>
        </w:rPr>
        <w:t>6)《农村生活污水处理排放标准》（DB44/2208-2019）；</w:t>
      </w:r>
    </w:p>
    <w:p w14:paraId="08CD986F">
      <w:pPr>
        <w:wordWrap w:val="0"/>
        <w:adjustRightInd w:val="0"/>
        <w:snapToGrid w:val="0"/>
        <w:spacing w:line="440" w:lineRule="exact"/>
        <w:ind w:left="42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14:textFill>
            <w14:solidFill>
              <w14:schemeClr w14:val="tx1"/>
            </w14:solidFill>
          </w14:textFill>
        </w:rPr>
        <w:t>7)《农村生活污水处理工程技术标准》（GB/T51347-2019）；</w:t>
      </w:r>
    </w:p>
    <w:p w14:paraId="0AEF53F6">
      <w:pPr>
        <w:wordWrap w:val="0"/>
        <w:adjustRightInd w:val="0"/>
        <w:snapToGrid w:val="0"/>
        <w:spacing w:line="440" w:lineRule="exact"/>
        <w:ind w:left="42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14:textFill>
            <w14:solidFill>
              <w14:schemeClr w14:val="tx1"/>
            </w14:solidFill>
          </w14:textFill>
        </w:rPr>
        <w:t>8)广东省地方标准《水污染物排放限值》（DB44/26-2001）；</w:t>
      </w:r>
    </w:p>
    <w:p w14:paraId="32CC6D33">
      <w:pPr>
        <w:wordWrap w:val="0"/>
        <w:adjustRightInd w:val="0"/>
        <w:snapToGrid w:val="0"/>
        <w:spacing w:line="440" w:lineRule="exact"/>
        <w:ind w:left="42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14:textFill>
            <w14:solidFill>
              <w14:schemeClr w14:val="tx1"/>
            </w14:solidFill>
          </w14:textFill>
        </w:rPr>
        <w:t>9)《地表水环境质量标准》（GB3838-2002）；</w:t>
      </w:r>
    </w:p>
    <w:p w14:paraId="300A307E">
      <w:pPr>
        <w:wordWrap w:val="0"/>
        <w:adjustRightInd w:val="0"/>
        <w:snapToGrid w:val="0"/>
        <w:spacing w:line="440" w:lineRule="exact"/>
        <w:ind w:left="42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14:textFill>
            <w14:solidFill>
              <w14:schemeClr w14:val="tx1"/>
            </w14:solidFill>
          </w14:textFill>
        </w:rPr>
        <w:t>10)《污水综合排放标准》（GB8978-1996）；</w:t>
      </w:r>
    </w:p>
    <w:p w14:paraId="12C66E5A">
      <w:pPr>
        <w:wordWrap w:val="0"/>
        <w:adjustRightInd w:val="0"/>
        <w:snapToGrid w:val="0"/>
        <w:spacing w:line="440" w:lineRule="exact"/>
        <w:ind w:left="42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14:textFill>
            <w14:solidFill>
              <w14:schemeClr w14:val="tx1"/>
            </w14:solidFill>
          </w14:textFill>
        </w:rPr>
        <w:t>11)《广东省地方标准用水定额第 3 部分：生活》（DB44/T1461.3—2021）；</w:t>
      </w:r>
    </w:p>
    <w:p w14:paraId="78D8AB64">
      <w:pPr>
        <w:wordWrap w:val="0"/>
        <w:adjustRightInd w:val="0"/>
        <w:snapToGrid w:val="0"/>
        <w:spacing w:line="440" w:lineRule="exact"/>
        <w:ind w:left="42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14:textFill>
            <w14:solidFill>
              <w14:schemeClr w14:val="tx1"/>
            </w14:solidFill>
          </w14:textFill>
        </w:rPr>
        <w:t>12)《市政公用工程设计文件编制深度规定》（20</w:t>
      </w:r>
      <w:r>
        <w:rPr>
          <w:rFonts w:hint="eastAsia" w:hAnsi="宋体" w:eastAsia="宋体" w:cs="宋体"/>
          <w:bCs/>
          <w:snapToGrid w:val="0"/>
          <w:color w:val="000000" w:themeColor="text1"/>
          <w:kern w:val="0"/>
          <w:sz w:val="24"/>
          <w:szCs w:val="24"/>
          <w:highlight w:val="none"/>
          <w:lang w:val="en-US" w:eastAsia="zh-CN"/>
          <w14:textFill>
            <w14:solidFill>
              <w14:schemeClr w14:val="tx1"/>
            </w14:solidFill>
          </w14:textFill>
        </w:rPr>
        <w:t>25</w:t>
      </w:r>
      <w:r>
        <w:rPr>
          <w:rFonts w:hint="eastAsia" w:ascii="宋体" w:hAnsi="宋体" w:eastAsia="宋体" w:cs="宋体"/>
          <w:bCs/>
          <w:snapToGrid w:val="0"/>
          <w:color w:val="000000" w:themeColor="text1"/>
          <w:kern w:val="0"/>
          <w:sz w:val="24"/>
          <w:szCs w:val="24"/>
          <w:highlight w:val="none"/>
          <w14:textFill>
            <w14:solidFill>
              <w14:schemeClr w14:val="tx1"/>
            </w14:solidFill>
          </w14:textFill>
        </w:rPr>
        <w:t xml:space="preserve"> 年版）；</w:t>
      </w:r>
    </w:p>
    <w:p w14:paraId="525A50C4">
      <w:pPr>
        <w:wordWrap w:val="0"/>
        <w:adjustRightInd w:val="0"/>
        <w:snapToGrid w:val="0"/>
        <w:spacing w:line="440" w:lineRule="exact"/>
        <w:ind w:left="42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14:textFill>
            <w14:solidFill>
              <w14:schemeClr w14:val="tx1"/>
            </w14:solidFill>
          </w14:textFill>
        </w:rPr>
        <w:t>13)《城市排水工程规划规范》（GB50318-2017）；</w:t>
      </w:r>
    </w:p>
    <w:p w14:paraId="3E2729B9">
      <w:pPr>
        <w:wordWrap w:val="0"/>
        <w:adjustRightInd w:val="0"/>
        <w:snapToGrid w:val="0"/>
        <w:spacing w:line="440" w:lineRule="exact"/>
        <w:ind w:left="42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14:textFill>
            <w14:solidFill>
              <w14:schemeClr w14:val="tx1"/>
            </w14:solidFill>
          </w14:textFill>
        </w:rPr>
        <w:t>14)《埋地硬聚氯乙烯排水管道工程技术规程》（CECS122-2020）；</w:t>
      </w:r>
    </w:p>
    <w:p w14:paraId="75EACED1">
      <w:pPr>
        <w:wordWrap w:val="0"/>
        <w:adjustRightInd w:val="0"/>
        <w:snapToGrid w:val="0"/>
        <w:spacing w:line="440" w:lineRule="exact"/>
        <w:ind w:left="42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14:textFill>
            <w14:solidFill>
              <w14:schemeClr w14:val="tx1"/>
            </w14:solidFill>
          </w14:textFill>
        </w:rPr>
        <w:t>15)《给水排水工程构筑物结构设计规范》（GB50069-2002）；</w:t>
      </w:r>
    </w:p>
    <w:p w14:paraId="68AB4B45">
      <w:pPr>
        <w:wordWrap w:val="0"/>
        <w:adjustRightInd w:val="0"/>
        <w:snapToGrid w:val="0"/>
        <w:spacing w:line="440" w:lineRule="exact"/>
        <w:ind w:left="42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14:textFill>
            <w14:solidFill>
              <w14:schemeClr w14:val="tx1"/>
            </w14:solidFill>
          </w14:textFill>
        </w:rPr>
        <w:t>16)《埋地塑料排水管道工程技术规范》（CJJ143-2010） ；</w:t>
      </w:r>
    </w:p>
    <w:p w14:paraId="3B49DA46">
      <w:pPr>
        <w:wordWrap w:val="0"/>
        <w:adjustRightInd w:val="0"/>
        <w:snapToGrid w:val="0"/>
        <w:spacing w:line="440" w:lineRule="exact"/>
        <w:ind w:left="42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14:textFill>
            <w14:solidFill>
              <w14:schemeClr w14:val="tx1"/>
            </w14:solidFill>
          </w14:textFill>
        </w:rPr>
        <w:t>17)《埋地聚乙烯排水管管道工程技术规程》（CECS164；2004） ；</w:t>
      </w:r>
    </w:p>
    <w:p w14:paraId="760B0D2F">
      <w:pPr>
        <w:wordWrap w:val="0"/>
        <w:adjustRightInd w:val="0"/>
        <w:snapToGrid w:val="0"/>
        <w:spacing w:line="440" w:lineRule="exact"/>
        <w:ind w:left="42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14:textFill>
            <w14:solidFill>
              <w14:schemeClr w14:val="tx1"/>
            </w14:solidFill>
          </w14:textFill>
        </w:rPr>
        <w:t>18)《镇（乡）村排水工程技术规程》（CJJ124-2008) ；</w:t>
      </w:r>
    </w:p>
    <w:p w14:paraId="66A0CBDC">
      <w:pPr>
        <w:wordWrap w:val="0"/>
        <w:adjustRightInd w:val="0"/>
        <w:snapToGrid w:val="0"/>
        <w:spacing w:line="440" w:lineRule="exact"/>
        <w:ind w:left="42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14:textFill>
            <w14:solidFill>
              <w14:schemeClr w14:val="tx1"/>
            </w14:solidFill>
          </w14:textFill>
        </w:rPr>
        <w:t>19)《建筑给水排水设计规范》（GB50015-2019）；</w:t>
      </w:r>
    </w:p>
    <w:p w14:paraId="38DE0970">
      <w:pPr>
        <w:wordWrap w:val="0"/>
        <w:adjustRightInd w:val="0"/>
        <w:snapToGrid w:val="0"/>
        <w:spacing w:line="440" w:lineRule="exact"/>
        <w:ind w:left="42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14:textFill>
            <w14:solidFill>
              <w14:schemeClr w14:val="tx1"/>
            </w14:solidFill>
          </w14:textFill>
        </w:rPr>
        <w:t>20)《给水排水管道工程施工及验收规范》（GB50268-2008）；</w:t>
      </w:r>
    </w:p>
    <w:p w14:paraId="1E80F267">
      <w:pPr>
        <w:wordWrap w:val="0"/>
        <w:adjustRightInd w:val="0"/>
        <w:snapToGrid w:val="0"/>
        <w:spacing w:line="440" w:lineRule="exact"/>
        <w:ind w:left="42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14:textFill>
            <w14:solidFill>
              <w14:schemeClr w14:val="tx1"/>
            </w14:solidFill>
          </w14:textFill>
        </w:rPr>
        <w:t>21)《建筑地基基础设计规范》（GB50007-2011）；</w:t>
      </w:r>
    </w:p>
    <w:p w14:paraId="3CDAAB99">
      <w:pPr>
        <w:wordWrap w:val="0"/>
        <w:adjustRightInd w:val="0"/>
        <w:snapToGrid w:val="0"/>
        <w:spacing w:line="440" w:lineRule="exact"/>
        <w:ind w:left="42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14:textFill>
            <w14:solidFill>
              <w14:schemeClr w14:val="tx1"/>
            </w14:solidFill>
          </w14:textFill>
        </w:rPr>
        <w:t>22)《砌体工程施工质量验收规范》（GB50203-2011）；</w:t>
      </w:r>
    </w:p>
    <w:p w14:paraId="459B2D5A">
      <w:pPr>
        <w:wordWrap w:val="0"/>
        <w:adjustRightInd w:val="0"/>
        <w:snapToGrid w:val="0"/>
        <w:spacing w:line="440" w:lineRule="exact"/>
        <w:ind w:left="42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14:textFill>
            <w14:solidFill>
              <w14:schemeClr w14:val="tx1"/>
            </w14:solidFill>
          </w14:textFill>
        </w:rPr>
        <w:t>23)《建筑地基基础工程施工质量验收标准》（GB50202-2018）；</w:t>
      </w:r>
    </w:p>
    <w:p w14:paraId="327350F2">
      <w:pPr>
        <w:wordWrap w:val="0"/>
        <w:adjustRightInd w:val="0"/>
        <w:snapToGrid w:val="0"/>
        <w:spacing w:line="440" w:lineRule="exact"/>
        <w:ind w:left="42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14:textFill>
            <w14:solidFill>
              <w14:schemeClr w14:val="tx1"/>
            </w14:solidFill>
          </w14:textFill>
        </w:rPr>
        <w:t>24)《建筑地基处理技术规范》（JGJ79-2012）；</w:t>
      </w:r>
    </w:p>
    <w:p w14:paraId="2E268934">
      <w:pPr>
        <w:wordWrap w:val="0"/>
        <w:adjustRightInd w:val="0"/>
        <w:snapToGrid w:val="0"/>
        <w:spacing w:line="440" w:lineRule="exact"/>
        <w:ind w:left="42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14:textFill>
            <w14:solidFill>
              <w14:schemeClr w14:val="tx1"/>
            </w14:solidFill>
          </w14:textFill>
        </w:rPr>
        <w:t>25)广东省标准《建筑地基基础设计规范》(DBJ15-31-2016)；</w:t>
      </w:r>
    </w:p>
    <w:p w14:paraId="427A6A5B">
      <w:pPr>
        <w:wordWrap w:val="0"/>
        <w:adjustRightInd w:val="0"/>
        <w:snapToGrid w:val="0"/>
        <w:spacing w:line="440" w:lineRule="exact"/>
        <w:ind w:left="42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14:textFill>
            <w14:solidFill>
              <w14:schemeClr w14:val="tx1"/>
            </w14:solidFill>
          </w14:textFill>
        </w:rPr>
        <w:t>26)《建筑与市政地基基础通用规范》（GB55003-2021）；</w:t>
      </w:r>
    </w:p>
    <w:p w14:paraId="6B617C7F">
      <w:pPr>
        <w:wordWrap w:val="0"/>
        <w:adjustRightInd w:val="0"/>
        <w:snapToGrid w:val="0"/>
        <w:spacing w:line="440" w:lineRule="exact"/>
        <w:ind w:left="42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14:textFill>
            <w14:solidFill>
              <w14:schemeClr w14:val="tx1"/>
            </w14:solidFill>
          </w14:textFill>
        </w:rPr>
        <w:t>27)《建筑与市政工程抗震通用规范》（GB55002-2021）；</w:t>
      </w:r>
    </w:p>
    <w:p w14:paraId="2FB9B8C5">
      <w:pPr>
        <w:wordWrap w:val="0"/>
        <w:adjustRightInd w:val="0"/>
        <w:snapToGrid w:val="0"/>
        <w:spacing w:line="440" w:lineRule="exact"/>
        <w:ind w:left="42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14:textFill>
            <w14:solidFill>
              <w14:schemeClr w14:val="tx1"/>
            </w14:solidFill>
          </w14:textFill>
        </w:rPr>
        <w:t>28)《混凝土结构通用规范》（GB55008-2021）；</w:t>
      </w:r>
    </w:p>
    <w:p w14:paraId="48D6A026">
      <w:pPr>
        <w:wordWrap w:val="0"/>
        <w:adjustRightInd w:val="0"/>
        <w:snapToGrid w:val="0"/>
        <w:spacing w:line="440" w:lineRule="exact"/>
        <w:ind w:left="42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14:textFill>
            <w14:solidFill>
              <w14:schemeClr w14:val="tx1"/>
            </w14:solidFill>
          </w14:textFill>
        </w:rPr>
        <w:t>29)《恶臭污染物排放标准》（GB14554-1993）；</w:t>
      </w:r>
    </w:p>
    <w:p w14:paraId="1C32B114">
      <w:pPr>
        <w:wordWrap w:val="0"/>
        <w:adjustRightInd w:val="0"/>
        <w:snapToGrid w:val="0"/>
        <w:spacing w:line="440" w:lineRule="exact"/>
        <w:ind w:left="42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14:textFill>
            <w14:solidFill>
              <w14:schemeClr w14:val="tx1"/>
            </w14:solidFill>
          </w14:textFill>
        </w:rPr>
        <w:t>30)《社会生活环境噪声排放标准》（GB22337-2008）；</w:t>
      </w:r>
    </w:p>
    <w:p w14:paraId="404BBD9D">
      <w:pPr>
        <w:wordWrap w:val="0"/>
        <w:adjustRightInd w:val="0"/>
        <w:snapToGrid w:val="0"/>
        <w:spacing w:line="440" w:lineRule="exact"/>
        <w:ind w:left="42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14:textFill>
            <w14:solidFill>
              <w14:schemeClr w14:val="tx1"/>
            </w14:solidFill>
          </w14:textFill>
        </w:rPr>
        <w:t>31)《防洪标准》（GB50201-2014）；</w:t>
      </w:r>
    </w:p>
    <w:p w14:paraId="4C79578B">
      <w:pPr>
        <w:wordWrap w:val="0"/>
        <w:adjustRightInd w:val="0"/>
        <w:snapToGrid w:val="0"/>
        <w:spacing w:line="440" w:lineRule="exact"/>
        <w:ind w:left="42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14:textFill>
            <w14:solidFill>
              <w14:schemeClr w14:val="tx1"/>
            </w14:solidFill>
          </w14:textFill>
        </w:rPr>
        <w:t>32)《合流制系统污水截污井设计规程》（CECS91:97）；</w:t>
      </w:r>
    </w:p>
    <w:p w14:paraId="7F81F8CE">
      <w:pPr>
        <w:wordWrap w:val="0"/>
        <w:adjustRightInd w:val="0"/>
        <w:snapToGrid w:val="0"/>
        <w:spacing w:line="440" w:lineRule="exact"/>
        <w:ind w:left="42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14:textFill>
            <w14:solidFill>
              <w14:schemeClr w14:val="tx1"/>
            </w14:solidFill>
          </w14:textFill>
        </w:rPr>
        <w:t>33)《测绘成果质量检查与验收》（GB/T24356-2009）；</w:t>
      </w:r>
    </w:p>
    <w:p w14:paraId="48864ABC">
      <w:pPr>
        <w:wordWrap w:val="0"/>
        <w:adjustRightInd w:val="0"/>
        <w:snapToGrid w:val="0"/>
        <w:spacing w:line="440" w:lineRule="exact"/>
        <w:ind w:left="42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14:textFill>
            <w14:solidFill>
              <w14:schemeClr w14:val="tx1"/>
            </w14:solidFill>
          </w14:textFill>
        </w:rPr>
        <w:t>34)《混凝土结构设计规范》（GB50010-2010）（2015 年版）；</w:t>
      </w:r>
    </w:p>
    <w:p w14:paraId="7E51BB5B">
      <w:pPr>
        <w:wordWrap w:val="0"/>
        <w:adjustRightInd w:val="0"/>
        <w:snapToGrid w:val="0"/>
        <w:spacing w:line="440" w:lineRule="exact"/>
        <w:ind w:left="42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14:textFill>
            <w14:solidFill>
              <w14:schemeClr w14:val="tx1"/>
            </w14:solidFill>
          </w14:textFill>
        </w:rPr>
        <w:t>35)《砌体结构设计规范》（GB50003-2011）；</w:t>
      </w:r>
    </w:p>
    <w:p w14:paraId="56422F11">
      <w:pPr>
        <w:wordWrap w:val="0"/>
        <w:adjustRightInd w:val="0"/>
        <w:snapToGrid w:val="0"/>
        <w:spacing w:line="440" w:lineRule="exact"/>
        <w:ind w:left="42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14:textFill>
            <w14:solidFill>
              <w14:schemeClr w14:val="tx1"/>
            </w14:solidFill>
          </w14:textFill>
        </w:rPr>
        <w:t>36)《建筑设计防火规范》（GB50016-2014）2018 年版；</w:t>
      </w:r>
    </w:p>
    <w:p w14:paraId="6DBE6C81">
      <w:pPr>
        <w:wordWrap w:val="0"/>
        <w:adjustRightInd w:val="0"/>
        <w:snapToGrid w:val="0"/>
        <w:spacing w:line="440" w:lineRule="exact"/>
        <w:ind w:left="42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14:textFill>
            <w14:solidFill>
              <w14:schemeClr w14:val="tx1"/>
            </w14:solidFill>
          </w14:textFill>
        </w:rPr>
        <w:t>37)《村庄污水处理设施技术规程》（CJJT163-2011）；</w:t>
      </w:r>
    </w:p>
    <w:p w14:paraId="094A6FA2">
      <w:pPr>
        <w:wordWrap w:val="0"/>
        <w:adjustRightInd w:val="0"/>
        <w:snapToGrid w:val="0"/>
        <w:spacing w:line="440" w:lineRule="exact"/>
        <w:ind w:left="42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14:textFill>
            <w14:solidFill>
              <w14:schemeClr w14:val="tx1"/>
            </w14:solidFill>
          </w14:textFill>
        </w:rPr>
        <w:t>38)《小城镇污水处理工程建设标准》（建标 148-2010）；</w:t>
      </w:r>
    </w:p>
    <w:p w14:paraId="0FCB622D">
      <w:pPr>
        <w:wordWrap w:val="0"/>
        <w:adjustRightInd w:val="0"/>
        <w:snapToGrid w:val="0"/>
        <w:spacing w:line="440" w:lineRule="exact"/>
        <w:ind w:left="42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14:textFill>
            <w14:solidFill>
              <w14:schemeClr w14:val="tx1"/>
            </w14:solidFill>
          </w14:textFill>
        </w:rPr>
        <w:t>39）其它现行设计标准和规范。</w:t>
      </w:r>
    </w:p>
    <w:p w14:paraId="48CBABD4">
      <w:pPr>
        <w:wordWrap w:val="0"/>
        <w:adjustRightInd w:val="0"/>
        <w:snapToGrid w:val="0"/>
        <w:spacing w:line="440" w:lineRule="exact"/>
        <w:ind w:left="42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14:textFill>
            <w14:solidFill>
              <w14:schemeClr w14:val="tx1"/>
            </w14:solidFill>
          </w14:textFill>
        </w:rPr>
        <w:t>备注：若有相关主管部门颁发新的标准规范则按新的标准规范执行。</w:t>
      </w:r>
    </w:p>
    <w:p w14:paraId="5555A85F">
      <w:pPr>
        <w:pStyle w:val="7"/>
        <w:rPr>
          <w:rFonts w:hint="eastAsia" w:ascii="宋体" w:hAnsi="宋体" w:eastAsia="宋体" w:cs="宋体"/>
          <w:color w:val="000000" w:themeColor="text1"/>
          <w:sz w:val="24"/>
          <w:szCs w:val="24"/>
          <w:highlight w:val="none"/>
          <w14:textFill>
            <w14:solidFill>
              <w14:schemeClr w14:val="tx1"/>
            </w14:solidFill>
          </w14:textFill>
        </w:rPr>
      </w:pPr>
    </w:p>
    <w:p w14:paraId="2607AC9E">
      <w:pPr>
        <w:pStyle w:val="6"/>
        <w:spacing w:line="360" w:lineRule="auto"/>
        <w:ind w:firstLine="482" w:firstLineChars="200"/>
        <w:rPr>
          <w:rFonts w:hint="eastAsia" w:ascii="宋体" w:hAnsi="宋体" w:eastAsia="宋体" w:cs="宋体"/>
          <w:b/>
          <w:bCs/>
          <w:color w:val="000000" w:themeColor="text1"/>
          <w:sz w:val="24"/>
          <w:szCs w:val="24"/>
          <w:highlight w:val="none"/>
          <w14:textFill>
            <w14:solidFill>
              <w14:schemeClr w14:val="tx1"/>
            </w14:solidFill>
          </w14:textFill>
        </w:rPr>
      </w:pPr>
      <w:bookmarkStart w:id="453" w:name="_Toc25668"/>
      <w:bookmarkStart w:id="454" w:name="_Toc28294"/>
      <w:r>
        <w:rPr>
          <w:rFonts w:hint="eastAsia" w:ascii="宋体" w:hAnsi="宋体" w:eastAsia="宋体" w:cs="宋体"/>
          <w:b/>
          <w:bCs/>
          <w:color w:val="000000" w:themeColor="text1"/>
          <w:sz w:val="24"/>
          <w:szCs w:val="24"/>
          <w:highlight w:val="none"/>
          <w14:textFill>
            <w14:solidFill>
              <w14:schemeClr w14:val="tx1"/>
            </w14:solidFill>
          </w14:textFill>
        </w:rPr>
        <w:t>2.施工规范</w:t>
      </w:r>
      <w:bookmarkEnd w:id="453"/>
      <w:bookmarkEnd w:id="454"/>
    </w:p>
    <w:p w14:paraId="6072678E">
      <w:pPr>
        <w:pStyle w:val="6"/>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2.1</w:t>
      </w:r>
      <w:r>
        <w:rPr>
          <w:rFonts w:hint="eastAsia" w:ascii="宋体" w:hAnsi="宋体" w:eastAsia="宋体" w:cs="宋体"/>
          <w:color w:val="000000" w:themeColor="text1"/>
          <w:sz w:val="24"/>
          <w:szCs w:val="24"/>
          <w:highlight w:val="none"/>
          <w14:textFill>
            <w14:solidFill>
              <w14:schemeClr w14:val="tx1"/>
            </w14:solidFill>
          </w14:textFill>
        </w:rPr>
        <w:t>．市政基础设施工程建设项目</w:t>
      </w:r>
    </w:p>
    <w:p w14:paraId="7FF27679">
      <w:pPr>
        <w:pStyle w:val="6"/>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市政基础设施工程建设项目必须执行的现行技术规范，包括且不限于：</w:t>
      </w:r>
    </w:p>
    <w:p w14:paraId="3C0A1A1D">
      <w:pPr>
        <w:pStyle w:val="6"/>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（1）《公路路基施工技术规范》；</w:t>
      </w:r>
    </w:p>
    <w:p w14:paraId="5EF3111A">
      <w:pPr>
        <w:pStyle w:val="6"/>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（2）《市政道路工程质量检验评定标准》；</w:t>
      </w:r>
    </w:p>
    <w:p w14:paraId="31097D51">
      <w:pPr>
        <w:pStyle w:val="6"/>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（3）《市政排水管渠工程质量检验评定标准》；</w:t>
      </w:r>
    </w:p>
    <w:p w14:paraId="1F583EFF">
      <w:pPr>
        <w:pStyle w:val="6"/>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（4）《给水排水管道工程施工及验收规范》；</w:t>
      </w:r>
    </w:p>
    <w:p w14:paraId="1EF238C8">
      <w:pPr>
        <w:pStyle w:val="6"/>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（5）《城市道路路基工程施工及验收规范》；</w:t>
      </w:r>
    </w:p>
    <w:p w14:paraId="46A507FA">
      <w:pPr>
        <w:pStyle w:val="6"/>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（6）《水泥砼路面施工及验收规范》；</w:t>
      </w:r>
    </w:p>
    <w:p w14:paraId="1E6D3761">
      <w:pPr>
        <w:pStyle w:val="6"/>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（7）《公路水泥砼路面施工技术规范》；</w:t>
      </w:r>
    </w:p>
    <w:p w14:paraId="74AFB81B">
      <w:pPr>
        <w:pStyle w:val="6"/>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（8）《埋地硬聚氯乙烯排水管道工程技术规程》；</w:t>
      </w:r>
    </w:p>
    <w:p w14:paraId="7706410A">
      <w:pPr>
        <w:pStyle w:val="6"/>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（9）《沥青路面施工及验收规范》；</w:t>
      </w:r>
    </w:p>
    <w:p w14:paraId="0D19C91F">
      <w:pPr>
        <w:pStyle w:val="6"/>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（10）《广东省市政工程施工质量技术资料统一用表》。</w:t>
      </w:r>
    </w:p>
    <w:p w14:paraId="23CD1CF7">
      <w:pPr>
        <w:pStyle w:val="6"/>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（11）《城市道路照明设计标准》（CJJ45-2015）；</w:t>
      </w:r>
    </w:p>
    <w:p w14:paraId="5E1D0379">
      <w:pPr>
        <w:pStyle w:val="6"/>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（12）《低压配电设计规范》（GB50054-2011）；</w:t>
      </w:r>
    </w:p>
    <w:p w14:paraId="50CFF7EC">
      <w:pPr>
        <w:pStyle w:val="6"/>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（13）《城市道路照明工程施工及验收规程》（CJJ89-2012）；</w:t>
      </w:r>
    </w:p>
    <w:p w14:paraId="677B31BD">
      <w:pPr>
        <w:pStyle w:val="6"/>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（14）《LED道路照明工程技术规范》（DB44/T 1898-2016）；</w:t>
      </w:r>
    </w:p>
    <w:p w14:paraId="5E8B5F9E">
      <w:pPr>
        <w:pStyle w:val="6"/>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（15）《灯具第1部分：一般要求与试验》（GB7000.1-2015）；</w:t>
      </w:r>
    </w:p>
    <w:p w14:paraId="33FE8B0C">
      <w:pPr>
        <w:pStyle w:val="6"/>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（16）《电缆工程电缆设计标准》（GB50217-2018）；</w:t>
      </w:r>
    </w:p>
    <w:p w14:paraId="08D74C60">
      <w:pPr>
        <w:pStyle w:val="6"/>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（17）其他现行国家、广东省关于市政工程的技术及验收规范、定额、规程、标准。</w:t>
      </w:r>
    </w:p>
    <w:p w14:paraId="14585D2D">
      <w:pPr>
        <w:pStyle w:val="4"/>
        <w:wordWrap w:val="0"/>
        <w:autoSpaceDE/>
        <w:autoSpaceDN/>
        <w:snapToGrid w:val="0"/>
        <w:spacing w:line="440" w:lineRule="exact"/>
        <w:ind w:firstLine="480"/>
        <w:jc w:val="both"/>
        <w:rPr>
          <w:rFonts w:hint="eastAsia" w:ascii="宋体" w:hAnsi="宋体" w:eastAsia="宋体" w:cs="宋体"/>
          <w:b/>
          <w:snapToGrid w:val="0"/>
          <w:color w:val="000000" w:themeColor="text1"/>
          <w:sz w:val="24"/>
          <w:szCs w:val="24"/>
          <w:highlight w:val="none"/>
          <w14:textFill>
            <w14:solidFill>
              <w14:schemeClr w14:val="tx1"/>
            </w14:solidFill>
          </w14:textFill>
        </w:rPr>
      </w:pPr>
      <w:bookmarkStart w:id="455" w:name="_Toc31093"/>
      <w:bookmarkStart w:id="456" w:name="_Toc7299"/>
      <w:bookmarkStart w:id="457" w:name="_Toc28818"/>
      <w:bookmarkStart w:id="458" w:name="_Toc2849"/>
      <w:bookmarkStart w:id="459" w:name="_Toc30285"/>
      <w:r>
        <w:rPr>
          <w:rFonts w:hint="eastAsia" w:ascii="宋体" w:hAnsi="宋体" w:eastAsia="宋体" w:cs="宋体"/>
          <w:b/>
          <w:snapToGrid w:val="0"/>
          <w:color w:val="000000" w:themeColor="text1"/>
          <w:sz w:val="24"/>
          <w:szCs w:val="24"/>
          <w:highlight w:val="none"/>
          <w14:textFill>
            <w14:solidFill>
              <w14:schemeClr w14:val="tx1"/>
            </w14:solidFill>
          </w14:textFill>
        </w:rPr>
        <w:t>3．备查要求</w:t>
      </w:r>
      <w:bookmarkEnd w:id="455"/>
      <w:bookmarkEnd w:id="456"/>
      <w:bookmarkEnd w:id="457"/>
      <w:bookmarkEnd w:id="458"/>
      <w:bookmarkEnd w:id="459"/>
    </w:p>
    <w:p w14:paraId="3FABABE2">
      <w:pPr>
        <w:tabs>
          <w:tab w:val="left" w:pos="0"/>
        </w:tabs>
        <w:wordWrap w:val="0"/>
        <w:adjustRightInd w:val="0"/>
        <w:snapToGrid w:val="0"/>
        <w:ind w:firstLine="480" w:firstLineChars="200"/>
        <w:jc w:val="left"/>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承包</w:t>
      </w:r>
      <w:r>
        <w:rPr>
          <w:rFonts w:hint="eastAsia" w:ascii="宋体" w:hAnsi="宋体" w:eastAsia="宋体" w:cs="宋体"/>
          <w:bCs/>
          <w:snapToGrid w:val="0"/>
          <w:color w:val="000000" w:themeColor="text1"/>
          <w:kern w:val="0"/>
          <w:sz w:val="24"/>
          <w:szCs w:val="24"/>
          <w:highlight w:val="none"/>
          <w14:textFill>
            <w14:solidFill>
              <w14:schemeClr w14:val="tx1"/>
            </w14:solidFill>
          </w14:textFill>
        </w:rPr>
        <w:t>人必须在施工现场准备至少一套上述规范，</w:t>
      </w:r>
      <w:r>
        <w:rPr>
          <w:rFonts w:hint="eastAsia" w:ascii="宋体" w:hAnsi="宋体" w:eastAsia="宋体" w:cs="宋体"/>
          <w:snapToGrid w:val="0"/>
          <w:color w:val="000000" w:themeColor="text1"/>
          <w:kern w:val="0"/>
          <w:sz w:val="24"/>
          <w:szCs w:val="24"/>
          <w:highlight w:val="none"/>
          <w14:textFill>
            <w14:solidFill>
              <w14:schemeClr w14:val="tx1"/>
            </w14:solidFill>
          </w14:textFill>
        </w:rPr>
        <w:t>发包</w:t>
      </w:r>
      <w:r>
        <w:rPr>
          <w:rFonts w:hint="eastAsia" w:ascii="宋体" w:hAnsi="宋体" w:eastAsia="宋体" w:cs="宋体"/>
          <w:bCs/>
          <w:snapToGrid w:val="0"/>
          <w:color w:val="000000" w:themeColor="text1"/>
          <w:kern w:val="0"/>
          <w:sz w:val="24"/>
          <w:szCs w:val="24"/>
          <w:highlight w:val="none"/>
          <w14:textFill>
            <w14:solidFill>
              <w14:schemeClr w14:val="tx1"/>
            </w14:solidFill>
          </w14:textFill>
        </w:rPr>
        <w:t>人和监理单位可随时检查</w:t>
      </w:r>
      <w:r>
        <w:rPr>
          <w:rFonts w:hint="eastAsia" w:ascii="宋体" w:hAnsi="宋体" w:eastAsia="宋体" w:cs="宋体"/>
          <w:snapToGrid w:val="0"/>
          <w:color w:val="000000" w:themeColor="text1"/>
          <w:kern w:val="0"/>
          <w:sz w:val="24"/>
          <w:szCs w:val="24"/>
          <w:highlight w:val="none"/>
          <w14:textFill>
            <w14:solidFill>
              <w14:schemeClr w14:val="tx1"/>
            </w14:solidFill>
          </w14:textFill>
        </w:rPr>
        <w:t>承包</w:t>
      </w:r>
      <w:r>
        <w:rPr>
          <w:rFonts w:hint="eastAsia" w:ascii="宋体" w:hAnsi="宋体" w:eastAsia="宋体" w:cs="宋体"/>
          <w:bCs/>
          <w:snapToGrid w:val="0"/>
          <w:color w:val="000000" w:themeColor="text1"/>
          <w:kern w:val="0"/>
          <w:sz w:val="24"/>
          <w:szCs w:val="24"/>
          <w:highlight w:val="none"/>
          <w14:textFill>
            <w14:solidFill>
              <w14:schemeClr w14:val="tx1"/>
            </w14:solidFill>
          </w14:textFill>
        </w:rPr>
        <w:t>人的上述规范，并监督</w:t>
      </w:r>
      <w:r>
        <w:rPr>
          <w:rFonts w:hint="eastAsia" w:ascii="宋体" w:hAnsi="宋体" w:eastAsia="宋体" w:cs="宋体"/>
          <w:snapToGrid w:val="0"/>
          <w:color w:val="000000" w:themeColor="text1"/>
          <w:kern w:val="0"/>
          <w:sz w:val="24"/>
          <w:szCs w:val="24"/>
          <w:highlight w:val="none"/>
          <w14:textFill>
            <w14:solidFill>
              <w14:schemeClr w14:val="tx1"/>
            </w14:solidFill>
          </w14:textFill>
        </w:rPr>
        <w:t>承包</w:t>
      </w:r>
      <w:r>
        <w:rPr>
          <w:rFonts w:hint="eastAsia" w:ascii="宋体" w:hAnsi="宋体" w:eastAsia="宋体" w:cs="宋体"/>
          <w:bCs/>
          <w:snapToGrid w:val="0"/>
          <w:color w:val="000000" w:themeColor="text1"/>
          <w:kern w:val="0"/>
          <w:sz w:val="24"/>
          <w:szCs w:val="24"/>
          <w:highlight w:val="none"/>
          <w14:textFill>
            <w14:solidFill>
              <w14:schemeClr w14:val="tx1"/>
            </w14:solidFill>
          </w14:textFill>
        </w:rPr>
        <w:t>人按规范要求执行。</w:t>
      </w:r>
    </w:p>
    <w:p w14:paraId="31099066">
      <w:pPr>
        <w:spacing w:line="360" w:lineRule="auto"/>
        <w:outlineLvl w:val="9"/>
        <w:rPr>
          <w:rFonts w:hint="eastAsia" w:asciiTheme="minorEastAsia" w:hAnsiTheme="minorEastAsia" w:eastAsiaTheme="minorEastAsia" w:cstheme="minorEastAsia"/>
          <w:color w:val="000000" w:themeColor="text1"/>
          <w:szCs w:val="22"/>
          <w:highlight w:val="none"/>
          <w14:textFill>
            <w14:solidFill>
              <w14:schemeClr w14:val="tx1"/>
            </w14:solidFill>
          </w14:textFill>
        </w:rPr>
      </w:pPr>
      <w:bookmarkStart w:id="460" w:name="_Toc466640612"/>
    </w:p>
    <w:bookmarkEnd w:id="460"/>
    <w:p w14:paraId="05F1A1F6">
      <w:pPr>
        <w:pStyle w:val="6"/>
        <w:spacing w:line="360" w:lineRule="auto"/>
        <w:ind w:firstLine="480" w:firstLineChars="20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bookmarkStart w:id="461" w:name="_Hlt69670335"/>
      <w:bookmarkEnd w:id="461"/>
    </w:p>
    <w:p w14:paraId="7E591EE9">
      <w:pPr>
        <w:rPr>
          <w:rFonts w:hint="eastAsia"/>
          <w:color w:val="000000" w:themeColor="text1"/>
          <w:highlight w:val="none"/>
          <w14:textFill>
            <w14:solidFill>
              <w14:schemeClr w14:val="tx1"/>
            </w14:solidFill>
          </w14:textFill>
        </w:rPr>
      </w:pPr>
      <w:bookmarkStart w:id="462" w:name="_Toc1911"/>
      <w:bookmarkStart w:id="463" w:name="_Toc6133"/>
      <w:bookmarkStart w:id="464" w:name="_Toc5639"/>
      <w:bookmarkStart w:id="465" w:name="_Toc23899"/>
      <w:bookmarkStart w:id="466" w:name="_Toc466640614"/>
      <w:bookmarkStart w:id="467" w:name="_Toc27843"/>
      <w:bookmarkStart w:id="468" w:name="_Toc5422"/>
      <w:bookmarkStart w:id="469" w:name="_Toc12955"/>
      <w:bookmarkStart w:id="470" w:name="_Toc16295"/>
      <w:bookmarkStart w:id="471" w:name="_Hlt69698785"/>
    </w:p>
    <w:p w14:paraId="2F59520C">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08F26BAF">
      <w:pPr>
        <w:pStyle w:val="2"/>
        <w:rPr>
          <w:rFonts w:hint="eastAsia"/>
          <w:color w:val="000000" w:themeColor="text1"/>
          <w:highlight w:val="none"/>
          <w14:textFill>
            <w14:solidFill>
              <w14:schemeClr w14:val="tx1"/>
            </w14:solidFill>
          </w14:textFill>
        </w:rPr>
      </w:pPr>
    </w:p>
    <w:bookmarkEnd w:id="462"/>
    <w:bookmarkEnd w:id="463"/>
    <w:bookmarkEnd w:id="464"/>
    <w:bookmarkEnd w:id="465"/>
    <w:bookmarkEnd w:id="466"/>
    <w:bookmarkEnd w:id="467"/>
    <w:bookmarkEnd w:id="468"/>
    <w:bookmarkEnd w:id="469"/>
    <w:bookmarkEnd w:id="470"/>
    <w:p w14:paraId="0BAE96FA">
      <w:pPr>
        <w:pStyle w:val="37"/>
        <w:keepNext/>
        <w:keepLines/>
        <w:tabs>
          <w:tab w:val="left" w:pos="885"/>
        </w:tabs>
        <w:spacing w:line="240" w:lineRule="auto"/>
        <w:jc w:val="center"/>
        <w:rPr>
          <w:rFonts w:hint="eastAsia" w:asciiTheme="minorEastAsia" w:hAnsiTheme="minorEastAsia" w:eastAsiaTheme="minorEastAsia" w:cstheme="minorEastAsia"/>
          <w:b/>
          <w:color w:val="000000" w:themeColor="text1"/>
          <w:kern w:val="44"/>
          <w:sz w:val="36"/>
          <w:szCs w:val="36"/>
          <w:highlight w:val="none"/>
          <w14:textFill>
            <w14:solidFill>
              <w14:schemeClr w14:val="tx1"/>
            </w14:solidFill>
          </w14:textFill>
        </w:rPr>
      </w:pPr>
      <w:bookmarkStart w:id="472" w:name="_Toc10156"/>
      <w:r>
        <w:rPr>
          <w:rFonts w:hint="eastAsia" w:asciiTheme="minorEastAsia" w:hAnsiTheme="minorEastAsia" w:eastAsiaTheme="minorEastAsia" w:cstheme="minorEastAsia"/>
          <w:b/>
          <w:color w:val="000000" w:themeColor="text1"/>
          <w:kern w:val="44"/>
          <w:sz w:val="36"/>
          <w:szCs w:val="36"/>
          <w:highlight w:val="none"/>
          <w:lang w:val="en-US" w:eastAsia="zh-CN"/>
          <w14:textFill>
            <w14:solidFill>
              <w14:schemeClr w14:val="tx1"/>
            </w14:solidFill>
          </w14:textFill>
        </w:rPr>
        <w:t xml:space="preserve">第六章  </w:t>
      </w:r>
      <w:r>
        <w:rPr>
          <w:rFonts w:hint="eastAsia" w:asciiTheme="minorEastAsia" w:hAnsiTheme="minorEastAsia" w:eastAsiaTheme="minorEastAsia" w:cstheme="minorEastAsia"/>
          <w:b/>
          <w:color w:val="000000" w:themeColor="text1"/>
          <w:kern w:val="44"/>
          <w:sz w:val="36"/>
          <w:szCs w:val="36"/>
          <w:highlight w:val="none"/>
          <w14:textFill>
            <w14:solidFill>
              <w14:schemeClr w14:val="tx1"/>
            </w14:solidFill>
          </w14:textFill>
        </w:rPr>
        <w:t>招标文件</w:t>
      </w:r>
      <w:bookmarkStart w:id="473" w:name="_Hlt75747044"/>
      <w:bookmarkEnd w:id="473"/>
      <w:r>
        <w:rPr>
          <w:rFonts w:hint="eastAsia" w:asciiTheme="minorEastAsia" w:hAnsiTheme="minorEastAsia" w:eastAsiaTheme="minorEastAsia" w:cstheme="minorEastAsia"/>
          <w:b/>
          <w:color w:val="000000" w:themeColor="text1"/>
          <w:kern w:val="44"/>
          <w:sz w:val="36"/>
          <w:szCs w:val="36"/>
          <w:highlight w:val="none"/>
          <w14:textFill>
            <w14:solidFill>
              <w14:schemeClr w14:val="tx1"/>
            </w14:solidFill>
          </w14:textFill>
        </w:rPr>
        <w:t>的附件</w:t>
      </w:r>
      <w:bookmarkEnd w:id="472"/>
    </w:p>
    <w:p w14:paraId="4A3E66F5">
      <w:pPr>
        <w:rPr>
          <w:rFonts w:hint="eastAsia" w:asciiTheme="minorEastAsia" w:hAnsiTheme="minorEastAsia" w:eastAsiaTheme="minorEastAsia" w:cstheme="minorEastAsia"/>
          <w:color w:val="000000" w:themeColor="text1"/>
          <w:highlight w:val="none"/>
          <w14:textFill>
            <w14:solidFill>
              <w14:schemeClr w14:val="tx1"/>
            </w14:solidFill>
          </w14:textFill>
        </w:rPr>
      </w:pPr>
    </w:p>
    <w:bookmarkEnd w:id="471"/>
    <w:p w14:paraId="695B4F72">
      <w:pPr>
        <w:pStyle w:val="4"/>
        <w:spacing w:before="120"/>
        <w:jc w:val="left"/>
        <w:rPr>
          <w:rFonts w:hint="eastAsia" w:asciiTheme="minorEastAsia" w:hAnsiTheme="minorEastAsia" w:eastAsiaTheme="minorEastAsia" w:cstheme="minorEastAsia"/>
          <w:b/>
          <w:snapToGrid w:val="0"/>
          <w:color w:val="000000" w:themeColor="text1"/>
          <w:szCs w:val="24"/>
          <w:highlight w:val="none"/>
          <w14:textFill>
            <w14:solidFill>
              <w14:schemeClr w14:val="tx1"/>
            </w14:solidFill>
          </w14:textFill>
        </w:rPr>
      </w:pPr>
      <w:bookmarkStart w:id="474" w:name="_附件二：工期承诺书"/>
      <w:bookmarkEnd w:id="474"/>
      <w:bookmarkStart w:id="475" w:name="_附件一：对招标文件条款自愿接受承诺书"/>
      <w:bookmarkEnd w:id="475"/>
      <w:bookmarkStart w:id="476" w:name="_附件二：近三年度主要施工项目（竣工及在建）一览表"/>
      <w:bookmarkEnd w:id="476"/>
      <w:bookmarkStart w:id="477" w:name="_附件五：综合评审合理低价法"/>
      <w:bookmarkEnd w:id="477"/>
      <w:bookmarkStart w:id="478" w:name="_附件一：投标函"/>
      <w:bookmarkEnd w:id="478"/>
      <w:bookmarkStart w:id="479" w:name="_附件四：工期承诺书"/>
      <w:bookmarkEnd w:id="479"/>
      <w:bookmarkStart w:id="480" w:name="_Toc12527"/>
      <w:bookmarkStart w:id="481" w:name="_Toc12406"/>
      <w:bookmarkStart w:id="482" w:name="_Toc3855"/>
      <w:bookmarkStart w:id="483" w:name="_Toc2902"/>
      <w:bookmarkStart w:id="484" w:name="_Toc6252"/>
      <w:bookmarkStart w:id="485" w:name="_Toc39136360"/>
      <w:bookmarkStart w:id="486" w:name="_Toc137444778"/>
      <w:bookmarkStart w:id="487" w:name="_Toc142468134"/>
      <w:bookmarkStart w:id="488" w:name="_Toc133160683"/>
      <w:bookmarkStart w:id="489" w:name="_Toc132687128"/>
      <w:bookmarkStart w:id="490" w:name="_Toc133815902"/>
      <w:bookmarkStart w:id="491" w:name="_Toc78794873"/>
      <w:r>
        <w:rPr>
          <w:rFonts w:hint="eastAsia" w:asciiTheme="minorEastAsia" w:hAnsiTheme="minorEastAsia" w:eastAsiaTheme="minorEastAsia" w:cstheme="minorEastAsia"/>
          <w:b/>
          <w:snapToGrid w:val="0"/>
          <w:color w:val="000000" w:themeColor="text1"/>
          <w:szCs w:val="24"/>
          <w:highlight w:val="none"/>
          <w14:textFill>
            <w14:solidFill>
              <w14:schemeClr w14:val="tx1"/>
            </w14:solidFill>
          </w14:textFill>
        </w:rPr>
        <w:t>格式一 封面</w:t>
      </w:r>
      <w:bookmarkEnd w:id="480"/>
      <w:bookmarkEnd w:id="481"/>
      <w:bookmarkEnd w:id="482"/>
      <w:bookmarkEnd w:id="483"/>
      <w:bookmarkEnd w:id="484"/>
      <w:bookmarkEnd w:id="485"/>
    </w:p>
    <w:p w14:paraId="38EBFF1A">
      <w:pPr>
        <w:pStyle w:val="47"/>
        <w:widowControl w:val="0"/>
        <w:wordWrap w:val="0"/>
        <w:adjustRightInd w:val="0"/>
        <w:snapToGrid w:val="0"/>
        <w:rPr>
          <w:rFonts w:hint="eastAsia" w:asciiTheme="minorEastAsia" w:hAnsiTheme="minorEastAsia" w:eastAsiaTheme="minorEastAsia" w:cstheme="minorEastAsia"/>
          <w:b/>
          <w:snapToGrid w:val="0"/>
          <w:color w:val="000000" w:themeColor="text1"/>
          <w:sz w:val="24"/>
          <w:szCs w:val="24"/>
          <w:highlight w:val="none"/>
          <w14:textFill>
            <w14:solidFill>
              <w14:schemeClr w14:val="tx1"/>
            </w14:solidFill>
          </w14:textFill>
        </w:rPr>
      </w:pPr>
    </w:p>
    <w:p w14:paraId="60F35822">
      <w:pPr>
        <w:pStyle w:val="47"/>
        <w:widowControl w:val="0"/>
        <w:wordWrap w:val="0"/>
        <w:adjustRightInd w:val="0"/>
        <w:snapToGrid w:val="0"/>
        <w:jc w:val="right"/>
        <w:rPr>
          <w:rFonts w:hint="eastAsia" w:asciiTheme="minorEastAsia" w:hAnsiTheme="minorEastAsia" w:eastAsiaTheme="minorEastAsia" w:cstheme="minorEastAsia"/>
          <w:b/>
          <w:snapToGrid w:val="0"/>
          <w:color w:val="000000" w:themeColor="text1"/>
          <w:sz w:val="24"/>
          <w:szCs w:val="24"/>
          <w:highlight w:val="none"/>
          <w14:textFill>
            <w14:solidFill>
              <w14:schemeClr w14:val="tx1"/>
            </w14:solidFill>
          </w14:textFill>
        </w:rPr>
      </w:pPr>
    </w:p>
    <w:p w14:paraId="31F0A621">
      <w:pPr>
        <w:pStyle w:val="47"/>
        <w:widowControl w:val="0"/>
        <w:wordWrap w:val="0"/>
        <w:adjustRightInd w:val="0"/>
        <w:snapToGrid w:val="0"/>
        <w:rPr>
          <w:rFonts w:hint="eastAsia" w:asciiTheme="minorEastAsia" w:hAnsiTheme="minorEastAsia" w:eastAsiaTheme="minorEastAsia" w:cstheme="minorEastAsia"/>
          <w:b/>
          <w:snapToGrid w:val="0"/>
          <w:color w:val="000000" w:themeColor="text1"/>
          <w:sz w:val="24"/>
          <w:szCs w:val="24"/>
          <w:highlight w:val="none"/>
          <w14:textFill>
            <w14:solidFill>
              <w14:schemeClr w14:val="tx1"/>
            </w14:solidFill>
          </w14:textFill>
        </w:rPr>
      </w:pPr>
    </w:p>
    <w:p w14:paraId="306826E3">
      <w:pPr>
        <w:pStyle w:val="47"/>
        <w:widowControl w:val="0"/>
        <w:wordWrap w:val="0"/>
        <w:adjustRightInd w:val="0"/>
        <w:snapToGrid w:val="0"/>
        <w:ind w:firstLine="0"/>
        <w:rPr>
          <w:rFonts w:hint="eastAsia" w:asciiTheme="minorEastAsia" w:hAnsiTheme="minorEastAsia" w:eastAsiaTheme="minorEastAsia" w:cstheme="minorEastAsia"/>
          <w:b/>
          <w:snapToGrid w:val="0"/>
          <w:color w:val="000000" w:themeColor="text1"/>
          <w:sz w:val="24"/>
          <w:highlight w:val="none"/>
          <w14:textFill>
            <w14:solidFill>
              <w14:schemeClr w14:val="tx1"/>
            </w14:solidFill>
          </w14:textFill>
        </w:rPr>
      </w:pPr>
      <w:bookmarkStart w:id="492" w:name="_附件十：单项工程费汇总表"/>
      <w:bookmarkEnd w:id="492"/>
      <w:bookmarkStart w:id="493" w:name="_Hlt68774664"/>
      <w:bookmarkEnd w:id="493"/>
      <w:bookmarkStart w:id="494" w:name="_Hlt69116778"/>
      <w:bookmarkEnd w:id="494"/>
      <w:bookmarkStart w:id="495" w:name="_附件二十五：综合评审合理低价法"/>
      <w:bookmarkEnd w:id="495"/>
      <w:bookmarkStart w:id="496" w:name="_附件二十四：技术标提问单"/>
      <w:bookmarkEnd w:id="496"/>
      <w:bookmarkStart w:id="497" w:name="_Toc15791"/>
      <w:bookmarkStart w:id="498" w:name="_Toc39136361"/>
      <w:bookmarkStart w:id="499" w:name="_Toc26795"/>
      <w:bookmarkStart w:id="500" w:name="_Toc28483"/>
      <w:bookmarkStart w:id="501" w:name="_Toc5872"/>
      <w:bookmarkStart w:id="502" w:name="_Toc106418843"/>
      <w:bookmarkStart w:id="503" w:name="_Hlt66847557"/>
      <w:bookmarkStart w:id="504" w:name="_Toc66849200"/>
      <w:bookmarkStart w:id="505" w:name="_Toc466640620"/>
      <w:bookmarkStart w:id="506" w:name="_Toc104711098"/>
    </w:p>
    <w:p w14:paraId="40A2918D">
      <w:pPr>
        <w:pStyle w:val="47"/>
        <w:widowControl w:val="0"/>
        <w:wordWrap w:val="0"/>
        <w:adjustRightInd w:val="0"/>
        <w:snapToGrid w:val="0"/>
        <w:rPr>
          <w:rFonts w:hint="eastAsia" w:asciiTheme="minorEastAsia" w:hAnsiTheme="minorEastAsia" w:eastAsiaTheme="minorEastAsia" w:cstheme="minorEastAsia"/>
          <w:b/>
          <w:snapToGrid w:val="0"/>
          <w:color w:val="000000" w:themeColor="text1"/>
          <w:sz w:val="24"/>
          <w:highlight w:val="none"/>
          <w14:textFill>
            <w14:solidFill>
              <w14:schemeClr w14:val="tx1"/>
            </w14:solidFill>
          </w14:textFill>
        </w:rPr>
      </w:pPr>
    </w:p>
    <w:p w14:paraId="7CAE7B27">
      <w:pPr>
        <w:pStyle w:val="47"/>
        <w:widowControl w:val="0"/>
        <w:wordWrap w:val="0"/>
        <w:adjustRightInd w:val="0"/>
        <w:snapToGrid w:val="0"/>
        <w:ind w:firstLine="0"/>
        <w:jc w:val="center"/>
        <w:rPr>
          <w:rFonts w:hint="eastAsia" w:asciiTheme="minorEastAsia" w:hAnsiTheme="minorEastAsia" w:eastAsiaTheme="minorEastAsia" w:cstheme="minorEastAsia"/>
          <w:b/>
          <w:snapToGrid w:val="0"/>
          <w:color w:val="000000" w:themeColor="text1"/>
          <w:sz w:val="48"/>
          <w:szCs w:val="48"/>
          <w:highlight w:val="none"/>
          <w14:textFill>
            <w14:solidFill>
              <w14:schemeClr w14:val="tx1"/>
            </w14:solidFill>
          </w14:textFill>
        </w:rPr>
      </w:pPr>
      <w:r>
        <w:rPr>
          <w:rFonts w:hint="eastAsia" w:asciiTheme="minorEastAsia" w:hAnsiTheme="minorEastAsia" w:eastAsiaTheme="minorEastAsia" w:cstheme="minorEastAsia"/>
          <w:b/>
          <w:snapToGrid w:val="0"/>
          <w:color w:val="000000" w:themeColor="text1"/>
          <w:sz w:val="48"/>
          <w:szCs w:val="48"/>
          <w:highlight w:val="none"/>
          <w:u w:val="single"/>
          <w14:textFill>
            <w14:solidFill>
              <w14:schemeClr w14:val="tx1"/>
            </w14:solidFill>
          </w14:textFill>
        </w:rPr>
        <w:t xml:space="preserve">（项目名称）   </w:t>
      </w:r>
      <w:r>
        <w:rPr>
          <w:rFonts w:hint="eastAsia" w:asciiTheme="minorEastAsia" w:hAnsiTheme="minorEastAsia" w:eastAsiaTheme="minorEastAsia" w:cstheme="minorEastAsia"/>
          <w:b/>
          <w:snapToGrid w:val="0"/>
          <w:color w:val="000000" w:themeColor="text1"/>
          <w:sz w:val="48"/>
          <w:szCs w:val="48"/>
          <w:highlight w:val="none"/>
          <w14:textFill>
            <w14:solidFill>
              <w14:schemeClr w14:val="tx1"/>
            </w14:solidFill>
          </w14:textFill>
        </w:rPr>
        <w:t>招标</w:t>
      </w:r>
    </w:p>
    <w:p w14:paraId="1F094AC6">
      <w:pPr>
        <w:pStyle w:val="47"/>
        <w:widowControl w:val="0"/>
        <w:wordWrap w:val="0"/>
        <w:adjustRightInd w:val="0"/>
        <w:snapToGrid w:val="0"/>
        <w:ind w:firstLine="0"/>
        <w:jc w:val="center"/>
        <w:rPr>
          <w:rFonts w:hint="eastAsia" w:asciiTheme="minorEastAsia" w:hAnsiTheme="minorEastAsia" w:eastAsiaTheme="minorEastAsia" w:cstheme="minorEastAsia"/>
          <w:b/>
          <w:snapToGrid w:val="0"/>
          <w:color w:val="000000" w:themeColor="text1"/>
          <w:sz w:val="32"/>
          <w:highlight w:val="none"/>
          <w14:textFill>
            <w14:solidFill>
              <w14:schemeClr w14:val="tx1"/>
            </w14:solidFill>
          </w14:textFill>
        </w:rPr>
      </w:pPr>
    </w:p>
    <w:p w14:paraId="1271A314">
      <w:pPr>
        <w:pStyle w:val="47"/>
        <w:widowControl w:val="0"/>
        <w:wordWrap w:val="0"/>
        <w:adjustRightInd w:val="0"/>
        <w:snapToGrid w:val="0"/>
        <w:ind w:firstLine="0"/>
        <w:jc w:val="center"/>
        <w:rPr>
          <w:rFonts w:hint="eastAsia" w:asciiTheme="minorEastAsia" w:hAnsiTheme="minorEastAsia" w:eastAsiaTheme="minorEastAsia" w:cstheme="minorEastAsia"/>
          <w:b/>
          <w:snapToGrid w:val="0"/>
          <w:color w:val="000000" w:themeColor="text1"/>
          <w:sz w:val="32"/>
          <w:highlight w:val="none"/>
          <w14:textFill>
            <w14:solidFill>
              <w14:schemeClr w14:val="tx1"/>
            </w14:solidFill>
          </w14:textFill>
        </w:rPr>
      </w:pPr>
    </w:p>
    <w:p w14:paraId="773F440A">
      <w:pPr>
        <w:pStyle w:val="47"/>
        <w:widowControl w:val="0"/>
        <w:wordWrap w:val="0"/>
        <w:adjustRightInd w:val="0"/>
        <w:snapToGrid w:val="0"/>
        <w:ind w:firstLine="0"/>
        <w:jc w:val="center"/>
        <w:rPr>
          <w:rFonts w:hint="eastAsia" w:asciiTheme="minorEastAsia" w:hAnsiTheme="minorEastAsia" w:eastAsiaTheme="minorEastAsia" w:cstheme="minorEastAsia"/>
          <w:b/>
          <w:snapToGrid w:val="0"/>
          <w:color w:val="000000" w:themeColor="text1"/>
          <w:sz w:val="32"/>
          <w:highlight w:val="none"/>
          <w14:textFill>
            <w14:solidFill>
              <w14:schemeClr w14:val="tx1"/>
            </w14:solidFill>
          </w14:textFill>
        </w:rPr>
      </w:pPr>
    </w:p>
    <w:p w14:paraId="70FED27C">
      <w:pPr>
        <w:pStyle w:val="47"/>
        <w:widowControl w:val="0"/>
        <w:wordWrap w:val="0"/>
        <w:adjustRightInd w:val="0"/>
        <w:snapToGrid w:val="0"/>
        <w:ind w:firstLine="0"/>
        <w:jc w:val="center"/>
        <w:rPr>
          <w:rFonts w:hint="eastAsia" w:asciiTheme="minorEastAsia" w:hAnsiTheme="minorEastAsia" w:eastAsiaTheme="minorEastAsia" w:cstheme="minorEastAsia"/>
          <w:b/>
          <w:snapToGrid w:val="0"/>
          <w:color w:val="000000" w:themeColor="text1"/>
          <w:sz w:val="32"/>
          <w:highlight w:val="none"/>
          <w14:textFill>
            <w14:solidFill>
              <w14:schemeClr w14:val="tx1"/>
            </w14:solidFill>
          </w14:textFill>
        </w:rPr>
      </w:pPr>
    </w:p>
    <w:p w14:paraId="6021F149">
      <w:pPr>
        <w:pStyle w:val="47"/>
        <w:widowControl w:val="0"/>
        <w:wordWrap w:val="0"/>
        <w:adjustRightInd w:val="0"/>
        <w:snapToGrid w:val="0"/>
        <w:ind w:firstLine="0"/>
        <w:jc w:val="center"/>
        <w:rPr>
          <w:rFonts w:hint="eastAsia" w:asciiTheme="minorEastAsia" w:hAnsiTheme="minorEastAsia" w:eastAsiaTheme="minorEastAsia" w:cstheme="minorEastAsia"/>
          <w:b/>
          <w:snapToGrid w:val="0"/>
          <w:color w:val="000000" w:themeColor="text1"/>
          <w:sz w:val="72"/>
          <w:highlight w:val="none"/>
          <w14:textFill>
            <w14:solidFill>
              <w14:schemeClr w14:val="tx1"/>
            </w14:solidFill>
          </w14:textFill>
        </w:rPr>
      </w:pPr>
      <w:r>
        <w:rPr>
          <w:rFonts w:hint="eastAsia" w:asciiTheme="minorEastAsia" w:hAnsiTheme="minorEastAsia" w:eastAsiaTheme="minorEastAsia" w:cstheme="minorEastAsia"/>
          <w:b/>
          <w:snapToGrid w:val="0"/>
          <w:color w:val="000000" w:themeColor="text1"/>
          <w:sz w:val="72"/>
          <w:highlight w:val="none"/>
          <w14:textFill>
            <w14:solidFill>
              <w14:schemeClr w14:val="tx1"/>
            </w14:solidFill>
          </w14:textFill>
        </w:rPr>
        <w:t>投  标  文  件</w:t>
      </w:r>
    </w:p>
    <w:p w14:paraId="34E6046F">
      <w:pPr>
        <w:pStyle w:val="47"/>
        <w:widowControl w:val="0"/>
        <w:wordWrap w:val="0"/>
        <w:adjustRightInd w:val="0"/>
        <w:snapToGrid w:val="0"/>
        <w:ind w:firstLine="0"/>
        <w:jc w:val="center"/>
        <w:rPr>
          <w:rFonts w:hint="eastAsia" w:asciiTheme="minorEastAsia" w:hAnsiTheme="minorEastAsia" w:eastAsiaTheme="minorEastAsia" w:cstheme="minorEastAsia"/>
          <w:b/>
          <w:snapToGrid w:val="0"/>
          <w:color w:val="000000" w:themeColor="text1"/>
          <w:sz w:val="32"/>
          <w:highlight w:val="none"/>
          <w14:textFill>
            <w14:solidFill>
              <w14:schemeClr w14:val="tx1"/>
            </w14:solidFill>
          </w14:textFill>
        </w:rPr>
      </w:pPr>
    </w:p>
    <w:p w14:paraId="73C06724">
      <w:pPr>
        <w:pStyle w:val="47"/>
        <w:widowControl w:val="0"/>
        <w:wordWrap w:val="0"/>
        <w:adjustRightInd w:val="0"/>
        <w:snapToGrid w:val="0"/>
        <w:ind w:firstLine="0"/>
        <w:rPr>
          <w:rFonts w:hint="eastAsia" w:asciiTheme="minorEastAsia" w:hAnsiTheme="minorEastAsia" w:eastAsiaTheme="minorEastAsia" w:cstheme="minorEastAsia"/>
          <w:b/>
          <w:snapToGrid w:val="0"/>
          <w:color w:val="000000" w:themeColor="text1"/>
          <w:sz w:val="32"/>
          <w:highlight w:val="none"/>
          <w14:textFill>
            <w14:solidFill>
              <w14:schemeClr w14:val="tx1"/>
            </w14:solidFill>
          </w14:textFill>
        </w:rPr>
      </w:pPr>
    </w:p>
    <w:p w14:paraId="25DD5413">
      <w:pPr>
        <w:pStyle w:val="47"/>
        <w:widowControl w:val="0"/>
        <w:wordWrap w:val="0"/>
        <w:adjustRightInd w:val="0"/>
        <w:snapToGrid w:val="0"/>
        <w:ind w:firstLine="0"/>
        <w:rPr>
          <w:rFonts w:hint="eastAsia" w:asciiTheme="minorEastAsia" w:hAnsiTheme="minorEastAsia" w:eastAsiaTheme="minorEastAsia" w:cstheme="minorEastAsia"/>
          <w:b/>
          <w:snapToGrid w:val="0"/>
          <w:color w:val="000000" w:themeColor="text1"/>
          <w:sz w:val="32"/>
          <w:highlight w:val="none"/>
          <w14:textFill>
            <w14:solidFill>
              <w14:schemeClr w14:val="tx1"/>
            </w14:solidFill>
          </w14:textFill>
        </w:rPr>
      </w:pPr>
    </w:p>
    <w:p w14:paraId="4D8E4B58">
      <w:pPr>
        <w:pStyle w:val="47"/>
        <w:widowControl w:val="0"/>
        <w:wordWrap w:val="0"/>
        <w:adjustRightInd w:val="0"/>
        <w:snapToGrid w:val="0"/>
        <w:rPr>
          <w:rFonts w:hint="eastAsia" w:asciiTheme="minorEastAsia" w:hAnsiTheme="minorEastAsia" w:eastAsiaTheme="minorEastAsia" w:cstheme="minorEastAsia"/>
          <w:b/>
          <w:snapToGrid w:val="0"/>
          <w:color w:val="000000" w:themeColor="text1"/>
          <w:sz w:val="32"/>
          <w:highlight w:val="none"/>
          <w14:textFill>
            <w14:solidFill>
              <w14:schemeClr w14:val="tx1"/>
            </w14:solidFill>
          </w14:textFill>
        </w:rPr>
      </w:pPr>
    </w:p>
    <w:p w14:paraId="4581AE92">
      <w:pPr>
        <w:pStyle w:val="47"/>
        <w:widowControl w:val="0"/>
        <w:wordWrap w:val="0"/>
        <w:adjustRightInd w:val="0"/>
        <w:snapToGrid w:val="0"/>
        <w:rPr>
          <w:rFonts w:hint="eastAsia" w:asciiTheme="minorEastAsia" w:hAnsiTheme="minorEastAsia" w:eastAsiaTheme="minorEastAsia" w:cstheme="minorEastAsia"/>
          <w:b/>
          <w:snapToGrid w:val="0"/>
          <w:color w:val="000000" w:themeColor="text1"/>
          <w:sz w:val="32"/>
          <w:highlight w:val="none"/>
          <w14:textFill>
            <w14:solidFill>
              <w14:schemeClr w14:val="tx1"/>
            </w14:solidFill>
          </w14:textFill>
        </w:rPr>
      </w:pPr>
    </w:p>
    <w:p w14:paraId="1D2843F0">
      <w:pPr>
        <w:pStyle w:val="47"/>
        <w:widowControl w:val="0"/>
        <w:wordWrap w:val="0"/>
        <w:adjustRightInd w:val="0"/>
        <w:snapToGrid w:val="0"/>
        <w:ind w:firstLine="0"/>
        <w:jc w:val="center"/>
        <w:rPr>
          <w:rFonts w:hint="eastAsia" w:hAnsi="宋体" w:eastAsia="宋体" w:cs="宋体"/>
          <w:bCs/>
          <w:snapToGrid w:val="0"/>
          <w:color w:val="000000" w:themeColor="text1"/>
          <w:sz w:val="32"/>
          <w:highlight w:val="none"/>
          <w14:textFill>
            <w14:solidFill>
              <w14:schemeClr w14:val="tx1"/>
            </w14:solidFill>
          </w14:textFill>
        </w:rPr>
      </w:pPr>
      <w:r>
        <w:rPr>
          <w:rFonts w:hint="eastAsia" w:hAnsi="宋体" w:eastAsia="宋体" w:cs="宋体"/>
          <w:bCs/>
          <w:snapToGrid w:val="0"/>
          <w:color w:val="000000" w:themeColor="text1"/>
          <w:sz w:val="32"/>
          <w:highlight w:val="none"/>
          <w14:textFill>
            <w14:solidFill>
              <w14:schemeClr w14:val="tx1"/>
            </w14:solidFill>
          </w14:textFill>
        </w:rPr>
        <w:t>投标人：</w:t>
      </w:r>
      <w:r>
        <w:rPr>
          <w:rFonts w:hint="eastAsia" w:hAnsi="宋体" w:eastAsia="宋体" w:cs="宋体"/>
          <w:bCs/>
          <w:snapToGrid w:val="0"/>
          <w:color w:val="000000" w:themeColor="text1"/>
          <w:sz w:val="32"/>
          <w:highlight w:val="none"/>
          <w:u w:val="single"/>
          <w14:textFill>
            <w14:solidFill>
              <w14:schemeClr w14:val="tx1"/>
            </w14:solidFill>
          </w14:textFill>
        </w:rPr>
        <w:t xml:space="preserve">                                    </w:t>
      </w:r>
      <w:r>
        <w:rPr>
          <w:rFonts w:hint="eastAsia" w:hAnsi="宋体" w:eastAsia="宋体" w:cs="宋体"/>
          <w:bCs/>
          <w:snapToGrid w:val="0"/>
          <w:color w:val="000000" w:themeColor="text1"/>
          <w:sz w:val="32"/>
          <w:highlight w:val="none"/>
          <w14:textFill>
            <w14:solidFill>
              <w14:schemeClr w14:val="tx1"/>
            </w14:solidFill>
          </w14:textFill>
        </w:rPr>
        <w:t>（盖单位章）</w:t>
      </w:r>
    </w:p>
    <w:p w14:paraId="1C895DBE">
      <w:pPr>
        <w:pStyle w:val="47"/>
        <w:widowControl w:val="0"/>
        <w:wordWrap w:val="0"/>
        <w:adjustRightInd w:val="0"/>
        <w:snapToGrid w:val="0"/>
        <w:ind w:firstLine="0"/>
        <w:jc w:val="center"/>
        <w:rPr>
          <w:rFonts w:hint="eastAsia" w:hAnsi="宋体" w:eastAsia="宋体" w:cs="宋体"/>
          <w:bCs/>
          <w:snapToGrid w:val="0"/>
          <w:color w:val="000000" w:themeColor="text1"/>
          <w:sz w:val="32"/>
          <w:highlight w:val="none"/>
          <w14:textFill>
            <w14:solidFill>
              <w14:schemeClr w14:val="tx1"/>
            </w14:solidFill>
          </w14:textFill>
        </w:rPr>
      </w:pPr>
    </w:p>
    <w:p w14:paraId="5ADD4FE5">
      <w:pPr>
        <w:pStyle w:val="47"/>
        <w:widowControl w:val="0"/>
        <w:wordWrap w:val="0"/>
        <w:adjustRightInd w:val="0"/>
        <w:snapToGrid w:val="0"/>
        <w:ind w:firstLine="0"/>
        <w:jc w:val="center"/>
        <w:rPr>
          <w:rFonts w:hint="eastAsia" w:hAnsi="宋体" w:eastAsia="宋体" w:cs="宋体"/>
          <w:bCs/>
          <w:snapToGrid w:val="0"/>
          <w:color w:val="000000" w:themeColor="text1"/>
          <w:sz w:val="32"/>
          <w:highlight w:val="none"/>
          <w14:textFill>
            <w14:solidFill>
              <w14:schemeClr w14:val="tx1"/>
            </w14:solidFill>
          </w14:textFill>
        </w:rPr>
      </w:pPr>
    </w:p>
    <w:p w14:paraId="5A2BC09B">
      <w:pPr>
        <w:pStyle w:val="47"/>
        <w:widowControl w:val="0"/>
        <w:wordWrap w:val="0"/>
        <w:adjustRightInd w:val="0"/>
        <w:snapToGrid w:val="0"/>
        <w:ind w:firstLine="0"/>
        <w:jc w:val="center"/>
        <w:rPr>
          <w:rFonts w:hint="eastAsia" w:hAnsi="宋体" w:eastAsia="宋体" w:cs="宋体"/>
          <w:bCs/>
          <w:snapToGrid w:val="0"/>
          <w:color w:val="000000" w:themeColor="text1"/>
          <w:sz w:val="32"/>
          <w:highlight w:val="none"/>
          <w14:textFill>
            <w14:solidFill>
              <w14:schemeClr w14:val="tx1"/>
            </w14:solidFill>
          </w14:textFill>
        </w:rPr>
      </w:pPr>
    </w:p>
    <w:p w14:paraId="47F0C4EF">
      <w:pPr>
        <w:pStyle w:val="47"/>
        <w:widowControl w:val="0"/>
        <w:wordWrap w:val="0"/>
        <w:adjustRightInd w:val="0"/>
        <w:snapToGrid w:val="0"/>
        <w:ind w:firstLine="0"/>
        <w:jc w:val="center"/>
        <w:rPr>
          <w:rFonts w:hint="eastAsia" w:hAnsi="宋体" w:eastAsia="宋体" w:cs="宋体"/>
          <w:bCs/>
          <w:snapToGrid w:val="0"/>
          <w:color w:val="000000" w:themeColor="text1"/>
          <w:sz w:val="32"/>
          <w:highlight w:val="none"/>
          <w14:textFill>
            <w14:solidFill>
              <w14:schemeClr w14:val="tx1"/>
            </w14:solidFill>
          </w14:textFill>
        </w:rPr>
      </w:pPr>
      <w:r>
        <w:rPr>
          <w:rFonts w:hint="eastAsia" w:hAnsi="宋体" w:eastAsia="宋体" w:cs="宋体"/>
          <w:bCs/>
          <w:snapToGrid w:val="0"/>
          <w:color w:val="000000" w:themeColor="text1"/>
          <w:sz w:val="32"/>
          <w:highlight w:val="none"/>
          <w14:textFill>
            <w14:solidFill>
              <w14:schemeClr w14:val="tx1"/>
            </w14:solidFill>
          </w14:textFill>
        </w:rPr>
        <w:t>法定代表人或其委托代理人：</w:t>
      </w:r>
      <w:r>
        <w:rPr>
          <w:rFonts w:hint="eastAsia" w:hAnsi="宋体" w:eastAsia="宋体" w:cs="宋体"/>
          <w:bCs/>
          <w:snapToGrid w:val="0"/>
          <w:color w:val="000000" w:themeColor="text1"/>
          <w:sz w:val="32"/>
          <w:highlight w:val="none"/>
          <w:u w:val="single"/>
          <w14:textFill>
            <w14:solidFill>
              <w14:schemeClr w14:val="tx1"/>
            </w14:solidFill>
          </w14:textFill>
        </w:rPr>
        <w:t xml:space="preserve">                 </w:t>
      </w:r>
      <w:r>
        <w:rPr>
          <w:rFonts w:hint="eastAsia" w:hAnsi="宋体" w:eastAsia="宋体" w:cs="宋体"/>
          <w:bCs/>
          <w:snapToGrid w:val="0"/>
          <w:color w:val="000000" w:themeColor="text1"/>
          <w:sz w:val="32"/>
          <w:highlight w:val="none"/>
          <w14:textFill>
            <w14:solidFill>
              <w14:schemeClr w14:val="tx1"/>
            </w14:solidFill>
          </w14:textFill>
        </w:rPr>
        <w:t>（签字或盖章）</w:t>
      </w:r>
    </w:p>
    <w:p w14:paraId="21481EC0">
      <w:pPr>
        <w:pStyle w:val="47"/>
        <w:widowControl w:val="0"/>
        <w:wordWrap w:val="0"/>
        <w:adjustRightInd w:val="0"/>
        <w:snapToGrid w:val="0"/>
        <w:ind w:firstLine="0"/>
        <w:jc w:val="center"/>
        <w:rPr>
          <w:rFonts w:hint="eastAsia" w:hAnsi="宋体" w:eastAsia="宋体" w:cs="宋体"/>
          <w:bCs/>
          <w:snapToGrid w:val="0"/>
          <w:color w:val="000000" w:themeColor="text1"/>
          <w:sz w:val="32"/>
          <w:highlight w:val="none"/>
          <w14:textFill>
            <w14:solidFill>
              <w14:schemeClr w14:val="tx1"/>
            </w14:solidFill>
          </w14:textFill>
        </w:rPr>
      </w:pPr>
    </w:p>
    <w:p w14:paraId="157E14DD">
      <w:pPr>
        <w:pStyle w:val="47"/>
        <w:widowControl w:val="0"/>
        <w:wordWrap w:val="0"/>
        <w:adjustRightInd w:val="0"/>
        <w:snapToGrid w:val="0"/>
        <w:ind w:firstLine="0"/>
        <w:jc w:val="center"/>
        <w:rPr>
          <w:rFonts w:hint="eastAsia" w:hAnsi="宋体" w:eastAsia="宋体" w:cs="宋体"/>
          <w:bCs/>
          <w:snapToGrid w:val="0"/>
          <w:color w:val="000000" w:themeColor="text1"/>
          <w:sz w:val="32"/>
          <w:highlight w:val="none"/>
          <w:u w:val="single"/>
          <w14:textFill>
            <w14:solidFill>
              <w14:schemeClr w14:val="tx1"/>
            </w14:solidFill>
          </w14:textFill>
        </w:rPr>
      </w:pPr>
    </w:p>
    <w:p w14:paraId="62209C4C">
      <w:pPr>
        <w:pStyle w:val="47"/>
        <w:widowControl w:val="0"/>
        <w:wordWrap w:val="0"/>
        <w:adjustRightInd w:val="0"/>
        <w:snapToGrid w:val="0"/>
        <w:ind w:firstLine="0"/>
        <w:jc w:val="center"/>
        <w:rPr>
          <w:rFonts w:hint="eastAsia" w:hAnsi="宋体" w:eastAsia="宋体" w:cs="宋体"/>
          <w:b/>
          <w:snapToGrid w:val="0"/>
          <w:color w:val="000000" w:themeColor="text1"/>
          <w:highlight w:val="none"/>
          <w14:textFill>
            <w14:solidFill>
              <w14:schemeClr w14:val="tx1"/>
            </w14:solidFill>
          </w14:textFill>
        </w:rPr>
      </w:pPr>
      <w:r>
        <w:rPr>
          <w:rFonts w:hint="eastAsia" w:hAnsi="宋体" w:eastAsia="宋体" w:cs="宋体"/>
          <w:bCs/>
          <w:snapToGrid w:val="0"/>
          <w:color w:val="000000" w:themeColor="text1"/>
          <w:sz w:val="32"/>
          <w:highlight w:val="none"/>
          <w:u w:val="single"/>
          <w14:textFill>
            <w14:solidFill>
              <w14:schemeClr w14:val="tx1"/>
            </w14:solidFill>
          </w14:textFill>
        </w:rPr>
        <w:t xml:space="preserve">         </w:t>
      </w:r>
      <w:r>
        <w:rPr>
          <w:rFonts w:hint="eastAsia" w:hAnsi="宋体" w:eastAsia="宋体" w:cs="宋体"/>
          <w:bCs/>
          <w:snapToGrid w:val="0"/>
          <w:color w:val="000000" w:themeColor="text1"/>
          <w:sz w:val="32"/>
          <w:highlight w:val="none"/>
          <w14:textFill>
            <w14:solidFill>
              <w14:schemeClr w14:val="tx1"/>
            </w14:solidFill>
          </w14:textFill>
        </w:rPr>
        <w:t>年</w:t>
      </w:r>
      <w:r>
        <w:rPr>
          <w:rFonts w:hint="eastAsia" w:hAnsi="宋体" w:eastAsia="宋体" w:cs="宋体"/>
          <w:bCs/>
          <w:snapToGrid w:val="0"/>
          <w:color w:val="000000" w:themeColor="text1"/>
          <w:sz w:val="32"/>
          <w:highlight w:val="none"/>
          <w:u w:val="single"/>
          <w14:textFill>
            <w14:solidFill>
              <w14:schemeClr w14:val="tx1"/>
            </w14:solidFill>
          </w14:textFill>
        </w:rPr>
        <w:t xml:space="preserve">      </w:t>
      </w:r>
      <w:r>
        <w:rPr>
          <w:rFonts w:hint="eastAsia" w:hAnsi="宋体" w:eastAsia="宋体" w:cs="宋体"/>
          <w:bCs/>
          <w:snapToGrid w:val="0"/>
          <w:color w:val="000000" w:themeColor="text1"/>
          <w:sz w:val="32"/>
          <w:highlight w:val="none"/>
          <w14:textFill>
            <w14:solidFill>
              <w14:schemeClr w14:val="tx1"/>
            </w14:solidFill>
          </w14:textFill>
        </w:rPr>
        <w:t>月</w:t>
      </w:r>
      <w:r>
        <w:rPr>
          <w:rFonts w:hint="eastAsia" w:hAnsi="宋体" w:eastAsia="宋体" w:cs="宋体"/>
          <w:bCs/>
          <w:snapToGrid w:val="0"/>
          <w:color w:val="000000" w:themeColor="text1"/>
          <w:sz w:val="32"/>
          <w:highlight w:val="none"/>
          <w:u w:val="single"/>
          <w14:textFill>
            <w14:solidFill>
              <w14:schemeClr w14:val="tx1"/>
            </w14:solidFill>
          </w14:textFill>
        </w:rPr>
        <w:t xml:space="preserve">      </w:t>
      </w:r>
      <w:r>
        <w:rPr>
          <w:rFonts w:hint="eastAsia" w:hAnsi="宋体" w:eastAsia="宋体" w:cs="宋体"/>
          <w:bCs/>
          <w:snapToGrid w:val="0"/>
          <w:color w:val="000000" w:themeColor="text1"/>
          <w:sz w:val="32"/>
          <w:highlight w:val="none"/>
          <w14:textFill>
            <w14:solidFill>
              <w14:schemeClr w14:val="tx1"/>
            </w14:solidFill>
          </w14:textFill>
        </w:rPr>
        <w:t>日</w:t>
      </w:r>
    </w:p>
    <w:p w14:paraId="7FD7E948">
      <w:pPr>
        <w:spacing w:before="120"/>
        <w:outlineLvl w:val="9"/>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p>
    <w:p w14:paraId="358AD960">
      <w:pPr>
        <w:spacing w:before="120"/>
        <w:outlineLvl w:val="9"/>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p>
    <w:p w14:paraId="70FF42CD">
      <w:pPr>
        <w:spacing w:before="120"/>
        <w:outlineLvl w:val="9"/>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p>
    <w:p w14:paraId="3BD98665">
      <w:pPr>
        <w:pStyle w:val="4"/>
        <w:spacing w:before="120"/>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bookmarkStart w:id="507" w:name="_Toc9668"/>
    </w:p>
    <w:p w14:paraId="5DA514C6">
      <w:pPr>
        <w:pStyle w:val="4"/>
        <w:spacing w:before="120"/>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 xml:space="preserve">格式二 </w:t>
      </w:r>
      <w:bookmarkEnd w:id="497"/>
      <w:bookmarkEnd w:id="498"/>
      <w:bookmarkEnd w:id="499"/>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《投标函》及《工程项目总价表》</w:t>
      </w:r>
      <w:bookmarkEnd w:id="500"/>
      <w:bookmarkEnd w:id="501"/>
      <w:bookmarkEnd w:id="507"/>
    </w:p>
    <w:p w14:paraId="7E96A797">
      <w:pPr>
        <w:wordWrap w:val="0"/>
        <w:adjustRightInd w:val="0"/>
        <w:snapToGrid w:val="0"/>
        <w:spacing w:line="440" w:lineRule="exact"/>
        <w:ind w:firstLine="570"/>
        <w:rPr>
          <w:rFonts w:hint="eastAsia" w:asciiTheme="minorEastAsia" w:hAnsiTheme="minorEastAsia" w:eastAsiaTheme="minorEastAsia" w:cstheme="minorEastAsia"/>
          <w:color w:val="000000" w:themeColor="text1"/>
          <w:szCs w:val="22"/>
          <w:highlight w:val="none"/>
          <w14:textFill>
            <w14:solidFill>
              <w14:schemeClr w14:val="tx1"/>
            </w14:solidFill>
          </w14:textFill>
        </w:rPr>
      </w:pPr>
      <w:bookmarkStart w:id="508" w:name="_Toc8657"/>
      <w:bookmarkStart w:id="509" w:name="_Toc28636"/>
      <w:bookmarkStart w:id="510" w:name="_Toc27121"/>
      <w:bookmarkStart w:id="511" w:name="_Toc18294"/>
      <w:bookmarkStart w:id="512" w:name="_Toc21577"/>
      <w:bookmarkStart w:id="513" w:name="_Toc10604"/>
      <w:bookmarkStart w:id="514" w:name="_Toc29375"/>
      <w:bookmarkStart w:id="515" w:name="_Toc9280"/>
      <w:bookmarkStart w:id="516" w:name="_Toc39136362"/>
    </w:p>
    <w:p w14:paraId="141A9169">
      <w:pPr>
        <w:wordWrap w:val="0"/>
        <w:adjustRightInd w:val="0"/>
        <w:snapToGrid w:val="0"/>
        <w:spacing w:line="440" w:lineRule="exact"/>
        <w:jc w:val="center"/>
        <w:rPr>
          <w:rFonts w:hint="eastAsia" w:asciiTheme="minorEastAsia" w:hAnsiTheme="minorEastAsia" w:eastAsiaTheme="minorEastAsia" w:cstheme="minorEastAsia"/>
          <w:b/>
          <w:bCs/>
          <w:color w:val="000000" w:themeColor="text1"/>
          <w:szCs w:val="22"/>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2"/>
          <w:highlight w:val="none"/>
          <w14:textFill>
            <w14:solidFill>
              <w14:schemeClr w14:val="tx1"/>
            </w14:solidFill>
          </w14:textFill>
        </w:rPr>
        <w:t>投  标  函</w:t>
      </w:r>
      <w:bookmarkEnd w:id="508"/>
      <w:bookmarkEnd w:id="509"/>
      <w:bookmarkEnd w:id="510"/>
      <w:bookmarkEnd w:id="511"/>
      <w:bookmarkEnd w:id="512"/>
      <w:bookmarkEnd w:id="513"/>
      <w:bookmarkEnd w:id="514"/>
      <w:bookmarkEnd w:id="515"/>
      <w:bookmarkEnd w:id="516"/>
    </w:p>
    <w:p w14:paraId="391E1D3A">
      <w:pPr>
        <w:wordWrap w:val="0"/>
        <w:adjustRightInd w:val="0"/>
        <w:snapToGrid w:val="0"/>
        <w:spacing w:line="44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27008BC0">
      <w:pPr>
        <w:wordWrap w:val="0"/>
        <w:adjustRightInd w:val="0"/>
        <w:snapToGrid w:val="0"/>
        <w:spacing w:line="440" w:lineRule="exact"/>
        <w:rPr>
          <w:rFonts w:hint="eastAsia"/>
          <w:color w:val="000000" w:themeColor="text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致：</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（招标人名称）</w:t>
      </w:r>
    </w:p>
    <w:p w14:paraId="0814D29C">
      <w:pPr>
        <w:wordWrap w:val="0"/>
        <w:adjustRightInd w:val="0"/>
        <w:snapToGrid w:val="0"/>
        <w:spacing w:line="440" w:lineRule="exact"/>
        <w:ind w:firstLine="570"/>
        <w:rPr>
          <w:rFonts w:hint="eastAsia" w:asciiTheme="minorEastAsia" w:hAnsiTheme="minorEastAsia" w:eastAsiaTheme="minorEastAsia" w:cstheme="minorEastAsia"/>
          <w:color w:val="000000" w:themeColor="text1"/>
          <w:szCs w:val="22"/>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1.在研</w:t>
      </w:r>
      <w:r>
        <w:rPr>
          <w:rFonts w:hint="eastAsia" w:asciiTheme="minorEastAsia" w:hAnsiTheme="minorEastAsia" w:eastAsiaTheme="minorEastAsia" w:cstheme="minorEastAsia"/>
          <w:color w:val="000000" w:themeColor="text1"/>
          <w:szCs w:val="22"/>
          <w:highlight w:val="none"/>
          <w:u w:val="single"/>
          <w14:textFill>
            <w14:solidFill>
              <w14:schemeClr w14:val="tx1"/>
            </w14:solidFill>
          </w14:textFill>
        </w:rPr>
        <w:t xml:space="preserve">究        （项目名称）        </w:t>
      </w: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招标文件和其它相关文件，并对现场进行深入了解后，我方（即文末签名人），考虑了本企业的实力和特点，愿意接受招标文件的全部内容和条件，兹以人民币（大写）：</w:t>
      </w:r>
      <w:r>
        <w:rPr>
          <w:rFonts w:hint="eastAsia" w:asciiTheme="minorEastAsia" w:hAnsiTheme="minorEastAsia" w:eastAsiaTheme="minorEastAsia" w:cstheme="minorEastAsia"/>
          <w:color w:val="000000" w:themeColor="text1"/>
          <w:szCs w:val="22"/>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小写：（¥</w:t>
      </w:r>
      <w:r>
        <w:rPr>
          <w:rFonts w:hint="eastAsia" w:asciiTheme="minorEastAsia" w:hAnsiTheme="minorEastAsia" w:eastAsiaTheme="minorEastAsia" w:cstheme="minorEastAsia"/>
          <w:color w:val="000000" w:themeColor="text1"/>
          <w:szCs w:val="22"/>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）的投标总价竞投本项目。</w:t>
      </w:r>
    </w:p>
    <w:p w14:paraId="5072A5D3">
      <w:pPr>
        <w:wordWrap w:val="0"/>
        <w:adjustRightInd w:val="0"/>
        <w:snapToGrid w:val="0"/>
        <w:spacing w:line="440" w:lineRule="exact"/>
        <w:ind w:firstLine="57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2. </w:t>
      </w: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如果我方中标，我方保证按照合同约定的开工日期开始本项目的</w:t>
      </w:r>
      <w:r>
        <w:rPr>
          <w:rFonts w:hint="eastAsia" w:asciiTheme="minorEastAsia" w:hAnsiTheme="minorEastAsia" w:eastAsiaTheme="minorEastAsia" w:cstheme="minorEastAsia"/>
          <w:color w:val="000000" w:themeColor="text1"/>
          <w:szCs w:val="22"/>
          <w:highlight w:val="none"/>
          <w:lang w:val="en-US" w:eastAsia="zh-CN"/>
          <w14:textFill>
            <w14:solidFill>
              <w14:schemeClr w14:val="tx1"/>
            </w14:solidFill>
          </w14:textFill>
        </w:rPr>
        <w:t>设计、施工</w:t>
      </w: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，本工程</w:t>
      </w:r>
      <w:r>
        <w:rPr>
          <w:rFonts w:hint="eastAsia" w:asciiTheme="minorEastAsia" w:hAnsiTheme="minorEastAsia" w:eastAsiaTheme="minorEastAsia" w:cstheme="minorEastAsia"/>
          <w:color w:val="000000" w:themeColor="text1"/>
          <w:szCs w:val="22"/>
          <w:highlight w:val="none"/>
          <w:lang w:val="en-US" w:eastAsia="zh-CN"/>
          <w14:textFill>
            <w14:solidFill>
              <w14:schemeClr w14:val="tx1"/>
            </w14:solidFill>
          </w14:textFill>
        </w:rPr>
        <w:t>设计、施工</w:t>
      </w: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工期为</w:t>
      </w:r>
      <w:r>
        <w:rPr>
          <w:rFonts w:hint="eastAsia" w:asciiTheme="minorEastAsia" w:hAnsiTheme="minorEastAsia" w:eastAsiaTheme="minorEastAsia" w:cstheme="minorEastAsia"/>
          <w:color w:val="000000" w:themeColor="text1"/>
          <w:szCs w:val="22"/>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个日历天</w:t>
      </w:r>
      <w:r>
        <w:rPr>
          <w:rFonts w:hint="eastAsia" w:asciiTheme="minorEastAsia" w:hAnsiTheme="minorEastAsia" w:eastAsiaTheme="minorEastAsia" w:cstheme="minorEastAsia"/>
          <w:color w:val="000000" w:themeColor="text1"/>
          <w:szCs w:val="22"/>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其中：</w:t>
      </w:r>
      <w:r>
        <w:rPr>
          <w:rFonts w:hint="eastAsia" w:asciiTheme="minorEastAsia" w:hAnsiTheme="minorEastAsia" w:eastAsiaTheme="minorEastAsia" w:cstheme="minorEastAsia"/>
          <w:color w:val="000000" w:themeColor="text1"/>
          <w:szCs w:val="22"/>
          <w:highlight w:val="none"/>
          <w:lang w:val="en-US" w:eastAsia="zh-CN"/>
          <w14:textFill>
            <w14:solidFill>
              <w14:schemeClr w14:val="tx1"/>
            </w14:solidFill>
          </w14:textFill>
        </w:rPr>
        <w:t>设计</w:t>
      </w: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工期为</w:t>
      </w:r>
      <w:r>
        <w:rPr>
          <w:rFonts w:hint="eastAsia" w:asciiTheme="minorEastAsia" w:hAnsiTheme="minorEastAsia" w:eastAsiaTheme="minorEastAsia" w:cstheme="minorEastAsia"/>
          <w:color w:val="000000" w:themeColor="text1"/>
          <w:szCs w:val="22"/>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日历天，施工工期为</w:t>
      </w:r>
      <w:r>
        <w:rPr>
          <w:rFonts w:hint="eastAsia" w:asciiTheme="minorEastAsia" w:hAnsiTheme="minorEastAsia" w:eastAsiaTheme="minorEastAsia" w:cstheme="minorEastAsia"/>
          <w:color w:val="000000" w:themeColor="text1"/>
          <w:szCs w:val="22"/>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日历天</w:t>
      </w:r>
      <w:r>
        <w:rPr>
          <w:rFonts w:hint="eastAsia" w:asciiTheme="minorEastAsia" w:hAnsiTheme="minorEastAsia" w:eastAsiaTheme="minorEastAsia" w:cstheme="minorEastAsia"/>
          <w:color w:val="000000" w:themeColor="text1"/>
          <w:szCs w:val="22"/>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内竣工，并确保工程质量达到</w:t>
      </w:r>
      <w:r>
        <w:rPr>
          <w:rFonts w:hint="eastAsia" w:asciiTheme="minorEastAsia" w:hAnsiTheme="minorEastAsia" w:eastAsiaTheme="minorEastAsia" w:cstheme="minorEastAsia"/>
          <w:color w:val="000000" w:themeColor="text1"/>
          <w:szCs w:val="22"/>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2"/>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2"/>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标准和维修其中的任何缺陷</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w:t>
      </w:r>
    </w:p>
    <w:p w14:paraId="0A19A04F">
      <w:pPr>
        <w:wordWrap w:val="0"/>
        <w:adjustRightInd w:val="0"/>
        <w:snapToGrid w:val="0"/>
        <w:spacing w:line="440" w:lineRule="exact"/>
        <w:ind w:firstLine="57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3. 本投标函在你方接收我方递交的投标文件之日起、到招标文件规定的投标有效期期满前对我方具有约束力。我方随时准备接受你方发出的中标通知书。</w:t>
      </w:r>
    </w:p>
    <w:p w14:paraId="72A4F4F3">
      <w:pPr>
        <w:wordWrap w:val="0"/>
        <w:adjustRightInd w:val="0"/>
        <w:snapToGrid w:val="0"/>
        <w:spacing w:line="440" w:lineRule="exact"/>
        <w:ind w:firstLine="57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4．我方在此声明，我方不存在本工程招标文件所列示的“禁止投标条款”所列出的任何一种情形，并愿意承担因我方就此弄虚作假所引起的一切法律后果。</w:t>
      </w:r>
    </w:p>
    <w:p w14:paraId="135CB28E">
      <w:pPr>
        <w:wordWrap w:val="0"/>
        <w:adjustRightInd w:val="0"/>
        <w:snapToGrid w:val="0"/>
        <w:spacing w:line="440" w:lineRule="exact"/>
        <w:ind w:firstLine="57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5．我方在此承诺，所递交投标文件的全部内容均为真实、有效、准确的，并愿意承担因我方就此弄虚作假所引起的一切法律后果，同时理解和同意有可能被要求提供更多的资料。</w:t>
      </w:r>
    </w:p>
    <w:p w14:paraId="4B833900">
      <w:pPr>
        <w:wordWrap w:val="0"/>
        <w:adjustRightInd w:val="0"/>
        <w:snapToGrid w:val="0"/>
        <w:spacing w:line="440" w:lineRule="exact"/>
        <w:ind w:firstLine="57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6. 我方理解你方不一定要接纳收到的最低投标总价或任何投标总价的投标人中标，也不要求你方解释我方是否中标的原因。</w:t>
      </w:r>
    </w:p>
    <w:p w14:paraId="73A3D5F4">
      <w:pPr>
        <w:wordWrap w:val="0"/>
        <w:adjustRightInd w:val="0"/>
        <w:snapToGrid w:val="0"/>
        <w:spacing w:line="440" w:lineRule="exact"/>
        <w:ind w:firstLine="57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w:t>
      </w:r>
    </w:p>
    <w:p w14:paraId="29DB08E6">
      <w:pPr>
        <w:wordWrap w:val="0"/>
        <w:adjustRightInd w:val="0"/>
        <w:snapToGrid w:val="0"/>
        <w:spacing w:line="440" w:lineRule="exact"/>
        <w:jc w:val="righ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投标人：</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（盖单位章）</w:t>
      </w:r>
    </w:p>
    <w:p w14:paraId="7813DE58">
      <w:pPr>
        <w:wordWrap w:val="0"/>
        <w:adjustRightInd w:val="0"/>
        <w:snapToGrid w:val="0"/>
        <w:spacing w:line="440" w:lineRule="exact"/>
        <w:ind w:firstLine="480" w:firstLineChars="200"/>
        <w:jc w:val="righ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法定代表人或其委托代理人：</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（签字或盖章）</w:t>
      </w:r>
    </w:p>
    <w:p w14:paraId="36658203">
      <w:pPr>
        <w:wordWrap w:val="0"/>
        <w:adjustRightInd w:val="0"/>
        <w:snapToGrid w:val="0"/>
        <w:spacing w:line="440" w:lineRule="exact"/>
        <w:ind w:firstLine="4080" w:firstLineChars="1700"/>
        <w:jc w:val="lef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年</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月</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日</w:t>
      </w:r>
    </w:p>
    <w:p w14:paraId="4ABCF19B">
      <w:pPr>
        <w:jc w:val="lef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br w:type="page"/>
      </w:r>
    </w:p>
    <w:p w14:paraId="25DEE623">
      <w:pPr>
        <w:jc w:val="lef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6E4478DB">
      <w:pPr>
        <w:wordWrap w:val="0"/>
        <w:adjustRightInd w:val="0"/>
        <w:snapToGrid w:val="0"/>
        <w:spacing w:line="440" w:lineRule="exact"/>
        <w:jc w:val="center"/>
        <w:rPr>
          <w:rFonts w:hint="eastAsia" w:asciiTheme="minorEastAsia" w:hAnsiTheme="minorEastAsia" w:eastAsiaTheme="minorEastAsia" w:cstheme="minorEastAsia"/>
          <w:b/>
          <w:bCs/>
          <w:color w:val="000000" w:themeColor="text1"/>
          <w:szCs w:val="22"/>
          <w:highlight w:val="none"/>
          <w14:textFill>
            <w14:solidFill>
              <w14:schemeClr w14:val="tx1"/>
            </w14:solidFill>
          </w14:textFill>
        </w:rPr>
      </w:pPr>
      <w:bookmarkStart w:id="517" w:name="_Toc5052"/>
      <w:bookmarkStart w:id="518" w:name="_Toc25829"/>
      <w:bookmarkStart w:id="519" w:name="_Toc25629"/>
      <w:bookmarkStart w:id="520" w:name="_Toc20338"/>
      <w:bookmarkStart w:id="521" w:name="_Toc453"/>
      <w:bookmarkStart w:id="522" w:name="_Toc7915"/>
      <w:bookmarkStart w:id="523" w:name="_Toc39136364"/>
      <w:r>
        <w:rPr>
          <w:rFonts w:hint="eastAsia" w:asciiTheme="minorEastAsia" w:hAnsiTheme="minorEastAsia" w:eastAsiaTheme="minorEastAsia" w:cstheme="minorEastAsia"/>
          <w:b/>
          <w:bCs/>
          <w:color w:val="000000" w:themeColor="text1"/>
          <w:szCs w:val="22"/>
          <w:highlight w:val="none"/>
          <w14:textFill>
            <w14:solidFill>
              <w14:schemeClr w14:val="tx1"/>
            </w14:solidFill>
          </w14:textFill>
        </w:rPr>
        <w:t>工程项目总价表</w:t>
      </w:r>
      <w:bookmarkEnd w:id="517"/>
      <w:bookmarkEnd w:id="518"/>
      <w:bookmarkEnd w:id="519"/>
      <w:bookmarkEnd w:id="520"/>
      <w:bookmarkEnd w:id="521"/>
    </w:p>
    <w:p w14:paraId="679E4147">
      <w:pPr>
        <w:spacing w:line="360" w:lineRule="auto"/>
        <w:ind w:firstLine="480" w:firstLineChars="200"/>
        <w:rPr>
          <w:rFonts w:hint="eastAsia" w:ascii="宋体" w:hAnsi="宋体" w:eastAsia="宋体" w:cs="宋体"/>
          <w:color w:val="000000" w:themeColor="text1"/>
          <w:highlight w:val="none"/>
          <w14:textFill>
            <w14:solidFill>
              <w14:schemeClr w14:val="tx1"/>
            </w14:solidFill>
          </w14:textFill>
        </w:rPr>
      </w:pPr>
    </w:p>
    <w:tbl>
      <w:tblPr>
        <w:tblStyle w:val="21"/>
        <w:tblW w:w="91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1217"/>
        <w:gridCol w:w="1627"/>
        <w:gridCol w:w="1913"/>
        <w:gridCol w:w="1347"/>
        <w:gridCol w:w="2636"/>
      </w:tblGrid>
      <w:tr w14:paraId="16587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456" w:type="dxa"/>
            <w:noWrap w:val="0"/>
            <w:vAlign w:val="center"/>
          </w:tcPr>
          <w:p w14:paraId="41E10A40">
            <w:pPr>
              <w:widowControl/>
              <w:jc w:val="cente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序号</w:t>
            </w:r>
          </w:p>
        </w:tc>
        <w:tc>
          <w:tcPr>
            <w:tcW w:w="1217" w:type="dxa"/>
            <w:noWrap w:val="0"/>
            <w:vAlign w:val="center"/>
          </w:tcPr>
          <w:p w14:paraId="391E7797">
            <w:pPr>
              <w:widowControl/>
              <w:jc w:val="cente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项目名称</w:t>
            </w:r>
          </w:p>
        </w:tc>
        <w:tc>
          <w:tcPr>
            <w:tcW w:w="1627" w:type="dxa"/>
            <w:noWrap w:val="0"/>
            <w:vAlign w:val="center"/>
          </w:tcPr>
          <w:p w14:paraId="159800D5">
            <w:pPr>
              <w:widowControl/>
              <w:jc w:val="cente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报价基数（元）</w:t>
            </w:r>
          </w:p>
        </w:tc>
        <w:tc>
          <w:tcPr>
            <w:tcW w:w="1913" w:type="dxa"/>
            <w:noWrap w:val="0"/>
            <w:vAlign w:val="center"/>
          </w:tcPr>
          <w:p w14:paraId="793C5000">
            <w:pPr>
              <w:widowControl/>
              <w:jc w:val="cente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1"/>
                <w:sz w:val="24"/>
                <w:szCs w:val="24"/>
                <w:highlight w:val="none"/>
                <w:lang w:val="zh-CN"/>
                <w14:textFill>
                  <w14:solidFill>
                    <w14:schemeClr w14:val="tx1"/>
                  </w14:solidFill>
                </w14:textFill>
              </w:rPr>
              <w:t>投标费率</w:t>
            </w:r>
            <w:r>
              <w:rPr>
                <w:rFonts w:hint="eastAsia" w:asciiTheme="minorEastAsia" w:hAnsiTheme="minorEastAsia" w:eastAsiaTheme="minorEastAsia" w:cstheme="minorEastAsia"/>
                <w:color w:val="000000" w:themeColor="text1"/>
                <w:kern w:val="1"/>
                <w:sz w:val="24"/>
                <w:szCs w:val="24"/>
                <w:highlight w:val="none"/>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投标下浮率</w:t>
            </w:r>
          </w:p>
        </w:tc>
        <w:tc>
          <w:tcPr>
            <w:tcW w:w="1347" w:type="dxa"/>
            <w:noWrap w:val="0"/>
            <w:vAlign w:val="center"/>
          </w:tcPr>
          <w:p w14:paraId="466A54D2">
            <w:pPr>
              <w:widowControl/>
              <w:jc w:val="cente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投标报价</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（元）</w:t>
            </w:r>
          </w:p>
        </w:tc>
        <w:tc>
          <w:tcPr>
            <w:tcW w:w="2636" w:type="dxa"/>
            <w:noWrap w:val="0"/>
            <w:vAlign w:val="center"/>
          </w:tcPr>
          <w:p w14:paraId="17CA160B">
            <w:pPr>
              <w:widowControl/>
              <w:jc w:val="cente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备注</w:t>
            </w:r>
          </w:p>
        </w:tc>
      </w:tr>
      <w:tr w14:paraId="32958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56" w:type="dxa"/>
            <w:noWrap w:val="0"/>
            <w:vAlign w:val="center"/>
          </w:tcPr>
          <w:p w14:paraId="2B4DC07F">
            <w:pPr>
              <w:widowControl/>
              <w:jc w:val="cente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w:t>
            </w:r>
          </w:p>
        </w:tc>
        <w:tc>
          <w:tcPr>
            <w:tcW w:w="1217" w:type="dxa"/>
            <w:noWrap w:val="0"/>
            <w:vAlign w:val="center"/>
          </w:tcPr>
          <w:p w14:paraId="2F693BF2">
            <w:pPr>
              <w:widowControl/>
              <w:ind w:right="-122" w:rightChars="-51"/>
              <w:jc w:val="cente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设计费</w:t>
            </w:r>
          </w:p>
        </w:tc>
        <w:tc>
          <w:tcPr>
            <w:tcW w:w="1627" w:type="dxa"/>
            <w:noWrap w:val="0"/>
            <w:vAlign w:val="center"/>
          </w:tcPr>
          <w:p w14:paraId="58DEED7C">
            <w:pPr>
              <w:widowControl/>
              <w:jc w:val="cente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719400.00</w:t>
            </w:r>
          </w:p>
        </w:tc>
        <w:tc>
          <w:tcPr>
            <w:tcW w:w="1913" w:type="dxa"/>
            <w:noWrap w:val="0"/>
            <w:vAlign w:val="center"/>
          </w:tcPr>
          <w:p w14:paraId="0006A033">
            <w:pPr>
              <w:widowControl/>
              <w:jc w:val="cente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1"/>
                <w:sz w:val="24"/>
                <w:szCs w:val="24"/>
                <w:highlight w:val="none"/>
                <w:lang w:val="zh-CN"/>
                <w14:textFill>
                  <w14:solidFill>
                    <w14:schemeClr w14:val="tx1"/>
                  </w14:solidFill>
                </w14:textFill>
              </w:rPr>
              <w:t>投标费率</w:t>
            </w:r>
            <w:r>
              <w:rPr>
                <w:rFonts w:hint="eastAsia" w:asciiTheme="minorEastAsia" w:hAnsiTheme="minorEastAsia" w:eastAsiaTheme="minorEastAsia" w:cstheme="minorEastAsia"/>
                <w:color w:val="000000" w:themeColor="text1"/>
                <w:kern w:val="0"/>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w:t>
            </w:r>
          </w:p>
        </w:tc>
        <w:tc>
          <w:tcPr>
            <w:tcW w:w="1347" w:type="dxa"/>
            <w:noWrap w:val="0"/>
            <w:vAlign w:val="center"/>
          </w:tcPr>
          <w:p w14:paraId="17348473">
            <w:pPr>
              <w:widowControl/>
              <w:jc w:val="both"/>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p>
        </w:tc>
        <w:tc>
          <w:tcPr>
            <w:tcW w:w="2636" w:type="dxa"/>
            <w:noWrap w:val="0"/>
            <w:vAlign w:val="center"/>
          </w:tcPr>
          <w:p w14:paraId="740CE890">
            <w:pPr>
              <w:widowControl/>
              <w:jc w:val="cente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按最高投标限价</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范围内</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自行报</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总</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价及</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投标费</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率。报价基数作为暂定量，仅作为投标报价编制依据，不作为结算依据。</w:t>
            </w:r>
          </w:p>
        </w:tc>
      </w:tr>
      <w:tr w14:paraId="117EE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456" w:type="dxa"/>
            <w:noWrap w:val="0"/>
            <w:vAlign w:val="center"/>
          </w:tcPr>
          <w:p w14:paraId="3366B536">
            <w:pPr>
              <w:widowControl/>
              <w:jc w:val="cente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2</w:t>
            </w:r>
          </w:p>
        </w:tc>
        <w:tc>
          <w:tcPr>
            <w:tcW w:w="1217" w:type="dxa"/>
            <w:noWrap w:val="0"/>
            <w:vAlign w:val="center"/>
          </w:tcPr>
          <w:p w14:paraId="2745EB8D">
            <w:pPr>
              <w:widowControl/>
              <w:jc w:val="cente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建安工程费</w:t>
            </w:r>
          </w:p>
        </w:tc>
        <w:tc>
          <w:tcPr>
            <w:tcW w:w="1627" w:type="dxa"/>
            <w:noWrap w:val="0"/>
            <w:vAlign w:val="center"/>
          </w:tcPr>
          <w:p w14:paraId="7C7B713A">
            <w:pPr>
              <w:widowControl/>
              <w:jc w:val="cente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20241000.00</w:t>
            </w:r>
          </w:p>
        </w:tc>
        <w:tc>
          <w:tcPr>
            <w:tcW w:w="1913" w:type="dxa"/>
            <w:noWrap w:val="0"/>
            <w:vAlign w:val="center"/>
          </w:tcPr>
          <w:p w14:paraId="11CB5708">
            <w:pPr>
              <w:widowControl/>
              <w:jc w:val="cente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投标下浮率</w:t>
            </w:r>
            <w:r>
              <w:rPr>
                <w:rFonts w:hint="eastAsia" w:asciiTheme="minorEastAsia" w:hAnsiTheme="minorEastAsia" w:eastAsiaTheme="minorEastAsia" w:cstheme="minorEastAsia"/>
                <w:color w:val="000000" w:themeColor="text1"/>
                <w:kern w:val="0"/>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w:t>
            </w:r>
          </w:p>
        </w:tc>
        <w:tc>
          <w:tcPr>
            <w:tcW w:w="1347" w:type="dxa"/>
            <w:noWrap w:val="0"/>
            <w:vAlign w:val="center"/>
          </w:tcPr>
          <w:p w14:paraId="2202080E">
            <w:pPr>
              <w:widowControl/>
              <w:jc w:val="cente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p>
        </w:tc>
        <w:tc>
          <w:tcPr>
            <w:tcW w:w="2636" w:type="dxa"/>
            <w:noWrap w:val="0"/>
            <w:vAlign w:val="center"/>
          </w:tcPr>
          <w:p w14:paraId="6D36C874">
            <w:pPr>
              <w:widowControl/>
              <w:jc w:val="cente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本项目为限额设计，</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工程结算价</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未超过建安工程</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费中标价的</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按实结算，超过建安工程</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费中标价的</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则按建安工程</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费</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中标</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价</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结算。建安工程投标报价=</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报价基数</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×（1-投标下浮率）</w:t>
            </w:r>
          </w:p>
        </w:tc>
      </w:tr>
      <w:tr w14:paraId="36FCC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456" w:type="dxa"/>
            <w:noWrap w:val="0"/>
            <w:vAlign w:val="center"/>
          </w:tcPr>
          <w:p w14:paraId="05688176">
            <w:pPr>
              <w:widowControl/>
              <w:jc w:val="cente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pPr>
            <w:r>
              <w:rPr>
                <w:rFonts w:hint="eastAsia" w:asciiTheme="minorEastAsia" w:hAnsiTheme="minorEastAsia" w:cstheme="minorEastAsia"/>
                <w:color w:val="000000" w:themeColor="text1"/>
                <w:kern w:val="0"/>
                <w:sz w:val="24"/>
                <w:szCs w:val="24"/>
                <w:highlight w:val="none"/>
                <w:lang w:val="en-US" w:eastAsia="zh-CN"/>
                <w14:textFill>
                  <w14:solidFill>
                    <w14:schemeClr w14:val="tx1"/>
                  </w14:solidFill>
                </w14:textFill>
              </w:rPr>
              <w:t>3</w:t>
            </w:r>
          </w:p>
        </w:tc>
        <w:tc>
          <w:tcPr>
            <w:tcW w:w="1217" w:type="dxa"/>
            <w:noWrap w:val="0"/>
            <w:vAlign w:val="center"/>
          </w:tcPr>
          <w:p w14:paraId="55FEBD2A">
            <w:pPr>
              <w:widowControl/>
              <w:jc w:val="cente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合计（1+</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w:t>
            </w:r>
          </w:p>
        </w:tc>
        <w:tc>
          <w:tcPr>
            <w:tcW w:w="1627" w:type="dxa"/>
            <w:noWrap w:val="0"/>
            <w:vAlign w:val="center"/>
          </w:tcPr>
          <w:p w14:paraId="220DB718">
            <w:pPr>
              <w:widowControl/>
              <w:jc w:val="cente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w:t>
            </w:r>
          </w:p>
        </w:tc>
        <w:tc>
          <w:tcPr>
            <w:tcW w:w="1913" w:type="dxa"/>
            <w:noWrap w:val="0"/>
            <w:vAlign w:val="center"/>
          </w:tcPr>
          <w:p w14:paraId="1A9EF048">
            <w:pPr>
              <w:widowControl/>
              <w:jc w:val="cente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w:t>
            </w:r>
          </w:p>
        </w:tc>
        <w:tc>
          <w:tcPr>
            <w:tcW w:w="1347" w:type="dxa"/>
            <w:noWrap w:val="0"/>
            <w:vAlign w:val="center"/>
          </w:tcPr>
          <w:p w14:paraId="10E57021">
            <w:pPr>
              <w:widowControl/>
              <w:jc w:val="cente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p>
        </w:tc>
        <w:tc>
          <w:tcPr>
            <w:tcW w:w="2636" w:type="dxa"/>
            <w:noWrap w:val="0"/>
            <w:vAlign w:val="center"/>
          </w:tcPr>
          <w:p w14:paraId="035B4EBA">
            <w:pPr>
              <w:widowControl/>
              <w:jc w:val="cente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cstheme="minorEastAsia"/>
                <w:color w:val="000000" w:themeColor="text1"/>
                <w:kern w:val="0"/>
                <w:sz w:val="24"/>
                <w:szCs w:val="24"/>
                <w:highlight w:val="none"/>
                <w:lang w:val="en-US" w:eastAsia="zh-CN"/>
                <w14:textFill>
                  <w14:solidFill>
                    <w14:schemeClr w14:val="tx1"/>
                  </w14:solidFill>
                </w14:textFill>
              </w:rPr>
              <w:t>/</w:t>
            </w:r>
          </w:p>
        </w:tc>
      </w:tr>
    </w:tbl>
    <w:p w14:paraId="2F73F812">
      <w:pPr>
        <w:pStyle w:val="31"/>
        <w:rPr>
          <w:rFonts w:ascii="宋体" w:hAnsi="宋体" w:cs="宋体"/>
          <w:color w:val="000000" w:themeColor="text1"/>
          <w:sz w:val="24"/>
          <w:highlight w:val="none"/>
          <w:lang w:val="zh-CN"/>
          <w14:textFill>
            <w14:solidFill>
              <w14:schemeClr w14:val="tx1"/>
            </w14:solidFill>
          </w14:textFill>
        </w:rPr>
      </w:pPr>
    </w:p>
    <w:p w14:paraId="394AFE69">
      <w:pPr>
        <w:pStyle w:val="6"/>
        <w:ind w:firstLine="0"/>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注：投标报价、</w:t>
      </w:r>
      <w:r>
        <w:rPr>
          <w:rFonts w:hint="eastAsia" w:ascii="宋体" w:hAnsi="宋体" w:eastAsia="宋体" w:cs="宋体"/>
          <w:color w:val="000000" w:themeColor="text1"/>
          <w:szCs w:val="21"/>
          <w:highlight w:val="none"/>
          <w:lang w:eastAsia="zh-CN"/>
          <w14:textFill>
            <w14:solidFill>
              <w14:schemeClr w14:val="tx1"/>
            </w14:solidFill>
          </w14:textFill>
        </w:rPr>
        <w:t>投标下浮</w:t>
      </w:r>
      <w:r>
        <w:rPr>
          <w:rFonts w:hint="eastAsia" w:ascii="宋体" w:hAnsi="宋体" w:eastAsia="宋体" w:cs="宋体"/>
          <w:color w:val="000000" w:themeColor="text1"/>
          <w:szCs w:val="21"/>
          <w:highlight w:val="none"/>
          <w14:textFill>
            <w14:solidFill>
              <w14:schemeClr w14:val="tx1"/>
            </w14:solidFill>
          </w14:textFill>
        </w:rPr>
        <w:t>率均保留至小数点后两位</w:t>
      </w:r>
      <w:r>
        <w:rPr>
          <w:rFonts w:hint="eastAsia" w:ascii="宋体" w:hAnsi="宋体" w:eastAsia="宋体" w:cs="宋体"/>
          <w:color w:val="000000" w:themeColor="text1"/>
          <w:szCs w:val="21"/>
          <w:highlight w:val="none"/>
          <w:lang w:eastAsia="zh-CN"/>
          <w14:textFill>
            <w14:solidFill>
              <w14:schemeClr w14:val="tx1"/>
            </w14:solidFill>
          </w14:textFill>
        </w:rPr>
        <w:t>，投标费率保留至小数点后三位。</w:t>
      </w:r>
    </w:p>
    <w:p w14:paraId="3B383A35">
      <w:pPr>
        <w:wordWrap w:val="0"/>
        <w:adjustRightInd w:val="0"/>
        <w:snapToGrid w:val="0"/>
        <w:spacing w:line="276" w:lineRule="auto"/>
        <w:jc w:val="righ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51DD2D3A">
      <w:pPr>
        <w:outlineLvl w:val="9"/>
        <w:rPr>
          <w:rFonts w:hint="eastAsia" w:asciiTheme="minorEastAsia" w:hAnsiTheme="minorEastAsia" w:eastAsiaTheme="minorEastAsia" w:cstheme="minorEastAsia"/>
          <w:color w:val="000000" w:themeColor="text1"/>
          <w:highlight w:val="none"/>
          <w14:textFill>
            <w14:solidFill>
              <w14:schemeClr w14:val="tx1"/>
            </w14:solidFill>
          </w14:textFill>
        </w:rPr>
      </w:pPr>
    </w:p>
    <w:p w14:paraId="3223CC57">
      <w:pPr>
        <w:wordWrap w:val="0"/>
        <w:adjustRightInd w:val="0"/>
        <w:snapToGrid w:val="0"/>
        <w:spacing w:line="276" w:lineRule="auto"/>
        <w:jc w:val="righ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投标人：</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（盖单位章）</w:t>
      </w:r>
    </w:p>
    <w:p w14:paraId="759658B8">
      <w:pPr>
        <w:wordWrap w:val="0"/>
        <w:adjustRightInd w:val="0"/>
        <w:snapToGrid w:val="0"/>
        <w:spacing w:line="276" w:lineRule="auto"/>
        <w:jc w:val="right"/>
        <w:rPr>
          <w:rFonts w:hint="eastAsia" w:ascii="宋体" w:hAnsi="宋体" w:eastAsia="宋体" w:cs="宋体"/>
          <w:snapToGrid w:val="0"/>
          <w:color w:val="000000" w:themeColor="text1"/>
          <w:kern w:val="0"/>
          <w:sz w:val="24"/>
          <w:szCs w:val="24"/>
          <w:highlight w:val="none"/>
          <w14:textFill>
            <w14:solidFill>
              <w14:schemeClr w14:val="tx1"/>
            </w14:solidFill>
          </w14:textFill>
        </w:rPr>
      </w:pPr>
    </w:p>
    <w:p w14:paraId="5EFD5C53">
      <w:pPr>
        <w:wordWrap w:val="0"/>
        <w:adjustRightInd w:val="0"/>
        <w:snapToGrid w:val="0"/>
        <w:spacing w:line="276" w:lineRule="auto"/>
        <w:ind w:firstLine="480" w:firstLineChars="200"/>
        <w:jc w:val="righ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法定代表人或其委托代理人：</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（签字或盖章）</w:t>
      </w:r>
    </w:p>
    <w:p w14:paraId="2827471C">
      <w:pPr>
        <w:wordWrap w:val="0"/>
        <w:adjustRightInd w:val="0"/>
        <w:snapToGrid w:val="0"/>
        <w:spacing w:line="276" w:lineRule="auto"/>
        <w:ind w:firstLine="480" w:firstLineChars="200"/>
        <w:jc w:val="right"/>
        <w:rPr>
          <w:rFonts w:hint="eastAsia" w:ascii="宋体" w:hAnsi="宋体" w:eastAsia="宋体" w:cs="宋体"/>
          <w:snapToGrid w:val="0"/>
          <w:color w:val="000000" w:themeColor="text1"/>
          <w:kern w:val="0"/>
          <w:sz w:val="24"/>
          <w:szCs w:val="24"/>
          <w:highlight w:val="none"/>
          <w14:textFill>
            <w14:solidFill>
              <w14:schemeClr w14:val="tx1"/>
            </w14:solidFill>
          </w14:textFill>
        </w:rPr>
      </w:pPr>
    </w:p>
    <w:p w14:paraId="3A0CC27B">
      <w:pPr>
        <w:spacing w:line="276"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sectPr>
          <w:endnotePr>
            <w:numFmt w:val="decimal"/>
          </w:endnotePr>
          <w:pgSz w:w="11906" w:h="16838"/>
          <w:pgMar w:top="1701" w:right="1335" w:bottom="1417" w:left="1531" w:header="850" w:footer="992" w:gutter="0"/>
          <w:pgNumType w:fmt="decimal"/>
          <w:cols w:space="720" w:num="1"/>
          <w:docGrid w:linePitch="327" w:charSpace="0"/>
        </w:sectPr>
      </w:pP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年</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月</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日</w:t>
      </w:r>
    </w:p>
    <w:p w14:paraId="769EA550">
      <w:pPr>
        <w:pStyle w:val="4"/>
        <w:spacing w:before="120"/>
        <w:rPr>
          <w:rStyle w:val="59"/>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bookmarkStart w:id="524" w:name="_Toc919"/>
      <w:bookmarkStart w:id="525" w:name="_Toc4068"/>
      <w:bookmarkStart w:id="526" w:name="_Toc20987"/>
      <w:bookmarkStart w:id="527" w:name="_Toc28529"/>
      <w:bookmarkStart w:id="528" w:name="_Toc21928"/>
      <w:bookmarkStart w:id="529" w:name="_Toc32555"/>
      <w:bookmarkStart w:id="530" w:name="_Toc1017"/>
      <w:r>
        <w:rPr>
          <w:rStyle w:val="59"/>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格式三 各项</w:t>
      </w: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承诺</w:t>
      </w:r>
      <w:r>
        <w:rPr>
          <w:rStyle w:val="59"/>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一览表</w:t>
      </w:r>
      <w:bookmarkEnd w:id="522"/>
      <w:bookmarkEnd w:id="523"/>
      <w:bookmarkEnd w:id="524"/>
      <w:bookmarkEnd w:id="525"/>
      <w:bookmarkEnd w:id="526"/>
      <w:bookmarkEnd w:id="527"/>
    </w:p>
    <w:bookmarkEnd w:id="528"/>
    <w:bookmarkEnd w:id="529"/>
    <w:bookmarkEnd w:id="530"/>
    <w:p w14:paraId="2507BC48">
      <w:pPr>
        <w:spacing w:line="480" w:lineRule="auto"/>
        <w:jc w:val="cente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bookmarkStart w:id="531" w:name="_Toc20729"/>
      <w:bookmarkStart w:id="532" w:name="_Toc39136365"/>
      <w:bookmarkStart w:id="533" w:name="_Toc21521"/>
      <w:bookmarkStart w:id="534" w:name="_Toc30877"/>
      <w:bookmarkStart w:id="535" w:name="_Toc31113"/>
      <w:bookmarkStart w:id="536" w:name="_Toc15279"/>
      <w:bookmarkStart w:id="537" w:name="_Toc16438"/>
      <w:bookmarkStart w:id="538" w:name="_Toc18136"/>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各项承诺一览表</w:t>
      </w:r>
      <w:bookmarkEnd w:id="531"/>
      <w:bookmarkEnd w:id="532"/>
      <w:bookmarkEnd w:id="533"/>
      <w:bookmarkEnd w:id="534"/>
    </w:p>
    <w:bookmarkEnd w:id="535"/>
    <w:bookmarkEnd w:id="536"/>
    <w:bookmarkEnd w:id="537"/>
    <w:bookmarkEnd w:id="538"/>
    <w:tbl>
      <w:tblPr>
        <w:tblStyle w:val="21"/>
        <w:tblW w:w="97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56"/>
        <w:gridCol w:w="1081"/>
        <w:gridCol w:w="3226"/>
        <w:gridCol w:w="4796"/>
      </w:tblGrid>
      <w:tr w14:paraId="43791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0"/>
            <w:vAlign w:val="top"/>
          </w:tcPr>
          <w:p w14:paraId="28699F17">
            <w:pPr>
              <w:pStyle w:val="36"/>
              <w:spacing w:line="380" w:lineRule="exact"/>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序号</w:t>
            </w:r>
          </w:p>
        </w:tc>
        <w:tc>
          <w:tcPr>
            <w:tcW w:w="1081" w:type="dxa"/>
            <w:noWrap w:val="0"/>
            <w:vAlign w:val="top"/>
          </w:tcPr>
          <w:p w14:paraId="31A8938A">
            <w:pPr>
              <w:pStyle w:val="36"/>
              <w:spacing w:line="380" w:lineRule="exact"/>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承诺标题</w:t>
            </w:r>
          </w:p>
        </w:tc>
        <w:tc>
          <w:tcPr>
            <w:tcW w:w="3226" w:type="dxa"/>
            <w:noWrap w:val="0"/>
            <w:vAlign w:val="top"/>
          </w:tcPr>
          <w:p w14:paraId="0723CADE">
            <w:pPr>
              <w:pStyle w:val="36"/>
              <w:spacing w:line="380" w:lineRule="exact"/>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承诺内容</w:t>
            </w:r>
          </w:p>
        </w:tc>
        <w:tc>
          <w:tcPr>
            <w:tcW w:w="4796" w:type="dxa"/>
            <w:tcBorders>
              <w:bottom w:val="single" w:color="auto" w:sz="4" w:space="0"/>
            </w:tcBorders>
            <w:noWrap w:val="0"/>
            <w:vAlign w:val="top"/>
          </w:tcPr>
          <w:p w14:paraId="52D24AEA">
            <w:pPr>
              <w:pStyle w:val="36"/>
              <w:spacing w:line="380" w:lineRule="exact"/>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违约承诺</w:t>
            </w:r>
          </w:p>
        </w:tc>
      </w:tr>
      <w:tr w14:paraId="600DB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0"/>
            <w:vAlign w:val="center"/>
          </w:tcPr>
          <w:p w14:paraId="509D0026">
            <w:pPr>
              <w:pStyle w:val="36"/>
              <w:spacing w:line="38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1081" w:type="dxa"/>
            <w:noWrap w:val="0"/>
            <w:vAlign w:val="center"/>
          </w:tcPr>
          <w:p w14:paraId="7004AB1D">
            <w:pPr>
              <w:pStyle w:val="61"/>
              <w:spacing w:line="380" w:lineRule="exact"/>
              <w:ind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对招标文件条款自愿接受承诺书</w:t>
            </w:r>
          </w:p>
        </w:tc>
        <w:tc>
          <w:tcPr>
            <w:tcW w:w="3226" w:type="dxa"/>
            <w:noWrap w:val="0"/>
            <w:vAlign w:val="center"/>
          </w:tcPr>
          <w:p w14:paraId="721EE92F">
            <w:pPr>
              <w:pStyle w:val="61"/>
              <w:spacing w:line="380" w:lineRule="exact"/>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我方保证接受招标文件的所有条款，响应招标文件的所有要求，并同意招标文件为施工承包合同的组成部分</w:t>
            </w:r>
          </w:p>
        </w:tc>
        <w:tc>
          <w:tcPr>
            <w:tcW w:w="4796" w:type="dxa"/>
            <w:tcBorders>
              <w:tr2bl w:val="single" w:color="auto" w:sz="4" w:space="0"/>
            </w:tcBorders>
            <w:noWrap w:val="0"/>
            <w:vAlign w:val="center"/>
          </w:tcPr>
          <w:p w14:paraId="41A7D528">
            <w:pPr>
              <w:pStyle w:val="61"/>
              <w:spacing w:line="380" w:lineRule="exact"/>
              <w:ind w:firstLine="420"/>
              <w:rPr>
                <w:rFonts w:hint="eastAsia" w:ascii="宋体" w:hAnsi="宋体" w:eastAsia="宋体" w:cs="宋体"/>
                <w:color w:val="000000" w:themeColor="text1"/>
                <w:sz w:val="21"/>
                <w:szCs w:val="21"/>
                <w:highlight w:val="none"/>
                <w14:textFill>
                  <w14:solidFill>
                    <w14:schemeClr w14:val="tx1"/>
                  </w14:solidFill>
                </w14:textFill>
              </w:rPr>
            </w:pPr>
          </w:p>
        </w:tc>
      </w:tr>
      <w:tr w14:paraId="67A6A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0"/>
            <w:vAlign w:val="center"/>
          </w:tcPr>
          <w:p w14:paraId="73BC4748">
            <w:pPr>
              <w:pStyle w:val="36"/>
              <w:spacing w:line="38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w:t>
            </w:r>
          </w:p>
        </w:tc>
        <w:tc>
          <w:tcPr>
            <w:tcW w:w="1081" w:type="dxa"/>
            <w:noWrap w:val="0"/>
            <w:vAlign w:val="center"/>
          </w:tcPr>
          <w:p w14:paraId="0BB5AD2B">
            <w:pPr>
              <w:pStyle w:val="61"/>
              <w:wordWrap w:val="0"/>
              <w:adjustRightInd w:val="0"/>
              <w:snapToGrid w:val="0"/>
              <w:spacing w:line="380" w:lineRule="exact"/>
              <w:ind w:firstLine="0" w:firstLineChars="0"/>
              <w:jc w:val="center"/>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无禁止投标</w:t>
            </w:r>
          </w:p>
          <w:p w14:paraId="25B052BF">
            <w:pPr>
              <w:pStyle w:val="61"/>
              <w:wordWrap w:val="0"/>
              <w:adjustRightInd w:val="0"/>
              <w:snapToGrid w:val="0"/>
              <w:spacing w:line="380" w:lineRule="exact"/>
              <w:ind w:firstLine="0" w:firstLineChars="0"/>
              <w:jc w:val="center"/>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情形的承诺</w:t>
            </w:r>
          </w:p>
        </w:tc>
        <w:tc>
          <w:tcPr>
            <w:tcW w:w="3226" w:type="dxa"/>
            <w:noWrap w:val="0"/>
            <w:vAlign w:val="center"/>
          </w:tcPr>
          <w:p w14:paraId="3D971B22">
            <w:pPr>
              <w:pStyle w:val="61"/>
              <w:wordWrap w:val="0"/>
              <w:adjustRightInd w:val="0"/>
              <w:snapToGrid w:val="0"/>
              <w:spacing w:line="380" w:lineRule="exact"/>
              <w:ind w:firstLine="420"/>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我方不存在招标文件第一章第三节第</w:t>
            </w:r>
            <w:r>
              <w:rPr>
                <w:rFonts w:hint="eastAsia" w:ascii="宋体" w:hAnsi="宋体" w:eastAsia="宋体" w:cs="宋体"/>
                <w:b/>
                <w:bCs/>
                <w:snapToGrid w:val="0"/>
                <w:color w:val="000000" w:themeColor="text1"/>
                <w:kern w:val="0"/>
                <w:sz w:val="21"/>
                <w:szCs w:val="21"/>
                <w:highlight w:val="none"/>
                <w14:textFill>
                  <w14:solidFill>
                    <w14:schemeClr w14:val="tx1"/>
                  </w14:solidFill>
                </w14:textFill>
              </w:rPr>
              <w:t>2.4</w:t>
            </w:r>
            <w:r>
              <w:rPr>
                <w:rFonts w:hint="eastAsia" w:ascii="宋体" w:hAnsi="宋体" w:eastAsia="宋体" w:cs="宋体"/>
                <w:snapToGrid w:val="0"/>
                <w:color w:val="000000" w:themeColor="text1"/>
                <w:kern w:val="0"/>
                <w:sz w:val="21"/>
                <w:szCs w:val="21"/>
                <w:highlight w:val="none"/>
                <w14:textFill>
                  <w14:solidFill>
                    <w14:schemeClr w14:val="tx1"/>
                  </w14:solidFill>
                </w14:textFill>
              </w:rPr>
              <w:t>条“禁止投标条款”规定的任何一种情形。</w:t>
            </w:r>
          </w:p>
        </w:tc>
        <w:tc>
          <w:tcPr>
            <w:tcW w:w="4796" w:type="dxa"/>
            <w:noWrap w:val="0"/>
            <w:vAlign w:val="center"/>
          </w:tcPr>
          <w:p w14:paraId="13673D1C">
            <w:pPr>
              <w:pStyle w:val="61"/>
              <w:wordWrap w:val="0"/>
              <w:adjustRightInd w:val="0"/>
              <w:snapToGrid w:val="0"/>
              <w:spacing w:line="380" w:lineRule="exact"/>
              <w:ind w:firstLine="420"/>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如果我方有招标文件第一章第三节第</w:t>
            </w:r>
            <w:r>
              <w:rPr>
                <w:rFonts w:hint="eastAsia" w:ascii="宋体" w:hAnsi="宋体" w:eastAsia="宋体" w:cs="宋体"/>
                <w:b/>
                <w:bCs/>
                <w:snapToGrid w:val="0"/>
                <w:color w:val="000000" w:themeColor="text1"/>
                <w:kern w:val="0"/>
                <w:sz w:val="21"/>
                <w:szCs w:val="21"/>
                <w:highlight w:val="none"/>
                <w14:textFill>
                  <w14:solidFill>
                    <w14:schemeClr w14:val="tx1"/>
                  </w14:solidFill>
                </w14:textFill>
              </w:rPr>
              <w:t>2.4</w:t>
            </w:r>
            <w:r>
              <w:rPr>
                <w:rFonts w:hint="eastAsia" w:ascii="宋体" w:hAnsi="宋体" w:eastAsia="宋体" w:cs="宋体"/>
                <w:snapToGrid w:val="0"/>
                <w:color w:val="000000" w:themeColor="text1"/>
                <w:kern w:val="0"/>
                <w:sz w:val="21"/>
                <w:szCs w:val="21"/>
                <w:highlight w:val="none"/>
                <w14:textFill>
                  <w14:solidFill>
                    <w14:schemeClr w14:val="tx1"/>
                  </w14:solidFill>
                </w14:textFill>
              </w:rPr>
              <w:t>条“禁止投标条款”规定的任何一种情形，我方接受招标人或其授权的招标代理机构或其组建的评标委员会依据招标文件作出的相应处理以及有关监督部门作出的行政处罚，并承担由此引起的一切法律后果。</w:t>
            </w:r>
          </w:p>
        </w:tc>
      </w:tr>
      <w:tr w14:paraId="24A5B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0"/>
            <w:vAlign w:val="center"/>
          </w:tcPr>
          <w:p w14:paraId="552394F2">
            <w:pPr>
              <w:pStyle w:val="36"/>
              <w:spacing w:line="38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w:t>
            </w:r>
          </w:p>
        </w:tc>
        <w:tc>
          <w:tcPr>
            <w:tcW w:w="1081" w:type="dxa"/>
            <w:noWrap w:val="0"/>
            <w:vAlign w:val="center"/>
          </w:tcPr>
          <w:p w14:paraId="2C90CA06">
            <w:pPr>
              <w:pStyle w:val="61"/>
              <w:wordWrap w:val="0"/>
              <w:adjustRightInd w:val="0"/>
              <w:snapToGrid w:val="0"/>
              <w:spacing w:line="380" w:lineRule="exact"/>
              <w:ind w:firstLine="0" w:firstLineChars="0"/>
              <w:jc w:val="center"/>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自觉抵制围标串标和弄虚作假行为的承诺</w:t>
            </w:r>
          </w:p>
        </w:tc>
        <w:tc>
          <w:tcPr>
            <w:tcW w:w="3226" w:type="dxa"/>
            <w:noWrap w:val="0"/>
            <w:vAlign w:val="center"/>
          </w:tcPr>
          <w:p w14:paraId="671ABF6E">
            <w:pPr>
              <w:pStyle w:val="61"/>
              <w:wordWrap w:val="0"/>
              <w:adjustRightInd w:val="0"/>
              <w:snapToGrid w:val="0"/>
              <w:spacing w:line="380" w:lineRule="exact"/>
              <w:ind w:firstLine="420"/>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我方合法正当、诚实守信地参与投标，不组织、不参加围标串标违法行为，不通过弄虚作假行为骗取中标。</w:t>
            </w:r>
          </w:p>
        </w:tc>
        <w:tc>
          <w:tcPr>
            <w:tcW w:w="4796" w:type="dxa"/>
            <w:noWrap w:val="0"/>
            <w:vAlign w:val="center"/>
          </w:tcPr>
          <w:p w14:paraId="7AF01976">
            <w:pPr>
              <w:pStyle w:val="61"/>
              <w:wordWrap w:val="0"/>
              <w:adjustRightInd w:val="0"/>
              <w:snapToGrid w:val="0"/>
              <w:spacing w:line="380" w:lineRule="exact"/>
              <w:ind w:firstLine="420"/>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引起的一切法律后果。</w:t>
            </w:r>
          </w:p>
        </w:tc>
      </w:tr>
      <w:tr w14:paraId="1DAD9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0"/>
            <w:vAlign w:val="center"/>
          </w:tcPr>
          <w:p w14:paraId="4EB0C70B">
            <w:pPr>
              <w:pStyle w:val="36"/>
              <w:spacing w:line="38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w:t>
            </w:r>
          </w:p>
        </w:tc>
        <w:tc>
          <w:tcPr>
            <w:tcW w:w="1081" w:type="dxa"/>
            <w:noWrap w:val="0"/>
            <w:vAlign w:val="center"/>
          </w:tcPr>
          <w:p w14:paraId="4AE27BCC">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履约保证的承诺</w:t>
            </w:r>
          </w:p>
        </w:tc>
        <w:tc>
          <w:tcPr>
            <w:tcW w:w="3226" w:type="dxa"/>
            <w:noWrap w:val="0"/>
            <w:vAlign w:val="center"/>
          </w:tcPr>
          <w:p w14:paraId="7CB1DA74">
            <w:pPr>
              <w:pStyle w:val="61"/>
              <w:wordWrap w:val="0"/>
              <w:adjustRightInd w:val="0"/>
              <w:snapToGrid w:val="0"/>
              <w:spacing w:line="38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如果我方中标，我方保证在招标文件规定的时限内全额提交履约保证。</w:t>
            </w:r>
          </w:p>
        </w:tc>
        <w:tc>
          <w:tcPr>
            <w:tcW w:w="4796" w:type="dxa"/>
            <w:noWrap w:val="0"/>
            <w:vAlign w:val="center"/>
          </w:tcPr>
          <w:p w14:paraId="6E48051F">
            <w:pPr>
              <w:pStyle w:val="61"/>
              <w:wordWrap w:val="0"/>
              <w:adjustRightInd w:val="0"/>
              <w:snapToGrid w:val="0"/>
              <w:spacing w:line="380" w:lineRule="exact"/>
              <w:ind w:firstLine="0" w:firstLineChars="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 xml:space="preserve">    如果我方未在招标文件规定的时限内全额提交履约保证，我方接受招标人依据招标文件作出的相应处理以及有关监督部门作出的行政处罚，并承担由此引起的一切法律后果。</w:t>
            </w:r>
          </w:p>
        </w:tc>
      </w:tr>
      <w:tr w14:paraId="2AEE6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656" w:type="dxa"/>
            <w:noWrap w:val="0"/>
            <w:vAlign w:val="center"/>
          </w:tcPr>
          <w:p w14:paraId="2BD73097">
            <w:pPr>
              <w:pStyle w:val="36"/>
              <w:spacing w:line="38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w:t>
            </w:r>
          </w:p>
        </w:tc>
        <w:tc>
          <w:tcPr>
            <w:tcW w:w="1081" w:type="dxa"/>
            <w:noWrap w:val="0"/>
            <w:vAlign w:val="center"/>
          </w:tcPr>
          <w:p w14:paraId="1605709C">
            <w:pPr>
              <w:pStyle w:val="61"/>
              <w:spacing w:line="380" w:lineRule="exact"/>
              <w:ind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工期、进度承诺书</w:t>
            </w:r>
          </w:p>
        </w:tc>
        <w:tc>
          <w:tcPr>
            <w:tcW w:w="3226" w:type="dxa"/>
            <w:noWrap w:val="0"/>
            <w:vAlign w:val="center"/>
          </w:tcPr>
          <w:p w14:paraId="0BE6F71F">
            <w:pPr>
              <w:pStyle w:val="61"/>
              <w:spacing w:line="380" w:lineRule="exact"/>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我方保证在</w:t>
            </w:r>
            <w:r>
              <w:rPr>
                <w:rFonts w:hint="eastAsia" w:ascii="宋体" w:hAnsi="宋体" w:eastAsia="宋体" w:cs="宋体"/>
                <w:b/>
                <w:bCs/>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b/>
                <w:bCs/>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21"/>
                <w:szCs w:val="21"/>
                <w:highlight w:val="none"/>
                <w:u w:val="single"/>
                <w14:textFill>
                  <w14:solidFill>
                    <w14:schemeClr w14:val="tx1"/>
                  </w14:solidFill>
                </w14:textFill>
              </w:rPr>
              <w:t>日历天内（</w:t>
            </w:r>
            <w:r>
              <w:rPr>
                <w:rFonts w:hint="eastAsia" w:ascii="宋体" w:hAnsi="宋体" w:eastAsia="宋体" w:cs="宋体"/>
                <w:color w:val="000000" w:themeColor="text1"/>
                <w:sz w:val="21"/>
                <w:szCs w:val="21"/>
                <w:highlight w:val="none"/>
                <w14:textFill>
                  <w14:solidFill>
                    <w14:schemeClr w14:val="tx1"/>
                  </w14:solidFill>
                </w14:textFill>
              </w:rPr>
              <w:t>其中：设计工期</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日历天；施工工期</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日历天</w:t>
            </w:r>
            <w:r>
              <w:rPr>
                <w:rFonts w:hint="eastAsia" w:ascii="宋体" w:hAnsi="宋体" w:eastAsia="宋体" w:cs="宋体"/>
                <w:b/>
                <w:bCs/>
                <w:color w:val="000000" w:themeColor="text1"/>
                <w:sz w:val="21"/>
                <w:szCs w:val="21"/>
                <w:highlight w:val="none"/>
                <w:u w:val="none"/>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完成工程</w:t>
            </w:r>
            <w:r>
              <w:rPr>
                <w:rFonts w:hint="eastAsia" w:hAnsi="宋体" w:cs="宋体"/>
                <w:color w:val="000000" w:themeColor="text1"/>
                <w:sz w:val="21"/>
                <w:szCs w:val="21"/>
                <w:highlight w:val="none"/>
                <w:lang w:eastAsia="zh-CN"/>
                <w14:textFill>
                  <w14:solidFill>
                    <w14:schemeClr w14:val="tx1"/>
                  </w14:solidFill>
                </w14:textFill>
              </w:rPr>
              <w:t>设计、施工</w:t>
            </w:r>
            <w:r>
              <w:rPr>
                <w:rFonts w:hint="eastAsia" w:ascii="宋体" w:hAnsi="宋体" w:eastAsia="宋体" w:cs="宋体"/>
                <w:color w:val="000000" w:themeColor="text1"/>
                <w:sz w:val="21"/>
                <w:szCs w:val="21"/>
                <w:highlight w:val="none"/>
                <w14:textFill>
                  <w14:solidFill>
                    <w14:schemeClr w14:val="tx1"/>
                  </w14:solidFill>
                </w14:textFill>
              </w:rPr>
              <w:t>并通过竣工验收。</w:t>
            </w:r>
          </w:p>
        </w:tc>
        <w:tc>
          <w:tcPr>
            <w:tcW w:w="4796" w:type="dxa"/>
            <w:noWrap w:val="0"/>
            <w:vAlign w:val="center"/>
          </w:tcPr>
          <w:p w14:paraId="592D198A">
            <w:pPr>
              <w:pStyle w:val="61"/>
              <w:spacing w:line="380" w:lineRule="exact"/>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若因我方原因，没有按期完成设计工作的，</w:t>
            </w:r>
            <w:r>
              <w:rPr>
                <w:rFonts w:hint="eastAsia" w:ascii="宋体" w:hAnsi="宋体" w:eastAsia="宋体" w:cs="宋体"/>
                <w:color w:val="000000" w:themeColor="text1"/>
                <w:sz w:val="21"/>
                <w:szCs w:val="21"/>
                <w:highlight w:val="none"/>
                <w:lang w:eastAsia="zh-CN"/>
                <w14:textFill>
                  <w14:solidFill>
                    <w14:schemeClr w14:val="tx1"/>
                  </w14:solidFill>
                </w14:textFill>
              </w:rPr>
              <w:t>我方</w:t>
            </w:r>
            <w:r>
              <w:rPr>
                <w:rFonts w:hint="eastAsia" w:ascii="宋体" w:hAnsi="宋体" w:eastAsia="宋体" w:cs="宋体"/>
                <w:color w:val="000000" w:themeColor="text1"/>
                <w:sz w:val="21"/>
                <w:szCs w:val="21"/>
                <w:highlight w:val="none"/>
                <w14:textFill>
                  <w14:solidFill>
                    <w14:schemeClr w14:val="tx1"/>
                  </w14:solidFill>
                </w14:textFill>
              </w:rPr>
              <w:t>须在逾期第壹天起每天按设计费合同价款的1‰向招标人返纳逾期违约金</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设计</w:t>
            </w:r>
            <w:r>
              <w:rPr>
                <w:rFonts w:hint="eastAsia" w:ascii="宋体" w:hAnsi="宋体" w:eastAsia="宋体" w:cs="宋体"/>
                <w:color w:val="000000" w:themeColor="text1"/>
                <w:sz w:val="21"/>
                <w:szCs w:val="21"/>
                <w:highlight w:val="none"/>
                <w:lang w:eastAsia="zh-CN"/>
                <w14:textFill>
                  <w14:solidFill>
                    <w14:schemeClr w14:val="tx1"/>
                  </w14:solidFill>
                </w14:textFill>
              </w:rPr>
              <w:t>逾期违约金的最高限额为合同</w:t>
            </w:r>
            <w:r>
              <w:rPr>
                <w:rFonts w:hint="eastAsia" w:ascii="宋体" w:hAnsi="宋体" w:eastAsia="宋体" w:cs="宋体"/>
                <w:color w:val="000000" w:themeColor="text1"/>
                <w:sz w:val="21"/>
                <w:szCs w:val="21"/>
                <w:highlight w:val="none"/>
                <w14:textFill>
                  <w14:solidFill>
                    <w14:schemeClr w14:val="tx1"/>
                  </w14:solidFill>
                </w14:textFill>
              </w:rPr>
              <w:t>设计</w:t>
            </w:r>
            <w:r>
              <w:rPr>
                <w:rFonts w:hint="eastAsia" w:ascii="宋体" w:hAnsi="宋体" w:eastAsia="宋体" w:cs="宋体"/>
                <w:color w:val="000000" w:themeColor="text1"/>
                <w:sz w:val="21"/>
                <w:szCs w:val="21"/>
                <w:highlight w:val="none"/>
                <w:lang w:eastAsia="zh-CN"/>
                <w14:textFill>
                  <w14:solidFill>
                    <w14:schemeClr w14:val="tx1"/>
                  </w14:solidFill>
                </w14:textFill>
              </w:rPr>
              <w:t>价款的</w:t>
            </w: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工程没有按期竣工并通过验收时，我方在逾期第壹天起每天按合同价款的</w:t>
            </w: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‰向招标人返纳逾期竣工违约金</w:t>
            </w:r>
            <w:r>
              <w:rPr>
                <w:rFonts w:hint="eastAsia" w:ascii="宋体" w:hAnsi="宋体" w:eastAsia="宋体" w:cs="宋体"/>
                <w:color w:val="000000" w:themeColor="text1"/>
                <w:sz w:val="21"/>
                <w:szCs w:val="21"/>
                <w:highlight w:val="none"/>
                <w:lang w:eastAsia="zh-CN"/>
                <w14:textFill>
                  <w14:solidFill>
                    <w14:schemeClr w14:val="tx1"/>
                  </w14:solidFill>
                </w14:textFill>
              </w:rPr>
              <w:t>，逾期竣工违约金的最高限额为合同施工价款的</w:t>
            </w: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r>
      <w:tr w14:paraId="32B02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0"/>
            <w:vAlign w:val="center"/>
          </w:tcPr>
          <w:p w14:paraId="2EC99678">
            <w:pPr>
              <w:pStyle w:val="36"/>
              <w:spacing w:line="38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6</w:t>
            </w:r>
          </w:p>
        </w:tc>
        <w:tc>
          <w:tcPr>
            <w:tcW w:w="1081" w:type="dxa"/>
            <w:noWrap w:val="0"/>
            <w:vAlign w:val="center"/>
          </w:tcPr>
          <w:p w14:paraId="37CB0D8D">
            <w:pPr>
              <w:pStyle w:val="61"/>
              <w:spacing w:line="380" w:lineRule="exact"/>
              <w:ind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安全、文明施工承诺书</w:t>
            </w:r>
          </w:p>
        </w:tc>
        <w:tc>
          <w:tcPr>
            <w:tcW w:w="3226" w:type="dxa"/>
            <w:noWrap w:val="0"/>
            <w:vAlign w:val="center"/>
          </w:tcPr>
          <w:p w14:paraId="643DAC63">
            <w:pPr>
              <w:pStyle w:val="61"/>
              <w:spacing w:line="380" w:lineRule="exact"/>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我方保证在施工期间严格遵守国家、省、市有关安全、文明施工规定，确保施工安全和第三者的安全，根据施工现场情况保证安全防护、文明施工措施费投入。</w:t>
            </w:r>
          </w:p>
        </w:tc>
        <w:tc>
          <w:tcPr>
            <w:tcW w:w="4796" w:type="dxa"/>
            <w:noWrap w:val="0"/>
            <w:vAlign w:val="center"/>
          </w:tcPr>
          <w:p w14:paraId="11BA15C0">
            <w:pPr>
              <w:pStyle w:val="61"/>
              <w:spacing w:line="380" w:lineRule="exact"/>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若因我方原因，在施工期间发生安全事故，造成施工人员或第三者的伤亡，我方愿意承担由此造成的一切经济损失和法律责任。</w:t>
            </w:r>
          </w:p>
          <w:p w14:paraId="3B29240B">
            <w:pPr>
              <w:pStyle w:val="61"/>
              <w:spacing w:line="380" w:lineRule="exact"/>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若我方在施工中发生一般事故及以上等级生产安全事故，可扣除相当于所有“安全防护、文明施工措施费”的管理费。</w:t>
            </w:r>
          </w:p>
        </w:tc>
      </w:tr>
      <w:tr w14:paraId="23D57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0"/>
            <w:vAlign w:val="center"/>
          </w:tcPr>
          <w:p w14:paraId="305166C3">
            <w:pPr>
              <w:pStyle w:val="36"/>
              <w:spacing w:line="38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7</w:t>
            </w:r>
          </w:p>
        </w:tc>
        <w:tc>
          <w:tcPr>
            <w:tcW w:w="1081" w:type="dxa"/>
            <w:noWrap w:val="0"/>
            <w:vAlign w:val="center"/>
          </w:tcPr>
          <w:p w14:paraId="3291A7DA">
            <w:pPr>
              <w:pStyle w:val="61"/>
              <w:spacing w:line="380" w:lineRule="exact"/>
              <w:ind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质量承诺书</w:t>
            </w:r>
          </w:p>
        </w:tc>
        <w:tc>
          <w:tcPr>
            <w:tcW w:w="3226" w:type="dxa"/>
            <w:noWrap w:val="0"/>
            <w:vAlign w:val="center"/>
          </w:tcPr>
          <w:p w14:paraId="5B684535">
            <w:pPr>
              <w:pStyle w:val="36"/>
              <w:spacing w:line="380" w:lineRule="exact"/>
              <w:ind w:firstLine="56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我方保证按照现行的国家和广东省的有关施工技术规范及现行标准，达到合格标准</w:t>
            </w:r>
          </w:p>
        </w:tc>
        <w:tc>
          <w:tcPr>
            <w:tcW w:w="4796" w:type="dxa"/>
            <w:noWrap w:val="0"/>
            <w:vAlign w:val="center"/>
          </w:tcPr>
          <w:p w14:paraId="5B11A466">
            <w:pPr>
              <w:pStyle w:val="61"/>
              <w:spacing w:line="380" w:lineRule="exact"/>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若因我方原因，工程在竣工验收或分部分项工程验收时没有达到合格标准，我方每次（每分部每分项次）验收检查时按合同价款的1％向招标人缴纳质量违约金。并达到合格标准为止，同时承担所有的责任及经济损失。</w:t>
            </w:r>
          </w:p>
          <w:p w14:paraId="359BF430">
            <w:pPr>
              <w:pStyle w:val="61"/>
              <w:spacing w:line="380" w:lineRule="exact"/>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在建设或监理单组织的质量检查中，一次一个分项工程实测或其他项、程序不合格不符合要求的，一次向建设单位交纳质量违约金¥1000元/次项，分部工程不合格的一次、一个分部向建设（委托）单位交纳违约金¥2000元/次、项；</w:t>
            </w:r>
          </w:p>
          <w:p w14:paraId="129E1C9C">
            <w:pPr>
              <w:pStyle w:val="61"/>
              <w:spacing w:line="380" w:lineRule="exact"/>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在省、市监管部门抽查、巡查、专项、随机检查中，一次一个分项工程实测或其他项、程序不合格不符合要求的，一次向建设（委托）单位交纳质量违约金¥2000元/次项，分部工程不合格的一次、一个分部向建设（委托）单位交纳违约金¥5000元/次、项；</w:t>
            </w:r>
          </w:p>
          <w:p w14:paraId="04C34C59">
            <w:pPr>
              <w:pStyle w:val="63"/>
              <w:spacing w:line="400" w:lineRule="exact"/>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未能在限期内完成质量安全隐患整改的，每逾期一天，向建设单位交纳罚金¥1000元；</w:t>
            </w:r>
          </w:p>
          <w:p w14:paraId="19EA5F6B">
            <w:pPr>
              <w:pStyle w:val="63"/>
              <w:spacing w:line="400" w:lineRule="exact"/>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未按规定委派专业人员参加检验批、分部分项工程验收，不及时签署验收记录的，一次向建设（委托）单位交纳违约金¥2000元/次、项；</w:t>
            </w:r>
          </w:p>
          <w:p w14:paraId="2AB7BF2D">
            <w:pPr>
              <w:pStyle w:val="61"/>
              <w:spacing w:line="380" w:lineRule="exact"/>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不按规定委派相关人员参加项目竣工验收的，一次向建设单位交纳违约金¥50000元/项，不签署意见的交纳违约金¥50000元。</w:t>
            </w:r>
          </w:p>
        </w:tc>
      </w:tr>
      <w:tr w14:paraId="20DD1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0" w:hRule="atLeast"/>
          <w:jc w:val="center"/>
        </w:trPr>
        <w:tc>
          <w:tcPr>
            <w:tcW w:w="656" w:type="dxa"/>
            <w:noWrap w:val="0"/>
            <w:vAlign w:val="center"/>
          </w:tcPr>
          <w:p w14:paraId="14C050E3">
            <w:pPr>
              <w:pStyle w:val="36"/>
              <w:spacing w:line="38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8</w:t>
            </w:r>
          </w:p>
        </w:tc>
        <w:tc>
          <w:tcPr>
            <w:tcW w:w="1081" w:type="dxa"/>
            <w:noWrap w:val="0"/>
            <w:vAlign w:val="center"/>
          </w:tcPr>
          <w:p w14:paraId="02695FE4">
            <w:pPr>
              <w:pStyle w:val="61"/>
              <w:spacing w:line="380" w:lineRule="exact"/>
              <w:ind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账户承诺</w:t>
            </w:r>
          </w:p>
        </w:tc>
        <w:tc>
          <w:tcPr>
            <w:tcW w:w="3226" w:type="dxa"/>
            <w:noWrap w:val="0"/>
            <w:vAlign w:val="center"/>
          </w:tcPr>
          <w:p w14:paraId="6F61BD00">
            <w:pPr>
              <w:pStyle w:val="63"/>
              <w:spacing w:line="400" w:lineRule="exact"/>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我方保证招标人的资金随时可划入合同中规定的我方账户。</w:t>
            </w:r>
          </w:p>
        </w:tc>
        <w:tc>
          <w:tcPr>
            <w:tcW w:w="4796" w:type="dxa"/>
            <w:noWrap w:val="0"/>
            <w:vAlign w:val="center"/>
          </w:tcPr>
          <w:p w14:paraId="59BA984E">
            <w:pPr>
              <w:pStyle w:val="61"/>
              <w:spacing w:line="380" w:lineRule="exact"/>
              <w:ind w:firstLine="412"/>
              <w:rPr>
                <w:rFonts w:hint="eastAsia" w:ascii="宋体" w:hAnsi="宋体" w:eastAsia="宋体" w:cs="宋体"/>
                <w:color w:val="000000" w:themeColor="text1"/>
                <w:spacing w:val="-2"/>
                <w:sz w:val="21"/>
                <w:szCs w:val="21"/>
                <w:highlight w:val="none"/>
                <w14:textFill>
                  <w14:solidFill>
                    <w14:schemeClr w14:val="tx1"/>
                  </w14:solidFill>
                </w14:textFill>
              </w:rPr>
            </w:pPr>
            <w:r>
              <w:rPr>
                <w:rFonts w:hint="eastAsia" w:ascii="宋体" w:hAnsi="宋体" w:eastAsia="宋体" w:cs="宋体"/>
                <w:color w:val="000000" w:themeColor="text1"/>
                <w:spacing w:val="-2"/>
                <w:sz w:val="21"/>
                <w:szCs w:val="21"/>
                <w:highlight w:val="none"/>
                <w14:textFill>
                  <w14:solidFill>
                    <w14:schemeClr w14:val="tx1"/>
                  </w14:solidFill>
                </w14:textFill>
              </w:rPr>
              <w:t>若因我方原因造成招标人的资金无法划入合同中规定的我方</w:t>
            </w:r>
            <w:r>
              <w:rPr>
                <w:rFonts w:hint="eastAsia" w:ascii="宋体" w:hAnsi="宋体" w:eastAsia="宋体" w:cs="宋体"/>
                <w:color w:val="000000" w:themeColor="text1"/>
                <w:sz w:val="21"/>
                <w:szCs w:val="21"/>
                <w:highlight w:val="none"/>
                <w14:textFill>
                  <w14:solidFill>
                    <w14:schemeClr w14:val="tx1"/>
                  </w14:solidFill>
                </w14:textFill>
              </w:rPr>
              <w:t>账</w:t>
            </w:r>
            <w:r>
              <w:rPr>
                <w:rFonts w:hint="eastAsia" w:ascii="宋体" w:hAnsi="宋体" w:eastAsia="宋体" w:cs="宋体"/>
                <w:color w:val="000000" w:themeColor="text1"/>
                <w:spacing w:val="-2"/>
                <w:sz w:val="21"/>
                <w:szCs w:val="21"/>
                <w:highlight w:val="none"/>
                <w14:textFill>
                  <w14:solidFill>
                    <w14:schemeClr w14:val="tx1"/>
                  </w14:solidFill>
                </w14:textFill>
              </w:rPr>
              <w:t>户，如时间达到30日历天，招标人有权终止合同。我方承担由此造成的所有责任及经济损失。</w:t>
            </w:r>
          </w:p>
        </w:tc>
      </w:tr>
      <w:tr w14:paraId="2F988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0"/>
            <w:vAlign w:val="center"/>
          </w:tcPr>
          <w:p w14:paraId="78487B43">
            <w:pPr>
              <w:pStyle w:val="36"/>
              <w:spacing w:line="38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9</w:t>
            </w:r>
          </w:p>
        </w:tc>
        <w:tc>
          <w:tcPr>
            <w:tcW w:w="1081" w:type="dxa"/>
            <w:noWrap w:val="0"/>
            <w:vAlign w:val="center"/>
          </w:tcPr>
          <w:p w14:paraId="48496C40">
            <w:pPr>
              <w:pStyle w:val="61"/>
              <w:spacing w:line="380" w:lineRule="exact"/>
              <w:ind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工程的配合服务承诺</w:t>
            </w:r>
          </w:p>
        </w:tc>
        <w:tc>
          <w:tcPr>
            <w:tcW w:w="3226" w:type="dxa"/>
            <w:noWrap w:val="0"/>
            <w:vAlign w:val="center"/>
          </w:tcPr>
          <w:p w14:paraId="2C0E482F">
            <w:pPr>
              <w:pStyle w:val="63"/>
              <w:spacing w:line="400" w:lineRule="exact"/>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我方服从业主管理，保证配合与工程承包范围内相关的其他标段（工种、分项）工程施工单位的工程施工，不提出额外增加费用的要求。</w:t>
            </w:r>
          </w:p>
        </w:tc>
        <w:tc>
          <w:tcPr>
            <w:tcW w:w="4796" w:type="dxa"/>
            <w:noWrap w:val="0"/>
            <w:vAlign w:val="center"/>
          </w:tcPr>
          <w:p w14:paraId="210F5CD9">
            <w:pPr>
              <w:pStyle w:val="61"/>
              <w:spacing w:line="380" w:lineRule="exact"/>
              <w:ind w:firstLine="412"/>
              <w:rPr>
                <w:rFonts w:hint="eastAsia" w:ascii="宋体" w:hAnsi="宋体" w:eastAsia="宋体" w:cs="宋体"/>
                <w:color w:val="000000" w:themeColor="text1"/>
                <w:spacing w:val="-2"/>
                <w:sz w:val="21"/>
                <w:szCs w:val="21"/>
                <w:highlight w:val="none"/>
                <w14:textFill>
                  <w14:solidFill>
                    <w14:schemeClr w14:val="tx1"/>
                  </w14:solidFill>
                </w14:textFill>
              </w:rPr>
            </w:pPr>
            <w:r>
              <w:rPr>
                <w:rFonts w:hint="eastAsia" w:ascii="宋体" w:hAnsi="宋体" w:eastAsia="宋体" w:cs="宋体"/>
                <w:color w:val="000000" w:themeColor="text1"/>
                <w:spacing w:val="-2"/>
                <w:sz w:val="21"/>
                <w:szCs w:val="21"/>
                <w:highlight w:val="none"/>
                <w14:textFill>
                  <w14:solidFill>
                    <w14:schemeClr w14:val="tx1"/>
                  </w14:solidFill>
                </w14:textFill>
              </w:rPr>
              <w:t>若因我方未及时配合与工程承包范围内相关的其他标段（工种、分项）工程施工单位的工程施工，给招标人或其他施工单位造成损失的，我方承担所有的责任及经济损失。</w:t>
            </w:r>
          </w:p>
        </w:tc>
      </w:tr>
      <w:tr w14:paraId="4D1E0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0"/>
            <w:vAlign w:val="center"/>
          </w:tcPr>
          <w:p w14:paraId="655C3A2D">
            <w:pPr>
              <w:pStyle w:val="36"/>
              <w:spacing w:line="38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10</w:t>
            </w:r>
          </w:p>
        </w:tc>
        <w:tc>
          <w:tcPr>
            <w:tcW w:w="1081" w:type="dxa"/>
            <w:noWrap w:val="0"/>
            <w:vAlign w:val="center"/>
          </w:tcPr>
          <w:p w14:paraId="50BBA48D">
            <w:pPr>
              <w:pStyle w:val="65"/>
              <w:spacing w:line="300" w:lineRule="exact"/>
              <w:jc w:val="center"/>
              <w:rPr>
                <w:rFonts w:hint="eastAsia" w:ascii="宋体" w:hAnsi="宋体" w:eastAsia="宋体" w:cs="宋体"/>
                <w:color w:val="000000" w:themeColor="text1"/>
                <w:spacing w:val="-2"/>
                <w:sz w:val="21"/>
                <w:szCs w:val="21"/>
                <w:highlight w:val="none"/>
                <w14:textFill>
                  <w14:solidFill>
                    <w14:schemeClr w14:val="tx1"/>
                  </w14:solidFill>
                </w14:textFill>
              </w:rPr>
            </w:pPr>
          </w:p>
          <w:p w14:paraId="5EFD5C77">
            <w:pPr>
              <w:pStyle w:val="65"/>
              <w:spacing w:line="300" w:lineRule="exact"/>
              <w:jc w:val="center"/>
              <w:rPr>
                <w:rFonts w:hint="eastAsia" w:ascii="宋体" w:hAnsi="宋体" w:eastAsia="宋体" w:cs="宋体"/>
                <w:color w:val="000000" w:themeColor="text1"/>
                <w:spacing w:val="-2"/>
                <w:sz w:val="21"/>
                <w:szCs w:val="21"/>
                <w:highlight w:val="none"/>
                <w14:textFill>
                  <w14:solidFill>
                    <w14:schemeClr w14:val="tx1"/>
                  </w14:solidFill>
                </w14:textFill>
              </w:rPr>
            </w:pPr>
          </w:p>
          <w:p w14:paraId="23A37F7C">
            <w:pPr>
              <w:pStyle w:val="65"/>
              <w:spacing w:line="300" w:lineRule="exact"/>
              <w:jc w:val="center"/>
              <w:rPr>
                <w:rFonts w:hint="eastAsia" w:ascii="宋体" w:hAnsi="宋体" w:eastAsia="宋体" w:cs="宋体"/>
                <w:color w:val="000000" w:themeColor="text1"/>
                <w:spacing w:val="-2"/>
                <w:sz w:val="21"/>
                <w:szCs w:val="21"/>
                <w:highlight w:val="none"/>
                <w14:textFill>
                  <w14:solidFill>
                    <w14:schemeClr w14:val="tx1"/>
                  </w14:solidFill>
                </w14:textFill>
              </w:rPr>
            </w:pPr>
          </w:p>
          <w:p w14:paraId="40D91B2A">
            <w:pPr>
              <w:pStyle w:val="65"/>
              <w:spacing w:line="300" w:lineRule="exact"/>
              <w:jc w:val="center"/>
              <w:rPr>
                <w:rFonts w:hint="eastAsia" w:ascii="宋体" w:hAnsi="宋体" w:eastAsia="宋体" w:cs="宋体"/>
                <w:color w:val="000000" w:themeColor="text1"/>
                <w:spacing w:val="-2"/>
                <w:sz w:val="21"/>
                <w:szCs w:val="21"/>
                <w:highlight w:val="none"/>
                <w14:textFill>
                  <w14:solidFill>
                    <w14:schemeClr w14:val="tx1"/>
                  </w14:solidFill>
                </w14:textFill>
              </w:rPr>
            </w:pPr>
          </w:p>
          <w:p w14:paraId="0141EA37">
            <w:pPr>
              <w:pStyle w:val="65"/>
              <w:spacing w:line="30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2"/>
                <w:sz w:val="21"/>
                <w:szCs w:val="21"/>
                <w:highlight w:val="none"/>
                <w14:textFill>
                  <w14:solidFill>
                    <w14:schemeClr w14:val="tx1"/>
                  </w14:solidFill>
                </w14:textFill>
              </w:rPr>
              <w:t>中标人员承诺</w:t>
            </w:r>
          </w:p>
        </w:tc>
        <w:tc>
          <w:tcPr>
            <w:tcW w:w="3226" w:type="dxa"/>
            <w:noWrap w:val="0"/>
            <w:vAlign w:val="center"/>
          </w:tcPr>
          <w:p w14:paraId="6BDA504F">
            <w:pPr>
              <w:pStyle w:val="65"/>
              <w:spacing w:line="300" w:lineRule="exact"/>
              <w:ind w:firstLine="412" w:firstLineChars="200"/>
              <w:jc w:val="center"/>
              <w:rPr>
                <w:rFonts w:hint="eastAsia" w:ascii="宋体" w:hAnsi="宋体" w:eastAsia="宋体" w:cs="宋体"/>
                <w:color w:val="000000" w:themeColor="text1"/>
                <w:spacing w:val="-2"/>
                <w:sz w:val="21"/>
                <w:szCs w:val="21"/>
                <w:highlight w:val="none"/>
                <w14:textFill>
                  <w14:solidFill>
                    <w14:schemeClr w14:val="tx1"/>
                  </w14:solidFill>
                </w14:textFill>
              </w:rPr>
            </w:pPr>
          </w:p>
          <w:p w14:paraId="6156EF29">
            <w:pPr>
              <w:pStyle w:val="65"/>
              <w:spacing w:line="300" w:lineRule="exact"/>
              <w:ind w:firstLine="412" w:firstLineChars="200"/>
              <w:jc w:val="center"/>
              <w:rPr>
                <w:rFonts w:hint="eastAsia" w:ascii="宋体" w:hAnsi="宋体" w:eastAsia="宋体" w:cs="宋体"/>
                <w:color w:val="000000" w:themeColor="text1"/>
                <w:spacing w:val="-2"/>
                <w:sz w:val="21"/>
                <w:szCs w:val="21"/>
                <w:highlight w:val="none"/>
                <w14:textFill>
                  <w14:solidFill>
                    <w14:schemeClr w14:val="tx1"/>
                  </w14:solidFill>
                </w14:textFill>
              </w:rPr>
            </w:pPr>
          </w:p>
          <w:p w14:paraId="339AD7D6">
            <w:pPr>
              <w:pStyle w:val="65"/>
              <w:spacing w:line="300" w:lineRule="exact"/>
              <w:ind w:firstLine="412" w:firstLineChars="200"/>
              <w:jc w:val="center"/>
              <w:rPr>
                <w:rFonts w:hint="eastAsia" w:ascii="宋体" w:hAnsi="宋体" w:eastAsia="宋体" w:cs="宋体"/>
                <w:color w:val="000000" w:themeColor="text1"/>
                <w:spacing w:val="-2"/>
                <w:sz w:val="21"/>
                <w:szCs w:val="21"/>
                <w:highlight w:val="none"/>
                <w14:textFill>
                  <w14:solidFill>
                    <w14:schemeClr w14:val="tx1"/>
                  </w14:solidFill>
                </w14:textFill>
              </w:rPr>
            </w:pPr>
          </w:p>
          <w:p w14:paraId="2C3E0341">
            <w:pPr>
              <w:pStyle w:val="65"/>
              <w:spacing w:line="300" w:lineRule="exact"/>
              <w:ind w:firstLine="412" w:firstLineChars="20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2"/>
                <w:sz w:val="21"/>
                <w:szCs w:val="21"/>
                <w:highlight w:val="none"/>
                <w14:textFill>
                  <w14:solidFill>
                    <w14:schemeClr w14:val="tx1"/>
                  </w14:solidFill>
                </w14:textFill>
              </w:rPr>
              <w:t>我方保证投标文件中所拟派的中标人员全部配合施工现场管理施工。</w:t>
            </w:r>
          </w:p>
        </w:tc>
        <w:tc>
          <w:tcPr>
            <w:tcW w:w="4796" w:type="dxa"/>
            <w:noWrap w:val="0"/>
            <w:vAlign w:val="center"/>
          </w:tcPr>
          <w:p w14:paraId="48801C4F">
            <w:pPr>
              <w:pStyle w:val="66"/>
              <w:spacing w:line="300" w:lineRule="exact"/>
              <w:ind w:left="0" w:leftChars="0" w:firstLine="420" w:firstLineChars="200"/>
              <w:rPr>
                <w:rFonts w:hint="eastAsia" w:ascii="宋体" w:hAnsi="宋体" w:eastAsia="宋体" w:cs="宋体"/>
                <w:snapToGrid w:val="0"/>
                <w:color w:val="000000" w:themeColor="text1"/>
                <w:sz w:val="21"/>
                <w:szCs w:val="21"/>
                <w:highlight w:val="none"/>
                <w14:textFill>
                  <w14:solidFill>
                    <w14:schemeClr w14:val="tx1"/>
                  </w14:solidFill>
                </w14:textFill>
              </w:rPr>
            </w:pPr>
            <w:r>
              <w:rPr>
                <w:rFonts w:hint="eastAsia" w:ascii="宋体" w:hAnsi="宋体" w:eastAsia="宋体" w:cs="宋体"/>
                <w:snapToGrid w:val="0"/>
                <w:color w:val="000000" w:themeColor="text1"/>
                <w:sz w:val="21"/>
                <w:szCs w:val="21"/>
                <w:highlight w:val="none"/>
                <w14:textFill>
                  <w14:solidFill>
                    <w14:schemeClr w14:val="tx1"/>
                  </w14:solidFill>
                </w14:textFill>
              </w:rPr>
              <w:t>设计单位未能在招标人通知的时间内（提前一天通知，紧急情况随时通知）参加设计交底、处理有关设计问题、参加必要部位隐蔽验收和竣工验收等工作，每人次交纳违约金</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snapToGrid w:val="0"/>
                <w:color w:val="000000" w:themeColor="text1"/>
                <w:sz w:val="21"/>
                <w:szCs w:val="21"/>
                <w:highlight w:val="none"/>
                <w14:textFill>
                  <w14:solidFill>
                    <w14:schemeClr w14:val="tx1"/>
                  </w14:solidFill>
                </w14:textFill>
              </w:rPr>
              <w:t>1000元。</w:t>
            </w:r>
          </w:p>
          <w:p w14:paraId="66D503B1">
            <w:pPr>
              <w:pStyle w:val="66"/>
              <w:spacing w:line="300" w:lineRule="exact"/>
              <w:ind w:left="0" w:leftChars="0" w:firstLine="420" w:firstLineChars="200"/>
              <w:rPr>
                <w:rFonts w:hint="eastAsia" w:ascii="宋体" w:hAnsi="宋体" w:eastAsia="宋体" w:cs="宋体"/>
                <w:snapToGrid w:val="0"/>
                <w:color w:val="000000" w:themeColor="text1"/>
                <w:sz w:val="21"/>
                <w:szCs w:val="21"/>
                <w:highlight w:val="none"/>
                <w14:textFill>
                  <w14:solidFill>
                    <w14:schemeClr w14:val="tx1"/>
                  </w14:solidFill>
                </w14:textFill>
              </w:rPr>
            </w:pPr>
            <w:r>
              <w:rPr>
                <w:rFonts w:hint="eastAsia" w:ascii="宋体" w:hAnsi="宋体" w:eastAsia="宋体" w:cs="宋体"/>
                <w:snapToGrid w:val="0"/>
                <w:color w:val="000000" w:themeColor="text1"/>
                <w:sz w:val="21"/>
                <w:szCs w:val="21"/>
                <w:highlight w:val="none"/>
                <w14:textFill>
                  <w14:solidFill>
                    <w14:schemeClr w14:val="tx1"/>
                  </w14:solidFill>
                </w14:textFill>
              </w:rPr>
              <w:t>设计单位驻韶办公的</w:t>
            </w:r>
            <w:r>
              <w:rPr>
                <w:rFonts w:hint="eastAsia" w:ascii="宋体" w:hAnsi="宋体" w:eastAsia="宋体" w:cs="宋体"/>
                <w:snapToGrid w:val="0"/>
                <w:color w:val="000000" w:themeColor="text1"/>
                <w:sz w:val="21"/>
                <w:szCs w:val="21"/>
                <w:highlight w:val="none"/>
                <w:lang w:eastAsia="zh-CN"/>
                <w14:textFill>
                  <w14:solidFill>
                    <w14:schemeClr w14:val="tx1"/>
                  </w14:solidFill>
                </w14:textFill>
              </w:rPr>
              <w:t>设计</w:t>
            </w:r>
            <w:r>
              <w:rPr>
                <w:rFonts w:hint="eastAsia" w:ascii="宋体" w:hAnsi="宋体" w:eastAsia="宋体" w:cs="宋体"/>
                <w:snapToGrid w:val="0"/>
                <w:color w:val="000000" w:themeColor="text1"/>
                <w:sz w:val="21"/>
                <w:szCs w:val="21"/>
                <w:highlight w:val="none"/>
                <w14:textFill>
                  <w14:solidFill>
                    <w14:schemeClr w14:val="tx1"/>
                  </w14:solidFill>
                </w14:textFill>
              </w:rPr>
              <w:t>负责人（即投标文件所拟派的</w:t>
            </w:r>
            <w:r>
              <w:rPr>
                <w:rFonts w:hint="eastAsia" w:ascii="宋体" w:hAnsi="宋体" w:eastAsia="宋体" w:cs="宋体"/>
                <w:snapToGrid w:val="0"/>
                <w:color w:val="000000" w:themeColor="text1"/>
                <w:sz w:val="21"/>
                <w:szCs w:val="21"/>
                <w:highlight w:val="none"/>
                <w:lang w:eastAsia="zh-CN"/>
                <w14:textFill>
                  <w14:solidFill>
                    <w14:schemeClr w14:val="tx1"/>
                  </w14:solidFill>
                </w14:textFill>
              </w:rPr>
              <w:t>设计</w:t>
            </w:r>
            <w:r>
              <w:rPr>
                <w:rFonts w:hint="eastAsia" w:ascii="宋体" w:hAnsi="宋体" w:eastAsia="宋体" w:cs="宋体"/>
                <w:snapToGrid w:val="0"/>
                <w:color w:val="000000" w:themeColor="text1"/>
                <w:sz w:val="21"/>
                <w:szCs w:val="21"/>
                <w:highlight w:val="none"/>
                <w14:textFill>
                  <w14:solidFill>
                    <w14:schemeClr w14:val="tx1"/>
                  </w14:solidFill>
                </w14:textFill>
              </w:rPr>
              <w:t>负责人）必须负责本项目设计全过程（包括施工图设计审查、施工图设计修编、预算跟踪服务、图纸会审和技术交底）。</w:t>
            </w:r>
            <w:r>
              <w:rPr>
                <w:rFonts w:hint="eastAsia" w:ascii="宋体" w:hAnsi="宋体" w:eastAsia="宋体" w:cs="宋体"/>
                <w:snapToGrid w:val="0"/>
                <w:color w:val="000000" w:themeColor="text1"/>
                <w:sz w:val="21"/>
                <w:szCs w:val="21"/>
                <w:highlight w:val="none"/>
                <w:lang w:eastAsia="zh-CN"/>
                <w14:textFill>
                  <w14:solidFill>
                    <w14:schemeClr w14:val="tx1"/>
                  </w14:solidFill>
                </w14:textFill>
              </w:rPr>
              <w:t>设计</w:t>
            </w:r>
            <w:r>
              <w:rPr>
                <w:rFonts w:hint="eastAsia" w:ascii="宋体" w:hAnsi="宋体" w:eastAsia="宋体" w:cs="宋体"/>
                <w:snapToGrid w:val="0"/>
                <w:color w:val="000000" w:themeColor="text1"/>
                <w:sz w:val="21"/>
                <w:szCs w:val="21"/>
                <w:highlight w:val="none"/>
                <w14:textFill>
                  <w14:solidFill>
                    <w14:schemeClr w14:val="tx1"/>
                  </w14:solidFill>
                </w14:textFill>
              </w:rPr>
              <w:t>负责人未准时参加上述环节工作的，每缺席一次交纳违约金</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2</w:t>
            </w:r>
            <w:r>
              <w:rPr>
                <w:rFonts w:hint="eastAsia" w:ascii="宋体" w:hAnsi="宋体" w:eastAsia="宋体" w:cs="宋体"/>
                <w:snapToGrid w:val="0"/>
                <w:color w:val="000000" w:themeColor="text1"/>
                <w:sz w:val="21"/>
                <w:szCs w:val="21"/>
                <w:highlight w:val="none"/>
                <w14:textFill>
                  <w14:solidFill>
                    <w14:schemeClr w14:val="tx1"/>
                  </w14:solidFill>
                </w14:textFill>
              </w:rPr>
              <w:t>000元（以招标人发出的违约通知为准）。</w:t>
            </w:r>
          </w:p>
          <w:p w14:paraId="734BF04B">
            <w:pPr>
              <w:pStyle w:val="66"/>
              <w:spacing w:line="300" w:lineRule="exact"/>
              <w:ind w:left="0" w:leftChars="0"/>
              <w:rPr>
                <w:rFonts w:hint="eastAsia" w:ascii="宋体" w:hAnsi="宋体" w:eastAsia="宋体" w:cs="宋体"/>
                <w:color w:val="000000" w:themeColor="text1"/>
                <w:spacing w:val="-2"/>
                <w:sz w:val="21"/>
                <w:szCs w:val="21"/>
                <w:highlight w:val="none"/>
                <w14:textFill>
                  <w14:solidFill>
                    <w14:schemeClr w14:val="tx1"/>
                  </w14:solidFill>
                </w14:textFill>
              </w:rPr>
            </w:pPr>
            <w:r>
              <w:rPr>
                <w:rFonts w:hint="eastAsia" w:ascii="宋体" w:hAnsi="宋体" w:eastAsia="宋体" w:cs="宋体"/>
                <w:snapToGrid w:val="0"/>
                <w:color w:val="000000" w:themeColor="text1"/>
                <w:sz w:val="21"/>
                <w:szCs w:val="21"/>
                <w:highlight w:val="none"/>
                <w14:textFill>
                  <w14:solidFill>
                    <w14:schemeClr w14:val="tx1"/>
                  </w14:solidFill>
                </w14:textFill>
              </w:rPr>
              <w:t>设计单位应委派1名参与并熟悉本项目设计任务，有现场处理经验的设计代表常驻项目现场。中标人应为派驻现场的设计工作人员提供工作、生活及交通等方面的便利条件及准备必要的劳动保护装备。在正常施工阶段，每月应保证最少20天在现场。未经招标人书面许可，缺少1天向建设单位每人每天支付违约金¥2000元/天。</w:t>
            </w:r>
          </w:p>
        </w:tc>
      </w:tr>
      <w:tr w14:paraId="49081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0"/>
            <w:vAlign w:val="center"/>
          </w:tcPr>
          <w:p w14:paraId="6F4914B9">
            <w:pPr>
              <w:pStyle w:val="36"/>
              <w:spacing w:line="380" w:lineRule="exact"/>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p>
        </w:tc>
        <w:tc>
          <w:tcPr>
            <w:tcW w:w="1081" w:type="dxa"/>
            <w:noWrap w:val="0"/>
            <w:vAlign w:val="center"/>
          </w:tcPr>
          <w:p w14:paraId="51A1CB7E">
            <w:pPr>
              <w:pStyle w:val="61"/>
              <w:spacing w:line="380" w:lineRule="exact"/>
              <w:ind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项目管理班子人员承诺</w:t>
            </w:r>
          </w:p>
        </w:tc>
        <w:tc>
          <w:tcPr>
            <w:tcW w:w="3226" w:type="dxa"/>
            <w:noWrap w:val="0"/>
            <w:vAlign w:val="center"/>
          </w:tcPr>
          <w:p w14:paraId="6357FC92">
            <w:pPr>
              <w:pStyle w:val="63"/>
              <w:spacing w:line="400" w:lineRule="exact"/>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我方保证投标文件中所拟派的项目经理、技术负责人、施工员、质量员、安全员等工程管理人员全部在施工现场管理施工</w:t>
            </w:r>
          </w:p>
        </w:tc>
        <w:tc>
          <w:tcPr>
            <w:tcW w:w="4796" w:type="dxa"/>
            <w:noWrap w:val="0"/>
            <w:vAlign w:val="center"/>
          </w:tcPr>
          <w:p w14:paraId="29398FF2">
            <w:pPr>
              <w:pStyle w:val="61"/>
              <w:spacing w:line="380" w:lineRule="exact"/>
              <w:ind w:firstLine="412"/>
              <w:rPr>
                <w:rFonts w:hint="eastAsia" w:ascii="宋体" w:hAnsi="宋体" w:eastAsia="宋体" w:cs="宋体"/>
                <w:color w:val="000000" w:themeColor="text1"/>
                <w:spacing w:val="-2"/>
                <w:sz w:val="21"/>
                <w:szCs w:val="21"/>
                <w:highlight w:val="none"/>
                <w14:textFill>
                  <w14:solidFill>
                    <w14:schemeClr w14:val="tx1"/>
                  </w14:solidFill>
                </w14:textFill>
              </w:rPr>
            </w:pPr>
            <w:r>
              <w:rPr>
                <w:rFonts w:hint="eastAsia" w:ascii="宋体" w:hAnsi="宋体" w:eastAsia="宋体" w:cs="宋体"/>
                <w:color w:val="000000" w:themeColor="text1"/>
                <w:spacing w:val="-2"/>
                <w:sz w:val="21"/>
                <w:szCs w:val="21"/>
                <w:highlight w:val="none"/>
                <w14:textFill>
                  <w14:solidFill>
                    <w14:schemeClr w14:val="tx1"/>
                  </w14:solidFill>
                </w14:textFill>
              </w:rPr>
              <w:t>承诺施工期间如左所叙施工现场管理人员按要求每日办理签到手续，如未经招标人同意未办理签到，向建设单位每人每天支付违约金</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pacing w:val="-2"/>
                <w:sz w:val="21"/>
                <w:szCs w:val="21"/>
                <w:highlight w:val="none"/>
                <w:lang w:val="en-US" w:eastAsia="zh-CN"/>
                <w14:textFill>
                  <w14:solidFill>
                    <w14:schemeClr w14:val="tx1"/>
                  </w14:solidFill>
                </w14:textFill>
              </w:rPr>
              <w:t>10</w:t>
            </w:r>
            <w:r>
              <w:rPr>
                <w:rFonts w:hint="eastAsia" w:ascii="宋体" w:hAnsi="宋体" w:eastAsia="宋体" w:cs="宋体"/>
                <w:color w:val="000000" w:themeColor="text1"/>
                <w:spacing w:val="-2"/>
                <w:sz w:val="21"/>
                <w:szCs w:val="21"/>
                <w:highlight w:val="none"/>
                <w14:textFill>
                  <w14:solidFill>
                    <w14:schemeClr w14:val="tx1"/>
                  </w14:solidFill>
                </w14:textFill>
              </w:rPr>
              <w:t>00元（项目经理未签到每天支付违约金</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pacing w:val="-2"/>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pacing w:val="-2"/>
                <w:sz w:val="21"/>
                <w:szCs w:val="21"/>
                <w:highlight w:val="none"/>
                <w14:textFill>
                  <w14:solidFill>
                    <w14:schemeClr w14:val="tx1"/>
                  </w14:solidFill>
                </w14:textFill>
              </w:rPr>
              <w:t>000元）；</w:t>
            </w:r>
          </w:p>
          <w:p w14:paraId="0449E707">
            <w:pPr>
              <w:pStyle w:val="61"/>
              <w:spacing w:line="380" w:lineRule="exact"/>
              <w:ind w:firstLine="412"/>
              <w:rPr>
                <w:rFonts w:hint="eastAsia" w:ascii="宋体" w:hAnsi="宋体" w:eastAsia="宋体" w:cs="宋体"/>
                <w:color w:val="000000" w:themeColor="text1"/>
                <w:spacing w:val="-2"/>
                <w:sz w:val="21"/>
                <w:szCs w:val="21"/>
                <w:highlight w:val="none"/>
                <w14:textFill>
                  <w14:solidFill>
                    <w14:schemeClr w14:val="tx1"/>
                  </w14:solidFill>
                </w14:textFill>
              </w:rPr>
            </w:pPr>
            <w:r>
              <w:rPr>
                <w:rFonts w:hint="eastAsia" w:ascii="宋体" w:hAnsi="宋体" w:eastAsia="宋体" w:cs="宋体"/>
                <w:color w:val="000000" w:themeColor="text1"/>
                <w:spacing w:val="-2"/>
                <w:sz w:val="21"/>
                <w:szCs w:val="21"/>
                <w:highlight w:val="none"/>
                <w14:textFill>
                  <w14:solidFill>
                    <w14:schemeClr w14:val="tx1"/>
                  </w14:solidFill>
                </w14:textFill>
              </w:rPr>
              <w:t>若我方的投标文件中所拟派的如左所述任何一个管理人员未经招标人或招标人同意擅自离岗，在一个月内达到10次/人，或项目经理、技术负责人在施工过程中每月驻场少于2</w:t>
            </w:r>
            <w:r>
              <w:rPr>
                <w:rFonts w:hint="eastAsia" w:ascii="宋体" w:hAnsi="宋体" w:eastAsia="宋体" w:cs="宋体"/>
                <w:color w:val="000000" w:themeColor="text1"/>
                <w:spacing w:val="-2"/>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pacing w:val="-2"/>
                <w:sz w:val="21"/>
                <w:szCs w:val="21"/>
                <w:highlight w:val="none"/>
                <w14:textFill>
                  <w14:solidFill>
                    <w14:schemeClr w14:val="tx1"/>
                  </w14:solidFill>
                </w14:textFill>
              </w:rPr>
              <w:t>天的，招标人有权终止合同。我方承担由此造成的所有责任及经济损失。</w:t>
            </w:r>
          </w:p>
        </w:tc>
      </w:tr>
      <w:tr w14:paraId="4F091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63" w:hRule="atLeast"/>
          <w:jc w:val="center"/>
        </w:trPr>
        <w:tc>
          <w:tcPr>
            <w:tcW w:w="656" w:type="dxa"/>
            <w:noWrap w:val="0"/>
            <w:vAlign w:val="center"/>
          </w:tcPr>
          <w:p w14:paraId="1B340186">
            <w:pPr>
              <w:pStyle w:val="36"/>
              <w:spacing w:line="38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12</w:t>
            </w:r>
          </w:p>
        </w:tc>
        <w:tc>
          <w:tcPr>
            <w:tcW w:w="1081" w:type="dxa"/>
            <w:noWrap w:val="0"/>
            <w:vAlign w:val="center"/>
          </w:tcPr>
          <w:p w14:paraId="572A10B7">
            <w:pPr>
              <w:pStyle w:val="61"/>
              <w:spacing w:line="380" w:lineRule="exact"/>
              <w:ind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对支付农民工工资的承诺</w:t>
            </w:r>
          </w:p>
        </w:tc>
        <w:tc>
          <w:tcPr>
            <w:tcW w:w="3226" w:type="dxa"/>
            <w:noWrap w:val="0"/>
            <w:vAlign w:val="center"/>
          </w:tcPr>
          <w:p w14:paraId="164AB79E">
            <w:pPr>
              <w:pStyle w:val="61"/>
              <w:spacing w:line="380" w:lineRule="exact"/>
              <w:ind w:firstLine="206" w:firstLineChars="1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2"/>
                <w:sz w:val="21"/>
                <w:szCs w:val="21"/>
                <w:highlight w:val="none"/>
                <w14:textFill>
                  <w14:solidFill>
                    <w14:schemeClr w14:val="tx1"/>
                  </w14:solidFill>
                </w14:textFill>
              </w:rPr>
              <w:t>如我方中标，我方无条件同意按照用工合同支付</w:t>
            </w:r>
            <w:r>
              <w:rPr>
                <w:rFonts w:hint="eastAsia" w:ascii="宋体" w:hAnsi="宋体" w:eastAsia="宋体" w:cs="宋体"/>
                <w:color w:val="000000" w:themeColor="text1"/>
                <w:sz w:val="21"/>
                <w:szCs w:val="21"/>
                <w:highlight w:val="none"/>
                <w14:textFill>
                  <w14:solidFill>
                    <w14:schemeClr w14:val="tx1"/>
                  </w14:solidFill>
                </w14:textFill>
              </w:rPr>
              <w:t>农民工工资。</w:t>
            </w:r>
          </w:p>
        </w:tc>
        <w:tc>
          <w:tcPr>
            <w:tcW w:w="4796" w:type="dxa"/>
            <w:noWrap w:val="0"/>
            <w:vAlign w:val="center"/>
          </w:tcPr>
          <w:p w14:paraId="4CBB4832">
            <w:pPr>
              <w:pStyle w:val="61"/>
              <w:spacing w:line="380" w:lineRule="exact"/>
              <w:ind w:firstLine="412"/>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2"/>
                <w:sz w:val="21"/>
                <w:szCs w:val="21"/>
                <w:highlight w:val="none"/>
                <w14:textFill>
                  <w14:solidFill>
                    <w14:schemeClr w14:val="tx1"/>
                  </w14:solidFill>
                </w14:textFill>
              </w:rPr>
              <w:t>如我方中标，我方无条件同意按照用工合同支付</w:t>
            </w:r>
            <w:r>
              <w:rPr>
                <w:rFonts w:hint="eastAsia" w:ascii="宋体" w:hAnsi="宋体" w:eastAsia="宋体" w:cs="宋体"/>
                <w:color w:val="000000" w:themeColor="text1"/>
                <w:sz w:val="21"/>
                <w:szCs w:val="21"/>
                <w:highlight w:val="none"/>
                <w14:textFill>
                  <w14:solidFill>
                    <w14:schemeClr w14:val="tx1"/>
                  </w14:solidFill>
                </w14:textFill>
              </w:rPr>
              <w:t>农民工工资。否则，招标人有权终止合同，扣除履约保证金，并由招标人先行垫付农民工被拖欠的工资，数额以未结清的工程数为限。</w:t>
            </w:r>
          </w:p>
        </w:tc>
      </w:tr>
      <w:tr w14:paraId="1E5FA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0"/>
            <w:vAlign w:val="center"/>
          </w:tcPr>
          <w:p w14:paraId="757F6B66">
            <w:pPr>
              <w:pStyle w:val="36"/>
              <w:spacing w:line="38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13</w:t>
            </w:r>
          </w:p>
        </w:tc>
        <w:tc>
          <w:tcPr>
            <w:tcW w:w="1081" w:type="dxa"/>
            <w:noWrap w:val="0"/>
            <w:vAlign w:val="center"/>
          </w:tcPr>
          <w:p w14:paraId="6B8BB558">
            <w:pPr>
              <w:pStyle w:val="61"/>
              <w:spacing w:line="380" w:lineRule="exact"/>
              <w:ind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施工组织设计承诺</w:t>
            </w:r>
          </w:p>
        </w:tc>
        <w:tc>
          <w:tcPr>
            <w:tcW w:w="3226" w:type="dxa"/>
            <w:noWrap w:val="0"/>
            <w:vAlign w:val="center"/>
          </w:tcPr>
          <w:p w14:paraId="280CF969">
            <w:pPr>
              <w:pStyle w:val="61"/>
              <w:spacing w:line="380" w:lineRule="exact"/>
              <w:ind w:firstLine="210" w:firstLineChars="1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我方保证施工组织设计按照国家省市有关规定进行编写。</w:t>
            </w:r>
          </w:p>
        </w:tc>
        <w:tc>
          <w:tcPr>
            <w:tcW w:w="4796" w:type="dxa"/>
            <w:noWrap w:val="0"/>
            <w:vAlign w:val="center"/>
          </w:tcPr>
          <w:p w14:paraId="771F6BE2">
            <w:pPr>
              <w:pStyle w:val="61"/>
              <w:spacing w:line="380" w:lineRule="exact"/>
              <w:ind w:firstLine="210" w:firstLineChars="1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如我方的施工组织设计未根据招标项目情况按照国家省市有关规定进行编写的，扣除全部履约保证金。</w:t>
            </w:r>
          </w:p>
        </w:tc>
      </w:tr>
      <w:tr w14:paraId="72AAB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656" w:type="dxa"/>
            <w:noWrap w:val="0"/>
            <w:vAlign w:val="center"/>
          </w:tcPr>
          <w:p w14:paraId="69CBA5F7">
            <w:pPr>
              <w:pStyle w:val="67"/>
              <w:spacing w:line="30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14</w:t>
            </w:r>
          </w:p>
        </w:tc>
        <w:tc>
          <w:tcPr>
            <w:tcW w:w="1081" w:type="dxa"/>
            <w:noWrap w:val="0"/>
            <w:vAlign w:val="center"/>
          </w:tcPr>
          <w:p w14:paraId="585B1CF5">
            <w:pPr>
              <w:pStyle w:val="67"/>
              <w:spacing w:line="30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设计承诺</w:t>
            </w:r>
          </w:p>
        </w:tc>
        <w:tc>
          <w:tcPr>
            <w:tcW w:w="3226" w:type="dxa"/>
            <w:noWrap w:val="0"/>
            <w:vAlign w:val="center"/>
          </w:tcPr>
          <w:p w14:paraId="06FDF4B4">
            <w:pPr>
              <w:pStyle w:val="68"/>
              <w:spacing w:line="300" w:lineRule="exact"/>
              <w:ind w:left="0" w:leftChars="0"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如我方中标，我方保证按设计规范及有关法律法规进行设计，并准时提供相应设计文件经审图机构审查通过。</w:t>
            </w:r>
          </w:p>
        </w:tc>
        <w:tc>
          <w:tcPr>
            <w:tcW w:w="4796" w:type="dxa"/>
            <w:noWrap w:val="0"/>
            <w:vAlign w:val="center"/>
          </w:tcPr>
          <w:p w14:paraId="01EA568A">
            <w:pPr>
              <w:pStyle w:val="68"/>
              <w:spacing w:line="300" w:lineRule="exact"/>
              <w:ind w:left="0" w:leftChars="0"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如我方中标，未能按招标文件要求提供设计文件，招标人有权终止合同，扣除设计费的10%作为违约罚款，并由招标人另行委托相应资质的单位进行设计，其费用由中标人支付，施工工期不予顺延且不另外计取赶工措施费。</w:t>
            </w:r>
          </w:p>
          <w:p w14:paraId="4ABDC80B">
            <w:pPr>
              <w:pStyle w:val="68"/>
              <w:spacing w:line="300" w:lineRule="exact"/>
              <w:ind w:left="0" w:leftChars="0"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由于设计人设计工作错误造成工程设计质量事故，根据责任情况，负责赔偿工程损失费，但最高不超过该项目应收设计费总额，负责采取补救措施。</w:t>
            </w:r>
          </w:p>
          <w:p w14:paraId="10D93F7D">
            <w:pPr>
              <w:pStyle w:val="68"/>
              <w:spacing w:line="300" w:lineRule="exact"/>
              <w:ind w:left="0" w:leftChars="0"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施工期间除发包人要求或特殊地质原因外，因设计质量和深度不够的原因引起的工程返工或需要设计变更引起工程造价增加的，每次扣减设计合同价款中设计费的2％，扣完为止。</w:t>
            </w:r>
          </w:p>
          <w:p w14:paraId="3C6DF7EF">
            <w:pPr>
              <w:pStyle w:val="68"/>
              <w:spacing w:line="300" w:lineRule="exact"/>
              <w:ind w:left="0" w:leftChars="0"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因设计单位自身原因造成工程结算超施工招标中标价的，扣除应付设计合同价款中的余款。</w:t>
            </w:r>
          </w:p>
        </w:tc>
      </w:tr>
      <w:tr w14:paraId="1EEEF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03" w:hRule="atLeast"/>
          <w:jc w:val="center"/>
        </w:trPr>
        <w:tc>
          <w:tcPr>
            <w:tcW w:w="656" w:type="dxa"/>
            <w:shd w:val="clear" w:color="auto" w:fill="auto"/>
            <w:noWrap w:val="0"/>
            <w:vAlign w:val="center"/>
          </w:tcPr>
          <w:p w14:paraId="016E3174">
            <w:pPr>
              <w:pStyle w:val="36"/>
              <w:spacing w:line="380" w:lineRule="exact"/>
              <w:jc w:val="cente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15</w:t>
            </w:r>
          </w:p>
        </w:tc>
        <w:tc>
          <w:tcPr>
            <w:tcW w:w="1081" w:type="dxa"/>
            <w:noWrap w:val="0"/>
            <w:vAlign w:val="center"/>
          </w:tcPr>
          <w:p w14:paraId="4471B0CF">
            <w:pPr>
              <w:pStyle w:val="61"/>
              <w:spacing w:line="380" w:lineRule="exact"/>
              <w:ind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综合服务能力承诺</w:t>
            </w:r>
          </w:p>
        </w:tc>
        <w:tc>
          <w:tcPr>
            <w:tcW w:w="3226" w:type="dxa"/>
            <w:noWrap w:val="0"/>
            <w:vAlign w:val="center"/>
          </w:tcPr>
          <w:p w14:paraId="1F937805">
            <w:pPr>
              <w:pStyle w:val="61"/>
              <w:spacing w:line="380" w:lineRule="exact"/>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我方保证中标后，自行解决施工中遇到的各种外部问题，协调周边企业、村民关系，并承担由此产生的所以责任及损失。</w:t>
            </w:r>
          </w:p>
        </w:tc>
        <w:tc>
          <w:tcPr>
            <w:tcW w:w="4796" w:type="dxa"/>
            <w:noWrap w:val="0"/>
            <w:vAlign w:val="center"/>
          </w:tcPr>
          <w:p w14:paraId="32A4256B">
            <w:pPr>
              <w:pStyle w:val="61"/>
              <w:spacing w:line="380" w:lineRule="exact"/>
              <w:ind w:firstLine="42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若我方未能按招标文件所承诺的各项承诺完成时，我方同意按比例扣除相应履约保证金，并承担由此引起的所有责任。</w:t>
            </w:r>
          </w:p>
        </w:tc>
      </w:tr>
      <w:tr w14:paraId="7539B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64" w:hRule="atLeast"/>
          <w:jc w:val="center"/>
        </w:trPr>
        <w:tc>
          <w:tcPr>
            <w:tcW w:w="656" w:type="dxa"/>
            <w:shd w:val="clear" w:color="auto" w:fill="auto"/>
            <w:noWrap w:val="0"/>
            <w:vAlign w:val="center"/>
          </w:tcPr>
          <w:p w14:paraId="07D89ADB">
            <w:pPr>
              <w:pStyle w:val="36"/>
              <w:spacing w:line="380" w:lineRule="exact"/>
              <w:jc w:val="cente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16</w:t>
            </w:r>
          </w:p>
        </w:tc>
        <w:tc>
          <w:tcPr>
            <w:tcW w:w="1081" w:type="dxa"/>
            <w:noWrap w:val="0"/>
            <w:vAlign w:val="center"/>
          </w:tcPr>
          <w:p w14:paraId="4306825F">
            <w:pPr>
              <w:pStyle w:val="61"/>
              <w:spacing w:line="380" w:lineRule="exact"/>
              <w:ind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廉政承诺</w:t>
            </w:r>
          </w:p>
        </w:tc>
        <w:tc>
          <w:tcPr>
            <w:tcW w:w="3226" w:type="dxa"/>
            <w:noWrap w:val="0"/>
            <w:vAlign w:val="center"/>
          </w:tcPr>
          <w:p w14:paraId="0C29C104">
            <w:pPr>
              <w:pStyle w:val="61"/>
              <w:spacing w:line="380" w:lineRule="exact"/>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如我方中标，我方将严格执行国家、广东省、韶关市有关工程建设廉政的有关法律法规及双方签订的廉政合同。</w:t>
            </w:r>
          </w:p>
        </w:tc>
        <w:tc>
          <w:tcPr>
            <w:tcW w:w="4796" w:type="dxa"/>
            <w:noWrap w:val="0"/>
            <w:vAlign w:val="center"/>
          </w:tcPr>
          <w:p w14:paraId="675E7C52">
            <w:pPr>
              <w:pStyle w:val="61"/>
              <w:spacing w:line="380" w:lineRule="exact"/>
              <w:ind w:firstLine="42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如我方违反国家、广东省、韶关市有关工程建设廉政的有关法律法规及双方签订的廉政合同，受到相关主管部门的通报或查处，招标人可按规定对我方进行处罚，情节严重时招标人可终止合同，我方承担由此造成的所有责任和经济损失。</w:t>
            </w:r>
          </w:p>
        </w:tc>
      </w:tr>
      <w:tr w14:paraId="65B65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77" w:hRule="atLeast"/>
          <w:jc w:val="center"/>
        </w:trPr>
        <w:tc>
          <w:tcPr>
            <w:tcW w:w="656" w:type="dxa"/>
            <w:shd w:val="clear" w:color="auto" w:fill="auto"/>
            <w:noWrap w:val="0"/>
            <w:vAlign w:val="center"/>
          </w:tcPr>
          <w:p w14:paraId="0C6DB75F">
            <w:pPr>
              <w:pStyle w:val="36"/>
              <w:spacing w:line="380" w:lineRule="exact"/>
              <w:jc w:val="cente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17</w:t>
            </w:r>
          </w:p>
        </w:tc>
        <w:tc>
          <w:tcPr>
            <w:tcW w:w="1081" w:type="dxa"/>
            <w:noWrap w:val="0"/>
            <w:vAlign w:val="center"/>
          </w:tcPr>
          <w:p w14:paraId="57AB79D9">
            <w:pPr>
              <w:spacing w:line="30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对外协调关系承诺</w:t>
            </w:r>
          </w:p>
        </w:tc>
        <w:tc>
          <w:tcPr>
            <w:tcW w:w="3226" w:type="dxa"/>
            <w:noWrap w:val="0"/>
            <w:vAlign w:val="center"/>
          </w:tcPr>
          <w:p w14:paraId="089CE4C2">
            <w:pPr>
              <w:pStyle w:val="9"/>
              <w:spacing w:line="300" w:lineRule="exact"/>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我方保证中标后，自行解决施工中遇到的各种外部问题，协调周边企业、村民关系，并承担由此产生的所有责任及损失。</w:t>
            </w:r>
          </w:p>
        </w:tc>
        <w:tc>
          <w:tcPr>
            <w:tcW w:w="4796" w:type="dxa"/>
            <w:noWrap w:val="0"/>
            <w:vAlign w:val="center"/>
          </w:tcPr>
          <w:p w14:paraId="58E1BDE3">
            <w:pPr>
              <w:pStyle w:val="9"/>
              <w:spacing w:line="300" w:lineRule="exact"/>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若我方未能按招标文件所承诺的各项承诺完成时，我方同意按比例扣除相应履约保证金，并承担由此引起的所有责任。</w:t>
            </w:r>
          </w:p>
        </w:tc>
      </w:tr>
      <w:tr w14:paraId="72B08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24" w:hRule="atLeast"/>
          <w:jc w:val="center"/>
        </w:trPr>
        <w:tc>
          <w:tcPr>
            <w:tcW w:w="656" w:type="dxa"/>
            <w:shd w:val="clear" w:color="auto" w:fill="auto"/>
            <w:noWrap w:val="0"/>
            <w:vAlign w:val="center"/>
          </w:tcPr>
          <w:p w14:paraId="19773501">
            <w:pPr>
              <w:pStyle w:val="36"/>
              <w:spacing w:line="240" w:lineRule="auto"/>
              <w:jc w:val="cente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18</w:t>
            </w:r>
          </w:p>
        </w:tc>
        <w:tc>
          <w:tcPr>
            <w:tcW w:w="1081" w:type="dxa"/>
            <w:noWrap w:val="0"/>
            <w:vAlign w:val="center"/>
          </w:tcPr>
          <w:p w14:paraId="7EBE6FAC">
            <w:pPr>
              <w:pStyle w:val="61"/>
              <w:wordWrap w:val="0"/>
              <w:adjustRightInd w:val="0"/>
              <w:snapToGrid w:val="0"/>
              <w:spacing w:line="380" w:lineRule="exact"/>
              <w:ind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投标文件信息公开承诺</w:t>
            </w:r>
          </w:p>
        </w:tc>
        <w:tc>
          <w:tcPr>
            <w:tcW w:w="3226" w:type="dxa"/>
            <w:noWrap w:val="0"/>
            <w:vAlign w:val="center"/>
          </w:tcPr>
          <w:p w14:paraId="33100E59">
            <w:pPr>
              <w:pStyle w:val="61"/>
              <w:wordWrap w:val="0"/>
              <w:adjustRightInd w:val="0"/>
              <w:snapToGrid w:val="0"/>
              <w:spacing w:line="380" w:lineRule="exact"/>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我方提供完整的电子文件。如</w:t>
            </w:r>
            <w:r>
              <w:rPr>
                <w:rFonts w:hint="eastAsia" w:ascii="宋体" w:hAnsi="宋体" w:eastAsia="宋体" w:cs="宋体"/>
                <w:color w:val="000000" w:themeColor="text1"/>
                <w:sz w:val="21"/>
                <w:szCs w:val="21"/>
                <w:highlight w:val="none"/>
                <w:lang w:eastAsia="zh-CN"/>
                <w14:textFill>
                  <w14:solidFill>
                    <w14:schemeClr w14:val="tx1"/>
                  </w14:solidFill>
                </w14:textFill>
              </w:rPr>
              <w:t>果</w:t>
            </w:r>
            <w:r>
              <w:rPr>
                <w:rFonts w:hint="eastAsia" w:ascii="宋体" w:hAnsi="宋体" w:eastAsia="宋体" w:cs="宋体"/>
                <w:color w:val="000000" w:themeColor="text1"/>
                <w:sz w:val="21"/>
                <w:szCs w:val="21"/>
                <w:highlight w:val="none"/>
                <w14:textFill>
                  <w14:solidFill>
                    <w14:schemeClr w14:val="tx1"/>
                  </w14:solidFill>
                </w14:textFill>
              </w:rPr>
              <w:t>我方成为本项目中标候选人，我方同意并授权招标人</w:t>
            </w:r>
            <w:r>
              <w:rPr>
                <w:rFonts w:hint="eastAsia" w:ascii="宋体" w:hAnsi="宋体" w:eastAsia="宋体" w:cs="宋体"/>
                <w:color w:val="000000" w:themeColor="text1"/>
                <w:sz w:val="21"/>
                <w:szCs w:val="21"/>
                <w:highlight w:val="none"/>
                <w:lang w:eastAsia="zh-CN"/>
                <w14:textFill>
                  <w14:solidFill>
                    <w14:schemeClr w14:val="tx1"/>
                  </w14:solidFill>
                </w14:textFill>
              </w:rPr>
              <w:t>在评标结果公示期内公开</w:t>
            </w:r>
            <w:r>
              <w:rPr>
                <w:rFonts w:hint="eastAsia" w:ascii="宋体" w:hAnsi="宋体" w:eastAsia="宋体" w:cs="宋体"/>
                <w:color w:val="000000" w:themeColor="text1"/>
                <w:sz w:val="21"/>
                <w:szCs w:val="21"/>
                <w:highlight w:val="none"/>
                <w14:textFill>
                  <w14:solidFill>
                    <w14:schemeClr w14:val="tx1"/>
                  </w14:solidFill>
                </w14:textFill>
              </w:rPr>
              <w:t>我方商务部分的</w:t>
            </w:r>
            <w:r>
              <w:rPr>
                <w:rFonts w:hint="eastAsia" w:ascii="宋体" w:hAnsi="宋体" w:eastAsia="宋体" w:cs="宋体"/>
                <w:color w:val="000000" w:themeColor="text1"/>
                <w:sz w:val="21"/>
                <w:szCs w:val="21"/>
                <w:highlight w:val="none"/>
                <w:lang w:eastAsia="zh-CN"/>
                <w14:textFill>
                  <w14:solidFill>
                    <w14:schemeClr w14:val="tx1"/>
                  </w14:solidFill>
                </w14:textFill>
              </w:rPr>
              <w:t>全部</w:t>
            </w:r>
            <w:r>
              <w:rPr>
                <w:rFonts w:hint="eastAsia" w:ascii="宋体" w:hAnsi="宋体" w:eastAsia="宋体" w:cs="宋体"/>
                <w:color w:val="000000" w:themeColor="text1"/>
                <w:sz w:val="21"/>
                <w:szCs w:val="21"/>
                <w:highlight w:val="none"/>
                <w14:textFill>
                  <w14:solidFill>
                    <w14:schemeClr w14:val="tx1"/>
                  </w14:solidFill>
                </w14:textFill>
              </w:rPr>
              <w:t>内容。</w:t>
            </w:r>
          </w:p>
        </w:tc>
        <w:tc>
          <w:tcPr>
            <w:tcW w:w="4796" w:type="dxa"/>
            <w:tcBorders>
              <w:tr2bl w:val="single" w:color="auto" w:sz="4" w:space="0"/>
            </w:tcBorders>
            <w:noWrap w:val="0"/>
            <w:vAlign w:val="center"/>
          </w:tcPr>
          <w:p w14:paraId="53324650">
            <w:pPr>
              <w:pStyle w:val="61"/>
              <w:wordWrap w:val="0"/>
              <w:adjustRightInd w:val="0"/>
              <w:snapToGrid w:val="0"/>
              <w:spacing w:line="380" w:lineRule="exact"/>
              <w:ind w:firstLine="0" w:firstLineChars="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 xml:space="preserve">   </w:t>
            </w:r>
          </w:p>
        </w:tc>
      </w:tr>
      <w:tr w14:paraId="7814A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90" w:hRule="atLeast"/>
          <w:jc w:val="center"/>
        </w:trPr>
        <w:tc>
          <w:tcPr>
            <w:tcW w:w="656" w:type="dxa"/>
            <w:shd w:val="clear" w:color="auto" w:fill="auto"/>
            <w:noWrap w:val="0"/>
            <w:vAlign w:val="center"/>
          </w:tcPr>
          <w:p w14:paraId="524B4BD6">
            <w:pPr>
              <w:pStyle w:val="7"/>
              <w:spacing w:line="380" w:lineRule="exact"/>
              <w:jc w:val="cente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19</w:t>
            </w:r>
          </w:p>
        </w:tc>
        <w:tc>
          <w:tcPr>
            <w:tcW w:w="1081" w:type="dxa"/>
            <w:noWrap w:val="0"/>
            <w:vAlign w:val="center"/>
          </w:tcPr>
          <w:p w14:paraId="66B21A03">
            <w:pPr>
              <w:jc w:val="center"/>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按时签订合同的承诺</w:t>
            </w:r>
          </w:p>
        </w:tc>
        <w:tc>
          <w:tcPr>
            <w:tcW w:w="3226" w:type="dxa"/>
            <w:noWrap w:val="0"/>
            <w:vAlign w:val="center"/>
          </w:tcPr>
          <w:p w14:paraId="096674D2">
            <w:pPr>
              <w:pStyle w:val="61"/>
              <w:wordWrap w:val="0"/>
              <w:adjustRightInd w:val="0"/>
              <w:snapToGrid w:val="0"/>
              <w:spacing w:line="380" w:lineRule="exact"/>
              <w:ind w:firstLine="420"/>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如果我方中标，我方保证在招标文件规定的时限内与招标人签订合同，不提出违背或超出招标文件、中标文件的要求。</w:t>
            </w:r>
          </w:p>
        </w:tc>
        <w:tc>
          <w:tcPr>
            <w:tcW w:w="4796" w:type="dxa"/>
            <w:noWrap w:val="0"/>
            <w:vAlign w:val="center"/>
          </w:tcPr>
          <w:p w14:paraId="0916CEC1">
            <w:pPr>
              <w:pStyle w:val="61"/>
              <w:wordWrap w:val="0"/>
              <w:adjustRightInd w:val="0"/>
              <w:snapToGrid w:val="0"/>
              <w:spacing w:line="380" w:lineRule="exact"/>
              <w:ind w:firstLine="420"/>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如果我方未在招标文件规定的时限内与招标人签订合同，或我方在签订合同过程中提出违背或超出招标文件、中标文件的要求。我方接受招标人依据招标文件作出的相应处理以及有关监督部门作出的行政处罚，并承担由此引起的一切法律后果。</w:t>
            </w:r>
          </w:p>
        </w:tc>
      </w:tr>
      <w:tr w14:paraId="35414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37" w:hRule="atLeast"/>
          <w:jc w:val="center"/>
        </w:trPr>
        <w:tc>
          <w:tcPr>
            <w:tcW w:w="656" w:type="dxa"/>
            <w:shd w:val="clear" w:color="auto" w:fill="auto"/>
            <w:noWrap w:val="0"/>
            <w:vAlign w:val="center"/>
          </w:tcPr>
          <w:p w14:paraId="2D952E80">
            <w:pPr>
              <w:pStyle w:val="7"/>
              <w:spacing w:line="380" w:lineRule="exact"/>
              <w:jc w:val="cente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20</w:t>
            </w:r>
          </w:p>
        </w:tc>
        <w:tc>
          <w:tcPr>
            <w:tcW w:w="1081" w:type="dxa"/>
            <w:noWrap w:val="0"/>
            <w:vAlign w:val="center"/>
          </w:tcPr>
          <w:p w14:paraId="0951A09C">
            <w:pPr>
              <w:pStyle w:val="61"/>
              <w:snapToGrid w:val="0"/>
              <w:spacing w:line="400" w:lineRule="exact"/>
              <w:ind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质量安全受检承诺</w:t>
            </w:r>
          </w:p>
        </w:tc>
        <w:tc>
          <w:tcPr>
            <w:tcW w:w="3226" w:type="dxa"/>
            <w:noWrap w:val="0"/>
            <w:vAlign w:val="center"/>
          </w:tcPr>
          <w:p w14:paraId="103581FF">
            <w:pPr>
              <w:pStyle w:val="61"/>
              <w:snapToGrid w:val="0"/>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若我方中标，我方承诺本项目在建设过程中，设计及施工的质量安全等相关实施内容按照业主单位、发包单位的相关管理规定和质量安全考核要求，随时接受业主单位、发包单位自行或委托的第三方的监督检查及考核，我方保证无条件配合。</w:t>
            </w:r>
          </w:p>
        </w:tc>
        <w:tc>
          <w:tcPr>
            <w:tcW w:w="4796" w:type="dxa"/>
            <w:noWrap w:val="0"/>
            <w:vAlign w:val="center"/>
          </w:tcPr>
          <w:p w14:paraId="471E2361">
            <w:pPr>
              <w:pStyle w:val="61"/>
              <w:snapToGrid w:val="0"/>
              <w:spacing w:line="400" w:lineRule="exact"/>
              <w:ind w:firstLine="420" w:firstLineChars="200"/>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如我方不配合或未通过相关的监督检查及考核，我方承诺接受业主单位、发包单位的相关管理规定和处罚，并承担相应的责任。</w:t>
            </w:r>
          </w:p>
        </w:tc>
      </w:tr>
      <w:tr w14:paraId="5E06A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shd w:val="clear" w:color="auto" w:fill="auto"/>
            <w:noWrap w:val="0"/>
            <w:vAlign w:val="center"/>
          </w:tcPr>
          <w:p w14:paraId="590414ED">
            <w:pPr>
              <w:pStyle w:val="7"/>
              <w:spacing w:line="380" w:lineRule="exact"/>
              <w:jc w:val="cente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21</w:t>
            </w:r>
          </w:p>
        </w:tc>
        <w:tc>
          <w:tcPr>
            <w:tcW w:w="1081" w:type="dxa"/>
            <w:noWrap w:val="0"/>
            <w:vAlign w:val="center"/>
          </w:tcPr>
          <w:p w14:paraId="7055292D">
            <w:pPr>
              <w:pStyle w:val="61"/>
              <w:snapToGrid w:val="0"/>
              <w:spacing w:line="400" w:lineRule="exact"/>
              <w:ind w:firstLine="0" w:firstLineChars="0"/>
              <w:jc w:val="center"/>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对工程预付款的使用承诺</w:t>
            </w:r>
          </w:p>
        </w:tc>
        <w:tc>
          <w:tcPr>
            <w:tcW w:w="3226" w:type="dxa"/>
            <w:noWrap w:val="0"/>
            <w:vAlign w:val="center"/>
          </w:tcPr>
          <w:p w14:paraId="6319074A">
            <w:pPr>
              <w:pStyle w:val="61"/>
              <w:snapToGrid w:val="0"/>
              <w:spacing w:line="400" w:lineRule="exact"/>
              <w:ind w:firstLine="420" w:firstLineChars="200"/>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我方保证工程预付款用于主要建筑材料的备料及支付工人工资。</w:t>
            </w:r>
          </w:p>
        </w:tc>
        <w:tc>
          <w:tcPr>
            <w:tcW w:w="4796" w:type="dxa"/>
            <w:tcBorders>
              <w:tr2bl w:val="single" w:color="auto" w:sz="4" w:space="0"/>
            </w:tcBorders>
            <w:noWrap w:val="0"/>
            <w:vAlign w:val="center"/>
          </w:tcPr>
          <w:p w14:paraId="77E1D587">
            <w:pPr>
              <w:pStyle w:val="61"/>
              <w:wordWrap w:val="0"/>
              <w:adjustRightInd w:val="0"/>
              <w:snapToGrid w:val="0"/>
              <w:spacing w:line="380" w:lineRule="exact"/>
              <w:ind w:firstLine="420"/>
              <w:rPr>
                <w:rFonts w:hint="eastAsia" w:ascii="宋体" w:hAnsi="宋体" w:eastAsia="宋体" w:cs="宋体"/>
                <w:snapToGrid w:val="0"/>
                <w:color w:val="000000" w:themeColor="text1"/>
                <w:kern w:val="0"/>
                <w:sz w:val="21"/>
                <w:szCs w:val="21"/>
                <w:highlight w:val="none"/>
                <w14:textFill>
                  <w14:solidFill>
                    <w14:schemeClr w14:val="tx1"/>
                  </w14:solidFill>
                </w14:textFill>
              </w:rPr>
            </w:pPr>
          </w:p>
        </w:tc>
      </w:tr>
    </w:tbl>
    <w:p w14:paraId="730E66E5">
      <w:pPr>
        <w:pStyle w:val="69"/>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p>
    <w:p w14:paraId="48243121">
      <w:pPr>
        <w:pStyle w:val="69"/>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注：所有违约金均从中标人的进度款中扣除，最终结算以扣除违约金总数后的金额为准。</w:t>
      </w:r>
    </w:p>
    <w:p w14:paraId="4F109FDC">
      <w:pPr>
        <w:pStyle w:val="36"/>
        <w:spacing w:line="400" w:lineRule="exact"/>
        <w:jc w:val="left"/>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p>
    <w:p w14:paraId="0BE4A8C5">
      <w:pPr>
        <w:pStyle w:val="11"/>
        <w:wordWrap w:val="0"/>
        <w:adjustRightInd w:val="0"/>
        <w:snapToGrid w:val="0"/>
        <w:spacing w:line="420" w:lineRule="exact"/>
        <w:ind w:firstLine="480" w:firstLineChars="200"/>
        <w:jc w:val="righ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投标人：</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（盖单位章）</w:t>
      </w:r>
    </w:p>
    <w:p w14:paraId="6DF638EC">
      <w:pPr>
        <w:pStyle w:val="11"/>
        <w:wordWrap w:val="0"/>
        <w:adjustRightInd w:val="0"/>
        <w:snapToGrid w:val="0"/>
        <w:spacing w:line="420" w:lineRule="exact"/>
        <w:ind w:firstLine="480" w:firstLineChars="200"/>
        <w:jc w:val="right"/>
        <w:rPr>
          <w:rFonts w:hint="eastAsia" w:ascii="宋体" w:hAnsi="宋体" w:eastAsia="宋体" w:cs="宋体"/>
          <w:snapToGrid w:val="0"/>
          <w:color w:val="000000" w:themeColor="text1"/>
          <w:kern w:val="0"/>
          <w:sz w:val="24"/>
          <w:szCs w:val="24"/>
          <w:highlight w:val="none"/>
          <w14:textFill>
            <w14:solidFill>
              <w14:schemeClr w14:val="tx1"/>
            </w14:solidFill>
          </w14:textFill>
        </w:rPr>
      </w:pPr>
    </w:p>
    <w:p w14:paraId="275CDFC8">
      <w:pPr>
        <w:pStyle w:val="11"/>
        <w:wordWrap w:val="0"/>
        <w:adjustRightInd w:val="0"/>
        <w:snapToGrid w:val="0"/>
        <w:spacing w:line="420" w:lineRule="exact"/>
        <w:ind w:firstLine="480" w:firstLineChars="200"/>
        <w:jc w:val="righ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法定代表人或其委托代理人：</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（签字或盖章）</w:t>
      </w:r>
    </w:p>
    <w:p w14:paraId="7E57DB37">
      <w:pPr>
        <w:pStyle w:val="11"/>
        <w:wordWrap w:val="0"/>
        <w:adjustRightInd w:val="0"/>
        <w:snapToGrid w:val="0"/>
        <w:spacing w:line="420" w:lineRule="exact"/>
        <w:ind w:firstLine="480" w:firstLineChars="200"/>
        <w:jc w:val="righ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w:t>
      </w:r>
    </w:p>
    <w:p w14:paraId="6A141A49">
      <w:pPr>
        <w:widowControl/>
        <w:jc w:val="right"/>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年</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月</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日</w:t>
      </w:r>
      <w: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br w:type="page"/>
      </w:r>
    </w:p>
    <w:p w14:paraId="4B19F682">
      <w:pPr>
        <w:pStyle w:val="4"/>
        <w:spacing w:before="120"/>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bookmarkStart w:id="539" w:name="_Toc18488"/>
      <w:bookmarkStart w:id="540" w:name="_Toc30764"/>
      <w:bookmarkStart w:id="541" w:name="_Toc10981"/>
      <w:bookmarkStart w:id="542" w:name="_Toc6896"/>
      <w:bookmarkStart w:id="543" w:name="_Toc30463"/>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格式四 授权委托书</w:t>
      </w:r>
      <w:bookmarkEnd w:id="539"/>
      <w:bookmarkEnd w:id="540"/>
      <w:bookmarkEnd w:id="541"/>
      <w:bookmarkEnd w:id="542"/>
      <w:bookmarkEnd w:id="543"/>
    </w:p>
    <w:p w14:paraId="3ADCFDEF">
      <w:pPr>
        <w:wordWrap w:val="0"/>
        <w:adjustRightInd w:val="0"/>
        <w:snapToGrid w:val="0"/>
        <w:spacing w:line="440" w:lineRule="exact"/>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pPr>
    </w:p>
    <w:p w14:paraId="34CFB3DC">
      <w:pPr>
        <w:wordWrap w:val="0"/>
        <w:adjustRightInd w:val="0"/>
        <w:snapToGrid w:val="0"/>
        <w:spacing w:before="260" w:after="260" w:line="440" w:lineRule="exact"/>
        <w:jc w:val="center"/>
        <w:rPr>
          <w:rFonts w:hint="eastAsia" w:asciiTheme="minorEastAsia" w:hAnsiTheme="minorEastAsia" w:eastAsiaTheme="minorEastAsia" w:cstheme="minorEastAsia"/>
          <w:b/>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
          <w:snapToGrid w:val="0"/>
          <w:color w:val="000000" w:themeColor="text1"/>
          <w:kern w:val="0"/>
          <w:szCs w:val="24"/>
          <w:highlight w:val="none"/>
          <w14:textFill>
            <w14:solidFill>
              <w14:schemeClr w14:val="tx1"/>
            </w14:solidFill>
          </w14:textFill>
        </w:rPr>
        <w:t>授权委托书</w:t>
      </w:r>
    </w:p>
    <w:p w14:paraId="78AFEB40">
      <w:pPr>
        <w:wordWrap w:val="0"/>
        <w:adjustRightInd w:val="0"/>
        <w:snapToGrid w:val="0"/>
        <w:spacing w:line="44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17103A9E">
      <w:pPr>
        <w:wordWrap w:val="0"/>
        <w:adjustRightInd w:val="0"/>
        <w:snapToGrid w:val="0"/>
        <w:spacing w:line="440" w:lineRule="exact"/>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本人</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（姓名）系</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（投标人名称）的法定代表人，现委托</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（姓名）为我方代理人。代理人根据授权，以我方名义签署、澄清、说明、补正、递交、撤回、修改</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（项目名称）投标文件、签订合同和处理有关事宜，其法律后果由我方承担。</w:t>
      </w:r>
    </w:p>
    <w:p w14:paraId="35025E88">
      <w:pPr>
        <w:wordWrap w:val="0"/>
        <w:adjustRightInd w:val="0"/>
        <w:snapToGrid w:val="0"/>
        <w:spacing w:line="440" w:lineRule="exact"/>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委托期限：至</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年   月   日</w:t>
      </w:r>
      <w:r>
        <w:rPr>
          <w:rFonts w:hint="eastAsia" w:asciiTheme="minorEastAsia" w:hAnsiTheme="minorEastAsia" w:eastAsiaTheme="minorEastAsia" w:cstheme="minorEastAsia"/>
          <w:i/>
          <w:iCs/>
          <w:snapToGrid w:val="0"/>
          <w:color w:val="000000" w:themeColor="text1"/>
          <w:kern w:val="0"/>
          <w:szCs w:val="24"/>
          <w:highlight w:val="none"/>
          <w:u w:val="single"/>
          <w14:textFill>
            <w14:solidFill>
              <w14:schemeClr w14:val="tx1"/>
            </w14:solidFill>
          </w14:textFill>
        </w:rPr>
        <w:t>（不得短于招标文件规定的投标有效期）</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w:t>
      </w:r>
    </w:p>
    <w:p w14:paraId="388E33EC">
      <w:pPr>
        <w:wordWrap w:val="0"/>
        <w:adjustRightInd w:val="0"/>
        <w:snapToGrid w:val="0"/>
        <w:spacing w:line="44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代理人无转委托权。</w:t>
      </w:r>
    </w:p>
    <w:p w14:paraId="4790C8F1">
      <w:pPr>
        <w:wordWrap w:val="0"/>
        <w:adjustRightInd w:val="0"/>
        <w:snapToGrid w:val="0"/>
        <w:spacing w:line="440" w:lineRule="exact"/>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048F8D5A">
      <w:pPr>
        <w:wordWrap w:val="0"/>
        <w:adjustRightInd w:val="0"/>
        <w:snapToGrid w:val="0"/>
        <w:spacing w:line="440" w:lineRule="exact"/>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379CDA10">
      <w:pPr>
        <w:wordWrap w:val="0"/>
        <w:adjustRightInd w:val="0"/>
        <w:snapToGrid w:val="0"/>
        <w:spacing w:line="440" w:lineRule="exact"/>
        <w:ind w:firstLine="480" w:firstLineChars="200"/>
        <w:jc w:val="righ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投  标  人：</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（盖单位章）</w:t>
      </w:r>
    </w:p>
    <w:p w14:paraId="47178EF4">
      <w:pPr>
        <w:wordWrap w:val="0"/>
        <w:adjustRightInd w:val="0"/>
        <w:snapToGrid w:val="0"/>
        <w:spacing w:line="440" w:lineRule="exact"/>
        <w:ind w:firstLine="480" w:firstLineChars="200"/>
        <w:jc w:val="righ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34910192">
      <w:pPr>
        <w:wordWrap w:val="0"/>
        <w:adjustRightInd w:val="0"/>
        <w:snapToGrid w:val="0"/>
        <w:spacing w:line="440" w:lineRule="exact"/>
        <w:ind w:firstLine="480" w:firstLineChars="200"/>
        <w:jc w:val="righ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法定代表人：</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（签字或盖章）</w:t>
      </w:r>
    </w:p>
    <w:p w14:paraId="3731AF0B">
      <w:pPr>
        <w:wordWrap w:val="0"/>
        <w:adjustRightInd w:val="0"/>
        <w:snapToGrid w:val="0"/>
        <w:spacing w:line="440" w:lineRule="exact"/>
        <w:ind w:firstLine="480" w:firstLineChars="200"/>
        <w:jc w:val="righ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1F477B2B">
      <w:pPr>
        <w:wordWrap w:val="0"/>
        <w:adjustRightInd w:val="0"/>
        <w:snapToGrid w:val="0"/>
        <w:spacing w:line="440" w:lineRule="exact"/>
        <w:ind w:firstLine="480" w:firstLineChars="200"/>
        <w:jc w:val="righ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委托代理人：</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（签字或盖章）</w:t>
      </w:r>
    </w:p>
    <w:p w14:paraId="639A250B">
      <w:pPr>
        <w:wordWrap w:val="0"/>
        <w:adjustRightInd w:val="0"/>
        <w:snapToGrid w:val="0"/>
        <w:spacing w:line="440" w:lineRule="exact"/>
        <w:ind w:firstLine="480" w:firstLineChars="200"/>
        <w:jc w:val="righ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年</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月</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日</w:t>
      </w:r>
    </w:p>
    <w:p w14:paraId="45F4FEDC">
      <w:pPr>
        <w:wordWrap w:val="0"/>
        <w:adjustRightInd w:val="0"/>
        <w:snapToGrid w:val="0"/>
        <w:spacing w:line="440" w:lineRule="exact"/>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6B3334F8">
      <w:pPr>
        <w:wordWrap w:val="0"/>
        <w:adjustRightInd w:val="0"/>
        <w:snapToGrid w:val="0"/>
        <w:spacing w:line="440" w:lineRule="exact"/>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322DA218">
      <w:pPr>
        <w:wordWrap w:val="0"/>
        <w:adjustRightInd w:val="0"/>
        <w:snapToGrid w:val="0"/>
        <w:spacing w:line="440" w:lineRule="exact"/>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21CDB063">
      <w:pPr>
        <w:wordWrap w:val="0"/>
        <w:adjustRightInd w:val="0"/>
        <w:snapToGrid w:val="0"/>
        <w:ind w:firstLine="5520" w:firstLineChars="23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mc:AlternateContent>
          <mc:Choice Requires="wps">
            <w:drawing>
              <wp:anchor distT="0" distB="0" distL="114300" distR="114300" simplePos="0" relativeHeight="251663360" behindDoc="0" locked="0" layoutInCell="1" allowOverlap="1">
                <wp:simplePos x="0" y="0"/>
                <wp:positionH relativeFrom="column">
                  <wp:posOffset>1466850</wp:posOffset>
                </wp:positionH>
                <wp:positionV relativeFrom="paragraph">
                  <wp:posOffset>33020</wp:posOffset>
                </wp:positionV>
                <wp:extent cx="3190875" cy="1584325"/>
                <wp:effectExtent l="4445" t="4445" r="5080" b="11430"/>
                <wp:wrapNone/>
                <wp:docPr id="10" name="流程图: 可选过程 10"/>
                <wp:cNvGraphicFramePr/>
                <a:graphic xmlns:a="http://schemas.openxmlformats.org/drawingml/2006/main">
                  <a:graphicData uri="http://schemas.microsoft.com/office/word/2010/wordprocessingShape">
                    <wps:wsp>
                      <wps:cNvSpPr/>
                      <wps:spPr>
                        <a:xfrm>
                          <a:off x="0" y="0"/>
                          <a:ext cx="319087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6212300E">
                            <w:pPr>
                              <w:jc w:val="center"/>
                              <w:rPr>
                                <w:rFonts w:hint="default"/>
                                <w:szCs w:val="21"/>
                              </w:rPr>
                            </w:pPr>
                          </w:p>
                          <w:p w14:paraId="392B6583">
                            <w:pPr>
                              <w:jc w:val="center"/>
                              <w:rPr>
                                <w:rFonts w:hint="default"/>
                                <w:szCs w:val="21"/>
                              </w:rPr>
                            </w:pPr>
                          </w:p>
                          <w:p w14:paraId="3A12F76C">
                            <w:pPr>
                              <w:jc w:val="center"/>
                              <w:rPr>
                                <w:rFonts w:hint="default"/>
                                <w:szCs w:val="21"/>
                              </w:rPr>
                            </w:pPr>
                          </w:p>
                          <w:p w14:paraId="76520C7F">
                            <w:pPr>
                              <w:jc w:val="center"/>
                              <w:rPr>
                                <w:rFonts w:hint="eastAsia" w:ascii="宋体" w:hAnsi="宋体" w:eastAsia="宋体" w:cs="宋体"/>
                                <w:szCs w:val="21"/>
                              </w:rPr>
                            </w:pPr>
                            <w:r>
                              <w:rPr>
                                <w:rFonts w:hint="eastAsia" w:ascii="宋体" w:hAnsi="宋体" w:eastAsia="宋体" w:cs="宋体"/>
                                <w:szCs w:val="21"/>
                              </w:rPr>
                              <w:t>委托代理人身份证彩色扫描件正、反面</w:t>
                            </w:r>
                          </w:p>
                        </w:txbxContent>
                      </wps:txbx>
                      <wps:bodyPr wrap="square" upright="1"/>
                    </wps:wsp>
                  </a:graphicData>
                </a:graphic>
              </wp:anchor>
            </w:drawing>
          </mc:Choice>
          <mc:Fallback>
            <w:pict>
              <v:shape id="_x0000_s1026" o:spid="_x0000_s1026" o:spt="176" type="#_x0000_t176" style="position:absolute;left:0pt;margin-left:115.5pt;margin-top:2.6pt;height:124.75pt;width:251.25pt;z-index:251663360;mso-width-relative:page;mso-height-relative:page;" fillcolor="#FFFFFF" filled="t" stroked="t" coordsize="21600,21600" o:gfxdata="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BrJ9Os2AAAAAkBAAAPAAAAAAAAAAEAIAAAACIAAABkcnMvZG93&#10;bnJldi54bWxQSwECFAAUAAAACACHTuJAsfZZWzkCAABuBAAADgAAAAAAAAABACAAAAAnAQAAZHJz&#10;L2Uyb0RvYy54bWxQSwUGAAAAAAYABgBZAQAA0gUAAAAA&#10;">
                <v:fill on="t" focussize="0,0"/>
                <v:stroke color="#000000" joinstyle="miter"/>
                <v:imagedata o:title=""/>
                <o:lock v:ext="edit" aspectratio="f"/>
                <v:textbox>
                  <w:txbxContent>
                    <w:p w14:paraId="6212300E">
                      <w:pPr>
                        <w:jc w:val="center"/>
                        <w:rPr>
                          <w:rFonts w:hint="default"/>
                          <w:szCs w:val="21"/>
                        </w:rPr>
                      </w:pPr>
                    </w:p>
                    <w:p w14:paraId="392B6583">
                      <w:pPr>
                        <w:jc w:val="center"/>
                        <w:rPr>
                          <w:rFonts w:hint="default"/>
                          <w:szCs w:val="21"/>
                        </w:rPr>
                      </w:pPr>
                    </w:p>
                    <w:p w14:paraId="3A12F76C">
                      <w:pPr>
                        <w:jc w:val="center"/>
                        <w:rPr>
                          <w:rFonts w:hint="default"/>
                          <w:szCs w:val="21"/>
                        </w:rPr>
                      </w:pPr>
                    </w:p>
                    <w:p w14:paraId="76520C7F">
                      <w:pPr>
                        <w:jc w:val="center"/>
                        <w:rPr>
                          <w:rFonts w:hint="eastAsia" w:ascii="宋体" w:hAnsi="宋体" w:eastAsia="宋体" w:cs="宋体"/>
                          <w:szCs w:val="21"/>
                        </w:rPr>
                      </w:pPr>
                      <w:r>
                        <w:rPr>
                          <w:rFonts w:hint="eastAsia" w:ascii="宋体" w:hAnsi="宋体" w:eastAsia="宋体" w:cs="宋体"/>
                          <w:szCs w:val="21"/>
                        </w:rPr>
                        <w:t>委托代理人身份证彩色扫描件正、反面</w:t>
                      </w:r>
                    </w:p>
                  </w:txbxContent>
                </v:textbox>
              </v:shape>
            </w:pict>
          </mc:Fallback>
        </mc:AlternateContent>
      </w:r>
    </w:p>
    <w:p w14:paraId="435F828D">
      <w:pPr>
        <w:pStyle w:val="8"/>
        <w:wordWrap w:val="0"/>
        <w:adjustRightInd w:val="0"/>
        <w:snapToGrid w:val="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4A72F4A7">
      <w:pP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p>
    <w:p w14:paraId="41C4AFC9">
      <w:pPr>
        <w:wordWrap w:val="0"/>
        <w:adjustRightInd w:val="0"/>
        <w:snapToGrid w:val="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sectPr>
          <w:headerReference r:id="rId6" w:type="default"/>
          <w:footerReference r:id="rId7" w:type="default"/>
          <w:endnotePr>
            <w:numFmt w:val="decimal"/>
          </w:endnotePr>
          <w:pgSz w:w="11906" w:h="16838"/>
          <w:pgMar w:top="1701" w:right="1531" w:bottom="1417" w:left="1531" w:header="850" w:footer="737" w:gutter="0"/>
          <w:pgNumType w:fmt="decimal"/>
          <w:cols w:space="720" w:num="1"/>
          <w:docGrid w:linePitch="327" w:charSpace="0"/>
        </w:sectPr>
      </w:pPr>
    </w:p>
    <w:p w14:paraId="3FD84A81">
      <w:pPr>
        <w:pStyle w:val="4"/>
        <w:spacing w:before="120"/>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bookmarkStart w:id="544" w:name="_Toc29587"/>
      <w:bookmarkStart w:id="545" w:name="_Toc12031"/>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格式五 法定代表人身份证明</w:t>
      </w:r>
      <w:bookmarkEnd w:id="544"/>
      <w:bookmarkEnd w:id="545"/>
    </w:p>
    <w:p w14:paraId="4516AF38">
      <w:pPr>
        <w:wordWrap w:val="0"/>
        <w:adjustRightInd w:val="0"/>
        <w:snapToGrid w:val="0"/>
        <w:spacing w:line="440" w:lineRule="exact"/>
        <w:rPr>
          <w:rFonts w:hint="eastAsia" w:asciiTheme="minorEastAsia" w:hAnsiTheme="minorEastAsia" w:eastAsiaTheme="minorEastAsia" w:cstheme="minorEastAsia"/>
          <w:b/>
          <w:snapToGrid w:val="0"/>
          <w:color w:val="000000" w:themeColor="text1"/>
          <w:kern w:val="0"/>
          <w:szCs w:val="24"/>
          <w:highlight w:val="none"/>
          <w14:textFill>
            <w14:solidFill>
              <w14:schemeClr w14:val="tx1"/>
            </w14:solidFill>
          </w14:textFill>
        </w:rPr>
      </w:pPr>
    </w:p>
    <w:p w14:paraId="450DC350">
      <w:pPr>
        <w:wordWrap w:val="0"/>
        <w:adjustRightInd w:val="0"/>
        <w:snapToGrid w:val="0"/>
        <w:spacing w:before="260" w:after="260" w:line="440" w:lineRule="exact"/>
        <w:jc w:val="center"/>
        <w:rPr>
          <w:rFonts w:hint="eastAsia" w:asciiTheme="minorEastAsia" w:hAnsiTheme="minorEastAsia" w:eastAsiaTheme="minorEastAsia" w:cstheme="minorEastAsia"/>
          <w:b/>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
          <w:snapToGrid w:val="0"/>
          <w:color w:val="000000" w:themeColor="text1"/>
          <w:kern w:val="0"/>
          <w:szCs w:val="24"/>
          <w:highlight w:val="none"/>
          <w14:textFill>
            <w14:solidFill>
              <w14:schemeClr w14:val="tx1"/>
            </w14:solidFill>
          </w14:textFill>
        </w:rPr>
        <w:t>法定代表人身份证明</w:t>
      </w:r>
    </w:p>
    <w:p w14:paraId="28098091">
      <w:pPr>
        <w:wordWrap w:val="0"/>
        <w:adjustRightInd w:val="0"/>
        <w:snapToGrid w:val="0"/>
        <w:spacing w:line="44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33E481A1">
      <w:pPr>
        <w:wordWrap w:val="0"/>
        <w:adjustRightInd w:val="0"/>
        <w:snapToGrid w:val="0"/>
        <w:spacing w:line="440" w:lineRule="exact"/>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投标人名称：</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p>
    <w:p w14:paraId="47A92B05">
      <w:pPr>
        <w:wordWrap w:val="0"/>
        <w:adjustRightInd w:val="0"/>
        <w:snapToGrid w:val="0"/>
        <w:spacing w:line="440" w:lineRule="exact"/>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姓名：</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性别：</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年龄：</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职务：</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p>
    <w:p w14:paraId="7119E739">
      <w:pPr>
        <w:wordWrap w:val="0"/>
        <w:adjustRightInd w:val="0"/>
        <w:snapToGrid w:val="0"/>
        <w:spacing w:line="44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系</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（投标人名称）的法定代表人。</w:t>
      </w:r>
    </w:p>
    <w:p w14:paraId="67B43677">
      <w:pPr>
        <w:wordWrap w:val="0"/>
        <w:adjustRightInd w:val="0"/>
        <w:snapToGrid w:val="0"/>
        <w:spacing w:line="44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特此证明。</w:t>
      </w:r>
    </w:p>
    <w:p w14:paraId="414C0FFF">
      <w:pPr>
        <w:wordWrap w:val="0"/>
        <w:adjustRightInd w:val="0"/>
        <w:snapToGrid w:val="0"/>
        <w:spacing w:line="44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4B7156C0">
      <w:pPr>
        <w:wordWrap w:val="0"/>
        <w:adjustRightInd w:val="0"/>
        <w:snapToGrid w:val="0"/>
        <w:spacing w:line="44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16BC1EBC">
      <w:pPr>
        <w:wordWrap w:val="0"/>
        <w:adjustRightInd w:val="0"/>
        <w:snapToGrid w:val="0"/>
        <w:spacing w:line="440" w:lineRule="exact"/>
        <w:jc w:val="righ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投标人：</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（盖单位章）</w:t>
      </w:r>
    </w:p>
    <w:p w14:paraId="13245FAD">
      <w:pPr>
        <w:wordWrap w:val="0"/>
        <w:adjustRightInd w:val="0"/>
        <w:snapToGrid w:val="0"/>
        <w:spacing w:line="440" w:lineRule="exact"/>
        <w:jc w:val="righ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02C82B7B">
      <w:pPr>
        <w:wordWrap w:val="0"/>
        <w:adjustRightInd w:val="0"/>
        <w:snapToGrid w:val="0"/>
        <w:spacing w:line="440" w:lineRule="exact"/>
        <w:jc w:val="righ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5640E0DA">
      <w:pPr>
        <w:wordWrap w:val="0"/>
        <w:adjustRightInd w:val="0"/>
        <w:snapToGrid w:val="0"/>
        <w:spacing w:line="440" w:lineRule="exact"/>
        <w:jc w:val="righ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法定代表人：</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（签字或盖章）</w:t>
      </w:r>
    </w:p>
    <w:p w14:paraId="1A9F4A29">
      <w:pPr>
        <w:wordWrap w:val="0"/>
        <w:adjustRightInd w:val="0"/>
        <w:snapToGrid w:val="0"/>
        <w:spacing w:line="440" w:lineRule="exact"/>
        <w:jc w:val="righ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075875AC">
      <w:pPr>
        <w:wordWrap w:val="0"/>
        <w:adjustRightInd w:val="0"/>
        <w:snapToGrid w:val="0"/>
        <w:spacing w:line="440" w:lineRule="exact"/>
        <w:jc w:val="righ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年</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月</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日       </w:t>
      </w:r>
    </w:p>
    <w:p w14:paraId="3E7BE46F">
      <w:pPr>
        <w:wordWrap w:val="0"/>
        <w:adjustRightInd w:val="0"/>
        <w:snapToGrid w:val="0"/>
        <w:spacing w:line="440" w:lineRule="exact"/>
        <w:ind w:firstLine="720" w:firstLineChars="300"/>
        <w:rPr>
          <w:rFonts w:hint="eastAsia" w:asciiTheme="minorEastAsia" w:hAnsiTheme="minorEastAsia" w:eastAsiaTheme="minorEastAsia" w:cstheme="minorEastAsia"/>
          <w:i/>
          <w:iCs/>
          <w:snapToGrid w:val="0"/>
          <w:color w:val="000000" w:themeColor="text1"/>
          <w:kern w:val="0"/>
          <w:szCs w:val="24"/>
          <w:highlight w:val="none"/>
          <w14:textFill>
            <w14:solidFill>
              <w14:schemeClr w14:val="tx1"/>
            </w14:solidFill>
          </w14:textFill>
        </w:rPr>
      </w:pPr>
    </w:p>
    <w:p w14:paraId="23E4B240">
      <w:pPr>
        <w:wordWrap w:val="0"/>
        <w:adjustRightInd w:val="0"/>
        <w:snapToGrid w:val="0"/>
        <w:spacing w:line="440" w:lineRule="exact"/>
        <w:ind w:firstLine="720" w:firstLineChars="300"/>
        <w:rPr>
          <w:rFonts w:hint="eastAsia" w:asciiTheme="minorEastAsia" w:hAnsiTheme="minorEastAsia" w:eastAsiaTheme="minorEastAsia" w:cstheme="minorEastAsia"/>
          <w:i/>
          <w:iCs/>
          <w:snapToGrid w:val="0"/>
          <w:color w:val="000000" w:themeColor="text1"/>
          <w:kern w:val="0"/>
          <w:szCs w:val="24"/>
          <w:highlight w:val="none"/>
          <w14:textFill>
            <w14:solidFill>
              <w14:schemeClr w14:val="tx1"/>
            </w14:solidFill>
          </w14:textFill>
        </w:rPr>
      </w:pPr>
    </w:p>
    <w:p w14:paraId="659C4946">
      <w:pPr>
        <w:wordWrap w:val="0"/>
        <w:adjustRightInd w:val="0"/>
        <w:snapToGrid w:val="0"/>
        <w:rPr>
          <w:rFonts w:hint="eastAsia" w:asciiTheme="minorEastAsia" w:hAnsiTheme="minorEastAsia" w:eastAsiaTheme="minorEastAsia" w:cstheme="minorEastAsia"/>
          <w:b/>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
          <w:snapToGrid w:val="0"/>
          <w:color w:val="000000" w:themeColor="text1"/>
          <w:kern w:val="0"/>
          <w:szCs w:val="24"/>
          <w:highlight w:val="none"/>
          <w14:textFill>
            <w14:solidFill>
              <w14:schemeClr w14:val="tx1"/>
            </w14:solidFill>
          </w14:textFill>
        </w:rPr>
        <mc:AlternateContent>
          <mc:Choice Requires="wps">
            <w:drawing>
              <wp:anchor distT="0" distB="0" distL="114300" distR="114300" simplePos="0" relativeHeight="251662336" behindDoc="0" locked="0" layoutInCell="1" allowOverlap="1">
                <wp:simplePos x="0" y="0"/>
                <wp:positionH relativeFrom="column">
                  <wp:posOffset>1619250</wp:posOffset>
                </wp:positionH>
                <wp:positionV relativeFrom="paragraph">
                  <wp:posOffset>20320</wp:posOffset>
                </wp:positionV>
                <wp:extent cx="2825115" cy="1584325"/>
                <wp:effectExtent l="4445" t="4445" r="8890" b="11430"/>
                <wp:wrapNone/>
                <wp:docPr id="9" name="流程图: 可选过程 9"/>
                <wp:cNvGraphicFramePr/>
                <a:graphic xmlns:a="http://schemas.openxmlformats.org/drawingml/2006/main">
                  <a:graphicData uri="http://schemas.microsoft.com/office/word/2010/wordprocessingShape">
                    <wps:wsp>
                      <wps:cNvSpPr/>
                      <wps:spPr>
                        <a:xfrm>
                          <a:off x="0" y="0"/>
                          <a:ext cx="282511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30EDDE0C">
                            <w:pPr>
                              <w:jc w:val="center"/>
                              <w:rPr>
                                <w:rFonts w:hint="default"/>
                                <w:szCs w:val="21"/>
                              </w:rPr>
                            </w:pPr>
                          </w:p>
                          <w:p w14:paraId="68574360">
                            <w:pPr>
                              <w:jc w:val="center"/>
                              <w:rPr>
                                <w:rFonts w:hint="default"/>
                                <w:szCs w:val="21"/>
                              </w:rPr>
                            </w:pPr>
                          </w:p>
                          <w:p w14:paraId="4719C687">
                            <w:pPr>
                              <w:jc w:val="center"/>
                              <w:rPr>
                                <w:rFonts w:hint="default"/>
                                <w:szCs w:val="21"/>
                              </w:rPr>
                            </w:pPr>
                          </w:p>
                          <w:p w14:paraId="07B3FA8F">
                            <w:pPr>
                              <w:jc w:val="center"/>
                              <w:rPr>
                                <w:rFonts w:hint="eastAsia" w:ascii="宋体" w:hAnsi="宋体" w:eastAsia="宋体" w:cs="宋体"/>
                                <w:szCs w:val="21"/>
                              </w:rPr>
                            </w:pPr>
                            <w:r>
                              <w:rPr>
                                <w:rFonts w:hint="eastAsia" w:ascii="宋体" w:hAnsi="宋体" w:eastAsia="宋体" w:cs="宋体"/>
                                <w:szCs w:val="21"/>
                              </w:rPr>
                              <w:t>法定代表人身份证彩色扫描件正、反面</w:t>
                            </w:r>
                          </w:p>
                        </w:txbxContent>
                      </wps:txbx>
                      <wps:bodyPr wrap="square" upright="1"/>
                    </wps:wsp>
                  </a:graphicData>
                </a:graphic>
              </wp:anchor>
            </w:drawing>
          </mc:Choice>
          <mc:Fallback>
            <w:pict>
              <v:shape id="_x0000_s1026" o:spid="_x0000_s1026" o:spt="176" type="#_x0000_t176" style="position:absolute;left:0pt;margin-left:127.5pt;margin-top:1.6pt;height:124.75pt;width:222.45pt;z-index:251662336;mso-width-relative:page;mso-height-relative:page;" fillcolor="#FFFFFF" filled="t" stroked="t" coordsize="21600,21600" o:gfxdata="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HhXUptgAAAAJAQAADwAAAAAAAAABACAAAAAiAAAAZHJzL2Rvd25y&#10;ZXYueG1sUEsBAhQAFAAAAAgAh07iQEz7asY3AgAAbAQAAA4AAAAAAAAAAQAgAAAAJwEAAGRycy9l&#10;Mm9Eb2MueG1sUEsFBgAAAAAGAAYAWQEAANAFAAAAAA==&#10;">
                <v:fill on="t" focussize="0,0"/>
                <v:stroke color="#000000" joinstyle="miter"/>
                <v:imagedata o:title=""/>
                <o:lock v:ext="edit" aspectratio="f"/>
                <v:textbox>
                  <w:txbxContent>
                    <w:p w14:paraId="30EDDE0C">
                      <w:pPr>
                        <w:jc w:val="center"/>
                        <w:rPr>
                          <w:rFonts w:hint="default"/>
                          <w:szCs w:val="21"/>
                        </w:rPr>
                      </w:pPr>
                    </w:p>
                    <w:p w14:paraId="68574360">
                      <w:pPr>
                        <w:jc w:val="center"/>
                        <w:rPr>
                          <w:rFonts w:hint="default"/>
                          <w:szCs w:val="21"/>
                        </w:rPr>
                      </w:pPr>
                    </w:p>
                    <w:p w14:paraId="4719C687">
                      <w:pPr>
                        <w:jc w:val="center"/>
                        <w:rPr>
                          <w:rFonts w:hint="default"/>
                          <w:szCs w:val="21"/>
                        </w:rPr>
                      </w:pPr>
                    </w:p>
                    <w:p w14:paraId="07B3FA8F">
                      <w:pPr>
                        <w:jc w:val="center"/>
                        <w:rPr>
                          <w:rFonts w:hint="eastAsia" w:ascii="宋体" w:hAnsi="宋体" w:eastAsia="宋体" w:cs="宋体"/>
                          <w:szCs w:val="21"/>
                        </w:rPr>
                      </w:pPr>
                      <w:r>
                        <w:rPr>
                          <w:rFonts w:hint="eastAsia" w:ascii="宋体" w:hAnsi="宋体" w:eastAsia="宋体" w:cs="宋体"/>
                          <w:szCs w:val="21"/>
                        </w:rPr>
                        <w:t>法定代表人身份证彩色扫描件正、反面</w:t>
                      </w:r>
                    </w:p>
                  </w:txbxContent>
                </v:textbox>
              </v:shape>
            </w:pict>
          </mc:Fallback>
        </mc:AlternateContent>
      </w:r>
    </w:p>
    <w:p w14:paraId="2E318E0B">
      <w:pPr>
        <w:tabs>
          <w:tab w:val="left" w:pos="654"/>
          <w:tab w:val="left" w:pos="1734"/>
          <w:tab w:val="left" w:pos="2814"/>
          <w:tab w:val="left" w:pos="3894"/>
          <w:tab w:val="left" w:pos="5334"/>
          <w:tab w:val="left" w:pos="6414"/>
          <w:tab w:val="left" w:pos="7254"/>
          <w:tab w:val="left" w:pos="8574"/>
          <w:tab w:val="left" w:pos="9654"/>
        </w:tabs>
        <w:wordWrap w:val="0"/>
        <w:adjustRightInd w:val="0"/>
        <w:snapToGrid w:val="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0A652531">
      <w:pPr>
        <w:wordWrap w:val="0"/>
        <w:adjustRightInd w:val="0"/>
        <w:snapToGrid w:val="0"/>
        <w:spacing w:line="480" w:lineRule="exact"/>
        <w:jc w:val="center"/>
        <w:rPr>
          <w:rFonts w:hint="eastAsia" w:asciiTheme="minorEastAsia" w:hAnsiTheme="minorEastAsia" w:eastAsiaTheme="minorEastAsia" w:cstheme="minorEastAsia"/>
          <w:b/>
          <w:snapToGrid w:val="0"/>
          <w:color w:val="000000" w:themeColor="text1"/>
          <w:kern w:val="0"/>
          <w:szCs w:val="24"/>
          <w:highlight w:val="none"/>
          <w14:textFill>
            <w14:solidFill>
              <w14:schemeClr w14:val="tx1"/>
            </w14:solidFill>
          </w14:textFill>
        </w:rPr>
      </w:pPr>
    </w:p>
    <w:p w14:paraId="633E6118">
      <w:pPr>
        <w:wordWrap w:val="0"/>
        <w:adjustRightInd w:val="0"/>
        <w:snapToGrid w:val="0"/>
        <w:spacing w:line="480" w:lineRule="exact"/>
        <w:jc w:val="center"/>
        <w:rPr>
          <w:rFonts w:hint="eastAsia" w:asciiTheme="minorEastAsia" w:hAnsiTheme="minorEastAsia" w:eastAsiaTheme="minorEastAsia" w:cstheme="minorEastAsia"/>
          <w:b/>
          <w:snapToGrid w:val="0"/>
          <w:color w:val="000000" w:themeColor="text1"/>
          <w:kern w:val="0"/>
          <w:szCs w:val="24"/>
          <w:highlight w:val="none"/>
          <w14:textFill>
            <w14:solidFill>
              <w14:schemeClr w14:val="tx1"/>
            </w14:solidFill>
          </w14:textFill>
        </w:rPr>
      </w:pPr>
    </w:p>
    <w:p w14:paraId="5CEC2D37">
      <w:pPr>
        <w:wordWrap w:val="0"/>
        <w:adjustRightInd w:val="0"/>
        <w:snapToGrid w:val="0"/>
        <w:spacing w:line="480" w:lineRule="exact"/>
        <w:jc w:val="center"/>
        <w:rPr>
          <w:rFonts w:hint="eastAsia" w:asciiTheme="minorEastAsia" w:hAnsiTheme="minorEastAsia" w:eastAsiaTheme="minorEastAsia" w:cstheme="minorEastAsia"/>
          <w:b/>
          <w:snapToGrid w:val="0"/>
          <w:color w:val="000000" w:themeColor="text1"/>
          <w:kern w:val="0"/>
          <w:szCs w:val="24"/>
          <w:highlight w:val="none"/>
          <w14:textFill>
            <w14:solidFill>
              <w14:schemeClr w14:val="tx1"/>
            </w14:solidFill>
          </w14:textFill>
        </w:rPr>
        <w:sectPr>
          <w:endnotePr>
            <w:numFmt w:val="decimal"/>
          </w:endnotePr>
          <w:pgSz w:w="11906" w:h="16838"/>
          <w:pgMar w:top="1701" w:right="1531" w:bottom="1417" w:left="1531" w:header="850" w:footer="992" w:gutter="0"/>
          <w:pgNumType w:fmt="decimal"/>
          <w:cols w:space="720" w:num="1"/>
          <w:docGrid w:linePitch="327" w:charSpace="0"/>
        </w:sectPr>
      </w:pPr>
    </w:p>
    <w:p w14:paraId="06BC645D">
      <w:pPr>
        <w:pStyle w:val="4"/>
        <w:spacing w:before="120"/>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bookmarkStart w:id="546" w:name="_Toc26875"/>
      <w:bookmarkStart w:id="547" w:name="_Toc16430"/>
      <w:bookmarkStart w:id="548" w:name="_Toc2862"/>
      <w:bookmarkStart w:id="549" w:name="_Toc30665"/>
      <w:bookmarkStart w:id="550" w:name="_Toc26395"/>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格式六 联合体协议书</w:t>
      </w:r>
      <w:bookmarkEnd w:id="546"/>
      <w:bookmarkEnd w:id="547"/>
      <w:bookmarkEnd w:id="548"/>
      <w:bookmarkEnd w:id="549"/>
      <w:bookmarkEnd w:id="550"/>
    </w:p>
    <w:p w14:paraId="1E169E49">
      <w:pPr>
        <w:pStyle w:val="47"/>
        <w:widowControl w:val="0"/>
        <w:wordWrap w:val="0"/>
        <w:adjustRightInd w:val="0"/>
        <w:snapToGrid w:val="0"/>
        <w:spacing w:before="240" w:after="240" w:line="440" w:lineRule="exact"/>
        <w:ind w:firstLine="0"/>
        <w:jc w:val="cente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snapToGrid w:val="0"/>
          <w:color w:val="000000" w:themeColor="text1"/>
          <w:sz w:val="24"/>
          <w:szCs w:val="24"/>
          <w:highlight w:val="none"/>
          <w14:textFill>
            <w14:solidFill>
              <w14:schemeClr w14:val="tx1"/>
            </w14:solidFill>
          </w14:textFill>
        </w:rPr>
        <w:t>联合体协议书</w:t>
      </w:r>
    </w:p>
    <w:p w14:paraId="48A14098">
      <w:pPr>
        <w:pStyle w:val="47"/>
        <w:widowControl w:val="0"/>
        <w:wordWrap w:val="0"/>
        <w:adjustRightInd w:val="0"/>
        <w:snapToGrid w:val="0"/>
        <w:spacing w:line="440" w:lineRule="exact"/>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p>
    <w:p w14:paraId="4B559640">
      <w:pPr>
        <w:pStyle w:val="47"/>
        <w:widowControl w:val="0"/>
        <w:wordWrap w:val="0"/>
        <w:adjustRightInd w:val="0"/>
        <w:snapToGrid w:val="0"/>
        <w:spacing w:line="440" w:lineRule="exact"/>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p>
    <w:p w14:paraId="5FAA8F32">
      <w:pPr>
        <w:pStyle w:val="47"/>
        <w:widowControl w:val="0"/>
        <w:wordWrap w:val="0"/>
        <w:adjustRightInd w:val="0"/>
        <w:snapToGrid w:val="0"/>
        <w:spacing w:line="440" w:lineRule="exact"/>
        <w:rPr>
          <w:rFonts w:hint="eastAsia" w:asciiTheme="minorEastAsia" w:hAnsiTheme="minorEastAsia" w:eastAsiaTheme="minorEastAsia" w:cstheme="minorEastAsia"/>
          <w:snapToGrid w:val="0"/>
          <w:color w:val="000000" w:themeColor="text1"/>
          <w:sz w:val="24"/>
          <w:szCs w:val="24"/>
          <w:highlight w:val="none"/>
          <w:u w:val="single"/>
          <w14:textFill>
            <w14:solidFill>
              <w14:schemeClr w14:val="tx1"/>
            </w14:solidFill>
          </w14:textFill>
        </w:rPr>
      </w:pP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牵头人名称：</w:t>
      </w:r>
      <w:r>
        <w:rPr>
          <w:rFonts w:hint="eastAsia" w:asciiTheme="minorEastAsia" w:hAnsiTheme="minorEastAsia" w:eastAsiaTheme="minorEastAsia" w:cstheme="minorEastAsia"/>
          <w:snapToGrid w:val="0"/>
          <w:color w:val="000000" w:themeColor="text1"/>
          <w:sz w:val="24"/>
          <w:szCs w:val="24"/>
          <w:highlight w:val="none"/>
          <w:u w:val="single"/>
          <w14:textFill>
            <w14:solidFill>
              <w14:schemeClr w14:val="tx1"/>
            </w14:solidFill>
          </w14:textFill>
        </w:rPr>
        <w:t xml:space="preserve">                                                  </w:t>
      </w:r>
    </w:p>
    <w:p w14:paraId="7FCF3D52">
      <w:pPr>
        <w:pStyle w:val="47"/>
        <w:widowControl w:val="0"/>
        <w:wordWrap w:val="0"/>
        <w:adjustRightInd w:val="0"/>
        <w:snapToGrid w:val="0"/>
        <w:spacing w:line="440" w:lineRule="exact"/>
        <w:rPr>
          <w:rFonts w:hint="eastAsia" w:asciiTheme="minorEastAsia" w:hAnsiTheme="minorEastAsia" w:eastAsiaTheme="minorEastAsia" w:cstheme="minorEastAsia"/>
          <w:snapToGrid w:val="0"/>
          <w:color w:val="000000" w:themeColor="text1"/>
          <w:sz w:val="24"/>
          <w:szCs w:val="24"/>
          <w:highlight w:val="none"/>
          <w:u w:val="single"/>
          <w14:textFill>
            <w14:solidFill>
              <w14:schemeClr w14:val="tx1"/>
            </w14:solidFill>
          </w14:textFill>
        </w:rPr>
      </w:pP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法定代表人：</w:t>
      </w:r>
      <w:r>
        <w:rPr>
          <w:rFonts w:hint="eastAsia" w:asciiTheme="minorEastAsia" w:hAnsiTheme="minorEastAsia" w:eastAsiaTheme="minorEastAsia" w:cstheme="minorEastAsia"/>
          <w:snapToGrid w:val="0"/>
          <w:color w:val="000000" w:themeColor="text1"/>
          <w:sz w:val="24"/>
          <w:szCs w:val="24"/>
          <w:highlight w:val="none"/>
          <w:u w:val="single"/>
          <w14:textFill>
            <w14:solidFill>
              <w14:schemeClr w14:val="tx1"/>
            </w14:solidFill>
          </w14:textFill>
        </w:rPr>
        <w:t xml:space="preserve">                                                  </w:t>
      </w:r>
    </w:p>
    <w:p w14:paraId="7468D4F1">
      <w:pPr>
        <w:pStyle w:val="47"/>
        <w:widowControl w:val="0"/>
        <w:wordWrap w:val="0"/>
        <w:adjustRightInd w:val="0"/>
        <w:snapToGrid w:val="0"/>
        <w:spacing w:line="440" w:lineRule="exact"/>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法定住所：</w:t>
      </w:r>
      <w:r>
        <w:rPr>
          <w:rFonts w:hint="eastAsia" w:asciiTheme="minorEastAsia" w:hAnsiTheme="minorEastAsia" w:eastAsiaTheme="minorEastAsia" w:cstheme="minorEastAsia"/>
          <w:snapToGrid w:val="0"/>
          <w:color w:val="000000" w:themeColor="text1"/>
          <w:sz w:val="24"/>
          <w:szCs w:val="24"/>
          <w:highlight w:val="none"/>
          <w:u w:val="single"/>
          <w14:textFill>
            <w14:solidFill>
              <w14:schemeClr w14:val="tx1"/>
            </w14:solidFill>
          </w14:textFill>
        </w:rPr>
        <w:t xml:space="preserve">                                                    </w:t>
      </w:r>
    </w:p>
    <w:p w14:paraId="39290C7A">
      <w:pPr>
        <w:pStyle w:val="47"/>
        <w:widowControl w:val="0"/>
        <w:wordWrap w:val="0"/>
        <w:adjustRightInd w:val="0"/>
        <w:snapToGrid w:val="0"/>
        <w:spacing w:line="440" w:lineRule="exact"/>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p>
    <w:p w14:paraId="564B1A82">
      <w:pPr>
        <w:pStyle w:val="47"/>
        <w:widowControl w:val="0"/>
        <w:wordWrap w:val="0"/>
        <w:adjustRightInd w:val="0"/>
        <w:snapToGrid w:val="0"/>
        <w:spacing w:line="440" w:lineRule="exact"/>
        <w:rPr>
          <w:rFonts w:hint="eastAsia" w:asciiTheme="minorEastAsia" w:hAnsiTheme="minorEastAsia" w:eastAsiaTheme="minorEastAsia" w:cstheme="minorEastAsia"/>
          <w:snapToGrid w:val="0"/>
          <w:color w:val="000000" w:themeColor="text1"/>
          <w:sz w:val="24"/>
          <w:szCs w:val="24"/>
          <w:highlight w:val="none"/>
          <w:u w:val="single"/>
          <w14:textFill>
            <w14:solidFill>
              <w14:schemeClr w14:val="tx1"/>
            </w14:solidFill>
          </w14:textFill>
        </w:rPr>
      </w:pP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成员二名称：</w:t>
      </w:r>
      <w:r>
        <w:rPr>
          <w:rFonts w:hint="eastAsia" w:asciiTheme="minorEastAsia" w:hAnsiTheme="minorEastAsia" w:eastAsiaTheme="minorEastAsia" w:cstheme="minorEastAsia"/>
          <w:snapToGrid w:val="0"/>
          <w:color w:val="000000" w:themeColor="text1"/>
          <w:sz w:val="24"/>
          <w:szCs w:val="24"/>
          <w:highlight w:val="none"/>
          <w:u w:val="single"/>
          <w14:textFill>
            <w14:solidFill>
              <w14:schemeClr w14:val="tx1"/>
            </w14:solidFill>
          </w14:textFill>
        </w:rPr>
        <w:t xml:space="preserve">                                                  </w:t>
      </w:r>
    </w:p>
    <w:p w14:paraId="614174E7">
      <w:pPr>
        <w:pStyle w:val="47"/>
        <w:widowControl w:val="0"/>
        <w:wordWrap w:val="0"/>
        <w:adjustRightInd w:val="0"/>
        <w:snapToGrid w:val="0"/>
        <w:spacing w:line="440" w:lineRule="exact"/>
        <w:rPr>
          <w:rFonts w:hint="eastAsia" w:asciiTheme="minorEastAsia" w:hAnsiTheme="minorEastAsia" w:eastAsiaTheme="minorEastAsia" w:cstheme="minorEastAsia"/>
          <w:snapToGrid w:val="0"/>
          <w:color w:val="000000" w:themeColor="text1"/>
          <w:sz w:val="24"/>
          <w:szCs w:val="24"/>
          <w:highlight w:val="none"/>
          <w:u w:val="single"/>
          <w14:textFill>
            <w14:solidFill>
              <w14:schemeClr w14:val="tx1"/>
            </w14:solidFill>
          </w14:textFill>
        </w:rPr>
      </w:pP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法定代表人：</w:t>
      </w:r>
      <w:r>
        <w:rPr>
          <w:rFonts w:hint="eastAsia" w:asciiTheme="minorEastAsia" w:hAnsiTheme="minorEastAsia" w:eastAsiaTheme="minorEastAsia" w:cstheme="minorEastAsia"/>
          <w:snapToGrid w:val="0"/>
          <w:color w:val="000000" w:themeColor="text1"/>
          <w:sz w:val="24"/>
          <w:szCs w:val="24"/>
          <w:highlight w:val="none"/>
          <w:u w:val="single"/>
          <w14:textFill>
            <w14:solidFill>
              <w14:schemeClr w14:val="tx1"/>
            </w14:solidFill>
          </w14:textFill>
        </w:rPr>
        <w:t xml:space="preserve">                                                  </w:t>
      </w:r>
    </w:p>
    <w:p w14:paraId="660DA1A9">
      <w:pPr>
        <w:pStyle w:val="47"/>
        <w:widowControl w:val="0"/>
        <w:wordWrap w:val="0"/>
        <w:adjustRightInd w:val="0"/>
        <w:snapToGrid w:val="0"/>
        <w:spacing w:line="440" w:lineRule="exact"/>
        <w:rPr>
          <w:rFonts w:hint="eastAsia" w:asciiTheme="minorEastAsia" w:hAnsiTheme="minorEastAsia" w:eastAsiaTheme="minorEastAsia" w:cstheme="minorEastAsia"/>
          <w:snapToGrid w:val="0"/>
          <w:color w:val="000000" w:themeColor="text1"/>
          <w:sz w:val="24"/>
          <w:szCs w:val="24"/>
          <w:highlight w:val="none"/>
          <w:u w:val="single"/>
          <w14:textFill>
            <w14:solidFill>
              <w14:schemeClr w14:val="tx1"/>
            </w14:solidFill>
          </w14:textFill>
        </w:rPr>
      </w:pP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法定住所：</w:t>
      </w:r>
      <w:r>
        <w:rPr>
          <w:rFonts w:hint="eastAsia" w:asciiTheme="minorEastAsia" w:hAnsiTheme="minorEastAsia" w:eastAsiaTheme="minorEastAsia" w:cstheme="minorEastAsia"/>
          <w:snapToGrid w:val="0"/>
          <w:color w:val="000000" w:themeColor="text1"/>
          <w:sz w:val="24"/>
          <w:szCs w:val="24"/>
          <w:highlight w:val="none"/>
          <w:u w:val="single"/>
          <w14:textFill>
            <w14:solidFill>
              <w14:schemeClr w14:val="tx1"/>
            </w14:solidFill>
          </w14:textFill>
        </w:rPr>
        <w:t xml:space="preserve">                                                    </w:t>
      </w:r>
    </w:p>
    <w:p w14:paraId="32D7A4E0">
      <w:pPr>
        <w:pStyle w:val="47"/>
        <w:widowControl w:val="0"/>
        <w:wordWrap w:val="0"/>
        <w:adjustRightInd w:val="0"/>
        <w:snapToGrid w:val="0"/>
        <w:spacing w:line="440" w:lineRule="exact"/>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p>
    <w:p w14:paraId="4CC9F319">
      <w:pPr>
        <w:pStyle w:val="47"/>
        <w:widowControl w:val="0"/>
        <w:wordWrap w:val="0"/>
        <w:adjustRightInd w:val="0"/>
        <w:snapToGrid w:val="0"/>
        <w:spacing w:line="440" w:lineRule="exact"/>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p>
    <w:p w14:paraId="07BD02E7">
      <w:pPr>
        <w:pStyle w:val="47"/>
        <w:widowControl w:val="0"/>
        <w:wordWrap w:val="0"/>
        <w:adjustRightInd w:val="0"/>
        <w:snapToGrid w:val="0"/>
        <w:spacing w:line="440" w:lineRule="exact"/>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w:t>
      </w:r>
    </w:p>
    <w:p w14:paraId="44FA1284">
      <w:pPr>
        <w:pStyle w:val="47"/>
        <w:widowControl w:val="0"/>
        <w:wordWrap w:val="0"/>
        <w:adjustRightInd w:val="0"/>
        <w:snapToGrid w:val="0"/>
        <w:spacing w:line="440" w:lineRule="exact"/>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上述各成员单位经过友好协商，自愿组成联合体，共同参加</w:t>
      </w:r>
      <w:r>
        <w:rPr>
          <w:rFonts w:hint="eastAsia" w:asciiTheme="minorEastAsia" w:hAnsiTheme="minorEastAsia" w:eastAsiaTheme="minorEastAsia" w:cstheme="minorEastAsia"/>
          <w:snapToGrid w:val="0"/>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（项目名称）（以下简称“本项目”）的投标并争取赢得本项目EPC总承包合同（以下简称合同）。现就联合体投标事宜订立如下协议：</w:t>
      </w:r>
    </w:p>
    <w:p w14:paraId="719956F5">
      <w:pPr>
        <w:pStyle w:val="47"/>
        <w:widowControl w:val="0"/>
        <w:wordWrap w:val="0"/>
        <w:adjustRightInd w:val="0"/>
        <w:snapToGrid w:val="0"/>
        <w:spacing w:line="440" w:lineRule="exact"/>
        <w:ind w:firstLine="0"/>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 xml:space="preserve">    1．</w:t>
      </w:r>
      <w:r>
        <w:rPr>
          <w:rFonts w:hint="eastAsia" w:asciiTheme="minorEastAsia" w:hAnsiTheme="minorEastAsia" w:eastAsiaTheme="minorEastAsia" w:cstheme="minorEastAsia"/>
          <w:snapToGrid w:val="0"/>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（某成员单位名称）为联合体牵头人。</w:t>
      </w:r>
    </w:p>
    <w:p w14:paraId="437C48FA">
      <w:pPr>
        <w:pStyle w:val="47"/>
        <w:widowControl w:val="0"/>
        <w:wordWrap w:val="0"/>
        <w:adjustRightInd w:val="0"/>
        <w:snapToGrid w:val="0"/>
        <w:spacing w:line="440" w:lineRule="exact"/>
        <w:ind w:firstLine="0"/>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 xml:space="preserve">    2．在本项目投标阶段，联合体牵头人合法代表联合体各成员负责本项目投标文件编制活动，代表联合体提交和接收相关的资料、信息及指示，并处理与投标和中标有关的一切事务；联合体中标后，联合体牵头人负责合同订立和合同实施阶段的主办、组织和协调工作。</w:t>
      </w:r>
    </w:p>
    <w:p w14:paraId="506AF19F">
      <w:pPr>
        <w:pStyle w:val="47"/>
        <w:widowControl w:val="0"/>
        <w:wordWrap w:val="0"/>
        <w:adjustRightInd w:val="0"/>
        <w:snapToGrid w:val="0"/>
        <w:spacing w:line="440" w:lineRule="exact"/>
        <w:ind w:firstLine="0"/>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 xml:space="preserve">    3．联合体将严格按照招标文件的各项要求，递交投标文件，履行投标义务和中标后的合同，共同承担合同规定的一切义务和责任，联合体各成员单位按照内部职责的部分，承担各自所负的责任和风险，并向招标人承担相关责任。</w:t>
      </w:r>
    </w:p>
    <w:p w14:paraId="682E636A">
      <w:pPr>
        <w:pStyle w:val="47"/>
        <w:widowControl w:val="0"/>
        <w:wordWrap w:val="0"/>
        <w:adjustRightInd w:val="0"/>
        <w:snapToGrid w:val="0"/>
        <w:spacing w:line="440" w:lineRule="exact"/>
        <w:ind w:firstLine="0"/>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 xml:space="preserve">    4．联合体各成员单位内部的职责分工如下：</w:t>
      </w:r>
      <w:r>
        <w:rPr>
          <w:rFonts w:hint="eastAsia" w:asciiTheme="minorEastAsia" w:hAnsiTheme="minorEastAsia" w:eastAsiaTheme="minorEastAsia" w:cstheme="minorEastAsia"/>
          <w:snapToGrid w:val="0"/>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w:t>
      </w:r>
    </w:p>
    <w:p w14:paraId="1F0E38FD">
      <w:pPr>
        <w:pStyle w:val="47"/>
        <w:widowControl w:val="0"/>
        <w:wordWrap w:val="0"/>
        <w:adjustRightInd w:val="0"/>
        <w:snapToGrid w:val="0"/>
        <w:spacing w:line="440" w:lineRule="exact"/>
        <w:ind w:firstLine="0"/>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 xml:space="preserve">    5．投标工作和联合体在中标后工程实施过程中的有关费用按各自承担的工作量分摊。</w:t>
      </w:r>
    </w:p>
    <w:p w14:paraId="4AF650F6">
      <w:pPr>
        <w:pStyle w:val="47"/>
        <w:widowControl w:val="0"/>
        <w:wordWrap w:val="0"/>
        <w:adjustRightInd w:val="0"/>
        <w:snapToGrid w:val="0"/>
        <w:spacing w:line="440" w:lineRule="exact"/>
        <w:ind w:firstLine="0"/>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 xml:space="preserve">    6．联合体中标后，本联合体协议是合同的附件，对联合体各成员单位有合同约束力。</w:t>
      </w:r>
    </w:p>
    <w:p w14:paraId="3904DBFB">
      <w:pPr>
        <w:pStyle w:val="47"/>
        <w:widowControl w:val="0"/>
        <w:wordWrap w:val="0"/>
        <w:adjustRightInd w:val="0"/>
        <w:snapToGrid w:val="0"/>
        <w:spacing w:line="440" w:lineRule="exact"/>
        <w:ind w:firstLine="0"/>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 xml:space="preserve">    7．本协议书自签署之日起生效，联合体未中标或者中标时合同履行完毕后自动失效。</w:t>
      </w:r>
    </w:p>
    <w:p w14:paraId="4F0D01DD">
      <w:pPr>
        <w:pStyle w:val="47"/>
        <w:widowControl w:val="0"/>
        <w:wordWrap w:val="0"/>
        <w:adjustRightInd w:val="0"/>
        <w:snapToGrid w:val="0"/>
        <w:spacing w:line="440" w:lineRule="exact"/>
        <w:ind w:firstLine="0"/>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 xml:space="preserve">    8．本协议书一式</w:t>
      </w:r>
      <w:r>
        <w:rPr>
          <w:rFonts w:hint="eastAsia" w:asciiTheme="minorEastAsia" w:hAnsiTheme="minorEastAsia" w:eastAsiaTheme="minorEastAsia" w:cstheme="minorEastAsia"/>
          <w:snapToGrid w:val="0"/>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份，联合体成员和招标人各执一份。</w:t>
      </w:r>
    </w:p>
    <w:p w14:paraId="6B5D6CF6">
      <w:pPr>
        <w:pStyle w:val="47"/>
        <w:widowControl w:val="0"/>
        <w:wordWrap w:val="0"/>
        <w:adjustRightInd w:val="0"/>
        <w:snapToGrid w:val="0"/>
        <w:spacing w:line="440" w:lineRule="exact"/>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p>
    <w:p w14:paraId="3EEB2D15">
      <w:pPr>
        <w:pStyle w:val="47"/>
        <w:widowControl w:val="0"/>
        <w:wordWrap w:val="0"/>
        <w:adjustRightInd w:val="0"/>
        <w:snapToGrid w:val="0"/>
        <w:spacing w:line="440" w:lineRule="exact"/>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p>
    <w:p w14:paraId="23A4F23C">
      <w:pPr>
        <w:pStyle w:val="47"/>
        <w:widowControl w:val="0"/>
        <w:wordWrap w:val="0"/>
        <w:adjustRightInd w:val="0"/>
        <w:snapToGrid w:val="0"/>
        <w:spacing w:line="440" w:lineRule="exact"/>
        <w:jc w:val="right"/>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牵头人名称：</w:t>
      </w:r>
      <w:r>
        <w:rPr>
          <w:rFonts w:hint="eastAsia" w:asciiTheme="minorEastAsia" w:hAnsiTheme="minorEastAsia" w:eastAsiaTheme="minorEastAsia" w:cstheme="minorEastAsia"/>
          <w:snapToGrid w:val="0"/>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（盖单位章）</w:t>
      </w:r>
    </w:p>
    <w:p w14:paraId="5678A31B">
      <w:pPr>
        <w:pStyle w:val="47"/>
        <w:widowControl w:val="0"/>
        <w:wordWrap w:val="0"/>
        <w:adjustRightInd w:val="0"/>
        <w:snapToGrid w:val="0"/>
        <w:spacing w:line="440" w:lineRule="exact"/>
        <w:jc w:val="right"/>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　　　　　　　　</w:t>
      </w:r>
    </w:p>
    <w:p w14:paraId="75EE1DF6">
      <w:pPr>
        <w:pStyle w:val="47"/>
        <w:widowControl w:val="0"/>
        <w:wordWrap w:val="0"/>
        <w:adjustRightInd w:val="0"/>
        <w:snapToGrid w:val="0"/>
        <w:spacing w:line="440" w:lineRule="exact"/>
        <w:jc w:val="right"/>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法定代表人或其委托代理人：</w:t>
      </w:r>
      <w:r>
        <w:rPr>
          <w:rFonts w:hint="eastAsia" w:asciiTheme="minorEastAsia" w:hAnsiTheme="minorEastAsia" w:eastAsiaTheme="minorEastAsia" w:cstheme="minorEastAsia"/>
          <w:snapToGrid w:val="0"/>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（签字或盖章）</w:t>
      </w:r>
    </w:p>
    <w:p w14:paraId="698C4154">
      <w:pPr>
        <w:pStyle w:val="47"/>
        <w:widowControl w:val="0"/>
        <w:wordWrap w:val="0"/>
        <w:adjustRightInd w:val="0"/>
        <w:snapToGrid w:val="0"/>
        <w:spacing w:line="440" w:lineRule="exact"/>
        <w:ind w:firstLine="0"/>
        <w:jc w:val="both"/>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p>
    <w:p w14:paraId="5475F658">
      <w:pPr>
        <w:pStyle w:val="47"/>
        <w:widowControl w:val="0"/>
        <w:wordWrap w:val="0"/>
        <w:adjustRightInd w:val="0"/>
        <w:snapToGrid w:val="0"/>
        <w:spacing w:line="440" w:lineRule="exact"/>
        <w:jc w:val="right"/>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成员二名称：</w:t>
      </w:r>
      <w:r>
        <w:rPr>
          <w:rFonts w:hint="eastAsia" w:asciiTheme="minorEastAsia" w:hAnsiTheme="minorEastAsia" w:eastAsiaTheme="minorEastAsia" w:cstheme="minorEastAsia"/>
          <w:snapToGrid w:val="0"/>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（盖单位章）</w:t>
      </w:r>
    </w:p>
    <w:p w14:paraId="3D484E5F">
      <w:pPr>
        <w:pStyle w:val="47"/>
        <w:widowControl w:val="0"/>
        <w:wordWrap w:val="0"/>
        <w:adjustRightInd w:val="0"/>
        <w:snapToGrid w:val="0"/>
        <w:spacing w:line="440" w:lineRule="exact"/>
        <w:ind w:firstLine="0"/>
        <w:jc w:val="both"/>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p>
    <w:p w14:paraId="384A654B">
      <w:pPr>
        <w:pStyle w:val="47"/>
        <w:widowControl w:val="0"/>
        <w:wordWrap w:val="0"/>
        <w:adjustRightInd w:val="0"/>
        <w:snapToGrid w:val="0"/>
        <w:spacing w:line="440" w:lineRule="exact"/>
        <w:jc w:val="right"/>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法定代表人或其委托代理人：</w:t>
      </w:r>
      <w:r>
        <w:rPr>
          <w:rFonts w:hint="eastAsia" w:asciiTheme="minorEastAsia" w:hAnsiTheme="minorEastAsia" w:eastAsiaTheme="minorEastAsia" w:cstheme="minorEastAsia"/>
          <w:snapToGrid w:val="0"/>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（签字或盖章）</w:t>
      </w:r>
    </w:p>
    <w:p w14:paraId="533ECC54">
      <w:pPr>
        <w:pStyle w:val="47"/>
        <w:widowControl w:val="0"/>
        <w:adjustRightInd w:val="0"/>
        <w:snapToGrid w:val="0"/>
        <w:spacing w:line="440" w:lineRule="exact"/>
        <w:jc w:val="right"/>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p>
    <w:p w14:paraId="3A01DDEF">
      <w:pPr>
        <w:pStyle w:val="47"/>
        <w:widowControl w:val="0"/>
        <w:wordWrap w:val="0"/>
        <w:adjustRightInd w:val="0"/>
        <w:snapToGrid w:val="0"/>
        <w:spacing w:line="440" w:lineRule="exact"/>
        <w:ind w:firstLine="3840" w:firstLineChars="1600"/>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 xml:space="preserve"> ……</w:t>
      </w:r>
    </w:p>
    <w:p w14:paraId="3E94A3B6">
      <w:pPr>
        <w:pStyle w:val="47"/>
        <w:widowControl w:val="0"/>
        <w:wordWrap w:val="0"/>
        <w:adjustRightInd w:val="0"/>
        <w:snapToGrid w:val="0"/>
        <w:spacing w:line="440" w:lineRule="exact"/>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p>
    <w:p w14:paraId="61178B74">
      <w:pPr>
        <w:pStyle w:val="47"/>
        <w:widowControl w:val="0"/>
        <w:wordWrap w:val="0"/>
        <w:adjustRightInd w:val="0"/>
        <w:snapToGrid w:val="0"/>
        <w:spacing w:line="440" w:lineRule="exact"/>
        <w:jc w:val="right"/>
        <w:rPr>
          <w:rFonts w:hint="eastAsia" w:asciiTheme="minorEastAsia" w:hAnsiTheme="minorEastAsia" w:eastAsiaTheme="minorEastAsia" w:cstheme="minorEastAsia"/>
          <w:snapToGrid w:val="0"/>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年</w:t>
      </w:r>
      <w:r>
        <w:rPr>
          <w:rFonts w:hint="eastAsia" w:asciiTheme="minorEastAsia" w:hAnsiTheme="minorEastAsia" w:eastAsiaTheme="minorEastAsia" w:cstheme="minorEastAsia"/>
          <w:snapToGrid w:val="0"/>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月</w:t>
      </w:r>
      <w:r>
        <w:rPr>
          <w:rFonts w:hint="eastAsia" w:asciiTheme="minorEastAsia" w:hAnsiTheme="minorEastAsia" w:eastAsiaTheme="minorEastAsia" w:cstheme="minorEastAsia"/>
          <w:snapToGrid w:val="0"/>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sz w:val="24"/>
          <w:szCs w:val="24"/>
          <w:highlight w:val="none"/>
          <w:u w:val="single"/>
          <w:lang w:eastAsia="zh-CN"/>
          <w14:textFill>
            <w14:solidFill>
              <w14:schemeClr w14:val="tx1"/>
            </w14:solidFill>
          </w14:textFill>
        </w:rPr>
        <w:t>日</w:t>
      </w:r>
    </w:p>
    <w:p w14:paraId="114BFA46">
      <w:pPr>
        <w:pStyle w:val="47"/>
        <w:widowControl w:val="0"/>
        <w:wordWrap w:val="0"/>
        <w:adjustRightInd w:val="0"/>
        <w:snapToGrid w:val="0"/>
        <w:spacing w:line="440" w:lineRule="exact"/>
        <w:jc w:val="cente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p>
    <w:p w14:paraId="79F84F11">
      <w:pPr>
        <w:pStyle w:val="47"/>
        <w:widowControl w:val="0"/>
        <w:wordWrap w:val="0"/>
        <w:adjustRightInd w:val="0"/>
        <w:snapToGrid w:val="0"/>
        <w:spacing w:line="440" w:lineRule="exact"/>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p>
    <w:p w14:paraId="4712C5B5">
      <w:pPr>
        <w:pStyle w:val="47"/>
        <w:widowControl w:val="0"/>
        <w:wordWrap w:val="0"/>
        <w:adjustRightInd w:val="0"/>
        <w:snapToGrid w:val="0"/>
        <w:spacing w:line="440" w:lineRule="exact"/>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p>
    <w:p w14:paraId="7503721D">
      <w:pPr>
        <w:pStyle w:val="47"/>
        <w:widowControl w:val="0"/>
        <w:wordWrap w:val="0"/>
        <w:adjustRightInd w:val="0"/>
        <w:snapToGrid w:val="0"/>
        <w:spacing w:line="440" w:lineRule="exact"/>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p>
    <w:p w14:paraId="25E89DE6">
      <w:pPr>
        <w:pStyle w:val="47"/>
        <w:widowControl w:val="0"/>
        <w:wordWrap w:val="0"/>
        <w:adjustRightInd w:val="0"/>
        <w:snapToGrid w:val="0"/>
        <w:spacing w:line="440" w:lineRule="exact"/>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说明：《联合体协议书》由委托代理人签字或盖章的，应附法定代表人签字或盖章的授权委托书。</w:t>
      </w:r>
    </w:p>
    <w:p w14:paraId="24B66360">
      <w:pPr>
        <w:pStyle w:val="47"/>
        <w:widowControl w:val="0"/>
        <w:wordWrap w:val="0"/>
        <w:adjustRightInd w:val="0"/>
        <w:snapToGrid w:val="0"/>
        <w:spacing w:line="440" w:lineRule="exact"/>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sectPr>
          <w:endnotePr>
            <w:numFmt w:val="decimal"/>
          </w:endnotePr>
          <w:pgSz w:w="11906" w:h="16838"/>
          <w:pgMar w:top="1701" w:right="1531" w:bottom="1417" w:left="1531" w:header="850" w:footer="992" w:gutter="0"/>
          <w:pgNumType w:fmt="decimal"/>
          <w:cols w:space="720" w:num="1"/>
          <w:docGrid w:linePitch="327" w:charSpace="0"/>
        </w:sectPr>
      </w:pPr>
    </w:p>
    <w:p w14:paraId="4F4448E0">
      <w:pPr>
        <w:pStyle w:val="4"/>
        <w:spacing w:before="120"/>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bookmarkStart w:id="551" w:name="_Toc29507"/>
      <w:bookmarkStart w:id="552" w:name="_Toc31264"/>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格式七 投标人基本情况表</w:t>
      </w:r>
      <w:bookmarkEnd w:id="551"/>
      <w:bookmarkEnd w:id="552"/>
    </w:p>
    <w:p w14:paraId="244162F3">
      <w:pPr>
        <w:pStyle w:val="47"/>
        <w:widowControl w:val="0"/>
        <w:wordWrap w:val="0"/>
        <w:adjustRightInd w:val="0"/>
        <w:snapToGrid w:val="0"/>
        <w:spacing w:before="260" w:after="260" w:line="400" w:lineRule="exact"/>
        <w:ind w:firstLine="0"/>
        <w:jc w:val="cente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snapToGrid w:val="0"/>
          <w:color w:val="000000" w:themeColor="text1"/>
          <w:sz w:val="24"/>
          <w:szCs w:val="24"/>
          <w:highlight w:val="none"/>
          <w14:textFill>
            <w14:solidFill>
              <w14:schemeClr w14:val="tx1"/>
            </w14:solidFill>
          </w14:textFill>
        </w:rPr>
        <w:t>投标人基本情况表</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6"/>
        <w:gridCol w:w="1537"/>
        <w:gridCol w:w="1137"/>
        <w:gridCol w:w="832"/>
        <w:gridCol w:w="458"/>
        <w:gridCol w:w="831"/>
        <w:gridCol w:w="267"/>
        <w:gridCol w:w="733"/>
        <w:gridCol w:w="1468"/>
      </w:tblGrid>
      <w:tr w14:paraId="13AF6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exact"/>
          <w:jc w:val="center"/>
        </w:trPr>
        <w:tc>
          <w:tcPr>
            <w:tcW w:w="1536" w:type="dxa"/>
            <w:noWrap/>
            <w:vAlign w:val="center"/>
          </w:tcPr>
          <w:p w14:paraId="17031DA0">
            <w:pPr>
              <w:pStyle w:val="43"/>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投标人名称</w:t>
            </w:r>
          </w:p>
        </w:tc>
        <w:tc>
          <w:tcPr>
            <w:tcW w:w="7263" w:type="dxa"/>
            <w:gridSpan w:val="8"/>
            <w:noWrap/>
            <w:vAlign w:val="center"/>
          </w:tcPr>
          <w:p w14:paraId="2922417B">
            <w:pPr>
              <w:pStyle w:val="43"/>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r>
      <w:tr w14:paraId="1ACB8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exact"/>
          <w:jc w:val="center"/>
        </w:trPr>
        <w:tc>
          <w:tcPr>
            <w:tcW w:w="1536" w:type="dxa"/>
            <w:noWrap/>
            <w:vAlign w:val="center"/>
          </w:tcPr>
          <w:p w14:paraId="60196E6A">
            <w:pPr>
              <w:pStyle w:val="43"/>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注册地址</w:t>
            </w:r>
          </w:p>
        </w:tc>
        <w:tc>
          <w:tcPr>
            <w:tcW w:w="3506" w:type="dxa"/>
            <w:gridSpan w:val="3"/>
            <w:noWrap/>
            <w:vAlign w:val="center"/>
          </w:tcPr>
          <w:p w14:paraId="2534C5BC">
            <w:pPr>
              <w:pStyle w:val="43"/>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c>
          <w:tcPr>
            <w:tcW w:w="1289" w:type="dxa"/>
            <w:gridSpan w:val="2"/>
            <w:noWrap/>
            <w:vAlign w:val="center"/>
          </w:tcPr>
          <w:p w14:paraId="28151D48">
            <w:pPr>
              <w:pStyle w:val="43"/>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邮政编码</w:t>
            </w:r>
          </w:p>
        </w:tc>
        <w:tc>
          <w:tcPr>
            <w:tcW w:w="2468" w:type="dxa"/>
            <w:gridSpan w:val="3"/>
            <w:noWrap/>
            <w:vAlign w:val="center"/>
          </w:tcPr>
          <w:p w14:paraId="648CA5B4">
            <w:pPr>
              <w:pStyle w:val="43"/>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r>
      <w:tr w14:paraId="6A5A8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exact"/>
          <w:jc w:val="center"/>
        </w:trPr>
        <w:tc>
          <w:tcPr>
            <w:tcW w:w="1536" w:type="dxa"/>
            <w:vMerge w:val="restart"/>
            <w:noWrap/>
            <w:vAlign w:val="center"/>
          </w:tcPr>
          <w:p w14:paraId="77005BE7">
            <w:pPr>
              <w:pStyle w:val="43"/>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联系方式</w:t>
            </w:r>
          </w:p>
        </w:tc>
        <w:tc>
          <w:tcPr>
            <w:tcW w:w="1537" w:type="dxa"/>
            <w:noWrap/>
            <w:vAlign w:val="center"/>
          </w:tcPr>
          <w:p w14:paraId="6DA39D2A">
            <w:pPr>
              <w:pStyle w:val="43"/>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联系人</w:t>
            </w:r>
          </w:p>
        </w:tc>
        <w:tc>
          <w:tcPr>
            <w:tcW w:w="1969" w:type="dxa"/>
            <w:gridSpan w:val="2"/>
            <w:noWrap/>
            <w:vAlign w:val="center"/>
          </w:tcPr>
          <w:p w14:paraId="220FDAEB">
            <w:pPr>
              <w:pStyle w:val="43"/>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c>
          <w:tcPr>
            <w:tcW w:w="1289" w:type="dxa"/>
            <w:gridSpan w:val="2"/>
            <w:noWrap/>
            <w:vAlign w:val="center"/>
          </w:tcPr>
          <w:p w14:paraId="3F88FF07">
            <w:pPr>
              <w:pStyle w:val="43"/>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电  话</w:t>
            </w:r>
          </w:p>
        </w:tc>
        <w:tc>
          <w:tcPr>
            <w:tcW w:w="2468" w:type="dxa"/>
            <w:gridSpan w:val="3"/>
            <w:noWrap/>
            <w:vAlign w:val="center"/>
          </w:tcPr>
          <w:p w14:paraId="78E42A51">
            <w:pPr>
              <w:pStyle w:val="43"/>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r>
      <w:tr w14:paraId="3A463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exact"/>
          <w:jc w:val="center"/>
        </w:trPr>
        <w:tc>
          <w:tcPr>
            <w:tcW w:w="1536" w:type="dxa"/>
            <w:vMerge w:val="continue"/>
            <w:noWrap/>
            <w:vAlign w:val="center"/>
          </w:tcPr>
          <w:p w14:paraId="30DD40AE">
            <w:pPr>
              <w:pStyle w:val="43"/>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c>
          <w:tcPr>
            <w:tcW w:w="1537" w:type="dxa"/>
            <w:noWrap/>
            <w:vAlign w:val="center"/>
          </w:tcPr>
          <w:p w14:paraId="2D42253D">
            <w:pPr>
              <w:pStyle w:val="43"/>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传  真</w:t>
            </w:r>
          </w:p>
        </w:tc>
        <w:tc>
          <w:tcPr>
            <w:tcW w:w="1969" w:type="dxa"/>
            <w:gridSpan w:val="2"/>
            <w:noWrap/>
            <w:vAlign w:val="center"/>
          </w:tcPr>
          <w:p w14:paraId="0A57192B">
            <w:pPr>
              <w:pStyle w:val="43"/>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c>
          <w:tcPr>
            <w:tcW w:w="1289" w:type="dxa"/>
            <w:gridSpan w:val="2"/>
            <w:noWrap/>
            <w:vAlign w:val="center"/>
          </w:tcPr>
          <w:p w14:paraId="7D8EAB59">
            <w:pPr>
              <w:pStyle w:val="43"/>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电子邮箱</w:t>
            </w:r>
          </w:p>
        </w:tc>
        <w:tc>
          <w:tcPr>
            <w:tcW w:w="2468" w:type="dxa"/>
            <w:gridSpan w:val="3"/>
            <w:noWrap/>
            <w:vAlign w:val="center"/>
          </w:tcPr>
          <w:p w14:paraId="44C31D6F">
            <w:pPr>
              <w:pStyle w:val="43"/>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r>
      <w:tr w14:paraId="46A94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exact"/>
          <w:jc w:val="center"/>
        </w:trPr>
        <w:tc>
          <w:tcPr>
            <w:tcW w:w="1536" w:type="dxa"/>
            <w:noWrap/>
            <w:vAlign w:val="center"/>
          </w:tcPr>
          <w:p w14:paraId="13BED66B">
            <w:pPr>
              <w:pStyle w:val="43"/>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单位性质</w:t>
            </w:r>
          </w:p>
        </w:tc>
        <w:tc>
          <w:tcPr>
            <w:tcW w:w="7263" w:type="dxa"/>
            <w:gridSpan w:val="8"/>
            <w:noWrap/>
            <w:vAlign w:val="center"/>
          </w:tcPr>
          <w:p w14:paraId="18E12F01">
            <w:pPr>
              <w:pStyle w:val="43"/>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r>
      <w:tr w14:paraId="54AA9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exact"/>
          <w:jc w:val="center"/>
        </w:trPr>
        <w:tc>
          <w:tcPr>
            <w:tcW w:w="1536" w:type="dxa"/>
            <w:noWrap/>
            <w:vAlign w:val="center"/>
          </w:tcPr>
          <w:p w14:paraId="35041117">
            <w:pPr>
              <w:pStyle w:val="43"/>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法定代表人</w:t>
            </w:r>
          </w:p>
        </w:tc>
        <w:tc>
          <w:tcPr>
            <w:tcW w:w="1537" w:type="dxa"/>
            <w:noWrap/>
            <w:vAlign w:val="center"/>
          </w:tcPr>
          <w:p w14:paraId="3C89A138">
            <w:pPr>
              <w:pStyle w:val="43"/>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姓名</w:t>
            </w:r>
          </w:p>
        </w:tc>
        <w:tc>
          <w:tcPr>
            <w:tcW w:w="1137" w:type="dxa"/>
            <w:noWrap/>
            <w:vAlign w:val="center"/>
          </w:tcPr>
          <w:p w14:paraId="692AF9CB">
            <w:pPr>
              <w:pStyle w:val="43"/>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c>
          <w:tcPr>
            <w:tcW w:w="1290" w:type="dxa"/>
            <w:gridSpan w:val="2"/>
            <w:noWrap/>
            <w:vAlign w:val="center"/>
          </w:tcPr>
          <w:p w14:paraId="2074D5CA">
            <w:pPr>
              <w:pStyle w:val="43"/>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技术职称</w:t>
            </w:r>
          </w:p>
        </w:tc>
        <w:tc>
          <w:tcPr>
            <w:tcW w:w="1098" w:type="dxa"/>
            <w:gridSpan w:val="2"/>
            <w:noWrap/>
            <w:vAlign w:val="center"/>
          </w:tcPr>
          <w:p w14:paraId="5520AFAA">
            <w:pPr>
              <w:pStyle w:val="43"/>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c>
          <w:tcPr>
            <w:tcW w:w="733" w:type="dxa"/>
            <w:noWrap/>
            <w:vAlign w:val="center"/>
          </w:tcPr>
          <w:p w14:paraId="3E1A2552">
            <w:pPr>
              <w:pStyle w:val="43"/>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电话</w:t>
            </w:r>
          </w:p>
        </w:tc>
        <w:tc>
          <w:tcPr>
            <w:tcW w:w="1468" w:type="dxa"/>
            <w:noWrap/>
            <w:vAlign w:val="center"/>
          </w:tcPr>
          <w:p w14:paraId="46DEE77C">
            <w:pPr>
              <w:pStyle w:val="43"/>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r>
      <w:tr w14:paraId="5F286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exact"/>
          <w:jc w:val="center"/>
        </w:trPr>
        <w:tc>
          <w:tcPr>
            <w:tcW w:w="1536" w:type="dxa"/>
            <w:noWrap/>
            <w:vAlign w:val="center"/>
          </w:tcPr>
          <w:p w14:paraId="03DF737B">
            <w:pPr>
              <w:pStyle w:val="43"/>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成立时间</w:t>
            </w:r>
          </w:p>
        </w:tc>
        <w:tc>
          <w:tcPr>
            <w:tcW w:w="2674" w:type="dxa"/>
            <w:gridSpan w:val="2"/>
            <w:noWrap/>
            <w:vAlign w:val="center"/>
          </w:tcPr>
          <w:p w14:paraId="5D1CC060">
            <w:pPr>
              <w:pStyle w:val="43"/>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c>
          <w:tcPr>
            <w:tcW w:w="4589" w:type="dxa"/>
            <w:gridSpan w:val="6"/>
            <w:noWrap/>
            <w:vAlign w:val="center"/>
          </w:tcPr>
          <w:p w14:paraId="547C094B">
            <w:pPr>
              <w:pStyle w:val="43"/>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员工总人数（个）：</w:t>
            </w:r>
          </w:p>
        </w:tc>
      </w:tr>
      <w:tr w14:paraId="360E6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exact"/>
          <w:jc w:val="center"/>
        </w:trPr>
        <w:tc>
          <w:tcPr>
            <w:tcW w:w="1536" w:type="dxa"/>
            <w:noWrap/>
            <w:vAlign w:val="center"/>
          </w:tcPr>
          <w:p w14:paraId="43C9CD15">
            <w:pPr>
              <w:pStyle w:val="43"/>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企业资质</w:t>
            </w:r>
          </w:p>
          <w:p w14:paraId="2DA599A3">
            <w:pPr>
              <w:pStyle w:val="43"/>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类型和等级</w:t>
            </w:r>
          </w:p>
        </w:tc>
        <w:tc>
          <w:tcPr>
            <w:tcW w:w="2674" w:type="dxa"/>
            <w:gridSpan w:val="2"/>
            <w:noWrap/>
            <w:vAlign w:val="center"/>
          </w:tcPr>
          <w:p w14:paraId="435587D3">
            <w:pPr>
              <w:pStyle w:val="43"/>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c>
          <w:tcPr>
            <w:tcW w:w="1290" w:type="dxa"/>
            <w:gridSpan w:val="2"/>
            <w:vMerge w:val="restart"/>
            <w:noWrap/>
            <w:vAlign w:val="center"/>
          </w:tcPr>
          <w:p w14:paraId="64161980">
            <w:pPr>
              <w:pStyle w:val="43"/>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其中</w:t>
            </w:r>
          </w:p>
        </w:tc>
        <w:tc>
          <w:tcPr>
            <w:tcW w:w="1831" w:type="dxa"/>
            <w:gridSpan w:val="3"/>
            <w:noWrap/>
            <w:vAlign w:val="center"/>
          </w:tcPr>
          <w:p w14:paraId="1585BAA8">
            <w:pPr>
              <w:pStyle w:val="43"/>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项目经理</w:t>
            </w:r>
          </w:p>
        </w:tc>
        <w:tc>
          <w:tcPr>
            <w:tcW w:w="1468" w:type="dxa"/>
            <w:noWrap/>
            <w:vAlign w:val="center"/>
          </w:tcPr>
          <w:p w14:paraId="33668F7C">
            <w:pPr>
              <w:pStyle w:val="43"/>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r>
      <w:tr w14:paraId="1633D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exact"/>
          <w:jc w:val="center"/>
        </w:trPr>
        <w:tc>
          <w:tcPr>
            <w:tcW w:w="1536" w:type="dxa"/>
            <w:noWrap/>
            <w:vAlign w:val="center"/>
          </w:tcPr>
          <w:p w14:paraId="364B8632">
            <w:pPr>
              <w:pStyle w:val="43"/>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营业执照号</w:t>
            </w:r>
          </w:p>
        </w:tc>
        <w:tc>
          <w:tcPr>
            <w:tcW w:w="2674" w:type="dxa"/>
            <w:gridSpan w:val="2"/>
            <w:noWrap/>
            <w:vAlign w:val="center"/>
          </w:tcPr>
          <w:p w14:paraId="3661E2AE">
            <w:pPr>
              <w:pStyle w:val="43"/>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c>
          <w:tcPr>
            <w:tcW w:w="1290" w:type="dxa"/>
            <w:gridSpan w:val="2"/>
            <w:vMerge w:val="continue"/>
            <w:noWrap/>
            <w:vAlign w:val="center"/>
          </w:tcPr>
          <w:p w14:paraId="1E22C194">
            <w:pPr>
              <w:pStyle w:val="43"/>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c>
          <w:tcPr>
            <w:tcW w:w="1831" w:type="dxa"/>
            <w:gridSpan w:val="3"/>
            <w:noWrap/>
            <w:vAlign w:val="center"/>
          </w:tcPr>
          <w:p w14:paraId="206E84F0">
            <w:pPr>
              <w:pStyle w:val="43"/>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高级职称人员</w:t>
            </w:r>
          </w:p>
        </w:tc>
        <w:tc>
          <w:tcPr>
            <w:tcW w:w="1468" w:type="dxa"/>
            <w:noWrap/>
            <w:vAlign w:val="center"/>
          </w:tcPr>
          <w:p w14:paraId="0C76BE91">
            <w:pPr>
              <w:pStyle w:val="43"/>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r>
      <w:tr w14:paraId="5008C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exact"/>
          <w:jc w:val="center"/>
        </w:trPr>
        <w:tc>
          <w:tcPr>
            <w:tcW w:w="1536" w:type="dxa"/>
            <w:noWrap/>
            <w:vAlign w:val="center"/>
          </w:tcPr>
          <w:p w14:paraId="407B426D">
            <w:pPr>
              <w:pStyle w:val="43"/>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注册资金</w:t>
            </w:r>
          </w:p>
        </w:tc>
        <w:tc>
          <w:tcPr>
            <w:tcW w:w="2674" w:type="dxa"/>
            <w:gridSpan w:val="2"/>
            <w:noWrap/>
            <w:vAlign w:val="center"/>
          </w:tcPr>
          <w:p w14:paraId="275B6FE6">
            <w:pPr>
              <w:pStyle w:val="43"/>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c>
          <w:tcPr>
            <w:tcW w:w="1290" w:type="dxa"/>
            <w:gridSpan w:val="2"/>
            <w:vMerge w:val="continue"/>
            <w:noWrap/>
            <w:vAlign w:val="center"/>
          </w:tcPr>
          <w:p w14:paraId="71E4C8E1">
            <w:pPr>
              <w:pStyle w:val="43"/>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c>
          <w:tcPr>
            <w:tcW w:w="1831" w:type="dxa"/>
            <w:gridSpan w:val="3"/>
            <w:noWrap/>
            <w:vAlign w:val="center"/>
          </w:tcPr>
          <w:p w14:paraId="6596F59D">
            <w:pPr>
              <w:pStyle w:val="43"/>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中级职称人员</w:t>
            </w:r>
          </w:p>
        </w:tc>
        <w:tc>
          <w:tcPr>
            <w:tcW w:w="1468" w:type="dxa"/>
            <w:noWrap/>
            <w:vAlign w:val="center"/>
          </w:tcPr>
          <w:p w14:paraId="443F8464">
            <w:pPr>
              <w:pStyle w:val="43"/>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r>
      <w:tr w14:paraId="26FC6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1536" w:type="dxa"/>
            <w:noWrap/>
            <w:vAlign w:val="center"/>
          </w:tcPr>
          <w:p w14:paraId="5CD56260">
            <w:pPr>
              <w:pStyle w:val="43"/>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基本账户</w:t>
            </w:r>
          </w:p>
          <w:p w14:paraId="5E6EFF70">
            <w:pPr>
              <w:pStyle w:val="43"/>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开户银行</w:t>
            </w:r>
          </w:p>
        </w:tc>
        <w:tc>
          <w:tcPr>
            <w:tcW w:w="2674" w:type="dxa"/>
            <w:gridSpan w:val="2"/>
            <w:noWrap/>
            <w:vAlign w:val="center"/>
          </w:tcPr>
          <w:p w14:paraId="35963BB3">
            <w:pPr>
              <w:pStyle w:val="43"/>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c>
          <w:tcPr>
            <w:tcW w:w="1290" w:type="dxa"/>
            <w:gridSpan w:val="2"/>
            <w:vMerge w:val="continue"/>
            <w:noWrap/>
            <w:vAlign w:val="center"/>
          </w:tcPr>
          <w:p w14:paraId="451799AF">
            <w:pPr>
              <w:pStyle w:val="43"/>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c>
          <w:tcPr>
            <w:tcW w:w="1831" w:type="dxa"/>
            <w:gridSpan w:val="3"/>
            <w:noWrap/>
            <w:vAlign w:val="center"/>
          </w:tcPr>
          <w:p w14:paraId="1C90B777">
            <w:pPr>
              <w:pStyle w:val="43"/>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初级职称人员</w:t>
            </w:r>
          </w:p>
        </w:tc>
        <w:tc>
          <w:tcPr>
            <w:tcW w:w="1468" w:type="dxa"/>
            <w:noWrap/>
            <w:vAlign w:val="center"/>
          </w:tcPr>
          <w:p w14:paraId="5185F20C">
            <w:pPr>
              <w:pStyle w:val="43"/>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r>
      <w:tr w14:paraId="1A1E4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exact"/>
          <w:jc w:val="center"/>
        </w:trPr>
        <w:tc>
          <w:tcPr>
            <w:tcW w:w="1536" w:type="dxa"/>
            <w:noWrap/>
            <w:vAlign w:val="center"/>
          </w:tcPr>
          <w:p w14:paraId="5F1EB85C">
            <w:pPr>
              <w:pStyle w:val="43"/>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基本账户</w:t>
            </w:r>
          </w:p>
          <w:p w14:paraId="59540401">
            <w:pPr>
              <w:pStyle w:val="43"/>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银行账号</w:t>
            </w:r>
          </w:p>
        </w:tc>
        <w:tc>
          <w:tcPr>
            <w:tcW w:w="2674" w:type="dxa"/>
            <w:gridSpan w:val="2"/>
            <w:noWrap/>
            <w:vAlign w:val="center"/>
          </w:tcPr>
          <w:p w14:paraId="6EEEA4D0">
            <w:pPr>
              <w:pStyle w:val="43"/>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c>
          <w:tcPr>
            <w:tcW w:w="1290" w:type="dxa"/>
            <w:gridSpan w:val="2"/>
            <w:vMerge w:val="continue"/>
            <w:noWrap/>
            <w:vAlign w:val="center"/>
          </w:tcPr>
          <w:p w14:paraId="730649CA">
            <w:pPr>
              <w:pStyle w:val="43"/>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c>
          <w:tcPr>
            <w:tcW w:w="1831" w:type="dxa"/>
            <w:gridSpan w:val="3"/>
            <w:noWrap/>
            <w:vAlign w:val="center"/>
          </w:tcPr>
          <w:p w14:paraId="283128EF">
            <w:pPr>
              <w:pStyle w:val="43"/>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技术员</w:t>
            </w:r>
          </w:p>
        </w:tc>
        <w:tc>
          <w:tcPr>
            <w:tcW w:w="1468" w:type="dxa"/>
            <w:noWrap/>
            <w:vAlign w:val="center"/>
          </w:tcPr>
          <w:p w14:paraId="13BB8B81">
            <w:pPr>
              <w:pStyle w:val="43"/>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r>
      <w:tr w14:paraId="7745C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exact"/>
          <w:jc w:val="center"/>
        </w:trPr>
        <w:tc>
          <w:tcPr>
            <w:tcW w:w="1536" w:type="dxa"/>
            <w:noWrap/>
            <w:vAlign w:val="center"/>
          </w:tcPr>
          <w:p w14:paraId="653E3CAE">
            <w:pPr>
              <w:pStyle w:val="43"/>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经营范围</w:t>
            </w:r>
          </w:p>
        </w:tc>
        <w:tc>
          <w:tcPr>
            <w:tcW w:w="7263" w:type="dxa"/>
            <w:gridSpan w:val="8"/>
            <w:noWrap/>
            <w:vAlign w:val="center"/>
          </w:tcPr>
          <w:p w14:paraId="790185DB">
            <w:pPr>
              <w:pStyle w:val="43"/>
              <w:wordWrap w:val="0"/>
              <w:adjustRightInd w:val="0"/>
              <w:snapToGrid w:val="0"/>
              <w:jc w:val="left"/>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r>
      <w:tr w14:paraId="1CCBE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1" w:hRule="atLeast"/>
          <w:jc w:val="center"/>
        </w:trPr>
        <w:tc>
          <w:tcPr>
            <w:tcW w:w="1536" w:type="dxa"/>
            <w:noWrap/>
            <w:vAlign w:val="center"/>
          </w:tcPr>
          <w:p w14:paraId="2BB6AB5C">
            <w:pPr>
              <w:pStyle w:val="43"/>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关联企业情况</w:t>
            </w:r>
          </w:p>
        </w:tc>
        <w:tc>
          <w:tcPr>
            <w:tcW w:w="7263" w:type="dxa"/>
            <w:gridSpan w:val="8"/>
            <w:noWrap/>
            <w:vAlign w:val="center"/>
          </w:tcPr>
          <w:p w14:paraId="6EE38209">
            <w:pPr>
              <w:pStyle w:val="43"/>
              <w:wordWrap w:val="0"/>
              <w:adjustRightInd w:val="0"/>
              <w:snapToGrid w:val="0"/>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包括但不限于与投标人存在以下关系的不同单位：</w:t>
            </w:r>
          </w:p>
          <w:p w14:paraId="1844A97D">
            <w:pPr>
              <w:pStyle w:val="43"/>
              <w:wordWrap w:val="0"/>
              <w:adjustRightInd w:val="0"/>
              <w:snapToGrid w:val="0"/>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1．法定代表人为同一人的。</w:t>
            </w:r>
          </w:p>
          <w:p w14:paraId="643D42A4">
            <w:pPr>
              <w:pStyle w:val="43"/>
              <w:wordWrap w:val="0"/>
              <w:adjustRightInd w:val="0"/>
              <w:snapToGrid w:val="0"/>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2．存在控股、管理关系的。</w:t>
            </w:r>
          </w:p>
          <w:p w14:paraId="1EAED253">
            <w:pPr>
              <w:pStyle w:val="43"/>
              <w:wordWrap w:val="0"/>
              <w:adjustRightInd w:val="0"/>
              <w:snapToGrid w:val="0"/>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3．主要人员相互任职的。</w:t>
            </w:r>
          </w:p>
        </w:tc>
      </w:tr>
      <w:tr w14:paraId="7A1C0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536" w:type="dxa"/>
            <w:noWrap/>
            <w:vAlign w:val="center"/>
          </w:tcPr>
          <w:p w14:paraId="1D753AD6">
            <w:pPr>
              <w:pStyle w:val="43"/>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备注</w:t>
            </w:r>
          </w:p>
        </w:tc>
        <w:tc>
          <w:tcPr>
            <w:tcW w:w="7263" w:type="dxa"/>
            <w:gridSpan w:val="8"/>
            <w:noWrap/>
            <w:vAlign w:val="center"/>
          </w:tcPr>
          <w:p w14:paraId="6D279D12">
            <w:pPr>
              <w:pStyle w:val="43"/>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r>
    </w:tbl>
    <w:p w14:paraId="7B89B98D">
      <w:pPr>
        <w:pStyle w:val="43"/>
        <w:wordWrap w:val="0"/>
        <w:adjustRightInd w:val="0"/>
        <w:snapToGrid w:val="0"/>
        <w:spacing w:line="400" w:lineRule="exact"/>
        <w:ind w:firstLine="480" w:firstLineChars="200"/>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说明：</w:t>
      </w:r>
    </w:p>
    <w:bookmarkEnd w:id="502"/>
    <w:bookmarkEnd w:id="503"/>
    <w:bookmarkEnd w:id="504"/>
    <w:bookmarkEnd w:id="505"/>
    <w:bookmarkEnd w:id="506"/>
    <w:p w14:paraId="3825431F">
      <w:pPr>
        <w:pStyle w:val="47"/>
        <w:widowControl w:val="0"/>
        <w:wordWrap w:val="0"/>
        <w:adjustRightInd w:val="0"/>
        <w:snapToGrid w:val="0"/>
        <w:spacing w:line="400" w:lineRule="exact"/>
        <w:rPr>
          <w:rFonts w:hint="eastAsia" w:asciiTheme="minorEastAsia" w:hAnsiTheme="minorEastAsia" w:eastAsiaTheme="minorEastAsia" w:cstheme="minorEastAsia"/>
          <w:snapToGrid w:val="0"/>
          <w:color w:val="000000" w:themeColor="text1"/>
          <w:sz w:val="21"/>
          <w:szCs w:val="21"/>
          <w:highlight w:val="none"/>
          <w14:textFill>
            <w14:solidFill>
              <w14:schemeClr w14:val="tx1"/>
            </w14:solidFill>
          </w14:textFill>
        </w:rPr>
      </w:pPr>
      <w:bookmarkStart w:id="553" w:name="_Toc1659"/>
      <w:bookmarkStart w:id="554" w:name="_Toc534641863"/>
      <w:bookmarkStart w:id="555" w:name="_Toc535300004"/>
      <w:bookmarkStart w:id="556" w:name="_Toc48547015"/>
      <w:bookmarkStart w:id="557" w:name="_Toc210101349"/>
      <w:bookmarkStart w:id="558" w:name="_Toc118541763"/>
      <w:r>
        <w:rPr>
          <w:rFonts w:hint="eastAsia" w:asciiTheme="minorEastAsia" w:hAnsiTheme="minorEastAsia" w:eastAsiaTheme="minorEastAsia" w:cstheme="minorEastAsia"/>
          <w:snapToGrid w:val="0"/>
          <w:color w:val="000000" w:themeColor="text1"/>
          <w:sz w:val="21"/>
          <w:szCs w:val="21"/>
          <w:highlight w:val="none"/>
          <w14:textFill>
            <w14:solidFill>
              <w14:schemeClr w14:val="tx1"/>
            </w14:solidFill>
          </w14:textFill>
        </w:rPr>
        <w:t>1．《投标人基本情况表》后应附以下资料：</w:t>
      </w:r>
    </w:p>
    <w:p w14:paraId="663DA07C">
      <w:pPr>
        <w:pStyle w:val="47"/>
        <w:keepNext w:val="0"/>
        <w:keepLines w:val="0"/>
        <w:pageBreakBefore w:val="0"/>
        <w:widowControl w:val="0"/>
        <w:kinsoku/>
        <w:wordWrap w:val="0"/>
        <w:overflowPunct/>
        <w:topLinePunct w:val="0"/>
        <w:autoSpaceDE/>
        <w:autoSpaceDN/>
        <w:bidi w:val="0"/>
        <w:adjustRightInd w:val="0"/>
        <w:snapToGrid w:val="0"/>
        <w:spacing w:line="360" w:lineRule="exact"/>
        <w:ind w:firstLine="420"/>
        <w:textAlignment w:val="auto"/>
        <w:rPr>
          <w:rFonts w:hint="eastAsia" w:asciiTheme="minorEastAsia" w:hAnsiTheme="minorEastAsia" w:eastAsiaTheme="minorEastAsia" w:cstheme="minorEastAsia"/>
          <w:snapToGrid w:val="0"/>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sz w:val="21"/>
          <w:szCs w:val="21"/>
          <w:highlight w:val="none"/>
          <w14:textFill>
            <w14:solidFill>
              <w14:schemeClr w14:val="tx1"/>
            </w14:solidFill>
          </w14:textFill>
        </w:rPr>
        <w:t>（1）企业营业执照、资质证书、安全生产许可证</w:t>
      </w:r>
      <w:r>
        <w:rPr>
          <w:rFonts w:hint="eastAsia" w:asciiTheme="minorEastAsia" w:hAnsiTheme="minorEastAsia" w:eastAsiaTheme="minorEastAsia" w:cstheme="minorEastAsia"/>
          <w:snapToGrid w:val="0"/>
          <w:color w:val="000000" w:themeColor="text1"/>
          <w:sz w:val="21"/>
          <w:szCs w:val="21"/>
          <w:highlight w:val="none"/>
          <w:lang w:eastAsia="zh-CN"/>
          <w14:textFill>
            <w14:solidFill>
              <w14:schemeClr w14:val="tx1"/>
            </w14:solidFill>
          </w14:textFill>
        </w:rPr>
        <w:t>（</w:t>
      </w:r>
      <w:r>
        <w:rPr>
          <w:rFonts w:hint="eastAsia" w:asciiTheme="minorEastAsia" w:hAnsiTheme="minorEastAsia" w:eastAsiaTheme="minorEastAsia" w:cstheme="minorEastAsia"/>
          <w:snapToGrid w:val="0"/>
          <w:color w:val="000000" w:themeColor="text1"/>
          <w:sz w:val="21"/>
          <w:szCs w:val="21"/>
          <w:highlight w:val="none"/>
          <w:lang w:val="en-US" w:eastAsia="zh-CN"/>
          <w14:textFill>
            <w14:solidFill>
              <w14:schemeClr w14:val="tx1"/>
            </w14:solidFill>
          </w14:textFill>
        </w:rPr>
        <w:t>施工企业提供</w:t>
      </w:r>
      <w:r>
        <w:rPr>
          <w:rFonts w:hint="eastAsia" w:asciiTheme="minorEastAsia" w:hAnsiTheme="minorEastAsia" w:eastAsiaTheme="minorEastAsia" w:cstheme="minorEastAsia"/>
          <w:snapToGrid w:val="0"/>
          <w:color w:val="000000" w:themeColor="text1"/>
          <w:sz w:val="21"/>
          <w:szCs w:val="21"/>
          <w:highlight w:val="none"/>
          <w:lang w:eastAsia="zh-CN"/>
          <w14:textFill>
            <w14:solidFill>
              <w14:schemeClr w14:val="tx1"/>
            </w14:solidFill>
          </w14:textFill>
        </w:rPr>
        <w:t>）</w:t>
      </w:r>
      <w:r>
        <w:rPr>
          <w:rFonts w:hint="eastAsia" w:asciiTheme="minorEastAsia" w:hAnsiTheme="minorEastAsia" w:eastAsiaTheme="minorEastAsia" w:cstheme="minorEastAsia"/>
          <w:snapToGrid w:val="0"/>
          <w:color w:val="000000" w:themeColor="text1"/>
          <w:sz w:val="21"/>
          <w:szCs w:val="21"/>
          <w:highlight w:val="none"/>
          <w14:textFill>
            <w14:solidFill>
              <w14:schemeClr w14:val="tx1"/>
            </w14:solidFill>
          </w14:textFill>
        </w:rPr>
        <w:t>的</w:t>
      </w:r>
      <w:r>
        <w:rPr>
          <w:rFonts w:hint="eastAsia" w:asciiTheme="minorEastAsia" w:hAnsiTheme="minorEastAsia" w:eastAsiaTheme="minorEastAsia" w:cstheme="minorEastAsia"/>
          <w:snapToGrid w:val="0"/>
          <w:color w:val="000000" w:themeColor="text1"/>
          <w:sz w:val="21"/>
          <w:szCs w:val="21"/>
          <w:highlight w:val="none"/>
          <w:lang w:val="en-US" w:eastAsia="zh-CN"/>
          <w14:textFill>
            <w14:solidFill>
              <w14:schemeClr w14:val="tx1"/>
            </w14:solidFill>
          </w14:textFill>
        </w:rPr>
        <w:t>扫描</w:t>
      </w:r>
      <w:r>
        <w:rPr>
          <w:rFonts w:hint="eastAsia" w:asciiTheme="minorEastAsia" w:hAnsiTheme="minorEastAsia" w:eastAsiaTheme="minorEastAsia" w:cstheme="minorEastAsia"/>
          <w:snapToGrid w:val="0"/>
          <w:color w:val="000000" w:themeColor="text1"/>
          <w:sz w:val="21"/>
          <w:szCs w:val="21"/>
          <w:highlight w:val="none"/>
          <w14:textFill>
            <w14:solidFill>
              <w14:schemeClr w14:val="tx1"/>
            </w14:solidFill>
          </w14:textFill>
        </w:rPr>
        <w:t>件</w:t>
      </w:r>
      <w:r>
        <w:rPr>
          <w:rFonts w:hint="eastAsia" w:asciiTheme="minorEastAsia" w:hAnsiTheme="minorEastAsia" w:eastAsiaTheme="minorEastAsia" w:cstheme="minorEastAsia"/>
          <w:b w:val="0"/>
          <w:bCs w:val="0"/>
          <w:snapToGrid w:val="0"/>
          <w:color w:val="000000" w:themeColor="text1"/>
          <w:sz w:val="21"/>
          <w:szCs w:val="21"/>
          <w:highlight w:val="none"/>
          <w14:textFill>
            <w14:solidFill>
              <w14:schemeClr w14:val="tx1"/>
            </w14:solidFill>
          </w14:textFill>
        </w:rPr>
        <w:t>（因推行电子证照，企业的营业执照、资质证书等可以提供电子证照。为实时掌握项目</w:t>
      </w:r>
      <w:r>
        <w:rPr>
          <w:rFonts w:hint="eastAsia" w:asciiTheme="minorEastAsia" w:hAnsiTheme="minorEastAsia" w:eastAsiaTheme="minorEastAsia" w:cstheme="minorEastAsia"/>
          <w:b/>
          <w:bCs/>
          <w:snapToGrid w:val="0"/>
          <w:color w:val="000000" w:themeColor="text1"/>
          <w:sz w:val="21"/>
          <w:szCs w:val="21"/>
          <w:highlight w:val="none"/>
          <w14:textFill>
            <w14:solidFill>
              <w14:schemeClr w14:val="tx1"/>
            </w14:solidFill>
          </w14:textFill>
        </w:rPr>
        <w:t>投标单位的是否具备企业安全生产条件，企业的安全生产许可证需提供企业实时网页查询页，实时查询页的打印时间应在项目招标公告发布之日起至开标前。如中标后，投标单位安全生产许可证发生被暂扣情形，需双方另行协商）；</w:t>
      </w:r>
    </w:p>
    <w:p w14:paraId="21234B0F">
      <w:pPr>
        <w:pStyle w:val="47"/>
        <w:widowControl w:val="0"/>
        <w:wordWrap w:val="0"/>
        <w:adjustRightInd w:val="0"/>
        <w:snapToGrid w:val="0"/>
        <w:spacing w:line="400" w:lineRule="exact"/>
        <w:rPr>
          <w:rFonts w:hint="eastAsia" w:asciiTheme="minorEastAsia" w:hAnsiTheme="minorEastAsia" w:eastAsiaTheme="minorEastAsia" w:cstheme="minorEastAsia"/>
          <w:snapToGrid w:val="0"/>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sz w:val="21"/>
          <w:szCs w:val="21"/>
          <w:highlight w:val="none"/>
          <w14:textFill>
            <w14:solidFill>
              <w14:schemeClr w14:val="tx1"/>
            </w14:solidFill>
          </w14:textFill>
        </w:rPr>
        <w:t>（2）外省建筑企业须提供“进粤企业和人员诚信信息登记平台”企业信息情况打印页或网页截图。</w:t>
      </w:r>
    </w:p>
    <w:p w14:paraId="4D00A3DC">
      <w:pPr>
        <w:pStyle w:val="47"/>
        <w:widowControl w:val="0"/>
        <w:wordWrap w:val="0"/>
        <w:adjustRightInd w:val="0"/>
        <w:snapToGrid w:val="0"/>
        <w:spacing w:line="400" w:lineRule="exact"/>
        <w:rPr>
          <w:rFonts w:hint="eastAsia" w:asciiTheme="minorEastAsia" w:hAnsiTheme="minorEastAsia" w:eastAsiaTheme="minorEastAsia" w:cstheme="minorEastAsia"/>
          <w:snapToGrid w:val="0"/>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sz w:val="21"/>
          <w:szCs w:val="21"/>
          <w:highlight w:val="none"/>
          <w14:textFill>
            <w14:solidFill>
              <w14:schemeClr w14:val="tx1"/>
            </w14:solidFill>
          </w14:textFill>
        </w:rPr>
        <w:t>2．联合体投标的，联合体成员单位均应填写《投标人基本情况表》并提供以上所需资料。</w:t>
      </w:r>
    </w:p>
    <w:p w14:paraId="3F793927">
      <w:pPr>
        <w:pStyle w:val="47"/>
        <w:widowControl w:val="0"/>
        <w:wordWrap w:val="0"/>
        <w:adjustRightInd w:val="0"/>
        <w:snapToGrid w:val="0"/>
        <w:spacing w:line="400" w:lineRule="exact"/>
        <w:rPr>
          <w:rFonts w:hint="eastAsia" w:asciiTheme="minorEastAsia" w:hAnsiTheme="minorEastAsia" w:eastAsiaTheme="minorEastAsia" w:cstheme="minorEastAsia"/>
          <w:snapToGrid w:val="0"/>
          <w:color w:val="000000" w:themeColor="text1"/>
          <w:sz w:val="21"/>
          <w:szCs w:val="21"/>
          <w:highlight w:val="none"/>
          <w14:textFill>
            <w14:solidFill>
              <w14:schemeClr w14:val="tx1"/>
            </w14:solidFill>
          </w14:textFill>
        </w:rPr>
        <w:sectPr>
          <w:endnotePr>
            <w:numFmt w:val="decimal"/>
          </w:endnotePr>
          <w:pgSz w:w="11906" w:h="16838"/>
          <w:pgMar w:top="1221" w:right="1531" w:bottom="1417" w:left="1531" w:header="850" w:footer="992" w:gutter="0"/>
          <w:pgNumType w:fmt="decimal"/>
          <w:cols w:space="720" w:num="1"/>
          <w:docGrid w:linePitch="327" w:charSpace="0"/>
        </w:sectPr>
      </w:pPr>
      <w:r>
        <w:rPr>
          <w:rFonts w:hint="eastAsia" w:asciiTheme="minorEastAsia" w:hAnsiTheme="minorEastAsia" w:eastAsiaTheme="minorEastAsia" w:cstheme="minorEastAsia"/>
          <w:snapToGrid w:val="0"/>
          <w:color w:val="000000" w:themeColor="text1"/>
          <w:sz w:val="21"/>
          <w:szCs w:val="21"/>
          <w:highlight w:val="none"/>
          <w14:textFill>
            <w14:solidFill>
              <w14:schemeClr w14:val="tx1"/>
            </w14:solidFill>
          </w14:textFill>
        </w:rPr>
        <w:t>3.《法人和非法人组织公共信用信息报告》打印件（在“信用中国”网站企业查询界面中下载）。</w:t>
      </w:r>
    </w:p>
    <w:p w14:paraId="046ADA4A">
      <w:pPr>
        <w:pStyle w:val="4"/>
        <w:spacing w:before="120"/>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bookmarkStart w:id="559" w:name="_Toc31366"/>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格式八 项目经理简历表</w:t>
      </w:r>
      <w:bookmarkEnd w:id="553"/>
      <w:bookmarkEnd w:id="559"/>
    </w:p>
    <w:p w14:paraId="2B375A7A">
      <w:pPr>
        <w:wordWrap w:val="0"/>
        <w:adjustRightInd w:val="0"/>
        <w:snapToGrid w:val="0"/>
        <w:spacing w:line="440" w:lineRule="exact"/>
        <w:jc w:val="left"/>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pPr>
    </w:p>
    <w:tbl>
      <w:tblPr>
        <w:tblStyle w:val="21"/>
        <w:tblpPr w:leftFromText="180" w:rightFromText="180" w:vertAnchor="text" w:horzAnchor="page" w:tblpX="1490" w:tblpY="692"/>
        <w:tblOverlap w:val="never"/>
        <w:tblW w:w="919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69"/>
        <w:gridCol w:w="955"/>
        <w:gridCol w:w="580"/>
        <w:gridCol w:w="642"/>
        <w:gridCol w:w="1284"/>
        <w:gridCol w:w="1931"/>
        <w:gridCol w:w="27"/>
        <w:gridCol w:w="1692"/>
        <w:gridCol w:w="1316"/>
      </w:tblGrid>
      <w:tr w14:paraId="215F8D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4" w:hRule="exact"/>
        </w:trPr>
        <w:tc>
          <w:tcPr>
            <w:tcW w:w="1724" w:type="dxa"/>
            <w:gridSpan w:val="2"/>
            <w:tcBorders>
              <w:top w:val="single" w:color="auto" w:sz="6" w:space="0"/>
              <w:left w:val="single" w:color="auto" w:sz="6" w:space="0"/>
              <w:bottom w:val="single" w:color="auto" w:sz="6" w:space="0"/>
              <w:right w:val="single" w:color="auto" w:sz="6" w:space="0"/>
            </w:tcBorders>
            <w:noWrap/>
            <w:vAlign w:val="center"/>
          </w:tcPr>
          <w:p w14:paraId="5B88326B">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姓   名</w:t>
            </w:r>
          </w:p>
        </w:tc>
        <w:tc>
          <w:tcPr>
            <w:tcW w:w="1222" w:type="dxa"/>
            <w:gridSpan w:val="2"/>
            <w:tcBorders>
              <w:top w:val="single" w:color="auto" w:sz="6" w:space="0"/>
              <w:left w:val="single" w:color="auto" w:sz="6" w:space="0"/>
              <w:bottom w:val="single" w:color="auto" w:sz="6" w:space="0"/>
              <w:right w:val="single" w:color="auto" w:sz="6" w:space="0"/>
            </w:tcBorders>
            <w:noWrap/>
            <w:vAlign w:val="center"/>
          </w:tcPr>
          <w:p w14:paraId="5FBC6872">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284" w:type="dxa"/>
            <w:tcBorders>
              <w:top w:val="single" w:color="auto" w:sz="6" w:space="0"/>
              <w:left w:val="single" w:color="auto" w:sz="6" w:space="0"/>
              <w:bottom w:val="single" w:color="auto" w:sz="6" w:space="0"/>
              <w:right w:val="single" w:color="auto" w:sz="6" w:space="0"/>
            </w:tcBorders>
            <w:noWrap/>
            <w:vAlign w:val="center"/>
          </w:tcPr>
          <w:p w14:paraId="18769080">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性  别</w:t>
            </w:r>
          </w:p>
        </w:tc>
        <w:tc>
          <w:tcPr>
            <w:tcW w:w="1931" w:type="dxa"/>
            <w:tcBorders>
              <w:top w:val="single" w:color="auto" w:sz="6" w:space="0"/>
              <w:left w:val="single" w:color="auto" w:sz="6" w:space="0"/>
              <w:bottom w:val="single" w:color="auto" w:sz="6" w:space="0"/>
              <w:right w:val="single" w:color="auto" w:sz="6" w:space="0"/>
            </w:tcBorders>
            <w:noWrap/>
            <w:vAlign w:val="center"/>
          </w:tcPr>
          <w:p w14:paraId="3DC7EB0D">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719" w:type="dxa"/>
            <w:gridSpan w:val="2"/>
            <w:tcBorders>
              <w:top w:val="single" w:color="auto" w:sz="6" w:space="0"/>
              <w:left w:val="single" w:color="auto" w:sz="6" w:space="0"/>
              <w:bottom w:val="single" w:color="auto" w:sz="6" w:space="0"/>
              <w:right w:val="single" w:color="auto" w:sz="6" w:space="0"/>
            </w:tcBorders>
            <w:noWrap/>
            <w:vAlign w:val="center"/>
          </w:tcPr>
          <w:p w14:paraId="5EDD0DF6">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年   龄</w:t>
            </w:r>
          </w:p>
        </w:tc>
        <w:tc>
          <w:tcPr>
            <w:tcW w:w="1316" w:type="dxa"/>
            <w:tcBorders>
              <w:top w:val="single" w:color="auto" w:sz="6" w:space="0"/>
              <w:left w:val="single" w:color="auto" w:sz="6" w:space="0"/>
              <w:bottom w:val="single" w:color="auto" w:sz="6" w:space="0"/>
              <w:right w:val="single" w:color="auto" w:sz="6" w:space="0"/>
            </w:tcBorders>
            <w:noWrap/>
            <w:vAlign w:val="center"/>
          </w:tcPr>
          <w:p w14:paraId="34CF2A23">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tr w14:paraId="258E73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4" w:hRule="exact"/>
        </w:trPr>
        <w:tc>
          <w:tcPr>
            <w:tcW w:w="1724" w:type="dxa"/>
            <w:gridSpan w:val="2"/>
            <w:tcBorders>
              <w:top w:val="single" w:color="auto" w:sz="6" w:space="0"/>
              <w:left w:val="single" w:color="auto" w:sz="6" w:space="0"/>
              <w:bottom w:val="single" w:color="auto" w:sz="6" w:space="0"/>
              <w:right w:val="single" w:color="auto" w:sz="6" w:space="0"/>
            </w:tcBorders>
            <w:noWrap/>
            <w:vAlign w:val="center"/>
          </w:tcPr>
          <w:p w14:paraId="051D1ACE">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职   务</w:t>
            </w:r>
          </w:p>
        </w:tc>
        <w:tc>
          <w:tcPr>
            <w:tcW w:w="1222" w:type="dxa"/>
            <w:gridSpan w:val="2"/>
            <w:tcBorders>
              <w:top w:val="single" w:color="auto" w:sz="6" w:space="0"/>
              <w:left w:val="single" w:color="auto" w:sz="6" w:space="0"/>
              <w:bottom w:val="single" w:color="auto" w:sz="6" w:space="0"/>
              <w:right w:val="single" w:color="auto" w:sz="6" w:space="0"/>
            </w:tcBorders>
            <w:noWrap/>
            <w:vAlign w:val="center"/>
          </w:tcPr>
          <w:p w14:paraId="549D4F72">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284" w:type="dxa"/>
            <w:tcBorders>
              <w:top w:val="single" w:color="auto" w:sz="6" w:space="0"/>
              <w:left w:val="single" w:color="auto" w:sz="6" w:space="0"/>
              <w:bottom w:val="single" w:color="auto" w:sz="6" w:space="0"/>
              <w:right w:val="single" w:color="auto" w:sz="6" w:space="0"/>
            </w:tcBorders>
            <w:noWrap/>
            <w:vAlign w:val="center"/>
          </w:tcPr>
          <w:p w14:paraId="2973DA62">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职  称</w:t>
            </w:r>
          </w:p>
        </w:tc>
        <w:tc>
          <w:tcPr>
            <w:tcW w:w="1931" w:type="dxa"/>
            <w:tcBorders>
              <w:top w:val="single" w:color="auto" w:sz="6" w:space="0"/>
              <w:left w:val="single" w:color="auto" w:sz="6" w:space="0"/>
              <w:bottom w:val="single" w:color="auto" w:sz="6" w:space="0"/>
              <w:right w:val="single" w:color="auto" w:sz="6" w:space="0"/>
            </w:tcBorders>
            <w:noWrap/>
            <w:vAlign w:val="center"/>
          </w:tcPr>
          <w:p w14:paraId="08BFF837">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719" w:type="dxa"/>
            <w:gridSpan w:val="2"/>
            <w:tcBorders>
              <w:top w:val="single" w:color="auto" w:sz="6" w:space="0"/>
              <w:left w:val="single" w:color="auto" w:sz="6" w:space="0"/>
              <w:bottom w:val="single" w:color="auto" w:sz="6" w:space="0"/>
              <w:right w:val="single" w:color="auto" w:sz="6" w:space="0"/>
            </w:tcBorders>
            <w:noWrap/>
            <w:vAlign w:val="center"/>
          </w:tcPr>
          <w:p w14:paraId="77F32BD0">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学   历</w:t>
            </w:r>
          </w:p>
        </w:tc>
        <w:tc>
          <w:tcPr>
            <w:tcW w:w="1316" w:type="dxa"/>
            <w:tcBorders>
              <w:top w:val="single" w:color="auto" w:sz="6" w:space="0"/>
              <w:left w:val="single" w:color="auto" w:sz="6" w:space="0"/>
              <w:bottom w:val="single" w:color="auto" w:sz="6" w:space="0"/>
              <w:right w:val="single" w:color="auto" w:sz="6" w:space="0"/>
            </w:tcBorders>
            <w:noWrap/>
            <w:vAlign w:val="center"/>
          </w:tcPr>
          <w:p w14:paraId="2B93C2F6">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tr w14:paraId="37F0C2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4" w:hRule="exact"/>
        </w:trPr>
        <w:tc>
          <w:tcPr>
            <w:tcW w:w="1724" w:type="dxa"/>
            <w:gridSpan w:val="2"/>
            <w:tcBorders>
              <w:top w:val="single" w:color="auto" w:sz="6" w:space="0"/>
              <w:left w:val="single" w:color="auto" w:sz="6" w:space="0"/>
              <w:bottom w:val="single" w:color="auto" w:sz="6" w:space="0"/>
              <w:right w:val="single" w:color="auto" w:sz="6" w:space="0"/>
            </w:tcBorders>
            <w:noWrap/>
            <w:vAlign w:val="center"/>
          </w:tcPr>
          <w:p w14:paraId="69DBFC41">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参加工作时间</w:t>
            </w:r>
          </w:p>
        </w:tc>
        <w:tc>
          <w:tcPr>
            <w:tcW w:w="2506" w:type="dxa"/>
            <w:gridSpan w:val="3"/>
            <w:tcBorders>
              <w:top w:val="single" w:color="auto" w:sz="6" w:space="0"/>
              <w:left w:val="single" w:color="auto" w:sz="6" w:space="0"/>
              <w:bottom w:val="single" w:color="auto" w:sz="6" w:space="0"/>
              <w:right w:val="single" w:color="auto" w:sz="6" w:space="0"/>
            </w:tcBorders>
            <w:noWrap/>
            <w:vAlign w:val="center"/>
          </w:tcPr>
          <w:p w14:paraId="7DDA83C1">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3650" w:type="dxa"/>
            <w:gridSpan w:val="3"/>
            <w:tcBorders>
              <w:top w:val="single" w:color="auto" w:sz="6" w:space="0"/>
              <w:left w:val="single" w:color="auto" w:sz="6" w:space="0"/>
              <w:bottom w:val="single" w:color="auto" w:sz="6" w:space="0"/>
              <w:right w:val="single" w:color="auto" w:sz="6" w:space="0"/>
            </w:tcBorders>
            <w:noWrap/>
            <w:vAlign w:val="center"/>
          </w:tcPr>
          <w:p w14:paraId="6FCC0322">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从事工程建设项目管理工作年限</w:t>
            </w:r>
          </w:p>
        </w:tc>
        <w:tc>
          <w:tcPr>
            <w:tcW w:w="1316" w:type="dxa"/>
            <w:tcBorders>
              <w:top w:val="single" w:color="auto" w:sz="6" w:space="0"/>
              <w:left w:val="single" w:color="auto" w:sz="6" w:space="0"/>
              <w:bottom w:val="single" w:color="auto" w:sz="6" w:space="0"/>
              <w:right w:val="single" w:color="auto" w:sz="6" w:space="0"/>
            </w:tcBorders>
            <w:noWrap/>
            <w:vAlign w:val="center"/>
          </w:tcPr>
          <w:p w14:paraId="2458BC55">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tr w14:paraId="32050B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4" w:hRule="exact"/>
        </w:trPr>
        <w:tc>
          <w:tcPr>
            <w:tcW w:w="9196" w:type="dxa"/>
            <w:gridSpan w:val="9"/>
            <w:tcBorders>
              <w:top w:val="single" w:color="auto" w:sz="6" w:space="0"/>
              <w:left w:val="single" w:color="auto" w:sz="6" w:space="0"/>
              <w:bottom w:val="single" w:color="auto" w:sz="6" w:space="0"/>
              <w:right w:val="single" w:color="auto" w:sz="6" w:space="0"/>
            </w:tcBorders>
            <w:noWrap/>
            <w:vAlign w:val="center"/>
          </w:tcPr>
          <w:p w14:paraId="356F2852">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以项目经理身份参与过的主要业绩（已完工项目）</w:t>
            </w:r>
          </w:p>
        </w:tc>
      </w:tr>
      <w:tr w14:paraId="6921A2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4" w:hRule="exact"/>
        </w:trPr>
        <w:tc>
          <w:tcPr>
            <w:tcW w:w="769" w:type="dxa"/>
            <w:tcBorders>
              <w:top w:val="single" w:color="auto" w:sz="6" w:space="0"/>
              <w:left w:val="single" w:color="auto" w:sz="6" w:space="0"/>
              <w:bottom w:val="single" w:color="auto" w:sz="6" w:space="0"/>
              <w:right w:val="single" w:color="auto" w:sz="4" w:space="0"/>
            </w:tcBorders>
            <w:noWrap/>
            <w:vAlign w:val="center"/>
          </w:tcPr>
          <w:p w14:paraId="627B6F9E">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序号</w:t>
            </w:r>
          </w:p>
        </w:tc>
        <w:tc>
          <w:tcPr>
            <w:tcW w:w="1535" w:type="dxa"/>
            <w:gridSpan w:val="2"/>
            <w:tcBorders>
              <w:top w:val="single" w:color="auto" w:sz="6" w:space="0"/>
              <w:left w:val="single" w:color="auto" w:sz="4" w:space="0"/>
              <w:bottom w:val="single" w:color="auto" w:sz="6" w:space="0"/>
              <w:right w:val="single" w:color="auto" w:sz="6" w:space="0"/>
            </w:tcBorders>
            <w:noWrap/>
            <w:vAlign w:val="center"/>
          </w:tcPr>
          <w:p w14:paraId="40136257">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项目名称</w:t>
            </w:r>
          </w:p>
        </w:tc>
        <w:tc>
          <w:tcPr>
            <w:tcW w:w="1926" w:type="dxa"/>
            <w:gridSpan w:val="2"/>
            <w:tcBorders>
              <w:top w:val="single" w:color="auto" w:sz="6" w:space="0"/>
              <w:left w:val="single" w:color="auto" w:sz="6" w:space="0"/>
              <w:bottom w:val="single" w:color="auto" w:sz="6" w:space="0"/>
              <w:right w:val="single" w:color="auto" w:sz="6" w:space="0"/>
            </w:tcBorders>
            <w:noWrap/>
            <w:vAlign w:val="center"/>
          </w:tcPr>
          <w:p w14:paraId="132CF8AB">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建设单位</w:t>
            </w:r>
          </w:p>
        </w:tc>
        <w:tc>
          <w:tcPr>
            <w:tcW w:w="1958" w:type="dxa"/>
            <w:gridSpan w:val="2"/>
            <w:tcBorders>
              <w:top w:val="single" w:color="auto" w:sz="6" w:space="0"/>
              <w:left w:val="single" w:color="auto" w:sz="6" w:space="0"/>
              <w:bottom w:val="single" w:color="auto" w:sz="6" w:space="0"/>
              <w:right w:val="single" w:color="auto" w:sz="6" w:space="0"/>
            </w:tcBorders>
            <w:noWrap/>
            <w:vAlign w:val="center"/>
          </w:tcPr>
          <w:p w14:paraId="676DA2EB">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建设内容和规模</w:t>
            </w:r>
          </w:p>
        </w:tc>
        <w:tc>
          <w:tcPr>
            <w:tcW w:w="1692" w:type="dxa"/>
            <w:tcBorders>
              <w:top w:val="single" w:color="auto" w:sz="6" w:space="0"/>
              <w:left w:val="single" w:color="auto" w:sz="6" w:space="0"/>
              <w:bottom w:val="single" w:color="auto" w:sz="6" w:space="0"/>
              <w:right w:val="single" w:color="auto" w:sz="6" w:space="0"/>
            </w:tcBorders>
            <w:noWrap/>
            <w:vAlign w:val="center"/>
          </w:tcPr>
          <w:p w14:paraId="657C2FDE">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开、竣工日期</w:t>
            </w:r>
          </w:p>
        </w:tc>
        <w:tc>
          <w:tcPr>
            <w:tcW w:w="1316" w:type="dxa"/>
            <w:tcBorders>
              <w:top w:val="single" w:color="auto" w:sz="6" w:space="0"/>
              <w:left w:val="single" w:color="auto" w:sz="6" w:space="0"/>
              <w:bottom w:val="single" w:color="auto" w:sz="6" w:space="0"/>
              <w:right w:val="single" w:color="auto" w:sz="6" w:space="0"/>
            </w:tcBorders>
            <w:noWrap/>
            <w:vAlign w:val="center"/>
          </w:tcPr>
          <w:p w14:paraId="1FD45D74">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质量等级</w:t>
            </w:r>
          </w:p>
        </w:tc>
      </w:tr>
      <w:tr w14:paraId="468EC3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4" w:hRule="exact"/>
        </w:trPr>
        <w:tc>
          <w:tcPr>
            <w:tcW w:w="769" w:type="dxa"/>
            <w:tcBorders>
              <w:top w:val="single" w:color="auto" w:sz="6" w:space="0"/>
              <w:left w:val="single" w:color="auto" w:sz="6" w:space="0"/>
              <w:bottom w:val="single" w:color="auto" w:sz="6" w:space="0"/>
              <w:right w:val="single" w:color="auto" w:sz="4" w:space="0"/>
            </w:tcBorders>
            <w:noWrap/>
            <w:vAlign w:val="center"/>
          </w:tcPr>
          <w:p w14:paraId="6763A7FC">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1</w:t>
            </w:r>
          </w:p>
        </w:tc>
        <w:tc>
          <w:tcPr>
            <w:tcW w:w="1535" w:type="dxa"/>
            <w:gridSpan w:val="2"/>
            <w:tcBorders>
              <w:top w:val="single" w:color="auto" w:sz="6" w:space="0"/>
              <w:left w:val="single" w:color="auto" w:sz="4" w:space="0"/>
              <w:bottom w:val="single" w:color="auto" w:sz="6" w:space="0"/>
              <w:right w:val="single" w:color="auto" w:sz="6" w:space="0"/>
            </w:tcBorders>
            <w:noWrap/>
            <w:vAlign w:val="center"/>
          </w:tcPr>
          <w:p w14:paraId="6A59F687">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926" w:type="dxa"/>
            <w:gridSpan w:val="2"/>
            <w:tcBorders>
              <w:top w:val="single" w:color="auto" w:sz="6" w:space="0"/>
              <w:left w:val="single" w:color="auto" w:sz="6" w:space="0"/>
              <w:bottom w:val="single" w:color="auto" w:sz="6" w:space="0"/>
              <w:right w:val="single" w:color="auto" w:sz="6" w:space="0"/>
            </w:tcBorders>
            <w:noWrap/>
            <w:vAlign w:val="center"/>
          </w:tcPr>
          <w:p w14:paraId="545A565A">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958" w:type="dxa"/>
            <w:gridSpan w:val="2"/>
            <w:tcBorders>
              <w:top w:val="single" w:color="auto" w:sz="6" w:space="0"/>
              <w:left w:val="single" w:color="auto" w:sz="6" w:space="0"/>
              <w:bottom w:val="single" w:color="auto" w:sz="6" w:space="0"/>
              <w:right w:val="single" w:color="auto" w:sz="6" w:space="0"/>
            </w:tcBorders>
            <w:noWrap/>
            <w:vAlign w:val="center"/>
          </w:tcPr>
          <w:p w14:paraId="24272EC8">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692" w:type="dxa"/>
            <w:tcBorders>
              <w:top w:val="single" w:color="auto" w:sz="6" w:space="0"/>
              <w:left w:val="single" w:color="auto" w:sz="6" w:space="0"/>
              <w:bottom w:val="single" w:color="auto" w:sz="6" w:space="0"/>
              <w:right w:val="single" w:color="auto" w:sz="6" w:space="0"/>
            </w:tcBorders>
            <w:noWrap/>
            <w:vAlign w:val="center"/>
          </w:tcPr>
          <w:p w14:paraId="7BF3CA66">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316" w:type="dxa"/>
            <w:tcBorders>
              <w:top w:val="single" w:color="auto" w:sz="6" w:space="0"/>
              <w:left w:val="single" w:color="auto" w:sz="6" w:space="0"/>
              <w:bottom w:val="single" w:color="auto" w:sz="6" w:space="0"/>
              <w:right w:val="single" w:color="auto" w:sz="6" w:space="0"/>
            </w:tcBorders>
            <w:noWrap/>
            <w:vAlign w:val="center"/>
          </w:tcPr>
          <w:p w14:paraId="1F4CE400">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tr w14:paraId="316811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4" w:hRule="exact"/>
        </w:trPr>
        <w:tc>
          <w:tcPr>
            <w:tcW w:w="769" w:type="dxa"/>
            <w:tcBorders>
              <w:top w:val="single" w:color="auto" w:sz="6" w:space="0"/>
              <w:left w:val="single" w:color="auto" w:sz="6" w:space="0"/>
              <w:bottom w:val="single" w:color="auto" w:sz="6" w:space="0"/>
              <w:right w:val="single" w:color="auto" w:sz="4" w:space="0"/>
            </w:tcBorders>
            <w:noWrap/>
            <w:vAlign w:val="center"/>
          </w:tcPr>
          <w:p w14:paraId="02E4B558">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2</w:t>
            </w:r>
          </w:p>
        </w:tc>
        <w:tc>
          <w:tcPr>
            <w:tcW w:w="1535" w:type="dxa"/>
            <w:gridSpan w:val="2"/>
            <w:tcBorders>
              <w:top w:val="single" w:color="auto" w:sz="6" w:space="0"/>
              <w:left w:val="single" w:color="auto" w:sz="4" w:space="0"/>
              <w:bottom w:val="single" w:color="auto" w:sz="6" w:space="0"/>
              <w:right w:val="single" w:color="auto" w:sz="6" w:space="0"/>
            </w:tcBorders>
            <w:noWrap/>
            <w:vAlign w:val="center"/>
          </w:tcPr>
          <w:p w14:paraId="21926A21">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926" w:type="dxa"/>
            <w:gridSpan w:val="2"/>
            <w:tcBorders>
              <w:top w:val="single" w:color="auto" w:sz="6" w:space="0"/>
              <w:left w:val="single" w:color="auto" w:sz="6" w:space="0"/>
              <w:bottom w:val="single" w:color="auto" w:sz="6" w:space="0"/>
              <w:right w:val="single" w:color="auto" w:sz="6" w:space="0"/>
            </w:tcBorders>
            <w:noWrap/>
            <w:vAlign w:val="center"/>
          </w:tcPr>
          <w:p w14:paraId="14FDAD4B">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958" w:type="dxa"/>
            <w:gridSpan w:val="2"/>
            <w:tcBorders>
              <w:top w:val="single" w:color="auto" w:sz="6" w:space="0"/>
              <w:left w:val="single" w:color="auto" w:sz="6" w:space="0"/>
              <w:bottom w:val="single" w:color="auto" w:sz="6" w:space="0"/>
              <w:right w:val="single" w:color="auto" w:sz="6" w:space="0"/>
            </w:tcBorders>
            <w:noWrap/>
            <w:vAlign w:val="center"/>
          </w:tcPr>
          <w:p w14:paraId="641946CC">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692" w:type="dxa"/>
            <w:tcBorders>
              <w:top w:val="single" w:color="auto" w:sz="6" w:space="0"/>
              <w:left w:val="single" w:color="auto" w:sz="6" w:space="0"/>
              <w:bottom w:val="single" w:color="auto" w:sz="6" w:space="0"/>
              <w:right w:val="single" w:color="auto" w:sz="6" w:space="0"/>
            </w:tcBorders>
            <w:noWrap/>
            <w:vAlign w:val="center"/>
          </w:tcPr>
          <w:p w14:paraId="7CC10544">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316" w:type="dxa"/>
            <w:tcBorders>
              <w:top w:val="single" w:color="auto" w:sz="6" w:space="0"/>
              <w:left w:val="single" w:color="auto" w:sz="6" w:space="0"/>
              <w:bottom w:val="single" w:color="auto" w:sz="6" w:space="0"/>
              <w:right w:val="single" w:color="auto" w:sz="6" w:space="0"/>
            </w:tcBorders>
            <w:noWrap/>
            <w:vAlign w:val="center"/>
          </w:tcPr>
          <w:p w14:paraId="2A57807D">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tr w14:paraId="4A98C6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4" w:hRule="exact"/>
        </w:trPr>
        <w:tc>
          <w:tcPr>
            <w:tcW w:w="769" w:type="dxa"/>
            <w:tcBorders>
              <w:top w:val="single" w:color="auto" w:sz="6" w:space="0"/>
              <w:left w:val="single" w:color="auto" w:sz="6" w:space="0"/>
              <w:bottom w:val="single" w:color="auto" w:sz="6" w:space="0"/>
              <w:right w:val="single" w:color="auto" w:sz="4" w:space="0"/>
            </w:tcBorders>
            <w:noWrap/>
            <w:vAlign w:val="center"/>
          </w:tcPr>
          <w:p w14:paraId="61F63A04">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3</w:t>
            </w:r>
          </w:p>
        </w:tc>
        <w:tc>
          <w:tcPr>
            <w:tcW w:w="1535" w:type="dxa"/>
            <w:gridSpan w:val="2"/>
            <w:tcBorders>
              <w:top w:val="single" w:color="auto" w:sz="6" w:space="0"/>
              <w:left w:val="single" w:color="auto" w:sz="4" w:space="0"/>
              <w:bottom w:val="single" w:color="auto" w:sz="6" w:space="0"/>
              <w:right w:val="single" w:color="auto" w:sz="6" w:space="0"/>
            </w:tcBorders>
            <w:noWrap/>
            <w:vAlign w:val="center"/>
          </w:tcPr>
          <w:p w14:paraId="6EA79517">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926" w:type="dxa"/>
            <w:gridSpan w:val="2"/>
            <w:tcBorders>
              <w:top w:val="single" w:color="auto" w:sz="6" w:space="0"/>
              <w:left w:val="single" w:color="auto" w:sz="6" w:space="0"/>
              <w:bottom w:val="single" w:color="auto" w:sz="6" w:space="0"/>
              <w:right w:val="single" w:color="auto" w:sz="6" w:space="0"/>
            </w:tcBorders>
            <w:noWrap/>
            <w:vAlign w:val="center"/>
          </w:tcPr>
          <w:p w14:paraId="2A428B51">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958" w:type="dxa"/>
            <w:gridSpan w:val="2"/>
            <w:tcBorders>
              <w:top w:val="single" w:color="auto" w:sz="6" w:space="0"/>
              <w:left w:val="single" w:color="auto" w:sz="6" w:space="0"/>
              <w:bottom w:val="single" w:color="auto" w:sz="6" w:space="0"/>
              <w:right w:val="single" w:color="auto" w:sz="6" w:space="0"/>
            </w:tcBorders>
            <w:noWrap/>
            <w:vAlign w:val="center"/>
          </w:tcPr>
          <w:p w14:paraId="7A8DF59A">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692" w:type="dxa"/>
            <w:tcBorders>
              <w:top w:val="single" w:color="auto" w:sz="6" w:space="0"/>
              <w:left w:val="single" w:color="auto" w:sz="6" w:space="0"/>
              <w:bottom w:val="single" w:color="auto" w:sz="6" w:space="0"/>
              <w:right w:val="single" w:color="auto" w:sz="6" w:space="0"/>
            </w:tcBorders>
            <w:noWrap/>
            <w:vAlign w:val="center"/>
          </w:tcPr>
          <w:p w14:paraId="531B0AE5">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316" w:type="dxa"/>
            <w:tcBorders>
              <w:top w:val="single" w:color="auto" w:sz="6" w:space="0"/>
              <w:left w:val="single" w:color="auto" w:sz="6" w:space="0"/>
              <w:bottom w:val="single" w:color="auto" w:sz="6" w:space="0"/>
              <w:right w:val="single" w:color="auto" w:sz="6" w:space="0"/>
            </w:tcBorders>
            <w:noWrap/>
            <w:vAlign w:val="center"/>
          </w:tcPr>
          <w:p w14:paraId="475A6998">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tr w14:paraId="6B29AD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8" w:hRule="exact"/>
        </w:trPr>
        <w:tc>
          <w:tcPr>
            <w:tcW w:w="769" w:type="dxa"/>
            <w:tcBorders>
              <w:top w:val="single" w:color="auto" w:sz="6" w:space="0"/>
              <w:left w:val="single" w:color="auto" w:sz="6" w:space="0"/>
              <w:bottom w:val="single" w:color="auto" w:sz="6" w:space="0"/>
              <w:right w:val="single" w:color="auto" w:sz="4" w:space="0"/>
            </w:tcBorders>
            <w:noWrap/>
            <w:vAlign w:val="center"/>
          </w:tcPr>
          <w:p w14:paraId="0D8206F4">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w:t>
            </w:r>
          </w:p>
        </w:tc>
        <w:tc>
          <w:tcPr>
            <w:tcW w:w="1535" w:type="dxa"/>
            <w:gridSpan w:val="2"/>
            <w:tcBorders>
              <w:top w:val="single" w:color="auto" w:sz="6" w:space="0"/>
              <w:left w:val="single" w:color="auto" w:sz="4" w:space="0"/>
              <w:bottom w:val="single" w:color="auto" w:sz="6" w:space="0"/>
              <w:right w:val="single" w:color="auto" w:sz="6" w:space="0"/>
            </w:tcBorders>
            <w:noWrap/>
            <w:vAlign w:val="center"/>
          </w:tcPr>
          <w:p w14:paraId="57F91A08">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926" w:type="dxa"/>
            <w:gridSpan w:val="2"/>
            <w:tcBorders>
              <w:top w:val="single" w:color="auto" w:sz="6" w:space="0"/>
              <w:left w:val="single" w:color="auto" w:sz="6" w:space="0"/>
              <w:bottom w:val="single" w:color="auto" w:sz="6" w:space="0"/>
              <w:right w:val="single" w:color="auto" w:sz="6" w:space="0"/>
            </w:tcBorders>
            <w:noWrap/>
            <w:vAlign w:val="center"/>
          </w:tcPr>
          <w:p w14:paraId="4DB8876B">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958" w:type="dxa"/>
            <w:gridSpan w:val="2"/>
            <w:tcBorders>
              <w:top w:val="single" w:color="auto" w:sz="6" w:space="0"/>
              <w:left w:val="single" w:color="auto" w:sz="6" w:space="0"/>
              <w:bottom w:val="single" w:color="auto" w:sz="6" w:space="0"/>
              <w:right w:val="single" w:color="auto" w:sz="6" w:space="0"/>
            </w:tcBorders>
            <w:noWrap/>
            <w:vAlign w:val="center"/>
          </w:tcPr>
          <w:p w14:paraId="358EC9B9">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692" w:type="dxa"/>
            <w:tcBorders>
              <w:top w:val="single" w:color="auto" w:sz="6" w:space="0"/>
              <w:left w:val="single" w:color="auto" w:sz="6" w:space="0"/>
              <w:bottom w:val="single" w:color="auto" w:sz="6" w:space="0"/>
              <w:right w:val="single" w:color="auto" w:sz="6" w:space="0"/>
            </w:tcBorders>
            <w:noWrap/>
            <w:vAlign w:val="center"/>
          </w:tcPr>
          <w:p w14:paraId="43166686">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316" w:type="dxa"/>
            <w:tcBorders>
              <w:top w:val="single" w:color="auto" w:sz="6" w:space="0"/>
              <w:left w:val="single" w:color="auto" w:sz="6" w:space="0"/>
              <w:bottom w:val="single" w:color="auto" w:sz="6" w:space="0"/>
              <w:right w:val="single" w:color="auto" w:sz="6" w:space="0"/>
            </w:tcBorders>
            <w:noWrap/>
            <w:vAlign w:val="center"/>
          </w:tcPr>
          <w:p w14:paraId="57E1304F">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tbl>
    <w:p w14:paraId="0B0BEAF0">
      <w:pPr>
        <w:wordWrap w:val="0"/>
        <w:adjustRightInd w:val="0"/>
        <w:snapToGrid w:val="0"/>
        <w:spacing w:line="440" w:lineRule="exact"/>
        <w:jc w:val="cente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
          <w:snapToGrid w:val="0"/>
          <w:color w:val="000000" w:themeColor="text1"/>
          <w:kern w:val="0"/>
          <w:szCs w:val="24"/>
          <w:highlight w:val="none"/>
          <w14:textFill>
            <w14:solidFill>
              <w14:schemeClr w14:val="tx1"/>
            </w14:solidFill>
          </w14:textFill>
        </w:rPr>
        <w:t>项目经理简历表</w:t>
      </w:r>
    </w:p>
    <w:p w14:paraId="598C1A20">
      <w:pPr>
        <w:wordWrap w:val="0"/>
        <w:adjustRightInd w:val="0"/>
        <w:snapToGrid w:val="0"/>
        <w:spacing w:line="440" w:lineRule="exact"/>
        <w:ind w:firstLine="57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44DC5543">
      <w:pPr>
        <w:pStyle w:val="48"/>
        <w:wordWrap w:val="0"/>
        <w:adjustRightInd w:val="0"/>
        <w:snapToGrid w:val="0"/>
        <w:spacing w:line="440" w:lineRule="exact"/>
        <w:jc w:val="righ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p>
    <w:p w14:paraId="40A8A1A7">
      <w:pPr>
        <w:pStyle w:val="48"/>
        <w:wordWrap w:val="0"/>
        <w:adjustRightInd w:val="0"/>
        <w:snapToGrid w:val="0"/>
        <w:spacing w:line="440" w:lineRule="exact"/>
        <w:jc w:val="righ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项目经理：</w:t>
      </w:r>
      <w:r>
        <w:rPr>
          <w:rFonts w:hint="eastAsia" w:asciiTheme="minorEastAsia" w:hAnsiTheme="minorEastAsia" w:eastAsiaTheme="minorEastAsia" w:cstheme="minorEastAsia"/>
          <w:snapToGrid w:val="0"/>
          <w:color w:val="000000" w:themeColor="text1"/>
          <w:kern w:val="0"/>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（签字）</w:t>
      </w:r>
    </w:p>
    <w:p w14:paraId="5E163C89">
      <w:pPr>
        <w:pStyle w:val="48"/>
        <w:wordWrap w:val="0"/>
        <w:adjustRightInd w:val="0"/>
        <w:snapToGrid w:val="0"/>
        <w:spacing w:line="440" w:lineRule="exact"/>
        <w:jc w:val="righ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p>
    <w:p w14:paraId="596E09A4">
      <w:pPr>
        <w:wordWrap w:val="0"/>
        <w:adjustRightInd w:val="0"/>
        <w:snapToGrid w:val="0"/>
        <w:spacing w:line="400" w:lineRule="exact"/>
        <w:ind w:firstLine="570"/>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年</w:t>
      </w:r>
      <w:r>
        <w:rPr>
          <w:rFonts w:hint="eastAsia" w:asciiTheme="minorEastAsia" w:hAnsiTheme="minorEastAsia" w:eastAsiaTheme="minorEastAsia" w:cstheme="minorEastAsia"/>
          <w:snapToGrid w:val="0"/>
          <w:color w:val="000000" w:themeColor="text1"/>
          <w:kern w:val="0"/>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月</w:t>
      </w:r>
      <w:r>
        <w:rPr>
          <w:rFonts w:hint="eastAsia" w:asciiTheme="minorEastAsia" w:hAnsiTheme="minorEastAsia" w:eastAsiaTheme="minorEastAsia" w:cstheme="minorEastAsia"/>
          <w:snapToGrid w:val="0"/>
          <w:color w:val="000000" w:themeColor="text1"/>
          <w:kern w:val="0"/>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日</w:t>
      </w:r>
    </w:p>
    <w:p w14:paraId="5CD3B3E0">
      <w:pPr>
        <w:outlineLvl w:val="9"/>
        <w:rPr>
          <w:rFonts w:hint="eastAsia"/>
          <w:color w:val="000000" w:themeColor="text1"/>
          <w:highlight w:val="none"/>
          <w14:textFill>
            <w14:solidFill>
              <w14:schemeClr w14:val="tx1"/>
            </w14:solidFill>
          </w14:textFill>
        </w:rPr>
      </w:pPr>
    </w:p>
    <w:p w14:paraId="39724635">
      <w:pPr>
        <w:wordWrap w:val="0"/>
        <w:adjustRightInd w:val="0"/>
        <w:snapToGrid w:val="0"/>
        <w:spacing w:line="40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说明：《项目经理简历表》后应附拟派项目经理以下资料：</w:t>
      </w:r>
    </w:p>
    <w:p w14:paraId="234E50E1">
      <w:pPr>
        <w:wordWrap w:val="0"/>
        <w:adjustRightInd w:val="0"/>
        <w:snapToGrid w:val="0"/>
        <w:spacing w:line="40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1．身份证彩色扫描件；</w:t>
      </w:r>
    </w:p>
    <w:p w14:paraId="62F97137">
      <w:pPr>
        <w:wordWrap w:val="0"/>
        <w:adjustRightInd w:val="0"/>
        <w:snapToGrid w:val="0"/>
        <w:spacing w:line="40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2．建造师电子注册证书（在使用有效期内的有效电子证书）彩色扫描件；</w:t>
      </w:r>
    </w:p>
    <w:p w14:paraId="24918F13">
      <w:pPr>
        <w:wordWrap w:val="0"/>
        <w:adjustRightInd w:val="0"/>
        <w:snapToGrid w:val="0"/>
        <w:spacing w:line="40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3．B类安全生产考核合格证书彩色扫描件或广东省建筑施工企业管理人员安全生产考核系统考核合格信息彩色扫描件；</w:t>
      </w:r>
    </w:p>
    <w:p w14:paraId="2330BC74">
      <w:pPr>
        <w:wordWrap w:val="0"/>
        <w:adjustRightInd w:val="0"/>
        <w:snapToGrid w:val="0"/>
        <w:spacing w:line="400" w:lineRule="exact"/>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4．在本单位缴纳社保的证明（</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至少</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1</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个月，其中必须有2025年</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11</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月</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）彩色扫描件；拟派项目经理为退休返聘人员无法提供社保证明的，提供退休证和劳动合同彩色扫描件。</w:t>
      </w:r>
    </w:p>
    <w:p w14:paraId="01350D00">
      <w:pPr>
        <w:wordWrap w:val="0"/>
        <w:adjustRightInd w:val="0"/>
        <w:snapToGrid w:val="0"/>
        <w:spacing w:line="400" w:lineRule="exact"/>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lang w:val="en-US" w:eastAsia="zh-CN"/>
          <w14:textFill>
            <w14:solidFill>
              <w14:schemeClr w14:val="tx1"/>
            </w14:solidFill>
          </w14:textFill>
        </w:rPr>
        <w:t>5.</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“进粤企业和人员诚信信息登记平台”个人信息情况打印页或网页截图。（适用于省外建筑企业）</w:t>
      </w:r>
    </w:p>
    <w:p w14:paraId="32AD39E4">
      <w:pPr>
        <w:wordWrap w:val="0"/>
        <w:adjustRightInd w:val="0"/>
        <w:snapToGrid w:val="0"/>
        <w:spacing w:line="400" w:lineRule="exact"/>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2E1D7FAF">
      <w:pPr>
        <w:wordWrap w:val="0"/>
        <w:adjustRightInd w:val="0"/>
        <w:snapToGrid w:val="0"/>
        <w:spacing w:line="40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sectPr>
          <w:endnotePr>
            <w:numFmt w:val="decimal"/>
          </w:endnotePr>
          <w:pgSz w:w="11906" w:h="16838"/>
          <w:pgMar w:top="1701" w:right="1531" w:bottom="1417" w:left="1531" w:header="850" w:footer="992" w:gutter="0"/>
          <w:pgNumType w:fmt="decimal"/>
          <w:cols w:space="720" w:num="1"/>
          <w:docGrid w:linePitch="327" w:charSpace="0"/>
        </w:sectPr>
      </w:pPr>
    </w:p>
    <w:p w14:paraId="722A95E1">
      <w:pPr>
        <w:pStyle w:val="4"/>
        <w:spacing w:before="120"/>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bookmarkStart w:id="560" w:name="_Toc428"/>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格式九 项目经理任职声明</w:t>
      </w:r>
      <w:bookmarkEnd w:id="560"/>
    </w:p>
    <w:p w14:paraId="4ADE852D">
      <w:pPr>
        <w:wordWrap w:val="0"/>
        <w:adjustRightInd w:val="0"/>
        <w:snapToGrid w:val="0"/>
        <w:spacing w:line="440" w:lineRule="exact"/>
        <w:jc w:val="left"/>
        <w:rPr>
          <w:rFonts w:hint="eastAsia" w:asciiTheme="minorEastAsia" w:hAnsiTheme="minorEastAsia" w:eastAsiaTheme="minorEastAsia" w:cstheme="minorEastAsia"/>
          <w:b/>
          <w:snapToGrid w:val="0"/>
          <w:color w:val="000000" w:themeColor="text1"/>
          <w:kern w:val="0"/>
          <w:szCs w:val="24"/>
          <w:highlight w:val="none"/>
          <w14:textFill>
            <w14:solidFill>
              <w14:schemeClr w14:val="tx1"/>
            </w14:solidFill>
          </w14:textFill>
        </w:rPr>
      </w:pPr>
    </w:p>
    <w:p w14:paraId="5B39C3F5">
      <w:pPr>
        <w:wordWrap w:val="0"/>
        <w:adjustRightInd w:val="0"/>
        <w:snapToGrid w:val="0"/>
        <w:spacing w:before="260" w:after="260" w:line="440" w:lineRule="exact"/>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
          <w:snapToGrid w:val="0"/>
          <w:color w:val="000000" w:themeColor="text1"/>
          <w:kern w:val="0"/>
          <w:szCs w:val="24"/>
          <w:highlight w:val="none"/>
          <w14:textFill>
            <w14:solidFill>
              <w14:schemeClr w14:val="tx1"/>
            </w14:solidFill>
          </w14:textFill>
        </w:rPr>
        <w:t>项目经理任职声明</w:t>
      </w:r>
    </w:p>
    <w:p w14:paraId="5BBE975C">
      <w:pPr>
        <w:wordWrap w:val="0"/>
        <w:adjustRightInd w:val="0"/>
        <w:snapToGrid w:val="0"/>
        <w:spacing w:line="440" w:lineRule="exact"/>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364C715F">
      <w:pPr>
        <w:wordWrap w:val="0"/>
        <w:adjustRightInd w:val="0"/>
        <w:snapToGrid w:val="0"/>
        <w:spacing w:line="44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bookmarkStart w:id="561" w:name="_Toc21599"/>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致：</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（招标人名称）：</w:t>
      </w:r>
    </w:p>
    <w:p w14:paraId="4B31BB21">
      <w:pPr>
        <w:wordWrap w:val="0"/>
        <w:adjustRightInd w:val="0"/>
        <w:snapToGrid w:val="0"/>
        <w:spacing w:line="44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我方在此声明，我方拟派往</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（项目名称）的项目经理</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（项目经理姓名）现阶段没有担任任何在施（包括已中标未开工、已开工未竣工）建设工程项目的项目经理。</w:t>
      </w:r>
    </w:p>
    <w:p w14:paraId="243E9439">
      <w:pPr>
        <w:wordWrap w:val="0"/>
        <w:adjustRightInd w:val="0"/>
        <w:snapToGrid w:val="0"/>
        <w:spacing w:line="440" w:lineRule="exact"/>
        <w:ind w:firstLine="48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我方保证上述信息的真实和准确，并愿意承担因我方就此弄虚作假所引起的一切法律后果。</w:t>
      </w:r>
    </w:p>
    <w:p w14:paraId="5CFC49FD">
      <w:pPr>
        <w:wordWrap w:val="0"/>
        <w:adjustRightInd w:val="0"/>
        <w:snapToGrid w:val="0"/>
        <w:spacing w:line="440" w:lineRule="exact"/>
        <w:ind w:firstLine="48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w:t>
      </w:r>
    </w:p>
    <w:p w14:paraId="42D74EF3">
      <w:pPr>
        <w:wordWrap w:val="0"/>
        <w:adjustRightInd w:val="0"/>
        <w:snapToGrid w:val="0"/>
        <w:spacing w:line="44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特此承诺　　</w:t>
      </w:r>
    </w:p>
    <w:p w14:paraId="741114B9">
      <w:pPr>
        <w:wordWrap w:val="0"/>
        <w:adjustRightInd w:val="0"/>
        <w:snapToGrid w:val="0"/>
        <w:spacing w:line="44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w:t>
      </w:r>
    </w:p>
    <w:p w14:paraId="2024B237">
      <w:pPr>
        <w:wordWrap w:val="0"/>
        <w:adjustRightInd w:val="0"/>
        <w:snapToGrid w:val="0"/>
        <w:spacing w:line="44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w:t>
      </w:r>
    </w:p>
    <w:p w14:paraId="142252A1">
      <w:pPr>
        <w:wordWrap w:val="0"/>
        <w:adjustRightInd w:val="0"/>
        <w:snapToGrid w:val="0"/>
        <w:spacing w:line="440" w:lineRule="exact"/>
        <w:jc w:val="righ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投标人：</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（盖单位章）</w:t>
      </w:r>
    </w:p>
    <w:p w14:paraId="4F2DA4C9">
      <w:pPr>
        <w:wordWrap w:val="0"/>
        <w:adjustRightInd w:val="0"/>
        <w:snapToGrid w:val="0"/>
        <w:spacing w:line="440" w:lineRule="exact"/>
        <w:jc w:val="righ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0B18FAC1">
      <w:pPr>
        <w:wordWrap w:val="0"/>
        <w:adjustRightInd w:val="0"/>
        <w:snapToGrid w:val="0"/>
        <w:spacing w:line="440" w:lineRule="exact"/>
        <w:jc w:val="righ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7DEBFFFA">
      <w:pPr>
        <w:wordWrap w:val="0"/>
        <w:adjustRightInd w:val="0"/>
        <w:snapToGrid w:val="0"/>
        <w:spacing w:line="440" w:lineRule="exact"/>
        <w:jc w:val="righ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法定代表人或其委托代理人：</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（签字或盖章）</w:t>
      </w:r>
    </w:p>
    <w:p w14:paraId="2E059885">
      <w:pPr>
        <w:wordWrap w:val="0"/>
        <w:adjustRightInd w:val="0"/>
        <w:snapToGrid w:val="0"/>
        <w:spacing w:line="440" w:lineRule="exact"/>
        <w:jc w:val="righ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0210DF30">
      <w:pPr>
        <w:wordWrap w:val="0"/>
        <w:adjustRightInd w:val="0"/>
        <w:snapToGrid w:val="0"/>
        <w:spacing w:line="440" w:lineRule="exact"/>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年</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月</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日</w:t>
      </w:r>
    </w:p>
    <w:p w14:paraId="06228FEA">
      <w:pPr>
        <w:spacing w:before="120"/>
        <w:outlineLvl w:val="9"/>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p>
    <w:p w14:paraId="206BB2EB">
      <w:pPr>
        <w:spacing w:before="120"/>
        <w:outlineLvl w:val="9"/>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p>
    <w:p w14:paraId="64164BC2">
      <w:pPr>
        <w:spacing w:before="120"/>
        <w:outlineLvl w:val="9"/>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p>
    <w:p w14:paraId="32026C24">
      <w:pPr>
        <w:spacing w:before="120"/>
        <w:outlineLvl w:val="9"/>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p>
    <w:p w14:paraId="6BFF4F88">
      <w:pPr>
        <w:spacing w:before="120"/>
        <w:outlineLvl w:val="9"/>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p>
    <w:p w14:paraId="1FF9C360">
      <w:pPr>
        <w:spacing w:before="120"/>
        <w:outlineLvl w:val="9"/>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p>
    <w:p w14:paraId="49DCFF06">
      <w:pPr>
        <w:spacing w:before="120"/>
        <w:outlineLvl w:val="9"/>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p>
    <w:p w14:paraId="14DCA274">
      <w:pPr>
        <w:spacing w:before="120"/>
        <w:outlineLvl w:val="9"/>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p>
    <w:p w14:paraId="4724D5AB">
      <w:pPr>
        <w:spacing w:before="120"/>
        <w:outlineLvl w:val="9"/>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p>
    <w:p w14:paraId="46560B8D">
      <w:pPr>
        <w:pStyle w:val="4"/>
        <w:spacing w:before="120"/>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bookmarkStart w:id="562" w:name="_Toc17179"/>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格式十 项目技术负责人简历表</w:t>
      </w:r>
      <w:bookmarkEnd w:id="561"/>
      <w:bookmarkEnd w:id="562"/>
    </w:p>
    <w:p w14:paraId="69C790BB">
      <w:pPr>
        <w:wordWrap w:val="0"/>
        <w:adjustRightInd w:val="0"/>
        <w:snapToGrid w:val="0"/>
        <w:spacing w:line="440" w:lineRule="exact"/>
        <w:jc w:val="left"/>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pPr>
    </w:p>
    <w:tbl>
      <w:tblPr>
        <w:tblStyle w:val="21"/>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75"/>
        <w:gridCol w:w="963"/>
        <w:gridCol w:w="584"/>
        <w:gridCol w:w="648"/>
        <w:gridCol w:w="1294"/>
        <w:gridCol w:w="1946"/>
        <w:gridCol w:w="27"/>
        <w:gridCol w:w="1706"/>
        <w:gridCol w:w="1327"/>
      </w:tblGrid>
      <w:tr w14:paraId="38EB5E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ign w:val="center"/>
          </w:tcPr>
          <w:p w14:paraId="2D6AA48B">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姓   名</w:t>
            </w:r>
          </w:p>
        </w:tc>
        <w:tc>
          <w:tcPr>
            <w:tcW w:w="1232" w:type="dxa"/>
            <w:gridSpan w:val="2"/>
            <w:tcBorders>
              <w:top w:val="single" w:color="auto" w:sz="6" w:space="0"/>
              <w:left w:val="single" w:color="auto" w:sz="6" w:space="0"/>
              <w:bottom w:val="single" w:color="auto" w:sz="6" w:space="0"/>
              <w:right w:val="single" w:color="auto" w:sz="6" w:space="0"/>
            </w:tcBorders>
            <w:noWrap/>
            <w:vAlign w:val="center"/>
          </w:tcPr>
          <w:p w14:paraId="3683FD66">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294" w:type="dxa"/>
            <w:tcBorders>
              <w:top w:val="single" w:color="auto" w:sz="6" w:space="0"/>
              <w:left w:val="single" w:color="auto" w:sz="6" w:space="0"/>
              <w:bottom w:val="single" w:color="auto" w:sz="6" w:space="0"/>
              <w:right w:val="single" w:color="auto" w:sz="6" w:space="0"/>
            </w:tcBorders>
            <w:noWrap/>
            <w:vAlign w:val="center"/>
          </w:tcPr>
          <w:p w14:paraId="68A79256">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性  别</w:t>
            </w:r>
          </w:p>
        </w:tc>
        <w:tc>
          <w:tcPr>
            <w:tcW w:w="1946" w:type="dxa"/>
            <w:tcBorders>
              <w:top w:val="single" w:color="auto" w:sz="6" w:space="0"/>
              <w:left w:val="single" w:color="auto" w:sz="6" w:space="0"/>
              <w:bottom w:val="single" w:color="auto" w:sz="6" w:space="0"/>
              <w:right w:val="single" w:color="auto" w:sz="6" w:space="0"/>
            </w:tcBorders>
            <w:noWrap/>
            <w:vAlign w:val="center"/>
          </w:tcPr>
          <w:p w14:paraId="27A4DC8E">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733" w:type="dxa"/>
            <w:gridSpan w:val="2"/>
            <w:tcBorders>
              <w:top w:val="single" w:color="auto" w:sz="6" w:space="0"/>
              <w:left w:val="single" w:color="auto" w:sz="6" w:space="0"/>
              <w:bottom w:val="single" w:color="auto" w:sz="6" w:space="0"/>
              <w:right w:val="single" w:color="auto" w:sz="6" w:space="0"/>
            </w:tcBorders>
            <w:noWrap/>
            <w:vAlign w:val="center"/>
          </w:tcPr>
          <w:p w14:paraId="38B85809">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年   龄</w:t>
            </w:r>
          </w:p>
        </w:tc>
        <w:tc>
          <w:tcPr>
            <w:tcW w:w="1327" w:type="dxa"/>
            <w:tcBorders>
              <w:top w:val="single" w:color="auto" w:sz="6" w:space="0"/>
              <w:left w:val="single" w:color="auto" w:sz="6" w:space="0"/>
              <w:bottom w:val="single" w:color="auto" w:sz="6" w:space="0"/>
              <w:right w:val="single" w:color="auto" w:sz="6" w:space="0"/>
            </w:tcBorders>
            <w:noWrap/>
            <w:vAlign w:val="center"/>
          </w:tcPr>
          <w:p w14:paraId="58D6116A">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tr w14:paraId="186C66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ign w:val="center"/>
          </w:tcPr>
          <w:p w14:paraId="2476F060">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职   务</w:t>
            </w:r>
          </w:p>
        </w:tc>
        <w:tc>
          <w:tcPr>
            <w:tcW w:w="1232" w:type="dxa"/>
            <w:gridSpan w:val="2"/>
            <w:tcBorders>
              <w:top w:val="single" w:color="auto" w:sz="6" w:space="0"/>
              <w:left w:val="single" w:color="auto" w:sz="6" w:space="0"/>
              <w:bottom w:val="single" w:color="auto" w:sz="6" w:space="0"/>
              <w:right w:val="single" w:color="auto" w:sz="6" w:space="0"/>
            </w:tcBorders>
            <w:noWrap/>
            <w:vAlign w:val="center"/>
          </w:tcPr>
          <w:p w14:paraId="369F66E4">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294" w:type="dxa"/>
            <w:tcBorders>
              <w:top w:val="single" w:color="auto" w:sz="6" w:space="0"/>
              <w:left w:val="single" w:color="auto" w:sz="6" w:space="0"/>
              <w:bottom w:val="single" w:color="auto" w:sz="6" w:space="0"/>
              <w:right w:val="single" w:color="auto" w:sz="6" w:space="0"/>
            </w:tcBorders>
            <w:noWrap/>
            <w:vAlign w:val="center"/>
          </w:tcPr>
          <w:p w14:paraId="70972397">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职  称</w:t>
            </w:r>
          </w:p>
        </w:tc>
        <w:tc>
          <w:tcPr>
            <w:tcW w:w="1946" w:type="dxa"/>
            <w:tcBorders>
              <w:top w:val="single" w:color="auto" w:sz="6" w:space="0"/>
              <w:left w:val="single" w:color="auto" w:sz="6" w:space="0"/>
              <w:bottom w:val="single" w:color="auto" w:sz="6" w:space="0"/>
              <w:right w:val="single" w:color="auto" w:sz="6" w:space="0"/>
            </w:tcBorders>
            <w:noWrap/>
            <w:vAlign w:val="center"/>
          </w:tcPr>
          <w:p w14:paraId="7ADE5240">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733" w:type="dxa"/>
            <w:gridSpan w:val="2"/>
            <w:tcBorders>
              <w:top w:val="single" w:color="auto" w:sz="6" w:space="0"/>
              <w:left w:val="single" w:color="auto" w:sz="6" w:space="0"/>
              <w:bottom w:val="single" w:color="auto" w:sz="6" w:space="0"/>
              <w:right w:val="single" w:color="auto" w:sz="6" w:space="0"/>
            </w:tcBorders>
            <w:noWrap/>
            <w:vAlign w:val="center"/>
          </w:tcPr>
          <w:p w14:paraId="53114791">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学   历</w:t>
            </w:r>
          </w:p>
        </w:tc>
        <w:tc>
          <w:tcPr>
            <w:tcW w:w="1327" w:type="dxa"/>
            <w:tcBorders>
              <w:top w:val="single" w:color="auto" w:sz="6" w:space="0"/>
              <w:left w:val="single" w:color="auto" w:sz="6" w:space="0"/>
              <w:bottom w:val="single" w:color="auto" w:sz="6" w:space="0"/>
              <w:right w:val="single" w:color="auto" w:sz="6" w:space="0"/>
            </w:tcBorders>
            <w:noWrap/>
            <w:vAlign w:val="center"/>
          </w:tcPr>
          <w:p w14:paraId="2B675439">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tr w14:paraId="48548F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ign w:val="center"/>
          </w:tcPr>
          <w:p w14:paraId="46B699E6">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参加工作时间</w:t>
            </w:r>
          </w:p>
        </w:tc>
        <w:tc>
          <w:tcPr>
            <w:tcW w:w="2526" w:type="dxa"/>
            <w:gridSpan w:val="3"/>
            <w:tcBorders>
              <w:top w:val="single" w:color="auto" w:sz="6" w:space="0"/>
              <w:left w:val="single" w:color="auto" w:sz="6" w:space="0"/>
              <w:bottom w:val="single" w:color="auto" w:sz="6" w:space="0"/>
              <w:right w:val="single" w:color="auto" w:sz="6" w:space="0"/>
            </w:tcBorders>
            <w:noWrap/>
            <w:vAlign w:val="center"/>
          </w:tcPr>
          <w:p w14:paraId="69DF1E0E">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3679" w:type="dxa"/>
            <w:gridSpan w:val="3"/>
            <w:tcBorders>
              <w:top w:val="single" w:color="auto" w:sz="6" w:space="0"/>
              <w:left w:val="single" w:color="auto" w:sz="6" w:space="0"/>
              <w:bottom w:val="single" w:color="auto" w:sz="6" w:space="0"/>
              <w:right w:val="single" w:color="auto" w:sz="6" w:space="0"/>
            </w:tcBorders>
            <w:noWrap/>
            <w:vAlign w:val="center"/>
          </w:tcPr>
          <w:p w14:paraId="44B5375B">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从事工程建设项目管理工作年限</w:t>
            </w:r>
          </w:p>
        </w:tc>
        <w:tc>
          <w:tcPr>
            <w:tcW w:w="1327" w:type="dxa"/>
            <w:tcBorders>
              <w:top w:val="single" w:color="auto" w:sz="6" w:space="0"/>
              <w:left w:val="single" w:color="auto" w:sz="6" w:space="0"/>
              <w:bottom w:val="single" w:color="auto" w:sz="6" w:space="0"/>
              <w:right w:val="single" w:color="auto" w:sz="6" w:space="0"/>
            </w:tcBorders>
            <w:noWrap/>
            <w:vAlign w:val="center"/>
          </w:tcPr>
          <w:p w14:paraId="0E5C094F">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tr w14:paraId="2F85F9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9"/>
            <w:tcBorders>
              <w:top w:val="single" w:color="auto" w:sz="6" w:space="0"/>
              <w:left w:val="single" w:color="auto" w:sz="6" w:space="0"/>
              <w:bottom w:val="single" w:color="auto" w:sz="6" w:space="0"/>
              <w:right w:val="single" w:color="auto" w:sz="6" w:space="0"/>
            </w:tcBorders>
            <w:noWrap/>
            <w:vAlign w:val="center"/>
          </w:tcPr>
          <w:p w14:paraId="1F832E28">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以项目技术负责人身份参与过的主要业绩（已完工项目）</w:t>
            </w:r>
          </w:p>
        </w:tc>
      </w:tr>
      <w:tr w14:paraId="1EF5AD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3AC11449">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序号</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11D03FE5">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项目名称</w:t>
            </w: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744A4AD2">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建设单位</w:t>
            </w: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78E33634">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建设内容和规模</w:t>
            </w:r>
          </w:p>
        </w:tc>
        <w:tc>
          <w:tcPr>
            <w:tcW w:w="1706" w:type="dxa"/>
            <w:tcBorders>
              <w:top w:val="single" w:color="auto" w:sz="6" w:space="0"/>
              <w:left w:val="single" w:color="auto" w:sz="6" w:space="0"/>
              <w:bottom w:val="single" w:color="auto" w:sz="6" w:space="0"/>
              <w:right w:val="single" w:color="auto" w:sz="6" w:space="0"/>
            </w:tcBorders>
            <w:noWrap/>
            <w:vAlign w:val="center"/>
          </w:tcPr>
          <w:p w14:paraId="66DE2BB2">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开、竣工日期</w:t>
            </w:r>
          </w:p>
        </w:tc>
        <w:tc>
          <w:tcPr>
            <w:tcW w:w="1327" w:type="dxa"/>
            <w:tcBorders>
              <w:top w:val="single" w:color="auto" w:sz="6" w:space="0"/>
              <w:left w:val="single" w:color="auto" w:sz="6" w:space="0"/>
              <w:bottom w:val="single" w:color="auto" w:sz="6" w:space="0"/>
              <w:right w:val="single" w:color="auto" w:sz="6" w:space="0"/>
            </w:tcBorders>
            <w:noWrap/>
            <w:vAlign w:val="center"/>
          </w:tcPr>
          <w:p w14:paraId="1CD231E4">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质量等级</w:t>
            </w:r>
          </w:p>
        </w:tc>
      </w:tr>
      <w:tr w14:paraId="019F1C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1A06DF51">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1</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316BB8E4">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41503D27">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6B84B5A3">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715D18C4">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771F4791">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tr w14:paraId="38DD65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2B24CEB7">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2</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31B88322">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2C54A9D7">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2EA80918">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3A69EDA1">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68796693">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tr w14:paraId="15ACF1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01CC66C6">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2D869935">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2A70942F">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5813A8EA">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550C1E01">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26A8E268">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tr w14:paraId="1D8322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626EFD5A">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49310F29">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7FF21225">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14736BCC">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33D77110">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07EBDB3F">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tr w14:paraId="00B954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392E004B">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44A1762B">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2AF77196">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03DA3EAC">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0B15926E">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3A641578">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tbl>
    <w:p w14:paraId="371C6CAC">
      <w:pPr>
        <w:wordWrap w:val="0"/>
        <w:adjustRightInd w:val="0"/>
        <w:snapToGrid w:val="0"/>
        <w:spacing w:line="440" w:lineRule="exact"/>
        <w:jc w:val="cente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
          <w:snapToGrid w:val="0"/>
          <w:color w:val="000000" w:themeColor="text1"/>
          <w:kern w:val="0"/>
          <w:szCs w:val="24"/>
          <w:highlight w:val="none"/>
          <w14:textFill>
            <w14:solidFill>
              <w14:schemeClr w14:val="tx1"/>
            </w14:solidFill>
          </w14:textFill>
        </w:rPr>
        <w:t>项目技术负责人简历表</w:t>
      </w:r>
    </w:p>
    <w:p w14:paraId="17AC5CE6">
      <w:pPr>
        <w:pStyle w:val="48"/>
        <w:wordWrap w:val="0"/>
        <w:adjustRightInd w:val="0"/>
        <w:snapToGrid w:val="0"/>
        <w:spacing w:line="440" w:lineRule="exact"/>
        <w:jc w:val="both"/>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p>
    <w:p w14:paraId="15757182">
      <w:pPr>
        <w:pStyle w:val="48"/>
        <w:wordWrap w:val="0"/>
        <w:adjustRightInd w:val="0"/>
        <w:snapToGrid w:val="0"/>
        <w:spacing w:line="440" w:lineRule="exact"/>
        <w:jc w:val="righ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p>
    <w:p w14:paraId="4D95344E">
      <w:pPr>
        <w:pStyle w:val="48"/>
        <w:wordWrap w:val="0"/>
        <w:adjustRightInd w:val="0"/>
        <w:snapToGrid w:val="0"/>
        <w:spacing w:line="440" w:lineRule="exact"/>
        <w:jc w:val="righ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项目技术负责人：</w:t>
      </w:r>
      <w:r>
        <w:rPr>
          <w:rFonts w:hint="eastAsia" w:asciiTheme="minorEastAsia" w:hAnsiTheme="minorEastAsia" w:eastAsiaTheme="minorEastAsia" w:cstheme="minorEastAsia"/>
          <w:snapToGrid w:val="0"/>
          <w:color w:val="000000" w:themeColor="text1"/>
          <w:kern w:val="0"/>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（签字）</w:t>
      </w:r>
    </w:p>
    <w:p w14:paraId="2C0A8BBB">
      <w:pPr>
        <w:pStyle w:val="48"/>
        <w:wordWrap w:val="0"/>
        <w:adjustRightInd w:val="0"/>
        <w:snapToGrid w:val="0"/>
        <w:spacing w:line="440" w:lineRule="exact"/>
        <w:jc w:val="righ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p>
    <w:p w14:paraId="71B8FEEF">
      <w:pPr>
        <w:pStyle w:val="48"/>
        <w:wordWrap w:val="0"/>
        <w:adjustRightInd w:val="0"/>
        <w:snapToGrid w:val="0"/>
        <w:spacing w:line="440" w:lineRule="exact"/>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年</w:t>
      </w:r>
      <w:r>
        <w:rPr>
          <w:rFonts w:hint="eastAsia" w:asciiTheme="minorEastAsia" w:hAnsiTheme="minorEastAsia" w:eastAsiaTheme="minorEastAsia" w:cstheme="minorEastAsia"/>
          <w:snapToGrid w:val="0"/>
          <w:color w:val="000000" w:themeColor="text1"/>
          <w:kern w:val="0"/>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月</w:t>
      </w:r>
      <w:r>
        <w:rPr>
          <w:rFonts w:hint="eastAsia" w:asciiTheme="minorEastAsia" w:hAnsiTheme="minorEastAsia" w:eastAsiaTheme="minorEastAsia" w:cstheme="minorEastAsia"/>
          <w:snapToGrid w:val="0"/>
          <w:color w:val="000000" w:themeColor="text1"/>
          <w:kern w:val="0"/>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日</w:t>
      </w:r>
    </w:p>
    <w:p w14:paraId="1B25A8B4">
      <w:pPr>
        <w:wordWrap w:val="0"/>
        <w:adjustRightInd w:val="0"/>
        <w:snapToGrid w:val="0"/>
        <w:spacing w:line="400" w:lineRule="exact"/>
        <w:ind w:firstLine="57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31204AF5">
      <w:pPr>
        <w:pStyle w:val="48"/>
        <w:wordWrap w:val="0"/>
        <w:adjustRightInd w:val="0"/>
        <w:snapToGrid w:val="0"/>
        <w:spacing w:line="440" w:lineRule="exact"/>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p>
    <w:p w14:paraId="699FB7EE">
      <w:pPr>
        <w:wordWrap w:val="0"/>
        <w:adjustRightInd w:val="0"/>
        <w:snapToGrid w:val="0"/>
        <w:spacing w:line="40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说明：《项目技术负责人简历表》后应附拟派项目技术负责人以下资料：</w:t>
      </w:r>
    </w:p>
    <w:p w14:paraId="46370442">
      <w:pPr>
        <w:wordWrap w:val="0"/>
        <w:adjustRightInd w:val="0"/>
        <w:snapToGrid w:val="0"/>
        <w:spacing w:line="400" w:lineRule="exact"/>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1．身份证彩色扫描件；</w:t>
      </w:r>
    </w:p>
    <w:p w14:paraId="333723B7">
      <w:pPr>
        <w:wordWrap w:val="0"/>
        <w:adjustRightInd w:val="0"/>
        <w:snapToGrid w:val="0"/>
        <w:spacing w:line="400" w:lineRule="exact"/>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2．职称证彩色扫描件；</w:t>
      </w:r>
    </w:p>
    <w:p w14:paraId="604E5430">
      <w:pPr>
        <w:wordWrap w:val="0"/>
        <w:adjustRightInd w:val="0"/>
        <w:snapToGrid w:val="0"/>
        <w:spacing w:line="400" w:lineRule="exact"/>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3．在本单位缴纳社保的证明（</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至少</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1</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个月，其中必须有2025年</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11</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月</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）彩色扫描件；拟派技术负责人为退休返聘人员无法提供社保证明的，提供退休证和劳动合同彩色扫描件。</w:t>
      </w:r>
    </w:p>
    <w:p w14:paraId="4FDA75C7">
      <w:pPr>
        <w:wordWrap w:val="0"/>
        <w:adjustRightInd w:val="0"/>
        <w:snapToGrid w:val="0"/>
        <w:spacing w:line="400" w:lineRule="exact"/>
        <w:ind w:firstLine="480" w:firstLineChars="200"/>
        <w:rPr>
          <w:rFonts w:hint="eastAsia" w:asciiTheme="minorEastAsia" w:hAnsiTheme="minorEastAsia" w:eastAsiaTheme="minorEastAsia" w:cstheme="minorEastAsia"/>
          <w:snapToGrid w:val="0"/>
          <w:color w:val="000000" w:themeColor="text1"/>
          <w:szCs w:val="24"/>
          <w:highlight w:val="none"/>
          <w14:textFill>
            <w14:solidFill>
              <w14:schemeClr w14:val="tx1"/>
            </w14:solidFill>
          </w14:textFill>
        </w:rPr>
        <w:sectPr>
          <w:endnotePr>
            <w:numFmt w:val="decimal"/>
          </w:endnotePr>
          <w:pgSz w:w="11906" w:h="16838"/>
          <w:pgMar w:top="1701" w:right="1531" w:bottom="1417" w:left="1531" w:header="850" w:footer="992" w:gutter="0"/>
          <w:pgNumType w:fmt="decimal"/>
          <w:cols w:space="720" w:num="1"/>
          <w:docGrid w:linePitch="327" w:charSpace="0"/>
        </w:sectPr>
      </w:pPr>
      <w:r>
        <w:rPr>
          <w:rFonts w:hint="eastAsia" w:asciiTheme="minorEastAsia" w:hAnsiTheme="minorEastAsia" w:eastAsiaTheme="minorEastAsia" w:cstheme="minorEastAsia"/>
          <w:snapToGrid w:val="0"/>
          <w:color w:val="000000" w:themeColor="text1"/>
          <w:kern w:val="0"/>
          <w:szCs w:val="24"/>
          <w:highlight w:val="none"/>
          <w:lang w:val="en-US" w:eastAsia="zh-CN"/>
          <w14:textFill>
            <w14:solidFill>
              <w14:schemeClr w14:val="tx1"/>
            </w14:solidFill>
          </w14:textFill>
        </w:rPr>
        <w:t>4.</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“进粤企业和人员诚信信息登记平台”个人信息情况打印页或网页截图。（适用于省外建筑企业）</w:t>
      </w:r>
    </w:p>
    <w:p w14:paraId="7F2BF5ED">
      <w:pPr>
        <w:pStyle w:val="4"/>
        <w:spacing w:before="120"/>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bookmarkStart w:id="563" w:name="_Toc12570"/>
      <w:bookmarkStart w:id="564" w:name="_Toc31518"/>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格式十一 项目设计负责人简历表</w:t>
      </w:r>
      <w:bookmarkEnd w:id="563"/>
      <w:bookmarkEnd w:id="564"/>
    </w:p>
    <w:p w14:paraId="6BE0E100">
      <w:pPr>
        <w:wordWrap w:val="0"/>
        <w:adjustRightInd w:val="0"/>
        <w:snapToGrid w:val="0"/>
        <w:spacing w:line="440" w:lineRule="exact"/>
        <w:jc w:val="left"/>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pPr>
    </w:p>
    <w:tbl>
      <w:tblPr>
        <w:tblStyle w:val="21"/>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75"/>
        <w:gridCol w:w="963"/>
        <w:gridCol w:w="584"/>
        <w:gridCol w:w="648"/>
        <w:gridCol w:w="1294"/>
        <w:gridCol w:w="1946"/>
        <w:gridCol w:w="27"/>
        <w:gridCol w:w="1706"/>
        <w:gridCol w:w="1327"/>
      </w:tblGrid>
      <w:tr w14:paraId="7959C1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ign w:val="center"/>
          </w:tcPr>
          <w:p w14:paraId="31D87E5E">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姓   名</w:t>
            </w:r>
          </w:p>
        </w:tc>
        <w:tc>
          <w:tcPr>
            <w:tcW w:w="1232" w:type="dxa"/>
            <w:gridSpan w:val="2"/>
            <w:tcBorders>
              <w:top w:val="single" w:color="auto" w:sz="6" w:space="0"/>
              <w:left w:val="single" w:color="auto" w:sz="6" w:space="0"/>
              <w:bottom w:val="single" w:color="auto" w:sz="6" w:space="0"/>
              <w:right w:val="single" w:color="auto" w:sz="6" w:space="0"/>
            </w:tcBorders>
            <w:noWrap/>
            <w:vAlign w:val="center"/>
          </w:tcPr>
          <w:p w14:paraId="3110D742">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294" w:type="dxa"/>
            <w:tcBorders>
              <w:top w:val="single" w:color="auto" w:sz="6" w:space="0"/>
              <w:left w:val="single" w:color="auto" w:sz="6" w:space="0"/>
              <w:bottom w:val="single" w:color="auto" w:sz="6" w:space="0"/>
              <w:right w:val="single" w:color="auto" w:sz="6" w:space="0"/>
            </w:tcBorders>
            <w:noWrap/>
            <w:vAlign w:val="center"/>
          </w:tcPr>
          <w:p w14:paraId="1E67DD16">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性  别</w:t>
            </w:r>
          </w:p>
        </w:tc>
        <w:tc>
          <w:tcPr>
            <w:tcW w:w="1946" w:type="dxa"/>
            <w:tcBorders>
              <w:top w:val="single" w:color="auto" w:sz="6" w:space="0"/>
              <w:left w:val="single" w:color="auto" w:sz="6" w:space="0"/>
              <w:bottom w:val="single" w:color="auto" w:sz="6" w:space="0"/>
              <w:right w:val="single" w:color="auto" w:sz="6" w:space="0"/>
            </w:tcBorders>
            <w:noWrap/>
            <w:vAlign w:val="center"/>
          </w:tcPr>
          <w:p w14:paraId="0F58B60D">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733" w:type="dxa"/>
            <w:gridSpan w:val="2"/>
            <w:tcBorders>
              <w:top w:val="single" w:color="auto" w:sz="6" w:space="0"/>
              <w:left w:val="single" w:color="auto" w:sz="6" w:space="0"/>
              <w:bottom w:val="single" w:color="auto" w:sz="6" w:space="0"/>
              <w:right w:val="single" w:color="auto" w:sz="6" w:space="0"/>
            </w:tcBorders>
            <w:noWrap/>
            <w:vAlign w:val="center"/>
          </w:tcPr>
          <w:p w14:paraId="0E75D2CA">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年   龄</w:t>
            </w:r>
          </w:p>
        </w:tc>
        <w:tc>
          <w:tcPr>
            <w:tcW w:w="1327" w:type="dxa"/>
            <w:tcBorders>
              <w:top w:val="single" w:color="auto" w:sz="6" w:space="0"/>
              <w:left w:val="single" w:color="auto" w:sz="6" w:space="0"/>
              <w:bottom w:val="single" w:color="auto" w:sz="6" w:space="0"/>
              <w:right w:val="single" w:color="auto" w:sz="6" w:space="0"/>
            </w:tcBorders>
            <w:noWrap/>
            <w:vAlign w:val="center"/>
          </w:tcPr>
          <w:p w14:paraId="36CA4E51">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tr w14:paraId="71D556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ign w:val="center"/>
          </w:tcPr>
          <w:p w14:paraId="7B359A3E">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职   务</w:t>
            </w:r>
          </w:p>
        </w:tc>
        <w:tc>
          <w:tcPr>
            <w:tcW w:w="1232" w:type="dxa"/>
            <w:gridSpan w:val="2"/>
            <w:tcBorders>
              <w:top w:val="single" w:color="auto" w:sz="6" w:space="0"/>
              <w:left w:val="single" w:color="auto" w:sz="6" w:space="0"/>
              <w:bottom w:val="single" w:color="auto" w:sz="6" w:space="0"/>
              <w:right w:val="single" w:color="auto" w:sz="6" w:space="0"/>
            </w:tcBorders>
            <w:noWrap/>
            <w:vAlign w:val="center"/>
          </w:tcPr>
          <w:p w14:paraId="4730A620">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294" w:type="dxa"/>
            <w:tcBorders>
              <w:top w:val="single" w:color="auto" w:sz="6" w:space="0"/>
              <w:left w:val="single" w:color="auto" w:sz="6" w:space="0"/>
              <w:bottom w:val="single" w:color="auto" w:sz="6" w:space="0"/>
              <w:right w:val="single" w:color="auto" w:sz="6" w:space="0"/>
            </w:tcBorders>
            <w:noWrap/>
            <w:vAlign w:val="center"/>
          </w:tcPr>
          <w:p w14:paraId="24DA3C38">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职  称</w:t>
            </w:r>
          </w:p>
        </w:tc>
        <w:tc>
          <w:tcPr>
            <w:tcW w:w="1946" w:type="dxa"/>
            <w:tcBorders>
              <w:top w:val="single" w:color="auto" w:sz="6" w:space="0"/>
              <w:left w:val="single" w:color="auto" w:sz="6" w:space="0"/>
              <w:bottom w:val="single" w:color="auto" w:sz="6" w:space="0"/>
              <w:right w:val="single" w:color="auto" w:sz="6" w:space="0"/>
            </w:tcBorders>
            <w:noWrap/>
            <w:vAlign w:val="center"/>
          </w:tcPr>
          <w:p w14:paraId="4BC2079B">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733" w:type="dxa"/>
            <w:gridSpan w:val="2"/>
            <w:tcBorders>
              <w:top w:val="single" w:color="auto" w:sz="6" w:space="0"/>
              <w:left w:val="single" w:color="auto" w:sz="6" w:space="0"/>
              <w:bottom w:val="single" w:color="auto" w:sz="6" w:space="0"/>
              <w:right w:val="single" w:color="auto" w:sz="6" w:space="0"/>
            </w:tcBorders>
            <w:noWrap/>
            <w:vAlign w:val="center"/>
          </w:tcPr>
          <w:p w14:paraId="66018874">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学   历</w:t>
            </w:r>
          </w:p>
        </w:tc>
        <w:tc>
          <w:tcPr>
            <w:tcW w:w="1327" w:type="dxa"/>
            <w:tcBorders>
              <w:top w:val="single" w:color="auto" w:sz="6" w:space="0"/>
              <w:left w:val="single" w:color="auto" w:sz="6" w:space="0"/>
              <w:bottom w:val="single" w:color="auto" w:sz="6" w:space="0"/>
              <w:right w:val="single" w:color="auto" w:sz="6" w:space="0"/>
            </w:tcBorders>
            <w:noWrap/>
            <w:vAlign w:val="center"/>
          </w:tcPr>
          <w:p w14:paraId="412EF281">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tr w14:paraId="6F9465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ign w:val="center"/>
          </w:tcPr>
          <w:p w14:paraId="663345B3">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参加工作时间</w:t>
            </w:r>
          </w:p>
        </w:tc>
        <w:tc>
          <w:tcPr>
            <w:tcW w:w="2526" w:type="dxa"/>
            <w:gridSpan w:val="3"/>
            <w:tcBorders>
              <w:top w:val="single" w:color="auto" w:sz="6" w:space="0"/>
              <w:left w:val="single" w:color="auto" w:sz="6" w:space="0"/>
              <w:bottom w:val="single" w:color="auto" w:sz="6" w:space="0"/>
              <w:right w:val="single" w:color="auto" w:sz="6" w:space="0"/>
            </w:tcBorders>
            <w:noWrap/>
            <w:vAlign w:val="center"/>
          </w:tcPr>
          <w:p w14:paraId="0D984A0B">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3679" w:type="dxa"/>
            <w:gridSpan w:val="3"/>
            <w:tcBorders>
              <w:top w:val="single" w:color="auto" w:sz="6" w:space="0"/>
              <w:left w:val="single" w:color="auto" w:sz="6" w:space="0"/>
              <w:bottom w:val="single" w:color="auto" w:sz="6" w:space="0"/>
              <w:right w:val="single" w:color="auto" w:sz="6" w:space="0"/>
            </w:tcBorders>
            <w:noWrap/>
            <w:vAlign w:val="center"/>
          </w:tcPr>
          <w:p w14:paraId="26FDD63C">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从事工程建设项目管理工作年限</w:t>
            </w:r>
          </w:p>
        </w:tc>
        <w:tc>
          <w:tcPr>
            <w:tcW w:w="1327" w:type="dxa"/>
            <w:tcBorders>
              <w:top w:val="single" w:color="auto" w:sz="6" w:space="0"/>
              <w:left w:val="single" w:color="auto" w:sz="6" w:space="0"/>
              <w:bottom w:val="single" w:color="auto" w:sz="6" w:space="0"/>
              <w:right w:val="single" w:color="auto" w:sz="6" w:space="0"/>
            </w:tcBorders>
            <w:noWrap/>
            <w:vAlign w:val="center"/>
          </w:tcPr>
          <w:p w14:paraId="39EAC850">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tr w14:paraId="15F36B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9"/>
            <w:tcBorders>
              <w:top w:val="single" w:color="auto" w:sz="6" w:space="0"/>
              <w:left w:val="single" w:color="auto" w:sz="6" w:space="0"/>
              <w:bottom w:val="single" w:color="auto" w:sz="6" w:space="0"/>
              <w:right w:val="single" w:color="auto" w:sz="6" w:space="0"/>
            </w:tcBorders>
            <w:noWrap/>
            <w:vAlign w:val="center"/>
          </w:tcPr>
          <w:p w14:paraId="0D176692">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以项目设计负责人身份参与过的主要业绩（已完工项目）</w:t>
            </w:r>
          </w:p>
        </w:tc>
      </w:tr>
      <w:tr w14:paraId="4F4E9F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12661383">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序号</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6D7CE1F3">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项目名称</w:t>
            </w: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221C204A">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建设单位</w:t>
            </w: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30E6D81A">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建设内容和规模</w:t>
            </w:r>
          </w:p>
        </w:tc>
        <w:tc>
          <w:tcPr>
            <w:tcW w:w="1706" w:type="dxa"/>
            <w:tcBorders>
              <w:top w:val="single" w:color="auto" w:sz="6" w:space="0"/>
              <w:left w:val="single" w:color="auto" w:sz="6" w:space="0"/>
              <w:bottom w:val="single" w:color="auto" w:sz="6" w:space="0"/>
              <w:right w:val="single" w:color="auto" w:sz="6" w:space="0"/>
            </w:tcBorders>
            <w:noWrap/>
            <w:vAlign w:val="center"/>
          </w:tcPr>
          <w:p w14:paraId="42CA1BEB">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开、竣工日期</w:t>
            </w:r>
          </w:p>
        </w:tc>
        <w:tc>
          <w:tcPr>
            <w:tcW w:w="1327" w:type="dxa"/>
            <w:tcBorders>
              <w:top w:val="single" w:color="auto" w:sz="6" w:space="0"/>
              <w:left w:val="single" w:color="auto" w:sz="6" w:space="0"/>
              <w:bottom w:val="single" w:color="auto" w:sz="6" w:space="0"/>
              <w:right w:val="single" w:color="auto" w:sz="6" w:space="0"/>
            </w:tcBorders>
            <w:noWrap/>
            <w:vAlign w:val="center"/>
          </w:tcPr>
          <w:p w14:paraId="1A33B006">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质量等级</w:t>
            </w:r>
          </w:p>
        </w:tc>
      </w:tr>
      <w:tr w14:paraId="6BEE23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23C2747E">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1</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30C26B58">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73E20D6F">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7976D5B7">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6FE87C22">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5B39C686">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tr w14:paraId="65E975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549D15E2">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2</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69DB314D">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67931EEC">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50AF41E1">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166BA8F9">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0CDE6FC3">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tr w14:paraId="1C35CF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301E4D06">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0CD1A4BE">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027DED1F">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37B6C6BE">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03E7EC70">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16CC8DCA">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tr w14:paraId="716164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2A89ECF6">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1CCC90C1">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024051DE">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393B20A3">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2D287716">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37B10625">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tr w14:paraId="3D1B45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275FF3BB">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57AFE78F">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5A4A0CD8">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3488E2AB">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38B644F1">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67F47092">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tbl>
    <w:p w14:paraId="04EB943A">
      <w:pPr>
        <w:wordWrap w:val="0"/>
        <w:adjustRightInd w:val="0"/>
        <w:snapToGrid w:val="0"/>
        <w:spacing w:line="440" w:lineRule="exact"/>
        <w:jc w:val="cente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
          <w:snapToGrid w:val="0"/>
          <w:color w:val="000000" w:themeColor="text1"/>
          <w:kern w:val="0"/>
          <w:szCs w:val="24"/>
          <w:highlight w:val="none"/>
          <w14:textFill>
            <w14:solidFill>
              <w14:schemeClr w14:val="tx1"/>
            </w14:solidFill>
          </w14:textFill>
        </w:rPr>
        <w:t>项目设计负责人简历表</w:t>
      </w:r>
    </w:p>
    <w:p w14:paraId="3506B618">
      <w:pPr>
        <w:wordWrap w:val="0"/>
        <w:adjustRightInd w:val="0"/>
        <w:snapToGrid w:val="0"/>
        <w:spacing w:line="440" w:lineRule="exact"/>
        <w:ind w:firstLine="57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0A8464B6">
      <w:pPr>
        <w:pStyle w:val="48"/>
        <w:wordWrap w:val="0"/>
        <w:adjustRightInd w:val="0"/>
        <w:snapToGrid w:val="0"/>
        <w:spacing w:line="440" w:lineRule="exact"/>
        <w:jc w:val="righ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p>
    <w:p w14:paraId="25F73BA2">
      <w:pPr>
        <w:pStyle w:val="48"/>
        <w:wordWrap w:val="0"/>
        <w:adjustRightInd w:val="0"/>
        <w:snapToGrid w:val="0"/>
        <w:spacing w:line="440" w:lineRule="exact"/>
        <w:jc w:val="righ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项目</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设计</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负责人：</w:t>
      </w:r>
      <w:r>
        <w:rPr>
          <w:rFonts w:hint="eastAsia" w:asciiTheme="minorEastAsia" w:hAnsiTheme="minorEastAsia" w:eastAsiaTheme="minorEastAsia" w:cstheme="minorEastAsia"/>
          <w:snapToGrid w:val="0"/>
          <w:color w:val="000000" w:themeColor="text1"/>
          <w:kern w:val="0"/>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（签字）</w:t>
      </w:r>
    </w:p>
    <w:p w14:paraId="10647B72">
      <w:pPr>
        <w:pStyle w:val="48"/>
        <w:wordWrap w:val="0"/>
        <w:adjustRightInd w:val="0"/>
        <w:snapToGrid w:val="0"/>
        <w:spacing w:line="440" w:lineRule="exact"/>
        <w:jc w:val="righ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p>
    <w:p w14:paraId="74901679">
      <w:pPr>
        <w:pStyle w:val="48"/>
        <w:wordWrap w:val="0"/>
        <w:adjustRightInd w:val="0"/>
        <w:snapToGrid w:val="0"/>
        <w:spacing w:line="440" w:lineRule="exact"/>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年</w:t>
      </w:r>
      <w:r>
        <w:rPr>
          <w:rFonts w:hint="eastAsia" w:asciiTheme="minorEastAsia" w:hAnsiTheme="minorEastAsia" w:eastAsiaTheme="minorEastAsia" w:cstheme="minorEastAsia"/>
          <w:snapToGrid w:val="0"/>
          <w:color w:val="000000" w:themeColor="text1"/>
          <w:kern w:val="0"/>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月</w:t>
      </w:r>
      <w:r>
        <w:rPr>
          <w:rFonts w:hint="eastAsia" w:asciiTheme="minorEastAsia" w:hAnsiTheme="minorEastAsia" w:eastAsiaTheme="minorEastAsia" w:cstheme="minorEastAsia"/>
          <w:snapToGrid w:val="0"/>
          <w:color w:val="000000" w:themeColor="text1"/>
          <w:kern w:val="0"/>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日</w:t>
      </w:r>
    </w:p>
    <w:p w14:paraId="01884584">
      <w:pPr>
        <w:wordWrap w:val="0"/>
        <w:adjustRightInd w:val="0"/>
        <w:snapToGrid w:val="0"/>
        <w:spacing w:line="400" w:lineRule="exact"/>
        <w:ind w:firstLine="57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59F06DFC">
      <w:pPr>
        <w:wordWrap w:val="0"/>
        <w:adjustRightInd w:val="0"/>
        <w:snapToGrid w:val="0"/>
        <w:spacing w:line="400" w:lineRule="exact"/>
        <w:ind w:firstLine="57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054F7E9E">
      <w:pPr>
        <w:wordWrap w:val="0"/>
        <w:adjustRightInd w:val="0"/>
        <w:snapToGrid w:val="0"/>
        <w:spacing w:line="40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说明：《项目设计负责人简历表》后应附拟派项目设计负责人以下资料：</w:t>
      </w:r>
    </w:p>
    <w:p w14:paraId="4B633D08">
      <w:pPr>
        <w:wordWrap w:val="0"/>
        <w:adjustRightInd w:val="0"/>
        <w:snapToGrid w:val="0"/>
        <w:spacing w:line="40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1．身份证彩色扫描件；</w:t>
      </w:r>
    </w:p>
    <w:p w14:paraId="586E437A">
      <w:pPr>
        <w:wordWrap w:val="0"/>
        <w:adjustRightInd w:val="0"/>
        <w:snapToGrid w:val="0"/>
        <w:spacing w:line="40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2．</w:t>
      </w:r>
      <w:r>
        <w:rPr>
          <w:rFonts w:hint="eastAsia" w:asciiTheme="minorEastAsia" w:hAnsiTheme="minorEastAsia" w:eastAsiaTheme="minorEastAsia" w:cstheme="minorEastAsia"/>
          <w:snapToGrid w:val="0"/>
          <w:color w:val="000000" w:themeColor="text1"/>
          <w:kern w:val="0"/>
          <w:szCs w:val="24"/>
          <w:highlight w:val="none"/>
          <w:lang w:val="en-US" w:eastAsia="zh-CN"/>
          <w14:textFill>
            <w14:solidFill>
              <w14:schemeClr w14:val="tx1"/>
            </w14:solidFill>
          </w14:textFill>
        </w:rPr>
        <w:t>职称证书</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彩色扫描件；</w:t>
      </w:r>
    </w:p>
    <w:p w14:paraId="0B22D139">
      <w:pPr>
        <w:wordWrap w:val="0"/>
        <w:adjustRightInd w:val="0"/>
        <w:snapToGrid w:val="0"/>
        <w:spacing w:line="400" w:lineRule="exact"/>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3．在本单位缴纳社保的证明（</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至少</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1</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个月，其中必须有2025年</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11</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月</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）彩色扫描件；拟派设计负责人为退休返聘人员无法提供社保证明的，提供退休证和劳动合同彩色扫描件。</w:t>
      </w:r>
      <w:bookmarkEnd w:id="554"/>
      <w:bookmarkEnd w:id="555"/>
      <w:bookmarkEnd w:id="556"/>
      <w:bookmarkEnd w:id="557"/>
      <w:bookmarkEnd w:id="558"/>
    </w:p>
    <w:p w14:paraId="07BA3762">
      <w:pPr>
        <w:wordWrap w:val="0"/>
        <w:adjustRightInd w:val="0"/>
        <w:snapToGrid w:val="0"/>
        <w:spacing w:line="400" w:lineRule="exact"/>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4．“进粤企业和人员诚信信息登记平台”个人信息情况打印页或网页截图。（适用于省外建筑企业）。</w:t>
      </w:r>
    </w:p>
    <w:p w14:paraId="4AF244B7">
      <w:pPr>
        <w:wordWrap w:val="0"/>
        <w:adjustRightInd w:val="0"/>
        <w:snapToGrid w:val="0"/>
        <w:spacing w:line="400" w:lineRule="exact"/>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4"/>
          <w:highlight w:val="none"/>
          <w14:textFill>
            <w14:solidFill>
              <w14:schemeClr w14:val="tx1"/>
            </w14:solidFill>
          </w14:textFill>
        </w:rPr>
        <w:br w:type="page"/>
      </w:r>
      <w:bookmarkStart w:id="565" w:name="_Toc10080"/>
      <w:bookmarkStart w:id="566" w:name="_Toc8264"/>
    </w:p>
    <w:p w14:paraId="052519CD">
      <w:pPr>
        <w:wordWrap w:val="0"/>
        <w:adjustRightInd w:val="0"/>
        <w:snapToGrid w:val="0"/>
        <w:spacing w:line="400" w:lineRule="exact"/>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5B71362B">
      <w:pPr>
        <w:pStyle w:val="4"/>
        <w:spacing w:before="120"/>
        <w:rPr>
          <w:rFonts w:hint="eastAsia" w:asciiTheme="minorEastAsia" w:hAnsiTheme="minorEastAsia" w:eastAsiaTheme="minorEastAsia" w:cstheme="minorEastAsia"/>
          <w:bCs/>
          <w:snapToGrid w:val="0"/>
          <w:color w:val="000000" w:themeColor="text1"/>
          <w:szCs w:val="24"/>
          <w:highlight w:val="none"/>
          <w14:textFill>
            <w14:solidFill>
              <w14:schemeClr w14:val="tx1"/>
            </w14:solidFill>
          </w14:textFill>
        </w:rPr>
      </w:pPr>
      <w:bookmarkStart w:id="567" w:name="_Toc27493"/>
      <w:r>
        <w:rPr>
          <w:rFonts w:hint="eastAsia" w:asciiTheme="minorEastAsia" w:hAnsiTheme="minorEastAsia" w:eastAsiaTheme="minorEastAsia" w:cstheme="minorEastAsia"/>
          <w:b/>
          <w:snapToGrid w:val="0"/>
          <w:color w:val="000000" w:themeColor="text1"/>
          <w:szCs w:val="24"/>
          <w:highlight w:val="none"/>
          <w14:textFill>
            <w14:solidFill>
              <w14:schemeClr w14:val="tx1"/>
            </w14:solidFill>
          </w14:textFill>
        </w:rPr>
        <w:t>格式十</w:t>
      </w:r>
      <w:r>
        <w:rPr>
          <w:rFonts w:hint="eastAsia" w:asciiTheme="minorEastAsia" w:hAnsiTheme="minorEastAsia" w:eastAsiaTheme="minorEastAsia" w:cstheme="minorEastAsia"/>
          <w:b/>
          <w:snapToGrid w:val="0"/>
          <w:color w:val="000000" w:themeColor="text1"/>
          <w:szCs w:val="24"/>
          <w:highlight w:val="none"/>
          <w:lang w:val="en-US" w:eastAsia="zh-CN"/>
          <w14:textFill>
            <w14:solidFill>
              <w14:schemeClr w14:val="tx1"/>
            </w14:solidFill>
          </w14:textFill>
        </w:rPr>
        <w:t>二</w:t>
      </w:r>
      <w:r>
        <w:rPr>
          <w:rFonts w:hint="eastAsia" w:asciiTheme="minorEastAsia" w:hAnsiTheme="minorEastAsia" w:eastAsiaTheme="minorEastAsia" w:cstheme="minorEastAsia"/>
          <w:b/>
          <w:snapToGrid w:val="0"/>
          <w:color w:val="000000" w:themeColor="text1"/>
          <w:szCs w:val="24"/>
          <w:highlight w:val="none"/>
          <w14:textFill>
            <w14:solidFill>
              <w14:schemeClr w14:val="tx1"/>
            </w14:solidFill>
          </w14:textFill>
        </w:rPr>
        <w:t xml:space="preserve"> 项目管理机构组成表</w:t>
      </w:r>
      <w:bookmarkEnd w:id="565"/>
      <w:bookmarkEnd w:id="567"/>
    </w:p>
    <w:p w14:paraId="6AB277B4">
      <w:pPr>
        <w:wordWrap w:val="0"/>
        <w:adjustRightInd w:val="0"/>
        <w:snapToGrid w:val="0"/>
        <w:spacing w:before="260" w:after="260" w:line="440" w:lineRule="exact"/>
        <w:jc w:val="center"/>
        <w:rPr>
          <w:rFonts w:hint="eastAsia" w:asciiTheme="minorEastAsia" w:hAnsiTheme="minorEastAsia" w:eastAsiaTheme="minorEastAsia" w:cstheme="minorEastAsia"/>
          <w:b/>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
          <w:snapToGrid w:val="0"/>
          <w:color w:val="000000" w:themeColor="text1"/>
          <w:kern w:val="0"/>
          <w:szCs w:val="24"/>
          <w:highlight w:val="none"/>
          <w14:textFill>
            <w14:solidFill>
              <w14:schemeClr w14:val="tx1"/>
            </w14:solidFill>
          </w14:textFill>
        </w:rPr>
        <w:t>项目管理机构组成表</w:t>
      </w:r>
    </w:p>
    <w:tbl>
      <w:tblPr>
        <w:tblStyle w:val="21"/>
        <w:tblW w:w="8957"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44"/>
        <w:gridCol w:w="1424"/>
        <w:gridCol w:w="1358"/>
        <w:gridCol w:w="902"/>
        <w:gridCol w:w="819"/>
        <w:gridCol w:w="1541"/>
        <w:gridCol w:w="2169"/>
      </w:tblGrid>
      <w:tr w14:paraId="4266FB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10" w:hRule="atLeast"/>
        </w:trPr>
        <w:tc>
          <w:tcPr>
            <w:tcW w:w="744" w:type="dxa"/>
            <w:tcBorders>
              <w:top w:val="single" w:color="auto" w:sz="6" w:space="0"/>
              <w:left w:val="single" w:color="auto" w:sz="6" w:space="0"/>
              <w:bottom w:val="single" w:color="auto" w:sz="6" w:space="0"/>
              <w:right w:val="single" w:color="auto" w:sz="6" w:space="0"/>
            </w:tcBorders>
            <w:noWrap/>
            <w:vAlign w:val="center"/>
          </w:tcPr>
          <w:p w14:paraId="605DFE11">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序号</w:t>
            </w:r>
          </w:p>
        </w:tc>
        <w:tc>
          <w:tcPr>
            <w:tcW w:w="1424" w:type="dxa"/>
            <w:tcBorders>
              <w:top w:val="single" w:color="auto" w:sz="6" w:space="0"/>
              <w:left w:val="single" w:color="auto" w:sz="6" w:space="0"/>
              <w:bottom w:val="single" w:color="auto" w:sz="6" w:space="0"/>
              <w:right w:val="single" w:color="auto" w:sz="6" w:space="0"/>
            </w:tcBorders>
            <w:noWrap/>
            <w:vAlign w:val="center"/>
          </w:tcPr>
          <w:p w14:paraId="1A40264F">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职务</w:t>
            </w:r>
          </w:p>
        </w:tc>
        <w:tc>
          <w:tcPr>
            <w:tcW w:w="1358" w:type="dxa"/>
            <w:tcBorders>
              <w:top w:val="single" w:color="auto" w:sz="6" w:space="0"/>
              <w:left w:val="single" w:color="auto" w:sz="6" w:space="0"/>
              <w:bottom w:val="single" w:color="auto" w:sz="6" w:space="0"/>
              <w:right w:val="single" w:color="auto" w:sz="6" w:space="0"/>
            </w:tcBorders>
            <w:noWrap/>
            <w:vAlign w:val="center"/>
          </w:tcPr>
          <w:p w14:paraId="008A8A2D">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姓名</w:t>
            </w:r>
          </w:p>
        </w:tc>
        <w:tc>
          <w:tcPr>
            <w:tcW w:w="902" w:type="dxa"/>
            <w:tcBorders>
              <w:top w:val="single" w:color="auto" w:sz="6" w:space="0"/>
              <w:left w:val="single" w:color="auto" w:sz="6" w:space="0"/>
              <w:bottom w:val="single" w:color="auto" w:sz="6" w:space="0"/>
              <w:right w:val="single" w:color="auto" w:sz="6" w:space="0"/>
            </w:tcBorders>
            <w:noWrap/>
            <w:vAlign w:val="center"/>
          </w:tcPr>
          <w:p w14:paraId="0EA3C276">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性别</w:t>
            </w:r>
          </w:p>
        </w:tc>
        <w:tc>
          <w:tcPr>
            <w:tcW w:w="819" w:type="dxa"/>
            <w:tcBorders>
              <w:top w:val="single" w:color="auto" w:sz="6" w:space="0"/>
              <w:left w:val="single" w:color="auto" w:sz="6" w:space="0"/>
              <w:bottom w:val="single" w:color="auto" w:sz="6" w:space="0"/>
              <w:right w:val="single" w:color="auto" w:sz="6" w:space="0"/>
            </w:tcBorders>
            <w:noWrap/>
            <w:vAlign w:val="center"/>
          </w:tcPr>
          <w:p w14:paraId="16E7F366">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年龄</w:t>
            </w:r>
          </w:p>
        </w:tc>
        <w:tc>
          <w:tcPr>
            <w:tcW w:w="1541" w:type="dxa"/>
            <w:tcBorders>
              <w:top w:val="single" w:color="auto" w:sz="6" w:space="0"/>
              <w:left w:val="single" w:color="auto" w:sz="6" w:space="0"/>
              <w:bottom w:val="single" w:color="auto" w:sz="6" w:space="0"/>
              <w:right w:val="single" w:color="auto" w:sz="6" w:space="0"/>
            </w:tcBorders>
            <w:noWrap/>
            <w:vAlign w:val="center"/>
          </w:tcPr>
          <w:p w14:paraId="1AAB057E">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职称</w:t>
            </w:r>
          </w:p>
        </w:tc>
        <w:tc>
          <w:tcPr>
            <w:tcW w:w="2169" w:type="dxa"/>
            <w:tcBorders>
              <w:top w:val="single" w:color="auto" w:sz="6" w:space="0"/>
              <w:left w:val="single" w:color="auto" w:sz="6" w:space="0"/>
              <w:bottom w:val="single" w:color="auto" w:sz="6" w:space="0"/>
              <w:right w:val="single" w:color="auto" w:sz="6" w:space="0"/>
            </w:tcBorders>
            <w:noWrap/>
            <w:vAlign w:val="center"/>
          </w:tcPr>
          <w:p w14:paraId="6E76902F">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备注</w:t>
            </w:r>
          </w:p>
        </w:tc>
      </w:tr>
      <w:tr w14:paraId="199407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02" w:hRule="exact"/>
        </w:trPr>
        <w:tc>
          <w:tcPr>
            <w:tcW w:w="744" w:type="dxa"/>
            <w:tcBorders>
              <w:top w:val="single" w:color="auto" w:sz="6" w:space="0"/>
              <w:left w:val="single" w:color="auto" w:sz="6" w:space="0"/>
              <w:right w:val="single" w:color="auto" w:sz="6" w:space="0"/>
            </w:tcBorders>
            <w:noWrap/>
            <w:vAlign w:val="center"/>
          </w:tcPr>
          <w:p w14:paraId="256C31ED">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1</w:t>
            </w:r>
          </w:p>
        </w:tc>
        <w:tc>
          <w:tcPr>
            <w:tcW w:w="1424" w:type="dxa"/>
            <w:tcBorders>
              <w:top w:val="single" w:color="auto" w:sz="6" w:space="0"/>
              <w:left w:val="single" w:color="auto" w:sz="6" w:space="0"/>
              <w:right w:val="single" w:color="auto" w:sz="6" w:space="0"/>
            </w:tcBorders>
            <w:noWrap/>
            <w:vAlign w:val="center"/>
          </w:tcPr>
          <w:p w14:paraId="5AA3CDFF">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项目经理</w:t>
            </w:r>
          </w:p>
        </w:tc>
        <w:tc>
          <w:tcPr>
            <w:tcW w:w="1358" w:type="dxa"/>
            <w:tcBorders>
              <w:top w:val="single" w:color="auto" w:sz="6" w:space="0"/>
              <w:left w:val="single" w:color="auto" w:sz="6" w:space="0"/>
              <w:bottom w:val="single" w:color="auto" w:sz="6" w:space="0"/>
              <w:right w:val="single" w:color="auto" w:sz="6" w:space="0"/>
            </w:tcBorders>
            <w:noWrap/>
            <w:vAlign w:val="center"/>
          </w:tcPr>
          <w:p w14:paraId="55291077">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902" w:type="dxa"/>
            <w:tcBorders>
              <w:top w:val="single" w:color="auto" w:sz="6" w:space="0"/>
              <w:left w:val="single" w:color="auto" w:sz="6" w:space="0"/>
              <w:bottom w:val="single" w:color="auto" w:sz="6" w:space="0"/>
              <w:right w:val="single" w:color="auto" w:sz="6" w:space="0"/>
            </w:tcBorders>
            <w:noWrap/>
            <w:vAlign w:val="center"/>
          </w:tcPr>
          <w:p w14:paraId="3D46A7DC">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819" w:type="dxa"/>
            <w:tcBorders>
              <w:top w:val="single" w:color="auto" w:sz="6" w:space="0"/>
              <w:left w:val="single" w:color="auto" w:sz="6" w:space="0"/>
              <w:bottom w:val="single" w:color="auto" w:sz="6" w:space="0"/>
              <w:right w:val="single" w:color="auto" w:sz="6" w:space="0"/>
            </w:tcBorders>
            <w:noWrap/>
            <w:vAlign w:val="center"/>
          </w:tcPr>
          <w:p w14:paraId="63F73436">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541" w:type="dxa"/>
            <w:tcBorders>
              <w:top w:val="single" w:color="auto" w:sz="6" w:space="0"/>
              <w:left w:val="single" w:color="auto" w:sz="6" w:space="0"/>
              <w:bottom w:val="single" w:color="auto" w:sz="6" w:space="0"/>
              <w:right w:val="single" w:color="auto" w:sz="6" w:space="0"/>
            </w:tcBorders>
            <w:noWrap/>
            <w:vAlign w:val="center"/>
          </w:tcPr>
          <w:p w14:paraId="430A5225">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2169" w:type="dxa"/>
            <w:tcBorders>
              <w:top w:val="single" w:color="auto" w:sz="6" w:space="0"/>
              <w:left w:val="single" w:color="auto" w:sz="6" w:space="0"/>
              <w:bottom w:val="single" w:color="auto" w:sz="6" w:space="0"/>
              <w:right w:val="single" w:color="auto" w:sz="6" w:space="0"/>
            </w:tcBorders>
            <w:noWrap/>
            <w:vAlign w:val="center"/>
          </w:tcPr>
          <w:p w14:paraId="656F9534">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tr w14:paraId="591D49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73" w:hRule="exact"/>
        </w:trPr>
        <w:tc>
          <w:tcPr>
            <w:tcW w:w="744" w:type="dxa"/>
            <w:tcBorders>
              <w:top w:val="single" w:color="auto" w:sz="6" w:space="0"/>
              <w:left w:val="single" w:color="auto" w:sz="6" w:space="0"/>
              <w:right w:val="single" w:color="auto" w:sz="6" w:space="0"/>
            </w:tcBorders>
            <w:noWrap/>
            <w:vAlign w:val="center"/>
          </w:tcPr>
          <w:p w14:paraId="59B3CC8F">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2</w:t>
            </w:r>
          </w:p>
        </w:tc>
        <w:tc>
          <w:tcPr>
            <w:tcW w:w="1424" w:type="dxa"/>
            <w:tcBorders>
              <w:top w:val="single" w:color="auto" w:sz="6" w:space="0"/>
              <w:left w:val="single" w:color="auto" w:sz="6" w:space="0"/>
              <w:right w:val="single" w:color="auto" w:sz="6" w:space="0"/>
            </w:tcBorders>
            <w:noWrap/>
            <w:vAlign w:val="center"/>
          </w:tcPr>
          <w:p w14:paraId="0A21FE6A">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项目技术</w:t>
            </w:r>
          </w:p>
          <w:p w14:paraId="093217D9">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负责人</w:t>
            </w:r>
          </w:p>
        </w:tc>
        <w:tc>
          <w:tcPr>
            <w:tcW w:w="1358" w:type="dxa"/>
            <w:tcBorders>
              <w:top w:val="single" w:color="auto" w:sz="6" w:space="0"/>
              <w:left w:val="single" w:color="auto" w:sz="6" w:space="0"/>
              <w:bottom w:val="single" w:color="auto" w:sz="6" w:space="0"/>
              <w:right w:val="single" w:color="auto" w:sz="6" w:space="0"/>
            </w:tcBorders>
            <w:noWrap/>
            <w:vAlign w:val="center"/>
          </w:tcPr>
          <w:p w14:paraId="1968084D">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902" w:type="dxa"/>
            <w:tcBorders>
              <w:top w:val="single" w:color="auto" w:sz="6" w:space="0"/>
              <w:left w:val="single" w:color="auto" w:sz="6" w:space="0"/>
              <w:bottom w:val="single" w:color="auto" w:sz="6" w:space="0"/>
              <w:right w:val="single" w:color="auto" w:sz="6" w:space="0"/>
            </w:tcBorders>
            <w:noWrap/>
            <w:vAlign w:val="center"/>
          </w:tcPr>
          <w:p w14:paraId="3CB37C2C">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819" w:type="dxa"/>
            <w:tcBorders>
              <w:top w:val="single" w:color="auto" w:sz="6" w:space="0"/>
              <w:left w:val="single" w:color="auto" w:sz="6" w:space="0"/>
              <w:bottom w:val="single" w:color="auto" w:sz="6" w:space="0"/>
              <w:right w:val="single" w:color="auto" w:sz="6" w:space="0"/>
            </w:tcBorders>
            <w:noWrap/>
            <w:vAlign w:val="center"/>
          </w:tcPr>
          <w:p w14:paraId="64597E18">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541" w:type="dxa"/>
            <w:tcBorders>
              <w:top w:val="single" w:color="auto" w:sz="6" w:space="0"/>
              <w:left w:val="single" w:color="auto" w:sz="6" w:space="0"/>
              <w:bottom w:val="single" w:color="auto" w:sz="6" w:space="0"/>
              <w:right w:val="single" w:color="auto" w:sz="6" w:space="0"/>
            </w:tcBorders>
            <w:noWrap/>
            <w:vAlign w:val="center"/>
          </w:tcPr>
          <w:p w14:paraId="2FD97D69">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2169" w:type="dxa"/>
            <w:tcBorders>
              <w:top w:val="single" w:color="auto" w:sz="6" w:space="0"/>
              <w:left w:val="single" w:color="auto" w:sz="6" w:space="0"/>
              <w:bottom w:val="single" w:color="auto" w:sz="6" w:space="0"/>
              <w:right w:val="single" w:color="auto" w:sz="6" w:space="0"/>
            </w:tcBorders>
            <w:noWrap/>
            <w:vAlign w:val="center"/>
          </w:tcPr>
          <w:p w14:paraId="0C8D2928">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tr w14:paraId="01857D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73" w:hRule="exact"/>
        </w:trPr>
        <w:tc>
          <w:tcPr>
            <w:tcW w:w="744" w:type="dxa"/>
            <w:tcBorders>
              <w:top w:val="single" w:color="auto" w:sz="6" w:space="0"/>
              <w:left w:val="single" w:color="auto" w:sz="6" w:space="0"/>
              <w:right w:val="single" w:color="auto" w:sz="6" w:space="0"/>
            </w:tcBorders>
            <w:noWrap/>
            <w:vAlign w:val="center"/>
          </w:tcPr>
          <w:p w14:paraId="710297AB">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3</w:t>
            </w:r>
          </w:p>
        </w:tc>
        <w:tc>
          <w:tcPr>
            <w:tcW w:w="1424" w:type="dxa"/>
            <w:tcBorders>
              <w:top w:val="single" w:color="auto" w:sz="6" w:space="0"/>
              <w:left w:val="single" w:color="auto" w:sz="6" w:space="0"/>
              <w:right w:val="single" w:color="auto" w:sz="6" w:space="0"/>
            </w:tcBorders>
            <w:noWrap/>
            <w:vAlign w:val="center"/>
          </w:tcPr>
          <w:p w14:paraId="2AC5FBAE">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项目设计</w:t>
            </w:r>
          </w:p>
          <w:p w14:paraId="32940810">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负责人</w:t>
            </w:r>
          </w:p>
        </w:tc>
        <w:tc>
          <w:tcPr>
            <w:tcW w:w="1358" w:type="dxa"/>
            <w:tcBorders>
              <w:top w:val="single" w:color="auto" w:sz="6" w:space="0"/>
              <w:left w:val="single" w:color="auto" w:sz="6" w:space="0"/>
              <w:bottom w:val="single" w:color="auto" w:sz="6" w:space="0"/>
              <w:right w:val="single" w:color="auto" w:sz="6" w:space="0"/>
            </w:tcBorders>
            <w:noWrap/>
            <w:vAlign w:val="center"/>
          </w:tcPr>
          <w:p w14:paraId="721184FD">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902" w:type="dxa"/>
            <w:tcBorders>
              <w:top w:val="single" w:color="auto" w:sz="6" w:space="0"/>
              <w:left w:val="single" w:color="auto" w:sz="6" w:space="0"/>
              <w:bottom w:val="single" w:color="auto" w:sz="6" w:space="0"/>
              <w:right w:val="single" w:color="auto" w:sz="6" w:space="0"/>
            </w:tcBorders>
            <w:noWrap/>
            <w:vAlign w:val="center"/>
          </w:tcPr>
          <w:p w14:paraId="4FC7128D">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819" w:type="dxa"/>
            <w:tcBorders>
              <w:top w:val="single" w:color="auto" w:sz="6" w:space="0"/>
              <w:left w:val="single" w:color="auto" w:sz="6" w:space="0"/>
              <w:bottom w:val="single" w:color="auto" w:sz="6" w:space="0"/>
              <w:right w:val="single" w:color="auto" w:sz="6" w:space="0"/>
            </w:tcBorders>
            <w:noWrap/>
            <w:vAlign w:val="center"/>
          </w:tcPr>
          <w:p w14:paraId="649E38B6">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541" w:type="dxa"/>
            <w:tcBorders>
              <w:top w:val="single" w:color="auto" w:sz="6" w:space="0"/>
              <w:left w:val="single" w:color="auto" w:sz="6" w:space="0"/>
              <w:bottom w:val="single" w:color="auto" w:sz="6" w:space="0"/>
              <w:right w:val="single" w:color="auto" w:sz="6" w:space="0"/>
            </w:tcBorders>
            <w:noWrap/>
            <w:vAlign w:val="center"/>
          </w:tcPr>
          <w:p w14:paraId="543D8F2C">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2169" w:type="dxa"/>
            <w:tcBorders>
              <w:top w:val="single" w:color="auto" w:sz="6" w:space="0"/>
              <w:left w:val="single" w:color="auto" w:sz="6" w:space="0"/>
              <w:bottom w:val="single" w:color="auto" w:sz="6" w:space="0"/>
              <w:right w:val="single" w:color="auto" w:sz="6" w:space="0"/>
            </w:tcBorders>
            <w:noWrap/>
            <w:vAlign w:val="center"/>
          </w:tcPr>
          <w:p w14:paraId="681A5423">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tr w14:paraId="5B40E2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3" w:hRule="exact"/>
        </w:trPr>
        <w:tc>
          <w:tcPr>
            <w:tcW w:w="744" w:type="dxa"/>
            <w:tcBorders>
              <w:top w:val="single" w:color="auto" w:sz="6" w:space="0"/>
              <w:left w:val="single" w:color="auto" w:sz="6" w:space="0"/>
              <w:right w:val="single" w:color="auto" w:sz="6" w:space="0"/>
            </w:tcBorders>
            <w:shd w:val="clear" w:color="auto" w:fill="auto"/>
            <w:noWrap/>
            <w:vAlign w:val="center"/>
          </w:tcPr>
          <w:p w14:paraId="0E90B66B">
            <w:pPr>
              <w:wordWrap w:val="0"/>
              <w:adjustRightInd w:val="0"/>
              <w:snapToGrid w:val="0"/>
              <w:jc w:val="center"/>
              <w:rPr>
                <w:rFonts w:hint="eastAsia" w:asciiTheme="minorEastAsia" w:hAnsiTheme="minorEastAsia" w:eastAsiaTheme="minorEastAsia" w:cstheme="minorEastAsia"/>
                <w:snapToGrid w:val="0"/>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4</w:t>
            </w:r>
          </w:p>
        </w:tc>
        <w:tc>
          <w:tcPr>
            <w:tcW w:w="1424" w:type="dxa"/>
            <w:tcBorders>
              <w:top w:val="single" w:color="auto" w:sz="6" w:space="0"/>
              <w:left w:val="single" w:color="auto" w:sz="6" w:space="0"/>
              <w:bottom w:val="single" w:color="auto" w:sz="6" w:space="0"/>
              <w:right w:val="single" w:color="auto" w:sz="6" w:space="0"/>
            </w:tcBorders>
            <w:noWrap/>
            <w:vAlign w:val="center"/>
          </w:tcPr>
          <w:p w14:paraId="70A1A83F">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lang w:val="en-US"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专职安全员</w:t>
            </w:r>
          </w:p>
        </w:tc>
        <w:tc>
          <w:tcPr>
            <w:tcW w:w="1358" w:type="dxa"/>
            <w:tcBorders>
              <w:top w:val="single" w:color="auto" w:sz="6" w:space="0"/>
              <w:left w:val="single" w:color="auto" w:sz="6" w:space="0"/>
              <w:bottom w:val="single" w:color="auto" w:sz="6" w:space="0"/>
              <w:right w:val="single" w:color="auto" w:sz="6" w:space="0"/>
            </w:tcBorders>
            <w:noWrap/>
            <w:vAlign w:val="center"/>
          </w:tcPr>
          <w:p w14:paraId="47A6AEF6">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902" w:type="dxa"/>
            <w:tcBorders>
              <w:top w:val="single" w:color="auto" w:sz="6" w:space="0"/>
              <w:left w:val="single" w:color="auto" w:sz="6" w:space="0"/>
              <w:bottom w:val="single" w:color="auto" w:sz="6" w:space="0"/>
              <w:right w:val="single" w:color="auto" w:sz="6" w:space="0"/>
            </w:tcBorders>
            <w:noWrap/>
            <w:vAlign w:val="center"/>
          </w:tcPr>
          <w:p w14:paraId="0E0D2892">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819" w:type="dxa"/>
            <w:tcBorders>
              <w:top w:val="single" w:color="auto" w:sz="6" w:space="0"/>
              <w:left w:val="single" w:color="auto" w:sz="6" w:space="0"/>
              <w:bottom w:val="single" w:color="auto" w:sz="6" w:space="0"/>
              <w:right w:val="single" w:color="auto" w:sz="6" w:space="0"/>
            </w:tcBorders>
            <w:noWrap/>
            <w:vAlign w:val="center"/>
          </w:tcPr>
          <w:p w14:paraId="4A77DE28">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541" w:type="dxa"/>
            <w:tcBorders>
              <w:top w:val="single" w:color="auto" w:sz="6" w:space="0"/>
              <w:left w:val="single" w:color="auto" w:sz="6" w:space="0"/>
              <w:bottom w:val="single" w:color="auto" w:sz="6" w:space="0"/>
              <w:right w:val="single" w:color="auto" w:sz="6" w:space="0"/>
            </w:tcBorders>
            <w:noWrap/>
            <w:vAlign w:val="center"/>
          </w:tcPr>
          <w:p w14:paraId="654A6BD8">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2169" w:type="dxa"/>
            <w:tcBorders>
              <w:top w:val="single" w:color="auto" w:sz="6" w:space="0"/>
              <w:left w:val="single" w:color="auto" w:sz="6" w:space="0"/>
              <w:bottom w:val="single" w:color="auto" w:sz="6" w:space="0"/>
              <w:right w:val="single" w:color="auto" w:sz="6" w:space="0"/>
            </w:tcBorders>
            <w:noWrap/>
            <w:vAlign w:val="center"/>
          </w:tcPr>
          <w:p w14:paraId="1BA08220">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tr w14:paraId="70793E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3" w:hRule="exact"/>
        </w:trPr>
        <w:tc>
          <w:tcPr>
            <w:tcW w:w="744" w:type="dxa"/>
            <w:tcBorders>
              <w:top w:val="single" w:color="auto" w:sz="6" w:space="0"/>
              <w:left w:val="single" w:color="auto" w:sz="6" w:space="0"/>
              <w:bottom w:val="single" w:color="auto" w:sz="6" w:space="0"/>
              <w:right w:val="single" w:color="auto" w:sz="6" w:space="0"/>
            </w:tcBorders>
            <w:shd w:val="clear" w:color="auto" w:fill="auto"/>
            <w:noWrap/>
            <w:vAlign w:val="center"/>
          </w:tcPr>
          <w:p w14:paraId="765709FC">
            <w:pPr>
              <w:wordWrap w:val="0"/>
              <w:adjustRightInd w:val="0"/>
              <w:snapToGrid w:val="0"/>
              <w:jc w:val="center"/>
              <w:rPr>
                <w:rFonts w:hint="default" w:asciiTheme="minorEastAsia" w:hAnsiTheme="minorEastAsia" w:eastAsiaTheme="minorEastAsia" w:cstheme="minorEastAsia"/>
                <w:snapToGrid w:val="0"/>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val="en-US" w:eastAsia="zh-CN" w:bidi="ar-SA"/>
                <w14:textFill>
                  <w14:solidFill>
                    <w14:schemeClr w14:val="tx1"/>
                  </w14:solidFill>
                </w14:textFill>
              </w:rPr>
              <w:t>5</w:t>
            </w:r>
          </w:p>
        </w:tc>
        <w:tc>
          <w:tcPr>
            <w:tcW w:w="1424" w:type="dxa"/>
            <w:tcBorders>
              <w:top w:val="single" w:color="auto" w:sz="6" w:space="0"/>
              <w:left w:val="single" w:color="auto" w:sz="6" w:space="0"/>
              <w:bottom w:val="single" w:color="auto" w:sz="6" w:space="0"/>
              <w:right w:val="single" w:color="auto" w:sz="6" w:space="0"/>
            </w:tcBorders>
            <w:noWrap/>
            <w:vAlign w:val="center"/>
          </w:tcPr>
          <w:p w14:paraId="30A1CB3C">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施工员</w:t>
            </w:r>
          </w:p>
        </w:tc>
        <w:tc>
          <w:tcPr>
            <w:tcW w:w="1358" w:type="dxa"/>
            <w:tcBorders>
              <w:top w:val="single" w:color="auto" w:sz="6" w:space="0"/>
              <w:left w:val="single" w:color="auto" w:sz="6" w:space="0"/>
              <w:bottom w:val="single" w:color="auto" w:sz="6" w:space="0"/>
              <w:right w:val="single" w:color="auto" w:sz="6" w:space="0"/>
            </w:tcBorders>
            <w:noWrap/>
            <w:vAlign w:val="center"/>
          </w:tcPr>
          <w:p w14:paraId="42AD16D9">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902" w:type="dxa"/>
            <w:tcBorders>
              <w:top w:val="single" w:color="auto" w:sz="6" w:space="0"/>
              <w:left w:val="single" w:color="auto" w:sz="6" w:space="0"/>
              <w:bottom w:val="single" w:color="auto" w:sz="6" w:space="0"/>
              <w:right w:val="single" w:color="auto" w:sz="6" w:space="0"/>
            </w:tcBorders>
            <w:noWrap/>
            <w:vAlign w:val="center"/>
          </w:tcPr>
          <w:p w14:paraId="4F5043C3">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819" w:type="dxa"/>
            <w:tcBorders>
              <w:top w:val="single" w:color="auto" w:sz="6" w:space="0"/>
              <w:left w:val="single" w:color="auto" w:sz="6" w:space="0"/>
              <w:bottom w:val="single" w:color="auto" w:sz="6" w:space="0"/>
              <w:right w:val="single" w:color="auto" w:sz="6" w:space="0"/>
            </w:tcBorders>
            <w:noWrap/>
            <w:vAlign w:val="center"/>
          </w:tcPr>
          <w:p w14:paraId="09765712">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541" w:type="dxa"/>
            <w:tcBorders>
              <w:top w:val="single" w:color="auto" w:sz="6" w:space="0"/>
              <w:left w:val="single" w:color="auto" w:sz="6" w:space="0"/>
              <w:bottom w:val="single" w:color="auto" w:sz="6" w:space="0"/>
              <w:right w:val="single" w:color="auto" w:sz="6" w:space="0"/>
            </w:tcBorders>
            <w:noWrap/>
            <w:vAlign w:val="center"/>
          </w:tcPr>
          <w:p w14:paraId="67081307">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2169" w:type="dxa"/>
            <w:tcBorders>
              <w:top w:val="single" w:color="auto" w:sz="6" w:space="0"/>
              <w:left w:val="single" w:color="auto" w:sz="6" w:space="0"/>
              <w:bottom w:val="single" w:color="auto" w:sz="6" w:space="0"/>
              <w:right w:val="single" w:color="auto" w:sz="6" w:space="0"/>
            </w:tcBorders>
            <w:noWrap/>
            <w:vAlign w:val="center"/>
          </w:tcPr>
          <w:p w14:paraId="5D2D9B49">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tr w14:paraId="6F5BF8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3" w:hRule="exact"/>
        </w:trPr>
        <w:tc>
          <w:tcPr>
            <w:tcW w:w="744" w:type="dxa"/>
            <w:tcBorders>
              <w:top w:val="single" w:color="auto" w:sz="6" w:space="0"/>
              <w:left w:val="single" w:color="auto" w:sz="6" w:space="0"/>
              <w:bottom w:val="single" w:color="auto" w:sz="6" w:space="0"/>
              <w:right w:val="single" w:color="auto" w:sz="6" w:space="0"/>
            </w:tcBorders>
            <w:shd w:val="clear" w:color="auto" w:fill="auto"/>
            <w:noWrap/>
            <w:vAlign w:val="center"/>
          </w:tcPr>
          <w:p w14:paraId="7C19DB79">
            <w:pPr>
              <w:wordWrap w:val="0"/>
              <w:adjustRightInd w:val="0"/>
              <w:snapToGrid w:val="0"/>
              <w:jc w:val="center"/>
              <w:rPr>
                <w:rFonts w:hint="eastAsia" w:asciiTheme="minorEastAsia" w:hAnsiTheme="minorEastAsia" w:eastAsiaTheme="minorEastAsia" w:cstheme="minorEastAsia"/>
                <w:snapToGrid w:val="0"/>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6</w:t>
            </w:r>
          </w:p>
        </w:tc>
        <w:tc>
          <w:tcPr>
            <w:tcW w:w="1424" w:type="dxa"/>
            <w:tcBorders>
              <w:top w:val="single" w:color="auto" w:sz="6" w:space="0"/>
              <w:left w:val="single" w:color="auto" w:sz="6" w:space="0"/>
              <w:bottom w:val="single" w:color="auto" w:sz="6" w:space="0"/>
              <w:right w:val="single" w:color="auto" w:sz="6" w:space="0"/>
            </w:tcBorders>
            <w:noWrap/>
            <w:vAlign w:val="center"/>
          </w:tcPr>
          <w:p w14:paraId="4E33F5D1">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质量员</w:t>
            </w:r>
          </w:p>
        </w:tc>
        <w:tc>
          <w:tcPr>
            <w:tcW w:w="1358" w:type="dxa"/>
            <w:tcBorders>
              <w:top w:val="single" w:color="auto" w:sz="6" w:space="0"/>
              <w:left w:val="single" w:color="auto" w:sz="6" w:space="0"/>
              <w:bottom w:val="single" w:color="auto" w:sz="6" w:space="0"/>
              <w:right w:val="single" w:color="auto" w:sz="6" w:space="0"/>
            </w:tcBorders>
            <w:noWrap/>
            <w:vAlign w:val="center"/>
          </w:tcPr>
          <w:p w14:paraId="34FA99D6">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902" w:type="dxa"/>
            <w:tcBorders>
              <w:top w:val="single" w:color="auto" w:sz="6" w:space="0"/>
              <w:left w:val="single" w:color="auto" w:sz="6" w:space="0"/>
              <w:bottom w:val="single" w:color="auto" w:sz="6" w:space="0"/>
              <w:right w:val="single" w:color="auto" w:sz="6" w:space="0"/>
            </w:tcBorders>
            <w:noWrap/>
            <w:vAlign w:val="center"/>
          </w:tcPr>
          <w:p w14:paraId="7957E63E">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819" w:type="dxa"/>
            <w:tcBorders>
              <w:top w:val="single" w:color="auto" w:sz="6" w:space="0"/>
              <w:left w:val="single" w:color="auto" w:sz="6" w:space="0"/>
              <w:bottom w:val="single" w:color="auto" w:sz="6" w:space="0"/>
              <w:right w:val="single" w:color="auto" w:sz="6" w:space="0"/>
            </w:tcBorders>
            <w:noWrap/>
            <w:vAlign w:val="center"/>
          </w:tcPr>
          <w:p w14:paraId="6FE400DB">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541" w:type="dxa"/>
            <w:tcBorders>
              <w:top w:val="single" w:color="auto" w:sz="6" w:space="0"/>
              <w:left w:val="single" w:color="auto" w:sz="6" w:space="0"/>
              <w:bottom w:val="single" w:color="auto" w:sz="6" w:space="0"/>
              <w:right w:val="single" w:color="auto" w:sz="6" w:space="0"/>
            </w:tcBorders>
            <w:noWrap/>
            <w:vAlign w:val="center"/>
          </w:tcPr>
          <w:p w14:paraId="21BB1A0B">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2169" w:type="dxa"/>
            <w:tcBorders>
              <w:top w:val="single" w:color="auto" w:sz="6" w:space="0"/>
              <w:left w:val="single" w:color="auto" w:sz="6" w:space="0"/>
              <w:bottom w:val="single" w:color="auto" w:sz="6" w:space="0"/>
              <w:right w:val="single" w:color="auto" w:sz="6" w:space="0"/>
            </w:tcBorders>
            <w:noWrap/>
            <w:vAlign w:val="center"/>
          </w:tcPr>
          <w:p w14:paraId="581F0715">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tr w14:paraId="091D08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3" w:hRule="exact"/>
        </w:trPr>
        <w:tc>
          <w:tcPr>
            <w:tcW w:w="744" w:type="dxa"/>
            <w:tcBorders>
              <w:top w:val="single" w:color="auto" w:sz="6" w:space="0"/>
              <w:left w:val="single" w:color="auto" w:sz="6" w:space="0"/>
              <w:bottom w:val="single" w:color="auto" w:sz="6" w:space="0"/>
              <w:right w:val="single" w:color="auto" w:sz="6" w:space="0"/>
            </w:tcBorders>
            <w:shd w:val="clear" w:color="auto" w:fill="auto"/>
            <w:noWrap/>
            <w:vAlign w:val="center"/>
          </w:tcPr>
          <w:p w14:paraId="4404A19C">
            <w:pPr>
              <w:wordWrap w:val="0"/>
              <w:adjustRightInd w:val="0"/>
              <w:snapToGrid w:val="0"/>
              <w:jc w:val="center"/>
              <w:rPr>
                <w:rFonts w:hint="eastAsia" w:asciiTheme="minorEastAsia" w:hAnsiTheme="minorEastAsia" w:eastAsiaTheme="minorEastAsia" w:cstheme="minorEastAsia"/>
                <w:snapToGrid w:val="0"/>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7</w:t>
            </w:r>
          </w:p>
        </w:tc>
        <w:tc>
          <w:tcPr>
            <w:tcW w:w="1424" w:type="dxa"/>
            <w:tcBorders>
              <w:top w:val="single" w:color="auto" w:sz="6" w:space="0"/>
              <w:left w:val="single" w:color="auto" w:sz="6" w:space="0"/>
              <w:bottom w:val="single" w:color="auto" w:sz="6" w:space="0"/>
              <w:right w:val="single" w:color="auto" w:sz="6" w:space="0"/>
            </w:tcBorders>
            <w:noWrap/>
            <w:vAlign w:val="center"/>
          </w:tcPr>
          <w:p w14:paraId="6A32E8CE">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材料员</w:t>
            </w:r>
          </w:p>
        </w:tc>
        <w:tc>
          <w:tcPr>
            <w:tcW w:w="1358" w:type="dxa"/>
            <w:tcBorders>
              <w:top w:val="single" w:color="auto" w:sz="6" w:space="0"/>
              <w:left w:val="single" w:color="auto" w:sz="6" w:space="0"/>
              <w:bottom w:val="single" w:color="auto" w:sz="6" w:space="0"/>
              <w:right w:val="single" w:color="auto" w:sz="6" w:space="0"/>
            </w:tcBorders>
            <w:noWrap/>
            <w:vAlign w:val="center"/>
          </w:tcPr>
          <w:p w14:paraId="474891E5">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902" w:type="dxa"/>
            <w:tcBorders>
              <w:top w:val="single" w:color="auto" w:sz="6" w:space="0"/>
              <w:left w:val="single" w:color="auto" w:sz="6" w:space="0"/>
              <w:bottom w:val="single" w:color="auto" w:sz="6" w:space="0"/>
              <w:right w:val="single" w:color="auto" w:sz="6" w:space="0"/>
            </w:tcBorders>
            <w:noWrap/>
            <w:vAlign w:val="center"/>
          </w:tcPr>
          <w:p w14:paraId="4C08C0D1">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819" w:type="dxa"/>
            <w:tcBorders>
              <w:top w:val="single" w:color="auto" w:sz="6" w:space="0"/>
              <w:left w:val="single" w:color="auto" w:sz="6" w:space="0"/>
              <w:bottom w:val="single" w:color="auto" w:sz="6" w:space="0"/>
              <w:right w:val="single" w:color="auto" w:sz="6" w:space="0"/>
            </w:tcBorders>
            <w:noWrap/>
            <w:vAlign w:val="center"/>
          </w:tcPr>
          <w:p w14:paraId="7F2EA53E">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541" w:type="dxa"/>
            <w:tcBorders>
              <w:top w:val="single" w:color="auto" w:sz="6" w:space="0"/>
              <w:left w:val="single" w:color="auto" w:sz="6" w:space="0"/>
              <w:bottom w:val="single" w:color="auto" w:sz="6" w:space="0"/>
              <w:right w:val="single" w:color="auto" w:sz="6" w:space="0"/>
            </w:tcBorders>
            <w:noWrap/>
            <w:vAlign w:val="center"/>
          </w:tcPr>
          <w:p w14:paraId="429BF67E">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2169" w:type="dxa"/>
            <w:tcBorders>
              <w:top w:val="single" w:color="auto" w:sz="6" w:space="0"/>
              <w:left w:val="single" w:color="auto" w:sz="6" w:space="0"/>
              <w:bottom w:val="single" w:color="auto" w:sz="6" w:space="0"/>
              <w:right w:val="single" w:color="auto" w:sz="6" w:space="0"/>
            </w:tcBorders>
            <w:noWrap/>
            <w:vAlign w:val="center"/>
          </w:tcPr>
          <w:p w14:paraId="3109CBA3">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tr w14:paraId="4E4F6A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3" w:hRule="exact"/>
        </w:trPr>
        <w:tc>
          <w:tcPr>
            <w:tcW w:w="744" w:type="dxa"/>
            <w:tcBorders>
              <w:top w:val="single" w:color="auto" w:sz="6" w:space="0"/>
              <w:left w:val="single" w:color="auto" w:sz="6" w:space="0"/>
              <w:bottom w:val="single" w:color="auto" w:sz="6" w:space="0"/>
              <w:right w:val="single" w:color="auto" w:sz="6" w:space="0"/>
            </w:tcBorders>
            <w:shd w:val="clear" w:color="auto" w:fill="auto"/>
            <w:noWrap/>
            <w:vAlign w:val="center"/>
          </w:tcPr>
          <w:p w14:paraId="230E99B9">
            <w:pPr>
              <w:wordWrap w:val="0"/>
              <w:adjustRightInd w:val="0"/>
              <w:snapToGrid w:val="0"/>
              <w:jc w:val="center"/>
              <w:rPr>
                <w:rFonts w:hint="eastAsia" w:asciiTheme="minorEastAsia" w:hAnsiTheme="minorEastAsia" w:eastAsiaTheme="minorEastAsia" w:cstheme="minorEastAsia"/>
                <w:snapToGrid w:val="0"/>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8</w:t>
            </w:r>
          </w:p>
        </w:tc>
        <w:tc>
          <w:tcPr>
            <w:tcW w:w="1424" w:type="dxa"/>
            <w:tcBorders>
              <w:top w:val="single" w:color="auto" w:sz="6" w:space="0"/>
              <w:left w:val="single" w:color="auto" w:sz="6" w:space="0"/>
              <w:bottom w:val="single" w:color="auto" w:sz="6" w:space="0"/>
              <w:right w:val="single" w:color="auto" w:sz="6" w:space="0"/>
            </w:tcBorders>
            <w:noWrap/>
            <w:vAlign w:val="center"/>
          </w:tcPr>
          <w:p w14:paraId="3CDC75F9">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资料员</w:t>
            </w:r>
          </w:p>
        </w:tc>
        <w:tc>
          <w:tcPr>
            <w:tcW w:w="1358" w:type="dxa"/>
            <w:tcBorders>
              <w:top w:val="single" w:color="auto" w:sz="6" w:space="0"/>
              <w:left w:val="single" w:color="auto" w:sz="6" w:space="0"/>
              <w:bottom w:val="single" w:color="auto" w:sz="6" w:space="0"/>
              <w:right w:val="single" w:color="auto" w:sz="6" w:space="0"/>
            </w:tcBorders>
            <w:noWrap/>
            <w:vAlign w:val="center"/>
          </w:tcPr>
          <w:p w14:paraId="001F7A4A">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902" w:type="dxa"/>
            <w:tcBorders>
              <w:top w:val="single" w:color="auto" w:sz="6" w:space="0"/>
              <w:left w:val="single" w:color="auto" w:sz="6" w:space="0"/>
              <w:bottom w:val="single" w:color="auto" w:sz="6" w:space="0"/>
              <w:right w:val="single" w:color="auto" w:sz="6" w:space="0"/>
            </w:tcBorders>
            <w:noWrap/>
            <w:vAlign w:val="center"/>
          </w:tcPr>
          <w:p w14:paraId="01C3B98E">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819" w:type="dxa"/>
            <w:tcBorders>
              <w:top w:val="single" w:color="auto" w:sz="6" w:space="0"/>
              <w:left w:val="single" w:color="auto" w:sz="6" w:space="0"/>
              <w:bottom w:val="single" w:color="auto" w:sz="6" w:space="0"/>
              <w:right w:val="single" w:color="auto" w:sz="6" w:space="0"/>
            </w:tcBorders>
            <w:noWrap/>
            <w:vAlign w:val="center"/>
          </w:tcPr>
          <w:p w14:paraId="06626CAE">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541" w:type="dxa"/>
            <w:tcBorders>
              <w:top w:val="single" w:color="auto" w:sz="6" w:space="0"/>
              <w:left w:val="single" w:color="auto" w:sz="6" w:space="0"/>
              <w:bottom w:val="single" w:color="auto" w:sz="6" w:space="0"/>
              <w:right w:val="single" w:color="auto" w:sz="6" w:space="0"/>
            </w:tcBorders>
            <w:noWrap/>
            <w:vAlign w:val="center"/>
          </w:tcPr>
          <w:p w14:paraId="41754093">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2169" w:type="dxa"/>
            <w:tcBorders>
              <w:top w:val="single" w:color="auto" w:sz="6" w:space="0"/>
              <w:left w:val="single" w:color="auto" w:sz="6" w:space="0"/>
              <w:bottom w:val="single" w:color="auto" w:sz="6" w:space="0"/>
              <w:right w:val="single" w:color="auto" w:sz="6" w:space="0"/>
            </w:tcBorders>
            <w:noWrap/>
            <w:vAlign w:val="center"/>
          </w:tcPr>
          <w:p w14:paraId="2CAE6B74">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tr w14:paraId="38F693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26" w:hRule="exact"/>
        </w:trPr>
        <w:tc>
          <w:tcPr>
            <w:tcW w:w="744" w:type="dxa"/>
            <w:tcBorders>
              <w:top w:val="single" w:color="auto" w:sz="6" w:space="0"/>
              <w:left w:val="single" w:color="auto" w:sz="6" w:space="0"/>
              <w:bottom w:val="single" w:color="auto" w:sz="6" w:space="0"/>
              <w:right w:val="single" w:color="auto" w:sz="6" w:space="0"/>
            </w:tcBorders>
            <w:noWrap/>
            <w:vAlign w:val="center"/>
          </w:tcPr>
          <w:p w14:paraId="3E5DA711">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424" w:type="dxa"/>
            <w:tcBorders>
              <w:top w:val="single" w:color="auto" w:sz="6" w:space="0"/>
              <w:left w:val="single" w:color="auto" w:sz="6" w:space="0"/>
              <w:bottom w:val="single" w:color="auto" w:sz="6" w:space="0"/>
              <w:right w:val="single" w:color="auto" w:sz="6" w:space="0"/>
            </w:tcBorders>
            <w:noWrap/>
            <w:vAlign w:val="center"/>
          </w:tcPr>
          <w:p w14:paraId="5B4D2DB4">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w:t>
            </w:r>
          </w:p>
        </w:tc>
        <w:tc>
          <w:tcPr>
            <w:tcW w:w="1358" w:type="dxa"/>
            <w:tcBorders>
              <w:top w:val="single" w:color="auto" w:sz="6" w:space="0"/>
              <w:left w:val="single" w:color="auto" w:sz="6" w:space="0"/>
              <w:bottom w:val="single" w:color="auto" w:sz="6" w:space="0"/>
              <w:right w:val="single" w:color="auto" w:sz="6" w:space="0"/>
            </w:tcBorders>
            <w:noWrap/>
            <w:vAlign w:val="center"/>
          </w:tcPr>
          <w:p w14:paraId="4CFE553B">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902" w:type="dxa"/>
            <w:tcBorders>
              <w:top w:val="single" w:color="auto" w:sz="6" w:space="0"/>
              <w:left w:val="single" w:color="auto" w:sz="6" w:space="0"/>
              <w:bottom w:val="single" w:color="auto" w:sz="6" w:space="0"/>
              <w:right w:val="single" w:color="auto" w:sz="6" w:space="0"/>
            </w:tcBorders>
            <w:noWrap/>
            <w:vAlign w:val="center"/>
          </w:tcPr>
          <w:p w14:paraId="0917E9B8">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819" w:type="dxa"/>
            <w:tcBorders>
              <w:top w:val="single" w:color="auto" w:sz="6" w:space="0"/>
              <w:left w:val="single" w:color="auto" w:sz="6" w:space="0"/>
              <w:bottom w:val="single" w:color="auto" w:sz="6" w:space="0"/>
              <w:right w:val="single" w:color="auto" w:sz="6" w:space="0"/>
            </w:tcBorders>
            <w:noWrap/>
            <w:vAlign w:val="center"/>
          </w:tcPr>
          <w:p w14:paraId="7E9B9D47">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541" w:type="dxa"/>
            <w:tcBorders>
              <w:top w:val="single" w:color="auto" w:sz="6" w:space="0"/>
              <w:left w:val="single" w:color="auto" w:sz="6" w:space="0"/>
              <w:bottom w:val="single" w:color="auto" w:sz="6" w:space="0"/>
              <w:right w:val="single" w:color="auto" w:sz="6" w:space="0"/>
            </w:tcBorders>
            <w:noWrap/>
            <w:vAlign w:val="center"/>
          </w:tcPr>
          <w:p w14:paraId="11A0BCD2">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2169" w:type="dxa"/>
            <w:tcBorders>
              <w:top w:val="single" w:color="auto" w:sz="6" w:space="0"/>
              <w:left w:val="single" w:color="auto" w:sz="6" w:space="0"/>
              <w:bottom w:val="single" w:color="auto" w:sz="6" w:space="0"/>
              <w:right w:val="single" w:color="auto" w:sz="6" w:space="0"/>
            </w:tcBorders>
            <w:noWrap/>
            <w:vAlign w:val="center"/>
          </w:tcPr>
          <w:p w14:paraId="68EA27DF">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bookmarkEnd w:id="566"/>
    </w:tbl>
    <w:p w14:paraId="15B0C16F">
      <w:pPr>
        <w:wordWrap w:val="0"/>
        <w:adjustRightInd w:val="0"/>
        <w:snapToGrid w:val="0"/>
        <w:spacing w:line="40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bookmarkStart w:id="568" w:name="_Toc25577"/>
      <w:bookmarkStart w:id="569" w:name="_Toc36804690"/>
      <w:bookmarkStart w:id="570" w:name="_Toc8648"/>
    </w:p>
    <w:p w14:paraId="24A36270">
      <w:pPr>
        <w:wordWrap w:val="0"/>
        <w:adjustRightInd w:val="0"/>
        <w:snapToGrid w:val="0"/>
        <w:spacing w:line="40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说明：</w:t>
      </w:r>
    </w:p>
    <w:p w14:paraId="66447872">
      <w:pPr>
        <w:wordWrap w:val="0"/>
        <w:adjustRightInd w:val="0"/>
        <w:snapToGrid w:val="0"/>
        <w:spacing w:line="400" w:lineRule="exact"/>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1．《项目管理机构组成表》后应附表中拟派人员（项目经理、项目技术负责人、项目设计负责人除外）以下资料：</w:t>
      </w:r>
    </w:p>
    <w:p w14:paraId="772B27CA">
      <w:pPr>
        <w:wordWrap w:val="0"/>
        <w:adjustRightInd w:val="0"/>
        <w:snapToGrid w:val="0"/>
        <w:spacing w:line="40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（1）身份证证彩色扫描件；</w:t>
      </w:r>
    </w:p>
    <w:p w14:paraId="1944BBE8">
      <w:pPr>
        <w:wordWrap w:val="0"/>
        <w:adjustRightInd w:val="0"/>
        <w:snapToGrid w:val="0"/>
        <w:spacing w:line="40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（2）职称证或岗位证或培训证</w:t>
      </w:r>
      <w:r>
        <w:rPr>
          <w:rFonts w:hint="eastAsia" w:asciiTheme="minorEastAsia" w:hAnsiTheme="minorEastAsia" w:eastAsiaTheme="minorEastAsia" w:cstheme="minorEastAsia"/>
          <w:snapToGrid w:val="0"/>
          <w:color w:val="000000" w:themeColor="text1"/>
          <w:kern w:val="0"/>
          <w:szCs w:val="24"/>
          <w:highlight w:val="none"/>
          <w:lang w:val="en-US" w:eastAsia="zh-CN"/>
          <w14:textFill>
            <w14:solidFill>
              <w14:schemeClr w14:val="tx1"/>
            </w14:solidFill>
          </w14:textFill>
        </w:rPr>
        <w:t>或执业证书</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彩色扫描件；</w:t>
      </w:r>
    </w:p>
    <w:p w14:paraId="076B6F6A">
      <w:pPr>
        <w:wordWrap w:val="0"/>
        <w:adjustRightInd w:val="0"/>
        <w:snapToGrid w:val="0"/>
        <w:spacing w:line="40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（3）专职安全员须提供C类安全生产考核合格证书证彩色扫描件或“广东省建筑施工企业管理人员安全生产考核系统”考核合格信息打印页；</w:t>
      </w:r>
    </w:p>
    <w:p w14:paraId="2CA76E52">
      <w:pPr>
        <w:wordWrap w:val="0"/>
        <w:adjustRightInd w:val="0"/>
        <w:snapToGrid w:val="0"/>
        <w:spacing w:line="40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（4）在本单位缴纳社保的证明（</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至少</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1</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个月，其中必须有2025年</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11</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月</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）彩色扫描件；拟派人员为退休返聘人员无法提供社保证明的，提供退休证和劳动合同彩色扫描件；</w:t>
      </w:r>
    </w:p>
    <w:p w14:paraId="0714650D">
      <w:pPr>
        <w:wordWrap w:val="0"/>
        <w:adjustRightInd w:val="0"/>
        <w:snapToGrid w:val="0"/>
        <w:spacing w:line="40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（5）“进粤企业和人员诚信信息登记平台”个人信息情况打印页或网页截图。（适用于省外建筑企业）。</w:t>
      </w:r>
    </w:p>
    <w:p w14:paraId="7D66C205">
      <w:pPr>
        <w:wordWrap w:val="0"/>
        <w:adjustRightInd w:val="0"/>
        <w:snapToGrid w:val="0"/>
        <w:spacing w:line="400" w:lineRule="exact"/>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2．联合体投标的，《项目管理机构组成表》应包括联合体成员单位参与项目管理机构的人员，并提供以上所需资料。。</w:t>
      </w:r>
    </w:p>
    <w:p w14:paraId="32BAE323">
      <w:pPr>
        <w:spacing w:before="136"/>
        <w:outlineLvl w:val="9"/>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p>
    <w:p w14:paraId="251EEB96">
      <w:pPr>
        <w:spacing w:before="136"/>
        <w:outlineLvl w:val="9"/>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p>
    <w:p w14:paraId="1BC61B8E">
      <w:pPr>
        <w:pStyle w:val="4"/>
        <w:spacing w:before="136"/>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bookmarkStart w:id="571" w:name="_Toc7707"/>
      <w:bookmarkStart w:id="572" w:name="_Toc193"/>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格式十</w:t>
      </w:r>
      <w:r>
        <w:rPr>
          <w:rFonts w:hint="eastAsia" w:asciiTheme="minorEastAsia" w:hAnsiTheme="minorEastAsia" w:eastAsiaTheme="minorEastAsia" w:cstheme="minorEastAsia"/>
          <w:b/>
          <w:bCs/>
          <w:color w:val="000000" w:themeColor="text1"/>
          <w:szCs w:val="24"/>
          <w:highlight w:val="none"/>
          <w:lang w:val="en-US" w:eastAsia="zh-CN"/>
          <w14:textFill>
            <w14:solidFill>
              <w14:schemeClr w14:val="tx1"/>
            </w14:solidFill>
          </w14:textFill>
        </w:rPr>
        <w:t>三</w:t>
      </w: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 xml:space="preserve"> 原件一览表</w:t>
      </w:r>
      <w:bookmarkEnd w:id="571"/>
      <w:bookmarkEnd w:id="572"/>
    </w:p>
    <w:p w14:paraId="483AC83E">
      <w:pPr>
        <w:spacing w:line="336" w:lineRule="auto"/>
        <w:contextualSpacing/>
        <w:jc w:val="left"/>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p>
    <w:tbl>
      <w:tblPr>
        <w:tblStyle w:val="21"/>
        <w:tblpPr w:leftFromText="180" w:rightFromText="180" w:vertAnchor="text" w:horzAnchor="page" w:tblpX="1664" w:tblpY="43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700"/>
        <w:gridCol w:w="1505"/>
        <w:gridCol w:w="623"/>
        <w:gridCol w:w="1369"/>
        <w:gridCol w:w="1623"/>
        <w:gridCol w:w="753"/>
        <w:gridCol w:w="957"/>
        <w:gridCol w:w="1570"/>
      </w:tblGrid>
      <w:tr w14:paraId="133A3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0" w:hRule="atLeast"/>
        </w:trPr>
        <w:tc>
          <w:tcPr>
            <w:tcW w:w="9100" w:type="dxa"/>
            <w:gridSpan w:val="8"/>
            <w:noWrap/>
            <w:tcMar>
              <w:left w:w="108" w:type="dxa"/>
              <w:right w:w="108" w:type="dxa"/>
            </w:tcMar>
            <w:vAlign w:val="center"/>
          </w:tcPr>
          <w:p w14:paraId="7A1E61B3">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原件一览表</w:t>
            </w:r>
          </w:p>
        </w:tc>
      </w:tr>
      <w:tr w14:paraId="11C11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05" w:hRule="atLeast"/>
        </w:trPr>
        <w:tc>
          <w:tcPr>
            <w:tcW w:w="2828" w:type="dxa"/>
            <w:gridSpan w:val="3"/>
            <w:noWrap/>
            <w:tcMar>
              <w:left w:w="108" w:type="dxa"/>
              <w:right w:w="108" w:type="dxa"/>
            </w:tcMar>
            <w:vAlign w:val="center"/>
          </w:tcPr>
          <w:p w14:paraId="6AA55428">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工程名称</w:t>
            </w:r>
          </w:p>
        </w:tc>
        <w:tc>
          <w:tcPr>
            <w:tcW w:w="6272" w:type="dxa"/>
            <w:gridSpan w:val="5"/>
            <w:noWrap/>
            <w:tcMar>
              <w:left w:w="108" w:type="dxa"/>
              <w:right w:w="108" w:type="dxa"/>
            </w:tcMar>
            <w:vAlign w:val="center"/>
          </w:tcPr>
          <w:p w14:paraId="6B407179">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p>
        </w:tc>
      </w:tr>
      <w:tr w14:paraId="6E9E8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05" w:hRule="atLeast"/>
        </w:trPr>
        <w:tc>
          <w:tcPr>
            <w:tcW w:w="2828" w:type="dxa"/>
            <w:gridSpan w:val="3"/>
            <w:noWrap/>
            <w:tcMar>
              <w:left w:w="108" w:type="dxa"/>
              <w:right w:w="108" w:type="dxa"/>
            </w:tcMar>
            <w:vAlign w:val="center"/>
          </w:tcPr>
          <w:p w14:paraId="388CAC08">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投标人名称                （请务必填写单位全称）</w:t>
            </w:r>
          </w:p>
        </w:tc>
        <w:tc>
          <w:tcPr>
            <w:tcW w:w="6272" w:type="dxa"/>
            <w:gridSpan w:val="5"/>
            <w:noWrap/>
            <w:tcMar>
              <w:left w:w="108" w:type="dxa"/>
              <w:right w:w="108" w:type="dxa"/>
            </w:tcMar>
            <w:vAlign w:val="center"/>
          </w:tcPr>
          <w:p w14:paraId="31AA0441">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w:t>
            </w:r>
          </w:p>
        </w:tc>
      </w:tr>
      <w:tr w14:paraId="4D253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05" w:hRule="atLeast"/>
        </w:trPr>
        <w:tc>
          <w:tcPr>
            <w:tcW w:w="2828" w:type="dxa"/>
            <w:gridSpan w:val="3"/>
            <w:noWrap/>
            <w:tcMar>
              <w:left w:w="108" w:type="dxa"/>
              <w:right w:w="108" w:type="dxa"/>
            </w:tcMar>
            <w:vAlign w:val="center"/>
          </w:tcPr>
          <w:p w14:paraId="051B511F">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投标人法定代表人或其</w:t>
            </w:r>
          </w:p>
          <w:p w14:paraId="1B2DB12B">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委托代理人签名</w:t>
            </w:r>
          </w:p>
        </w:tc>
        <w:tc>
          <w:tcPr>
            <w:tcW w:w="2992" w:type="dxa"/>
            <w:gridSpan w:val="2"/>
            <w:noWrap/>
            <w:tcMar>
              <w:left w:w="108" w:type="dxa"/>
              <w:right w:w="108" w:type="dxa"/>
            </w:tcMar>
            <w:vAlign w:val="center"/>
          </w:tcPr>
          <w:p w14:paraId="5DF9AB83">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w:t>
            </w:r>
          </w:p>
        </w:tc>
        <w:tc>
          <w:tcPr>
            <w:tcW w:w="753" w:type="dxa"/>
            <w:noWrap/>
            <w:tcMar>
              <w:left w:w="108" w:type="dxa"/>
              <w:right w:w="108" w:type="dxa"/>
            </w:tcMar>
            <w:vAlign w:val="center"/>
          </w:tcPr>
          <w:p w14:paraId="5064241D">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手机号码</w:t>
            </w:r>
          </w:p>
        </w:tc>
        <w:tc>
          <w:tcPr>
            <w:tcW w:w="2527" w:type="dxa"/>
            <w:gridSpan w:val="2"/>
            <w:noWrap/>
            <w:tcMar>
              <w:left w:w="108" w:type="dxa"/>
              <w:right w:w="108" w:type="dxa"/>
            </w:tcMar>
            <w:vAlign w:val="center"/>
          </w:tcPr>
          <w:p w14:paraId="17F4AE20">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w:t>
            </w:r>
          </w:p>
        </w:tc>
      </w:tr>
      <w:tr w14:paraId="5483B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05" w:hRule="atLeast"/>
        </w:trPr>
        <w:tc>
          <w:tcPr>
            <w:tcW w:w="9100" w:type="dxa"/>
            <w:gridSpan w:val="8"/>
            <w:noWrap/>
            <w:tcMar>
              <w:left w:w="108" w:type="dxa"/>
              <w:right w:w="108" w:type="dxa"/>
            </w:tcMar>
            <w:vAlign w:val="center"/>
          </w:tcPr>
          <w:p w14:paraId="24B99115">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递交的证明材料原件如下：</w:t>
            </w:r>
          </w:p>
        </w:tc>
      </w:tr>
      <w:tr w14:paraId="2C9BD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05" w:hRule="atLeast"/>
        </w:trPr>
        <w:tc>
          <w:tcPr>
            <w:tcW w:w="700" w:type="dxa"/>
            <w:noWrap/>
            <w:tcMar>
              <w:left w:w="108" w:type="dxa"/>
              <w:right w:w="108" w:type="dxa"/>
            </w:tcMar>
            <w:vAlign w:val="center"/>
          </w:tcPr>
          <w:p w14:paraId="577EA55C">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序号</w:t>
            </w:r>
          </w:p>
        </w:tc>
        <w:tc>
          <w:tcPr>
            <w:tcW w:w="5120" w:type="dxa"/>
            <w:gridSpan w:val="4"/>
            <w:noWrap/>
            <w:tcMar>
              <w:left w:w="108" w:type="dxa"/>
              <w:right w:w="108" w:type="dxa"/>
            </w:tcMar>
            <w:vAlign w:val="center"/>
          </w:tcPr>
          <w:p w14:paraId="59AC2125">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证明材料原件名称</w:t>
            </w:r>
          </w:p>
        </w:tc>
        <w:tc>
          <w:tcPr>
            <w:tcW w:w="1710" w:type="dxa"/>
            <w:gridSpan w:val="2"/>
            <w:noWrap/>
            <w:tcMar>
              <w:left w:w="108" w:type="dxa"/>
              <w:right w:w="108" w:type="dxa"/>
            </w:tcMar>
            <w:vAlign w:val="center"/>
          </w:tcPr>
          <w:p w14:paraId="68DB2E0F">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单位</w:t>
            </w:r>
          </w:p>
        </w:tc>
        <w:tc>
          <w:tcPr>
            <w:tcW w:w="1570" w:type="dxa"/>
            <w:noWrap/>
            <w:tcMar>
              <w:left w:w="108" w:type="dxa"/>
              <w:right w:w="108" w:type="dxa"/>
            </w:tcMar>
            <w:vAlign w:val="center"/>
          </w:tcPr>
          <w:p w14:paraId="09C2EA9A">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数量</w:t>
            </w:r>
          </w:p>
        </w:tc>
      </w:tr>
      <w:tr w14:paraId="7B133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05" w:hRule="atLeast"/>
        </w:trPr>
        <w:tc>
          <w:tcPr>
            <w:tcW w:w="700" w:type="dxa"/>
            <w:noWrap/>
            <w:tcMar>
              <w:left w:w="108" w:type="dxa"/>
              <w:right w:w="108" w:type="dxa"/>
            </w:tcMar>
            <w:vAlign w:val="center"/>
          </w:tcPr>
          <w:p w14:paraId="6CE9AF06">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1</w:t>
            </w:r>
          </w:p>
        </w:tc>
        <w:tc>
          <w:tcPr>
            <w:tcW w:w="5120" w:type="dxa"/>
            <w:gridSpan w:val="4"/>
            <w:noWrap/>
            <w:tcMar>
              <w:left w:w="108" w:type="dxa"/>
              <w:right w:w="108" w:type="dxa"/>
            </w:tcMar>
            <w:vAlign w:val="center"/>
          </w:tcPr>
          <w:p w14:paraId="6AA9A8AA">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p>
        </w:tc>
        <w:tc>
          <w:tcPr>
            <w:tcW w:w="1710" w:type="dxa"/>
            <w:gridSpan w:val="2"/>
            <w:noWrap/>
            <w:tcMar>
              <w:left w:w="108" w:type="dxa"/>
              <w:right w:w="108" w:type="dxa"/>
            </w:tcMar>
            <w:vAlign w:val="center"/>
          </w:tcPr>
          <w:p w14:paraId="551C0982">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p>
        </w:tc>
        <w:tc>
          <w:tcPr>
            <w:tcW w:w="1570" w:type="dxa"/>
            <w:noWrap/>
            <w:tcMar>
              <w:left w:w="108" w:type="dxa"/>
              <w:right w:w="108" w:type="dxa"/>
            </w:tcMar>
            <w:vAlign w:val="center"/>
          </w:tcPr>
          <w:p w14:paraId="6592B393">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w:t>
            </w:r>
          </w:p>
        </w:tc>
      </w:tr>
      <w:tr w14:paraId="5A239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05" w:hRule="atLeast"/>
        </w:trPr>
        <w:tc>
          <w:tcPr>
            <w:tcW w:w="700" w:type="dxa"/>
            <w:noWrap/>
            <w:tcMar>
              <w:left w:w="108" w:type="dxa"/>
              <w:right w:w="108" w:type="dxa"/>
            </w:tcMar>
            <w:vAlign w:val="center"/>
          </w:tcPr>
          <w:p w14:paraId="3C983A57">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2</w:t>
            </w:r>
          </w:p>
        </w:tc>
        <w:tc>
          <w:tcPr>
            <w:tcW w:w="5120" w:type="dxa"/>
            <w:gridSpan w:val="4"/>
            <w:noWrap/>
            <w:tcMar>
              <w:left w:w="108" w:type="dxa"/>
              <w:right w:w="108" w:type="dxa"/>
            </w:tcMar>
            <w:vAlign w:val="center"/>
          </w:tcPr>
          <w:p w14:paraId="3F676136">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p>
        </w:tc>
        <w:tc>
          <w:tcPr>
            <w:tcW w:w="1710" w:type="dxa"/>
            <w:gridSpan w:val="2"/>
            <w:noWrap/>
            <w:tcMar>
              <w:left w:w="108" w:type="dxa"/>
              <w:right w:w="108" w:type="dxa"/>
            </w:tcMar>
            <w:vAlign w:val="center"/>
          </w:tcPr>
          <w:p w14:paraId="6D6CEDA0">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p>
        </w:tc>
        <w:tc>
          <w:tcPr>
            <w:tcW w:w="1570" w:type="dxa"/>
            <w:noWrap/>
            <w:tcMar>
              <w:left w:w="108" w:type="dxa"/>
              <w:right w:w="108" w:type="dxa"/>
            </w:tcMar>
            <w:vAlign w:val="center"/>
          </w:tcPr>
          <w:p w14:paraId="2DD7533B">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p>
        </w:tc>
      </w:tr>
      <w:tr w14:paraId="1D9C6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05" w:hRule="atLeast"/>
        </w:trPr>
        <w:tc>
          <w:tcPr>
            <w:tcW w:w="700" w:type="dxa"/>
            <w:noWrap/>
            <w:tcMar>
              <w:left w:w="108" w:type="dxa"/>
              <w:right w:w="108" w:type="dxa"/>
            </w:tcMar>
            <w:vAlign w:val="center"/>
          </w:tcPr>
          <w:p w14:paraId="1DAC6AE3">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3</w:t>
            </w:r>
          </w:p>
        </w:tc>
        <w:tc>
          <w:tcPr>
            <w:tcW w:w="5120" w:type="dxa"/>
            <w:gridSpan w:val="4"/>
            <w:noWrap/>
            <w:tcMar>
              <w:left w:w="108" w:type="dxa"/>
              <w:right w:w="108" w:type="dxa"/>
            </w:tcMar>
            <w:vAlign w:val="center"/>
          </w:tcPr>
          <w:p w14:paraId="44D0A20E">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p>
        </w:tc>
        <w:tc>
          <w:tcPr>
            <w:tcW w:w="1710" w:type="dxa"/>
            <w:gridSpan w:val="2"/>
            <w:noWrap/>
            <w:tcMar>
              <w:left w:w="108" w:type="dxa"/>
              <w:right w:w="108" w:type="dxa"/>
            </w:tcMar>
            <w:vAlign w:val="center"/>
          </w:tcPr>
          <w:p w14:paraId="3488AB50">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p>
        </w:tc>
        <w:tc>
          <w:tcPr>
            <w:tcW w:w="1570" w:type="dxa"/>
            <w:noWrap/>
            <w:tcMar>
              <w:left w:w="108" w:type="dxa"/>
              <w:right w:w="108" w:type="dxa"/>
            </w:tcMar>
            <w:vAlign w:val="center"/>
          </w:tcPr>
          <w:p w14:paraId="7C087D9E">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p>
        </w:tc>
      </w:tr>
      <w:tr w14:paraId="2CAE0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05" w:hRule="atLeast"/>
        </w:trPr>
        <w:tc>
          <w:tcPr>
            <w:tcW w:w="700" w:type="dxa"/>
            <w:noWrap/>
            <w:tcMar>
              <w:left w:w="108" w:type="dxa"/>
              <w:right w:w="108" w:type="dxa"/>
            </w:tcMar>
            <w:vAlign w:val="center"/>
          </w:tcPr>
          <w:p w14:paraId="64F799F4">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w:t>
            </w:r>
          </w:p>
        </w:tc>
        <w:tc>
          <w:tcPr>
            <w:tcW w:w="5120" w:type="dxa"/>
            <w:gridSpan w:val="4"/>
            <w:noWrap/>
            <w:tcMar>
              <w:left w:w="108" w:type="dxa"/>
              <w:right w:w="108" w:type="dxa"/>
            </w:tcMar>
            <w:vAlign w:val="center"/>
          </w:tcPr>
          <w:p w14:paraId="1659CA85">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p>
        </w:tc>
        <w:tc>
          <w:tcPr>
            <w:tcW w:w="1710" w:type="dxa"/>
            <w:gridSpan w:val="2"/>
            <w:noWrap/>
            <w:tcMar>
              <w:left w:w="108" w:type="dxa"/>
              <w:right w:w="108" w:type="dxa"/>
            </w:tcMar>
            <w:vAlign w:val="center"/>
          </w:tcPr>
          <w:p w14:paraId="3DA24B9B">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p>
        </w:tc>
        <w:tc>
          <w:tcPr>
            <w:tcW w:w="1570" w:type="dxa"/>
            <w:noWrap/>
            <w:tcMar>
              <w:left w:w="108" w:type="dxa"/>
              <w:right w:w="108" w:type="dxa"/>
            </w:tcMar>
            <w:vAlign w:val="center"/>
          </w:tcPr>
          <w:p w14:paraId="155705CC">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w:t>
            </w:r>
          </w:p>
        </w:tc>
      </w:tr>
      <w:tr w14:paraId="3F246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928" w:hRule="atLeast"/>
        </w:trPr>
        <w:tc>
          <w:tcPr>
            <w:tcW w:w="700" w:type="dxa"/>
            <w:noWrap/>
            <w:tcMar>
              <w:left w:w="108" w:type="dxa"/>
              <w:right w:w="108" w:type="dxa"/>
            </w:tcMar>
            <w:vAlign w:val="center"/>
          </w:tcPr>
          <w:p w14:paraId="08DE73B5">
            <w:pPr>
              <w:ind w:left="8" w:hanging="94"/>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注意：</w:t>
            </w:r>
          </w:p>
        </w:tc>
        <w:tc>
          <w:tcPr>
            <w:tcW w:w="8400" w:type="dxa"/>
            <w:gridSpan w:val="7"/>
            <w:noWrap/>
            <w:tcMar>
              <w:left w:w="108" w:type="dxa"/>
              <w:right w:w="108" w:type="dxa"/>
            </w:tcMar>
            <w:vAlign w:val="center"/>
          </w:tcPr>
          <w:p w14:paraId="39011553">
            <w:pPr>
              <w:ind w:firstLine="48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该表一式两份，两份表格投标人均需如实填写各项内容，两份表格的填写内容应一致。一份贴于装纳原件的文件袋（箱），一份在递交文件袋（箱）时由招标代理机构、投标人签字后交招标代理机构。招标代理机构仅代签收装纳原件的文件袋（箱），而不对文件袋（箱）中资料的数量、内容及真实性负责。</w:t>
            </w:r>
          </w:p>
        </w:tc>
      </w:tr>
      <w:tr w14:paraId="713E4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15" w:hRule="atLeast"/>
        </w:trPr>
        <w:tc>
          <w:tcPr>
            <w:tcW w:w="2205" w:type="dxa"/>
            <w:gridSpan w:val="2"/>
            <w:noWrap/>
            <w:tcMar>
              <w:left w:w="108" w:type="dxa"/>
              <w:right w:w="108" w:type="dxa"/>
            </w:tcMar>
            <w:vAlign w:val="center"/>
          </w:tcPr>
          <w:p w14:paraId="03248E81">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接收原件经办人（招标代理）：</w:t>
            </w:r>
          </w:p>
        </w:tc>
        <w:tc>
          <w:tcPr>
            <w:tcW w:w="1992" w:type="dxa"/>
            <w:gridSpan w:val="2"/>
            <w:noWrap/>
            <w:tcMar>
              <w:left w:w="108" w:type="dxa"/>
              <w:right w:w="108" w:type="dxa"/>
            </w:tcMar>
            <w:vAlign w:val="center"/>
          </w:tcPr>
          <w:p w14:paraId="5BCE5A61">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p>
        </w:tc>
        <w:tc>
          <w:tcPr>
            <w:tcW w:w="1623" w:type="dxa"/>
            <w:noWrap/>
            <w:tcMar>
              <w:left w:w="108" w:type="dxa"/>
              <w:right w:w="108" w:type="dxa"/>
            </w:tcMar>
            <w:vAlign w:val="center"/>
          </w:tcPr>
          <w:p w14:paraId="43254EA9">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接收时间：</w:t>
            </w:r>
          </w:p>
        </w:tc>
        <w:tc>
          <w:tcPr>
            <w:tcW w:w="3280" w:type="dxa"/>
            <w:gridSpan w:val="3"/>
            <w:noWrap/>
            <w:tcMar>
              <w:left w:w="108" w:type="dxa"/>
              <w:right w:w="108" w:type="dxa"/>
            </w:tcMar>
            <w:vAlign w:val="center"/>
          </w:tcPr>
          <w:p w14:paraId="6922A9E2">
            <w:pPr>
              <w:ind w:firstLine="480" w:firstLineChars="200"/>
              <w:jc w:val="left"/>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年   月   日   时  分</w:t>
            </w:r>
          </w:p>
        </w:tc>
      </w:tr>
      <w:tr w14:paraId="44B11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089" w:hRule="atLeast"/>
        </w:trPr>
        <w:tc>
          <w:tcPr>
            <w:tcW w:w="2205" w:type="dxa"/>
            <w:gridSpan w:val="2"/>
            <w:noWrap/>
            <w:tcMar>
              <w:left w:w="108" w:type="dxa"/>
              <w:right w:w="108" w:type="dxa"/>
            </w:tcMar>
            <w:vAlign w:val="center"/>
          </w:tcPr>
          <w:p w14:paraId="1772F5DD">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退还原件接收人（投标人）：</w:t>
            </w:r>
          </w:p>
        </w:tc>
        <w:tc>
          <w:tcPr>
            <w:tcW w:w="1992" w:type="dxa"/>
            <w:gridSpan w:val="2"/>
            <w:noWrap/>
            <w:tcMar>
              <w:left w:w="108" w:type="dxa"/>
              <w:right w:w="108" w:type="dxa"/>
            </w:tcMar>
            <w:vAlign w:val="center"/>
          </w:tcPr>
          <w:p w14:paraId="74892C54">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p>
        </w:tc>
        <w:tc>
          <w:tcPr>
            <w:tcW w:w="1623" w:type="dxa"/>
            <w:noWrap/>
            <w:tcMar>
              <w:left w:w="108" w:type="dxa"/>
              <w:right w:w="108" w:type="dxa"/>
            </w:tcMar>
            <w:vAlign w:val="center"/>
          </w:tcPr>
          <w:p w14:paraId="3627CE04">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退还时间：</w:t>
            </w:r>
          </w:p>
        </w:tc>
        <w:tc>
          <w:tcPr>
            <w:tcW w:w="3280" w:type="dxa"/>
            <w:gridSpan w:val="3"/>
            <w:noWrap/>
            <w:tcMar>
              <w:left w:w="108" w:type="dxa"/>
              <w:right w:w="108" w:type="dxa"/>
            </w:tcMar>
            <w:vAlign w:val="center"/>
          </w:tcPr>
          <w:p w14:paraId="425E27C0">
            <w:pPr>
              <w:ind w:firstLine="480" w:firstLineChars="200"/>
              <w:jc w:val="left"/>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年   月   日   时  分</w:t>
            </w:r>
          </w:p>
        </w:tc>
      </w:tr>
    </w:tbl>
    <w:p w14:paraId="75A82B2E">
      <w:pPr>
        <w:snapToGrid w:val="0"/>
        <w:spacing w:line="440" w:lineRule="exact"/>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snapToGrid w:val="0"/>
          <w:color w:val="000000" w:themeColor="text1"/>
          <w:highlight w:val="none"/>
          <w14:textFill>
            <w14:solidFill>
              <w14:schemeClr w14:val="tx1"/>
            </w14:solidFill>
          </w14:textFill>
        </w:rPr>
        <w:br w:type="page"/>
      </w:r>
    </w:p>
    <w:bookmarkEnd w:id="568"/>
    <w:bookmarkEnd w:id="569"/>
    <w:bookmarkEnd w:id="570"/>
    <w:p w14:paraId="2082FE14">
      <w:pPr>
        <w:pStyle w:val="3"/>
        <w:jc w:val="center"/>
        <w:rPr>
          <w:rFonts w:hint="eastAsia" w:asciiTheme="minorEastAsia" w:hAnsiTheme="minorEastAsia" w:eastAsiaTheme="minorEastAsia" w:cstheme="minorEastAsia"/>
          <w:b/>
          <w:color w:val="000000" w:themeColor="text1"/>
          <w:kern w:val="44"/>
          <w:szCs w:val="30"/>
          <w:highlight w:val="none"/>
          <w14:textFill>
            <w14:solidFill>
              <w14:schemeClr w14:val="tx1"/>
            </w14:solidFill>
          </w14:textFill>
        </w:rPr>
      </w:pPr>
      <w:bookmarkStart w:id="573" w:name="_Toc26622"/>
      <w:bookmarkStart w:id="574" w:name="_Toc22541"/>
      <w:bookmarkStart w:id="575" w:name="_Toc9816"/>
      <w:bookmarkStart w:id="576" w:name="_Toc8121"/>
      <w:bookmarkStart w:id="577" w:name="_Toc23446"/>
      <w:bookmarkStart w:id="578" w:name="_Toc8821"/>
      <w:bookmarkStart w:id="579" w:name="_Toc6918"/>
      <w:bookmarkStart w:id="580" w:name="_Toc21994"/>
      <w:bookmarkStart w:id="581" w:name="_Toc26638"/>
      <w:r>
        <w:rPr>
          <w:rFonts w:hint="eastAsia" w:asciiTheme="minorEastAsia" w:hAnsiTheme="minorEastAsia" w:eastAsiaTheme="minorEastAsia" w:cstheme="minorEastAsia"/>
          <w:b/>
          <w:color w:val="000000" w:themeColor="text1"/>
          <w:kern w:val="44"/>
          <w:szCs w:val="30"/>
          <w:highlight w:val="none"/>
          <w14:textFill>
            <w14:solidFill>
              <w14:schemeClr w14:val="tx1"/>
            </w14:solidFill>
          </w14:textFill>
        </w:rPr>
        <w:t>第</w:t>
      </w:r>
      <w:r>
        <w:rPr>
          <w:rFonts w:hint="eastAsia" w:asciiTheme="minorEastAsia" w:hAnsiTheme="minorEastAsia" w:eastAsiaTheme="minorEastAsia" w:cstheme="minorEastAsia"/>
          <w:b/>
          <w:color w:val="000000" w:themeColor="text1"/>
          <w:kern w:val="44"/>
          <w:szCs w:val="30"/>
          <w:highlight w:val="none"/>
          <w:lang w:val="en-US" w:eastAsia="zh-CN"/>
          <w14:textFill>
            <w14:solidFill>
              <w14:schemeClr w14:val="tx1"/>
            </w14:solidFill>
          </w14:textFill>
        </w:rPr>
        <w:t>七</w:t>
      </w:r>
      <w:r>
        <w:rPr>
          <w:rFonts w:hint="eastAsia" w:asciiTheme="minorEastAsia" w:hAnsiTheme="minorEastAsia" w:eastAsiaTheme="minorEastAsia" w:cstheme="minorEastAsia"/>
          <w:b/>
          <w:color w:val="000000" w:themeColor="text1"/>
          <w:kern w:val="44"/>
          <w:szCs w:val="30"/>
          <w:highlight w:val="none"/>
          <w14:textFill>
            <w14:solidFill>
              <w14:schemeClr w14:val="tx1"/>
            </w14:solidFill>
          </w14:textFill>
        </w:rPr>
        <w:t>章  廉政合同、履约保函、预付款保函、支付保函</w:t>
      </w:r>
      <w:bookmarkEnd w:id="573"/>
      <w:bookmarkEnd w:id="574"/>
      <w:bookmarkEnd w:id="575"/>
      <w:bookmarkEnd w:id="576"/>
      <w:bookmarkEnd w:id="577"/>
      <w:bookmarkEnd w:id="578"/>
      <w:bookmarkEnd w:id="579"/>
      <w:bookmarkEnd w:id="580"/>
      <w:bookmarkEnd w:id="581"/>
    </w:p>
    <w:p w14:paraId="172855D5">
      <w:pPr>
        <w:rPr>
          <w:rFonts w:hint="eastAsia" w:asciiTheme="minorEastAsia" w:hAnsiTheme="minorEastAsia" w:eastAsiaTheme="minorEastAsia" w:cstheme="minorEastAsia"/>
          <w:color w:val="000000" w:themeColor="text1"/>
          <w:highlight w:val="none"/>
          <w14:textFill>
            <w14:solidFill>
              <w14:schemeClr w14:val="tx1"/>
            </w14:solidFill>
          </w14:textFill>
        </w:rPr>
      </w:pPr>
    </w:p>
    <w:p w14:paraId="192C8A41">
      <w:pPr>
        <w:pStyle w:val="5"/>
        <w:ind w:left="4511" w:leftChars="174" w:hanging="4093" w:hangingChars="1274"/>
        <w:jc w:val="center"/>
        <w:rPr>
          <w:rFonts w:hint="eastAsia" w:asciiTheme="minorEastAsia" w:hAnsiTheme="minorEastAsia" w:eastAsiaTheme="minorEastAsia" w:cstheme="minorEastAsia"/>
          <w:bCs/>
          <w:color w:val="000000" w:themeColor="text1"/>
          <w:sz w:val="32"/>
          <w:szCs w:val="32"/>
          <w:highlight w:val="none"/>
          <w14:textFill>
            <w14:solidFill>
              <w14:schemeClr w14:val="tx1"/>
            </w14:solidFill>
          </w14:textFill>
        </w:rPr>
      </w:pPr>
      <w:bookmarkStart w:id="582" w:name="_Toc20232"/>
      <w:bookmarkStart w:id="583" w:name="_Toc29713"/>
      <w:bookmarkStart w:id="584" w:name="_Toc32046"/>
      <w:bookmarkStart w:id="585" w:name="_Toc10193"/>
      <w:bookmarkStart w:id="586" w:name="_Toc8348"/>
      <w:bookmarkStart w:id="587" w:name="_Toc10603"/>
      <w:bookmarkStart w:id="588" w:name="_Toc5845"/>
      <w:bookmarkStart w:id="589" w:name="_Toc2994"/>
      <w:bookmarkStart w:id="590" w:name="_Toc30503"/>
      <w:bookmarkStart w:id="591" w:name="_Toc16029"/>
      <w:bookmarkStart w:id="592" w:name="_Toc5870"/>
      <w:r>
        <w:rPr>
          <w:rFonts w:hint="eastAsia" w:asciiTheme="minorEastAsia" w:hAnsiTheme="minorEastAsia" w:eastAsiaTheme="minorEastAsia" w:cstheme="minorEastAsia"/>
          <w:bCs/>
          <w:color w:val="000000" w:themeColor="text1"/>
          <w:sz w:val="32"/>
          <w:szCs w:val="32"/>
          <w:highlight w:val="none"/>
          <w14:textFill>
            <w14:solidFill>
              <w14:schemeClr w14:val="tx1"/>
            </w14:solidFill>
          </w14:textFill>
        </w:rPr>
        <w:t>廉政合同</w:t>
      </w:r>
      <w:bookmarkEnd w:id="582"/>
      <w:bookmarkEnd w:id="583"/>
      <w:bookmarkEnd w:id="584"/>
      <w:bookmarkEnd w:id="585"/>
      <w:bookmarkEnd w:id="586"/>
      <w:bookmarkEnd w:id="587"/>
      <w:bookmarkEnd w:id="588"/>
      <w:bookmarkEnd w:id="589"/>
      <w:bookmarkEnd w:id="590"/>
      <w:bookmarkEnd w:id="591"/>
      <w:bookmarkEnd w:id="592"/>
    </w:p>
    <w:p w14:paraId="4CEB01C0">
      <w:pPr>
        <w:tabs>
          <w:tab w:val="left" w:pos="9100"/>
        </w:tabs>
        <w:autoSpaceDE w:val="0"/>
        <w:autoSpaceDN w:val="0"/>
        <w:adjustRightInd w:val="0"/>
        <w:spacing w:line="460" w:lineRule="atLeast"/>
        <w:ind w:left="101" w:right="101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highlight w:val="none"/>
          <w14:textFill>
            <w14:solidFill>
              <w14:schemeClr w14:val="tx1"/>
            </w14:solidFill>
          </w14:textFill>
        </w:rPr>
        <w:t>招标人：（全称）</w:t>
      </w:r>
      <w:r>
        <w:rPr>
          <w:rFonts w:hint="eastAsia" w:asciiTheme="minorEastAsia" w:hAnsiTheme="minorEastAsia" w:eastAsiaTheme="minorEastAsia" w:cstheme="minorEastAsia"/>
          <w:color w:val="000000" w:themeColor="text1"/>
          <w:kern w:val="0"/>
          <w:highlight w:val="none"/>
          <w:u w:val="single"/>
          <w14:textFill>
            <w14:solidFill>
              <w14:schemeClr w14:val="tx1"/>
            </w14:solidFill>
          </w14:textFill>
        </w:rPr>
        <w:tab/>
      </w:r>
    </w:p>
    <w:p w14:paraId="767DC3F8">
      <w:pPr>
        <w:tabs>
          <w:tab w:val="left" w:pos="9100"/>
        </w:tabs>
        <w:autoSpaceDE w:val="0"/>
        <w:autoSpaceDN w:val="0"/>
        <w:adjustRightInd w:val="0"/>
        <w:spacing w:line="460" w:lineRule="atLeast"/>
        <w:ind w:left="101" w:right="101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highlight w:val="none"/>
          <w14:textFill>
            <w14:solidFill>
              <w14:schemeClr w14:val="tx1"/>
            </w14:solidFill>
          </w14:textFill>
        </w:rPr>
        <w:t>中标人：（全称）</w:t>
      </w:r>
      <w:r>
        <w:rPr>
          <w:rFonts w:hint="eastAsia" w:asciiTheme="minorEastAsia" w:hAnsiTheme="minorEastAsia" w:eastAsiaTheme="minorEastAsia" w:cstheme="minorEastAsia"/>
          <w:color w:val="000000" w:themeColor="text1"/>
          <w:kern w:val="0"/>
          <w:highlight w:val="none"/>
          <w:u w:val="single"/>
          <w14:textFill>
            <w14:solidFill>
              <w14:schemeClr w14:val="tx1"/>
            </w14:solidFill>
          </w14:textFill>
        </w:rPr>
        <w:tab/>
      </w:r>
    </w:p>
    <w:p w14:paraId="110241E6">
      <w:pPr>
        <w:autoSpaceDE w:val="0"/>
        <w:autoSpaceDN w:val="0"/>
        <w:adjustRightInd w:val="0"/>
        <w:spacing w:before="6" w:line="150" w:lineRule="exact"/>
        <w:jc w:val="left"/>
        <w:rPr>
          <w:rFonts w:hint="eastAsia" w:asciiTheme="minorEastAsia" w:hAnsiTheme="minorEastAsia" w:eastAsiaTheme="minorEastAsia" w:cstheme="minorEastAsia"/>
          <w:color w:val="000000" w:themeColor="text1"/>
          <w:kern w:val="0"/>
          <w:szCs w:val="15"/>
          <w:highlight w:val="none"/>
          <w14:textFill>
            <w14:solidFill>
              <w14:schemeClr w14:val="tx1"/>
            </w14:solidFill>
          </w14:textFill>
        </w:rPr>
      </w:pPr>
    </w:p>
    <w:p w14:paraId="30964C20">
      <w:pPr>
        <w:autoSpaceDE w:val="0"/>
        <w:autoSpaceDN w:val="0"/>
        <w:adjustRightInd w:val="0"/>
        <w:spacing w:line="200" w:lineRule="exact"/>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p>
    <w:p w14:paraId="1F3807F3">
      <w:pPr>
        <w:autoSpaceDE w:val="0"/>
        <w:autoSpaceDN w:val="0"/>
        <w:adjustRightInd w:val="0"/>
        <w:spacing w:line="200" w:lineRule="exact"/>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p>
    <w:p w14:paraId="44F84AE7">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position w:val="-3"/>
          <w:highlight w:val="none"/>
          <w14:textFill>
            <w14:solidFill>
              <w14:schemeClr w14:val="tx1"/>
            </w14:solidFill>
          </w14:textFill>
        </w:rPr>
        <w:t>根据国家、省有关廉政建设的规定，为做好合同工程的廉政建设，保证工程质量与施工安</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全，提高建设资金的有效使用和投资效益，合同双方当事人就加强合同工程的廉政建设，订立本合同。</w:t>
      </w:r>
    </w:p>
    <w:p w14:paraId="3524FAB7">
      <w:pPr>
        <w:autoSpaceDE w:val="0"/>
        <w:autoSpaceDN w:val="0"/>
        <w:adjustRightInd w:val="0"/>
        <w:spacing w:line="360" w:lineRule="auto"/>
        <w:ind w:firstLine="482" w:firstLineChars="200"/>
        <w:jc w:val="left"/>
        <w:rPr>
          <w:rFonts w:hint="eastAsia" w:asciiTheme="minorEastAsia" w:hAnsiTheme="minorEastAsia" w:eastAsiaTheme="minorEastAsia" w:cstheme="minorEastAsia"/>
          <w:b/>
          <w:bCs/>
          <w:color w:val="000000" w:themeColor="text1"/>
          <w:spacing w:val="1"/>
          <w:kern w:val="0"/>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kern w:val="0"/>
          <w:szCs w:val="28"/>
          <w:highlight w:val="none"/>
          <w14:textFill>
            <w14:solidFill>
              <w14:schemeClr w14:val="tx1"/>
            </w14:solidFill>
          </w14:textFill>
        </w:rPr>
        <w:t>1</w:t>
      </w:r>
      <w:r>
        <w:rPr>
          <w:rFonts w:hint="eastAsia" w:asciiTheme="minorEastAsia" w:hAnsiTheme="minorEastAsia" w:eastAsiaTheme="minorEastAsia" w:cstheme="minorEastAsia"/>
          <w:b/>
          <w:bCs/>
          <w:color w:val="000000" w:themeColor="text1"/>
          <w:kern w:val="0"/>
          <w:szCs w:val="28"/>
          <w:highlight w:val="none"/>
          <w14:textFill>
            <w14:solidFill>
              <w14:schemeClr w14:val="tx1"/>
            </w14:solidFill>
          </w14:textFill>
        </w:rPr>
        <w:tab/>
      </w:r>
      <w:r>
        <w:rPr>
          <w:rFonts w:hint="eastAsia" w:asciiTheme="minorEastAsia" w:hAnsiTheme="minorEastAsia" w:eastAsiaTheme="minorEastAsia" w:cstheme="minorEastAsia"/>
          <w:b/>
          <w:bCs/>
          <w:color w:val="000000" w:themeColor="text1"/>
          <w:spacing w:val="1"/>
          <w:kern w:val="0"/>
          <w:szCs w:val="28"/>
          <w:highlight w:val="none"/>
          <w14:textFill>
            <w14:solidFill>
              <w14:schemeClr w14:val="tx1"/>
            </w14:solidFill>
          </w14:textFill>
        </w:rPr>
        <w:t>双方权利和义务</w:t>
      </w:r>
    </w:p>
    <w:p w14:paraId="545CBDDF">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highlight w:val="none"/>
          <w14:textFill>
            <w14:solidFill>
              <w14:schemeClr w14:val="tx1"/>
            </w14:solidFill>
          </w14:textFill>
        </w:rPr>
        <w:t>1.1</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ab/>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严格遵守国家、省有关法律法规的规定。</w:t>
      </w:r>
    </w:p>
    <w:p w14:paraId="7DF0856F">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highlight w:val="none"/>
          <w14:textFill>
            <w14:solidFill>
              <w14:schemeClr w14:val="tx1"/>
            </w14:solidFill>
          </w14:textFill>
        </w:rPr>
        <w:t>1.2</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ab/>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严格执行合同工程一切合同文件，自觉按合同办事。</w:t>
      </w:r>
    </w:p>
    <w:p w14:paraId="7DF08E7D">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highlight w:val="none"/>
          <w14:textFill>
            <w14:solidFill>
              <w14:schemeClr w14:val="tx1"/>
            </w14:solidFill>
          </w14:textFill>
        </w:rPr>
        <w:t>1.3</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ab/>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合同双方当事人的业务活动应坚持公平</w:t>
      </w:r>
      <w:r>
        <w:rPr>
          <w:rFonts w:hint="eastAsia" w:asciiTheme="minorEastAsia" w:hAnsiTheme="minorEastAsia" w:eastAsiaTheme="minorEastAsia" w:cstheme="minorEastAsia"/>
          <w:color w:val="000000" w:themeColor="text1"/>
          <w:spacing w:val="-12"/>
          <w:kern w:val="0"/>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公开</w:t>
      </w:r>
      <w:r>
        <w:rPr>
          <w:rFonts w:hint="eastAsia" w:asciiTheme="minorEastAsia" w:hAnsiTheme="minorEastAsia" w:eastAsiaTheme="minorEastAsia" w:cstheme="minorEastAsia"/>
          <w:color w:val="000000" w:themeColor="text1"/>
          <w:spacing w:val="-12"/>
          <w:kern w:val="0"/>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公正和诚信的原</w:t>
      </w:r>
      <w:r>
        <w:rPr>
          <w:rFonts w:hint="eastAsia" w:asciiTheme="minorEastAsia" w:hAnsiTheme="minorEastAsia" w:eastAsiaTheme="minorEastAsia" w:cstheme="minorEastAsia"/>
          <w:color w:val="000000" w:themeColor="text1"/>
          <w:spacing w:val="-12"/>
          <w:kern w:val="0"/>
          <w:highlight w:val="none"/>
          <w14:textFill>
            <w14:solidFill>
              <w14:schemeClr w14:val="tx1"/>
            </w14:solidFill>
          </w14:textFill>
        </w:rPr>
        <w:t>则</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（法律认定的商业 秘密和合同文件另有规定除外</w:t>
      </w:r>
      <w:r>
        <w:rPr>
          <w:rFonts w:hint="eastAsia" w:asciiTheme="minorEastAsia" w:hAnsiTheme="minorEastAsia" w:eastAsiaTheme="minorEastAsia" w:cstheme="minorEastAsia"/>
          <w:color w:val="000000" w:themeColor="text1"/>
          <w:spacing w:val="-120"/>
          <w:kern w:val="0"/>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，不得损害国家和集体利益，不得违反工程建设管理规章制度。</w:t>
      </w:r>
    </w:p>
    <w:p w14:paraId="1BBA8BB4">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highlight w:val="none"/>
          <w14:textFill>
            <w14:solidFill>
              <w14:schemeClr w14:val="tx1"/>
            </w14:solidFill>
          </w14:textFill>
        </w:rPr>
        <w:t>1.4</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ab/>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建立健全廉政制度</w:t>
      </w:r>
      <w:r>
        <w:rPr>
          <w:rFonts w:hint="eastAsia" w:asciiTheme="minorEastAsia" w:hAnsiTheme="minorEastAsia" w:eastAsiaTheme="minorEastAsia" w:cstheme="minorEastAsia"/>
          <w:color w:val="000000" w:themeColor="text1"/>
          <w:spacing w:val="-10"/>
          <w:kern w:val="0"/>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开展廉政教育</w:t>
      </w:r>
      <w:r>
        <w:rPr>
          <w:rFonts w:hint="eastAsia" w:asciiTheme="minorEastAsia" w:hAnsiTheme="minorEastAsia" w:eastAsiaTheme="minorEastAsia" w:cstheme="minorEastAsia"/>
          <w:color w:val="000000" w:themeColor="text1"/>
          <w:spacing w:val="-8"/>
          <w:kern w:val="0"/>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设立廉政告示牌</w:t>
      </w:r>
      <w:r>
        <w:rPr>
          <w:rFonts w:hint="eastAsia" w:asciiTheme="minorEastAsia" w:hAnsiTheme="minorEastAsia" w:eastAsiaTheme="minorEastAsia" w:cstheme="minorEastAsia"/>
          <w:color w:val="000000" w:themeColor="text1"/>
          <w:spacing w:val="-8"/>
          <w:kern w:val="0"/>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公布举报电话</w:t>
      </w:r>
      <w:r>
        <w:rPr>
          <w:rFonts w:hint="eastAsia" w:asciiTheme="minorEastAsia" w:hAnsiTheme="minorEastAsia" w:eastAsiaTheme="minorEastAsia" w:cstheme="minorEastAsia"/>
          <w:color w:val="000000" w:themeColor="text1"/>
          <w:spacing w:val="-8"/>
          <w:kern w:val="0"/>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监督并认真查 处违法违纪行为。</w:t>
      </w:r>
    </w:p>
    <w:p w14:paraId="394BCC7E">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highlight w:val="none"/>
          <w14:textFill>
            <w14:solidFill>
              <w14:schemeClr w14:val="tx1"/>
            </w14:solidFill>
          </w14:textFill>
        </w:rPr>
        <w:t>1.5</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ab/>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发现对方在业务活动中有违反廉政建设规定的行为，应及时给予提醒和纠正。</w:t>
      </w:r>
    </w:p>
    <w:p w14:paraId="3A3CCFAE">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highlight w:val="none"/>
          <w14:textFill>
            <w14:solidFill>
              <w14:schemeClr w14:val="tx1"/>
            </w14:solidFill>
          </w14:textFill>
        </w:rPr>
        <w:t>1.6</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ab/>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发现对方严重违反合同的行为</w:t>
      </w:r>
      <w:r>
        <w:rPr>
          <w:rFonts w:hint="eastAsia" w:asciiTheme="minorEastAsia" w:hAnsiTheme="minorEastAsia" w:eastAsiaTheme="minorEastAsia" w:cstheme="minorEastAsia"/>
          <w:color w:val="000000" w:themeColor="text1"/>
          <w:spacing w:val="-18"/>
          <w:kern w:val="0"/>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有向其上级部门举报</w:t>
      </w:r>
      <w:r>
        <w:rPr>
          <w:rFonts w:hint="eastAsia" w:asciiTheme="minorEastAsia" w:hAnsiTheme="minorEastAsia" w:eastAsiaTheme="minorEastAsia" w:cstheme="minorEastAsia"/>
          <w:color w:val="000000" w:themeColor="text1"/>
          <w:spacing w:val="-18"/>
          <w:kern w:val="0"/>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建议给予处理并要求告知处理 结果的权利。没有上级部门的，可按本合同第二部分《通用条款》第87 条规定处理。</w:t>
      </w:r>
    </w:p>
    <w:p w14:paraId="7D2BCF75">
      <w:pPr>
        <w:autoSpaceDE w:val="0"/>
        <w:autoSpaceDN w:val="0"/>
        <w:adjustRightInd w:val="0"/>
        <w:spacing w:line="360" w:lineRule="auto"/>
        <w:ind w:firstLine="482" w:firstLineChars="200"/>
        <w:jc w:val="left"/>
        <w:rPr>
          <w:rFonts w:hint="eastAsia" w:asciiTheme="minorEastAsia" w:hAnsiTheme="minorEastAsia" w:eastAsiaTheme="minorEastAsia" w:cstheme="minorEastAsia"/>
          <w:b/>
          <w:bCs/>
          <w:color w:val="000000" w:themeColor="text1"/>
          <w:spacing w:val="1"/>
          <w:kern w:val="0"/>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kern w:val="0"/>
          <w:szCs w:val="28"/>
          <w:highlight w:val="none"/>
          <w14:textFill>
            <w14:solidFill>
              <w14:schemeClr w14:val="tx1"/>
            </w14:solidFill>
          </w14:textFill>
        </w:rPr>
        <w:t>2</w:t>
      </w:r>
      <w:r>
        <w:rPr>
          <w:rFonts w:hint="eastAsia" w:asciiTheme="minorEastAsia" w:hAnsiTheme="minorEastAsia" w:eastAsiaTheme="minorEastAsia" w:cstheme="minorEastAsia"/>
          <w:b/>
          <w:bCs/>
          <w:color w:val="000000" w:themeColor="text1"/>
          <w:kern w:val="0"/>
          <w:szCs w:val="28"/>
          <w:highlight w:val="none"/>
          <w14:textFill>
            <w14:solidFill>
              <w14:schemeClr w14:val="tx1"/>
            </w14:solidFill>
          </w14:textFill>
        </w:rPr>
        <w:tab/>
      </w:r>
      <w:r>
        <w:rPr>
          <w:rFonts w:hint="eastAsia" w:asciiTheme="minorEastAsia" w:hAnsiTheme="minorEastAsia" w:eastAsiaTheme="minorEastAsia" w:cstheme="minorEastAsia"/>
          <w:b/>
          <w:bCs/>
          <w:color w:val="000000" w:themeColor="text1"/>
          <w:spacing w:val="1"/>
          <w:kern w:val="0"/>
          <w:szCs w:val="28"/>
          <w:highlight w:val="none"/>
          <w14:textFill>
            <w14:solidFill>
              <w14:schemeClr w14:val="tx1"/>
            </w14:solidFill>
          </w14:textFill>
        </w:rPr>
        <w:t>招标人义务</w:t>
      </w:r>
    </w:p>
    <w:p w14:paraId="250A1280">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highlight w:val="none"/>
          <w14:textFill>
            <w14:solidFill>
              <w14:schemeClr w14:val="tx1"/>
            </w14:solidFill>
          </w14:textFill>
        </w:rPr>
        <w:t>2.1</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ab/>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招标人及其工作人员不得索取或接受中标人的礼金</w:t>
      </w:r>
      <w:r>
        <w:rPr>
          <w:rFonts w:hint="eastAsia" w:asciiTheme="minorEastAsia" w:hAnsiTheme="minorEastAsia" w:eastAsiaTheme="minorEastAsia" w:cstheme="minorEastAsia"/>
          <w:color w:val="000000" w:themeColor="text1"/>
          <w:spacing w:val="-18"/>
          <w:kern w:val="0"/>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有价证券和贵重物品</w:t>
      </w:r>
      <w:r>
        <w:rPr>
          <w:rFonts w:hint="eastAsia" w:asciiTheme="minorEastAsia" w:hAnsiTheme="minorEastAsia" w:eastAsiaTheme="minorEastAsia" w:cstheme="minorEastAsia"/>
          <w:color w:val="000000" w:themeColor="text1"/>
          <w:spacing w:val="-18"/>
          <w:kern w:val="0"/>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不得在承 包人报销任何应由招标人或其工作人员个人支付的费用。</w:t>
      </w:r>
    </w:p>
    <w:p w14:paraId="224220B2">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highlight w:val="none"/>
          <w14:textFill>
            <w14:solidFill>
              <w14:schemeClr w14:val="tx1"/>
            </w14:solidFill>
          </w14:textFill>
        </w:rPr>
        <w:t>2.2</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ab/>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招标人及其工作人员不得参加中标人安排的宴</w:t>
      </w:r>
      <w:r>
        <w:rPr>
          <w:rFonts w:hint="eastAsia" w:asciiTheme="minorEastAsia" w:hAnsiTheme="minorEastAsia" w:eastAsiaTheme="minorEastAsia" w:cstheme="minorEastAsia"/>
          <w:color w:val="000000" w:themeColor="text1"/>
          <w:spacing w:val="-12"/>
          <w:kern w:val="0"/>
          <w:highlight w:val="none"/>
          <w14:textFill>
            <w14:solidFill>
              <w14:schemeClr w14:val="tx1"/>
            </w14:solidFill>
          </w14:textFill>
        </w:rPr>
        <w:t>请</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（工作餐除外</w:t>
      </w:r>
      <w:r>
        <w:rPr>
          <w:rFonts w:hint="eastAsia" w:asciiTheme="minorEastAsia" w:hAnsiTheme="minorEastAsia" w:eastAsiaTheme="minorEastAsia" w:cstheme="minorEastAsia"/>
          <w:color w:val="000000" w:themeColor="text1"/>
          <w:spacing w:val="-12"/>
          <w:kern w:val="0"/>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和娱乐活动</w:t>
      </w:r>
      <w:r>
        <w:rPr>
          <w:rFonts w:hint="eastAsia" w:asciiTheme="minorEastAsia" w:hAnsiTheme="minorEastAsia" w:eastAsiaTheme="minorEastAsia" w:cstheme="minorEastAsia"/>
          <w:color w:val="000000" w:themeColor="text1"/>
          <w:spacing w:val="-12"/>
          <w:kern w:val="0"/>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不得接受中标人提供的通讯、交通工具和高档办公用品等物品。</w:t>
      </w:r>
    </w:p>
    <w:p w14:paraId="5F6DD461">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position w:val="-2"/>
          <w:highlight w:val="none"/>
          <w14:textFill>
            <w14:solidFill>
              <w14:schemeClr w14:val="tx1"/>
            </w14:solidFill>
          </w14:textFill>
        </w:rPr>
        <w:t>2.3</w:t>
      </w:r>
      <w:r>
        <w:rPr>
          <w:rFonts w:hint="eastAsia" w:asciiTheme="minorEastAsia" w:hAnsiTheme="minorEastAsia" w:eastAsiaTheme="minorEastAsia" w:cstheme="minorEastAsia"/>
          <w:color w:val="000000" w:themeColor="text1"/>
          <w:kern w:val="0"/>
          <w:position w:val="-2"/>
          <w:highlight w:val="none"/>
          <w14:textFill>
            <w14:solidFill>
              <w14:schemeClr w14:val="tx1"/>
            </w14:solidFill>
          </w14:textFill>
        </w:rPr>
        <w:tab/>
      </w:r>
      <w:r>
        <w:rPr>
          <w:rFonts w:hint="eastAsia" w:asciiTheme="minorEastAsia" w:hAnsiTheme="minorEastAsia" w:eastAsiaTheme="minorEastAsia" w:cstheme="minorEastAsia"/>
          <w:color w:val="000000" w:themeColor="text1"/>
          <w:kern w:val="0"/>
          <w:position w:val="-2"/>
          <w:highlight w:val="none"/>
          <w14:textFill>
            <w14:solidFill>
              <w14:schemeClr w14:val="tx1"/>
            </w14:solidFill>
          </w14:textFill>
        </w:rPr>
        <w:t>招标人及其工作人员不得要求或者接受中标人为其住房装修</w:t>
      </w:r>
      <w:r>
        <w:rPr>
          <w:rFonts w:hint="eastAsia" w:asciiTheme="minorEastAsia" w:hAnsiTheme="minorEastAsia" w:eastAsiaTheme="minorEastAsia" w:cstheme="minorEastAsia"/>
          <w:color w:val="000000" w:themeColor="text1"/>
          <w:spacing w:val="-18"/>
          <w:kern w:val="0"/>
          <w:position w:val="-2"/>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position w:val="-2"/>
          <w:highlight w:val="none"/>
          <w14:textFill>
            <w14:solidFill>
              <w14:schemeClr w14:val="tx1"/>
            </w14:solidFill>
          </w14:textFill>
        </w:rPr>
        <w:t>婚丧嫁娶活动</w:t>
      </w:r>
      <w:r>
        <w:rPr>
          <w:rFonts w:hint="eastAsia" w:asciiTheme="minorEastAsia" w:hAnsiTheme="minorEastAsia" w:eastAsiaTheme="minorEastAsia" w:cstheme="minorEastAsia"/>
          <w:color w:val="000000" w:themeColor="text1"/>
          <w:spacing w:val="-18"/>
          <w:kern w:val="0"/>
          <w:position w:val="-2"/>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position w:val="-2"/>
          <w:highlight w:val="none"/>
          <w14:textFill>
            <w14:solidFill>
              <w14:schemeClr w14:val="tx1"/>
            </w14:solidFill>
          </w14:textFill>
        </w:rPr>
        <w:t>配偶子</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女工作安排以及出国出境、旅游等提供方便。</w:t>
      </w:r>
    </w:p>
    <w:p w14:paraId="346DF012">
      <w:pPr>
        <w:autoSpaceDE w:val="0"/>
        <w:autoSpaceDN w:val="0"/>
        <w:adjustRightInd w:val="0"/>
        <w:spacing w:line="360" w:lineRule="auto"/>
        <w:ind w:right="185" w:firstLine="480" w:firstLineChars="20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highlight w:val="none"/>
          <w14:textFill>
            <w14:solidFill>
              <w14:schemeClr w14:val="tx1"/>
            </w14:solidFill>
          </w14:textFill>
        </w:rPr>
        <w:t xml:space="preserve">2.4 </w:t>
      </w:r>
      <w:r>
        <w:rPr>
          <w:rFonts w:hint="eastAsia" w:asciiTheme="minorEastAsia" w:hAnsiTheme="minorEastAsia" w:eastAsiaTheme="minorEastAsia" w:cstheme="minorEastAsia"/>
          <w:color w:val="000000" w:themeColor="text1"/>
          <w:spacing w:val="2"/>
          <w:kern w:val="0"/>
          <w:highlight w:val="none"/>
          <w14:textFill>
            <w14:solidFill>
              <w14:schemeClr w14:val="tx1"/>
            </w14:solidFill>
          </w14:textFill>
        </w:rPr>
        <w:t>招标人及其工作人员不得以任何理由向中标人推荐</w:t>
      </w:r>
      <w:r>
        <w:rPr>
          <w:rFonts w:hint="eastAsia" w:asciiTheme="minorEastAsia" w:hAnsiTheme="minorEastAsia" w:eastAsiaTheme="minorEastAsia" w:cstheme="minorEastAsia"/>
          <w:color w:val="000000" w:themeColor="text1"/>
          <w:spacing w:val="1"/>
          <w:kern w:val="0"/>
          <w:highlight w:val="none"/>
          <w14:textFill>
            <w14:solidFill>
              <w14:schemeClr w14:val="tx1"/>
            </w14:solidFill>
          </w14:textFill>
        </w:rPr>
        <w:t>分</w:t>
      </w:r>
      <w:r>
        <w:rPr>
          <w:rFonts w:hint="eastAsia" w:asciiTheme="minorEastAsia" w:hAnsiTheme="minorEastAsia" w:eastAsiaTheme="minorEastAsia" w:cstheme="minorEastAsia"/>
          <w:color w:val="000000" w:themeColor="text1"/>
          <w:spacing w:val="2"/>
          <w:kern w:val="0"/>
          <w:highlight w:val="none"/>
          <w14:textFill>
            <w14:solidFill>
              <w14:schemeClr w14:val="tx1"/>
            </w14:solidFill>
          </w14:textFill>
        </w:rPr>
        <w:t xml:space="preserve">包人、推销材料和工程设备，不 </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得要求中标人购买合同以外的材料和工程设备。</w:t>
      </w:r>
    </w:p>
    <w:p w14:paraId="14AA02E8">
      <w:pPr>
        <w:autoSpaceDE w:val="0"/>
        <w:autoSpaceDN w:val="0"/>
        <w:adjustRightInd w:val="0"/>
        <w:spacing w:line="360" w:lineRule="auto"/>
        <w:ind w:right="185" w:firstLine="480" w:firstLineChars="20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highlight w:val="none"/>
          <w14:textFill>
            <w14:solidFill>
              <w14:schemeClr w14:val="tx1"/>
            </w14:solidFill>
          </w14:textFill>
        </w:rPr>
        <w:t>2.5</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ab/>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招标人及其工作人员要秉公办事</w:t>
      </w:r>
      <w:r>
        <w:rPr>
          <w:rFonts w:hint="eastAsia" w:asciiTheme="minorEastAsia" w:hAnsiTheme="minorEastAsia" w:eastAsiaTheme="minorEastAsia" w:cstheme="minorEastAsia"/>
          <w:color w:val="000000" w:themeColor="text1"/>
          <w:spacing w:val="-18"/>
          <w:kern w:val="0"/>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不准营私舞弊</w:t>
      </w:r>
      <w:r>
        <w:rPr>
          <w:rFonts w:hint="eastAsia" w:asciiTheme="minorEastAsia" w:hAnsiTheme="minorEastAsia" w:eastAsiaTheme="minorEastAsia" w:cstheme="minorEastAsia"/>
          <w:color w:val="000000" w:themeColor="text1"/>
          <w:spacing w:val="-18"/>
          <w:kern w:val="0"/>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不准利用职权私自为合同工程安排 施工队伍，也不得从事与合同工程有关的各种有偿中介活动。</w:t>
      </w:r>
    </w:p>
    <w:p w14:paraId="3B719603">
      <w:pPr>
        <w:autoSpaceDE w:val="0"/>
        <w:autoSpaceDN w:val="0"/>
        <w:adjustRightInd w:val="0"/>
        <w:spacing w:before="72" w:line="360" w:lineRule="auto"/>
        <w:ind w:right="185" w:firstLine="480" w:firstLineChars="20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highlight w:val="none"/>
          <w14:textFill>
            <w14:solidFill>
              <w14:schemeClr w14:val="tx1"/>
            </w14:solidFill>
          </w14:textFill>
        </w:rPr>
        <w:t xml:space="preserve">2.6 </w:t>
      </w:r>
      <w:r>
        <w:rPr>
          <w:rFonts w:hint="eastAsia" w:asciiTheme="minorEastAsia" w:hAnsiTheme="minorEastAsia" w:eastAsiaTheme="minorEastAsia" w:cstheme="minorEastAsia"/>
          <w:color w:val="000000" w:themeColor="text1"/>
          <w:spacing w:val="2"/>
          <w:kern w:val="0"/>
          <w:highlight w:val="none"/>
          <w14:textFill>
            <w14:solidFill>
              <w14:schemeClr w14:val="tx1"/>
            </w14:solidFill>
          </w14:textFill>
        </w:rPr>
        <w:t>招标人及其工作人员（含其配偶、子女）不得从事</w:t>
      </w:r>
      <w:r>
        <w:rPr>
          <w:rFonts w:hint="eastAsia" w:asciiTheme="minorEastAsia" w:hAnsiTheme="minorEastAsia" w:eastAsiaTheme="minorEastAsia" w:cstheme="minorEastAsia"/>
          <w:color w:val="000000" w:themeColor="text1"/>
          <w:spacing w:val="1"/>
          <w:kern w:val="0"/>
          <w:highlight w:val="none"/>
          <w14:textFill>
            <w14:solidFill>
              <w14:schemeClr w14:val="tx1"/>
            </w14:solidFill>
          </w14:textFill>
        </w:rPr>
        <w:t>与</w:t>
      </w:r>
      <w:r>
        <w:rPr>
          <w:rFonts w:hint="eastAsia" w:asciiTheme="minorEastAsia" w:hAnsiTheme="minorEastAsia" w:eastAsiaTheme="minorEastAsia" w:cstheme="minorEastAsia"/>
          <w:color w:val="000000" w:themeColor="text1"/>
          <w:spacing w:val="2"/>
          <w:kern w:val="0"/>
          <w:highlight w:val="none"/>
          <w14:textFill>
            <w14:solidFill>
              <w14:schemeClr w14:val="tx1"/>
            </w14:solidFill>
          </w14:textFill>
        </w:rPr>
        <w:t xml:space="preserve">合同工程有关的材料和工程设备 </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供应、工程分包、劳务等经济活动。</w:t>
      </w:r>
    </w:p>
    <w:p w14:paraId="4D9BB120">
      <w:pPr>
        <w:autoSpaceDE w:val="0"/>
        <w:autoSpaceDN w:val="0"/>
        <w:adjustRightInd w:val="0"/>
        <w:spacing w:before="72" w:line="360" w:lineRule="auto"/>
        <w:ind w:right="185" w:firstLine="482" w:firstLineChars="200"/>
        <w:jc w:val="left"/>
        <w:rPr>
          <w:rFonts w:hint="eastAsia" w:asciiTheme="minorEastAsia" w:hAnsiTheme="minorEastAsia" w:eastAsiaTheme="minorEastAsia" w:cstheme="minorEastAsia"/>
          <w:b/>
          <w:bCs/>
          <w:color w:val="000000" w:themeColor="text1"/>
          <w:spacing w:val="1"/>
          <w:kern w:val="0"/>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kern w:val="0"/>
          <w:szCs w:val="28"/>
          <w:highlight w:val="none"/>
          <w14:textFill>
            <w14:solidFill>
              <w14:schemeClr w14:val="tx1"/>
            </w14:solidFill>
          </w14:textFill>
        </w:rPr>
        <w:t>3</w:t>
      </w:r>
      <w:r>
        <w:rPr>
          <w:rFonts w:hint="eastAsia" w:asciiTheme="minorEastAsia" w:hAnsiTheme="minorEastAsia" w:eastAsiaTheme="minorEastAsia" w:cstheme="minorEastAsia"/>
          <w:b/>
          <w:bCs/>
          <w:color w:val="000000" w:themeColor="text1"/>
          <w:kern w:val="0"/>
          <w:szCs w:val="28"/>
          <w:highlight w:val="none"/>
          <w14:textFill>
            <w14:solidFill>
              <w14:schemeClr w14:val="tx1"/>
            </w14:solidFill>
          </w14:textFill>
        </w:rPr>
        <w:tab/>
      </w:r>
      <w:r>
        <w:rPr>
          <w:rFonts w:hint="eastAsia" w:asciiTheme="minorEastAsia" w:hAnsiTheme="minorEastAsia" w:eastAsiaTheme="minorEastAsia" w:cstheme="minorEastAsia"/>
          <w:b/>
          <w:bCs/>
          <w:color w:val="000000" w:themeColor="text1"/>
          <w:spacing w:val="1"/>
          <w:kern w:val="0"/>
          <w:szCs w:val="28"/>
          <w:highlight w:val="none"/>
          <w14:textFill>
            <w14:solidFill>
              <w14:schemeClr w14:val="tx1"/>
            </w14:solidFill>
          </w14:textFill>
        </w:rPr>
        <w:t>中标人义务</w:t>
      </w:r>
    </w:p>
    <w:p w14:paraId="394B952F">
      <w:pPr>
        <w:autoSpaceDE w:val="0"/>
        <w:autoSpaceDN w:val="0"/>
        <w:adjustRightInd w:val="0"/>
        <w:spacing w:before="72" w:line="360" w:lineRule="auto"/>
        <w:ind w:right="185" w:firstLine="480" w:firstLineChars="20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highlight w:val="none"/>
          <w14:textFill>
            <w14:solidFill>
              <w14:schemeClr w14:val="tx1"/>
            </w14:solidFill>
          </w14:textFill>
        </w:rPr>
        <w:t>3.1</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ab/>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中标人不得以任何理由向招标人及其工作人员行贿或馈赠礼金</w:t>
      </w:r>
      <w:r>
        <w:rPr>
          <w:rFonts w:hint="eastAsia" w:asciiTheme="minorEastAsia" w:hAnsiTheme="minorEastAsia" w:eastAsiaTheme="minorEastAsia" w:cstheme="minorEastAsia"/>
          <w:color w:val="000000" w:themeColor="text1"/>
          <w:spacing w:val="-78"/>
          <w:kern w:val="0"/>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有价证券</w:t>
      </w:r>
      <w:r>
        <w:rPr>
          <w:rFonts w:hint="eastAsia" w:asciiTheme="minorEastAsia" w:hAnsiTheme="minorEastAsia" w:eastAsiaTheme="minorEastAsia" w:cstheme="minorEastAsia"/>
          <w:color w:val="000000" w:themeColor="text1"/>
          <w:spacing w:val="-78"/>
          <w:kern w:val="0"/>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贵重礼品。</w:t>
      </w:r>
    </w:p>
    <w:p w14:paraId="63B51EC7">
      <w:pPr>
        <w:autoSpaceDE w:val="0"/>
        <w:autoSpaceDN w:val="0"/>
        <w:adjustRightInd w:val="0"/>
        <w:spacing w:before="72" w:line="360" w:lineRule="auto"/>
        <w:ind w:right="185" w:firstLine="480" w:firstLineChars="20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highlight w:val="none"/>
          <w14:textFill>
            <w14:solidFill>
              <w14:schemeClr w14:val="tx1"/>
            </w14:solidFill>
          </w14:textFill>
        </w:rPr>
        <w:t>3.2</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ab/>
      </w:r>
      <w:r>
        <w:rPr>
          <w:rFonts w:hint="eastAsia" w:asciiTheme="minorEastAsia" w:hAnsiTheme="minorEastAsia" w:eastAsiaTheme="minorEastAsia" w:cstheme="minorEastAsia"/>
          <w:color w:val="000000" w:themeColor="text1"/>
          <w:spacing w:val="5"/>
          <w:kern w:val="0"/>
          <w:highlight w:val="none"/>
          <w14:textFill>
            <w14:solidFill>
              <w14:schemeClr w14:val="tx1"/>
            </w14:solidFill>
          </w14:textFill>
        </w:rPr>
        <w:t>中标人不得以任何名义为招标人及其</w:t>
      </w:r>
      <w:r>
        <w:rPr>
          <w:rFonts w:hint="eastAsia" w:asciiTheme="minorEastAsia" w:hAnsiTheme="minorEastAsia" w:eastAsiaTheme="minorEastAsia" w:cstheme="minorEastAsia"/>
          <w:color w:val="000000" w:themeColor="text1"/>
          <w:spacing w:val="4"/>
          <w:kern w:val="0"/>
          <w:highlight w:val="none"/>
          <w14:textFill>
            <w14:solidFill>
              <w14:schemeClr w14:val="tx1"/>
            </w14:solidFill>
          </w14:textFill>
        </w:rPr>
        <w:t>工</w:t>
      </w:r>
      <w:r>
        <w:rPr>
          <w:rFonts w:hint="eastAsia" w:asciiTheme="minorEastAsia" w:hAnsiTheme="minorEastAsia" w:eastAsiaTheme="minorEastAsia" w:cstheme="minorEastAsia"/>
          <w:color w:val="000000" w:themeColor="text1"/>
          <w:spacing w:val="6"/>
          <w:kern w:val="0"/>
          <w:highlight w:val="none"/>
          <w14:textFill>
            <w14:solidFill>
              <w14:schemeClr w14:val="tx1"/>
            </w14:solidFill>
          </w14:textFill>
        </w:rPr>
        <w:t xml:space="preserve">作人员报销应由招标人或其工作人员个人支 </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付的任何费用。</w:t>
      </w:r>
    </w:p>
    <w:p w14:paraId="644D8D3B">
      <w:pPr>
        <w:autoSpaceDE w:val="0"/>
        <w:autoSpaceDN w:val="0"/>
        <w:adjustRightInd w:val="0"/>
        <w:spacing w:before="72" w:line="360" w:lineRule="auto"/>
        <w:ind w:right="185" w:firstLine="480" w:firstLineChars="20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highlight w:val="none"/>
          <w14:textFill>
            <w14:solidFill>
              <w14:schemeClr w14:val="tx1"/>
            </w14:solidFill>
          </w14:textFill>
        </w:rPr>
        <w:t>3.3</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ab/>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中标人不得以任何理由安排招标人及其工作人员参加宴</w:t>
      </w:r>
      <w:r>
        <w:rPr>
          <w:rFonts w:hint="eastAsia" w:asciiTheme="minorEastAsia" w:hAnsiTheme="minorEastAsia" w:eastAsiaTheme="minorEastAsia" w:cstheme="minorEastAsia"/>
          <w:color w:val="000000" w:themeColor="text1"/>
          <w:spacing w:val="-78"/>
          <w:kern w:val="0"/>
          <w:highlight w:val="none"/>
          <w14:textFill>
            <w14:solidFill>
              <w14:schemeClr w14:val="tx1"/>
            </w14:solidFill>
          </w14:textFill>
        </w:rPr>
        <w:t>请</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（工作餐除外</w:t>
      </w:r>
      <w:r>
        <w:rPr>
          <w:rFonts w:hint="eastAsia" w:asciiTheme="minorEastAsia" w:hAnsiTheme="minorEastAsia" w:eastAsiaTheme="minorEastAsia" w:cstheme="minorEastAsia"/>
          <w:color w:val="000000" w:themeColor="text1"/>
          <w:spacing w:val="-78"/>
          <w:kern w:val="0"/>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及娱乐活动。</w:t>
      </w:r>
    </w:p>
    <w:p w14:paraId="27DD60F2">
      <w:pPr>
        <w:autoSpaceDE w:val="0"/>
        <w:autoSpaceDN w:val="0"/>
        <w:adjustRightInd w:val="0"/>
        <w:spacing w:before="72" w:line="360" w:lineRule="auto"/>
        <w:ind w:right="185" w:firstLine="480" w:firstLineChars="20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highlight w:val="none"/>
          <w14:textFill>
            <w14:solidFill>
              <w14:schemeClr w14:val="tx1"/>
            </w14:solidFill>
          </w14:textFill>
        </w:rPr>
        <w:t>3.4</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ab/>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中标人不得为招标人和个人购置或提供通讯、交通工具和高档办公用品等物品。</w:t>
      </w:r>
    </w:p>
    <w:p w14:paraId="57149C64">
      <w:pPr>
        <w:autoSpaceDE w:val="0"/>
        <w:autoSpaceDN w:val="0"/>
        <w:adjustRightInd w:val="0"/>
        <w:spacing w:before="72" w:line="360" w:lineRule="auto"/>
        <w:ind w:right="185" w:firstLine="480" w:firstLineChars="20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highlight w:val="none"/>
          <w14:textFill>
            <w14:solidFill>
              <w14:schemeClr w14:val="tx1"/>
            </w14:solidFill>
          </w14:textFill>
        </w:rPr>
        <w:t>3.5</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ab/>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中标人不得为招标人及其工作人员的住房装修</w:t>
      </w:r>
      <w:r>
        <w:rPr>
          <w:rFonts w:hint="eastAsia" w:asciiTheme="minorEastAsia" w:hAnsiTheme="minorEastAsia" w:eastAsiaTheme="minorEastAsia" w:cstheme="minorEastAsia"/>
          <w:color w:val="000000" w:themeColor="text1"/>
          <w:spacing w:val="-18"/>
          <w:kern w:val="0"/>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婚丧嫁娶活动</w:t>
      </w:r>
      <w:r>
        <w:rPr>
          <w:rFonts w:hint="eastAsia" w:asciiTheme="minorEastAsia" w:hAnsiTheme="minorEastAsia" w:eastAsiaTheme="minorEastAsia" w:cstheme="minorEastAsia"/>
          <w:color w:val="000000" w:themeColor="text1"/>
          <w:spacing w:val="-18"/>
          <w:kern w:val="0"/>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配偶子女工作安排以 及出国出境、旅游等提供方便。</w:t>
      </w:r>
    </w:p>
    <w:p w14:paraId="0EC4B34F">
      <w:pPr>
        <w:autoSpaceDE w:val="0"/>
        <w:autoSpaceDN w:val="0"/>
        <w:adjustRightInd w:val="0"/>
        <w:spacing w:before="72" w:line="360" w:lineRule="auto"/>
        <w:ind w:right="185" w:firstLine="482" w:firstLineChars="200"/>
        <w:jc w:val="left"/>
        <w:rPr>
          <w:rFonts w:hint="eastAsia" w:asciiTheme="minorEastAsia" w:hAnsiTheme="minorEastAsia" w:eastAsiaTheme="minorEastAsia" w:cstheme="minorEastAsia"/>
          <w:b/>
          <w:bCs/>
          <w:color w:val="000000" w:themeColor="text1"/>
          <w:spacing w:val="1"/>
          <w:kern w:val="0"/>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kern w:val="0"/>
          <w:szCs w:val="28"/>
          <w:highlight w:val="none"/>
          <w14:textFill>
            <w14:solidFill>
              <w14:schemeClr w14:val="tx1"/>
            </w14:solidFill>
          </w14:textFill>
        </w:rPr>
        <w:t>4</w:t>
      </w:r>
      <w:r>
        <w:rPr>
          <w:rFonts w:hint="eastAsia" w:asciiTheme="minorEastAsia" w:hAnsiTheme="minorEastAsia" w:eastAsiaTheme="minorEastAsia" w:cstheme="minorEastAsia"/>
          <w:b/>
          <w:bCs/>
          <w:color w:val="000000" w:themeColor="text1"/>
          <w:kern w:val="0"/>
          <w:szCs w:val="28"/>
          <w:highlight w:val="none"/>
          <w14:textFill>
            <w14:solidFill>
              <w14:schemeClr w14:val="tx1"/>
            </w14:solidFill>
          </w14:textFill>
        </w:rPr>
        <w:tab/>
      </w:r>
      <w:r>
        <w:rPr>
          <w:rFonts w:hint="eastAsia" w:asciiTheme="minorEastAsia" w:hAnsiTheme="minorEastAsia" w:eastAsiaTheme="minorEastAsia" w:cstheme="minorEastAsia"/>
          <w:b/>
          <w:bCs/>
          <w:color w:val="000000" w:themeColor="text1"/>
          <w:spacing w:val="1"/>
          <w:kern w:val="0"/>
          <w:szCs w:val="28"/>
          <w:highlight w:val="none"/>
          <w14:textFill>
            <w14:solidFill>
              <w14:schemeClr w14:val="tx1"/>
            </w14:solidFill>
          </w14:textFill>
        </w:rPr>
        <w:t>违约责任</w:t>
      </w:r>
    </w:p>
    <w:p w14:paraId="7B8FD472">
      <w:pPr>
        <w:autoSpaceDE w:val="0"/>
        <w:autoSpaceDN w:val="0"/>
        <w:adjustRightInd w:val="0"/>
        <w:spacing w:before="72" w:line="360" w:lineRule="auto"/>
        <w:ind w:right="185" w:firstLine="480" w:firstLineChars="20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highlight w:val="none"/>
          <w14:textFill>
            <w14:solidFill>
              <w14:schemeClr w14:val="tx1"/>
            </w14:solidFill>
          </w14:textFill>
        </w:rPr>
        <w:t>4.1</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ab/>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招标人及其工作人员违反本合同第1 条和第2 条规定</w:t>
      </w:r>
      <w:r>
        <w:rPr>
          <w:rFonts w:hint="eastAsia" w:asciiTheme="minorEastAsia" w:hAnsiTheme="minorEastAsia" w:eastAsiaTheme="minorEastAsia" w:cstheme="minorEastAsia"/>
          <w:color w:val="000000" w:themeColor="text1"/>
          <w:spacing w:val="-36"/>
          <w:kern w:val="0"/>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应按照廉政建设的有关规定给 予处分；涉嫌犯罪的，移交司法机关追究刑事责任；给中标人造成损失的，应予赔偿。</w:t>
      </w:r>
    </w:p>
    <w:p w14:paraId="34408EEB">
      <w:pPr>
        <w:autoSpaceDE w:val="0"/>
        <w:autoSpaceDN w:val="0"/>
        <w:adjustRightInd w:val="0"/>
        <w:spacing w:before="72" w:line="360" w:lineRule="auto"/>
        <w:ind w:right="185" w:firstLine="480" w:firstLineChars="20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highlight w:val="none"/>
          <w14:textFill>
            <w14:solidFill>
              <w14:schemeClr w14:val="tx1"/>
            </w14:solidFill>
          </w14:textFill>
        </w:rPr>
        <w:t>4.2</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ab/>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中标人及其工作人员违反本合同第1 条和第3 条规定</w:t>
      </w:r>
      <w:r>
        <w:rPr>
          <w:rFonts w:hint="eastAsia" w:asciiTheme="minorEastAsia" w:hAnsiTheme="minorEastAsia" w:eastAsiaTheme="minorEastAsia" w:cstheme="minorEastAsia"/>
          <w:color w:val="000000" w:themeColor="text1"/>
          <w:spacing w:val="-36"/>
          <w:kern w:val="0"/>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应按照廉政建设的有关规定给 予处分</w:t>
      </w:r>
      <w:r>
        <w:rPr>
          <w:rFonts w:hint="eastAsia" w:asciiTheme="minorEastAsia" w:hAnsiTheme="minorEastAsia" w:eastAsiaTheme="minorEastAsia" w:cstheme="minorEastAsia"/>
          <w:color w:val="000000" w:themeColor="text1"/>
          <w:spacing w:val="-24"/>
          <w:kern w:val="0"/>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情节严重的</w:t>
      </w:r>
      <w:r>
        <w:rPr>
          <w:rFonts w:hint="eastAsia" w:asciiTheme="minorEastAsia" w:hAnsiTheme="minorEastAsia" w:eastAsiaTheme="minorEastAsia" w:cstheme="minorEastAsia"/>
          <w:color w:val="000000" w:themeColor="text1"/>
          <w:spacing w:val="-24"/>
          <w:kern w:val="0"/>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给予中标人1～3 年内不得进入工程建设市场的处罚</w:t>
      </w:r>
      <w:r>
        <w:rPr>
          <w:rFonts w:hint="eastAsia" w:asciiTheme="minorEastAsia" w:hAnsiTheme="minorEastAsia" w:eastAsiaTheme="minorEastAsia" w:cstheme="minorEastAsia"/>
          <w:color w:val="000000" w:themeColor="text1"/>
          <w:spacing w:val="-24"/>
          <w:kern w:val="0"/>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涉嫌犯罪的</w:t>
      </w:r>
      <w:r>
        <w:rPr>
          <w:rFonts w:hint="eastAsia" w:asciiTheme="minorEastAsia" w:hAnsiTheme="minorEastAsia" w:eastAsiaTheme="minorEastAsia" w:cstheme="minorEastAsia"/>
          <w:color w:val="000000" w:themeColor="text1"/>
          <w:spacing w:val="-24"/>
          <w:kern w:val="0"/>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移交 司法机关追究刑事责任；给招标人造成损失的，应予赔偿；</w:t>
      </w:r>
    </w:p>
    <w:p w14:paraId="731F24BE">
      <w:pPr>
        <w:autoSpaceDE w:val="0"/>
        <w:autoSpaceDN w:val="0"/>
        <w:adjustRightInd w:val="0"/>
        <w:spacing w:before="16" w:line="360" w:lineRule="auto"/>
        <w:jc w:val="left"/>
        <w:rPr>
          <w:rFonts w:hint="eastAsia" w:asciiTheme="minorEastAsia" w:hAnsiTheme="minorEastAsia" w:eastAsiaTheme="minorEastAsia" w:cstheme="minorEastAsia"/>
          <w:color w:val="000000" w:themeColor="text1"/>
          <w:kern w:val="0"/>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kern w:val="0"/>
          <w:szCs w:val="28"/>
          <w:highlight w:val="none"/>
          <w14:textFill>
            <w14:solidFill>
              <w14:schemeClr w14:val="tx1"/>
            </w14:solidFill>
          </w14:textFill>
        </w:rPr>
        <w:t xml:space="preserve">    5</w:t>
      </w:r>
      <w:r>
        <w:rPr>
          <w:rFonts w:hint="eastAsia" w:asciiTheme="minorEastAsia" w:hAnsiTheme="minorEastAsia" w:eastAsiaTheme="minorEastAsia" w:cstheme="minorEastAsia"/>
          <w:b/>
          <w:bCs/>
          <w:color w:val="000000" w:themeColor="text1"/>
          <w:spacing w:val="1"/>
          <w:kern w:val="0"/>
          <w:szCs w:val="28"/>
          <w:highlight w:val="none"/>
          <w14:textFill>
            <w14:solidFill>
              <w14:schemeClr w14:val="tx1"/>
            </w14:solidFill>
          </w14:textFill>
        </w:rPr>
        <w:t>双方约定</w:t>
      </w:r>
    </w:p>
    <w:p w14:paraId="655B6D52">
      <w:pPr>
        <w:autoSpaceDE w:val="0"/>
        <w:autoSpaceDN w:val="0"/>
        <w:adjustRightInd w:val="0"/>
        <w:spacing w:line="360" w:lineRule="auto"/>
        <w:ind w:right="184" w:firstLine="484" w:firstLineChars="20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1"/>
          <w:kern w:val="0"/>
          <w:highlight w:val="none"/>
          <w14:textFill>
            <w14:solidFill>
              <w14:schemeClr w14:val="tx1"/>
            </w14:solidFill>
          </w14:textFill>
        </w:rPr>
        <w:t>本合同由合同双方当事人或其上</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级</w:t>
      </w:r>
      <w:r>
        <w:rPr>
          <w:rFonts w:hint="eastAsia" w:asciiTheme="minorEastAsia" w:hAnsiTheme="minorEastAsia" w:eastAsiaTheme="minorEastAsia" w:cstheme="minorEastAsia"/>
          <w:color w:val="000000" w:themeColor="text1"/>
          <w:spacing w:val="1"/>
          <w:kern w:val="0"/>
          <w:highlight w:val="none"/>
          <w14:textFill>
            <w14:solidFill>
              <w14:schemeClr w14:val="tx1"/>
            </w14:solidFill>
          </w14:textFill>
        </w:rPr>
        <w:t>部门负责监督执行，并由合</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同</w:t>
      </w:r>
      <w:r>
        <w:rPr>
          <w:rFonts w:hint="eastAsia" w:asciiTheme="minorEastAsia" w:hAnsiTheme="minorEastAsia" w:eastAsiaTheme="minorEastAsia" w:cstheme="minorEastAsia"/>
          <w:color w:val="000000" w:themeColor="text1"/>
          <w:spacing w:val="1"/>
          <w:kern w:val="0"/>
          <w:highlight w:val="none"/>
          <w14:textFill>
            <w14:solidFill>
              <w14:schemeClr w14:val="tx1"/>
            </w14:solidFill>
          </w14:textFill>
        </w:rPr>
        <w:t xml:space="preserve">双方当事人或其上级部门 </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相互约请对本合同执行情况进行检查。</w:t>
      </w:r>
    </w:p>
    <w:p w14:paraId="08A9DD8D">
      <w:pPr>
        <w:autoSpaceDE w:val="0"/>
        <w:autoSpaceDN w:val="0"/>
        <w:adjustRightInd w:val="0"/>
        <w:spacing w:line="360" w:lineRule="auto"/>
        <w:ind w:right="184" w:firstLine="482" w:firstLineChars="200"/>
        <w:jc w:val="left"/>
        <w:rPr>
          <w:rFonts w:hint="eastAsia" w:asciiTheme="minorEastAsia" w:hAnsiTheme="minorEastAsia" w:eastAsiaTheme="minorEastAsia" w:cstheme="minorEastAsia"/>
          <w:b/>
          <w:bCs/>
          <w:color w:val="000000" w:themeColor="text1"/>
          <w:kern w:val="0"/>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kern w:val="0"/>
          <w:szCs w:val="28"/>
          <w:highlight w:val="none"/>
          <w14:textFill>
            <w14:solidFill>
              <w14:schemeClr w14:val="tx1"/>
            </w14:solidFill>
          </w14:textFill>
        </w:rPr>
        <w:t>6</w:t>
      </w:r>
      <w:r>
        <w:rPr>
          <w:rFonts w:hint="eastAsia" w:asciiTheme="minorEastAsia" w:hAnsiTheme="minorEastAsia" w:eastAsiaTheme="minorEastAsia" w:cstheme="minorEastAsia"/>
          <w:b/>
          <w:bCs/>
          <w:color w:val="000000" w:themeColor="text1"/>
          <w:kern w:val="0"/>
          <w:szCs w:val="28"/>
          <w:highlight w:val="none"/>
          <w14:textFill>
            <w14:solidFill>
              <w14:schemeClr w14:val="tx1"/>
            </w14:solidFill>
          </w14:textFill>
        </w:rPr>
        <w:tab/>
      </w:r>
      <w:r>
        <w:rPr>
          <w:rFonts w:hint="eastAsia" w:asciiTheme="minorEastAsia" w:hAnsiTheme="minorEastAsia" w:eastAsiaTheme="minorEastAsia" w:cstheme="minorEastAsia"/>
          <w:b/>
          <w:bCs/>
          <w:color w:val="000000" w:themeColor="text1"/>
          <w:kern w:val="0"/>
          <w:szCs w:val="28"/>
          <w:highlight w:val="none"/>
          <w14:textFill>
            <w14:solidFill>
              <w14:schemeClr w14:val="tx1"/>
            </w14:solidFill>
          </w14:textFill>
        </w:rPr>
        <w:t xml:space="preserve"> 合同法律效力</w:t>
      </w:r>
    </w:p>
    <w:p w14:paraId="2A7B8DB8">
      <w:pPr>
        <w:autoSpaceDE w:val="0"/>
        <w:autoSpaceDN w:val="0"/>
        <w:adjustRightInd w:val="0"/>
        <w:spacing w:line="360" w:lineRule="auto"/>
        <w:ind w:right="184" w:firstLine="480" w:firstLineChars="20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highlight w:val="none"/>
          <w14:textFill>
            <w14:solidFill>
              <w14:schemeClr w14:val="tx1"/>
            </w14:solidFill>
          </w14:textFill>
        </w:rPr>
        <w:t>本合同作为</w:t>
      </w:r>
      <w:r>
        <w:rPr>
          <w:rFonts w:hint="eastAsia" w:asciiTheme="minorEastAsia" w:hAnsiTheme="minorEastAsia" w:eastAsiaTheme="minorEastAsia" w:cstheme="minorEastAsia"/>
          <w:color w:val="000000" w:themeColor="text1"/>
          <w:kern w:val="0"/>
          <w:highlight w:val="none"/>
          <w:u w:val="single"/>
          <w14:textFill>
            <w14:solidFill>
              <w14:schemeClr w14:val="tx1"/>
            </w14:solidFill>
          </w14:textFill>
        </w:rPr>
        <w:t xml:space="preserve"> </w:t>
      </w:r>
      <w:r>
        <w:rPr>
          <w:rFonts w:hint="eastAsia" w:asciiTheme="minorEastAsia" w:hAnsiTheme="minorEastAsia" w:eastAsiaTheme="minorEastAsia" w:cstheme="minorEastAsia"/>
          <w:bCs/>
          <w:color w:val="000000" w:themeColor="text1"/>
          <w:szCs w:val="28"/>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0"/>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（工程名称） 工程施工合同的附件，与施工合同具有同等的法律效力。</w:t>
      </w:r>
    </w:p>
    <w:p w14:paraId="2BAC4CB3">
      <w:pPr>
        <w:autoSpaceDE w:val="0"/>
        <w:autoSpaceDN w:val="0"/>
        <w:adjustRightInd w:val="0"/>
        <w:spacing w:line="360" w:lineRule="auto"/>
        <w:ind w:right="184" w:firstLine="482" w:firstLineChars="200"/>
        <w:jc w:val="left"/>
        <w:rPr>
          <w:rFonts w:hint="eastAsia" w:asciiTheme="minorEastAsia" w:hAnsiTheme="minorEastAsia" w:eastAsiaTheme="minorEastAsia" w:cstheme="minorEastAsia"/>
          <w:color w:val="000000" w:themeColor="text1"/>
          <w:kern w:val="0"/>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kern w:val="0"/>
          <w:szCs w:val="28"/>
          <w:highlight w:val="none"/>
          <w14:textFill>
            <w14:solidFill>
              <w14:schemeClr w14:val="tx1"/>
            </w14:solidFill>
          </w14:textFill>
        </w:rPr>
        <w:t>7</w:t>
      </w:r>
      <w:r>
        <w:rPr>
          <w:rFonts w:hint="eastAsia" w:asciiTheme="minorEastAsia" w:hAnsiTheme="minorEastAsia" w:eastAsiaTheme="minorEastAsia" w:cstheme="minorEastAsia"/>
          <w:b/>
          <w:bCs/>
          <w:color w:val="000000" w:themeColor="text1"/>
          <w:kern w:val="0"/>
          <w:szCs w:val="28"/>
          <w:highlight w:val="none"/>
          <w14:textFill>
            <w14:solidFill>
              <w14:schemeClr w14:val="tx1"/>
            </w14:solidFill>
          </w14:textFill>
        </w:rPr>
        <w:tab/>
      </w:r>
      <w:r>
        <w:rPr>
          <w:rFonts w:hint="eastAsia" w:asciiTheme="minorEastAsia" w:hAnsiTheme="minorEastAsia" w:eastAsiaTheme="minorEastAsia" w:cstheme="minorEastAsia"/>
          <w:b/>
          <w:bCs/>
          <w:color w:val="000000" w:themeColor="text1"/>
          <w:spacing w:val="1"/>
          <w:kern w:val="0"/>
          <w:szCs w:val="28"/>
          <w:highlight w:val="none"/>
          <w14:textFill>
            <w14:solidFill>
              <w14:schemeClr w14:val="tx1"/>
            </w14:solidFill>
          </w14:textFill>
        </w:rPr>
        <w:t>合同生效</w:t>
      </w:r>
    </w:p>
    <w:p w14:paraId="134C56EE">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highlight w:val="none"/>
          <w14:textFill>
            <w14:solidFill>
              <w14:schemeClr w14:val="tx1"/>
            </w14:solidFill>
          </w14:textFill>
        </w:rPr>
        <w:t>本合同自合同双方当事人签署之日起生效，至合同工程竣工验收合格之日后失效。</w:t>
      </w:r>
    </w:p>
    <w:p w14:paraId="1A78F3FF">
      <w:pPr>
        <w:autoSpaceDE w:val="0"/>
        <w:autoSpaceDN w:val="0"/>
        <w:adjustRightInd w:val="0"/>
        <w:spacing w:line="360" w:lineRule="auto"/>
        <w:ind w:firstLine="482" w:firstLineChars="200"/>
        <w:jc w:val="left"/>
        <w:rPr>
          <w:rFonts w:hint="eastAsia" w:asciiTheme="minorEastAsia" w:hAnsiTheme="minorEastAsia" w:eastAsiaTheme="minorEastAsia" w:cstheme="minorEastAsia"/>
          <w:b/>
          <w:bCs/>
          <w:color w:val="000000" w:themeColor="text1"/>
          <w:spacing w:val="1"/>
          <w:kern w:val="0"/>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kern w:val="0"/>
          <w:szCs w:val="28"/>
          <w:highlight w:val="none"/>
          <w14:textFill>
            <w14:solidFill>
              <w14:schemeClr w14:val="tx1"/>
            </w14:solidFill>
          </w14:textFill>
        </w:rPr>
        <w:t>8</w:t>
      </w:r>
      <w:r>
        <w:rPr>
          <w:rFonts w:hint="eastAsia" w:asciiTheme="minorEastAsia" w:hAnsiTheme="minorEastAsia" w:eastAsiaTheme="minorEastAsia" w:cstheme="minorEastAsia"/>
          <w:b/>
          <w:bCs/>
          <w:color w:val="000000" w:themeColor="text1"/>
          <w:kern w:val="0"/>
          <w:szCs w:val="28"/>
          <w:highlight w:val="none"/>
          <w14:textFill>
            <w14:solidFill>
              <w14:schemeClr w14:val="tx1"/>
            </w14:solidFill>
          </w14:textFill>
        </w:rPr>
        <w:tab/>
      </w:r>
      <w:r>
        <w:rPr>
          <w:rFonts w:hint="eastAsia" w:asciiTheme="minorEastAsia" w:hAnsiTheme="minorEastAsia" w:eastAsiaTheme="minorEastAsia" w:cstheme="minorEastAsia"/>
          <w:b/>
          <w:bCs/>
          <w:color w:val="000000" w:themeColor="text1"/>
          <w:spacing w:val="1"/>
          <w:kern w:val="0"/>
          <w:szCs w:val="28"/>
          <w:highlight w:val="none"/>
          <w14:textFill>
            <w14:solidFill>
              <w14:schemeClr w14:val="tx1"/>
            </w14:solidFill>
          </w14:textFill>
        </w:rPr>
        <w:t>合同份数</w:t>
      </w:r>
    </w:p>
    <w:p w14:paraId="3A8DD19D">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highlight w:val="none"/>
          <w14:textFill>
            <w14:solidFill>
              <w14:schemeClr w14:val="tx1"/>
            </w14:solidFill>
          </w14:textFill>
        </w:rPr>
        <w:t>本合同一</w:t>
      </w:r>
      <w:r>
        <w:rPr>
          <w:rFonts w:hint="eastAsia" w:asciiTheme="minorEastAsia" w:hAnsiTheme="minorEastAsia" w:eastAsiaTheme="minorEastAsia" w:cstheme="minorEastAsia"/>
          <w:color w:val="000000" w:themeColor="text1"/>
          <w:spacing w:val="1"/>
          <w:kern w:val="0"/>
          <w:highlight w:val="none"/>
          <w14:textFill>
            <w14:solidFill>
              <w14:schemeClr w14:val="tx1"/>
            </w14:solidFill>
          </w14:textFill>
        </w:rPr>
        <w:t>式</w:t>
      </w:r>
      <w:r>
        <w:rPr>
          <w:rFonts w:hint="eastAsia" w:asciiTheme="minorEastAsia" w:hAnsiTheme="minorEastAsia" w:eastAsiaTheme="minorEastAsia" w:cstheme="minorEastAsia"/>
          <w:color w:val="000000" w:themeColor="text1"/>
          <w:kern w:val="0"/>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份，合同双方当事人各</w:t>
      </w:r>
      <w:r>
        <w:rPr>
          <w:rFonts w:hint="eastAsia" w:asciiTheme="minorEastAsia" w:hAnsiTheme="minorEastAsia" w:eastAsiaTheme="minorEastAsia" w:cstheme="minorEastAsia"/>
          <w:color w:val="000000" w:themeColor="text1"/>
          <w:spacing w:val="2"/>
          <w:kern w:val="0"/>
          <w:highlight w:val="none"/>
          <w14:textFill>
            <w14:solidFill>
              <w14:schemeClr w14:val="tx1"/>
            </w14:solidFill>
          </w14:textFill>
        </w:rPr>
        <w:t>执</w:t>
      </w:r>
      <w:r>
        <w:rPr>
          <w:rFonts w:hint="eastAsia" w:asciiTheme="minorEastAsia" w:hAnsiTheme="minorEastAsia" w:eastAsiaTheme="minorEastAsia" w:cstheme="minorEastAsia"/>
          <w:color w:val="000000" w:themeColor="text1"/>
          <w:kern w:val="0"/>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pacing w:val="1"/>
          <w:kern w:val="0"/>
          <w:highlight w:val="none"/>
          <w14:textFill>
            <w14:solidFill>
              <w14:schemeClr w14:val="tx1"/>
            </w14:solidFill>
          </w14:textFill>
        </w:rPr>
        <w:t>份。有上级部门的，合同双方当事人应各送</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交其上级部门一份。</w:t>
      </w:r>
    </w:p>
    <w:p w14:paraId="0C0C2F81">
      <w:pPr>
        <w:autoSpaceDE w:val="0"/>
        <w:autoSpaceDN w:val="0"/>
        <w:adjustRightInd w:val="0"/>
        <w:spacing w:before="3" w:line="130" w:lineRule="exact"/>
        <w:jc w:val="left"/>
        <w:rPr>
          <w:rFonts w:hint="eastAsia" w:asciiTheme="minorEastAsia" w:hAnsiTheme="minorEastAsia" w:eastAsiaTheme="minorEastAsia" w:cstheme="minorEastAsia"/>
          <w:color w:val="000000" w:themeColor="text1"/>
          <w:kern w:val="0"/>
          <w:szCs w:val="13"/>
          <w:highlight w:val="none"/>
          <w14:textFill>
            <w14:solidFill>
              <w14:schemeClr w14:val="tx1"/>
            </w14:solidFill>
          </w14:textFill>
        </w:rPr>
      </w:pPr>
    </w:p>
    <w:p w14:paraId="5C8AC97B">
      <w:pPr>
        <w:autoSpaceDE w:val="0"/>
        <w:autoSpaceDN w:val="0"/>
        <w:adjustRightInd w:val="0"/>
        <w:spacing w:line="200" w:lineRule="exact"/>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p>
    <w:p w14:paraId="322891EE">
      <w:pPr>
        <w:autoSpaceDE w:val="0"/>
        <w:autoSpaceDN w:val="0"/>
        <w:adjustRightInd w:val="0"/>
        <w:spacing w:line="200" w:lineRule="exact"/>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p>
    <w:p w14:paraId="2BCE59F3">
      <w:pPr>
        <w:autoSpaceDE w:val="0"/>
        <w:autoSpaceDN w:val="0"/>
        <w:adjustRightInd w:val="0"/>
        <w:spacing w:line="200" w:lineRule="exact"/>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p>
    <w:p w14:paraId="062C1492">
      <w:pPr>
        <w:autoSpaceDE w:val="0"/>
        <w:autoSpaceDN w:val="0"/>
        <w:adjustRightInd w:val="0"/>
        <w:spacing w:line="200" w:lineRule="exact"/>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p>
    <w:p w14:paraId="6303B017">
      <w:pPr>
        <w:autoSpaceDE w:val="0"/>
        <w:autoSpaceDN w:val="0"/>
        <w:adjustRightInd w:val="0"/>
        <w:spacing w:line="200" w:lineRule="exact"/>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p>
    <w:p w14:paraId="04BE5EA4">
      <w:pPr>
        <w:autoSpaceDE w:val="0"/>
        <w:autoSpaceDN w:val="0"/>
        <w:adjustRightInd w:val="0"/>
        <w:spacing w:line="200" w:lineRule="exact"/>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p>
    <w:p w14:paraId="2B51DA5E">
      <w:pPr>
        <w:autoSpaceDE w:val="0"/>
        <w:autoSpaceDN w:val="0"/>
        <w:adjustRightInd w:val="0"/>
        <w:spacing w:line="200" w:lineRule="exact"/>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p>
    <w:p w14:paraId="0A1B5A90">
      <w:pPr>
        <w:autoSpaceDE w:val="0"/>
        <w:autoSpaceDN w:val="0"/>
        <w:adjustRightInd w:val="0"/>
        <w:spacing w:line="200" w:lineRule="exact"/>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p>
    <w:p w14:paraId="0DFF45EC">
      <w:pPr>
        <w:autoSpaceDE w:val="0"/>
        <w:autoSpaceDN w:val="0"/>
        <w:adjustRightInd w:val="0"/>
        <w:spacing w:line="400" w:lineRule="exact"/>
        <w:ind w:firstLine="480" w:firstLineChars="20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highlight w:val="none"/>
          <w14:textFill>
            <w14:solidFill>
              <w14:schemeClr w14:val="tx1"/>
            </w14:solidFill>
          </w14:textFill>
        </w:rPr>
        <w:t xml:space="preserve">     发 包 人</w:t>
      </w:r>
      <w:r>
        <w:rPr>
          <w:rFonts w:hint="eastAsia" w:asciiTheme="minorEastAsia" w:hAnsiTheme="minorEastAsia" w:eastAsiaTheme="minorEastAsia" w:cstheme="minorEastAsia"/>
          <w:color w:val="000000" w:themeColor="text1"/>
          <w:spacing w:val="-120"/>
          <w:kern w:val="0"/>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（公章）</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ab/>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 xml:space="preserve">                    承 包 人 </w:t>
      </w:r>
      <w:r>
        <w:rPr>
          <w:rFonts w:hint="eastAsia" w:asciiTheme="minorEastAsia" w:hAnsiTheme="minorEastAsia" w:eastAsiaTheme="minorEastAsia" w:cstheme="minorEastAsia"/>
          <w:color w:val="000000" w:themeColor="text1"/>
          <w:spacing w:val="-120"/>
          <w:kern w:val="0"/>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 xml:space="preserve">（公章） </w:t>
      </w:r>
    </w:p>
    <w:p w14:paraId="019529E9">
      <w:pPr>
        <w:autoSpaceDE w:val="0"/>
        <w:autoSpaceDN w:val="0"/>
        <w:adjustRightInd w:val="0"/>
        <w:spacing w:line="400" w:lineRule="exact"/>
        <w:ind w:firstLine="480" w:firstLineChars="20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highlight w:val="none"/>
          <w14:textFill>
            <w14:solidFill>
              <w14:schemeClr w14:val="tx1"/>
            </w14:solidFill>
          </w14:textFill>
        </w:rPr>
        <w:t xml:space="preserve">     法定代表人</w:t>
      </w:r>
      <w:r>
        <w:rPr>
          <w:rFonts w:hint="eastAsia" w:asciiTheme="minorEastAsia" w:hAnsiTheme="minorEastAsia" w:eastAsiaTheme="minorEastAsia" w:cstheme="minorEastAsia"/>
          <w:color w:val="000000" w:themeColor="text1"/>
          <w:spacing w:val="-120"/>
          <w:kern w:val="0"/>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（签字）</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ab/>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ab/>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 xml:space="preserve">                 法定代表人</w:t>
      </w:r>
      <w:r>
        <w:rPr>
          <w:rFonts w:hint="eastAsia" w:asciiTheme="minorEastAsia" w:hAnsiTheme="minorEastAsia" w:eastAsiaTheme="minorEastAsia" w:cstheme="minorEastAsia"/>
          <w:color w:val="000000" w:themeColor="text1"/>
          <w:spacing w:val="-120"/>
          <w:kern w:val="0"/>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 xml:space="preserve">（签字） </w:t>
      </w:r>
    </w:p>
    <w:p w14:paraId="0BA17DB5">
      <w:pPr>
        <w:autoSpaceDE w:val="0"/>
        <w:autoSpaceDN w:val="0"/>
        <w:adjustRightInd w:val="0"/>
        <w:spacing w:line="400" w:lineRule="exact"/>
        <w:ind w:firstLine="480" w:firstLineChars="200"/>
        <w:jc w:val="left"/>
        <w:rPr>
          <w:rFonts w:hint="eastAsia" w:asciiTheme="minorEastAsia" w:hAnsiTheme="minorEastAsia" w:eastAsiaTheme="minorEastAsia" w:cstheme="minorEastAsia"/>
          <w:color w:val="000000" w:themeColor="text1"/>
          <w:kern w:val="0"/>
          <w:highlight w:val="none"/>
          <w:u w:val="single"/>
          <w14:textFill>
            <w14:solidFill>
              <w14:schemeClr w14:val="tx1"/>
            </w14:solidFill>
          </w14:textFill>
        </w:rPr>
      </w:pPr>
      <w:r>
        <w:rPr>
          <w:rFonts w:hint="eastAsia" w:asciiTheme="minorEastAsia" w:hAnsiTheme="minorEastAsia" w:eastAsiaTheme="minorEastAsia" w:cstheme="minorEastAsia"/>
          <w:color w:val="000000" w:themeColor="text1"/>
          <w:kern w:val="0"/>
          <w:highlight w:val="none"/>
          <w14:textFill>
            <w14:solidFill>
              <w14:schemeClr w14:val="tx1"/>
            </w14:solidFill>
          </w14:textFill>
        </w:rPr>
        <w:t xml:space="preserve">     联系电话：</w:t>
      </w:r>
      <w:r>
        <w:rPr>
          <w:rFonts w:hint="eastAsia" w:asciiTheme="minorEastAsia" w:hAnsiTheme="minorEastAsia" w:eastAsiaTheme="minorEastAsia" w:cstheme="minorEastAsia"/>
          <w:color w:val="000000" w:themeColor="text1"/>
          <w:kern w:val="0"/>
          <w:highlight w:val="none"/>
          <w:u w:val="single"/>
          <w14:textFill>
            <w14:solidFill>
              <w14:schemeClr w14:val="tx1"/>
            </w14:solidFill>
          </w14:textFill>
        </w:rPr>
        <w:tab/>
      </w:r>
      <w:r>
        <w:rPr>
          <w:rFonts w:hint="eastAsia" w:asciiTheme="minorEastAsia" w:hAnsiTheme="minorEastAsia" w:eastAsiaTheme="minorEastAsia" w:cstheme="minorEastAsia"/>
          <w:color w:val="000000" w:themeColor="text1"/>
          <w:kern w:val="0"/>
          <w:highlight w:val="none"/>
          <w:u w:val="single"/>
          <w14:textFill>
            <w14:solidFill>
              <w14:schemeClr w14:val="tx1"/>
            </w14:solidFill>
          </w14:textFill>
        </w:rPr>
        <w:tab/>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 xml:space="preserve">                     联系电话：</w:t>
      </w:r>
    </w:p>
    <w:p w14:paraId="15F9B04F">
      <w:pPr>
        <w:autoSpaceDE w:val="0"/>
        <w:autoSpaceDN w:val="0"/>
        <w:adjustRightInd w:val="0"/>
        <w:spacing w:line="400" w:lineRule="exact"/>
        <w:ind w:firstLine="480" w:firstLineChars="20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highlight w:val="none"/>
          <w14:textFill>
            <w14:solidFill>
              <w14:schemeClr w14:val="tx1"/>
            </w14:solidFill>
          </w14:textFill>
        </w:rPr>
        <w:t xml:space="preserve">     上级部门：（公章）                     上级部门：（公章）</w:t>
      </w:r>
    </w:p>
    <w:p w14:paraId="044AF42C">
      <w:pPr>
        <w:autoSpaceDE w:val="0"/>
        <w:autoSpaceDN w:val="0"/>
        <w:adjustRightInd w:val="0"/>
        <w:spacing w:line="400" w:lineRule="exact"/>
        <w:ind w:firstLine="480" w:firstLineChars="20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p>
    <w:p w14:paraId="7A1987DD">
      <w:pPr>
        <w:autoSpaceDE w:val="0"/>
        <w:autoSpaceDN w:val="0"/>
        <w:adjustRightInd w:val="0"/>
        <w:spacing w:line="400" w:lineRule="exact"/>
        <w:ind w:firstLine="480" w:firstLineChars="20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p>
    <w:p w14:paraId="19C15ACC">
      <w:pPr>
        <w:autoSpaceDE w:val="0"/>
        <w:autoSpaceDN w:val="0"/>
        <w:adjustRightInd w:val="0"/>
        <w:spacing w:line="400" w:lineRule="exact"/>
        <w:ind w:firstLine="480" w:firstLineChars="20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highlight w:val="none"/>
          <w14:textFill>
            <w14:solidFill>
              <w14:schemeClr w14:val="tx1"/>
            </w14:solidFill>
          </w14:textFill>
        </w:rPr>
        <w:t xml:space="preserve">          年   月    日                                年   月   日</w:t>
      </w:r>
    </w:p>
    <w:p w14:paraId="461225E5">
      <w:pPr>
        <w:spacing w:line="360" w:lineRule="auto"/>
        <w:rPr>
          <w:rFonts w:hint="eastAsia" w:asciiTheme="minorEastAsia" w:hAnsiTheme="minorEastAsia" w:eastAsiaTheme="minorEastAsia" w:cstheme="minorEastAsia"/>
          <w:b/>
          <w:bCs/>
          <w:color w:val="000000" w:themeColor="text1"/>
          <w:sz w:val="32"/>
          <w:szCs w:val="32"/>
          <w:highlight w:val="none"/>
          <w14:textFill>
            <w14:solidFill>
              <w14:schemeClr w14:val="tx1"/>
            </w14:solidFill>
          </w14:textFill>
        </w:rPr>
      </w:pPr>
    </w:p>
    <w:p w14:paraId="4480BB62">
      <w:pPr>
        <w:pStyle w:val="5"/>
        <w:ind w:left="4511" w:leftChars="174" w:hanging="4093" w:hangingChars="1274"/>
        <w:jc w:val="center"/>
        <w:rPr>
          <w:rFonts w:hint="eastAsia" w:asciiTheme="minorEastAsia" w:hAnsiTheme="minorEastAsia" w:eastAsiaTheme="minorEastAsia" w:cstheme="minorEastAsia"/>
          <w:bCs/>
          <w:color w:val="000000" w:themeColor="text1"/>
          <w:sz w:val="32"/>
          <w:szCs w:val="32"/>
          <w:highlight w:val="none"/>
          <w14:textFill>
            <w14:solidFill>
              <w14:schemeClr w14:val="tx1"/>
            </w14:solidFill>
          </w14:textFill>
        </w:rPr>
      </w:pPr>
      <w:bookmarkStart w:id="593" w:name="_Toc24859"/>
      <w:bookmarkStart w:id="594" w:name="_Toc6897"/>
      <w:bookmarkStart w:id="595" w:name="_Toc20715"/>
      <w:bookmarkStart w:id="596" w:name="_Toc18530"/>
      <w:bookmarkStart w:id="597" w:name="_Toc29017"/>
      <w:bookmarkStart w:id="598" w:name="_Toc11559"/>
      <w:bookmarkStart w:id="599" w:name="_Toc28513"/>
      <w:bookmarkStart w:id="600" w:name="_Toc126"/>
      <w:r>
        <w:rPr>
          <w:rFonts w:hint="eastAsia" w:asciiTheme="minorEastAsia" w:hAnsiTheme="minorEastAsia" w:eastAsiaTheme="minorEastAsia" w:cstheme="minorEastAsia"/>
          <w:bCs/>
          <w:color w:val="000000" w:themeColor="text1"/>
          <w:sz w:val="32"/>
          <w:szCs w:val="32"/>
          <w:highlight w:val="none"/>
          <w14:textFill>
            <w14:solidFill>
              <w14:schemeClr w14:val="tx1"/>
            </w14:solidFill>
          </w14:textFill>
        </w:rPr>
        <w:br w:type="page"/>
      </w:r>
      <w:bookmarkStart w:id="601" w:name="_Toc1108"/>
      <w:bookmarkStart w:id="602" w:name="_Toc10245"/>
      <w:bookmarkStart w:id="603" w:name="_Toc30796"/>
      <w:r>
        <w:rPr>
          <w:rFonts w:hint="eastAsia" w:asciiTheme="minorEastAsia" w:hAnsiTheme="minorEastAsia" w:eastAsiaTheme="minorEastAsia" w:cstheme="minorEastAsia"/>
          <w:bCs/>
          <w:color w:val="000000" w:themeColor="text1"/>
          <w:sz w:val="32"/>
          <w:szCs w:val="32"/>
          <w:highlight w:val="none"/>
          <w14:textFill>
            <w14:solidFill>
              <w14:schemeClr w14:val="tx1"/>
            </w14:solidFill>
          </w14:textFill>
        </w:rPr>
        <w:t>履约保函</w:t>
      </w:r>
      <w:bookmarkEnd w:id="593"/>
      <w:bookmarkEnd w:id="594"/>
      <w:bookmarkEnd w:id="595"/>
      <w:bookmarkEnd w:id="596"/>
      <w:bookmarkEnd w:id="597"/>
      <w:bookmarkEnd w:id="598"/>
      <w:bookmarkEnd w:id="599"/>
      <w:bookmarkEnd w:id="600"/>
      <w:bookmarkEnd w:id="601"/>
      <w:bookmarkEnd w:id="602"/>
      <w:bookmarkEnd w:id="603"/>
    </w:p>
    <w:p w14:paraId="3B9F6898">
      <w:pPr>
        <w:spacing w:line="360" w:lineRule="auto"/>
        <w:jc w:val="center"/>
        <w:rPr>
          <w:rFonts w:hint="eastAsia" w:asciiTheme="minorEastAsia" w:hAnsiTheme="minorEastAsia" w:eastAsiaTheme="minorEastAsia" w:cstheme="minorEastAsia"/>
          <w:b/>
          <w:bCs/>
          <w:color w:val="000000" w:themeColor="text1"/>
          <w:sz w:val="32"/>
          <w:szCs w:val="32"/>
          <w:highlight w:val="none"/>
          <w14:textFill>
            <w14:solidFill>
              <w14:schemeClr w14:val="tx1"/>
            </w14:solidFill>
          </w14:textFill>
        </w:rPr>
      </w:pPr>
    </w:p>
    <w:p w14:paraId="221D34C8">
      <w:pPr>
        <w:wordWrap w:val="0"/>
        <w:spacing w:line="360" w:lineRule="auto"/>
        <w:jc w:val="righ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 xml:space="preserve">编号：           </w:t>
      </w:r>
    </w:p>
    <w:p w14:paraId="1DEC7C4F">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申请人：</w:t>
      </w:r>
    </w:p>
    <w:p w14:paraId="6D23A14C">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地址：</w:t>
      </w:r>
    </w:p>
    <w:p w14:paraId="739ED372">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受益人：</w:t>
      </w:r>
    </w:p>
    <w:p w14:paraId="1240D116">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地址：</w:t>
      </w:r>
    </w:p>
    <w:p w14:paraId="2374388F">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开立人：</w:t>
      </w:r>
    </w:p>
    <w:p w14:paraId="43292334">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地址：</w:t>
      </w:r>
    </w:p>
    <w:p w14:paraId="78C9AAC9">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p>
    <w:p w14:paraId="1900612E">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（受益人名称）： </w:t>
      </w:r>
    </w:p>
    <w:p w14:paraId="7A1B804A">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鉴于</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（以下简称“受益人”）与</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（以下简称“申请人”）于</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年</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月</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日就</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工程（以下简称“本工程”）施工和有关事项协商一致共同签订</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以下简称“基础合同”），我方（即“开立人”）根据基础合同了解到申请人为基础合同项下之中标人，受益人为基础合同项下之招标人，基于申请人的请求，我方同意就申请人履行与贵方签订的基础合同项下的义务，向贵方提供不可撤销、不可转让的见索即付独立保函（以下简称“本保函”）。 </w:t>
      </w:r>
    </w:p>
    <w:p w14:paraId="0539FD03">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一、本保函担保范围：中标人未按照基础合同的约定履行义务，应当向贵方承担的违约责任和赔偿因此造成的损失、利息、律师费、诉讼费用等实现债权的费用。</w:t>
      </w:r>
    </w:p>
    <w:p w14:paraId="59B1FBF8">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二、本保函担保金额最高不超过人民币（大写）</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元（¥</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w:t>
      </w:r>
    </w:p>
    <w:p w14:paraId="670D9D69">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三、本保函有效期自开立之日起至基础合同约定的缺陷责任期后</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日止，最迟不超过</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年</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月</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日。 </w:t>
      </w:r>
    </w:p>
    <w:p w14:paraId="5CD8E593">
      <w:pPr>
        <w:spacing w:line="360" w:lineRule="auto"/>
        <w:ind w:firstLine="48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四、我方承诺，在收到受益人发来的书面付款通知后的</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日内无条件支付，前述书面付款通知即为付款要求之单据，且应满足以下要求：</w:t>
      </w:r>
    </w:p>
    <w:p w14:paraId="3068B7B7">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（1）付款通知到达的日期在本保函的有效期内；</w:t>
      </w:r>
    </w:p>
    <w:p w14:paraId="123CE61A">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（2）载明要求支付的金额；</w:t>
      </w:r>
    </w:p>
    <w:p w14:paraId="1430F2DC">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（3）载明申请人违反合同义务的条款和内容；</w:t>
      </w:r>
    </w:p>
    <w:p w14:paraId="28A18F3C">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（4）声明不存在合同文件约定或我国法律规定免除申请人或开立人支付责任的情形；</w:t>
      </w:r>
    </w:p>
    <w:p w14:paraId="7909BCE6">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（5）付款通知应在本保函有效期内到达的地址是：</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w:t>
      </w:r>
    </w:p>
    <w:p w14:paraId="4A124532">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受益人发出的书面付款通知应由其为鉴明受益人法定代表人（负责人）或授权代理人签字并加盖公章。</w:t>
      </w:r>
    </w:p>
    <w:p w14:paraId="27CF41E5">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五、本保函项下的权利不得转让，不得设定担保。贵方未经我方书面同意转 让本保函或其项下任何权利，对我方不发生法律效力。 </w:t>
      </w:r>
    </w:p>
    <w:p w14:paraId="0732B519">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六、与本保函有关的基础合同不成立、不生效、无效、被撤销、被解除，不影响本保函的独立有效。 </w:t>
      </w:r>
    </w:p>
    <w:p w14:paraId="071B8B51">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七、贵方应在本保函到期后的七日内将本保函正本退回我方注销，但是不论贵方是否按此要求将本保函正本退回我方，我方在本保函项下的义务和责任均在保函有效期到期后自动消灭。 </w:t>
      </w:r>
    </w:p>
    <w:p w14:paraId="29A0E544">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八、本保函适用的法律为中华人民共和国法律，争议裁判管辖地为中华人民共和国</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w:t>
      </w:r>
    </w:p>
    <w:p w14:paraId="481E5833">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九、本保函自我方法定代表人或授权代表签字并加盖公章之日起生效。 </w:t>
      </w:r>
    </w:p>
    <w:p w14:paraId="4A733548">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开 立 人：                              （公章） </w:t>
      </w:r>
    </w:p>
    <w:p w14:paraId="045BD6AB">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法定代表人（或授权代表）：               （签字） </w:t>
      </w:r>
    </w:p>
    <w:p w14:paraId="29DFEFDD">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地    址：                                       </w:t>
      </w:r>
    </w:p>
    <w:p w14:paraId="21D47253">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邮政编码：                 </w:t>
      </w:r>
    </w:p>
    <w:p w14:paraId="6A252FBC">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电    话：                 </w:t>
      </w:r>
    </w:p>
    <w:p w14:paraId="4C1423BD">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传    真：                 </w:t>
      </w:r>
    </w:p>
    <w:p w14:paraId="58AA204F">
      <w:pPr>
        <w:spacing w:line="360" w:lineRule="auto"/>
        <w:ind w:firstLine="480" w:firstLineChars="20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开立时间：      年      月    </w:t>
      </w:r>
    </w:p>
    <w:p w14:paraId="2C43A4FD">
      <w:pPr>
        <w:spacing w:line="374" w:lineRule="auto"/>
        <w:ind w:left="698" w:right="524"/>
        <w:jc w:val="left"/>
        <w:rPr>
          <w:rFonts w:hint="eastAsia" w:asciiTheme="minorEastAsia" w:hAnsiTheme="minorEastAsia" w:eastAsiaTheme="minorEastAsia" w:cstheme="minorEastAsia"/>
          <w:strike/>
          <w:color w:val="000000" w:themeColor="text1"/>
          <w:szCs w:val="24"/>
          <w:highlight w:val="none"/>
          <w14:textFill>
            <w14:solidFill>
              <w14:schemeClr w14:val="tx1"/>
            </w14:solidFill>
          </w14:textFill>
        </w:rPr>
        <w:sectPr>
          <w:headerReference r:id="rId8" w:type="default"/>
          <w:footerReference r:id="rId9" w:type="default"/>
          <w:pgSz w:w="11907" w:h="16840"/>
          <w:pgMar w:top="1247" w:right="1474" w:bottom="1247" w:left="1361" w:header="680" w:footer="680" w:gutter="0"/>
          <w:pgNumType w:fmt="decimal"/>
          <w:cols w:space="720" w:num="1"/>
        </w:sectPr>
      </w:pPr>
    </w:p>
    <w:p w14:paraId="56D93505">
      <w:pPr>
        <w:pStyle w:val="61"/>
        <w:spacing w:line="440" w:lineRule="exact"/>
        <w:ind w:firstLine="0" w:firstLineChars="0"/>
        <w:rPr>
          <w:rFonts w:hint="eastAsia" w:asciiTheme="minorEastAsia" w:hAnsiTheme="minorEastAsia" w:eastAsiaTheme="minorEastAsia" w:cstheme="minorEastAsia"/>
          <w:dstrike/>
          <w:color w:val="000000" w:themeColor="text1"/>
          <w:kern w:val="0"/>
          <w:highlight w:val="none"/>
          <w14:textFill>
            <w14:solidFill>
              <w14:schemeClr w14:val="tx1"/>
            </w14:solidFill>
          </w14:textFill>
        </w:rPr>
      </w:pPr>
    </w:p>
    <w:p w14:paraId="598954D0">
      <w:pPr>
        <w:pStyle w:val="5"/>
        <w:ind w:left="4511" w:leftChars="174" w:hanging="4093" w:hangingChars="1274"/>
        <w:jc w:val="center"/>
        <w:rPr>
          <w:rFonts w:hint="eastAsia" w:asciiTheme="minorEastAsia" w:hAnsiTheme="minorEastAsia" w:eastAsiaTheme="minorEastAsia" w:cstheme="minorEastAsia"/>
          <w:bCs/>
          <w:color w:val="000000" w:themeColor="text1"/>
          <w:sz w:val="32"/>
          <w:szCs w:val="32"/>
          <w:highlight w:val="none"/>
          <w14:textFill>
            <w14:solidFill>
              <w14:schemeClr w14:val="tx1"/>
            </w14:solidFill>
          </w14:textFill>
        </w:rPr>
      </w:pPr>
      <w:bookmarkStart w:id="604" w:name="_Toc26369"/>
      <w:bookmarkStart w:id="605" w:name="_Toc15298"/>
      <w:bookmarkStart w:id="606" w:name="_Toc2375"/>
      <w:bookmarkStart w:id="607" w:name="_Toc3712"/>
      <w:bookmarkStart w:id="608" w:name="_Toc19146"/>
      <w:bookmarkStart w:id="609" w:name="_Toc24975"/>
      <w:bookmarkStart w:id="610" w:name="_Toc4768"/>
      <w:bookmarkStart w:id="611" w:name="_Toc20309"/>
      <w:bookmarkStart w:id="612" w:name="_Toc3541"/>
      <w:bookmarkStart w:id="613" w:name="_Toc31569"/>
      <w:bookmarkStart w:id="614" w:name="_Toc32564"/>
      <w:r>
        <w:rPr>
          <w:rFonts w:hint="eastAsia" w:asciiTheme="minorEastAsia" w:hAnsiTheme="minorEastAsia" w:eastAsiaTheme="minorEastAsia" w:cstheme="minorEastAsia"/>
          <w:bCs/>
          <w:color w:val="000000" w:themeColor="text1"/>
          <w:sz w:val="32"/>
          <w:szCs w:val="32"/>
          <w:highlight w:val="none"/>
          <w14:textFill>
            <w14:solidFill>
              <w14:schemeClr w14:val="tx1"/>
            </w14:solidFill>
          </w14:textFill>
        </w:rPr>
        <w:t>预付款保函</w:t>
      </w:r>
      <w:bookmarkEnd w:id="604"/>
      <w:bookmarkEnd w:id="605"/>
      <w:bookmarkEnd w:id="606"/>
      <w:bookmarkEnd w:id="607"/>
      <w:bookmarkEnd w:id="608"/>
      <w:bookmarkEnd w:id="609"/>
      <w:bookmarkEnd w:id="610"/>
      <w:bookmarkEnd w:id="611"/>
      <w:bookmarkEnd w:id="612"/>
      <w:bookmarkEnd w:id="613"/>
      <w:bookmarkEnd w:id="614"/>
    </w:p>
    <w:p w14:paraId="1C67E614">
      <w:pPr>
        <w:wordWrap w:val="0"/>
        <w:spacing w:line="360" w:lineRule="auto"/>
        <w:jc w:val="righ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 xml:space="preserve">编号：           </w:t>
      </w:r>
    </w:p>
    <w:p w14:paraId="181634F3">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p>
    <w:p w14:paraId="49B56C35">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申请人：</w:t>
      </w:r>
    </w:p>
    <w:p w14:paraId="6F85FA71">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地址：</w:t>
      </w:r>
    </w:p>
    <w:p w14:paraId="561D8709">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受益人：</w:t>
      </w:r>
    </w:p>
    <w:p w14:paraId="1AFCAA20">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地址：</w:t>
      </w:r>
    </w:p>
    <w:p w14:paraId="0AC82563">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开立人：</w:t>
      </w:r>
    </w:p>
    <w:p w14:paraId="3C2D6EC1">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地址：</w:t>
      </w:r>
    </w:p>
    <w:p w14:paraId="508EFD47">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p>
    <w:p w14:paraId="6396C4EF">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（受益人名称）： </w:t>
      </w:r>
    </w:p>
    <w:p w14:paraId="551E53EF">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鉴于</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（以下简称“受益人”）与</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（以下简称“申请人”）于</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年</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月</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日就</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工程（以下简称“本工程”）施工和有关事项协商一致共同签订</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以下简称“基础合同”），我方（即“开立人”）根据主合同了解到申请人为主合同项下之中标人，受益人为主合同项下之招标人，基于申请人的请求，我方同意就申请人按照合同约定正确和合理地为合同目的使用预付款，向贵方提供不可撤销、不可转让的见索即付独立保函（以下简称“本保函”）。 </w:t>
      </w:r>
    </w:p>
    <w:p w14:paraId="22B4A507">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一、本保函担保范围：申请人未按照合同约定正确和合理地为合同目的使用预付款，应当向贵方承担的违约责任和赔偿因此造成的损失、利息、律师费、诉讼费用等实现债权的费用。</w:t>
      </w:r>
    </w:p>
    <w:p w14:paraId="2A69F375">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二、本保函担保金额最高不超过人民币（大写）</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元（¥</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w:t>
      </w:r>
    </w:p>
    <w:p w14:paraId="3A329F14">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三、本保函有效期自开立之日起至招标人全额扣回预付款后</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日止，最迟不超过</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年</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月</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日。</w:t>
      </w:r>
    </w:p>
    <w:p w14:paraId="4793DA58">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四、我方承诺，在收到受益人发来的书面付款通知后的</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日内无条件支付，前述书面付款通知即为付款要求之单据，且应满足以下要求：</w:t>
      </w:r>
    </w:p>
    <w:p w14:paraId="164254AF">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（1）付款通知到达的日期在本保函的有效期内；</w:t>
      </w:r>
    </w:p>
    <w:p w14:paraId="0F9939A2">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（2）载明要求支付的金额；</w:t>
      </w:r>
    </w:p>
    <w:p w14:paraId="5217755B">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（3）载明申请人违反合同义务的条款和内容；</w:t>
      </w:r>
    </w:p>
    <w:p w14:paraId="6E2F569C">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（4）声明不存在合同文件约定或我国法律规定免除申请人或开立人支付责任的情形；</w:t>
      </w:r>
    </w:p>
    <w:p w14:paraId="56837660">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（5）付款通知应在本保函有效期内到达的地址是：</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w:t>
      </w:r>
    </w:p>
    <w:p w14:paraId="091CD437">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受益人发出的书面付款通知应由其为鉴明受益人法定代表人（负责人）或授权代理人签字并加盖公章。</w:t>
      </w:r>
    </w:p>
    <w:p w14:paraId="24AFE5CE">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五、本保函项下的权利不得转让，不得设定担保。贵方未经我方书面同意转 让本保函或其项下任何权利，对我方不发生法律效力。 </w:t>
      </w:r>
    </w:p>
    <w:p w14:paraId="6319DEDC">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六、与本保函有关的基础合同不成立、不生效、无效、被撤销、被解除，不影响本保函的独立有效。 </w:t>
      </w:r>
    </w:p>
    <w:p w14:paraId="2AF21A0B">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七、贵方应在本保函到期后的七日内将本保函正本退回我方注销，但是不论贵方是否按此要求将本保函正本退回我方，我方在本保函项下的义务和责任均在保函有效期到期后自动消灭。 </w:t>
      </w:r>
    </w:p>
    <w:p w14:paraId="236310AD">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八、本保函适用的法律为中华人民共和国法律，争议裁判管辖地为中华人民共和国</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w:t>
      </w:r>
    </w:p>
    <w:p w14:paraId="4513A148">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九、本保函自我方法定代表人或授权代表签字并加盖公章之日起生效。 </w:t>
      </w:r>
    </w:p>
    <w:p w14:paraId="28DEE951">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p>
    <w:p w14:paraId="37C060BF">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p>
    <w:p w14:paraId="57122C8A">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开 立 人：                              （公章） </w:t>
      </w:r>
    </w:p>
    <w:p w14:paraId="29B6781C">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法定代表人（或授权代表）：               （签字） </w:t>
      </w:r>
    </w:p>
    <w:p w14:paraId="7C2D2080">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地    址：                                       </w:t>
      </w:r>
    </w:p>
    <w:p w14:paraId="67E18D19">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邮政编码：                 </w:t>
      </w:r>
    </w:p>
    <w:p w14:paraId="260AD822">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电    话：                 </w:t>
      </w:r>
    </w:p>
    <w:p w14:paraId="05B2D613">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传    真：                 </w:t>
      </w:r>
    </w:p>
    <w:p w14:paraId="5B834146">
      <w:pPr>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开立时间：      年      月        日</w:t>
      </w:r>
    </w:p>
    <w:p w14:paraId="5D072775">
      <w:pPr>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p>
    <w:p w14:paraId="643B20B7">
      <w:pPr>
        <w:rPr>
          <w:rFonts w:hint="eastAsia" w:asciiTheme="minorEastAsia" w:hAnsiTheme="minorEastAsia" w:eastAsiaTheme="minorEastAsia" w:cstheme="minorEastAsia"/>
          <w:color w:val="000000" w:themeColor="text1"/>
          <w:highlight w:val="none"/>
          <w14:textFill>
            <w14:solidFill>
              <w14:schemeClr w14:val="tx1"/>
            </w14:solidFill>
          </w14:textFill>
        </w:rPr>
      </w:pPr>
    </w:p>
    <w:p w14:paraId="371FFDF7">
      <w:pPr>
        <w:rPr>
          <w:rFonts w:hint="eastAsia" w:asciiTheme="minorEastAsia" w:hAnsiTheme="minorEastAsia" w:eastAsiaTheme="minorEastAsia" w:cstheme="minorEastAsia"/>
          <w:color w:val="000000" w:themeColor="text1"/>
          <w:highlight w:val="none"/>
          <w14:textFill>
            <w14:solidFill>
              <w14:schemeClr w14:val="tx1"/>
            </w14:solidFill>
          </w14:textFill>
        </w:rPr>
      </w:pPr>
    </w:p>
    <w:p w14:paraId="73554A24">
      <w:pPr>
        <w:rPr>
          <w:rFonts w:hint="eastAsia" w:asciiTheme="minorEastAsia" w:hAnsiTheme="minorEastAsia" w:eastAsiaTheme="minorEastAsia" w:cstheme="minorEastAsia"/>
          <w:color w:val="000000" w:themeColor="text1"/>
          <w:highlight w:val="none"/>
          <w14:textFill>
            <w14:solidFill>
              <w14:schemeClr w14:val="tx1"/>
            </w14:solidFill>
          </w14:textFill>
        </w:rPr>
      </w:pPr>
      <w:bookmarkStart w:id="615" w:name="_Toc6524"/>
    </w:p>
    <w:p w14:paraId="0388EE1B">
      <w:pPr>
        <w:rPr>
          <w:rFonts w:hint="eastAsia" w:asciiTheme="minorEastAsia" w:hAnsiTheme="minorEastAsia" w:eastAsiaTheme="minorEastAsia" w:cstheme="minorEastAsia"/>
          <w:color w:val="000000" w:themeColor="text1"/>
          <w:highlight w:val="none"/>
          <w14:textFill>
            <w14:solidFill>
              <w14:schemeClr w14:val="tx1"/>
            </w14:solidFill>
          </w14:textFill>
        </w:rPr>
      </w:pPr>
    </w:p>
    <w:p w14:paraId="1A83B68F">
      <w:pPr>
        <w:pStyle w:val="5"/>
        <w:ind w:left="3488" w:leftChars="174" w:hanging="3070" w:hangingChars="1274"/>
        <w:jc w:val="center"/>
        <w:rPr>
          <w:rFonts w:hint="eastAsia" w:asciiTheme="minorEastAsia" w:hAnsiTheme="minorEastAsia" w:eastAsiaTheme="minorEastAsia" w:cstheme="minorEastAsia"/>
          <w:bCs/>
          <w:color w:val="000000" w:themeColor="text1"/>
          <w:szCs w:val="32"/>
          <w:highlight w:val="none"/>
          <w14:textFill>
            <w14:solidFill>
              <w14:schemeClr w14:val="tx1"/>
            </w14:solidFill>
          </w14:textFill>
        </w:rPr>
      </w:pPr>
      <w:bookmarkStart w:id="616" w:name="_Toc18000"/>
      <w:bookmarkStart w:id="617" w:name="_Toc25691"/>
      <w:bookmarkStart w:id="618" w:name="_Toc1401"/>
      <w:bookmarkStart w:id="619" w:name="_Toc7920"/>
      <w:bookmarkStart w:id="620" w:name="_Toc1606"/>
      <w:bookmarkStart w:id="621" w:name="_Toc3493"/>
      <w:bookmarkStart w:id="622" w:name="_Toc27131"/>
      <w:bookmarkStart w:id="623" w:name="_Toc12376"/>
      <w:r>
        <w:rPr>
          <w:rFonts w:hint="eastAsia" w:asciiTheme="minorEastAsia" w:hAnsiTheme="minorEastAsia" w:eastAsiaTheme="minorEastAsia" w:cstheme="minorEastAsia"/>
          <w:color w:val="000000" w:themeColor="text1"/>
          <w:highlight w:val="none"/>
          <w14:textFill>
            <w14:solidFill>
              <w14:schemeClr w14:val="tx1"/>
            </w14:solidFill>
          </w14:textFill>
        </w:rPr>
        <w:br w:type="page"/>
      </w:r>
      <w:bookmarkStart w:id="624" w:name="_Toc2094"/>
      <w:bookmarkStart w:id="625" w:name="_Toc14563"/>
      <w:bookmarkStart w:id="626" w:name="_Toc9772"/>
      <w:r>
        <w:rPr>
          <w:rFonts w:hint="eastAsia" w:asciiTheme="minorEastAsia" w:hAnsiTheme="minorEastAsia" w:eastAsiaTheme="minorEastAsia" w:cstheme="minorEastAsia"/>
          <w:bCs/>
          <w:color w:val="000000" w:themeColor="text1"/>
          <w:sz w:val="32"/>
          <w:szCs w:val="32"/>
          <w:highlight w:val="none"/>
          <w14:textFill>
            <w14:solidFill>
              <w14:schemeClr w14:val="tx1"/>
            </w14:solidFill>
          </w14:textFill>
        </w:rPr>
        <w:t>支付保函</w:t>
      </w:r>
      <w:bookmarkEnd w:id="615"/>
      <w:bookmarkEnd w:id="616"/>
      <w:bookmarkEnd w:id="617"/>
      <w:bookmarkEnd w:id="618"/>
      <w:bookmarkEnd w:id="619"/>
      <w:bookmarkEnd w:id="620"/>
      <w:bookmarkEnd w:id="621"/>
      <w:bookmarkEnd w:id="622"/>
      <w:bookmarkEnd w:id="623"/>
      <w:bookmarkEnd w:id="624"/>
      <w:bookmarkEnd w:id="625"/>
      <w:bookmarkEnd w:id="626"/>
    </w:p>
    <w:p w14:paraId="607F1C3F">
      <w:pPr>
        <w:wordWrap w:val="0"/>
        <w:spacing w:line="360" w:lineRule="auto"/>
        <w:jc w:val="righ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 xml:space="preserve">编号：           </w:t>
      </w:r>
    </w:p>
    <w:p w14:paraId="1D883AF7">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申请人：</w:t>
      </w:r>
    </w:p>
    <w:p w14:paraId="3571A6A2">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地址：</w:t>
      </w:r>
    </w:p>
    <w:p w14:paraId="09A12571">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受益人：</w:t>
      </w:r>
    </w:p>
    <w:p w14:paraId="32252B3F">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地址：</w:t>
      </w:r>
    </w:p>
    <w:p w14:paraId="0E362290">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开立人：</w:t>
      </w:r>
    </w:p>
    <w:p w14:paraId="1DE9EC30">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地址：</w:t>
      </w:r>
    </w:p>
    <w:p w14:paraId="395CEEE5">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p>
    <w:p w14:paraId="1530C631">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bookmarkStart w:id="627" w:name="_Hlk40355074"/>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（受益人名称）： </w:t>
      </w:r>
    </w:p>
    <w:bookmarkEnd w:id="627"/>
    <w:p w14:paraId="605C041B">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鉴于</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（以下简称“受益人”）与</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（以下简称“申请人”）于</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年</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月</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日就</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工程（以下简称“本工程”）施工和有关事项协商一致共同签订</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以下简称“基础合同”），我方（即“开立人”）根据基础合同了解到申请人为基础合同项下之招标人，受益人为基础合同项下之中标人，基于申请人的请求，我方同意就申请人履行与贵方签订的基础合同项下的工程款（指基础合同约定的除工程质量保修金以外的工程款）付款义务，向贵方提供不可撤销、不可转让的见索即付独立保函（以下简称“本保函”）。 </w:t>
      </w:r>
    </w:p>
    <w:p w14:paraId="5074AB72">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一、本保函担保范围：申请人未履行基础合同约定的工程款支付义务，应当向贵方承担的违约责任和赔偿因此造成的损失、利息、律师费、诉讼费用等实现债权的费用。</w:t>
      </w:r>
    </w:p>
    <w:p w14:paraId="267D7145">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二、本保函担保金额最高不超过人民币（大写）</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元（¥</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w:t>
      </w:r>
    </w:p>
    <w:p w14:paraId="66B3D931">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三、本保函有效期自开立之日起至基础合同约定的除工程质量保修金以外的全部工程结算款项支付之日后</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日止，最迟不超过</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年</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月</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日。 </w:t>
      </w:r>
    </w:p>
    <w:p w14:paraId="68ACDA2C">
      <w:pPr>
        <w:spacing w:line="360" w:lineRule="auto"/>
        <w:ind w:firstLine="48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四、我方承诺，在收到受益人发来的书面付款通知后的</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日内无条件支付，前述书面付款通知即为付款要求之单据，且应满足以下要求：</w:t>
      </w:r>
    </w:p>
    <w:p w14:paraId="36E9387A">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（1）付款通知到达的日期在本保函的有效期内；</w:t>
      </w:r>
    </w:p>
    <w:p w14:paraId="16604FCD">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（2）载明要求支付的金额；</w:t>
      </w:r>
    </w:p>
    <w:p w14:paraId="185C2307">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（3）载明申请人违反合同义务的条款和内容；</w:t>
      </w:r>
    </w:p>
    <w:p w14:paraId="6E90FF64">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（4）声明不存在合同文件约定或我国法律规定免除申请人或开立人支付责任的情形；</w:t>
      </w:r>
    </w:p>
    <w:p w14:paraId="0B42AB5D">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（5）付款通知应在本保函有效期内到达的地址是：</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w:t>
      </w:r>
    </w:p>
    <w:p w14:paraId="1D58AEF5">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受益人发出的书面付款通知应由其为鉴明受益人法定代表人（负责人）或授权代理人签字并加盖公章。</w:t>
      </w:r>
    </w:p>
    <w:p w14:paraId="2B69039B">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五、本保函项下的权利不得转让，不得设定担保。贵方未经我方书面同意转 让本保函或其项下任何权利，对我方不发生法律效力。 </w:t>
      </w:r>
    </w:p>
    <w:p w14:paraId="03F6F6BA">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六、与本保函有关的基础合同不成立、不生效、无效、被撤销、被解除，不影响本保函的独立有效。 </w:t>
      </w:r>
    </w:p>
    <w:p w14:paraId="708B2913">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七、贵方应在本保函到期后的七日内将本保函正本退回我方注销，但是不论贵方是否按此要求将本保函正本退回我方，我方在本保函项下的义务和责任均在保函有效期到期后自动消灭。 </w:t>
      </w:r>
    </w:p>
    <w:p w14:paraId="1BB365EC">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八、本保函适用的法律为中华人民共和国法律，争议裁判管辖地为中华人民共和国</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w:t>
      </w:r>
    </w:p>
    <w:p w14:paraId="342C2E4D">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九、本保函自我方法定代表人</w:t>
      </w:r>
      <w:bookmarkStart w:id="628" w:name="_Hlk58487855"/>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或授权代表</w:t>
      </w:r>
      <w:bookmarkEnd w:id="628"/>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签字并加盖公章之日起生效。 </w:t>
      </w:r>
    </w:p>
    <w:p w14:paraId="669B9000">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p>
    <w:p w14:paraId="6FCFA165">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p>
    <w:p w14:paraId="3DDD303E">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开 立 人：                              （公章） </w:t>
      </w:r>
    </w:p>
    <w:p w14:paraId="3E911487">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法定代表人（或授权代表）：               （签字） </w:t>
      </w:r>
    </w:p>
    <w:p w14:paraId="708DD72A">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地    址：                                       </w:t>
      </w:r>
    </w:p>
    <w:p w14:paraId="0308D6B5">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邮政编码：                 </w:t>
      </w:r>
    </w:p>
    <w:p w14:paraId="59CD7EE1">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电    话：                 </w:t>
      </w:r>
    </w:p>
    <w:p w14:paraId="73F9AA0A">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传    真：                 </w:t>
      </w:r>
    </w:p>
    <w:p w14:paraId="4C1BA48D">
      <w:pPr>
        <w:spacing w:line="360" w:lineRule="auto"/>
        <w:ind w:firstLine="480" w:firstLineChars="20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开立时间：      年      月        日</w:t>
      </w:r>
    </w:p>
    <w:p w14:paraId="2A47D1DD">
      <w:pPr>
        <w:spacing w:line="374" w:lineRule="auto"/>
        <w:ind w:left="698" w:right="524"/>
        <w:jc w:val="left"/>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p>
    <w:p w14:paraId="15FBFA56">
      <w:pPr>
        <w:pStyle w:val="31"/>
        <w:rPr>
          <w:rFonts w:hint="eastAsia" w:asciiTheme="minorEastAsia" w:hAnsiTheme="minorEastAsia" w:eastAsiaTheme="minorEastAsia" w:cstheme="minorEastAsia"/>
          <w:color w:val="000000" w:themeColor="text1"/>
          <w:sz w:val="24"/>
          <w:highlight w:val="none"/>
          <w14:textFill>
            <w14:solidFill>
              <w14:schemeClr w14:val="tx1"/>
            </w14:solidFill>
          </w14:textFill>
        </w:rPr>
      </w:pPr>
    </w:p>
    <w:p w14:paraId="7C8AF6FC">
      <w:pPr>
        <w:rPr>
          <w:rFonts w:hint="eastAsia" w:asciiTheme="minorEastAsia" w:hAnsiTheme="minorEastAsia" w:eastAsiaTheme="minorEastAsia" w:cstheme="minorEastAsia"/>
          <w:color w:val="000000" w:themeColor="text1"/>
          <w:highlight w:val="none"/>
          <w14:textFill>
            <w14:solidFill>
              <w14:schemeClr w14:val="tx1"/>
            </w14:solidFill>
          </w14:textFill>
        </w:rPr>
      </w:pPr>
    </w:p>
    <w:p w14:paraId="5F5A5F2E">
      <w:pPr>
        <w:pStyle w:val="31"/>
        <w:rPr>
          <w:rFonts w:hint="eastAsia" w:asciiTheme="minorEastAsia" w:hAnsiTheme="minorEastAsia" w:eastAsiaTheme="minorEastAsia" w:cstheme="minorEastAsia"/>
          <w:color w:val="000000" w:themeColor="text1"/>
          <w:sz w:val="24"/>
          <w:highlight w:val="none"/>
          <w14:textFill>
            <w14:solidFill>
              <w14:schemeClr w14:val="tx1"/>
            </w14:solidFill>
          </w14:textFill>
        </w:rPr>
      </w:pPr>
    </w:p>
    <w:p w14:paraId="54C9F0E0">
      <w:pPr>
        <w:spacing w:line="374" w:lineRule="auto"/>
        <w:ind w:left="698" w:right="524"/>
        <w:jc w:val="left"/>
        <w:rPr>
          <w:rFonts w:hint="eastAsia" w:asciiTheme="minorEastAsia" w:hAnsiTheme="minorEastAsia" w:eastAsiaTheme="minorEastAsia" w:cstheme="minorEastAsia"/>
          <w:strike/>
          <w:color w:val="000000" w:themeColor="text1"/>
          <w:szCs w:val="24"/>
          <w:highlight w:val="none"/>
          <w14:textFill>
            <w14:solidFill>
              <w14:schemeClr w14:val="tx1"/>
            </w14:solidFill>
          </w14:textFill>
        </w:rPr>
      </w:pPr>
    </w:p>
    <w:p w14:paraId="33E7C08A">
      <w:pPr>
        <w:rPr>
          <w:rFonts w:hint="eastAsia" w:asciiTheme="minorEastAsia" w:hAnsiTheme="minorEastAsia" w:eastAsiaTheme="minorEastAsia" w:cstheme="minorEastAsia"/>
          <w:color w:val="000000" w:themeColor="text1"/>
          <w:highlight w:val="none"/>
          <w14:textFill>
            <w14:solidFill>
              <w14:schemeClr w14:val="tx1"/>
            </w14:solidFill>
          </w14:textFill>
        </w:rPr>
        <w:sectPr>
          <w:pgSz w:w="11907" w:h="16840"/>
          <w:pgMar w:top="1247" w:right="1474" w:bottom="1247" w:left="1361" w:header="680" w:footer="680" w:gutter="0"/>
          <w:pgNumType w:fmt="decimal"/>
          <w:cols w:space="720" w:num="1"/>
        </w:sectPr>
      </w:pPr>
    </w:p>
    <w:p w14:paraId="30942E89">
      <w:pPr>
        <w:pStyle w:val="61"/>
        <w:spacing w:line="440" w:lineRule="exact"/>
        <w:ind w:firstLine="0" w:firstLineChars="0"/>
        <w:rPr>
          <w:rFonts w:hint="eastAsia" w:asciiTheme="minorEastAsia" w:hAnsiTheme="minorEastAsia" w:eastAsiaTheme="minorEastAsia" w:cstheme="minorEastAsia"/>
          <w:color w:val="000000" w:themeColor="text1"/>
          <w:szCs w:val="32"/>
          <w:highlight w:val="none"/>
          <w14:textFill>
            <w14:solidFill>
              <w14:schemeClr w14:val="tx1"/>
            </w14:solidFill>
          </w14:textFill>
        </w:rPr>
      </w:pPr>
    </w:p>
    <w:p w14:paraId="7205DE45">
      <w:pPr>
        <w:pStyle w:val="3"/>
        <w:jc w:val="center"/>
        <w:rPr>
          <w:rFonts w:hint="eastAsia" w:asciiTheme="minorEastAsia" w:hAnsiTheme="minorEastAsia" w:eastAsiaTheme="minorEastAsia" w:cstheme="minorEastAsia"/>
          <w:b/>
          <w:color w:val="000000" w:themeColor="text1"/>
          <w:kern w:val="44"/>
          <w:sz w:val="36"/>
          <w:szCs w:val="36"/>
          <w:highlight w:val="none"/>
          <w14:textFill>
            <w14:solidFill>
              <w14:schemeClr w14:val="tx1"/>
            </w14:solidFill>
          </w14:textFill>
        </w:rPr>
      </w:pPr>
      <w:bookmarkStart w:id="629" w:name="_Toc466640622"/>
      <w:bookmarkStart w:id="630" w:name="_Toc9802"/>
      <w:bookmarkStart w:id="631" w:name="_Toc3894"/>
      <w:bookmarkStart w:id="632" w:name="_Toc420"/>
      <w:bookmarkStart w:id="633" w:name="_Toc32097"/>
      <w:bookmarkStart w:id="634" w:name="_Toc3242"/>
      <w:bookmarkStart w:id="635" w:name="_Toc26594"/>
      <w:bookmarkStart w:id="636" w:name="_Toc1879"/>
      <w:bookmarkStart w:id="637" w:name="_Toc19434"/>
      <w:bookmarkStart w:id="638" w:name="_Toc13641"/>
      <w:r>
        <w:rPr>
          <w:rFonts w:hint="eastAsia" w:asciiTheme="minorEastAsia" w:hAnsiTheme="minorEastAsia" w:eastAsiaTheme="minorEastAsia" w:cstheme="minorEastAsia"/>
          <w:b/>
          <w:color w:val="000000" w:themeColor="text1"/>
          <w:kern w:val="44"/>
          <w:sz w:val="36"/>
          <w:szCs w:val="36"/>
          <w:highlight w:val="none"/>
          <w14:textFill>
            <w14:solidFill>
              <w14:schemeClr w14:val="tx1"/>
            </w14:solidFill>
          </w14:textFill>
        </w:rPr>
        <w:t>第</w:t>
      </w:r>
      <w:r>
        <w:rPr>
          <w:rFonts w:hint="eastAsia" w:asciiTheme="minorEastAsia" w:hAnsiTheme="minorEastAsia" w:eastAsiaTheme="minorEastAsia" w:cstheme="minorEastAsia"/>
          <w:b/>
          <w:color w:val="000000" w:themeColor="text1"/>
          <w:kern w:val="44"/>
          <w:sz w:val="36"/>
          <w:szCs w:val="36"/>
          <w:highlight w:val="none"/>
          <w:lang w:val="en-US" w:eastAsia="zh-CN"/>
          <w14:textFill>
            <w14:solidFill>
              <w14:schemeClr w14:val="tx1"/>
            </w14:solidFill>
          </w14:textFill>
        </w:rPr>
        <w:t>八</w:t>
      </w:r>
      <w:r>
        <w:rPr>
          <w:rFonts w:hint="eastAsia" w:asciiTheme="minorEastAsia" w:hAnsiTheme="minorEastAsia" w:eastAsiaTheme="minorEastAsia" w:cstheme="minorEastAsia"/>
          <w:b/>
          <w:color w:val="000000" w:themeColor="text1"/>
          <w:kern w:val="44"/>
          <w:sz w:val="36"/>
          <w:szCs w:val="36"/>
          <w:highlight w:val="none"/>
          <w14:textFill>
            <w14:solidFill>
              <w14:schemeClr w14:val="tx1"/>
            </w14:solidFill>
          </w14:textFill>
        </w:rPr>
        <w:t xml:space="preserve">章  </w:t>
      </w:r>
      <w:bookmarkEnd w:id="486"/>
      <w:bookmarkEnd w:id="487"/>
      <w:bookmarkEnd w:id="488"/>
      <w:bookmarkEnd w:id="489"/>
      <w:bookmarkEnd w:id="629"/>
      <w:r>
        <w:rPr>
          <w:rFonts w:hint="eastAsia" w:asciiTheme="minorEastAsia" w:hAnsiTheme="minorEastAsia" w:eastAsiaTheme="minorEastAsia" w:cstheme="minorEastAsia"/>
          <w:b/>
          <w:color w:val="000000" w:themeColor="text1"/>
          <w:kern w:val="44"/>
          <w:sz w:val="36"/>
          <w:szCs w:val="36"/>
          <w:highlight w:val="none"/>
          <w14:textFill>
            <w14:solidFill>
              <w14:schemeClr w14:val="tx1"/>
            </w14:solidFill>
          </w14:textFill>
        </w:rPr>
        <w:t>建设工程合同</w:t>
      </w:r>
      <w:bookmarkEnd w:id="630"/>
      <w:bookmarkEnd w:id="631"/>
      <w:bookmarkEnd w:id="632"/>
      <w:bookmarkEnd w:id="633"/>
      <w:bookmarkEnd w:id="634"/>
      <w:bookmarkEnd w:id="635"/>
      <w:bookmarkEnd w:id="636"/>
      <w:bookmarkEnd w:id="637"/>
      <w:bookmarkEnd w:id="638"/>
    </w:p>
    <w:p w14:paraId="2B1FD30E">
      <w:pPr>
        <w:rPr>
          <w:rFonts w:hint="eastAsia" w:asciiTheme="minorEastAsia" w:hAnsiTheme="minorEastAsia" w:eastAsiaTheme="minorEastAsia" w:cstheme="minorEastAsia"/>
          <w:color w:val="000000" w:themeColor="text1"/>
          <w:highlight w:val="none"/>
          <w14:textFill>
            <w14:solidFill>
              <w14:schemeClr w14:val="tx1"/>
            </w14:solidFill>
          </w14:textFill>
        </w:rPr>
      </w:pPr>
    </w:p>
    <w:bookmarkEnd w:id="490"/>
    <w:bookmarkEnd w:id="491"/>
    <w:p w14:paraId="429AE631">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略。总承包合同参照住房城乡建设部、国家工商行政管理总局制定的《建设项目工程总承包合同（示范文本）》GF-2020-0216。</w:t>
      </w:r>
    </w:p>
    <w:p w14:paraId="33E07525">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施工合同按广东省建设厅《广东省建设工程标准施工合同》范本（2009）执行。</w:t>
      </w:r>
    </w:p>
    <w:p w14:paraId="36D352AB">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设计合同按住房城乡建设部、国家工商行政管理总局制定《建设工程设计合同示范文本（专业建设工程）》（GF-2015-0210）执行。 </w:t>
      </w:r>
    </w:p>
    <w:p w14:paraId="388C85E6">
      <w:pPr>
        <w:spacing w:line="420" w:lineRule="atLeast"/>
        <w:ind w:firstLine="480" w:firstLineChars="200"/>
        <w:rPr>
          <w:rFonts w:hint="eastAsia" w:asciiTheme="minorEastAsia" w:hAnsiTheme="minorEastAsia" w:eastAsiaTheme="minorEastAsia" w:cstheme="minorEastAsia"/>
          <w:color w:val="000000" w:themeColor="text1"/>
          <w:highlight w:val="none"/>
          <w14:textFill>
            <w14:solidFill>
              <w14:schemeClr w14:val="tx1"/>
            </w14:solidFill>
          </w14:textFill>
        </w:rPr>
      </w:pPr>
    </w:p>
    <w:p w14:paraId="6D486A02">
      <w:pPr>
        <w:spacing w:line="420" w:lineRule="atLeast"/>
        <w:ind w:firstLine="480" w:firstLineChars="200"/>
        <w:rPr>
          <w:rFonts w:hint="eastAsia" w:asciiTheme="minorEastAsia" w:hAnsiTheme="minorEastAsia" w:eastAsiaTheme="minorEastAsia" w:cstheme="minorEastAsia"/>
          <w:color w:val="000000" w:themeColor="text1"/>
          <w:highlight w:val="none"/>
          <w14:textFill>
            <w14:solidFill>
              <w14:schemeClr w14:val="tx1"/>
            </w14:solidFill>
          </w14:textFill>
        </w:rPr>
      </w:pPr>
    </w:p>
    <w:p w14:paraId="3084AB20">
      <w:pPr>
        <w:rPr>
          <w:rFonts w:hint="eastAsia" w:asciiTheme="minorEastAsia" w:hAnsiTheme="minorEastAsia" w:eastAsiaTheme="minorEastAsia" w:cstheme="minorEastAsia"/>
          <w:color w:val="000000" w:themeColor="text1"/>
          <w:highlight w:val="none"/>
          <w14:textFill>
            <w14:solidFill>
              <w14:schemeClr w14:val="tx1"/>
            </w14:solidFill>
          </w14:textFill>
        </w:rPr>
      </w:pPr>
    </w:p>
    <w:sectPr>
      <w:endnotePr>
        <w:numFmt w:val="decimal"/>
      </w:endnotePr>
      <w:pgSz w:w="11907" w:h="16840"/>
      <w:pgMar w:top="1134" w:right="1134" w:bottom="1021" w:left="1418" w:header="567" w:footer="510" w:gutter="0"/>
      <w:pgNumType w:fmt="decimal"/>
      <w:cols w:space="720" w:num="1"/>
      <w:docGrid w:type="lines" w:linePitch="27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7F"/>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Bodoni MT">
    <w:altName w:val="Segoe Print"/>
    <w:panose1 w:val="02070603080606020203"/>
    <w:charset w:val="00"/>
    <w:family w:val="roman"/>
    <w:pitch w:val="default"/>
    <w:sig w:usb0="00000000" w:usb1="00000000" w:usb2="00000000" w:usb3="00000000" w:csb0="20000001" w:csb1="00000000"/>
  </w:font>
  <w:font w:name="Segoe Print">
    <w:panose1 w:val="02000600000000000000"/>
    <w:charset w:val="00"/>
    <w:family w:val="auto"/>
    <w:pitch w:val="default"/>
    <w:sig w:usb0="0000028F" w:usb1="00000000" w:usb2="00000000" w:usb3="00000000" w:csb0="2000009F" w:csb1="47010000"/>
  </w:font>
  <w:font w:name="华文新魏">
    <w:altName w:val="宋体"/>
    <w:panose1 w:val="0201080004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6F91F8">
    <w:pPr>
      <w:pStyle w:val="70"/>
      <w:tabs>
        <w:tab w:val="left" w:pos="4803"/>
        <w:tab w:val="clear" w:pos="4153"/>
      </w:tabs>
    </w:pPr>
    <w:r>
      <w:rPr>
        <w:rFonts w:hint="eastAsia"/>
      </w:rPr>
      <w:tab/>
    </w:r>
  </w:p>
  <w:p w14:paraId="4AFCE7F2">
    <w:pPr>
      <w:pStyle w:val="7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57DE61">
    <w:pPr>
      <w:pStyle w:val="70"/>
      <w:tabs>
        <w:tab w:val="left" w:pos="4803"/>
        <w:tab w:val="clear" w:pos="4153"/>
      </w:tabs>
    </w:pPr>
    <w:r>
      <w:rPr>
        <w:rFonts w:hint="eastAsia"/>
      </w:rPr>
      <w:tab/>
    </w:r>
  </w:p>
  <w:p w14:paraId="686904C8">
    <w:pPr>
      <w:pStyle w:val="7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A45C18">
    <w:pPr>
      <w:pStyle w:val="70"/>
      <w:tabs>
        <w:tab w:val="left" w:pos="4803"/>
        <w:tab w:val="clear" w:pos="4153"/>
      </w:tabs>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70430D3">
                          <w:pPr>
                            <w:pStyle w:val="13"/>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pfMzMkBAACZ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V1S4rjFgZ9//jj/ejw/fCdv&#10;sjx9gBqz7gLmpeG9H3BpZj+gM7MeVLT5i3wIxlHc00VcOSQi8qPVcrWqMCQwNl8Qnz09DxHSB+kt&#10;yUZDI06viMqPnyCNqXNKrub8rTamTNC4vxyImT0s9z72mK007IaJ0M63J+TT4+Ab6nDPKTEfHeqa&#10;d2Q24mzsZuMQot53ZYlyPQjvDgmbKL3lCiPsVBgnVthN25VX4s97yXr6oz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yl8zMyQEAAJkDAAAOAAAAAAAAAAEAIAAAAB4BAABkcnMvZTJvRG9j&#10;LnhtbFBLBQYAAAAABgAGAFkBAABZBQAAAAA=&#10;">
              <v:fill on="f" focussize="0,0"/>
              <v:stroke on="f"/>
              <v:imagedata o:title=""/>
              <o:lock v:ext="edit" aspectratio="f"/>
              <v:textbox inset="0mm,0mm,0mm,0mm" style="mso-fit-shape-to-text:t;">
                <w:txbxContent>
                  <w:p w14:paraId="370430D3">
                    <w:pPr>
                      <w:pStyle w:val="13"/>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rPr>
      <w:tab/>
    </w:r>
  </w:p>
  <w:p w14:paraId="5C7F47BF">
    <w:pPr>
      <w:pStyle w:val="7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AFFD58">
    <w:pPr>
      <w:pStyle w:val="70"/>
      <w:tabs>
        <w:tab w:val="left" w:pos="4803"/>
        <w:tab w:val="clear" w:pos="4153"/>
      </w:tabs>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01000AA">
                          <w:pPr>
                            <w:pStyle w:val="13"/>
                          </w:pPr>
                          <w:r>
                            <w:fldChar w:fldCharType="begin"/>
                          </w:r>
                          <w:r>
                            <w:instrText xml:space="preserve"> PAGE  \* MERGEFORMAT </w:instrText>
                          </w:r>
                          <w:r>
                            <w:fldChar w:fldCharType="separate"/>
                          </w:r>
                          <w:r>
                            <w:t>105</w:t>
                          </w:r>
                          <w:r>
                            <w:fldChar w:fldCharType="end"/>
                          </w:r>
                        </w:p>
                      </w:txbxContent>
                    </wps:txbx>
                    <wps:bodyPr wrap="none" lIns="0" tIns="0" rIns="0" bIns="0" upright="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C8Xv7yQEAAJkDAAAOAAAAAAAAAAEAIAAAAB4BAABkcnMvZTJvRG9j&#10;LnhtbFBLBQYAAAAABgAGAFkBAABZBQAAAAA=&#10;">
              <v:fill on="f" focussize="0,0"/>
              <v:stroke on="f"/>
              <v:imagedata o:title=""/>
              <o:lock v:ext="edit" aspectratio="f"/>
              <v:textbox inset="0mm,0mm,0mm,0mm" style="mso-fit-shape-to-text:t;">
                <w:txbxContent>
                  <w:p w14:paraId="701000AA">
                    <w:pPr>
                      <w:pStyle w:val="13"/>
                    </w:pPr>
                    <w:r>
                      <w:fldChar w:fldCharType="begin"/>
                    </w:r>
                    <w:r>
                      <w:instrText xml:space="preserve"> PAGE  \* MERGEFORMAT </w:instrText>
                    </w:r>
                    <w:r>
                      <w:fldChar w:fldCharType="separate"/>
                    </w:r>
                    <w:r>
                      <w:t>105</w:t>
                    </w:r>
                    <w:r>
                      <w:fldChar w:fldCharType="end"/>
                    </w:r>
                  </w:p>
                </w:txbxContent>
              </v:textbox>
            </v:shape>
          </w:pict>
        </mc:Fallback>
      </mc:AlternateContent>
    </w:r>
    <w:r>
      <w:rPr>
        <w:rFonts w:hint="eastAsia"/>
      </w:rPr>
      <w:tab/>
    </w:r>
  </w:p>
  <w:p w14:paraId="73FD3302">
    <w:pPr>
      <w:pStyle w:val="7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17BD87">
    <w:pPr>
      <w:pStyle w:val="13"/>
      <w:jc w:val="center"/>
      <w:rPr>
        <w:rFonts w:hint="default"/>
        <w:szCs w:val="24"/>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1D0D853">
                          <w:pPr>
                            <w:pStyle w:val="13"/>
                          </w:pPr>
                          <w:r>
                            <w:fldChar w:fldCharType="begin"/>
                          </w:r>
                          <w:r>
                            <w:instrText xml:space="preserve"> PAGE  \* MERGEFORMAT </w:instrText>
                          </w:r>
                          <w:r>
                            <w:fldChar w:fldCharType="separate"/>
                          </w:r>
                          <w:r>
                            <w:t>117</w:t>
                          </w:r>
                          <w:r>
                            <w:fldChar w:fldCharType="end"/>
                          </w:r>
                        </w:p>
                      </w:txbxContent>
                    </wps:txbx>
                    <wps:bodyPr wrap="none" lIns="0" tIns="0" rIns="0" bIns="0" upright="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W1TIQyQEAAJkDAAAOAAAAAAAAAAEAIAAAAB4BAABkcnMvZTJvRG9j&#10;LnhtbFBLBQYAAAAABgAGAFkBAABZBQAAAAA=&#10;">
              <v:fill on="f" focussize="0,0"/>
              <v:stroke on="f"/>
              <v:imagedata o:title=""/>
              <o:lock v:ext="edit" aspectratio="f"/>
              <v:textbox inset="0mm,0mm,0mm,0mm" style="mso-fit-shape-to-text:t;">
                <w:txbxContent>
                  <w:p w14:paraId="61D0D853">
                    <w:pPr>
                      <w:pStyle w:val="13"/>
                    </w:pPr>
                    <w:r>
                      <w:fldChar w:fldCharType="begin"/>
                    </w:r>
                    <w:r>
                      <w:instrText xml:space="preserve"> PAGE  \* MERGEFORMAT </w:instrText>
                    </w:r>
                    <w:r>
                      <w:fldChar w:fldCharType="separate"/>
                    </w:r>
                    <w:r>
                      <w:t>117</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51C487">
    <w:pPr>
      <w:jc w:val="center"/>
      <w:rPr>
        <w:rFonts w:hint="default"/>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34B371">
    <w:pPr>
      <w:pStyle w:val="14"/>
      <w:pBdr>
        <w:bottom w:val="none" w:color="auto" w:sz="0" w:space="0"/>
      </w:pBdr>
      <w:rPr>
        <w:rFonts w:hint="defaul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52DEF9"/>
    <w:multiLevelType w:val="singleLevel"/>
    <w:tmpl w:val="8152DEF9"/>
    <w:lvl w:ilvl="0" w:tentative="0">
      <w:start w:val="1"/>
      <w:numFmt w:val="decimal"/>
      <w:suff w:val="nothing"/>
      <w:lvlText w:val="（%1）"/>
      <w:lvlJc w:val="left"/>
    </w:lvl>
  </w:abstractNum>
  <w:abstractNum w:abstractNumId="1">
    <w:nsid w:val="9A22DE3C"/>
    <w:multiLevelType w:val="singleLevel"/>
    <w:tmpl w:val="9A22DE3C"/>
    <w:lvl w:ilvl="0" w:tentative="0">
      <w:start w:val="5"/>
      <w:numFmt w:val="decimal"/>
      <w:suff w:val="space"/>
      <w:lvlText w:val="%1."/>
      <w:lvlJc w:val="left"/>
    </w:lvl>
  </w:abstractNum>
  <w:abstractNum w:abstractNumId="2">
    <w:nsid w:val="C099E3A4"/>
    <w:multiLevelType w:val="singleLevel"/>
    <w:tmpl w:val="C099E3A4"/>
    <w:lvl w:ilvl="0" w:tentative="0">
      <w:start w:val="1"/>
      <w:numFmt w:val="chineseCounting"/>
      <w:suff w:val="nothing"/>
      <w:lvlText w:val="第%1、"/>
      <w:lvlJc w:val="left"/>
      <w:rPr>
        <w:rFonts w:hint="eastAsia"/>
      </w:rPr>
    </w:lvl>
  </w:abstractNum>
  <w:abstractNum w:abstractNumId="3">
    <w:nsid w:val="CFABDD9F"/>
    <w:multiLevelType w:val="singleLevel"/>
    <w:tmpl w:val="CFABDD9F"/>
    <w:lvl w:ilvl="0" w:tentative="0">
      <w:start w:val="1"/>
      <w:numFmt w:val="decimal"/>
      <w:suff w:val="nothing"/>
      <w:lvlText w:val="（%1）"/>
      <w:lvlJc w:val="left"/>
    </w:lvl>
  </w:abstractNum>
  <w:abstractNum w:abstractNumId="4">
    <w:nsid w:val="00000009"/>
    <w:multiLevelType w:val="multilevel"/>
    <w:tmpl w:val="00000009"/>
    <w:lvl w:ilvl="0" w:tentative="0">
      <w:start w:val="1"/>
      <w:numFmt w:val="bullet"/>
      <w:lvlText w:val=""/>
      <w:lvlJc w:val="left"/>
      <w:pPr>
        <w:tabs>
          <w:tab w:val="left" w:pos="420"/>
        </w:tabs>
        <w:ind w:left="420" w:hanging="420"/>
      </w:pPr>
      <w:rPr>
        <w:rFonts w:hint="default" w:ascii="Wingdings" w:hAnsi="Wingdings"/>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endnotePr>
    <w:numFmt w:val="decimal"/>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NjNTZhM2Y3Y2VjMzYxMDhmOTE1NzQzN2U4NjM5NzEifQ=="/>
    <w:docVar w:name="KSO_WPS_MARK_KEY" w:val="2b56eff9-4bef-4219-8874-9567fb1cde91"/>
  </w:docVars>
  <w:rsids>
    <w:rsidRoot w:val="4C5944B1"/>
    <w:rsid w:val="000701C4"/>
    <w:rsid w:val="000B7698"/>
    <w:rsid w:val="000F7646"/>
    <w:rsid w:val="0011760F"/>
    <w:rsid w:val="001E0850"/>
    <w:rsid w:val="00281ECB"/>
    <w:rsid w:val="002F176F"/>
    <w:rsid w:val="003A1942"/>
    <w:rsid w:val="003B643A"/>
    <w:rsid w:val="003E2709"/>
    <w:rsid w:val="004218C1"/>
    <w:rsid w:val="004B2B21"/>
    <w:rsid w:val="004F7FD5"/>
    <w:rsid w:val="0055689E"/>
    <w:rsid w:val="005E6BB8"/>
    <w:rsid w:val="0064163D"/>
    <w:rsid w:val="007C3F91"/>
    <w:rsid w:val="008C4168"/>
    <w:rsid w:val="00901845"/>
    <w:rsid w:val="00936991"/>
    <w:rsid w:val="00943625"/>
    <w:rsid w:val="00954357"/>
    <w:rsid w:val="00954A54"/>
    <w:rsid w:val="009E5347"/>
    <w:rsid w:val="00A322B9"/>
    <w:rsid w:val="00A80EA7"/>
    <w:rsid w:val="00AF1302"/>
    <w:rsid w:val="00AF685C"/>
    <w:rsid w:val="00B16179"/>
    <w:rsid w:val="00B37196"/>
    <w:rsid w:val="00C04E0C"/>
    <w:rsid w:val="00C11035"/>
    <w:rsid w:val="00CB07F4"/>
    <w:rsid w:val="00CB4007"/>
    <w:rsid w:val="00CD4D5B"/>
    <w:rsid w:val="00D561CD"/>
    <w:rsid w:val="00DA5A23"/>
    <w:rsid w:val="00DF3269"/>
    <w:rsid w:val="00E76514"/>
    <w:rsid w:val="00ED4B12"/>
    <w:rsid w:val="00EF5BA2"/>
    <w:rsid w:val="00F95669"/>
    <w:rsid w:val="010F7FF3"/>
    <w:rsid w:val="01284AF4"/>
    <w:rsid w:val="012C10F1"/>
    <w:rsid w:val="012F41F1"/>
    <w:rsid w:val="016A5229"/>
    <w:rsid w:val="01A93FA3"/>
    <w:rsid w:val="01C53654"/>
    <w:rsid w:val="01E704A0"/>
    <w:rsid w:val="01F123E4"/>
    <w:rsid w:val="02251150"/>
    <w:rsid w:val="0233386D"/>
    <w:rsid w:val="025D633B"/>
    <w:rsid w:val="026305F6"/>
    <w:rsid w:val="02665093"/>
    <w:rsid w:val="02673FAD"/>
    <w:rsid w:val="026954E1"/>
    <w:rsid w:val="027F7030"/>
    <w:rsid w:val="028E13EB"/>
    <w:rsid w:val="029933CC"/>
    <w:rsid w:val="02AE55E9"/>
    <w:rsid w:val="02AE7397"/>
    <w:rsid w:val="02D70973"/>
    <w:rsid w:val="02D84414"/>
    <w:rsid w:val="02E1151B"/>
    <w:rsid w:val="032C3B6B"/>
    <w:rsid w:val="033923C2"/>
    <w:rsid w:val="0348159A"/>
    <w:rsid w:val="03724869"/>
    <w:rsid w:val="0385459C"/>
    <w:rsid w:val="0385634A"/>
    <w:rsid w:val="038A7E04"/>
    <w:rsid w:val="038C5CCB"/>
    <w:rsid w:val="03B44328"/>
    <w:rsid w:val="03C50E3C"/>
    <w:rsid w:val="03D319EF"/>
    <w:rsid w:val="03F46BE4"/>
    <w:rsid w:val="041A1188"/>
    <w:rsid w:val="042E69E2"/>
    <w:rsid w:val="04360B53"/>
    <w:rsid w:val="04854128"/>
    <w:rsid w:val="049727D9"/>
    <w:rsid w:val="04C72908"/>
    <w:rsid w:val="04EA57F9"/>
    <w:rsid w:val="051E25B2"/>
    <w:rsid w:val="052027CE"/>
    <w:rsid w:val="05542478"/>
    <w:rsid w:val="05850CBC"/>
    <w:rsid w:val="05997E8B"/>
    <w:rsid w:val="05F477B7"/>
    <w:rsid w:val="06204F50"/>
    <w:rsid w:val="064E3EFE"/>
    <w:rsid w:val="06656ADB"/>
    <w:rsid w:val="06782196"/>
    <w:rsid w:val="06826B71"/>
    <w:rsid w:val="068308FE"/>
    <w:rsid w:val="068A58D2"/>
    <w:rsid w:val="0694486B"/>
    <w:rsid w:val="06F37A6F"/>
    <w:rsid w:val="06FF1426"/>
    <w:rsid w:val="07283BBC"/>
    <w:rsid w:val="07312D1A"/>
    <w:rsid w:val="07351E35"/>
    <w:rsid w:val="0741366C"/>
    <w:rsid w:val="074A1D85"/>
    <w:rsid w:val="075E313A"/>
    <w:rsid w:val="077C17D7"/>
    <w:rsid w:val="07A10088"/>
    <w:rsid w:val="07A76DE7"/>
    <w:rsid w:val="07C21547"/>
    <w:rsid w:val="07C40809"/>
    <w:rsid w:val="07E07279"/>
    <w:rsid w:val="07E13D6B"/>
    <w:rsid w:val="07E8334B"/>
    <w:rsid w:val="081E0766"/>
    <w:rsid w:val="082D0D5E"/>
    <w:rsid w:val="082D559A"/>
    <w:rsid w:val="083E11BD"/>
    <w:rsid w:val="08915791"/>
    <w:rsid w:val="08AA23AF"/>
    <w:rsid w:val="08C47915"/>
    <w:rsid w:val="08E27D9B"/>
    <w:rsid w:val="08E51639"/>
    <w:rsid w:val="08F54BC3"/>
    <w:rsid w:val="08FD6983"/>
    <w:rsid w:val="092752BD"/>
    <w:rsid w:val="09AD2157"/>
    <w:rsid w:val="09B554AF"/>
    <w:rsid w:val="09C86F91"/>
    <w:rsid w:val="09DC0C8E"/>
    <w:rsid w:val="09EB1836"/>
    <w:rsid w:val="0A006D29"/>
    <w:rsid w:val="0A0159BF"/>
    <w:rsid w:val="0A1421D6"/>
    <w:rsid w:val="0A3D0CAE"/>
    <w:rsid w:val="0A560A40"/>
    <w:rsid w:val="0A5C2888"/>
    <w:rsid w:val="0A6F38B0"/>
    <w:rsid w:val="0A873975"/>
    <w:rsid w:val="0A9E2D09"/>
    <w:rsid w:val="0AB358B7"/>
    <w:rsid w:val="0AB36DB1"/>
    <w:rsid w:val="0AB80DB3"/>
    <w:rsid w:val="0AD7112E"/>
    <w:rsid w:val="0AF75192"/>
    <w:rsid w:val="0AFD4502"/>
    <w:rsid w:val="0B472137"/>
    <w:rsid w:val="0B633415"/>
    <w:rsid w:val="0B6D7317"/>
    <w:rsid w:val="0B8D2240"/>
    <w:rsid w:val="0BDA37C7"/>
    <w:rsid w:val="0C183B2E"/>
    <w:rsid w:val="0C1B5A9E"/>
    <w:rsid w:val="0C3C08C2"/>
    <w:rsid w:val="0C5C7E64"/>
    <w:rsid w:val="0C7358DA"/>
    <w:rsid w:val="0C782EF0"/>
    <w:rsid w:val="0C7D5BCC"/>
    <w:rsid w:val="0C8B1D7C"/>
    <w:rsid w:val="0C8F023A"/>
    <w:rsid w:val="0C8F45CB"/>
    <w:rsid w:val="0CBC40CB"/>
    <w:rsid w:val="0CC53C5B"/>
    <w:rsid w:val="0CDD0FA5"/>
    <w:rsid w:val="0CE869F8"/>
    <w:rsid w:val="0D1B00F8"/>
    <w:rsid w:val="0D2B56E9"/>
    <w:rsid w:val="0D533015"/>
    <w:rsid w:val="0D5374B9"/>
    <w:rsid w:val="0D70006B"/>
    <w:rsid w:val="0D724D63"/>
    <w:rsid w:val="0D73211D"/>
    <w:rsid w:val="0D7C6A10"/>
    <w:rsid w:val="0D8D045B"/>
    <w:rsid w:val="0D9642F0"/>
    <w:rsid w:val="0DA63A8D"/>
    <w:rsid w:val="0DB937C0"/>
    <w:rsid w:val="0DBB25A8"/>
    <w:rsid w:val="0DC53787"/>
    <w:rsid w:val="0DD423A8"/>
    <w:rsid w:val="0DDA28D6"/>
    <w:rsid w:val="0DE6650F"/>
    <w:rsid w:val="0DEF37FE"/>
    <w:rsid w:val="0DF73507"/>
    <w:rsid w:val="0DFA207C"/>
    <w:rsid w:val="0E172E1A"/>
    <w:rsid w:val="0E4F7C80"/>
    <w:rsid w:val="0E554708"/>
    <w:rsid w:val="0E554C7C"/>
    <w:rsid w:val="0E625C06"/>
    <w:rsid w:val="0E86165D"/>
    <w:rsid w:val="0EAC0C2F"/>
    <w:rsid w:val="0EAD0264"/>
    <w:rsid w:val="0EB3119A"/>
    <w:rsid w:val="0F0A0D37"/>
    <w:rsid w:val="0F3E448E"/>
    <w:rsid w:val="0F4E10F7"/>
    <w:rsid w:val="0F640D2F"/>
    <w:rsid w:val="0F670CCA"/>
    <w:rsid w:val="0F930041"/>
    <w:rsid w:val="0FB14F6D"/>
    <w:rsid w:val="0FB24E29"/>
    <w:rsid w:val="0FE20680"/>
    <w:rsid w:val="0FE90846"/>
    <w:rsid w:val="0FF26B15"/>
    <w:rsid w:val="1001144E"/>
    <w:rsid w:val="101C0036"/>
    <w:rsid w:val="10264A11"/>
    <w:rsid w:val="102869DB"/>
    <w:rsid w:val="102D3FF1"/>
    <w:rsid w:val="104D4694"/>
    <w:rsid w:val="10667503"/>
    <w:rsid w:val="10725EA8"/>
    <w:rsid w:val="10855BDB"/>
    <w:rsid w:val="10AA7A66"/>
    <w:rsid w:val="10BD6F35"/>
    <w:rsid w:val="10CD6B01"/>
    <w:rsid w:val="10DA3734"/>
    <w:rsid w:val="11584D75"/>
    <w:rsid w:val="1180428A"/>
    <w:rsid w:val="11845E93"/>
    <w:rsid w:val="11D83F48"/>
    <w:rsid w:val="11DB4B38"/>
    <w:rsid w:val="11F8418B"/>
    <w:rsid w:val="121511E1"/>
    <w:rsid w:val="123E21E9"/>
    <w:rsid w:val="13156E63"/>
    <w:rsid w:val="131F5532"/>
    <w:rsid w:val="13223BB5"/>
    <w:rsid w:val="13367661"/>
    <w:rsid w:val="13426006"/>
    <w:rsid w:val="13451652"/>
    <w:rsid w:val="13491142"/>
    <w:rsid w:val="134F44BE"/>
    <w:rsid w:val="136E0B00"/>
    <w:rsid w:val="13734957"/>
    <w:rsid w:val="13803ED5"/>
    <w:rsid w:val="13963C5C"/>
    <w:rsid w:val="13BD0DD3"/>
    <w:rsid w:val="13E66B49"/>
    <w:rsid w:val="13F37300"/>
    <w:rsid w:val="143C0CA7"/>
    <w:rsid w:val="14430A9C"/>
    <w:rsid w:val="144E2788"/>
    <w:rsid w:val="148F7029"/>
    <w:rsid w:val="149763D6"/>
    <w:rsid w:val="14AF1479"/>
    <w:rsid w:val="14BB4DC8"/>
    <w:rsid w:val="14C3348E"/>
    <w:rsid w:val="14D53AC2"/>
    <w:rsid w:val="14E1675A"/>
    <w:rsid w:val="14E32ED1"/>
    <w:rsid w:val="14EC447B"/>
    <w:rsid w:val="150A49B0"/>
    <w:rsid w:val="1525173B"/>
    <w:rsid w:val="15292570"/>
    <w:rsid w:val="15A44D56"/>
    <w:rsid w:val="15B7490E"/>
    <w:rsid w:val="15BC4477"/>
    <w:rsid w:val="15C72DBA"/>
    <w:rsid w:val="15D942D4"/>
    <w:rsid w:val="160E6248"/>
    <w:rsid w:val="161F586A"/>
    <w:rsid w:val="16201F02"/>
    <w:rsid w:val="162D60F2"/>
    <w:rsid w:val="163634D4"/>
    <w:rsid w:val="164E4741"/>
    <w:rsid w:val="165F2A2B"/>
    <w:rsid w:val="168B3820"/>
    <w:rsid w:val="16E178E4"/>
    <w:rsid w:val="16E66CA8"/>
    <w:rsid w:val="172A1B84"/>
    <w:rsid w:val="175E7186"/>
    <w:rsid w:val="17836BED"/>
    <w:rsid w:val="17A60298"/>
    <w:rsid w:val="17AF3CDA"/>
    <w:rsid w:val="17B73663"/>
    <w:rsid w:val="17C90AA4"/>
    <w:rsid w:val="17E3163D"/>
    <w:rsid w:val="17FF3E14"/>
    <w:rsid w:val="182A7068"/>
    <w:rsid w:val="18426433"/>
    <w:rsid w:val="185778BA"/>
    <w:rsid w:val="18770500"/>
    <w:rsid w:val="18AE7C99"/>
    <w:rsid w:val="18DC49E3"/>
    <w:rsid w:val="18E25825"/>
    <w:rsid w:val="18F546F2"/>
    <w:rsid w:val="1912647A"/>
    <w:rsid w:val="19212219"/>
    <w:rsid w:val="19363AFA"/>
    <w:rsid w:val="19632661"/>
    <w:rsid w:val="196547FC"/>
    <w:rsid w:val="196640D0"/>
    <w:rsid w:val="196A1E12"/>
    <w:rsid w:val="19866520"/>
    <w:rsid w:val="19A370D2"/>
    <w:rsid w:val="19B600B0"/>
    <w:rsid w:val="19B72B7E"/>
    <w:rsid w:val="19CB261C"/>
    <w:rsid w:val="19CB4621"/>
    <w:rsid w:val="19CF6119"/>
    <w:rsid w:val="19F37903"/>
    <w:rsid w:val="1A04743A"/>
    <w:rsid w:val="1A204BC7"/>
    <w:rsid w:val="1A241393"/>
    <w:rsid w:val="1A3B37AF"/>
    <w:rsid w:val="1A495ECC"/>
    <w:rsid w:val="1A602AAD"/>
    <w:rsid w:val="1A846F04"/>
    <w:rsid w:val="1A8506D5"/>
    <w:rsid w:val="1A937147"/>
    <w:rsid w:val="1AA41354"/>
    <w:rsid w:val="1AA650CC"/>
    <w:rsid w:val="1AC63078"/>
    <w:rsid w:val="1ACF42A1"/>
    <w:rsid w:val="1AE479A2"/>
    <w:rsid w:val="1B1742F2"/>
    <w:rsid w:val="1B283D33"/>
    <w:rsid w:val="1B2E4C6C"/>
    <w:rsid w:val="1B5003E0"/>
    <w:rsid w:val="1B5F6903"/>
    <w:rsid w:val="1B6034CD"/>
    <w:rsid w:val="1B690B70"/>
    <w:rsid w:val="1B754A9E"/>
    <w:rsid w:val="1B8076CB"/>
    <w:rsid w:val="1B8A59D6"/>
    <w:rsid w:val="1B8D3829"/>
    <w:rsid w:val="1B99253B"/>
    <w:rsid w:val="1BAF4AA0"/>
    <w:rsid w:val="1BC03F6C"/>
    <w:rsid w:val="1BC05D1A"/>
    <w:rsid w:val="1BC11A92"/>
    <w:rsid w:val="1BC62A56"/>
    <w:rsid w:val="1BF80445"/>
    <w:rsid w:val="1C01417E"/>
    <w:rsid w:val="1C4C1CA3"/>
    <w:rsid w:val="1C6061C5"/>
    <w:rsid w:val="1C856F63"/>
    <w:rsid w:val="1C8925AF"/>
    <w:rsid w:val="1C8F1025"/>
    <w:rsid w:val="1C9A1142"/>
    <w:rsid w:val="1C9F0025"/>
    <w:rsid w:val="1CD221A8"/>
    <w:rsid w:val="1CDD25B2"/>
    <w:rsid w:val="1CDD28FB"/>
    <w:rsid w:val="1CDE71ED"/>
    <w:rsid w:val="1D326551"/>
    <w:rsid w:val="1D53167C"/>
    <w:rsid w:val="1D6D509A"/>
    <w:rsid w:val="1D750002"/>
    <w:rsid w:val="1D7B63DC"/>
    <w:rsid w:val="1D882867"/>
    <w:rsid w:val="1DB4365C"/>
    <w:rsid w:val="1DB7314C"/>
    <w:rsid w:val="1DC615E1"/>
    <w:rsid w:val="1DC85359"/>
    <w:rsid w:val="1DCF0496"/>
    <w:rsid w:val="1DE504BC"/>
    <w:rsid w:val="1DEB51E9"/>
    <w:rsid w:val="1DF36C85"/>
    <w:rsid w:val="1E0839A8"/>
    <w:rsid w:val="1E29229C"/>
    <w:rsid w:val="1E480248"/>
    <w:rsid w:val="1E5310C7"/>
    <w:rsid w:val="1E787E3F"/>
    <w:rsid w:val="1E896032"/>
    <w:rsid w:val="1EBA1146"/>
    <w:rsid w:val="1ED02718"/>
    <w:rsid w:val="1EFD7044"/>
    <w:rsid w:val="1F0B09EA"/>
    <w:rsid w:val="1F1F3C4D"/>
    <w:rsid w:val="1F26208B"/>
    <w:rsid w:val="1F27633C"/>
    <w:rsid w:val="1F4549D5"/>
    <w:rsid w:val="1F505606"/>
    <w:rsid w:val="1F657EE2"/>
    <w:rsid w:val="1F7D13AE"/>
    <w:rsid w:val="1F7F413E"/>
    <w:rsid w:val="1F9951FF"/>
    <w:rsid w:val="1FBD45F2"/>
    <w:rsid w:val="1FCA53B9"/>
    <w:rsid w:val="1FD44704"/>
    <w:rsid w:val="1FD81A51"/>
    <w:rsid w:val="1FE65F6B"/>
    <w:rsid w:val="20012DA5"/>
    <w:rsid w:val="201E74B3"/>
    <w:rsid w:val="20315438"/>
    <w:rsid w:val="203865B0"/>
    <w:rsid w:val="205E3D53"/>
    <w:rsid w:val="206C46C2"/>
    <w:rsid w:val="206C6470"/>
    <w:rsid w:val="20941E5C"/>
    <w:rsid w:val="20B144DF"/>
    <w:rsid w:val="20CB32E8"/>
    <w:rsid w:val="20EF49EE"/>
    <w:rsid w:val="21002C45"/>
    <w:rsid w:val="211046C7"/>
    <w:rsid w:val="211D59BC"/>
    <w:rsid w:val="214C62A1"/>
    <w:rsid w:val="21866012"/>
    <w:rsid w:val="21933ED0"/>
    <w:rsid w:val="21DA0780"/>
    <w:rsid w:val="222D1BEC"/>
    <w:rsid w:val="22453D2B"/>
    <w:rsid w:val="2252621C"/>
    <w:rsid w:val="225278E7"/>
    <w:rsid w:val="225615B4"/>
    <w:rsid w:val="225A40A6"/>
    <w:rsid w:val="226E2973"/>
    <w:rsid w:val="22765C1A"/>
    <w:rsid w:val="229B05C6"/>
    <w:rsid w:val="22A26860"/>
    <w:rsid w:val="22B934C3"/>
    <w:rsid w:val="22D10014"/>
    <w:rsid w:val="22DC6741"/>
    <w:rsid w:val="22E42C35"/>
    <w:rsid w:val="22E449E3"/>
    <w:rsid w:val="22F83FEB"/>
    <w:rsid w:val="23007343"/>
    <w:rsid w:val="2305495A"/>
    <w:rsid w:val="230C5CE8"/>
    <w:rsid w:val="232B6437"/>
    <w:rsid w:val="235F6EB5"/>
    <w:rsid w:val="23A2739A"/>
    <w:rsid w:val="23A76437"/>
    <w:rsid w:val="23BE3486"/>
    <w:rsid w:val="23DF51AB"/>
    <w:rsid w:val="23F207FF"/>
    <w:rsid w:val="23F23130"/>
    <w:rsid w:val="242F6132"/>
    <w:rsid w:val="24491954"/>
    <w:rsid w:val="24704055"/>
    <w:rsid w:val="24771887"/>
    <w:rsid w:val="247D50F0"/>
    <w:rsid w:val="24967F5F"/>
    <w:rsid w:val="24B2486E"/>
    <w:rsid w:val="24C3687B"/>
    <w:rsid w:val="24EE1B49"/>
    <w:rsid w:val="250C1FD0"/>
    <w:rsid w:val="25153BB3"/>
    <w:rsid w:val="252717F0"/>
    <w:rsid w:val="253B5A69"/>
    <w:rsid w:val="25651834"/>
    <w:rsid w:val="2578303A"/>
    <w:rsid w:val="257D5076"/>
    <w:rsid w:val="258129BE"/>
    <w:rsid w:val="25893620"/>
    <w:rsid w:val="25972C96"/>
    <w:rsid w:val="259D70CC"/>
    <w:rsid w:val="25A01B67"/>
    <w:rsid w:val="25BF256F"/>
    <w:rsid w:val="25C1100C"/>
    <w:rsid w:val="25C32FD6"/>
    <w:rsid w:val="25C340B6"/>
    <w:rsid w:val="25D36F91"/>
    <w:rsid w:val="25DF2B3E"/>
    <w:rsid w:val="25E8104B"/>
    <w:rsid w:val="26121868"/>
    <w:rsid w:val="26170C2C"/>
    <w:rsid w:val="266F2816"/>
    <w:rsid w:val="268F110A"/>
    <w:rsid w:val="26A34BB6"/>
    <w:rsid w:val="26C0203C"/>
    <w:rsid w:val="271D6716"/>
    <w:rsid w:val="27277595"/>
    <w:rsid w:val="272F01F7"/>
    <w:rsid w:val="274572A5"/>
    <w:rsid w:val="27462BA9"/>
    <w:rsid w:val="274E2D58"/>
    <w:rsid w:val="275131CB"/>
    <w:rsid w:val="275D6250"/>
    <w:rsid w:val="276445C9"/>
    <w:rsid w:val="278C73F8"/>
    <w:rsid w:val="27AC35F6"/>
    <w:rsid w:val="27BE012C"/>
    <w:rsid w:val="27D668C5"/>
    <w:rsid w:val="27EB411E"/>
    <w:rsid w:val="27EE5228"/>
    <w:rsid w:val="27F23891"/>
    <w:rsid w:val="280671AA"/>
    <w:rsid w:val="28310773"/>
    <w:rsid w:val="28335AC5"/>
    <w:rsid w:val="283B4DC5"/>
    <w:rsid w:val="28461C9C"/>
    <w:rsid w:val="28551381"/>
    <w:rsid w:val="28616AD6"/>
    <w:rsid w:val="286B079C"/>
    <w:rsid w:val="2893029D"/>
    <w:rsid w:val="289B4C70"/>
    <w:rsid w:val="28C411E9"/>
    <w:rsid w:val="28E55692"/>
    <w:rsid w:val="28FD4CC9"/>
    <w:rsid w:val="292F2731"/>
    <w:rsid w:val="294C5091"/>
    <w:rsid w:val="296A3769"/>
    <w:rsid w:val="296E3259"/>
    <w:rsid w:val="297665B1"/>
    <w:rsid w:val="297D16EE"/>
    <w:rsid w:val="298E38FB"/>
    <w:rsid w:val="298F4F7D"/>
    <w:rsid w:val="29B24674"/>
    <w:rsid w:val="29FA689B"/>
    <w:rsid w:val="2A187669"/>
    <w:rsid w:val="2A377AEF"/>
    <w:rsid w:val="2A475858"/>
    <w:rsid w:val="2A522B7B"/>
    <w:rsid w:val="2A6B3832"/>
    <w:rsid w:val="2A793900"/>
    <w:rsid w:val="2A7F1496"/>
    <w:rsid w:val="2A881CEC"/>
    <w:rsid w:val="2A994305"/>
    <w:rsid w:val="2AA85E3B"/>
    <w:rsid w:val="2AAA4765"/>
    <w:rsid w:val="2AB32EED"/>
    <w:rsid w:val="2AB80DCB"/>
    <w:rsid w:val="2AB90504"/>
    <w:rsid w:val="2AD90BA6"/>
    <w:rsid w:val="2AEA4B61"/>
    <w:rsid w:val="2B141BDE"/>
    <w:rsid w:val="2B4A1AA4"/>
    <w:rsid w:val="2B4C6B5C"/>
    <w:rsid w:val="2B7613E8"/>
    <w:rsid w:val="2B8C7C7C"/>
    <w:rsid w:val="2BA456FE"/>
    <w:rsid w:val="2BB1567F"/>
    <w:rsid w:val="2BD113C6"/>
    <w:rsid w:val="2BD575BF"/>
    <w:rsid w:val="2BEF49DC"/>
    <w:rsid w:val="2C1B0D4A"/>
    <w:rsid w:val="2C302A48"/>
    <w:rsid w:val="2C5D5807"/>
    <w:rsid w:val="2C6E3570"/>
    <w:rsid w:val="2C733DC5"/>
    <w:rsid w:val="2C7F577D"/>
    <w:rsid w:val="2C856399"/>
    <w:rsid w:val="2C861EB2"/>
    <w:rsid w:val="2CD57184"/>
    <w:rsid w:val="2CE466AC"/>
    <w:rsid w:val="2CE53DF2"/>
    <w:rsid w:val="2D145EC5"/>
    <w:rsid w:val="2D2A393B"/>
    <w:rsid w:val="2D2B0789"/>
    <w:rsid w:val="2D5C6602"/>
    <w:rsid w:val="2D652012"/>
    <w:rsid w:val="2D6A1F89"/>
    <w:rsid w:val="2D6D7CCB"/>
    <w:rsid w:val="2DCD0072"/>
    <w:rsid w:val="2DD815E9"/>
    <w:rsid w:val="2DFA155F"/>
    <w:rsid w:val="2E026666"/>
    <w:rsid w:val="2E100D83"/>
    <w:rsid w:val="2E162111"/>
    <w:rsid w:val="2E222864"/>
    <w:rsid w:val="2E312AA7"/>
    <w:rsid w:val="2E5A3DAC"/>
    <w:rsid w:val="2E6C637A"/>
    <w:rsid w:val="2E823302"/>
    <w:rsid w:val="2EC41B6D"/>
    <w:rsid w:val="2F0C7FE5"/>
    <w:rsid w:val="2F34284F"/>
    <w:rsid w:val="2F3E7229"/>
    <w:rsid w:val="2F594063"/>
    <w:rsid w:val="2F77098D"/>
    <w:rsid w:val="2F7E7F6E"/>
    <w:rsid w:val="2F7F0633"/>
    <w:rsid w:val="2F8530AA"/>
    <w:rsid w:val="2FC35981"/>
    <w:rsid w:val="2FC608DA"/>
    <w:rsid w:val="2FC90D1F"/>
    <w:rsid w:val="2FEC3129"/>
    <w:rsid w:val="303625F7"/>
    <w:rsid w:val="306B6744"/>
    <w:rsid w:val="307B73EC"/>
    <w:rsid w:val="30890978"/>
    <w:rsid w:val="30A25EDE"/>
    <w:rsid w:val="30AB6B41"/>
    <w:rsid w:val="30AC28B9"/>
    <w:rsid w:val="310B75DF"/>
    <w:rsid w:val="31164103"/>
    <w:rsid w:val="31336B36"/>
    <w:rsid w:val="313C1E8F"/>
    <w:rsid w:val="31491327"/>
    <w:rsid w:val="3150593A"/>
    <w:rsid w:val="315947EF"/>
    <w:rsid w:val="317B7E20"/>
    <w:rsid w:val="31A57A34"/>
    <w:rsid w:val="31B45EC9"/>
    <w:rsid w:val="31C91C1F"/>
    <w:rsid w:val="31FB42D0"/>
    <w:rsid w:val="320A7220"/>
    <w:rsid w:val="32696CB3"/>
    <w:rsid w:val="326B7E18"/>
    <w:rsid w:val="326E7E26"/>
    <w:rsid w:val="32830F54"/>
    <w:rsid w:val="3286265A"/>
    <w:rsid w:val="32891103"/>
    <w:rsid w:val="3293788C"/>
    <w:rsid w:val="329A44C1"/>
    <w:rsid w:val="32B653FC"/>
    <w:rsid w:val="32DE4292"/>
    <w:rsid w:val="32E12CEE"/>
    <w:rsid w:val="32E53E60"/>
    <w:rsid w:val="32EB37B8"/>
    <w:rsid w:val="331D35FA"/>
    <w:rsid w:val="3337290D"/>
    <w:rsid w:val="335B7731"/>
    <w:rsid w:val="33784CD4"/>
    <w:rsid w:val="33B71CA0"/>
    <w:rsid w:val="33C406F9"/>
    <w:rsid w:val="33CD3272"/>
    <w:rsid w:val="33E800AC"/>
    <w:rsid w:val="33F87B2A"/>
    <w:rsid w:val="33FB1B8D"/>
    <w:rsid w:val="343C4C08"/>
    <w:rsid w:val="34441BD5"/>
    <w:rsid w:val="344A2216"/>
    <w:rsid w:val="346317C9"/>
    <w:rsid w:val="346534AA"/>
    <w:rsid w:val="34A55F9D"/>
    <w:rsid w:val="34A5706F"/>
    <w:rsid w:val="34AB28E5"/>
    <w:rsid w:val="34B14EA3"/>
    <w:rsid w:val="34C33404"/>
    <w:rsid w:val="34D62F23"/>
    <w:rsid w:val="34EE2F66"/>
    <w:rsid w:val="34FA62E8"/>
    <w:rsid w:val="34FF38FF"/>
    <w:rsid w:val="35156C7E"/>
    <w:rsid w:val="35213875"/>
    <w:rsid w:val="3529272A"/>
    <w:rsid w:val="35325511"/>
    <w:rsid w:val="353F3CFB"/>
    <w:rsid w:val="35505F08"/>
    <w:rsid w:val="355F7EFA"/>
    <w:rsid w:val="357C24B3"/>
    <w:rsid w:val="358362DE"/>
    <w:rsid w:val="35843E04"/>
    <w:rsid w:val="35A65B28"/>
    <w:rsid w:val="35C12962"/>
    <w:rsid w:val="35C4206C"/>
    <w:rsid w:val="360F7B72"/>
    <w:rsid w:val="365437D6"/>
    <w:rsid w:val="365F0C97"/>
    <w:rsid w:val="3670318E"/>
    <w:rsid w:val="36BD5820"/>
    <w:rsid w:val="36BF209F"/>
    <w:rsid w:val="36D13957"/>
    <w:rsid w:val="36D466C5"/>
    <w:rsid w:val="36D668E1"/>
    <w:rsid w:val="36F11025"/>
    <w:rsid w:val="36FA44D9"/>
    <w:rsid w:val="37133ED5"/>
    <w:rsid w:val="3728071C"/>
    <w:rsid w:val="374C7633"/>
    <w:rsid w:val="37667C65"/>
    <w:rsid w:val="37691503"/>
    <w:rsid w:val="376E08C8"/>
    <w:rsid w:val="377C4D93"/>
    <w:rsid w:val="37AF33BA"/>
    <w:rsid w:val="37BE4E14"/>
    <w:rsid w:val="37C37093"/>
    <w:rsid w:val="37D270A9"/>
    <w:rsid w:val="37D70CAE"/>
    <w:rsid w:val="37DD0002"/>
    <w:rsid w:val="37DF5322"/>
    <w:rsid w:val="37ED2BA2"/>
    <w:rsid w:val="37EF7C5B"/>
    <w:rsid w:val="37FC5ED4"/>
    <w:rsid w:val="380F260F"/>
    <w:rsid w:val="381E5756"/>
    <w:rsid w:val="384358B1"/>
    <w:rsid w:val="386859FD"/>
    <w:rsid w:val="3887072B"/>
    <w:rsid w:val="38A10829"/>
    <w:rsid w:val="38A722E3"/>
    <w:rsid w:val="38B44A00"/>
    <w:rsid w:val="38D03858"/>
    <w:rsid w:val="38E726E0"/>
    <w:rsid w:val="390E5CB1"/>
    <w:rsid w:val="39177E14"/>
    <w:rsid w:val="391A6E08"/>
    <w:rsid w:val="39495F16"/>
    <w:rsid w:val="39657AA9"/>
    <w:rsid w:val="397321C6"/>
    <w:rsid w:val="397D273B"/>
    <w:rsid w:val="39E66E3B"/>
    <w:rsid w:val="39F8091D"/>
    <w:rsid w:val="3A0A0D7C"/>
    <w:rsid w:val="3A21319F"/>
    <w:rsid w:val="3A223F8F"/>
    <w:rsid w:val="3A350062"/>
    <w:rsid w:val="3A55125A"/>
    <w:rsid w:val="3AAF722D"/>
    <w:rsid w:val="3AB510A7"/>
    <w:rsid w:val="3AB87882"/>
    <w:rsid w:val="3AC24493"/>
    <w:rsid w:val="3ACF398B"/>
    <w:rsid w:val="3AD6600A"/>
    <w:rsid w:val="3AD959D6"/>
    <w:rsid w:val="3AFF5C22"/>
    <w:rsid w:val="3B00217F"/>
    <w:rsid w:val="3B20637D"/>
    <w:rsid w:val="3B2154F6"/>
    <w:rsid w:val="3B286FE0"/>
    <w:rsid w:val="3B3E2DB3"/>
    <w:rsid w:val="3B497682"/>
    <w:rsid w:val="3B5E5A31"/>
    <w:rsid w:val="3B602C1D"/>
    <w:rsid w:val="3BB54E46"/>
    <w:rsid w:val="3BCF3541"/>
    <w:rsid w:val="3BEB24E7"/>
    <w:rsid w:val="3C074E47"/>
    <w:rsid w:val="3C090BBF"/>
    <w:rsid w:val="3C1732DC"/>
    <w:rsid w:val="3C1E33AE"/>
    <w:rsid w:val="3C3001B4"/>
    <w:rsid w:val="3C335C3C"/>
    <w:rsid w:val="3C340332"/>
    <w:rsid w:val="3C421D7A"/>
    <w:rsid w:val="3C836701"/>
    <w:rsid w:val="3C8A7F52"/>
    <w:rsid w:val="3CA52FDE"/>
    <w:rsid w:val="3CC15B09"/>
    <w:rsid w:val="3CC22946"/>
    <w:rsid w:val="3CD01F3B"/>
    <w:rsid w:val="3CD7328C"/>
    <w:rsid w:val="3CE753A4"/>
    <w:rsid w:val="3CF96E86"/>
    <w:rsid w:val="3D204801"/>
    <w:rsid w:val="3D287F80"/>
    <w:rsid w:val="3D361E88"/>
    <w:rsid w:val="3D3A3C3D"/>
    <w:rsid w:val="3D4C4431"/>
    <w:rsid w:val="3D697A37"/>
    <w:rsid w:val="3D7D7AB7"/>
    <w:rsid w:val="3D87623F"/>
    <w:rsid w:val="3D9646D4"/>
    <w:rsid w:val="3D995F73"/>
    <w:rsid w:val="3D9F17DB"/>
    <w:rsid w:val="3DB86D41"/>
    <w:rsid w:val="3DC95243"/>
    <w:rsid w:val="3DE07FF0"/>
    <w:rsid w:val="3DF21BF1"/>
    <w:rsid w:val="3DFB1EF6"/>
    <w:rsid w:val="3E047890"/>
    <w:rsid w:val="3E06185A"/>
    <w:rsid w:val="3E0D42F0"/>
    <w:rsid w:val="3E2449C7"/>
    <w:rsid w:val="3E2C6DE7"/>
    <w:rsid w:val="3E3363C7"/>
    <w:rsid w:val="3E976956"/>
    <w:rsid w:val="3F0538C0"/>
    <w:rsid w:val="3F073ADC"/>
    <w:rsid w:val="3F2008F3"/>
    <w:rsid w:val="3F2A77CA"/>
    <w:rsid w:val="3F2F6B8F"/>
    <w:rsid w:val="3F390778"/>
    <w:rsid w:val="3F3D6161"/>
    <w:rsid w:val="3F5F71E0"/>
    <w:rsid w:val="3F675313"/>
    <w:rsid w:val="3F7942AE"/>
    <w:rsid w:val="3F9966FE"/>
    <w:rsid w:val="3FB5786C"/>
    <w:rsid w:val="3FB672B0"/>
    <w:rsid w:val="3FE306FB"/>
    <w:rsid w:val="3FEA0D08"/>
    <w:rsid w:val="3FEB51AC"/>
    <w:rsid w:val="400242A3"/>
    <w:rsid w:val="400358C7"/>
    <w:rsid w:val="4004001B"/>
    <w:rsid w:val="40055B41"/>
    <w:rsid w:val="400B3176"/>
    <w:rsid w:val="401122A5"/>
    <w:rsid w:val="40112738"/>
    <w:rsid w:val="40387CC5"/>
    <w:rsid w:val="40582115"/>
    <w:rsid w:val="408F11E5"/>
    <w:rsid w:val="4099576A"/>
    <w:rsid w:val="40AE7F87"/>
    <w:rsid w:val="40DC29CF"/>
    <w:rsid w:val="410B1343"/>
    <w:rsid w:val="411C1395"/>
    <w:rsid w:val="414E5376"/>
    <w:rsid w:val="41626E05"/>
    <w:rsid w:val="418952B9"/>
    <w:rsid w:val="418C2076"/>
    <w:rsid w:val="4196079D"/>
    <w:rsid w:val="419D0246"/>
    <w:rsid w:val="41AA2E44"/>
    <w:rsid w:val="41C31810"/>
    <w:rsid w:val="41D0313B"/>
    <w:rsid w:val="41DD28D2"/>
    <w:rsid w:val="41E33C60"/>
    <w:rsid w:val="41E41548"/>
    <w:rsid w:val="42114C71"/>
    <w:rsid w:val="42150157"/>
    <w:rsid w:val="421C10AE"/>
    <w:rsid w:val="422E1516"/>
    <w:rsid w:val="425D3A13"/>
    <w:rsid w:val="42912938"/>
    <w:rsid w:val="429E3AD6"/>
    <w:rsid w:val="42B44D10"/>
    <w:rsid w:val="42BA41B0"/>
    <w:rsid w:val="42C13FA2"/>
    <w:rsid w:val="42C910A8"/>
    <w:rsid w:val="42DB3C12"/>
    <w:rsid w:val="42DE1E2E"/>
    <w:rsid w:val="43087E22"/>
    <w:rsid w:val="430C15CB"/>
    <w:rsid w:val="430C699F"/>
    <w:rsid w:val="430F7403"/>
    <w:rsid w:val="433F4523"/>
    <w:rsid w:val="435D2698"/>
    <w:rsid w:val="437943F5"/>
    <w:rsid w:val="439E2535"/>
    <w:rsid w:val="43A80694"/>
    <w:rsid w:val="43B6162D"/>
    <w:rsid w:val="43DF5FA7"/>
    <w:rsid w:val="43F403A7"/>
    <w:rsid w:val="44071E88"/>
    <w:rsid w:val="44220A07"/>
    <w:rsid w:val="442C5D93"/>
    <w:rsid w:val="442C7B41"/>
    <w:rsid w:val="445F3A72"/>
    <w:rsid w:val="445F5FF9"/>
    <w:rsid w:val="4487121B"/>
    <w:rsid w:val="44A1408B"/>
    <w:rsid w:val="44A578BE"/>
    <w:rsid w:val="44AD5AB7"/>
    <w:rsid w:val="44AD6ED3"/>
    <w:rsid w:val="44BA339E"/>
    <w:rsid w:val="44F93EC7"/>
    <w:rsid w:val="44FA73AF"/>
    <w:rsid w:val="45045C1E"/>
    <w:rsid w:val="45244CBC"/>
    <w:rsid w:val="45280308"/>
    <w:rsid w:val="45322F35"/>
    <w:rsid w:val="453E7B2C"/>
    <w:rsid w:val="457277D5"/>
    <w:rsid w:val="45967968"/>
    <w:rsid w:val="459D6B25"/>
    <w:rsid w:val="45AC718B"/>
    <w:rsid w:val="45AD39D7"/>
    <w:rsid w:val="45BC08E0"/>
    <w:rsid w:val="45F96148"/>
    <w:rsid w:val="46100AF5"/>
    <w:rsid w:val="46144D30"/>
    <w:rsid w:val="46222FA9"/>
    <w:rsid w:val="466C06C8"/>
    <w:rsid w:val="46717A8D"/>
    <w:rsid w:val="46893028"/>
    <w:rsid w:val="46A02C50"/>
    <w:rsid w:val="46A674BD"/>
    <w:rsid w:val="46B458C0"/>
    <w:rsid w:val="46C40504"/>
    <w:rsid w:val="46CB0A3C"/>
    <w:rsid w:val="46E77832"/>
    <w:rsid w:val="46EA736D"/>
    <w:rsid w:val="46EE5581"/>
    <w:rsid w:val="471072A6"/>
    <w:rsid w:val="47134122"/>
    <w:rsid w:val="47213261"/>
    <w:rsid w:val="472879B0"/>
    <w:rsid w:val="473236C0"/>
    <w:rsid w:val="4746716B"/>
    <w:rsid w:val="474D3AEE"/>
    <w:rsid w:val="474E0CD4"/>
    <w:rsid w:val="47615D53"/>
    <w:rsid w:val="47617388"/>
    <w:rsid w:val="47623A9A"/>
    <w:rsid w:val="47694C08"/>
    <w:rsid w:val="4796702E"/>
    <w:rsid w:val="47A31000"/>
    <w:rsid w:val="47CD33E9"/>
    <w:rsid w:val="481608EC"/>
    <w:rsid w:val="48242D3C"/>
    <w:rsid w:val="484418FD"/>
    <w:rsid w:val="485D29BF"/>
    <w:rsid w:val="487429ED"/>
    <w:rsid w:val="487E3BD5"/>
    <w:rsid w:val="48BB1493"/>
    <w:rsid w:val="48C37705"/>
    <w:rsid w:val="48D11064"/>
    <w:rsid w:val="48D577B9"/>
    <w:rsid w:val="48D6451F"/>
    <w:rsid w:val="48E72288"/>
    <w:rsid w:val="48FA020D"/>
    <w:rsid w:val="490620D6"/>
    <w:rsid w:val="49105C83"/>
    <w:rsid w:val="49350787"/>
    <w:rsid w:val="493E5947"/>
    <w:rsid w:val="49697141"/>
    <w:rsid w:val="497004D0"/>
    <w:rsid w:val="499F0002"/>
    <w:rsid w:val="49A53A73"/>
    <w:rsid w:val="49B36F80"/>
    <w:rsid w:val="49BA59AE"/>
    <w:rsid w:val="49BE748D"/>
    <w:rsid w:val="49C460CC"/>
    <w:rsid w:val="49D97E23"/>
    <w:rsid w:val="4A080708"/>
    <w:rsid w:val="4A17094B"/>
    <w:rsid w:val="4A1B043B"/>
    <w:rsid w:val="4A4C4A99"/>
    <w:rsid w:val="4A91694F"/>
    <w:rsid w:val="4ABD14F2"/>
    <w:rsid w:val="4B3D2633"/>
    <w:rsid w:val="4B524331"/>
    <w:rsid w:val="4B5E0F27"/>
    <w:rsid w:val="4B9366F7"/>
    <w:rsid w:val="4BC55F37"/>
    <w:rsid w:val="4BCD7E5B"/>
    <w:rsid w:val="4BEA27BB"/>
    <w:rsid w:val="4BFE0015"/>
    <w:rsid w:val="4C03562B"/>
    <w:rsid w:val="4C1454C5"/>
    <w:rsid w:val="4C1E4213"/>
    <w:rsid w:val="4C35155C"/>
    <w:rsid w:val="4C3C03DF"/>
    <w:rsid w:val="4C51283A"/>
    <w:rsid w:val="4C5944B1"/>
    <w:rsid w:val="4C6F3A23"/>
    <w:rsid w:val="4C8F5C62"/>
    <w:rsid w:val="4CA26BF2"/>
    <w:rsid w:val="4CA77A88"/>
    <w:rsid w:val="4CAE445A"/>
    <w:rsid w:val="4CBD3A2C"/>
    <w:rsid w:val="4CC528E0"/>
    <w:rsid w:val="4CEC60BF"/>
    <w:rsid w:val="4CEE2203"/>
    <w:rsid w:val="4CFB4554"/>
    <w:rsid w:val="4D0168EA"/>
    <w:rsid w:val="4D027EED"/>
    <w:rsid w:val="4D355CB8"/>
    <w:rsid w:val="4D4001B9"/>
    <w:rsid w:val="4D4B557E"/>
    <w:rsid w:val="4D4F2E7D"/>
    <w:rsid w:val="4D53613E"/>
    <w:rsid w:val="4D5D520F"/>
    <w:rsid w:val="4D6E32E7"/>
    <w:rsid w:val="4D77007F"/>
    <w:rsid w:val="4DA370C6"/>
    <w:rsid w:val="4DB320D6"/>
    <w:rsid w:val="4DD65922"/>
    <w:rsid w:val="4DD67651"/>
    <w:rsid w:val="4DD75848"/>
    <w:rsid w:val="4DD958BA"/>
    <w:rsid w:val="4DEB3918"/>
    <w:rsid w:val="4DEF4911"/>
    <w:rsid w:val="4E035DB6"/>
    <w:rsid w:val="4E192EE4"/>
    <w:rsid w:val="4E1C4782"/>
    <w:rsid w:val="4E267A1C"/>
    <w:rsid w:val="4E3221F7"/>
    <w:rsid w:val="4E74636C"/>
    <w:rsid w:val="4EA9414C"/>
    <w:rsid w:val="4EC779CB"/>
    <w:rsid w:val="4EE87ACC"/>
    <w:rsid w:val="4EEF1E97"/>
    <w:rsid w:val="4EF15C0F"/>
    <w:rsid w:val="4EFE47D1"/>
    <w:rsid w:val="4F122A8C"/>
    <w:rsid w:val="4F244236"/>
    <w:rsid w:val="4F530677"/>
    <w:rsid w:val="4F7505EE"/>
    <w:rsid w:val="4F802EB1"/>
    <w:rsid w:val="4FC7696F"/>
    <w:rsid w:val="4FCB3005"/>
    <w:rsid w:val="4FE00907"/>
    <w:rsid w:val="4FE97FF4"/>
    <w:rsid w:val="4FF05EC6"/>
    <w:rsid w:val="4FF63749"/>
    <w:rsid w:val="50102AE1"/>
    <w:rsid w:val="501C315F"/>
    <w:rsid w:val="50605398"/>
    <w:rsid w:val="507408A5"/>
    <w:rsid w:val="5083159C"/>
    <w:rsid w:val="50832EE6"/>
    <w:rsid w:val="508A67B9"/>
    <w:rsid w:val="509E39F8"/>
    <w:rsid w:val="509E3AE8"/>
    <w:rsid w:val="50DE6894"/>
    <w:rsid w:val="50E84DEF"/>
    <w:rsid w:val="510150F1"/>
    <w:rsid w:val="512322CB"/>
    <w:rsid w:val="512A23E5"/>
    <w:rsid w:val="51385D77"/>
    <w:rsid w:val="51417EDC"/>
    <w:rsid w:val="51654692"/>
    <w:rsid w:val="51B03B5F"/>
    <w:rsid w:val="51C13FBE"/>
    <w:rsid w:val="51D14ACF"/>
    <w:rsid w:val="51E073BF"/>
    <w:rsid w:val="51FA638D"/>
    <w:rsid w:val="5200056D"/>
    <w:rsid w:val="52181704"/>
    <w:rsid w:val="52291B63"/>
    <w:rsid w:val="523429E2"/>
    <w:rsid w:val="5237602E"/>
    <w:rsid w:val="52392F23"/>
    <w:rsid w:val="525A17EE"/>
    <w:rsid w:val="525A3919"/>
    <w:rsid w:val="52741030"/>
    <w:rsid w:val="527E5A0B"/>
    <w:rsid w:val="527F1783"/>
    <w:rsid w:val="52923265"/>
    <w:rsid w:val="529951F6"/>
    <w:rsid w:val="52A42F98"/>
    <w:rsid w:val="52B11F76"/>
    <w:rsid w:val="52B551A5"/>
    <w:rsid w:val="52C37BA3"/>
    <w:rsid w:val="52D3458B"/>
    <w:rsid w:val="52E20E8D"/>
    <w:rsid w:val="52ED43B9"/>
    <w:rsid w:val="53014291"/>
    <w:rsid w:val="53043E75"/>
    <w:rsid w:val="53084363"/>
    <w:rsid w:val="533D4D64"/>
    <w:rsid w:val="5349426B"/>
    <w:rsid w:val="534D53DE"/>
    <w:rsid w:val="535B3F9E"/>
    <w:rsid w:val="537C0DFA"/>
    <w:rsid w:val="53BF452D"/>
    <w:rsid w:val="53F944C5"/>
    <w:rsid w:val="543A0058"/>
    <w:rsid w:val="545A24A8"/>
    <w:rsid w:val="547509DC"/>
    <w:rsid w:val="54A454D1"/>
    <w:rsid w:val="54A82930"/>
    <w:rsid w:val="54DE6C35"/>
    <w:rsid w:val="54F975CB"/>
    <w:rsid w:val="5521008A"/>
    <w:rsid w:val="553E1687"/>
    <w:rsid w:val="55564A1D"/>
    <w:rsid w:val="555C3AC6"/>
    <w:rsid w:val="556402C9"/>
    <w:rsid w:val="556F5ADF"/>
    <w:rsid w:val="55750DBC"/>
    <w:rsid w:val="558772CD"/>
    <w:rsid w:val="55985036"/>
    <w:rsid w:val="55A44331"/>
    <w:rsid w:val="55C20305"/>
    <w:rsid w:val="55E1008E"/>
    <w:rsid w:val="55E97640"/>
    <w:rsid w:val="55F07786"/>
    <w:rsid w:val="55FE3948"/>
    <w:rsid w:val="56186177"/>
    <w:rsid w:val="561D6585"/>
    <w:rsid w:val="5624780D"/>
    <w:rsid w:val="56290384"/>
    <w:rsid w:val="565A6D84"/>
    <w:rsid w:val="565F5B54"/>
    <w:rsid w:val="5664316A"/>
    <w:rsid w:val="56862083"/>
    <w:rsid w:val="56890E23"/>
    <w:rsid w:val="569F509D"/>
    <w:rsid w:val="56B20706"/>
    <w:rsid w:val="56F73FDE"/>
    <w:rsid w:val="56F774F1"/>
    <w:rsid w:val="570F1E19"/>
    <w:rsid w:val="571738AF"/>
    <w:rsid w:val="57193F55"/>
    <w:rsid w:val="571E5A0F"/>
    <w:rsid w:val="57323268"/>
    <w:rsid w:val="57454278"/>
    <w:rsid w:val="574A6804"/>
    <w:rsid w:val="577C3646"/>
    <w:rsid w:val="57827F81"/>
    <w:rsid w:val="57961A49"/>
    <w:rsid w:val="579730CB"/>
    <w:rsid w:val="57CF7F7D"/>
    <w:rsid w:val="57D91936"/>
    <w:rsid w:val="57DF13E7"/>
    <w:rsid w:val="57E26A3C"/>
    <w:rsid w:val="57E304CE"/>
    <w:rsid w:val="58160494"/>
    <w:rsid w:val="582B5282"/>
    <w:rsid w:val="5835523D"/>
    <w:rsid w:val="583D3C73"/>
    <w:rsid w:val="585A4825"/>
    <w:rsid w:val="587B0C5A"/>
    <w:rsid w:val="587D7E5A"/>
    <w:rsid w:val="58874E91"/>
    <w:rsid w:val="5889335C"/>
    <w:rsid w:val="58B8109E"/>
    <w:rsid w:val="58D00F8B"/>
    <w:rsid w:val="58D04CC8"/>
    <w:rsid w:val="58D357E0"/>
    <w:rsid w:val="58D77C23"/>
    <w:rsid w:val="58EF1411"/>
    <w:rsid w:val="58F419FA"/>
    <w:rsid w:val="590B1FC3"/>
    <w:rsid w:val="591E1CF6"/>
    <w:rsid w:val="594340A3"/>
    <w:rsid w:val="596021C9"/>
    <w:rsid w:val="59725B9E"/>
    <w:rsid w:val="59777658"/>
    <w:rsid w:val="59816F05"/>
    <w:rsid w:val="59B166C6"/>
    <w:rsid w:val="59DD570D"/>
    <w:rsid w:val="5A040EEC"/>
    <w:rsid w:val="5A250E62"/>
    <w:rsid w:val="5A627366"/>
    <w:rsid w:val="5A78276B"/>
    <w:rsid w:val="5AA9356E"/>
    <w:rsid w:val="5AC5796A"/>
    <w:rsid w:val="5AE34FA5"/>
    <w:rsid w:val="5AE66844"/>
    <w:rsid w:val="5AF251E8"/>
    <w:rsid w:val="5AF820D3"/>
    <w:rsid w:val="5B1D63D9"/>
    <w:rsid w:val="5B2E3D47"/>
    <w:rsid w:val="5B3B494B"/>
    <w:rsid w:val="5BA1276A"/>
    <w:rsid w:val="5BA142A2"/>
    <w:rsid w:val="5BA32F4B"/>
    <w:rsid w:val="5BAD55B3"/>
    <w:rsid w:val="5BC22E0D"/>
    <w:rsid w:val="5BC40C35"/>
    <w:rsid w:val="5BDC19F5"/>
    <w:rsid w:val="5BDD7C46"/>
    <w:rsid w:val="5BEC7E8A"/>
    <w:rsid w:val="5C0C052C"/>
    <w:rsid w:val="5C0E3D80"/>
    <w:rsid w:val="5C2A09B2"/>
    <w:rsid w:val="5C3754AC"/>
    <w:rsid w:val="5C6A0DAE"/>
    <w:rsid w:val="5C6C38DE"/>
    <w:rsid w:val="5C9658DF"/>
    <w:rsid w:val="5C9B365E"/>
    <w:rsid w:val="5CA5200E"/>
    <w:rsid w:val="5CE943C9"/>
    <w:rsid w:val="5CEA18F9"/>
    <w:rsid w:val="5D5A7075"/>
    <w:rsid w:val="5D641CA2"/>
    <w:rsid w:val="5D6F2B20"/>
    <w:rsid w:val="5D8D288B"/>
    <w:rsid w:val="5DE80ECD"/>
    <w:rsid w:val="5DE828D3"/>
    <w:rsid w:val="5DEC0DA1"/>
    <w:rsid w:val="5E062D59"/>
    <w:rsid w:val="5E190CDE"/>
    <w:rsid w:val="5E2D1110"/>
    <w:rsid w:val="5E6006BB"/>
    <w:rsid w:val="5E602469"/>
    <w:rsid w:val="5E677C9B"/>
    <w:rsid w:val="5E6A778C"/>
    <w:rsid w:val="5E9345EC"/>
    <w:rsid w:val="5EA70098"/>
    <w:rsid w:val="5EAA7148"/>
    <w:rsid w:val="5ED25E09"/>
    <w:rsid w:val="5F217E4A"/>
    <w:rsid w:val="5F5A485D"/>
    <w:rsid w:val="5FA35AB4"/>
    <w:rsid w:val="5FB02275"/>
    <w:rsid w:val="5FB4382E"/>
    <w:rsid w:val="600532C8"/>
    <w:rsid w:val="600D2A18"/>
    <w:rsid w:val="600F05EB"/>
    <w:rsid w:val="60152BED"/>
    <w:rsid w:val="601C6864"/>
    <w:rsid w:val="605635E0"/>
    <w:rsid w:val="606C77EB"/>
    <w:rsid w:val="60885E2E"/>
    <w:rsid w:val="60A03B80"/>
    <w:rsid w:val="60AA3E6F"/>
    <w:rsid w:val="60C03693"/>
    <w:rsid w:val="60C77753"/>
    <w:rsid w:val="60E6759D"/>
    <w:rsid w:val="61161DEB"/>
    <w:rsid w:val="613A1697"/>
    <w:rsid w:val="613B0F6B"/>
    <w:rsid w:val="615A3AE7"/>
    <w:rsid w:val="615C359C"/>
    <w:rsid w:val="615D7326"/>
    <w:rsid w:val="61A415D4"/>
    <w:rsid w:val="61B72CE8"/>
    <w:rsid w:val="61CB6793"/>
    <w:rsid w:val="61E0223F"/>
    <w:rsid w:val="62065A1D"/>
    <w:rsid w:val="620A016C"/>
    <w:rsid w:val="6219424F"/>
    <w:rsid w:val="622163B3"/>
    <w:rsid w:val="6256605D"/>
    <w:rsid w:val="62774225"/>
    <w:rsid w:val="62813D56"/>
    <w:rsid w:val="628A3F58"/>
    <w:rsid w:val="62AD76C0"/>
    <w:rsid w:val="62B66AFB"/>
    <w:rsid w:val="62C507C9"/>
    <w:rsid w:val="62D11B87"/>
    <w:rsid w:val="62DA698E"/>
    <w:rsid w:val="62DB40E8"/>
    <w:rsid w:val="630D7CD1"/>
    <w:rsid w:val="63272A98"/>
    <w:rsid w:val="63411071"/>
    <w:rsid w:val="63422A85"/>
    <w:rsid w:val="634405AB"/>
    <w:rsid w:val="638906B4"/>
    <w:rsid w:val="6390559E"/>
    <w:rsid w:val="63B30F2E"/>
    <w:rsid w:val="63B53257"/>
    <w:rsid w:val="63DA2CBD"/>
    <w:rsid w:val="63EA73A4"/>
    <w:rsid w:val="640161A2"/>
    <w:rsid w:val="640C1C55"/>
    <w:rsid w:val="643B7C00"/>
    <w:rsid w:val="644B5969"/>
    <w:rsid w:val="64557053"/>
    <w:rsid w:val="645A795A"/>
    <w:rsid w:val="646B1B68"/>
    <w:rsid w:val="64713622"/>
    <w:rsid w:val="64754DD6"/>
    <w:rsid w:val="647B624F"/>
    <w:rsid w:val="647E0D38"/>
    <w:rsid w:val="647E7AED"/>
    <w:rsid w:val="64986EFA"/>
    <w:rsid w:val="64A60857"/>
    <w:rsid w:val="64AB2B3B"/>
    <w:rsid w:val="64ED0C9E"/>
    <w:rsid w:val="64F102BF"/>
    <w:rsid w:val="64FD6C64"/>
    <w:rsid w:val="65041398"/>
    <w:rsid w:val="650A75D2"/>
    <w:rsid w:val="65285AD1"/>
    <w:rsid w:val="65433F0C"/>
    <w:rsid w:val="65532B79"/>
    <w:rsid w:val="65885901"/>
    <w:rsid w:val="65A63177"/>
    <w:rsid w:val="65B25CA0"/>
    <w:rsid w:val="65D5198E"/>
    <w:rsid w:val="65DE028D"/>
    <w:rsid w:val="660B53B0"/>
    <w:rsid w:val="660D2ED6"/>
    <w:rsid w:val="662C2107"/>
    <w:rsid w:val="664B7EA3"/>
    <w:rsid w:val="666920D7"/>
    <w:rsid w:val="66A93C9E"/>
    <w:rsid w:val="66BE6020"/>
    <w:rsid w:val="66D71736"/>
    <w:rsid w:val="66E77BCB"/>
    <w:rsid w:val="66F525EC"/>
    <w:rsid w:val="66F66060"/>
    <w:rsid w:val="66F93129"/>
    <w:rsid w:val="674E6C15"/>
    <w:rsid w:val="675114E9"/>
    <w:rsid w:val="6760004A"/>
    <w:rsid w:val="67867202"/>
    <w:rsid w:val="679D40EC"/>
    <w:rsid w:val="67A96C2F"/>
    <w:rsid w:val="67AC671F"/>
    <w:rsid w:val="67AE2497"/>
    <w:rsid w:val="67AF7FBD"/>
    <w:rsid w:val="67C617E9"/>
    <w:rsid w:val="67C63C85"/>
    <w:rsid w:val="67E450CE"/>
    <w:rsid w:val="67F52622"/>
    <w:rsid w:val="68014CBD"/>
    <w:rsid w:val="68282249"/>
    <w:rsid w:val="68300192"/>
    <w:rsid w:val="684150B9"/>
    <w:rsid w:val="685D37E3"/>
    <w:rsid w:val="68641653"/>
    <w:rsid w:val="68645737"/>
    <w:rsid w:val="687F09E7"/>
    <w:rsid w:val="68802085"/>
    <w:rsid w:val="688356D2"/>
    <w:rsid w:val="688A4CB2"/>
    <w:rsid w:val="688F59BE"/>
    <w:rsid w:val="68CF0D4C"/>
    <w:rsid w:val="68DE4FFE"/>
    <w:rsid w:val="68E32614"/>
    <w:rsid w:val="68F13666"/>
    <w:rsid w:val="68F640F6"/>
    <w:rsid w:val="69216C99"/>
    <w:rsid w:val="692718FA"/>
    <w:rsid w:val="692D1AE1"/>
    <w:rsid w:val="693410C2"/>
    <w:rsid w:val="693B7312"/>
    <w:rsid w:val="694401A7"/>
    <w:rsid w:val="6949691B"/>
    <w:rsid w:val="694D044B"/>
    <w:rsid w:val="697274F4"/>
    <w:rsid w:val="69787200"/>
    <w:rsid w:val="697F233D"/>
    <w:rsid w:val="69B2159C"/>
    <w:rsid w:val="69BE7BAE"/>
    <w:rsid w:val="69C90AA3"/>
    <w:rsid w:val="69D106BF"/>
    <w:rsid w:val="69D501AF"/>
    <w:rsid w:val="69EF3163"/>
    <w:rsid w:val="6A060AF0"/>
    <w:rsid w:val="6A1C4030"/>
    <w:rsid w:val="6A387B61"/>
    <w:rsid w:val="6A542DAB"/>
    <w:rsid w:val="6A5507F9"/>
    <w:rsid w:val="6A616103"/>
    <w:rsid w:val="6A9736B6"/>
    <w:rsid w:val="6ABA1153"/>
    <w:rsid w:val="6ABE0C43"/>
    <w:rsid w:val="6ACB7804"/>
    <w:rsid w:val="6ACE068F"/>
    <w:rsid w:val="6AD13784"/>
    <w:rsid w:val="6AD20B92"/>
    <w:rsid w:val="6AE663EC"/>
    <w:rsid w:val="6B053538"/>
    <w:rsid w:val="6B1940CB"/>
    <w:rsid w:val="6B3158B9"/>
    <w:rsid w:val="6B37171D"/>
    <w:rsid w:val="6B3A2BB1"/>
    <w:rsid w:val="6B493A4E"/>
    <w:rsid w:val="6B601CFA"/>
    <w:rsid w:val="6B6712DB"/>
    <w:rsid w:val="6B73126D"/>
    <w:rsid w:val="6BD75E7E"/>
    <w:rsid w:val="6BE566A3"/>
    <w:rsid w:val="6C0C53BF"/>
    <w:rsid w:val="6C3F4006"/>
    <w:rsid w:val="6C4F72C1"/>
    <w:rsid w:val="6C7A503E"/>
    <w:rsid w:val="6C946959"/>
    <w:rsid w:val="6CB9494B"/>
    <w:rsid w:val="6CEB1A97"/>
    <w:rsid w:val="6CF84455"/>
    <w:rsid w:val="6D0D4104"/>
    <w:rsid w:val="6D162FB8"/>
    <w:rsid w:val="6D1B2659"/>
    <w:rsid w:val="6D390A55"/>
    <w:rsid w:val="6D4A2C62"/>
    <w:rsid w:val="6D561607"/>
    <w:rsid w:val="6D5D0BE7"/>
    <w:rsid w:val="6D655CEE"/>
    <w:rsid w:val="6D744821"/>
    <w:rsid w:val="6D8F5206"/>
    <w:rsid w:val="6D91263F"/>
    <w:rsid w:val="6DAF51BB"/>
    <w:rsid w:val="6DD5080B"/>
    <w:rsid w:val="6DEE254B"/>
    <w:rsid w:val="6DF2723B"/>
    <w:rsid w:val="6DFD5F26"/>
    <w:rsid w:val="6E100C6D"/>
    <w:rsid w:val="6E105C5A"/>
    <w:rsid w:val="6E290AC9"/>
    <w:rsid w:val="6E4006B2"/>
    <w:rsid w:val="6E427DDD"/>
    <w:rsid w:val="6E4C65BD"/>
    <w:rsid w:val="6E5B5D88"/>
    <w:rsid w:val="6E62222D"/>
    <w:rsid w:val="6E7F06E9"/>
    <w:rsid w:val="6E82642B"/>
    <w:rsid w:val="6E8B3532"/>
    <w:rsid w:val="6E8F4FD4"/>
    <w:rsid w:val="6E9D4ECA"/>
    <w:rsid w:val="6ECD3B4B"/>
    <w:rsid w:val="6EF83998"/>
    <w:rsid w:val="6F1060F6"/>
    <w:rsid w:val="6F490CF7"/>
    <w:rsid w:val="6F541B76"/>
    <w:rsid w:val="6F5953DE"/>
    <w:rsid w:val="6F7E1B58"/>
    <w:rsid w:val="6F8B7B20"/>
    <w:rsid w:val="6FA64AAB"/>
    <w:rsid w:val="6FD35191"/>
    <w:rsid w:val="6FE0165C"/>
    <w:rsid w:val="6FE74798"/>
    <w:rsid w:val="70593DDE"/>
    <w:rsid w:val="70633D9B"/>
    <w:rsid w:val="706A0C87"/>
    <w:rsid w:val="7072466B"/>
    <w:rsid w:val="708741CD"/>
    <w:rsid w:val="709A7A5C"/>
    <w:rsid w:val="70B054D2"/>
    <w:rsid w:val="70B30B1E"/>
    <w:rsid w:val="70B76860"/>
    <w:rsid w:val="70C66AA3"/>
    <w:rsid w:val="70CE7706"/>
    <w:rsid w:val="70E76A1A"/>
    <w:rsid w:val="70F16E84"/>
    <w:rsid w:val="70F9549B"/>
    <w:rsid w:val="70FA04FB"/>
    <w:rsid w:val="70FF3D63"/>
    <w:rsid w:val="71092E34"/>
    <w:rsid w:val="710E3FA6"/>
    <w:rsid w:val="71127F06"/>
    <w:rsid w:val="71226715"/>
    <w:rsid w:val="713C6D66"/>
    <w:rsid w:val="71445C1A"/>
    <w:rsid w:val="71765B16"/>
    <w:rsid w:val="71A208FD"/>
    <w:rsid w:val="71B11502"/>
    <w:rsid w:val="71C07997"/>
    <w:rsid w:val="71D074AE"/>
    <w:rsid w:val="71F80EDE"/>
    <w:rsid w:val="72203F91"/>
    <w:rsid w:val="724203AC"/>
    <w:rsid w:val="725026E2"/>
    <w:rsid w:val="725325B9"/>
    <w:rsid w:val="725351DA"/>
    <w:rsid w:val="72693B8A"/>
    <w:rsid w:val="727A15DA"/>
    <w:rsid w:val="72987FCC"/>
    <w:rsid w:val="72B1108D"/>
    <w:rsid w:val="72D54D7C"/>
    <w:rsid w:val="72E41463"/>
    <w:rsid w:val="72EA7879"/>
    <w:rsid w:val="730F43F8"/>
    <w:rsid w:val="73104006"/>
    <w:rsid w:val="733A1083"/>
    <w:rsid w:val="7343262D"/>
    <w:rsid w:val="7346093C"/>
    <w:rsid w:val="73490DFC"/>
    <w:rsid w:val="735E7467"/>
    <w:rsid w:val="736F3422"/>
    <w:rsid w:val="73734595"/>
    <w:rsid w:val="73B54BAD"/>
    <w:rsid w:val="73B9469D"/>
    <w:rsid w:val="73DD1399"/>
    <w:rsid w:val="73EE0CA0"/>
    <w:rsid w:val="74356371"/>
    <w:rsid w:val="74485A21"/>
    <w:rsid w:val="744F0B5E"/>
    <w:rsid w:val="74885923"/>
    <w:rsid w:val="749E6B82"/>
    <w:rsid w:val="74D66009"/>
    <w:rsid w:val="74DA48CB"/>
    <w:rsid w:val="752244C4"/>
    <w:rsid w:val="754461E9"/>
    <w:rsid w:val="75623F7A"/>
    <w:rsid w:val="757203DB"/>
    <w:rsid w:val="75750A98"/>
    <w:rsid w:val="757D05AD"/>
    <w:rsid w:val="75862CA5"/>
    <w:rsid w:val="75C010BA"/>
    <w:rsid w:val="75DE663D"/>
    <w:rsid w:val="75E33C54"/>
    <w:rsid w:val="76092CCA"/>
    <w:rsid w:val="76257DC8"/>
    <w:rsid w:val="763837E6"/>
    <w:rsid w:val="76426A32"/>
    <w:rsid w:val="766C59F7"/>
    <w:rsid w:val="767C11D2"/>
    <w:rsid w:val="768A40CF"/>
    <w:rsid w:val="76AF7FDA"/>
    <w:rsid w:val="76DA5057"/>
    <w:rsid w:val="76EA0007"/>
    <w:rsid w:val="76F31C74"/>
    <w:rsid w:val="76FD0D45"/>
    <w:rsid w:val="77130569"/>
    <w:rsid w:val="7714093C"/>
    <w:rsid w:val="771A5453"/>
    <w:rsid w:val="771D5238"/>
    <w:rsid w:val="77242776"/>
    <w:rsid w:val="7726029C"/>
    <w:rsid w:val="77764653"/>
    <w:rsid w:val="77784870"/>
    <w:rsid w:val="77B238DE"/>
    <w:rsid w:val="77B358A8"/>
    <w:rsid w:val="77B876AC"/>
    <w:rsid w:val="77C41863"/>
    <w:rsid w:val="77C43611"/>
    <w:rsid w:val="77C80DE4"/>
    <w:rsid w:val="77C83101"/>
    <w:rsid w:val="77E13BA0"/>
    <w:rsid w:val="77FC724F"/>
    <w:rsid w:val="783B1B25"/>
    <w:rsid w:val="786646C8"/>
    <w:rsid w:val="7871571C"/>
    <w:rsid w:val="78B33397"/>
    <w:rsid w:val="78B54414"/>
    <w:rsid w:val="78BF0CEF"/>
    <w:rsid w:val="78EA76EE"/>
    <w:rsid w:val="78FE2050"/>
    <w:rsid w:val="793D367B"/>
    <w:rsid w:val="7955517B"/>
    <w:rsid w:val="79586707"/>
    <w:rsid w:val="79664F44"/>
    <w:rsid w:val="79D833A4"/>
    <w:rsid w:val="79DF579A"/>
    <w:rsid w:val="79F77CCE"/>
    <w:rsid w:val="79FA5A10"/>
    <w:rsid w:val="7A067F11"/>
    <w:rsid w:val="7A1A0F94"/>
    <w:rsid w:val="7A1B1294"/>
    <w:rsid w:val="7A1B74E4"/>
    <w:rsid w:val="7A1C7878"/>
    <w:rsid w:val="7A2111EE"/>
    <w:rsid w:val="7A2544C3"/>
    <w:rsid w:val="7A37631C"/>
    <w:rsid w:val="7A401675"/>
    <w:rsid w:val="7A546ECE"/>
    <w:rsid w:val="7A603412"/>
    <w:rsid w:val="7A910FA6"/>
    <w:rsid w:val="7A925C48"/>
    <w:rsid w:val="7A955AA3"/>
    <w:rsid w:val="7AB17498"/>
    <w:rsid w:val="7AB20E73"/>
    <w:rsid w:val="7AEB57A3"/>
    <w:rsid w:val="7AF70927"/>
    <w:rsid w:val="7B203254"/>
    <w:rsid w:val="7B3B008E"/>
    <w:rsid w:val="7B4231CA"/>
    <w:rsid w:val="7B424F78"/>
    <w:rsid w:val="7B4B7865"/>
    <w:rsid w:val="7B5C3374"/>
    <w:rsid w:val="7B62481E"/>
    <w:rsid w:val="7B643141"/>
    <w:rsid w:val="7B902188"/>
    <w:rsid w:val="7B971942"/>
    <w:rsid w:val="7B9E3DFA"/>
    <w:rsid w:val="7BB63A0E"/>
    <w:rsid w:val="7BD210AC"/>
    <w:rsid w:val="7C137C33"/>
    <w:rsid w:val="7C1C1C6D"/>
    <w:rsid w:val="7C1F2ED6"/>
    <w:rsid w:val="7C501917"/>
    <w:rsid w:val="7C5C4760"/>
    <w:rsid w:val="7C5E5EE7"/>
    <w:rsid w:val="7C7C270C"/>
    <w:rsid w:val="7C857813"/>
    <w:rsid w:val="7CBE4AD3"/>
    <w:rsid w:val="7CC540B3"/>
    <w:rsid w:val="7CC9189C"/>
    <w:rsid w:val="7CD40EEA"/>
    <w:rsid w:val="7CDC31AB"/>
    <w:rsid w:val="7CF60710"/>
    <w:rsid w:val="7D40373A"/>
    <w:rsid w:val="7D7F551F"/>
    <w:rsid w:val="7D9B4867"/>
    <w:rsid w:val="7DBC3708"/>
    <w:rsid w:val="7DC3365B"/>
    <w:rsid w:val="7DD60D82"/>
    <w:rsid w:val="7DDD6DD3"/>
    <w:rsid w:val="7E2F3AA9"/>
    <w:rsid w:val="7E4F2B52"/>
    <w:rsid w:val="7E573431"/>
    <w:rsid w:val="7E68119A"/>
    <w:rsid w:val="7E6E5448"/>
    <w:rsid w:val="7E7E09BD"/>
    <w:rsid w:val="7E955D07"/>
    <w:rsid w:val="7EC14203"/>
    <w:rsid w:val="7EC16AFC"/>
    <w:rsid w:val="7EDE145C"/>
    <w:rsid w:val="7EEA1BAF"/>
    <w:rsid w:val="7F053548"/>
    <w:rsid w:val="7F1B620C"/>
    <w:rsid w:val="7F231565"/>
    <w:rsid w:val="7F403D11"/>
    <w:rsid w:val="7F631961"/>
    <w:rsid w:val="7F932247"/>
    <w:rsid w:val="7F9E2999"/>
    <w:rsid w:val="7FCA5830"/>
    <w:rsid w:val="7FDD1714"/>
    <w:rsid w:val="7FE42AA2"/>
    <w:rsid w:val="7FE900B8"/>
    <w:rsid w:val="7FF2742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hint="eastAsia" w:ascii="宋体" w:hAnsi="等线" w:eastAsia="等线" w:cs="Times New Roman"/>
      <w:kern w:val="2"/>
      <w:sz w:val="24"/>
      <w:lang w:val="en-US" w:eastAsia="zh-CN" w:bidi="ar-SA"/>
    </w:rPr>
  </w:style>
  <w:style w:type="paragraph" w:styleId="3">
    <w:name w:val="heading 1"/>
    <w:basedOn w:val="1"/>
    <w:next w:val="1"/>
    <w:qFormat/>
    <w:uiPriority w:val="0"/>
    <w:pPr>
      <w:autoSpaceDE w:val="0"/>
      <w:autoSpaceDN w:val="0"/>
      <w:adjustRightInd w:val="0"/>
      <w:jc w:val="left"/>
      <w:outlineLvl w:val="0"/>
    </w:pPr>
    <w:rPr>
      <w:kern w:val="0"/>
      <w:sz w:val="30"/>
    </w:rPr>
  </w:style>
  <w:style w:type="paragraph" w:styleId="4">
    <w:name w:val="heading 2"/>
    <w:basedOn w:val="1"/>
    <w:next w:val="1"/>
    <w:qFormat/>
    <w:uiPriority w:val="0"/>
    <w:pPr>
      <w:autoSpaceDE w:val="0"/>
      <w:autoSpaceDN w:val="0"/>
      <w:adjustRightInd w:val="0"/>
      <w:jc w:val="left"/>
      <w:outlineLvl w:val="1"/>
    </w:pPr>
    <w:rPr>
      <w:kern w:val="0"/>
    </w:rPr>
  </w:style>
  <w:style w:type="paragraph" w:styleId="5">
    <w:name w:val="heading 3"/>
    <w:basedOn w:val="1"/>
    <w:next w:val="1"/>
    <w:link w:val="50"/>
    <w:qFormat/>
    <w:uiPriority w:val="0"/>
    <w:pPr>
      <w:keepNext/>
      <w:keepLines/>
      <w:outlineLvl w:val="2"/>
    </w:pPr>
    <w:rPr>
      <w:rFonts w:hint="default" w:ascii="Times New Roman" w:hAnsi="Times New Roman" w:eastAsia="宋体"/>
      <w:b/>
    </w:rPr>
  </w:style>
  <w:style w:type="paragraph" w:styleId="2">
    <w:name w:val="heading 4"/>
    <w:basedOn w:val="1"/>
    <w:next w:val="1"/>
    <w:qFormat/>
    <w:uiPriority w:val="0"/>
    <w:pPr>
      <w:keepNext/>
      <w:keepLines/>
      <w:spacing w:line="372" w:lineRule="auto"/>
      <w:outlineLvl w:val="3"/>
    </w:pPr>
    <w:rPr>
      <w:rFonts w:ascii="Arial" w:hAnsi="Arial" w:eastAsia="黑体"/>
      <w:b/>
      <w:sz w:val="28"/>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widowControl/>
      <w:ind w:firstLine="420"/>
      <w:jc w:val="left"/>
    </w:pPr>
    <w:rPr>
      <w:kern w:val="0"/>
      <w:sz w:val="20"/>
    </w:rPr>
  </w:style>
  <w:style w:type="paragraph" w:styleId="7">
    <w:name w:val="annotation text"/>
    <w:basedOn w:val="1"/>
    <w:next w:val="1"/>
    <w:qFormat/>
    <w:uiPriority w:val="0"/>
    <w:pPr>
      <w:jc w:val="left"/>
    </w:pPr>
    <w:rPr>
      <w:rFonts w:hint="default" w:ascii="Times New Roman" w:hAnsi="Times New Roman" w:eastAsia="宋体"/>
      <w:sz w:val="21"/>
    </w:rPr>
  </w:style>
  <w:style w:type="paragraph" w:styleId="8">
    <w:name w:val="Body Text"/>
    <w:basedOn w:val="1"/>
    <w:qFormat/>
    <w:uiPriority w:val="0"/>
  </w:style>
  <w:style w:type="paragraph" w:styleId="9">
    <w:name w:val="Body Text Indent"/>
    <w:basedOn w:val="1"/>
    <w:qFormat/>
    <w:uiPriority w:val="0"/>
    <w:pPr>
      <w:ind w:firstLine="560" w:firstLineChars="200"/>
    </w:pPr>
  </w:style>
  <w:style w:type="paragraph" w:styleId="10">
    <w:name w:val="toc 3"/>
    <w:basedOn w:val="1"/>
    <w:next w:val="1"/>
    <w:qFormat/>
    <w:uiPriority w:val="39"/>
    <w:pPr>
      <w:ind w:left="840" w:leftChars="400"/>
    </w:pPr>
  </w:style>
  <w:style w:type="paragraph" w:styleId="11">
    <w:name w:val="Body Text Indent 2"/>
    <w:basedOn w:val="1"/>
    <w:qFormat/>
    <w:uiPriority w:val="0"/>
    <w:pPr>
      <w:spacing w:line="480" w:lineRule="auto"/>
      <w:ind w:firstLine="561"/>
    </w:pPr>
  </w:style>
  <w:style w:type="paragraph" w:styleId="12">
    <w:name w:val="Balloon Text"/>
    <w:basedOn w:val="1"/>
    <w:link w:val="71"/>
    <w:qFormat/>
    <w:uiPriority w:val="0"/>
    <w:rPr>
      <w:sz w:val="18"/>
      <w:szCs w:val="18"/>
    </w:rPr>
  </w:style>
  <w:style w:type="paragraph" w:styleId="13">
    <w:name w:val="footer"/>
    <w:basedOn w:val="1"/>
    <w:next w:val="1"/>
    <w:qFormat/>
    <w:uiPriority w:val="0"/>
    <w:pPr>
      <w:tabs>
        <w:tab w:val="center" w:pos="4153"/>
        <w:tab w:val="right" w:pos="8306"/>
      </w:tabs>
      <w:snapToGrid w:val="0"/>
      <w:jc w:val="left"/>
    </w:pPr>
    <w:rPr>
      <w:sz w:val="18"/>
    </w:rPr>
  </w:style>
  <w:style w:type="paragraph" w:styleId="14">
    <w:name w:val="header"/>
    <w:basedOn w:val="1"/>
    <w:next w:val="13"/>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sz w:val="18"/>
    </w:rPr>
  </w:style>
  <w:style w:type="paragraph" w:styleId="15">
    <w:name w:val="toc 1"/>
    <w:basedOn w:val="16"/>
    <w:next w:val="1"/>
    <w:qFormat/>
    <w:uiPriority w:val="39"/>
  </w:style>
  <w:style w:type="paragraph" w:styleId="16">
    <w:name w:val="index 1"/>
    <w:basedOn w:val="1"/>
    <w:next w:val="1"/>
    <w:unhideWhenUsed/>
    <w:qFormat/>
    <w:uiPriority w:val="0"/>
  </w:style>
  <w:style w:type="paragraph" w:styleId="17">
    <w:name w:val="toc 4"/>
    <w:basedOn w:val="1"/>
    <w:next w:val="1"/>
    <w:qFormat/>
    <w:uiPriority w:val="0"/>
    <w:pPr>
      <w:ind w:left="1260" w:leftChars="600"/>
    </w:pPr>
  </w:style>
  <w:style w:type="paragraph" w:styleId="18">
    <w:name w:val="toc 2"/>
    <w:basedOn w:val="1"/>
    <w:next w:val="1"/>
    <w:qFormat/>
    <w:uiPriority w:val="39"/>
    <w:pPr>
      <w:ind w:left="420" w:leftChars="200"/>
    </w:pPr>
  </w:style>
  <w:style w:type="paragraph" w:styleId="19">
    <w:name w:val="Body Text 2"/>
    <w:basedOn w:val="1"/>
    <w:qFormat/>
    <w:uiPriority w:val="0"/>
    <w:pPr>
      <w:spacing w:line="500" w:lineRule="exact"/>
    </w:pPr>
  </w:style>
  <w:style w:type="paragraph" w:styleId="20">
    <w:name w:val="Normal (Web)"/>
    <w:basedOn w:val="1"/>
    <w:qFormat/>
    <w:uiPriority w:val="0"/>
    <w:pPr>
      <w:widowControl/>
      <w:spacing w:beforeAutospacing="1" w:afterAutospacing="1"/>
      <w:jc w:val="left"/>
    </w:pPr>
    <w:rPr>
      <w:rFonts w:hAnsi="宋体" w:cs="宋体"/>
      <w:color w:val="000000"/>
      <w:kern w:val="0"/>
      <w:szCs w:val="24"/>
    </w:r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0"/>
    <w:rPr>
      <w:b/>
    </w:rPr>
  </w:style>
  <w:style w:type="character" w:styleId="25">
    <w:name w:val="FollowedHyperlink"/>
    <w:basedOn w:val="23"/>
    <w:qFormat/>
    <w:uiPriority w:val="0"/>
    <w:rPr>
      <w:color w:val="333333"/>
      <w:u w:val="none"/>
    </w:rPr>
  </w:style>
  <w:style w:type="character" w:styleId="26">
    <w:name w:val="Emphasis"/>
    <w:basedOn w:val="23"/>
    <w:qFormat/>
    <w:uiPriority w:val="0"/>
    <w:rPr>
      <w:i/>
    </w:rPr>
  </w:style>
  <w:style w:type="character" w:styleId="27">
    <w:name w:val="HTML Variable"/>
    <w:basedOn w:val="23"/>
    <w:qFormat/>
    <w:uiPriority w:val="0"/>
    <w:rPr>
      <w:i/>
    </w:rPr>
  </w:style>
  <w:style w:type="character" w:styleId="28">
    <w:name w:val="Hyperlink"/>
    <w:basedOn w:val="23"/>
    <w:qFormat/>
    <w:uiPriority w:val="0"/>
    <w:rPr>
      <w:color w:val="333333"/>
      <w:u w:val="none"/>
    </w:rPr>
  </w:style>
  <w:style w:type="character" w:styleId="29">
    <w:name w:val="HTML Code"/>
    <w:basedOn w:val="23"/>
    <w:qFormat/>
    <w:uiPriority w:val="0"/>
    <w:rPr>
      <w:rFonts w:ascii="Courier New" w:hAnsi="Courier New"/>
      <w:sz w:val="20"/>
    </w:rPr>
  </w:style>
  <w:style w:type="character" w:styleId="30">
    <w:name w:val="HTML Cite"/>
    <w:basedOn w:val="23"/>
    <w:qFormat/>
    <w:uiPriority w:val="0"/>
    <w:rPr>
      <w:i/>
    </w:rPr>
  </w:style>
  <w:style w:type="paragraph" w:customStyle="1" w:styleId="31">
    <w:name w:val="样式 宋体 行距: 1.5 倍行距"/>
    <w:basedOn w:val="32"/>
    <w:next w:val="1"/>
    <w:qFormat/>
    <w:uiPriority w:val="0"/>
    <w:pPr>
      <w:jc w:val="center"/>
    </w:pPr>
    <w:rPr>
      <w:rFonts w:ascii="Times New Roman" w:hAnsi="Times New Roman" w:cs="Times New Roman"/>
      <w:b/>
    </w:rPr>
  </w:style>
  <w:style w:type="paragraph" w:customStyle="1" w:styleId="32">
    <w:name w:val="正文 New New New New New New New New New New New New New New New New New New New New New New New New New New New New New New New New New New New New New New New New New New New New New New New New New New New New New New New New New New New New New New Ne"/>
    <w:next w:val="31"/>
    <w:qFormat/>
    <w:uiPriority w:val="0"/>
    <w:pPr>
      <w:widowControl w:val="0"/>
      <w:jc w:val="both"/>
    </w:pPr>
    <w:rPr>
      <w:rFonts w:ascii="Calibri" w:hAnsi="Calibri" w:eastAsia="宋体" w:cs="黑体"/>
      <w:kern w:val="2"/>
      <w:sz w:val="21"/>
      <w:szCs w:val="24"/>
      <w:lang w:val="en-US" w:eastAsia="zh-CN" w:bidi="ar-SA"/>
    </w:rPr>
  </w:style>
  <w:style w:type="paragraph" w:customStyle="1" w:styleId="33">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31"/>
    <w:qFormat/>
    <w:uiPriority w:val="0"/>
    <w:pPr>
      <w:widowControl w:val="0"/>
      <w:jc w:val="both"/>
    </w:pPr>
    <w:rPr>
      <w:rFonts w:ascii="Calibri" w:hAnsi="Calibri" w:eastAsia="宋体" w:cs="黑体"/>
      <w:kern w:val="2"/>
      <w:sz w:val="21"/>
      <w:szCs w:val="24"/>
      <w:lang w:val="en-US" w:eastAsia="zh-CN" w:bidi="ar-SA"/>
    </w:rPr>
  </w:style>
  <w:style w:type="paragraph" w:customStyle="1" w:styleId="34">
    <w:name w:val="正文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5">
    <w:name w:val="正文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36">
    <w:name w:val="正文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37">
    <w:name w:val="标题 1 New"/>
    <w:basedOn w:val="36"/>
    <w:next w:val="36"/>
    <w:qFormat/>
    <w:uiPriority w:val="0"/>
    <w:pPr>
      <w:autoSpaceDE w:val="0"/>
      <w:autoSpaceDN w:val="0"/>
      <w:adjustRightInd w:val="0"/>
      <w:jc w:val="left"/>
      <w:outlineLvl w:val="0"/>
    </w:pPr>
    <w:rPr>
      <w:kern w:val="0"/>
      <w:sz w:val="30"/>
    </w:rPr>
  </w:style>
  <w:style w:type="paragraph" w:customStyle="1" w:styleId="38">
    <w:name w:val="标题 2 New New"/>
    <w:basedOn w:val="36"/>
    <w:next w:val="36"/>
    <w:qFormat/>
    <w:uiPriority w:val="0"/>
    <w:pPr>
      <w:autoSpaceDE w:val="0"/>
      <w:autoSpaceDN w:val="0"/>
      <w:adjustRightInd w:val="0"/>
      <w:jc w:val="left"/>
      <w:outlineLvl w:val="1"/>
    </w:pPr>
    <w:rPr>
      <w:kern w:val="0"/>
    </w:rPr>
  </w:style>
  <w:style w:type="paragraph" w:customStyle="1" w:styleId="39">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
    <w:name w:val="Normal Indent1"/>
    <w:basedOn w:val="1"/>
    <w:qFormat/>
    <w:uiPriority w:val="0"/>
    <w:pPr>
      <w:widowControl/>
      <w:spacing w:line="360" w:lineRule="auto"/>
      <w:ind w:firstLine="420"/>
      <w:jc w:val="left"/>
    </w:pPr>
    <w:rPr>
      <w:rFonts w:hAnsi="Times New Roman"/>
      <w:kern w:val="0"/>
      <w:sz w:val="20"/>
    </w:rPr>
  </w:style>
  <w:style w:type="paragraph" w:customStyle="1" w:styleId="41">
    <w:name w:val="正文缩进1"/>
    <w:basedOn w:val="1"/>
    <w:qFormat/>
    <w:uiPriority w:val="0"/>
    <w:pPr>
      <w:widowControl/>
      <w:spacing w:line="360" w:lineRule="auto"/>
      <w:ind w:firstLine="420"/>
      <w:jc w:val="left"/>
    </w:pPr>
    <w:rPr>
      <w:rFonts w:hAnsi="Times New Roman"/>
      <w:kern w:val="0"/>
      <w:sz w:val="20"/>
    </w:rPr>
  </w:style>
  <w:style w:type="paragraph" w:customStyle="1" w:styleId="42">
    <w:name w:val="正文 New New New New New New New New New New New New New New New New New New New New New New New New New New New New New New New New New New New New New New New New New New New New New New New New New New New New New New New New New New New New New New Ne1"/>
    <w:next w:val="31"/>
    <w:qFormat/>
    <w:uiPriority w:val="0"/>
    <w:pPr>
      <w:widowControl w:val="0"/>
      <w:jc w:val="both"/>
    </w:pPr>
    <w:rPr>
      <w:rFonts w:ascii="Calibri" w:hAnsi="Calibri" w:eastAsia="宋体" w:cs="黑体"/>
      <w:kern w:val="2"/>
      <w:sz w:val="21"/>
      <w:szCs w:val="24"/>
      <w:lang w:val="en-US" w:eastAsia="zh-CN" w:bidi="ar-SA"/>
    </w:rPr>
  </w:style>
  <w:style w:type="paragraph" w:customStyle="1" w:styleId="43">
    <w:name w:val="正文 New New New New New New New New New New New New New New New New New New New New New New New New New New New New New New New New New New New New New New New New New New New New New New"/>
    <w:qFormat/>
    <w:uiPriority w:val="0"/>
    <w:pPr>
      <w:widowControl w:val="0"/>
      <w:jc w:val="both"/>
    </w:pPr>
    <w:rPr>
      <w:rFonts w:ascii="Bodoni MT" w:hAnsi="Bodoni MT" w:eastAsia="宋体" w:cs="Bodoni MT"/>
      <w:kern w:val="2"/>
      <w:sz w:val="21"/>
      <w:szCs w:val="24"/>
      <w:lang w:val="en-US" w:eastAsia="zh-CN" w:bidi="ar-SA"/>
    </w:rPr>
  </w:style>
  <w:style w:type="paragraph" w:customStyle="1" w:styleId="44">
    <w:name w:val="正文文本缩进 New New"/>
    <w:basedOn w:val="36"/>
    <w:qFormat/>
    <w:uiPriority w:val="0"/>
    <w:pPr>
      <w:ind w:firstLine="560" w:firstLineChars="200"/>
    </w:pPr>
  </w:style>
  <w:style w:type="paragraph" w:customStyle="1" w:styleId="45">
    <w:name w:val="正文文本缩进 3 New"/>
    <w:basedOn w:val="36"/>
    <w:qFormat/>
    <w:uiPriority w:val="0"/>
    <w:pPr>
      <w:ind w:firstLine="560"/>
    </w:pPr>
    <w:rPr>
      <w:color w:val="FF0000"/>
    </w:rPr>
  </w:style>
  <w:style w:type="paragraph" w:customStyle="1" w:styleId="46">
    <w:name w:val="标题 3 New New New"/>
    <w:basedOn w:val="47"/>
    <w:next w:val="47"/>
    <w:qFormat/>
    <w:uiPriority w:val="0"/>
    <w:pPr>
      <w:keepNext/>
      <w:keepLines/>
      <w:jc w:val="center"/>
      <w:outlineLvl w:val="2"/>
    </w:pPr>
    <w:rPr>
      <w:sz w:val="24"/>
    </w:rPr>
  </w:style>
  <w:style w:type="paragraph" w:customStyle="1" w:styleId="47">
    <w:name w:val="正文缩进 New"/>
    <w:basedOn w:val="48"/>
    <w:qFormat/>
    <w:uiPriority w:val="0"/>
    <w:pPr>
      <w:widowControl/>
      <w:ind w:firstLine="420"/>
      <w:jc w:val="left"/>
    </w:pPr>
    <w:rPr>
      <w:kern w:val="0"/>
      <w:sz w:val="20"/>
    </w:rPr>
  </w:style>
  <w:style w:type="paragraph" w:customStyle="1" w:styleId="48">
    <w:name w:val="正文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49">
    <w:name w:val="正文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character" w:customStyle="1" w:styleId="50">
    <w:name w:val="标题 3 Char"/>
    <w:link w:val="5"/>
    <w:qFormat/>
    <w:uiPriority w:val="0"/>
    <w:rPr>
      <w:rFonts w:hint="default" w:ascii="Times New Roman" w:hAnsi="Times New Roman" w:eastAsia="宋体"/>
      <w:b/>
    </w:rPr>
  </w:style>
  <w:style w:type="character" w:customStyle="1" w:styleId="51">
    <w:name w:val="NormalCharacter"/>
    <w:semiHidden/>
    <w:qFormat/>
    <w:uiPriority w:val="0"/>
    <w:rPr>
      <w:rFonts w:ascii="宋体"/>
      <w:kern w:val="2"/>
      <w:sz w:val="24"/>
      <w:lang w:val="en-US" w:eastAsia="zh-CN" w:bidi="ar-SA"/>
    </w:rPr>
  </w:style>
  <w:style w:type="paragraph" w:customStyle="1" w:styleId="52">
    <w:name w:val="标题 2 New New New"/>
    <w:basedOn w:val="53"/>
    <w:next w:val="53"/>
    <w:qFormat/>
    <w:uiPriority w:val="0"/>
    <w:pPr>
      <w:autoSpaceDE w:val="0"/>
      <w:autoSpaceDN w:val="0"/>
      <w:adjustRightInd w:val="0"/>
      <w:jc w:val="left"/>
      <w:outlineLvl w:val="1"/>
    </w:pPr>
  </w:style>
  <w:style w:type="paragraph" w:customStyle="1" w:styleId="53">
    <w:name w:val="正文 New New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54">
    <w:name w:val="普通(网站) New"/>
    <w:basedOn w:val="55"/>
    <w:qFormat/>
    <w:uiPriority w:val="0"/>
    <w:rPr>
      <w:sz w:val="24"/>
    </w:rPr>
  </w:style>
  <w:style w:type="paragraph" w:customStyle="1" w:styleId="55">
    <w:name w:val="正文 New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6">
    <w:name w:val="正文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57">
    <w:name w:val="正文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58">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59">
    <w:name w:val="YJ22 Char"/>
    <w:link w:val="60"/>
    <w:qFormat/>
    <w:uiPriority w:val="0"/>
    <w:rPr>
      <w:rFonts w:ascii="Times New Roman" w:hAnsi="宋体"/>
      <w:b/>
      <w:kern w:val="0"/>
      <w:sz w:val="20"/>
    </w:rPr>
  </w:style>
  <w:style w:type="paragraph" w:customStyle="1" w:styleId="60">
    <w:name w:val="YJ22"/>
    <w:basedOn w:val="36"/>
    <w:next w:val="36"/>
    <w:link w:val="59"/>
    <w:qFormat/>
    <w:uiPriority w:val="0"/>
    <w:pPr>
      <w:autoSpaceDE w:val="0"/>
      <w:autoSpaceDN w:val="0"/>
      <w:adjustRightInd w:val="0"/>
      <w:jc w:val="left"/>
      <w:outlineLvl w:val="1"/>
    </w:pPr>
    <w:rPr>
      <w:rFonts w:ascii="Times New Roman" w:hAnsi="宋体"/>
      <w:b/>
      <w:kern w:val="0"/>
      <w:sz w:val="20"/>
    </w:rPr>
  </w:style>
  <w:style w:type="paragraph" w:customStyle="1" w:styleId="61">
    <w:name w:val="正文文本缩进 New"/>
    <w:basedOn w:val="62"/>
    <w:qFormat/>
    <w:uiPriority w:val="0"/>
    <w:pPr>
      <w:ind w:firstLine="560" w:firstLineChars="200"/>
    </w:pPr>
  </w:style>
  <w:style w:type="paragraph" w:customStyle="1" w:styleId="62">
    <w:name w:val="正文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63">
    <w:name w:val="正文文本缩进 New New New New"/>
    <w:basedOn w:val="64"/>
    <w:qFormat/>
    <w:uiPriority w:val="0"/>
    <w:pPr>
      <w:ind w:firstLine="560" w:firstLineChars="200"/>
    </w:pPr>
    <w:rPr>
      <w:szCs w:val="28"/>
    </w:rPr>
  </w:style>
  <w:style w:type="paragraph" w:customStyle="1" w:styleId="64">
    <w:name w:val="正文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65">
    <w:name w:val="正文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66">
    <w:name w:val="正文文本缩进 New New New New New New New"/>
    <w:basedOn w:val="65"/>
    <w:qFormat/>
    <w:uiPriority w:val="0"/>
    <w:pPr>
      <w:ind w:left="420" w:leftChars="200"/>
    </w:pPr>
    <w:rPr>
      <w:szCs w:val="24"/>
    </w:rPr>
  </w:style>
  <w:style w:type="paragraph" w:customStyle="1" w:styleId="67">
    <w:name w:val="正文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68">
    <w:name w:val="正文文本缩进 New New New New New New New New"/>
    <w:basedOn w:val="67"/>
    <w:qFormat/>
    <w:uiPriority w:val="0"/>
    <w:pPr>
      <w:ind w:left="420" w:leftChars="200"/>
    </w:pPr>
    <w:rPr>
      <w:szCs w:val="24"/>
    </w:rPr>
  </w:style>
  <w:style w:type="paragraph" w:customStyle="1" w:styleId="69">
    <w:name w:val="正文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70">
    <w:name w:val="页脚 New"/>
    <w:basedOn w:val="36"/>
    <w:qFormat/>
    <w:uiPriority w:val="0"/>
    <w:pPr>
      <w:widowControl/>
      <w:tabs>
        <w:tab w:val="center" w:pos="4153"/>
        <w:tab w:val="right" w:pos="8306"/>
      </w:tabs>
      <w:snapToGrid w:val="0"/>
      <w:jc w:val="left"/>
    </w:pPr>
    <w:rPr>
      <w:kern w:val="0"/>
      <w:sz w:val="18"/>
    </w:rPr>
  </w:style>
  <w:style w:type="character" w:customStyle="1" w:styleId="71">
    <w:name w:val="批注框文本 Char"/>
    <w:basedOn w:val="23"/>
    <w:link w:val="12"/>
    <w:qFormat/>
    <w:uiPriority w:val="0"/>
    <w:rPr>
      <w:rFonts w:ascii="宋体" w:hAnsi="等线" w:eastAsia="等线" w:cs="Times New Roman"/>
      <w:kern w:val="2"/>
      <w:sz w:val="18"/>
      <w:szCs w:val="18"/>
    </w:rPr>
  </w:style>
  <w:style w:type="character" w:customStyle="1" w:styleId="72">
    <w:name w:val="hover21"/>
    <w:basedOn w:val="23"/>
    <w:qFormat/>
    <w:uiPriority w:val="0"/>
    <w:rPr>
      <w:color w:val="5FB878"/>
    </w:rPr>
  </w:style>
  <w:style w:type="character" w:customStyle="1" w:styleId="73">
    <w:name w:val="hover22"/>
    <w:basedOn w:val="23"/>
    <w:qFormat/>
    <w:uiPriority w:val="0"/>
    <w:rPr>
      <w:color w:val="5FB878"/>
    </w:rPr>
  </w:style>
  <w:style w:type="character" w:customStyle="1" w:styleId="74">
    <w:name w:val="hover23"/>
    <w:basedOn w:val="23"/>
    <w:qFormat/>
    <w:uiPriority w:val="0"/>
    <w:rPr>
      <w:color w:val="FFFFFF"/>
    </w:rPr>
  </w:style>
  <w:style w:type="paragraph" w:customStyle="1" w:styleId="75">
    <w:name w:val="正文1"/>
    <w:qFormat/>
    <w:uiPriority w:val="0"/>
    <w:pPr>
      <w:widowControl w:val="0"/>
      <w:spacing w:line="360" w:lineRule="auto"/>
      <w:jc w:val="both"/>
    </w:pPr>
    <w:rPr>
      <w:rFonts w:hint="eastAsia" w:ascii="宋体" w:hAnsi="Calibri" w:eastAsia="宋体" w:cs="Times New Roman"/>
      <w:kern w:val="2"/>
      <w:sz w:val="24"/>
      <w:lang w:val="en-US" w:eastAsia="zh-CN" w:bidi="ar-SA"/>
    </w:rPr>
  </w:style>
  <w:style w:type="paragraph" w:customStyle="1" w:styleId="76">
    <w:name w:val="Default"/>
    <w:basedOn w:val="77"/>
    <w:qFormat/>
    <w:uiPriority w:val="0"/>
    <w:pPr>
      <w:widowControl w:val="0"/>
      <w:autoSpaceDE w:val="0"/>
      <w:autoSpaceDN w:val="0"/>
      <w:adjustRightInd w:val="0"/>
    </w:pPr>
    <w:rPr>
      <w:rFonts w:ascii="华文新魏" w:hAnsi="华文新魏" w:eastAsia="宋体" w:cs="华文新魏"/>
      <w:color w:val="000000"/>
      <w:sz w:val="24"/>
      <w:szCs w:val="24"/>
      <w:lang w:val="en-US" w:eastAsia="zh-CN" w:bidi="ar-SA"/>
    </w:rPr>
  </w:style>
  <w:style w:type="paragraph" w:customStyle="1" w:styleId="77">
    <w:name w:val="批注文字1"/>
    <w:qFormat/>
    <w:uiPriority w:val="0"/>
    <w:pPr>
      <w:widowControl w:val="0"/>
    </w:pPr>
    <w:rPr>
      <w:rFonts w:ascii="Times New Roman" w:hAnsi="Times New Roman" w:eastAsia="宋体" w:cs="Times New Roman"/>
      <w:color w:val="000000"/>
      <w:kern w:val="2"/>
      <w:sz w:val="21"/>
      <w:szCs w:val="24"/>
      <w:lang w:val="en-US" w:eastAsia="zh-CN" w:bidi="ar-SA"/>
    </w:rPr>
  </w:style>
  <w:style w:type="paragraph" w:customStyle="1" w:styleId="78">
    <w:name w:val="Table Text"/>
    <w:basedOn w:val="1"/>
    <w:semiHidden/>
    <w:qFormat/>
    <w:uiPriority w:val="0"/>
    <w:rPr>
      <w:rFonts w:ascii="宋体" w:hAnsi="宋体" w:eastAsia="宋体" w:cs="宋体"/>
      <w:sz w:val="18"/>
      <w:szCs w:val="18"/>
      <w:lang w:val="en-US" w:eastAsia="en-US" w:bidi="ar-SA"/>
    </w:rPr>
  </w:style>
  <w:style w:type="table" w:customStyle="1" w:styleId="79">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117</Pages>
  <Words>1508</Words>
  <Characters>1643</Characters>
  <Lines>731</Lines>
  <Paragraphs>205</Paragraphs>
  <TotalTime>6</TotalTime>
  <ScaleCrop>false</ScaleCrop>
  <LinksUpToDate>false</LinksUpToDate>
  <CharactersWithSpaces>1740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2023-11-10T02:36:00Z</dcterms:created>
  <dc:creator>Chen~小璇</dc:creator>
  <cp:lastModifiedBy>Administrator</cp:lastModifiedBy>
  <cp:lastPrinted>2025-12-01T03:21:00Z</cp:lastPrinted>
  <dcterms:modified xsi:type="dcterms:W3CDTF">2025-12-18T06:27:28Z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ADA0295F56C845B6AD2FD9C0535B9F5B_13</vt:lpwstr>
  </property>
  <property fmtid="{D5CDD505-2E9C-101B-9397-08002B2CF9AE}" pid="4" name="KSOTemplateDocerSaveRecord">
    <vt:lpwstr>eyJoZGlkIjoiOTk3YmY4ZmQ2Y2RhNThjY2JhMzI3NmFjZjM2YTY5MTgiLCJ1c2VySWQiOiIzNTEyNjg2NDQifQ==</vt:lpwstr>
  </property>
</Properties>
</file>