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FDB">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629A1726">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477A190E">
      <w:pPr>
        <w:pStyle w:val="142"/>
        <w:wordWrap w:val="0"/>
        <w:adjustRightInd w:val="0"/>
        <w:snapToGrid w:val="0"/>
        <w:spacing w:line="360" w:lineRule="auto"/>
        <w:jc w:val="center"/>
        <w:rPr>
          <w:rFonts w:eastAsia="宋体"/>
          <w:b/>
          <w:bCs/>
          <w:snapToGrid w:val="0"/>
          <w:color w:val="auto"/>
          <w:kern w:val="0"/>
          <w:sz w:val="44"/>
          <w:szCs w:val="44"/>
          <w:highlight w:val="none"/>
        </w:rPr>
      </w:pPr>
      <w:r>
        <w:rPr>
          <w:rFonts w:hint="eastAsia"/>
          <w:b/>
          <w:snapToGrid w:val="0"/>
          <w:color w:val="auto"/>
          <w:kern w:val="0"/>
          <w:sz w:val="52"/>
          <w:szCs w:val="52"/>
          <w:highlight w:val="none"/>
          <w:lang w:eastAsia="zh-CN"/>
        </w:rPr>
        <w:t>南雄市综合训练馆改造及运营管理服务项目（二次）</w:t>
      </w:r>
    </w:p>
    <w:p w14:paraId="03834F33">
      <w:pPr>
        <w:pStyle w:val="142"/>
        <w:wordWrap w:val="0"/>
        <w:adjustRightInd w:val="0"/>
        <w:snapToGrid w:val="0"/>
        <w:spacing w:line="360" w:lineRule="auto"/>
        <w:rPr>
          <w:rFonts w:eastAsia="宋体"/>
          <w:snapToGrid w:val="0"/>
          <w:color w:val="auto"/>
          <w:kern w:val="0"/>
          <w:sz w:val="36"/>
          <w:highlight w:val="none"/>
          <w:u w:val="single"/>
        </w:rPr>
      </w:pPr>
    </w:p>
    <w:p w14:paraId="5B998233">
      <w:pPr>
        <w:pStyle w:val="142"/>
        <w:wordWrap w:val="0"/>
        <w:adjustRightInd w:val="0"/>
        <w:snapToGrid w:val="0"/>
        <w:spacing w:line="360" w:lineRule="auto"/>
        <w:rPr>
          <w:rFonts w:eastAsia="宋体"/>
          <w:snapToGrid w:val="0"/>
          <w:color w:val="auto"/>
          <w:kern w:val="0"/>
          <w:sz w:val="36"/>
          <w:highlight w:val="none"/>
          <w:u w:val="single"/>
        </w:rPr>
      </w:pPr>
    </w:p>
    <w:p w14:paraId="2B3FF5AF">
      <w:pPr>
        <w:pStyle w:val="142"/>
        <w:wordWrap w:val="0"/>
        <w:adjustRightInd w:val="0"/>
        <w:snapToGrid w:val="0"/>
        <w:spacing w:line="360" w:lineRule="auto"/>
        <w:rPr>
          <w:rFonts w:eastAsia="宋体"/>
          <w:snapToGrid w:val="0"/>
          <w:color w:val="auto"/>
          <w:kern w:val="0"/>
          <w:sz w:val="36"/>
          <w:highlight w:val="none"/>
          <w:u w:val="single"/>
        </w:rPr>
      </w:pPr>
    </w:p>
    <w:p w14:paraId="256737CA">
      <w:pPr>
        <w:pStyle w:val="142"/>
        <w:wordWrap w:val="0"/>
        <w:adjustRightInd w:val="0"/>
        <w:snapToGrid w:val="0"/>
        <w:spacing w:line="360" w:lineRule="auto"/>
        <w:jc w:val="center"/>
        <w:rPr>
          <w:b/>
          <w:bCs/>
          <w:snapToGrid w:val="0"/>
          <w:color w:val="auto"/>
          <w:kern w:val="0"/>
          <w:sz w:val="48"/>
          <w:szCs w:val="48"/>
          <w:highlight w:val="none"/>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08863573">
      <w:pPr>
        <w:wordWrap w:val="0"/>
        <w:adjustRightInd w:val="0"/>
        <w:snapToGrid w:val="0"/>
        <w:jc w:val="center"/>
        <w:rPr>
          <w:rFonts w:ascii="Times New Roman"/>
          <w:b/>
          <w:bCs/>
          <w:snapToGrid w:val="0"/>
          <w:color w:val="auto"/>
          <w:kern w:val="0"/>
          <w:sz w:val="48"/>
          <w:szCs w:val="48"/>
          <w:highlight w:val="none"/>
        </w:rPr>
      </w:pPr>
    </w:p>
    <w:p w14:paraId="5B323767">
      <w:pPr>
        <w:pStyle w:val="17"/>
        <w:rPr>
          <w:color w:val="auto"/>
          <w:highlight w:val="none"/>
        </w:rPr>
      </w:pPr>
    </w:p>
    <w:p w14:paraId="0614223A">
      <w:pPr>
        <w:pStyle w:val="17"/>
        <w:rPr>
          <w:color w:val="auto"/>
          <w:highlight w:val="none"/>
        </w:rPr>
      </w:pPr>
    </w:p>
    <w:p w14:paraId="752440CE">
      <w:pPr>
        <w:rPr>
          <w:color w:val="auto"/>
          <w:highlight w:val="none"/>
        </w:rPr>
      </w:pPr>
    </w:p>
    <w:p w14:paraId="567E52A0">
      <w:pPr>
        <w:rPr>
          <w:color w:val="auto"/>
          <w:highlight w:val="none"/>
        </w:rPr>
      </w:pPr>
    </w:p>
    <w:p w14:paraId="3FFAB464">
      <w:pPr>
        <w:pStyle w:val="17"/>
        <w:rPr>
          <w:color w:val="auto"/>
          <w:highlight w:val="none"/>
        </w:rPr>
      </w:pPr>
    </w:p>
    <w:tbl>
      <w:tblPr>
        <w:tblStyle w:val="47"/>
        <w:tblW w:w="9134" w:type="dxa"/>
        <w:jc w:val="center"/>
        <w:tblLayout w:type="fixed"/>
        <w:tblCellMar>
          <w:top w:w="0" w:type="dxa"/>
          <w:left w:w="0" w:type="dxa"/>
          <w:bottom w:w="0" w:type="dxa"/>
          <w:right w:w="0" w:type="dxa"/>
        </w:tblCellMar>
      </w:tblPr>
      <w:tblGrid>
        <w:gridCol w:w="3448"/>
        <w:gridCol w:w="5686"/>
      </w:tblGrid>
      <w:tr w14:paraId="0DBF359B">
        <w:tblPrEx>
          <w:tblCellMar>
            <w:top w:w="0" w:type="dxa"/>
            <w:left w:w="0" w:type="dxa"/>
            <w:bottom w:w="0" w:type="dxa"/>
            <w:right w:w="0" w:type="dxa"/>
          </w:tblCellMar>
        </w:tblPrEx>
        <w:trPr>
          <w:trHeight w:val="868" w:hRule="atLeast"/>
          <w:jc w:val="center"/>
        </w:trPr>
        <w:tc>
          <w:tcPr>
            <w:tcW w:w="3448" w:type="dxa"/>
            <w:vAlign w:val="center"/>
          </w:tcPr>
          <w:p w14:paraId="7B752F65">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人：</w:t>
            </w:r>
          </w:p>
        </w:tc>
        <w:tc>
          <w:tcPr>
            <w:tcW w:w="5686" w:type="dxa"/>
            <w:vAlign w:val="center"/>
          </w:tcPr>
          <w:p w14:paraId="6BAF777C">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bookmarkStart w:id="0" w:name="OLE_LINK5"/>
            <w:r>
              <w:rPr>
                <w:rFonts w:hint="eastAsia" w:ascii="宋体" w:hAnsi="宋体" w:cs="宋体"/>
                <w:b/>
                <w:bCs/>
                <w:snapToGrid w:val="0"/>
                <w:color w:val="auto"/>
                <w:kern w:val="0"/>
                <w:sz w:val="32"/>
                <w:szCs w:val="32"/>
                <w:highlight w:val="none"/>
                <w:lang w:val="en-US" w:eastAsia="zh-CN"/>
              </w:rPr>
              <w:t>南雄市文化广电旅游体育局</w:t>
            </w:r>
            <w:bookmarkEnd w:id="0"/>
          </w:p>
        </w:tc>
      </w:tr>
      <w:tr w14:paraId="413679BC">
        <w:tblPrEx>
          <w:tblCellMar>
            <w:top w:w="0" w:type="dxa"/>
            <w:left w:w="0" w:type="dxa"/>
            <w:bottom w:w="0" w:type="dxa"/>
            <w:right w:w="0" w:type="dxa"/>
          </w:tblCellMar>
        </w:tblPrEx>
        <w:trPr>
          <w:trHeight w:val="906" w:hRule="atLeast"/>
          <w:jc w:val="center"/>
        </w:trPr>
        <w:tc>
          <w:tcPr>
            <w:tcW w:w="3448" w:type="dxa"/>
            <w:vAlign w:val="center"/>
          </w:tcPr>
          <w:p w14:paraId="216B4093">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代 理 机 构 ：</w:t>
            </w:r>
          </w:p>
        </w:tc>
        <w:tc>
          <w:tcPr>
            <w:tcW w:w="5686" w:type="dxa"/>
            <w:vAlign w:val="center"/>
          </w:tcPr>
          <w:p w14:paraId="38835305">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bookmarkStart w:id="1" w:name="OLE_LINK2"/>
            <w:r>
              <w:rPr>
                <w:rFonts w:hint="eastAsia" w:ascii="宋体" w:hAnsi="宋体" w:cs="宋体"/>
                <w:b/>
                <w:bCs/>
                <w:snapToGrid w:val="0"/>
                <w:color w:val="auto"/>
                <w:kern w:val="0"/>
                <w:sz w:val="32"/>
                <w:szCs w:val="32"/>
                <w:highlight w:val="none"/>
                <w:lang w:eastAsia="zh-CN"/>
              </w:rPr>
              <w:t>韶关市繁盛项目管理有限公司</w:t>
            </w:r>
            <w:bookmarkEnd w:id="1"/>
          </w:p>
        </w:tc>
      </w:tr>
      <w:tr w14:paraId="6A74A753">
        <w:tblPrEx>
          <w:tblCellMar>
            <w:top w:w="0" w:type="dxa"/>
            <w:left w:w="0" w:type="dxa"/>
            <w:bottom w:w="0" w:type="dxa"/>
            <w:right w:w="0" w:type="dxa"/>
          </w:tblCellMar>
        </w:tblPrEx>
        <w:trPr>
          <w:trHeight w:val="1075" w:hRule="atLeast"/>
          <w:jc w:val="center"/>
        </w:trPr>
        <w:tc>
          <w:tcPr>
            <w:tcW w:w="3448" w:type="dxa"/>
            <w:vAlign w:val="center"/>
          </w:tcPr>
          <w:p w14:paraId="023D2684">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招标文件编制日期：</w:t>
            </w:r>
          </w:p>
        </w:tc>
        <w:tc>
          <w:tcPr>
            <w:tcW w:w="5686" w:type="dxa"/>
            <w:vAlign w:val="center"/>
          </w:tcPr>
          <w:p w14:paraId="7B1FEB09">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w:t>
            </w:r>
            <w:r>
              <w:rPr>
                <w:rFonts w:hint="eastAsia" w:ascii="宋体" w:hAnsi="宋体" w:eastAsia="宋体" w:cs="宋体"/>
                <w:b/>
                <w:bCs/>
                <w:snapToGrid w:val="0"/>
                <w:color w:val="auto"/>
                <w:kern w:val="0"/>
                <w:sz w:val="32"/>
                <w:szCs w:val="21"/>
                <w:highlight w:val="none"/>
                <w:lang w:eastAsia="zh-CN"/>
              </w:rPr>
              <w:t>202</w:t>
            </w:r>
            <w:r>
              <w:rPr>
                <w:rFonts w:hint="eastAsia" w:ascii="宋体" w:hAnsi="宋体" w:cs="宋体"/>
                <w:b/>
                <w:bCs/>
                <w:snapToGrid w:val="0"/>
                <w:color w:val="auto"/>
                <w:kern w:val="0"/>
                <w:sz w:val="32"/>
                <w:szCs w:val="21"/>
                <w:highlight w:val="none"/>
                <w:lang w:val="en-US" w:eastAsia="zh-CN"/>
              </w:rPr>
              <w:t>6</w:t>
            </w:r>
            <w:r>
              <w:rPr>
                <w:rFonts w:hint="eastAsia" w:ascii="宋体" w:hAnsi="宋体" w:eastAsia="宋体" w:cs="宋体"/>
                <w:b/>
                <w:bCs/>
                <w:snapToGrid w:val="0"/>
                <w:color w:val="auto"/>
                <w:kern w:val="0"/>
                <w:sz w:val="32"/>
                <w:szCs w:val="21"/>
                <w:highlight w:val="none"/>
                <w:lang w:eastAsia="zh-CN"/>
              </w:rPr>
              <w:t>年</w:t>
            </w:r>
            <w:r>
              <w:rPr>
                <w:rFonts w:hint="eastAsia" w:ascii="宋体" w:hAnsi="宋体" w:cs="宋体"/>
                <w:b/>
                <w:bCs/>
                <w:snapToGrid w:val="0"/>
                <w:color w:val="auto"/>
                <w:kern w:val="0"/>
                <w:sz w:val="32"/>
                <w:szCs w:val="21"/>
                <w:highlight w:val="none"/>
                <w:lang w:val="en-US" w:eastAsia="zh-CN"/>
              </w:rPr>
              <w:t>1</w:t>
            </w:r>
            <w:r>
              <w:rPr>
                <w:rFonts w:hint="eastAsia" w:ascii="宋体" w:hAnsi="宋体" w:eastAsia="宋体" w:cs="宋体"/>
                <w:b/>
                <w:bCs/>
                <w:snapToGrid w:val="0"/>
                <w:color w:val="auto"/>
                <w:kern w:val="0"/>
                <w:sz w:val="32"/>
                <w:szCs w:val="21"/>
                <w:highlight w:val="none"/>
                <w:lang w:eastAsia="zh-CN"/>
              </w:rPr>
              <w:t>月</w:t>
            </w:r>
          </w:p>
        </w:tc>
      </w:tr>
    </w:tbl>
    <w:p w14:paraId="20FC59C4">
      <w:pPr>
        <w:rPr>
          <w:rFonts w:hint="eastAsia" w:ascii="宋体" w:hAnsi="宋体" w:eastAsia="宋体" w:cs="宋体"/>
          <w:color w:val="auto"/>
          <w:sz w:val="52"/>
          <w:szCs w:val="52"/>
          <w:highlight w:val="none"/>
          <w:u w:val="none"/>
          <w:lang w:eastAsia="zh-CN"/>
        </w:rPr>
      </w:pPr>
      <w:r>
        <w:rPr>
          <w:rFonts w:hint="eastAsia" w:ascii="宋体" w:hAnsi="宋体" w:eastAsia="宋体" w:cs="宋体"/>
          <w:color w:val="auto"/>
          <w:sz w:val="52"/>
          <w:szCs w:val="52"/>
          <w:highlight w:val="none"/>
          <w:u w:val="none"/>
          <w:lang w:eastAsia="zh-CN"/>
        </w:rPr>
        <w:br w:type="page"/>
      </w:r>
    </w:p>
    <w:p w14:paraId="1E360B22">
      <w:pPr>
        <w:rPr>
          <w:rFonts w:hint="eastAsia" w:ascii="宋体" w:hAnsi="宋体" w:eastAsia="宋体" w:cs="宋体"/>
          <w:color w:val="auto"/>
          <w:sz w:val="52"/>
          <w:szCs w:val="52"/>
          <w:highlight w:val="none"/>
          <w:u w:val="none"/>
          <w:lang w:eastAsia="zh-CN"/>
        </w:rPr>
      </w:pPr>
      <w:r>
        <w:rPr>
          <w:rFonts w:hint="eastAsia" w:ascii="宋体" w:hAnsi="宋体" w:eastAsia="宋体" w:cs="宋体"/>
          <w:color w:val="auto"/>
          <w:sz w:val="52"/>
          <w:szCs w:val="52"/>
          <w:highlight w:val="none"/>
          <w:u w:val="none"/>
          <w:lang w:eastAsia="zh-CN"/>
        </w:rPr>
        <w:br w:type="page"/>
      </w:r>
    </w:p>
    <w:p w14:paraId="6931AF2B">
      <w:pPr>
        <w:pStyle w:val="10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jc w:val="center"/>
        <w:textAlignment w:val="auto"/>
        <w:rPr>
          <w:rFonts w:hint="eastAsia" w:ascii="宋体" w:hAnsi="宋体" w:eastAsia="宋体" w:cs="宋体"/>
          <w:color w:val="auto"/>
          <w:sz w:val="52"/>
          <w:szCs w:val="52"/>
          <w:highlight w:val="none"/>
          <w:u w:val="none"/>
          <w:lang w:eastAsia="zh-CN"/>
        </w:rPr>
      </w:pPr>
    </w:p>
    <w:p w14:paraId="38C42E2D">
      <w:pPr>
        <w:spacing w:beforeAutospacing="0" w:afterAutospacing="0" w:line="360" w:lineRule="auto"/>
        <w:jc w:val="center"/>
        <w:rPr>
          <w:rFonts w:hint="eastAsia" w:ascii="宋体" w:hAnsi="宋体" w:eastAsia="宋体" w:cs="宋体"/>
          <w:b/>
          <w:bCs/>
          <w:color w:val="auto"/>
          <w:sz w:val="48"/>
          <w:szCs w:val="48"/>
          <w:highlight w:val="none"/>
        </w:rPr>
      </w:pPr>
    </w:p>
    <w:p w14:paraId="557B3ED9">
      <w:pPr>
        <w:spacing w:beforeAutospacing="0" w:afterAutospacing="0" w:line="360" w:lineRule="auto"/>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温 馨 提 示</w:t>
      </w:r>
    </w:p>
    <w:p w14:paraId="29F5E7E9">
      <w:pPr>
        <w:spacing w:beforeAutospacing="0" w:afterAutospacing="0" w:line="360" w:lineRule="auto"/>
        <w:jc w:val="both"/>
        <w:rPr>
          <w:rFonts w:hint="eastAsia" w:ascii="宋体" w:hAnsi="宋体" w:eastAsia="宋体" w:cs="宋体"/>
          <w:color w:val="auto"/>
          <w:kern w:val="16"/>
          <w:sz w:val="48"/>
          <w:szCs w:val="48"/>
          <w:highlight w:val="none"/>
        </w:rPr>
      </w:pPr>
      <w:r>
        <w:rPr>
          <w:rFonts w:hint="eastAsia" w:ascii="宋体" w:hAnsi="宋体" w:eastAsia="宋体" w:cs="宋体"/>
          <w:b/>
          <w:bCs/>
          <w:color w:val="auto"/>
          <w:kern w:val="16"/>
          <w:szCs w:val="21"/>
          <w:highlight w:val="none"/>
        </w:rPr>
        <w:t>（本提示内容非招标文件的组成部分，仅为善意提醒。如有不一致的地方，以招标文件为准）</w:t>
      </w:r>
    </w:p>
    <w:p w14:paraId="2AE37D1D">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一、投标文件递交时间为</w:t>
      </w:r>
      <w:r>
        <w:rPr>
          <w:rFonts w:hint="eastAsia" w:ascii="宋体" w:hAnsi="宋体" w:eastAsia="宋体" w:cs="宋体"/>
          <w:b/>
          <w:bCs/>
          <w:color w:val="auto"/>
          <w:szCs w:val="21"/>
          <w:highlight w:val="none"/>
        </w:rPr>
        <w:t>投标截止时间前30分钟</w:t>
      </w:r>
      <w:r>
        <w:rPr>
          <w:rFonts w:hint="eastAsia" w:ascii="宋体" w:hAnsi="宋体" w:eastAsia="宋体" w:cs="宋体"/>
          <w:color w:val="auto"/>
          <w:szCs w:val="21"/>
          <w:highlight w:val="none"/>
        </w:rPr>
        <w:t>内。为避免因迟到而失去投标资格，</w:t>
      </w:r>
      <w:r>
        <w:rPr>
          <w:rFonts w:hint="eastAsia" w:ascii="宋体" w:hAnsi="宋体" w:eastAsia="宋体" w:cs="宋体"/>
          <w:b/>
          <w:bCs/>
          <w:color w:val="auto"/>
          <w:szCs w:val="21"/>
          <w:highlight w:val="none"/>
        </w:rPr>
        <w:t>请适当提前到达</w:t>
      </w:r>
      <w:r>
        <w:rPr>
          <w:rFonts w:hint="eastAsia" w:ascii="宋体" w:hAnsi="宋体" w:eastAsia="宋体" w:cs="宋体"/>
          <w:color w:val="auto"/>
          <w:szCs w:val="21"/>
          <w:highlight w:val="none"/>
        </w:rPr>
        <w:t>。</w:t>
      </w:r>
    </w:p>
    <w:p w14:paraId="6A79D40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二、投标保证金必须于投标截止时间前到达招标文件指定的投标保证金缴纳</w:t>
      </w:r>
      <w:r>
        <w:rPr>
          <w:rFonts w:hint="eastAsia" w:ascii="宋体" w:hAnsi="宋体" w:eastAsia="宋体" w:cs="宋体"/>
          <w:color w:val="auto"/>
          <w:szCs w:val="21"/>
          <w:highlight w:val="none"/>
          <w:lang w:eastAsia="zh-CN"/>
        </w:rPr>
        <w:t>账户</w:t>
      </w:r>
      <w:r>
        <w:rPr>
          <w:rFonts w:hint="eastAsia" w:ascii="宋体" w:hAnsi="宋体" w:eastAsia="宋体" w:cs="宋体"/>
          <w:color w:val="auto"/>
          <w:szCs w:val="21"/>
          <w:highlight w:val="none"/>
        </w:rPr>
        <w:t>。投标人应充分考虑跨行、异地、网络系统延迟等因素，</w:t>
      </w:r>
      <w:r>
        <w:rPr>
          <w:rFonts w:hint="eastAsia" w:ascii="宋体" w:hAnsi="宋体" w:eastAsia="宋体" w:cs="宋体"/>
          <w:color w:val="auto"/>
          <w:szCs w:val="21"/>
          <w:highlight w:val="none"/>
          <w:lang w:eastAsia="zh-CN"/>
        </w:rPr>
        <w:t>转账</w:t>
      </w:r>
      <w:r>
        <w:rPr>
          <w:rFonts w:hint="eastAsia" w:ascii="宋体" w:hAnsi="宋体" w:eastAsia="宋体" w:cs="宋体"/>
          <w:color w:val="auto"/>
          <w:szCs w:val="21"/>
          <w:highlight w:val="none"/>
        </w:rPr>
        <w:t>当天不一定能够</w:t>
      </w:r>
      <w:r>
        <w:rPr>
          <w:rFonts w:hint="eastAsia" w:ascii="宋体" w:hAnsi="宋体" w:eastAsia="宋体" w:cs="宋体"/>
          <w:color w:val="auto"/>
          <w:szCs w:val="21"/>
          <w:highlight w:val="none"/>
          <w:lang w:eastAsia="zh-CN"/>
        </w:rPr>
        <w:t>到账</w:t>
      </w:r>
      <w:r>
        <w:rPr>
          <w:rFonts w:hint="eastAsia" w:ascii="宋体" w:hAnsi="宋体" w:eastAsia="宋体" w:cs="宋体"/>
          <w:color w:val="auto"/>
          <w:szCs w:val="21"/>
          <w:highlight w:val="none"/>
        </w:rPr>
        <w:t>，为避免因投标保证金</w:t>
      </w:r>
      <w:r>
        <w:rPr>
          <w:rFonts w:hint="eastAsia" w:ascii="宋体" w:hAnsi="宋体" w:eastAsia="宋体" w:cs="宋体"/>
          <w:color w:val="auto"/>
          <w:szCs w:val="21"/>
          <w:highlight w:val="none"/>
          <w:lang w:eastAsia="zh-CN"/>
        </w:rPr>
        <w:t>未到账</w:t>
      </w:r>
      <w:r>
        <w:rPr>
          <w:rFonts w:hint="eastAsia" w:ascii="宋体" w:hAnsi="宋体" w:eastAsia="宋体" w:cs="宋体"/>
          <w:color w:val="auto"/>
          <w:szCs w:val="21"/>
          <w:highlight w:val="none"/>
        </w:rPr>
        <w:t>而导致投标被拒绝，建议</w:t>
      </w:r>
      <w:r>
        <w:rPr>
          <w:rFonts w:hint="eastAsia" w:ascii="宋体" w:hAnsi="宋体" w:eastAsia="宋体" w:cs="宋体"/>
          <w:b/>
          <w:bCs/>
          <w:color w:val="auto"/>
          <w:szCs w:val="21"/>
          <w:highlight w:val="none"/>
        </w:rPr>
        <w:t>至少提前2个工作日</w:t>
      </w:r>
      <w:r>
        <w:rPr>
          <w:rFonts w:hint="eastAsia" w:ascii="宋体" w:hAnsi="宋体" w:eastAsia="宋体" w:cs="宋体"/>
          <w:b/>
          <w:bCs/>
          <w:color w:val="auto"/>
          <w:szCs w:val="21"/>
          <w:highlight w:val="none"/>
          <w:lang w:eastAsia="zh-CN"/>
        </w:rPr>
        <w:t>转账</w:t>
      </w:r>
      <w:r>
        <w:rPr>
          <w:rFonts w:hint="eastAsia" w:ascii="宋体" w:hAnsi="宋体" w:eastAsia="宋体" w:cs="宋体"/>
          <w:color w:val="auto"/>
          <w:szCs w:val="21"/>
          <w:highlight w:val="none"/>
        </w:rPr>
        <w:t>。</w:t>
      </w:r>
    </w:p>
    <w:p w14:paraId="3EC5DA12">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三、投标人请注意</w:t>
      </w:r>
      <w:r>
        <w:rPr>
          <w:rFonts w:hint="eastAsia" w:ascii="宋体" w:hAnsi="宋体" w:eastAsia="宋体" w:cs="宋体"/>
          <w:b/>
          <w:bCs/>
          <w:color w:val="auto"/>
          <w:szCs w:val="21"/>
          <w:highlight w:val="none"/>
        </w:rPr>
        <w:t>区分投标保证金缴纳账户与招标代理服务费缴纳</w:t>
      </w:r>
      <w:r>
        <w:rPr>
          <w:rFonts w:hint="eastAsia" w:ascii="宋体" w:hAnsi="宋体" w:eastAsia="宋体" w:cs="宋体"/>
          <w:b/>
          <w:bCs/>
          <w:color w:val="auto"/>
          <w:szCs w:val="21"/>
          <w:highlight w:val="none"/>
          <w:lang w:eastAsia="zh-CN"/>
        </w:rPr>
        <w:t>账户</w:t>
      </w:r>
      <w:r>
        <w:rPr>
          <w:rFonts w:hint="eastAsia" w:ascii="宋体" w:hAnsi="宋体" w:eastAsia="宋体" w:cs="宋体"/>
          <w:color w:val="auto"/>
          <w:szCs w:val="21"/>
          <w:highlight w:val="none"/>
        </w:rPr>
        <w:t>，切勿转错账户，以免导致无效投标或影响投标保证金退还的速度。</w:t>
      </w:r>
    </w:p>
    <w:p w14:paraId="0EA381A7">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四、重招的招标项目，在第一次招标时已报名的投标人须按重招招标文件要求</w:t>
      </w:r>
      <w:r>
        <w:rPr>
          <w:rFonts w:hint="eastAsia" w:ascii="宋体" w:hAnsi="宋体" w:eastAsia="宋体" w:cs="宋体"/>
          <w:b/>
          <w:bCs/>
          <w:color w:val="auto"/>
          <w:szCs w:val="21"/>
          <w:highlight w:val="none"/>
        </w:rPr>
        <w:t>重新递交报名材料和</w:t>
      </w:r>
      <w:r>
        <w:rPr>
          <w:rFonts w:hint="eastAsia" w:ascii="宋体" w:hAnsi="宋体" w:eastAsia="宋体" w:cs="宋体"/>
          <w:b/>
          <w:bCs/>
          <w:color w:val="auto"/>
          <w:szCs w:val="21"/>
          <w:highlight w:val="none"/>
          <w:lang w:eastAsia="zh-CN"/>
        </w:rPr>
        <w:t>缴纳</w:t>
      </w:r>
      <w:r>
        <w:rPr>
          <w:rFonts w:hint="eastAsia" w:ascii="宋体" w:hAnsi="宋体" w:eastAsia="宋体" w:cs="宋体"/>
          <w:b/>
          <w:bCs/>
          <w:color w:val="auto"/>
          <w:szCs w:val="21"/>
          <w:highlight w:val="none"/>
        </w:rPr>
        <w:t>标书工本费</w:t>
      </w:r>
      <w:r>
        <w:rPr>
          <w:rFonts w:hint="eastAsia" w:ascii="宋体" w:hAnsi="宋体" w:eastAsia="宋体" w:cs="宋体"/>
          <w:color w:val="auto"/>
          <w:szCs w:val="21"/>
          <w:highlight w:val="none"/>
        </w:rPr>
        <w:t>，并</w:t>
      </w:r>
      <w:r>
        <w:rPr>
          <w:rFonts w:hint="eastAsia" w:ascii="宋体" w:hAnsi="宋体" w:eastAsia="宋体" w:cs="宋体"/>
          <w:b/>
          <w:bCs/>
          <w:color w:val="auto"/>
          <w:szCs w:val="21"/>
          <w:highlight w:val="none"/>
        </w:rPr>
        <w:t>重新缴纳投标保证金。</w:t>
      </w:r>
    </w:p>
    <w:p w14:paraId="1FA38988">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五、分包组的招标项目，投标人参与多个包组投标的，应按不同包组</w:t>
      </w:r>
      <w:r>
        <w:rPr>
          <w:rFonts w:hint="eastAsia" w:ascii="宋体" w:hAnsi="宋体" w:eastAsia="宋体" w:cs="宋体"/>
          <w:b/>
          <w:bCs/>
          <w:color w:val="auto"/>
          <w:szCs w:val="21"/>
          <w:highlight w:val="none"/>
        </w:rPr>
        <w:t>分开编制投标文件</w:t>
      </w:r>
      <w:r>
        <w:rPr>
          <w:rFonts w:hint="eastAsia" w:ascii="宋体" w:hAnsi="宋体" w:eastAsia="宋体" w:cs="宋体"/>
          <w:color w:val="auto"/>
          <w:szCs w:val="21"/>
          <w:highlight w:val="none"/>
        </w:rPr>
        <w:t>，并分开密封提交。</w:t>
      </w:r>
    </w:p>
    <w:p w14:paraId="33780EFA">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六、投标文件须按顺序</w:t>
      </w:r>
      <w:r>
        <w:rPr>
          <w:rFonts w:hint="eastAsia" w:ascii="宋体" w:hAnsi="宋体" w:eastAsia="宋体" w:cs="宋体"/>
          <w:b/>
          <w:bCs/>
          <w:color w:val="auto"/>
          <w:szCs w:val="21"/>
          <w:highlight w:val="none"/>
        </w:rPr>
        <w:t>编制页码</w:t>
      </w:r>
      <w:r>
        <w:rPr>
          <w:rFonts w:hint="eastAsia" w:ascii="宋体" w:hAnsi="宋体" w:eastAsia="宋体" w:cs="宋体"/>
          <w:color w:val="auto"/>
          <w:szCs w:val="21"/>
          <w:highlight w:val="none"/>
        </w:rPr>
        <w:t>，并仔细检查是否已按招标文件要求</w:t>
      </w:r>
      <w:r>
        <w:rPr>
          <w:rFonts w:hint="eastAsia" w:ascii="宋体" w:hAnsi="宋体" w:eastAsia="宋体" w:cs="宋体"/>
          <w:b/>
          <w:bCs/>
          <w:color w:val="auto"/>
          <w:szCs w:val="21"/>
          <w:highlight w:val="none"/>
        </w:rPr>
        <w:t>盖章、签名及密封包装</w:t>
      </w:r>
      <w:r>
        <w:rPr>
          <w:rFonts w:hint="eastAsia" w:ascii="宋体" w:hAnsi="宋体" w:eastAsia="宋体" w:cs="宋体"/>
          <w:color w:val="auto"/>
          <w:szCs w:val="21"/>
          <w:highlight w:val="none"/>
        </w:rPr>
        <w:t>。</w:t>
      </w:r>
    </w:p>
    <w:p w14:paraId="1586221C">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七、同一投标人及其授权代表不能以两家投标人名义报名同一项目同一子包，对一家投标人递交两份报名材料的，招标代理机构只接受一份报名材料。</w:t>
      </w:r>
    </w:p>
    <w:p w14:paraId="523F187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八、投标人代表参加开标会应</w:t>
      </w:r>
      <w:r>
        <w:rPr>
          <w:rFonts w:hint="eastAsia" w:ascii="宋体" w:hAnsi="宋体" w:eastAsia="宋体" w:cs="宋体"/>
          <w:b/>
          <w:bCs/>
          <w:color w:val="auto"/>
          <w:szCs w:val="21"/>
          <w:highlight w:val="none"/>
        </w:rPr>
        <w:t>携带本人身份证原件</w:t>
      </w:r>
      <w:r>
        <w:rPr>
          <w:rFonts w:hint="eastAsia" w:ascii="宋体" w:hAnsi="宋体" w:eastAsia="宋体" w:cs="宋体"/>
          <w:color w:val="auto"/>
          <w:szCs w:val="21"/>
          <w:highlight w:val="none"/>
        </w:rPr>
        <w:t>到场，以便招标代理机构开标时核实参会代表是否与投标授权代表一致。</w:t>
      </w:r>
    </w:p>
    <w:p w14:paraId="3BB1DAFA">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九、购买了招标文件的公司决定不参加投标，应在投标截止时间前3日</w:t>
      </w:r>
      <w:r>
        <w:rPr>
          <w:rFonts w:hint="eastAsia" w:ascii="宋体" w:hAnsi="宋体" w:eastAsia="宋体" w:cs="宋体"/>
          <w:b/>
          <w:bCs/>
          <w:color w:val="auto"/>
          <w:szCs w:val="21"/>
          <w:highlight w:val="none"/>
        </w:rPr>
        <w:t>以书面形式通知</w:t>
      </w:r>
      <w:r>
        <w:rPr>
          <w:rFonts w:hint="eastAsia" w:ascii="宋体" w:hAnsi="宋体" w:eastAsia="宋体" w:cs="宋体"/>
          <w:color w:val="auto"/>
          <w:szCs w:val="21"/>
          <w:highlight w:val="none"/>
        </w:rPr>
        <w:t>招标代理机构。</w:t>
      </w:r>
    </w:p>
    <w:p w14:paraId="6FBBDEE9">
      <w:pPr>
        <w:pStyle w:val="19"/>
        <w:rPr>
          <w:rFonts w:hint="eastAsia" w:ascii="宋体" w:hAnsi="宋体" w:eastAsia="宋体" w:cs="宋体"/>
          <w:color w:val="auto"/>
          <w:sz w:val="21"/>
          <w:szCs w:val="21"/>
          <w:highlight w:val="none"/>
        </w:rPr>
        <w:sectPr>
          <w:headerReference r:id="rId3" w:type="default"/>
          <w:pgSz w:w="11905" w:h="16838"/>
          <w:pgMar w:top="1440" w:right="1803" w:bottom="1440" w:left="1803" w:header="283" w:footer="1077" w:gutter="0"/>
          <w:pgNumType w:fmt="decimal" w:start="1"/>
          <w:cols w:space="0" w:num="1"/>
          <w:rtlGutter w:val="0"/>
          <w:docGrid w:type="lines" w:linePitch="317" w:charSpace="0"/>
        </w:sectPr>
      </w:pPr>
    </w:p>
    <w:p w14:paraId="100EE052">
      <w:pPr>
        <w:spacing w:beforeAutospacing="0" w:afterAutospacing="0" w:line="36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目  录</w:t>
      </w:r>
    </w:p>
    <w:p w14:paraId="06FED41C">
      <w:pPr>
        <w:pStyle w:val="109"/>
        <w:spacing w:beforeAutospacing="0" w:afterAutospacing="0" w:line="360" w:lineRule="auto"/>
        <w:rPr>
          <w:rFonts w:hint="eastAsia" w:ascii="宋体" w:hAnsi="宋体" w:eastAsia="宋体" w:cs="宋体"/>
          <w:color w:val="auto"/>
          <w:highlight w:val="none"/>
        </w:rPr>
      </w:pPr>
    </w:p>
    <w:p w14:paraId="454B3BEF">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_Toc27739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第一部分 投标邀请</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_Toc27739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3761598">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_Toc1966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 xml:space="preserve">第二部分 </w:t>
      </w:r>
      <w:r>
        <w:rPr>
          <w:rFonts w:hint="eastAsia" w:ascii="宋体" w:hAnsi="宋体" w:eastAsia="宋体" w:cs="宋体"/>
          <w:b w:val="0"/>
          <w:bCs w:val="0"/>
          <w:color w:val="auto"/>
          <w:sz w:val="28"/>
          <w:szCs w:val="40"/>
          <w:highlight w:val="none"/>
          <w:lang w:eastAsia="zh-CN"/>
        </w:rPr>
        <w:t>采购需求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_Toc1966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01110BE">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_Toc3621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第三部分 投标人须知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_Toc3621 \h </w:instrText>
      </w:r>
      <w:r>
        <w:rPr>
          <w:b w:val="0"/>
          <w:bCs w:val="0"/>
          <w:color w:val="auto"/>
          <w:sz w:val="28"/>
          <w:szCs w:val="28"/>
          <w:highlight w:val="none"/>
        </w:rPr>
        <w:fldChar w:fldCharType="separate"/>
      </w:r>
      <w:r>
        <w:rPr>
          <w:b w:val="0"/>
          <w:bCs w:val="0"/>
          <w:color w:val="auto"/>
          <w:sz w:val="28"/>
          <w:szCs w:val="28"/>
          <w:highlight w:val="none"/>
        </w:rPr>
        <w:t>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D3CA08D">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_Toc18906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第四部分 开标、评标和定标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_Toc18906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FFD27C9">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_Toc16480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w:t>
      </w:r>
      <w:r>
        <w:rPr>
          <w:rFonts w:hint="eastAsia" w:ascii="宋体" w:hAnsi="宋体" w:eastAsia="宋体" w:cs="宋体"/>
          <w:b w:val="0"/>
          <w:bCs w:val="0"/>
          <w:color w:val="auto"/>
          <w:sz w:val="28"/>
          <w:szCs w:val="40"/>
          <w:highlight w:val="none"/>
          <w:lang w:val="en-US" w:eastAsia="zh-CN"/>
        </w:rPr>
        <w:t>五</w:t>
      </w:r>
      <w:r>
        <w:rPr>
          <w:rFonts w:hint="eastAsia" w:ascii="宋体" w:hAnsi="宋体" w:eastAsia="宋体" w:cs="宋体"/>
          <w:b w:val="0"/>
          <w:bCs w:val="0"/>
          <w:color w:val="auto"/>
          <w:sz w:val="28"/>
          <w:szCs w:val="40"/>
          <w:highlight w:val="none"/>
        </w:rPr>
        <w:t xml:space="preserve">部分 </w:t>
      </w:r>
      <w:r>
        <w:rPr>
          <w:rFonts w:hint="eastAsia" w:cs="宋体"/>
          <w:b w:val="0"/>
          <w:bCs w:val="0"/>
          <w:color w:val="auto"/>
          <w:sz w:val="28"/>
          <w:szCs w:val="40"/>
          <w:highlight w:val="none"/>
          <w:lang w:val="en-US" w:eastAsia="zh-CN"/>
        </w:rPr>
        <w:t>合同书格式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_Toc16480 \h </w:instrText>
      </w:r>
      <w:r>
        <w:rPr>
          <w:b w:val="0"/>
          <w:bCs w:val="0"/>
          <w:color w:val="auto"/>
          <w:sz w:val="28"/>
          <w:szCs w:val="28"/>
          <w:highlight w:val="none"/>
        </w:rPr>
        <w:fldChar w:fldCharType="separate"/>
      </w:r>
      <w:r>
        <w:rPr>
          <w:b w:val="0"/>
          <w:bCs w:val="0"/>
          <w:color w:val="auto"/>
          <w:sz w:val="28"/>
          <w:szCs w:val="28"/>
          <w:highlight w:val="none"/>
        </w:rPr>
        <w:t>29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0216245">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_Toc11647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第六部分 投标文件格式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_Toc11647 \h </w:instrText>
      </w:r>
      <w:r>
        <w:rPr>
          <w:b w:val="0"/>
          <w:bCs w:val="0"/>
          <w:color w:val="auto"/>
          <w:sz w:val="28"/>
          <w:szCs w:val="28"/>
          <w:highlight w:val="none"/>
        </w:rPr>
        <w:fldChar w:fldCharType="separate"/>
      </w:r>
      <w:r>
        <w:rPr>
          <w:b w:val="0"/>
          <w:bCs w:val="0"/>
          <w:color w:val="auto"/>
          <w:sz w:val="28"/>
          <w:szCs w:val="28"/>
          <w:highlight w:val="none"/>
        </w:rPr>
        <w:t>29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FB9B852">
      <w:pPr>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2"/>
          <w:szCs w:val="28"/>
          <w:highlight w:val="none"/>
        </w:rPr>
        <w:fldChar w:fldCharType="end"/>
      </w:r>
    </w:p>
    <w:p w14:paraId="7EBC0BF4">
      <w:pPr>
        <w:spacing w:beforeAutospacing="0" w:afterAutospacing="0" w:line="360" w:lineRule="auto"/>
        <w:rPr>
          <w:rFonts w:hint="eastAsia" w:ascii="宋体" w:hAnsi="宋体" w:eastAsia="宋体" w:cs="宋体"/>
          <w:color w:val="auto"/>
          <w:highlight w:val="none"/>
        </w:rPr>
      </w:pPr>
    </w:p>
    <w:p w14:paraId="154B0391">
      <w:pPr>
        <w:spacing w:beforeAutospacing="0" w:afterAutospacing="0" w:line="360" w:lineRule="auto"/>
        <w:rPr>
          <w:rFonts w:hint="eastAsia" w:ascii="宋体" w:hAnsi="宋体" w:eastAsia="宋体" w:cs="宋体"/>
          <w:color w:val="auto"/>
          <w:highlight w:val="none"/>
        </w:rPr>
      </w:pPr>
    </w:p>
    <w:p w14:paraId="5032CE3C">
      <w:pPr>
        <w:spacing w:beforeAutospacing="0" w:afterAutospacing="0" w:line="360" w:lineRule="auto"/>
        <w:rPr>
          <w:rFonts w:hint="eastAsia" w:ascii="宋体" w:hAnsi="宋体" w:eastAsia="宋体" w:cs="宋体"/>
          <w:color w:val="auto"/>
          <w:highlight w:val="none"/>
        </w:rPr>
      </w:pPr>
    </w:p>
    <w:p w14:paraId="7B1CC774">
      <w:pPr>
        <w:pStyle w:val="109"/>
        <w:spacing w:beforeAutospacing="0" w:afterAutospacing="0" w:line="360" w:lineRule="auto"/>
        <w:rPr>
          <w:rFonts w:hint="eastAsia" w:ascii="宋体" w:hAnsi="宋体" w:eastAsia="宋体" w:cs="宋体"/>
          <w:color w:val="auto"/>
          <w:highlight w:val="none"/>
        </w:rPr>
      </w:pPr>
    </w:p>
    <w:p w14:paraId="43B0416A">
      <w:pPr>
        <w:pStyle w:val="109"/>
        <w:spacing w:beforeAutospacing="0" w:afterAutospacing="0" w:line="360" w:lineRule="auto"/>
        <w:rPr>
          <w:rFonts w:hint="eastAsia" w:ascii="宋体" w:hAnsi="宋体" w:eastAsia="宋体" w:cs="宋体"/>
          <w:color w:val="auto"/>
          <w:highlight w:val="none"/>
        </w:rPr>
      </w:pPr>
    </w:p>
    <w:p w14:paraId="2512686A">
      <w:pPr>
        <w:pStyle w:val="109"/>
        <w:spacing w:beforeAutospacing="0" w:afterAutospacing="0" w:line="360" w:lineRule="auto"/>
        <w:rPr>
          <w:rFonts w:hint="eastAsia" w:ascii="宋体" w:hAnsi="宋体" w:eastAsia="宋体" w:cs="宋体"/>
          <w:color w:val="auto"/>
          <w:highlight w:val="none"/>
        </w:rPr>
      </w:pPr>
    </w:p>
    <w:p w14:paraId="33D4EFE8">
      <w:pPr>
        <w:pStyle w:val="109"/>
        <w:spacing w:beforeAutospacing="0" w:afterAutospacing="0" w:line="360" w:lineRule="auto"/>
        <w:rPr>
          <w:rFonts w:hint="eastAsia" w:ascii="宋体" w:hAnsi="宋体" w:eastAsia="宋体" w:cs="宋体"/>
          <w:color w:val="auto"/>
          <w:highlight w:val="none"/>
        </w:rPr>
      </w:pPr>
    </w:p>
    <w:p w14:paraId="72595C79">
      <w:pPr>
        <w:pStyle w:val="109"/>
        <w:spacing w:beforeAutospacing="0" w:afterAutospacing="0" w:line="360" w:lineRule="auto"/>
        <w:rPr>
          <w:rFonts w:hint="eastAsia" w:ascii="宋体" w:hAnsi="宋体" w:eastAsia="宋体" w:cs="宋体"/>
          <w:color w:val="auto"/>
          <w:highlight w:val="none"/>
        </w:rPr>
      </w:pPr>
    </w:p>
    <w:p w14:paraId="47C8A1A0">
      <w:pPr>
        <w:pStyle w:val="109"/>
        <w:spacing w:beforeAutospacing="0" w:afterAutospacing="0" w:line="360" w:lineRule="auto"/>
        <w:rPr>
          <w:rFonts w:hint="eastAsia" w:ascii="宋体" w:hAnsi="宋体" w:eastAsia="宋体" w:cs="宋体"/>
          <w:color w:val="auto"/>
          <w:highlight w:val="none"/>
        </w:rPr>
      </w:pPr>
    </w:p>
    <w:p w14:paraId="040D55C8">
      <w:pPr>
        <w:pStyle w:val="109"/>
        <w:spacing w:beforeAutospacing="0" w:afterAutospacing="0" w:line="360" w:lineRule="auto"/>
        <w:rPr>
          <w:rFonts w:hint="eastAsia" w:ascii="宋体" w:hAnsi="宋体" w:eastAsia="宋体" w:cs="宋体"/>
          <w:color w:val="auto"/>
          <w:highlight w:val="none"/>
        </w:rPr>
      </w:pPr>
    </w:p>
    <w:p w14:paraId="4D23BF7A">
      <w:pPr>
        <w:pStyle w:val="109"/>
        <w:spacing w:beforeAutospacing="0" w:afterAutospacing="0" w:line="360" w:lineRule="auto"/>
        <w:rPr>
          <w:rFonts w:hint="eastAsia" w:ascii="宋体" w:hAnsi="宋体" w:eastAsia="宋体" w:cs="宋体"/>
          <w:color w:val="auto"/>
          <w:highlight w:val="none"/>
        </w:rPr>
      </w:pPr>
    </w:p>
    <w:p w14:paraId="67B67951">
      <w:pPr>
        <w:pStyle w:val="109"/>
        <w:spacing w:beforeAutospacing="0" w:afterAutospacing="0" w:line="360" w:lineRule="auto"/>
        <w:rPr>
          <w:rFonts w:hint="eastAsia" w:ascii="宋体" w:hAnsi="宋体" w:eastAsia="宋体" w:cs="宋体"/>
          <w:color w:val="auto"/>
          <w:highlight w:val="none"/>
        </w:rPr>
      </w:pPr>
    </w:p>
    <w:p w14:paraId="623FBC13">
      <w:pPr>
        <w:pStyle w:val="109"/>
        <w:spacing w:beforeAutospacing="0" w:afterAutospacing="0" w:line="360" w:lineRule="auto"/>
        <w:rPr>
          <w:rFonts w:hint="eastAsia" w:ascii="宋体" w:hAnsi="宋体" w:eastAsia="宋体" w:cs="宋体"/>
          <w:color w:val="auto"/>
          <w:highlight w:val="none"/>
        </w:rPr>
      </w:pPr>
    </w:p>
    <w:p w14:paraId="5F2616EC">
      <w:pPr>
        <w:pStyle w:val="109"/>
        <w:spacing w:beforeAutospacing="0" w:afterAutospacing="0" w:line="360" w:lineRule="auto"/>
        <w:rPr>
          <w:rFonts w:hint="eastAsia" w:ascii="宋体" w:hAnsi="宋体" w:eastAsia="宋体" w:cs="宋体"/>
          <w:color w:val="auto"/>
          <w:highlight w:val="none"/>
        </w:rPr>
      </w:pPr>
    </w:p>
    <w:p w14:paraId="7B534E91">
      <w:pPr>
        <w:pStyle w:val="109"/>
        <w:spacing w:beforeAutospacing="0" w:afterAutospacing="0" w:line="360" w:lineRule="auto"/>
        <w:rPr>
          <w:rFonts w:hint="eastAsia" w:ascii="宋体" w:hAnsi="宋体" w:eastAsia="宋体" w:cs="宋体"/>
          <w:color w:val="auto"/>
          <w:highlight w:val="none"/>
        </w:rPr>
      </w:pPr>
    </w:p>
    <w:p w14:paraId="4CB7EDE0">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highlight w:val="none"/>
        </w:rPr>
        <w:sectPr>
          <w:footerReference r:id="rId4" w:type="default"/>
          <w:pgSz w:w="11905" w:h="16838"/>
          <w:pgMar w:top="1440" w:right="1803" w:bottom="1440" w:left="1803" w:header="283" w:footer="1077" w:gutter="0"/>
          <w:pgNumType w:fmt="decimal" w:start="1"/>
          <w:cols w:space="0" w:num="1"/>
          <w:rtlGutter w:val="0"/>
          <w:docGrid w:type="lines" w:linePitch="317" w:charSpace="0"/>
        </w:sectPr>
      </w:pPr>
      <w:bookmarkStart w:id="2" w:name="_Toc27739"/>
    </w:p>
    <w:p w14:paraId="58E8A60B">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41" w:lineRule="auto"/>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投标邀请</w:t>
      </w:r>
      <w:bookmarkEnd w:id="2"/>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19D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720" w:type="dxa"/>
          </w:tcPr>
          <w:p w14:paraId="4F4C25BF">
            <w:pPr>
              <w:pStyle w:val="4"/>
              <w:keepNext w:val="0"/>
              <w:keepLines w:val="0"/>
              <w:pageBreakBefore w:val="0"/>
              <w:widowControl w:val="0"/>
              <w:kinsoku/>
              <w:wordWrap/>
              <w:overflowPunct/>
              <w:topLinePunct w:val="0"/>
              <w:bidi w:val="0"/>
              <w:spacing w:before="0" w:beforeAutospacing="0" w:after="0" w:afterAutospacing="0" w:line="34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4E65503B">
            <w:pPr>
              <w:pStyle w:val="4"/>
              <w:keepNext w:val="0"/>
              <w:keepLines w:val="0"/>
              <w:pageBreakBefore w:val="0"/>
              <w:widowControl w:val="0"/>
              <w:kinsoku/>
              <w:wordWrap/>
              <w:overflowPunct/>
              <w:topLinePunct w:val="0"/>
              <w:bidi w:val="0"/>
              <w:spacing w:before="0" w:beforeAutospacing="0" w:after="0" w:afterAutospacing="0" w:line="341" w:lineRule="auto"/>
              <w:ind w:firstLine="420" w:firstLineChars="200"/>
              <w:rPr>
                <w:rFonts w:hint="eastAsia"/>
                <w:color w:val="auto"/>
                <w:highlight w:val="none"/>
                <w:vertAlign w:val="baseline"/>
              </w:rPr>
            </w:pPr>
            <w:r>
              <w:rPr>
                <w:rFonts w:hint="eastAsia" w:cs="宋体"/>
                <w:color w:val="auto"/>
                <w:sz w:val="21"/>
                <w:szCs w:val="21"/>
                <w:highlight w:val="none"/>
                <w:u w:val="single"/>
                <w:lang w:eastAsia="zh-CN"/>
              </w:rPr>
              <w:t>南雄市综合训练馆改造及运营管理服务项目（</w:t>
            </w:r>
            <w:r>
              <w:rPr>
                <w:rFonts w:hint="eastAsia" w:cs="宋体"/>
                <w:color w:val="auto"/>
                <w:sz w:val="21"/>
                <w:szCs w:val="21"/>
                <w:highlight w:val="none"/>
                <w:u w:val="single"/>
                <w:lang w:val="en-US" w:eastAsia="zh-CN"/>
              </w:rPr>
              <w:t>二次</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全国公共资源交易平台（广东省·韶关市）</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HYPERLINK "http://portal.ythpt.sg.gov.cn）或产权招标交易系统）获取招标文件，并于2023年" </w:instrText>
            </w:r>
            <w:r>
              <w:rPr>
                <w:rFonts w:hint="eastAsia" w:ascii="宋体" w:hAnsi="宋体" w:eastAsia="宋体" w:cs="宋体"/>
                <w:color w:val="auto"/>
                <w:sz w:val="21"/>
                <w:szCs w:val="21"/>
                <w:highlight w:val="none"/>
                <w:u w:val="single"/>
                <w:lang w:val="en-US" w:eastAsia="zh-CN"/>
              </w:rPr>
              <w:fldChar w:fldCharType="separate"/>
            </w:r>
            <w:r>
              <w:rPr>
                <w:rFonts w:hint="eastAsia" w:ascii="宋体" w:hAnsi="宋体" w:eastAsia="宋体" w:cs="宋体"/>
                <w:color w:val="auto"/>
                <w:sz w:val="21"/>
                <w:szCs w:val="21"/>
                <w:highlight w:val="none"/>
                <w:u w:val="single"/>
                <w:lang w:val="en-US" w:eastAsia="zh-CN"/>
              </w:rPr>
              <w:t>“</w:t>
            </w:r>
            <w:r>
              <w:rPr>
                <w:rStyle w:val="54"/>
                <w:rFonts w:hint="eastAsia" w:ascii="宋体" w:hAnsi="宋体" w:eastAsia="宋体" w:cs="宋体"/>
                <w:color w:val="auto"/>
                <w:sz w:val="21"/>
                <w:szCs w:val="21"/>
                <w:highlight w:val="none"/>
                <w:lang w:val="en-US" w:eastAsia="zh-CN"/>
              </w:rPr>
              <w:t>产权招标交易系统</w:t>
            </w:r>
            <w:r>
              <w:rPr>
                <w:rFonts w:hint="eastAsia" w:ascii="宋体" w:hAnsi="宋体" w:eastAsia="宋体" w:cs="宋体"/>
                <w:color w:val="auto"/>
                <w:sz w:val="21"/>
                <w:szCs w:val="21"/>
                <w:highlight w:val="none"/>
                <w:u w:val="single"/>
                <w:lang w:val="en-US" w:eastAsia="zh-CN"/>
              </w:rPr>
              <w:t>”</w:t>
            </w:r>
            <w:r>
              <w:rPr>
                <w:rStyle w:val="54"/>
                <w:rFonts w:hint="eastAsia" w:ascii="宋体" w:hAnsi="宋体" w:eastAsia="宋体" w:cs="宋体"/>
                <w:color w:val="auto"/>
                <w:sz w:val="21"/>
                <w:szCs w:val="21"/>
                <w:highlight w:val="none"/>
              </w:rPr>
              <w:t>获取招标文件，并于202</w:t>
            </w:r>
            <w:r>
              <w:rPr>
                <w:rStyle w:val="54"/>
                <w:rFonts w:hint="eastAsia" w:cs="宋体"/>
                <w:color w:val="auto"/>
                <w:sz w:val="21"/>
                <w:szCs w:val="21"/>
                <w:highlight w:val="none"/>
                <w:lang w:val="en-US" w:eastAsia="zh-CN"/>
              </w:rPr>
              <w:t>6</w:t>
            </w:r>
            <w:r>
              <w:rPr>
                <w:rStyle w:val="54"/>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fldChar w:fldCharType="end"/>
            </w:r>
            <w:r>
              <w:rPr>
                <w:rFonts w:hint="eastAsia"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u w:val="single"/>
              </w:rPr>
              <w:t>月</w:t>
            </w:r>
            <w:r>
              <w:rPr>
                <w:rFonts w:hint="eastAsia" w:cs="宋体"/>
                <w:color w:val="auto"/>
                <w:sz w:val="21"/>
                <w:szCs w:val="21"/>
                <w:highlight w:val="none"/>
                <w:u w:val="single"/>
                <w:lang w:val="en-US" w:eastAsia="zh-CN"/>
              </w:rPr>
              <w:t xml:space="preserve"> 25 </w:t>
            </w:r>
            <w:r>
              <w:rPr>
                <w:rFonts w:hint="eastAsia" w:ascii="宋体" w:hAnsi="宋体" w:eastAsia="宋体" w:cs="宋体"/>
                <w:color w:val="auto"/>
                <w:sz w:val="21"/>
                <w:szCs w:val="21"/>
                <w:highlight w:val="none"/>
                <w:u w:val="single"/>
              </w:rPr>
              <w:t>日</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点</w:t>
            </w:r>
            <w:r>
              <w:rPr>
                <w:rFonts w:hint="eastAsia"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分（北京时间）</w:t>
            </w:r>
            <w:r>
              <w:rPr>
                <w:rFonts w:hint="eastAsia" w:ascii="宋体" w:hAnsi="宋体" w:eastAsia="宋体" w:cs="宋体"/>
                <w:color w:val="auto"/>
                <w:sz w:val="21"/>
                <w:szCs w:val="21"/>
                <w:highlight w:val="none"/>
              </w:rPr>
              <w:t>前递交投标文件。</w:t>
            </w:r>
          </w:p>
        </w:tc>
      </w:tr>
    </w:tbl>
    <w:p w14:paraId="3C46C703">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3" w:name="_Hlk24379207"/>
      <w:r>
        <w:rPr>
          <w:rFonts w:hint="eastAsia" w:ascii="宋体" w:hAnsi="宋体" w:eastAsia="宋体" w:cs="宋体"/>
          <w:b/>
          <w:bCs/>
          <w:color w:val="auto"/>
          <w:sz w:val="21"/>
          <w:szCs w:val="21"/>
          <w:highlight w:val="none"/>
        </w:rPr>
        <w:t>一、项目基本情况</w:t>
      </w:r>
    </w:p>
    <w:p w14:paraId="06B2C6CC">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1.项目编号：FSZB-2025-032</w:t>
      </w:r>
    </w:p>
    <w:p w14:paraId="3AE1B8F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2.项目名称：</w:t>
      </w:r>
      <w:bookmarkEnd w:id="3"/>
      <w:r>
        <w:rPr>
          <w:rFonts w:hint="eastAsia" w:ascii="宋体" w:hAnsi="宋体" w:cs="宋体"/>
          <w:color w:val="auto"/>
          <w:kern w:val="2"/>
          <w:sz w:val="21"/>
          <w:szCs w:val="21"/>
          <w:highlight w:val="none"/>
          <w:lang w:val="en-US" w:eastAsia="zh-CN" w:bidi="ar-SA"/>
        </w:rPr>
        <w:t>南雄市综合训练馆改造及运营管理服务项目（二次）</w:t>
      </w:r>
    </w:p>
    <w:p w14:paraId="58A20952">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3.招标方式：公开招标</w:t>
      </w:r>
    </w:p>
    <w:p w14:paraId="2901C82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采购需求：(包括但不限于标的的名称、数量、简要技术需求或服务要求等)</w:t>
      </w:r>
    </w:p>
    <w:p w14:paraId="53F5A946">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标的名称：</w:t>
      </w:r>
      <w:r>
        <w:rPr>
          <w:rFonts w:hint="eastAsia" w:ascii="宋体" w:hAnsi="宋体" w:cs="宋体"/>
          <w:color w:val="auto"/>
          <w:kern w:val="2"/>
          <w:sz w:val="21"/>
          <w:szCs w:val="21"/>
          <w:highlight w:val="none"/>
          <w:lang w:val="en-US" w:eastAsia="zh-CN" w:bidi="ar-SA"/>
        </w:rPr>
        <w:t>南雄市综合训练馆改造及运营管理服务项目（二次）</w:t>
      </w:r>
    </w:p>
    <w:p w14:paraId="4596A601">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标的数量：1项</w:t>
      </w:r>
    </w:p>
    <w:p w14:paraId="770B13E8">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简要技术需求或服务要求：</w:t>
      </w:r>
    </w:p>
    <w:tbl>
      <w:tblPr>
        <w:tblStyle w:val="47"/>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598"/>
        <w:gridCol w:w="888"/>
        <w:gridCol w:w="1692"/>
        <w:gridCol w:w="1888"/>
        <w:gridCol w:w="1"/>
        <w:gridCol w:w="1887"/>
        <w:gridCol w:w="1888"/>
      </w:tblGrid>
      <w:tr w14:paraId="40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3" w:type="pct"/>
            <w:noWrap/>
            <w:vAlign w:val="center"/>
          </w:tcPr>
          <w:p w14:paraId="5B95CB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82" w:type="pct"/>
            <w:noWrap/>
            <w:vAlign w:val="center"/>
          </w:tcPr>
          <w:p w14:paraId="2267CC8A">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val="en-US" w:eastAsia="zh-CN"/>
              </w:rPr>
              <w:t>内容</w:t>
            </w:r>
          </w:p>
        </w:tc>
        <w:tc>
          <w:tcPr>
            <w:tcW w:w="434" w:type="pct"/>
            <w:noWrap/>
            <w:vAlign w:val="center"/>
          </w:tcPr>
          <w:p w14:paraId="36F251C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828" w:type="pct"/>
            <w:noWrap/>
            <w:vAlign w:val="center"/>
          </w:tcPr>
          <w:p w14:paraId="42F2738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主要技术要求</w:t>
            </w:r>
          </w:p>
        </w:tc>
        <w:tc>
          <w:tcPr>
            <w:tcW w:w="924" w:type="pct"/>
            <w:gridSpan w:val="2"/>
            <w:vMerge w:val="restart"/>
            <w:noWrap/>
            <w:vAlign w:val="center"/>
          </w:tcPr>
          <w:p w14:paraId="203A4872">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年总租金(元）</w:t>
            </w:r>
          </w:p>
        </w:tc>
        <w:tc>
          <w:tcPr>
            <w:tcW w:w="923" w:type="pct"/>
            <w:vMerge w:val="restart"/>
            <w:noWrap/>
            <w:vAlign w:val="center"/>
          </w:tcPr>
          <w:p w14:paraId="2650D821">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10年运营总租金（元）</w:t>
            </w:r>
          </w:p>
        </w:tc>
        <w:tc>
          <w:tcPr>
            <w:tcW w:w="924" w:type="pct"/>
            <w:noWrap/>
            <w:vAlign w:val="center"/>
          </w:tcPr>
          <w:p w14:paraId="66CDF17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土地租赁使用权使用期限</w:t>
            </w:r>
          </w:p>
        </w:tc>
      </w:tr>
      <w:tr w14:paraId="009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83" w:type="pct"/>
            <w:noWrap/>
            <w:vAlign w:val="center"/>
          </w:tcPr>
          <w:p w14:paraId="4C80D0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2" w:type="pct"/>
            <w:noWrap/>
            <w:vAlign w:val="center"/>
          </w:tcPr>
          <w:p w14:paraId="6FC8E92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南雄市综合训练馆改造及运营管理服务项目（二次）</w:t>
            </w:r>
          </w:p>
        </w:tc>
        <w:tc>
          <w:tcPr>
            <w:tcW w:w="434" w:type="pct"/>
            <w:noWrap/>
            <w:vAlign w:val="center"/>
          </w:tcPr>
          <w:p w14:paraId="48BD13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28" w:type="pct"/>
            <w:noWrap/>
            <w:vAlign w:val="center"/>
          </w:tcPr>
          <w:p w14:paraId="3BF7AD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详见招标文件《第二部分 采购需求》</w:t>
            </w:r>
          </w:p>
        </w:tc>
        <w:tc>
          <w:tcPr>
            <w:tcW w:w="924" w:type="pct"/>
            <w:noWrap/>
            <w:vAlign w:val="center"/>
          </w:tcPr>
          <w:p w14:paraId="572DFEA1">
            <w:pPr>
              <w:spacing w:line="360" w:lineRule="auto"/>
              <w:jc w:val="center"/>
              <w:rPr>
                <w:rFonts w:hint="default" w:ascii="宋体" w:hAnsi="宋体" w:eastAsia="宋体" w:cs="宋体"/>
                <w:color w:val="auto"/>
                <w:kern w:val="16"/>
                <w:sz w:val="21"/>
                <w:szCs w:val="21"/>
                <w:highlight w:val="none"/>
                <w:lang w:val="en-US" w:eastAsia="zh-CN"/>
              </w:rPr>
            </w:pPr>
            <w:r>
              <w:rPr>
                <w:rFonts w:hint="eastAsia" w:ascii="宋体" w:hAnsi="宋体" w:cs="宋体"/>
                <w:color w:val="auto"/>
                <w:sz w:val="21"/>
                <w:szCs w:val="21"/>
                <w:highlight w:val="none"/>
                <w:lang w:val="en-US" w:eastAsia="zh-CN"/>
              </w:rPr>
              <w:t>45012.00</w:t>
            </w:r>
          </w:p>
        </w:tc>
        <w:tc>
          <w:tcPr>
            <w:tcW w:w="924" w:type="pct"/>
            <w:gridSpan w:val="2"/>
            <w:noWrap/>
            <w:vAlign w:val="center"/>
          </w:tcPr>
          <w:p w14:paraId="6ABDADC1">
            <w:pPr>
              <w:spacing w:line="360" w:lineRule="auto"/>
              <w:jc w:val="center"/>
              <w:rPr>
                <w:rFonts w:hint="eastAsia" w:ascii="宋体" w:hAnsi="宋体" w:eastAsia="宋体" w:cs="宋体"/>
                <w:color w:val="auto"/>
                <w:kern w:val="16"/>
                <w:sz w:val="21"/>
                <w:szCs w:val="21"/>
                <w:highlight w:val="none"/>
                <w:lang w:eastAsia="zh-CN"/>
              </w:rPr>
            </w:pPr>
            <w:bookmarkStart w:id="4" w:name="OLE_LINK4"/>
            <w:r>
              <w:rPr>
                <w:rFonts w:hint="eastAsia" w:ascii="宋体" w:hAnsi="宋体" w:cs="宋体"/>
                <w:color w:val="auto"/>
                <w:sz w:val="21"/>
                <w:szCs w:val="21"/>
                <w:highlight w:val="none"/>
                <w:lang w:val="en-US" w:eastAsia="zh-CN"/>
              </w:rPr>
              <w:t>450120.00</w:t>
            </w:r>
            <w:bookmarkEnd w:id="4"/>
          </w:p>
        </w:tc>
        <w:tc>
          <w:tcPr>
            <w:tcW w:w="924" w:type="pct"/>
            <w:noWrap/>
            <w:vAlign w:val="center"/>
          </w:tcPr>
          <w:p w14:paraId="1EFC22DC">
            <w:pPr>
              <w:spacing w:line="360" w:lineRule="auto"/>
              <w:jc w:val="center"/>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运营期限</w:t>
            </w:r>
            <w:r>
              <w:rPr>
                <w:rFonts w:hint="eastAsia" w:ascii="宋体" w:hAnsi="宋体" w:eastAsia="宋体" w:cs="宋体"/>
                <w:color w:val="auto"/>
                <w:kern w:val="16"/>
                <w:sz w:val="21"/>
                <w:szCs w:val="21"/>
                <w:highlight w:val="none"/>
                <w:lang w:val="en-US" w:eastAsia="zh-CN"/>
              </w:rPr>
              <w:t>10</w:t>
            </w:r>
            <w:r>
              <w:rPr>
                <w:rFonts w:hint="eastAsia" w:ascii="宋体" w:hAnsi="宋体" w:eastAsia="宋体" w:cs="宋体"/>
                <w:color w:val="auto"/>
                <w:kern w:val="16"/>
                <w:sz w:val="21"/>
                <w:szCs w:val="21"/>
                <w:highlight w:val="none"/>
                <w:lang w:eastAsia="zh-CN"/>
              </w:rPr>
              <w:t>年（自改造验收合格次日起计算）</w:t>
            </w:r>
          </w:p>
        </w:tc>
      </w:tr>
    </w:tbl>
    <w:p w14:paraId="69759321">
      <w:pPr>
        <w:keepNext w:val="0"/>
        <w:keepLines w:val="0"/>
        <w:pageBreakBefore w:val="0"/>
        <w:widowControl w:val="0"/>
        <w:numPr>
          <w:ilvl w:val="0"/>
          <w:numId w:val="0"/>
        </w:numPr>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rPr>
      </w:pPr>
      <w:bookmarkStart w:id="5" w:name="_Toc35393791"/>
      <w:bookmarkStart w:id="6" w:name="_Toc28359080"/>
      <w:bookmarkStart w:id="7" w:name="_Toc35393622"/>
      <w:bookmarkStart w:id="8" w:name="_Toc28359003"/>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w:t>
      </w:r>
    </w:p>
    <w:bookmarkEnd w:id="5"/>
    <w:bookmarkEnd w:id="6"/>
    <w:bookmarkEnd w:id="7"/>
    <w:bookmarkEnd w:id="8"/>
    <w:p w14:paraId="2D0D76F1">
      <w:pPr>
        <w:pStyle w:val="45"/>
        <w:keepNext w:val="0"/>
        <w:keepLines w:val="0"/>
        <w:pageBreakBefore w:val="0"/>
        <w:widowControl w:val="0"/>
        <w:kinsoku/>
        <w:wordWrap/>
        <w:overflowPunct/>
        <w:topLinePunct w:val="0"/>
        <w:bidi w:val="0"/>
        <w:adjustRightInd/>
        <w:spacing w:beforeAutospacing="0" w:afterAutospacing="0" w:line="341" w:lineRule="auto"/>
        <w:ind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cs="宋体"/>
          <w:b/>
          <w:bCs/>
          <w:color w:val="auto"/>
          <w:szCs w:val="21"/>
          <w:highlight w:val="none"/>
          <w:lang w:eastAsia="zh-CN"/>
        </w:rPr>
        <w:t>申请人的资格要求</w:t>
      </w:r>
      <w:r>
        <w:rPr>
          <w:rFonts w:hint="eastAsia" w:ascii="宋体" w:hAnsi="宋体" w:eastAsia="宋体" w:cs="宋体"/>
          <w:b/>
          <w:bCs/>
          <w:color w:val="auto"/>
          <w:szCs w:val="21"/>
          <w:highlight w:val="none"/>
        </w:rPr>
        <w:t>：</w:t>
      </w:r>
    </w:p>
    <w:p w14:paraId="325A83F5">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1.投标人应具备以下要求并提供下列材料：</w:t>
      </w:r>
    </w:p>
    <w:p w14:paraId="2569B7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具有独立承担民事责任的能力：在中华人民共和国境内注册的法人或其他组织或自然人</w:t>
      </w:r>
      <w:r>
        <w:rPr>
          <w:rFonts w:hint="eastAsia"/>
          <w:color w:val="auto"/>
          <w:highlight w:val="none"/>
        </w:rPr>
        <w:t xml:space="preserve">， </w:t>
      </w:r>
      <w:r>
        <w:rPr>
          <w:rFonts w:hint="eastAsia" w:ascii="宋体" w:hAnsi="宋体" w:eastAsia="宋体" w:cs="宋体"/>
          <w:color w:val="auto"/>
          <w:sz w:val="21"/>
          <w:szCs w:val="21"/>
          <w:highlight w:val="none"/>
        </w:rPr>
        <w:t>投标（响应）时提交有效的营业执照（或事业法人登记证或身份证等相关证明） 副本复印件。分支机构投标的，须提供总公司和分公司营业执照副本复印件，总公司出具给分支机构的授权书。</w:t>
      </w:r>
    </w:p>
    <w:p w14:paraId="576DB0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有依法缴纳税收和社会保障资金的良好记录：投标文件中提供《资格条件承诺函》。</w:t>
      </w:r>
    </w:p>
    <w:p w14:paraId="570577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具有良好的商业信誉和健全的财务会计制度：投标文件中提供《资格条件承诺函》。</w:t>
      </w:r>
    </w:p>
    <w:p w14:paraId="276B61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履行合同所必需的设备和专业技术能力：投标文件中提供《资格条件承诺函》。</w:t>
      </w:r>
    </w:p>
    <w:p w14:paraId="08E5655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参加采购活动前3年内，在经营活动中没有重大违法记录：在响应文件中提供《资格条件承诺函》。重大违法记录，是指</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35B8548">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2.本项目的特定资格要求：</w:t>
      </w:r>
    </w:p>
    <w:p w14:paraId="10903D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需提供相关证明资料）。</w:t>
      </w:r>
    </w:p>
    <w:p w14:paraId="4B7AB9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单位负责人为同一人或者存在直接控股、 管理关系的不同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，不得同时参加本采购项目（或采购包）投标（响应）。为本项目提供整体设计、规范编制或者项目管理、监理、检测等服务的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，不得再参与本项目投标（响应）。投标（报价） 函相关承诺要求内容。</w:t>
      </w:r>
    </w:p>
    <w:p w14:paraId="3CAA796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具有独立法人资格，营业执照经营范围包含体育场馆运营</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体育赛事组织或相关体育服务内容（提供营业执照副本复印件加盖公章）。</w:t>
      </w:r>
    </w:p>
    <w:p w14:paraId="0ED089F5">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承诺按要求完成改造并接受全程监督，同意本招标方案及后续合同约定的全部条款（提供书面承诺函）。</w:t>
      </w:r>
    </w:p>
    <w:p w14:paraId="6CEF112E">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0780DD0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 xml:space="preserve"> 1 </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29 </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 xml:space="preserve"> 2 </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 xml:space="preserve"> 5 </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59</w:t>
      </w:r>
      <w:r>
        <w:rPr>
          <w:rFonts w:hint="eastAsia" w:ascii="宋体" w:hAnsi="宋体" w:eastAsia="宋体" w:cs="宋体"/>
          <w:color w:val="auto"/>
          <w:szCs w:val="21"/>
          <w:highlight w:val="none"/>
          <w:u w:val="single"/>
          <w:lang w:val="en-US" w:eastAsia="zh-CN"/>
        </w:rPr>
        <w:t>分</w:t>
      </w:r>
      <w:r>
        <w:rPr>
          <w:rFonts w:hint="eastAsia" w:ascii="宋体" w:hAnsi="宋体" w:eastAsia="宋体" w:cs="宋体"/>
          <w:b/>
          <w:bCs/>
          <w:color w:val="auto"/>
          <w:szCs w:val="21"/>
          <w:highlight w:val="none"/>
        </w:rPr>
        <w:t>（提供期限自本公告发布之日起不得少于5个工作日）</w:t>
      </w:r>
      <w:r>
        <w:rPr>
          <w:rFonts w:hint="eastAsia" w:ascii="宋体" w:hAnsi="宋体" w:eastAsia="宋体" w:cs="宋体"/>
          <w:color w:val="auto"/>
          <w:szCs w:val="21"/>
          <w:highlight w:val="none"/>
        </w:rPr>
        <w:t>，（北京时间，法定节假日除外）</w:t>
      </w:r>
    </w:p>
    <w:p w14:paraId="19B4F8A1">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b w:val="0"/>
          <w:bCs w:val="0"/>
          <w:color w:val="auto"/>
          <w:szCs w:val="21"/>
          <w:highlight w:val="none"/>
          <w:u w:val="single"/>
          <w:lang w:val="en-US" w:eastAsia="zh-CN"/>
        </w:rPr>
        <w:t>全国公共资源交易平台（广东省·韶关市）</w:t>
      </w:r>
      <w:r>
        <w:rPr>
          <w:rFonts w:hint="eastAsia" w:ascii="宋体" w:hAnsi="宋体" w:eastAsia="宋体" w:cs="宋体"/>
          <w:color w:val="auto"/>
          <w:sz w:val="21"/>
          <w:szCs w:val="21"/>
          <w:highlight w:val="none"/>
          <w:u w:val="single"/>
          <w:lang w:val="en-US" w:eastAsia="zh-CN"/>
        </w:rPr>
        <w:t xml:space="preserve">（网址： </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sz w:val="21"/>
          <w:szCs w:val="21"/>
          <w:highlight w:val="none"/>
          <w:u w:val="single"/>
          <w:lang w:val="en-US" w:eastAsia="zh-CN"/>
        </w:rPr>
        <w:t>）“产权招标交易系统”</w:t>
      </w:r>
    </w:p>
    <w:p w14:paraId="5AE9B5E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lang w:val="en-US" w:eastAsia="zh-CN"/>
        </w:rPr>
        <w:t>网上</w:t>
      </w:r>
      <w:r>
        <w:rPr>
          <w:rFonts w:hint="eastAsia" w:ascii="宋体" w:hAnsi="宋体" w:eastAsia="宋体" w:cs="宋体"/>
          <w:color w:val="auto"/>
          <w:szCs w:val="21"/>
          <w:highlight w:val="none"/>
        </w:rPr>
        <w:t>获取</w:t>
      </w:r>
      <w:r>
        <w:rPr>
          <w:rFonts w:hint="eastAsia" w:ascii="宋体" w:hAnsi="宋体" w:eastAsia="宋体" w:cs="宋体"/>
          <w:b/>
          <w:bCs/>
          <w:color w:val="auto"/>
          <w:szCs w:val="21"/>
          <w:highlight w:val="none"/>
        </w:rPr>
        <w:t>（详见“其他补充事宜”）</w:t>
      </w:r>
    </w:p>
    <w:p w14:paraId="48D1EEAC">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9" w:name="_Toc28359005"/>
      <w:bookmarkEnd w:id="9"/>
      <w:bookmarkStart w:id="10" w:name="_Toc35393793"/>
      <w:bookmarkEnd w:id="10"/>
      <w:bookmarkStart w:id="11" w:name="_Toc28359082"/>
      <w:bookmarkEnd w:id="11"/>
      <w:bookmarkStart w:id="12" w:name="_Toc35393624"/>
      <w:bookmarkEnd w:id="12"/>
      <w:r>
        <w:rPr>
          <w:rFonts w:hint="eastAsia" w:ascii="宋体" w:hAnsi="宋体" w:eastAsia="宋体" w:cs="宋体"/>
          <w:b/>
          <w:bCs/>
          <w:color w:val="auto"/>
          <w:sz w:val="21"/>
          <w:szCs w:val="21"/>
          <w:highlight w:val="none"/>
        </w:rPr>
        <w:t>四、提交投标文件截止时间、开标时间和地点</w:t>
      </w:r>
    </w:p>
    <w:p w14:paraId="706328A7">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时间：</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bCs/>
          <w:color w:val="auto"/>
          <w:szCs w:val="21"/>
          <w:highlight w:val="none"/>
        </w:rPr>
        <w:t>（北京时间）</w:t>
      </w:r>
      <w:r>
        <w:rPr>
          <w:rFonts w:hint="eastAsia" w:ascii="宋体" w:hAnsi="宋体" w:eastAsia="宋体" w:cs="宋体"/>
          <w:b/>
          <w:color w:val="auto"/>
          <w:szCs w:val="21"/>
          <w:highlight w:val="none"/>
        </w:rPr>
        <w:t>（自招标文件开始发出之日起至投标人提交投标文件截止之日止，不得少于20日）</w:t>
      </w:r>
    </w:p>
    <w:p w14:paraId="4C1CF326">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b/>
          <w:bCs/>
          <w:color w:val="auto"/>
          <w:szCs w:val="21"/>
          <w:highlight w:val="none"/>
        </w:rPr>
        <w:t>地点：</w:t>
      </w:r>
      <w:bookmarkStart w:id="13" w:name="OLE_LINK6"/>
      <w:r>
        <w:rPr>
          <w:rFonts w:hint="eastAsia" w:ascii="宋体" w:hAnsi="宋体" w:eastAsia="宋体" w:cs="宋体"/>
          <w:snapToGrid w:val="0"/>
          <w:color w:val="auto"/>
          <w:kern w:val="0"/>
          <w:sz w:val="21"/>
          <w:szCs w:val="21"/>
          <w:highlight w:val="none"/>
        </w:rPr>
        <w:t>南雄市雄东路1号（大润发）四楼韶关市公共资源交易中心南雄分中心（南雄市公共服务中心内）</w:t>
      </w:r>
      <w:bookmarkEnd w:id="13"/>
    </w:p>
    <w:p w14:paraId="5A42899F">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14" w:name="_Toc35393625"/>
      <w:bookmarkEnd w:id="14"/>
      <w:bookmarkStart w:id="15" w:name="_Toc28359007"/>
      <w:bookmarkEnd w:id="15"/>
      <w:bookmarkStart w:id="16" w:name="_Toc35393794"/>
      <w:bookmarkEnd w:id="16"/>
      <w:bookmarkStart w:id="17" w:name="_Toc28359084"/>
      <w:bookmarkEnd w:id="17"/>
      <w:r>
        <w:rPr>
          <w:rFonts w:hint="eastAsia" w:ascii="宋体" w:hAnsi="宋体" w:eastAsia="宋体" w:cs="宋体"/>
          <w:b/>
          <w:bCs/>
          <w:color w:val="auto"/>
          <w:sz w:val="21"/>
          <w:szCs w:val="21"/>
          <w:highlight w:val="none"/>
        </w:rPr>
        <w:t>五、公告期限</w:t>
      </w:r>
    </w:p>
    <w:p w14:paraId="1CFC48BD">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kern w:val="0"/>
          <w:szCs w:val="21"/>
          <w:highlight w:val="none"/>
        </w:rPr>
      </w:pPr>
      <w:bookmarkStart w:id="18" w:name="_Toc35393626"/>
      <w:bookmarkStart w:id="19" w:name="_Toc35393795"/>
      <w:r>
        <w:rPr>
          <w:rFonts w:hint="eastAsia" w:ascii="宋体" w:hAnsi="宋体" w:eastAsia="宋体" w:cs="宋体"/>
          <w:color w:val="auto"/>
          <w:kern w:val="0"/>
          <w:szCs w:val="21"/>
          <w:highlight w:val="none"/>
        </w:rPr>
        <w:t>自本公告发布之日起5个工作日。</w:t>
      </w:r>
    </w:p>
    <w:bookmarkEnd w:id="18"/>
    <w:bookmarkEnd w:id="19"/>
    <w:p w14:paraId="075CCF8E">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六、</w:t>
      </w:r>
      <w:r>
        <w:rPr>
          <w:rFonts w:hint="eastAsia" w:ascii="宋体" w:hAnsi="宋体" w:eastAsia="宋体" w:cs="宋体"/>
          <w:b/>
          <w:bCs/>
          <w:color w:val="auto"/>
          <w:szCs w:val="21"/>
          <w:highlight w:val="none"/>
        </w:rPr>
        <w:t>其他补充事宜</w:t>
      </w:r>
    </w:p>
    <w:p w14:paraId="66C4911C">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1" w:firstLineChars="67"/>
        <w:textAlignment w:val="bottom"/>
        <w:outlineLvl w:val="0"/>
        <w:rPr>
          <w:rFonts w:hint="eastAsia" w:ascii="宋体" w:hAnsi="宋体" w:eastAsia="宋体" w:cs="宋体"/>
          <w:b/>
          <w:color w:val="auto"/>
          <w:kern w:val="2"/>
          <w:sz w:val="21"/>
          <w:szCs w:val="21"/>
          <w:highlight w:val="none"/>
          <w:lang w:val="en-US" w:eastAsia="zh-CN" w:bidi="ar-SA"/>
        </w:rPr>
      </w:pPr>
      <w:bookmarkStart w:id="20" w:name="_Toc12657"/>
      <w:bookmarkStart w:id="21" w:name="_Toc2607"/>
      <w:bookmarkStart w:id="22" w:name="_Toc31220"/>
      <w:bookmarkStart w:id="23" w:name="_Toc35393627"/>
      <w:bookmarkStart w:id="24" w:name="_Toc35393796"/>
      <w:bookmarkStart w:id="25" w:name="_Toc28359085"/>
      <w:bookmarkStart w:id="26" w:name="_Toc28359008"/>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kern w:val="2"/>
          <w:sz w:val="21"/>
          <w:szCs w:val="21"/>
          <w:highlight w:val="none"/>
          <w:lang w:val="en-US" w:eastAsia="zh-CN" w:bidi="ar-SA"/>
        </w:rPr>
        <w:t>报名事宜：</w:t>
      </w:r>
      <w:bookmarkEnd w:id="20"/>
      <w:bookmarkEnd w:id="21"/>
      <w:bookmarkEnd w:id="22"/>
    </w:p>
    <w:p w14:paraId="06E5FBDF">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27" w:name="_Toc24015"/>
      <w:bookmarkStart w:id="28" w:name="_Toc31173"/>
      <w:bookmarkStart w:id="29" w:name="_Toc6971"/>
      <w:r>
        <w:rPr>
          <w:rFonts w:hint="eastAsia" w:ascii="宋体" w:hAnsi="宋体" w:eastAsia="宋体" w:cs="宋体"/>
          <w:color w:val="auto"/>
          <w:highlight w:val="none"/>
          <w:lang w:val="en-US" w:eastAsia="zh-CN"/>
        </w:rPr>
        <w:t>（1）报名流程：投标人必须在报名时间内登录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（网址：</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highlight w:val="none"/>
          <w:lang w:val="en-US" w:eastAsia="zh-CN"/>
        </w:rPr>
        <w:t>），在用户登录窗口登录。登录成功后，点击“产权招标交易系统”进入产权招标交易系统，点击“系统功能菜单”中的“投标报名 &gt; 项目列表”查看可报名的项目，选择需参与的项目分包，点击“报名”，输入联系人、联系电话，输入Pin码验证成功后，点击“确认”即可。在“已报项目”栏中看到已报项目，即为报名成功。</w:t>
      </w:r>
      <w:bookmarkEnd w:id="27"/>
      <w:bookmarkEnd w:id="28"/>
      <w:bookmarkEnd w:id="29"/>
    </w:p>
    <w:p w14:paraId="2FC380E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0" w:name="_Toc15990"/>
      <w:bookmarkStart w:id="31" w:name="_Toc30085"/>
      <w:bookmarkStart w:id="32" w:name="_Toc13599"/>
      <w:r>
        <w:rPr>
          <w:rFonts w:hint="eastAsia" w:ascii="宋体" w:hAnsi="宋体" w:eastAsia="宋体" w:cs="宋体"/>
          <w:color w:val="auto"/>
          <w:highlight w:val="none"/>
          <w:lang w:val="en-US" w:eastAsia="zh-CN"/>
        </w:rPr>
        <w:t>（2）投标人报名参与重新采购的项目，应当登录产权招标交易系统按报名流程在招标文件规定的期限内重新报名。</w:t>
      </w:r>
      <w:bookmarkEnd w:id="30"/>
      <w:bookmarkEnd w:id="31"/>
      <w:bookmarkEnd w:id="32"/>
    </w:p>
    <w:p w14:paraId="005C0195">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3" w:name="_Toc26851"/>
      <w:bookmarkStart w:id="34" w:name="_Toc5638"/>
      <w:bookmarkStart w:id="35" w:name="_Toc32680"/>
      <w:r>
        <w:rPr>
          <w:rFonts w:hint="eastAsia" w:ascii="宋体" w:hAnsi="宋体" w:eastAsia="宋体" w:cs="宋体"/>
          <w:color w:val="auto"/>
          <w:highlight w:val="none"/>
          <w:lang w:val="en-US" w:eastAsia="zh-CN"/>
        </w:rPr>
        <w:t>（3）未在韶关市公共资源交易中心办理韶关市电子交易平台数字证书和产权招标交易系统投标人入库手续的，投标人应当登录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（网址：</w:t>
      </w:r>
      <w:bookmarkStart w:id="36" w:name="OLE_LINK7"/>
      <w:r>
        <w:rPr>
          <w:rFonts w:hint="eastAsia" w:ascii="宋体" w:hAnsi="宋体" w:eastAsia="宋体" w:cs="宋体"/>
          <w:color w:val="auto"/>
          <w:sz w:val="21"/>
          <w:szCs w:val="21"/>
          <w:u w:val="single"/>
          <w:lang w:val="en-US" w:eastAsia="zh-CN"/>
        </w:rPr>
        <w:t>https://ygp.gdzwfw.gov.cn/#/440200/index</w:t>
      </w:r>
      <w:bookmarkEnd w:id="36"/>
      <w:r>
        <w:rPr>
          <w:rFonts w:hint="eastAsia" w:ascii="宋体" w:hAnsi="宋体" w:eastAsia="宋体" w:cs="宋体"/>
          <w:color w:val="auto"/>
          <w:highlight w:val="none"/>
          <w:lang w:val="en-US" w:eastAsia="zh-CN"/>
        </w:rPr>
        <w:t>）用户注册及完善企业信息、上传资料，携带相关资料到韶关市公共资源交易中心1号楼一楼办事大厅办理相关手续（详见韶关市公共资源交易一体化平台的《韶关市公共资源交易一体化平台使用产权招标交易系统注意事项》的附件《韶关市公共资源交易一体化平台产权招标交易-投标人用户手册》）。</w:t>
      </w:r>
      <w:bookmarkEnd w:id="33"/>
      <w:bookmarkEnd w:id="34"/>
      <w:bookmarkEnd w:id="35"/>
      <w:r>
        <w:rPr>
          <w:rFonts w:hint="eastAsia" w:ascii="宋体" w:hAnsi="宋体" w:eastAsia="宋体" w:cs="宋体"/>
          <w:color w:val="auto"/>
          <w:highlight w:val="none"/>
          <w:lang w:val="en-US" w:eastAsia="zh-CN"/>
        </w:rPr>
        <w:t xml:space="preserve"> </w:t>
      </w:r>
    </w:p>
    <w:p w14:paraId="404609B6">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color w:val="auto"/>
          <w:szCs w:val="21"/>
          <w:highlight w:val="none"/>
          <w:u w:val="single"/>
        </w:rPr>
      </w:pPr>
      <w:r>
        <w:rPr>
          <w:rFonts w:hint="eastAsia" w:ascii="宋体" w:hAnsi="宋体" w:eastAsia="宋体" w:cs="宋体"/>
          <w:color w:val="auto"/>
          <w:highlight w:val="none"/>
          <w:lang w:val="en-US" w:eastAsia="zh-CN"/>
        </w:rPr>
        <w:t>（4）报名成功后，投标人自行登录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 xml:space="preserve">（网址： </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highlight w:val="none"/>
          <w:lang w:val="en-US" w:eastAsia="zh-CN"/>
        </w:rPr>
        <w:t>）“产权招标交易系统”下载招标文件、操作指南（以最新日期版本为准）参加投标活动。</w:t>
      </w:r>
    </w:p>
    <w:p w14:paraId="7917D0B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lang w:val="en-US" w:eastAsia="zh-CN"/>
        </w:rPr>
        <w:t xml:space="preserve"> </w:t>
      </w:r>
      <w:bookmarkStart w:id="37" w:name="_Toc15153"/>
      <w:bookmarkStart w:id="38" w:name="_Toc26250"/>
      <w:bookmarkStart w:id="39" w:name="_Toc27766"/>
      <w:r>
        <w:rPr>
          <w:rFonts w:hint="eastAsia" w:ascii="宋体" w:hAnsi="宋体" w:eastAsia="宋体" w:cs="宋体"/>
          <w:b/>
          <w:bCs/>
          <w:color w:val="auto"/>
          <w:highlight w:val="none"/>
          <w:lang w:val="en-US" w:eastAsia="zh-CN"/>
        </w:rPr>
        <w:t>2.补救方案</w:t>
      </w:r>
      <w:bookmarkEnd w:id="37"/>
      <w:bookmarkEnd w:id="38"/>
      <w:bookmarkEnd w:id="39"/>
    </w:p>
    <w:p w14:paraId="2946C197">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40" w:name="_Toc24874"/>
      <w:bookmarkStart w:id="41" w:name="_Toc17520"/>
      <w:bookmarkStart w:id="42" w:name="_Toc24201"/>
      <w:r>
        <w:rPr>
          <w:rFonts w:hint="eastAsia" w:ascii="宋体" w:hAnsi="宋体" w:eastAsia="宋体" w:cs="宋体"/>
          <w:color w:val="auto"/>
          <w:highlight w:val="none"/>
          <w:lang w:val="en-US" w:eastAsia="zh-CN"/>
        </w:rPr>
        <w:t>（1）开评标时突发情况的补救方案</w:t>
      </w:r>
      <w:bookmarkEnd w:id="40"/>
      <w:bookmarkEnd w:id="41"/>
      <w:bookmarkEnd w:id="42"/>
    </w:p>
    <w:p w14:paraId="6E5A6CA0">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350" w:firstLineChars="167"/>
        <w:textAlignment w:val="bottom"/>
        <w:outlineLvl w:val="0"/>
        <w:rPr>
          <w:rFonts w:hint="eastAsia" w:ascii="宋体" w:hAnsi="宋体" w:eastAsia="宋体" w:cs="宋体"/>
          <w:color w:val="auto"/>
          <w:highlight w:val="none"/>
          <w:lang w:val="en-US" w:eastAsia="zh-CN"/>
        </w:rPr>
      </w:pPr>
      <w:bookmarkStart w:id="43" w:name="_Toc12378"/>
      <w:bookmarkStart w:id="44" w:name="_Toc2451"/>
      <w:bookmarkStart w:id="45" w:name="_Toc31604"/>
      <w:r>
        <w:rPr>
          <w:rFonts w:hint="eastAsia" w:ascii="宋体" w:hAnsi="宋体" w:eastAsia="宋体" w:cs="宋体"/>
          <w:color w:val="auto"/>
          <w:highlight w:val="none"/>
          <w:lang w:val="en-US" w:eastAsia="zh-CN"/>
        </w:rPr>
        <w:t>在开评标过程中，因主场或副场网络故障、电子设备或者评标系统故障，以及其他原因导致无法继续进行开评标活动时，在短时间内无法解除故障的，则转为线下评审。</w:t>
      </w:r>
      <w:bookmarkEnd w:id="43"/>
      <w:bookmarkEnd w:id="44"/>
      <w:bookmarkEnd w:id="45"/>
    </w:p>
    <w:p w14:paraId="1324A935">
      <w:pPr>
        <w:keepNext w:val="0"/>
        <w:keepLines w:val="0"/>
        <w:pageBreakBefore w:val="0"/>
        <w:widowControl w:val="0"/>
        <w:numPr>
          <w:ilvl w:val="0"/>
          <w:numId w:val="4"/>
        </w:numPr>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46" w:name="_Toc27177"/>
      <w:bookmarkStart w:id="47" w:name="_Toc6709"/>
      <w:bookmarkStart w:id="48" w:name="_Toc8019"/>
      <w:r>
        <w:rPr>
          <w:rFonts w:hint="eastAsia" w:ascii="宋体" w:hAnsi="宋体" w:eastAsia="宋体" w:cs="宋体"/>
          <w:color w:val="auto"/>
          <w:highlight w:val="none"/>
          <w:lang w:val="en-US" w:eastAsia="zh-CN"/>
        </w:rPr>
        <w:t>本次招标实行电子投标，开标评标均以投标人通过交易平台上传的电子投标文件为准，若因系统故障转为线下评审，则以递交的纸质投标文件为准。</w:t>
      </w:r>
      <w:bookmarkEnd w:id="46"/>
      <w:bookmarkEnd w:id="47"/>
      <w:bookmarkEnd w:id="48"/>
    </w:p>
    <w:bookmarkEnd w:id="23"/>
    <w:bookmarkEnd w:id="24"/>
    <w:bookmarkEnd w:id="25"/>
    <w:bookmarkEnd w:id="26"/>
    <w:p w14:paraId="7E1BD9BC">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七、本项目的所有相关公告公布媒介</w:t>
      </w:r>
    </w:p>
    <w:p w14:paraId="4A61B863">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全国公共资源交易平台（广东省·韶关市）（https://ygp.gdzwfw.gov.cn/ggzy-portal/#/440200/index）</w:t>
      </w:r>
      <w:r>
        <w:rPr>
          <w:rFonts w:hint="eastAsia" w:ascii="宋体" w:hAnsi="宋体" w:cs="宋体"/>
          <w:b w:val="0"/>
          <w:bCs w:val="0"/>
          <w:color w:val="auto"/>
          <w:kern w:val="2"/>
          <w:sz w:val="21"/>
          <w:szCs w:val="21"/>
          <w:highlight w:val="none"/>
          <w:lang w:val="en-US" w:eastAsia="zh-CN" w:bidi="ar-SA"/>
        </w:rPr>
        <w:t>。</w:t>
      </w:r>
    </w:p>
    <w:p w14:paraId="2156DBDF">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、对本次招标提出询问，请按以下方式联系</w:t>
      </w:r>
    </w:p>
    <w:p w14:paraId="541759B4">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1.招标人信息</w:t>
      </w:r>
    </w:p>
    <w:p w14:paraId="6FBAC2EF">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称：</w:t>
      </w:r>
      <w:bookmarkStart w:id="49" w:name="OLE_LINK1"/>
      <w:r>
        <w:rPr>
          <w:rFonts w:hint="eastAsia" w:ascii="宋体" w:hAnsi="宋体" w:cs="宋体"/>
          <w:color w:val="auto"/>
          <w:szCs w:val="21"/>
          <w:highlight w:val="none"/>
          <w:lang w:val="en-US" w:eastAsia="zh-CN"/>
        </w:rPr>
        <w:t>南雄市文化广电旅游体育局</w:t>
      </w:r>
      <w:bookmarkEnd w:id="49"/>
    </w:p>
    <w:p w14:paraId="069A0FEE">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 址：南雄市雄州街道迎宾大道37号</w:t>
      </w:r>
    </w:p>
    <w:p w14:paraId="5802BAF0">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w:t>
      </w:r>
      <w:r>
        <w:rPr>
          <w:rFonts w:hint="eastAsia" w:ascii="宋体" w:hAnsi="宋体" w:cs="宋体"/>
          <w:color w:val="auto"/>
          <w:szCs w:val="21"/>
          <w:highlight w:val="none"/>
          <w:lang w:val="en-US" w:eastAsia="zh-CN"/>
        </w:rPr>
        <w:t>钟工/</w:t>
      </w:r>
      <w:r>
        <w:rPr>
          <w:rFonts w:hint="eastAsia" w:ascii="宋体" w:hAnsi="宋体" w:eastAsia="宋体" w:cs="宋体"/>
          <w:color w:val="auto"/>
          <w:szCs w:val="21"/>
          <w:highlight w:val="none"/>
          <w:lang w:val="en-US" w:eastAsia="zh-CN"/>
        </w:rPr>
        <w:t>0751-3823950</w:t>
      </w:r>
    </w:p>
    <w:p w14:paraId="2E58CCB8">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highlight w:val="none"/>
        </w:rPr>
      </w:pPr>
      <w:bookmarkStart w:id="50" w:name="_Toc28359086"/>
      <w:bookmarkEnd w:id="50"/>
      <w:bookmarkStart w:id="51" w:name="_Toc28359009"/>
      <w:bookmarkEnd w:id="51"/>
      <w:r>
        <w:rPr>
          <w:rFonts w:hint="eastAsia" w:ascii="宋体" w:hAnsi="宋体" w:eastAsia="宋体" w:cs="宋体"/>
          <w:color w:val="auto"/>
          <w:szCs w:val="21"/>
          <w:highlight w:val="none"/>
        </w:rPr>
        <w:t>2.招标代理机构信息</w:t>
      </w:r>
    </w:p>
    <w:p w14:paraId="5875F628">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韶关市繁盛项目管理有限公司</w:t>
      </w:r>
    </w:p>
    <w:p w14:paraId="3D598685">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韶关市曲江区马坝镇马坝村委下街村民小组安置房1号楼5楼自编502号</w:t>
      </w:r>
    </w:p>
    <w:p w14:paraId="5BE6157F">
      <w:pPr>
        <w:keepNext w:val="0"/>
        <w:keepLines w:val="0"/>
        <w:pageBreakBefore w:val="0"/>
        <w:widowControl w:val="0"/>
        <w:kinsoku/>
        <w:wordWrap/>
        <w:overflowPunct/>
        <w:topLinePunct w:val="0"/>
        <w:bidi w:val="0"/>
        <w:spacing w:beforeAutospacing="0" w:afterAutospacing="0" w:line="341" w:lineRule="auto"/>
        <w:ind w:firstLine="420" w:firstLineChars="200"/>
        <w:rPr>
          <w:rFonts w:hint="default" w:ascii="宋体" w:hAnsi="宋体" w:eastAsia="宋体" w:cs="宋体"/>
          <w:color w:val="auto"/>
          <w:szCs w:val="21"/>
          <w:highlight w:val="none"/>
          <w:lang w:val="en-US" w:eastAsia="zh-CN"/>
        </w:rPr>
      </w:pPr>
      <w:bookmarkStart w:id="52" w:name="_Toc28359010"/>
      <w:bookmarkStart w:id="53" w:name="_Toc28359087"/>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范工</w:t>
      </w:r>
    </w:p>
    <w:bookmarkEnd w:id="52"/>
    <w:bookmarkEnd w:id="53"/>
    <w:p w14:paraId="552BB5CE">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：18948827886</w:t>
      </w:r>
    </w:p>
    <w:p w14:paraId="71BCF412">
      <w:pPr>
        <w:keepNext w:val="0"/>
        <w:keepLines w:val="0"/>
        <w:pageBreakBefore w:val="0"/>
        <w:widowControl w:val="0"/>
        <w:kinsoku/>
        <w:wordWrap/>
        <w:overflowPunct/>
        <w:topLinePunct w:val="0"/>
        <w:bidi w:val="0"/>
        <w:spacing w:beforeAutospacing="0" w:afterAutospacing="0" w:line="341"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发布人：</w:t>
      </w:r>
      <w:r>
        <w:rPr>
          <w:rFonts w:hint="eastAsia" w:ascii="宋体" w:hAnsi="宋体" w:cs="宋体"/>
          <w:color w:val="auto"/>
          <w:szCs w:val="21"/>
          <w:highlight w:val="none"/>
          <w:lang w:eastAsia="zh-CN"/>
        </w:rPr>
        <w:t>韶关市繁盛项目管理有限公司</w:t>
      </w:r>
    </w:p>
    <w:p w14:paraId="52FC7EF2">
      <w:pPr>
        <w:keepNext w:val="0"/>
        <w:keepLines w:val="0"/>
        <w:pageBreakBefore w:val="0"/>
        <w:widowControl w:val="0"/>
        <w:kinsoku/>
        <w:wordWrap/>
        <w:overflowPunct/>
        <w:topLinePunct w:val="0"/>
        <w:bidi w:val="0"/>
        <w:spacing w:beforeAutospacing="0" w:afterAutospacing="0" w:line="341" w:lineRule="auto"/>
        <w:ind w:firstLine="4830" w:firstLineChars="2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日期</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29 </w:t>
      </w:r>
      <w:r>
        <w:rPr>
          <w:rFonts w:hint="eastAsia" w:ascii="宋体" w:hAnsi="宋体" w:eastAsia="宋体" w:cs="宋体"/>
          <w:color w:val="auto"/>
          <w:szCs w:val="21"/>
          <w:highlight w:val="none"/>
        </w:rPr>
        <w:t>日</w:t>
      </w:r>
    </w:p>
    <w:p w14:paraId="47808A73">
      <w:pPr>
        <w:rPr>
          <w:rFonts w:hint="eastAsia" w:ascii="宋体" w:hAnsi="宋体" w:eastAsia="宋体" w:cs="宋体"/>
          <w:b/>
          <w:bCs/>
          <w:color w:val="auto"/>
          <w:sz w:val="36"/>
          <w:szCs w:val="36"/>
          <w:highlight w:val="none"/>
        </w:rPr>
      </w:pPr>
      <w:bookmarkStart w:id="54" w:name="_Toc1966"/>
      <w:r>
        <w:rPr>
          <w:rFonts w:hint="eastAsia" w:ascii="宋体" w:hAnsi="宋体" w:eastAsia="宋体" w:cs="宋体"/>
          <w:b/>
          <w:bCs/>
          <w:color w:val="auto"/>
          <w:sz w:val="36"/>
          <w:szCs w:val="36"/>
          <w:highlight w:val="none"/>
        </w:rPr>
        <w:br w:type="page"/>
      </w:r>
    </w:p>
    <w:p w14:paraId="235BBE44">
      <w:pPr>
        <w:pStyle w:val="2"/>
        <w:rPr>
          <w:rFonts w:hint="eastAsia"/>
          <w:color w:val="auto"/>
        </w:rPr>
      </w:pPr>
    </w:p>
    <w:p w14:paraId="177ABE21">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第二部分  </w:t>
      </w:r>
      <w:bookmarkEnd w:id="54"/>
      <w:r>
        <w:rPr>
          <w:rFonts w:hint="eastAsia" w:ascii="宋体" w:hAnsi="宋体" w:eastAsia="宋体" w:cs="宋体"/>
          <w:b/>
          <w:bCs/>
          <w:color w:val="auto"/>
          <w:sz w:val="28"/>
          <w:szCs w:val="28"/>
          <w:highlight w:val="none"/>
          <w:lang w:eastAsia="zh-CN"/>
        </w:rPr>
        <w:t>采购需求</w:t>
      </w:r>
    </w:p>
    <w:p w14:paraId="02F10294">
      <w:pPr>
        <w:tabs>
          <w:tab w:val="left" w:pos="180"/>
          <w:tab w:val="left" w:pos="1620"/>
        </w:tabs>
        <w:spacing w:line="360" w:lineRule="auto"/>
        <w:rPr>
          <w:rFonts w:hint="eastAsia" w:ascii="宋体" w:hAnsi="宋体" w:eastAsia="宋体" w:cs="宋体"/>
          <w:b/>
          <w:bCs/>
          <w:color w:val="auto"/>
          <w:sz w:val="21"/>
          <w:szCs w:val="21"/>
          <w:highlight w:val="none"/>
        </w:rPr>
      </w:pPr>
      <w:bookmarkStart w:id="55" w:name="_Toc9215"/>
      <w:bookmarkStart w:id="56" w:name="_Toc6976"/>
      <w:r>
        <w:rPr>
          <w:rFonts w:hint="eastAsia" w:ascii="宋体" w:hAnsi="宋体" w:eastAsia="宋体" w:cs="宋体"/>
          <w:b/>
          <w:color w:val="auto"/>
          <w:sz w:val="21"/>
          <w:szCs w:val="21"/>
          <w:highlight w:val="none"/>
        </w:rPr>
        <w:t>一、项目概况</w:t>
      </w:r>
    </w:p>
    <w:p w14:paraId="317FC4D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ascii="宋体" w:hAnsi="宋体" w:cs="宋体"/>
          <w:color w:val="auto"/>
          <w:sz w:val="21"/>
          <w:szCs w:val="21"/>
          <w:highlight w:val="none"/>
          <w:lang w:val="en-US" w:eastAsia="zh-CN"/>
        </w:rPr>
        <w:t>南雄市综合训练馆改造及运营管理服务项目（二次）</w:t>
      </w:r>
      <w:r>
        <w:rPr>
          <w:rFonts w:hint="eastAsia" w:ascii="宋体" w:hAnsi="宋体" w:eastAsia="宋体" w:cs="宋体"/>
          <w:color w:val="auto"/>
          <w:sz w:val="21"/>
          <w:szCs w:val="21"/>
          <w:highlight w:val="none"/>
          <w:lang w:val="en-US" w:eastAsia="zh-CN"/>
        </w:rPr>
        <w:t>。</w:t>
      </w:r>
    </w:p>
    <w:p w14:paraId="109741D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2.服务地点：南雄市灯光球场旁</w:t>
      </w:r>
    </w:p>
    <w:p w14:paraId="70C44EC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.场馆现状：室内面积800㎡，主体结构完好，内有洗手间、淋浴间、办公室。</w:t>
      </w:r>
    </w:p>
    <w:p w14:paraId="1FB201B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.资产评估结果：经合规资产评估机构测算，场馆首月租金基准价为</w:t>
      </w:r>
      <w:r>
        <w:rPr>
          <w:rFonts w:hint="eastAsia" w:ascii="宋体" w:hAnsi="宋体" w:cs="宋体"/>
          <w:color w:val="auto"/>
          <w:sz w:val="21"/>
          <w:szCs w:val="21"/>
          <w:highlight w:val="none"/>
          <w:lang w:val="en-US" w:eastAsia="zh-CN"/>
        </w:rPr>
        <w:t>3751</w:t>
      </w:r>
      <w:r>
        <w:rPr>
          <w:rFonts w:hint="eastAsia" w:ascii="宋体" w:hAnsi="宋体" w:eastAsia="宋体" w:cs="宋体"/>
          <w:color w:val="auto"/>
          <w:sz w:val="21"/>
          <w:szCs w:val="21"/>
          <w:highlight w:val="none"/>
          <w:lang w:val="en-US" w:eastAsia="zh-CN"/>
        </w:rPr>
        <w:t>元，年总租金基准价为</w:t>
      </w:r>
      <w:r>
        <w:rPr>
          <w:rFonts w:hint="eastAsia" w:ascii="宋体" w:hAnsi="宋体" w:cs="宋体"/>
          <w:color w:val="auto"/>
          <w:sz w:val="21"/>
          <w:szCs w:val="21"/>
          <w:highlight w:val="none"/>
          <w:lang w:val="en-US" w:eastAsia="zh-CN"/>
        </w:rPr>
        <w:t>45012</w:t>
      </w:r>
      <w:r>
        <w:rPr>
          <w:rFonts w:hint="eastAsia" w:ascii="宋体" w:hAnsi="宋体" w:eastAsia="宋体" w:cs="宋体"/>
          <w:color w:val="auto"/>
          <w:sz w:val="21"/>
          <w:szCs w:val="21"/>
          <w:highlight w:val="none"/>
          <w:lang w:val="en-US" w:eastAsia="zh-CN"/>
        </w:rPr>
        <w:t>元。</w:t>
      </w:r>
    </w:p>
    <w:p w14:paraId="0332825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.改造要求：</w:t>
      </w:r>
      <w:bookmarkStart w:id="57" w:name="OLE_LINK3"/>
      <w:r>
        <w:rPr>
          <w:rFonts w:hint="eastAsia" w:ascii="宋体" w:hAnsi="宋体" w:eastAsia="宋体" w:cs="宋体"/>
          <w:color w:val="auto"/>
          <w:sz w:val="21"/>
          <w:szCs w:val="21"/>
          <w:highlight w:val="none"/>
          <w:lang w:val="en-US" w:eastAsia="zh-CN"/>
        </w:rPr>
        <w:t>中标单位需全额承担改造费用，将场馆改造为符合《匹克球运动场地的通用要求及检验方法》的专业匹克球馆，建设不少于3片标准匹克球场地，改造后需通过体育主管部门及相关职能部门验收。</w:t>
      </w:r>
      <w:bookmarkEnd w:id="57"/>
    </w:p>
    <w:p w14:paraId="3EBFA8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.运营期限：10年（自改造验收合格次日起计算）</w:t>
      </w:r>
    </w:p>
    <w:p w14:paraId="358330AB">
      <w:pPr>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二、合作模式</w:t>
      </w:r>
    </w:p>
    <w:p w14:paraId="3F450EEF">
      <w:p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中标单位全额投入改造资金完成匹克球馆改造，在运营期内扣除经审核的改造费用后，按约定标准逐年向市政府缴纳租金，实现“改造投入换长期运营权+租金合理抵扣”的合作机制。</w:t>
      </w:r>
    </w:p>
    <w:p w14:paraId="27BE778C">
      <w:pPr>
        <w:numPr>
          <w:ilvl w:val="0"/>
          <w:numId w:val="0"/>
        </w:numPr>
        <w:spacing w:line="36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cs="宋体"/>
          <w:b/>
          <w:bCs/>
          <w:color w:val="auto"/>
          <w:sz w:val="21"/>
          <w:szCs w:val="21"/>
          <w:highlight w:val="none"/>
          <w:lang w:val="en-US" w:eastAsia="zh-CN"/>
        </w:rPr>
        <w:t>技术要求</w:t>
      </w:r>
    </w:p>
    <w:p w14:paraId="38C71C01">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（一）改造实施要求</w:t>
      </w:r>
    </w:p>
    <w:p w14:paraId="2E19FD5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1.改造周期：中标后30日内完成全部改造工作并申请验收，逾期未完成的，按合同标的额的0.01%计算日违约金，逾期超过10日的视为违约，招标单位有权解除合同。</w:t>
      </w:r>
    </w:p>
    <w:p w14:paraId="22957148">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2.改造标准：</w:t>
      </w:r>
    </w:p>
    <w:p w14:paraId="43A5EC6E">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场地标准：建设不少于3片标准匹克球场地，场地材质符合《匹克球运动场地的通用要求及检验方法》标准。</w:t>
      </w:r>
    </w:p>
    <w:p w14:paraId="424967C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安全要求：符合消防安全、公共卫生安全等相关规范，配备灭火器、急救箱等应急设施。</w:t>
      </w:r>
    </w:p>
    <w:p w14:paraId="6B392ED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改造资金审核：中标单位需在改造前提交详细改造方案及预算，经招标单位委托的第三方造价咨询机构审核确认后实施；改造完成后，由招标单位组织相关部门联合验收，并委托第三方审计机构对实际改造费用进行审计，审计结果作为租金抵扣的依据。</w:t>
      </w:r>
    </w:p>
    <w:p w14:paraId="2CC954F9">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（二）运营管理要求</w:t>
      </w:r>
    </w:p>
    <w:p w14:paraId="2D3070DF">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公益属性：场馆每周开放时间不少于56小时（含周末及法定节假日）；每年至少举办4场公益性匹克球培训，每期培训不少于12个课时，服务群众不少于50人；收费标准需经物价部门核定，对学生、老年人、残疾人等群体实行半价优惠；政府举办重大体育赛事或其他重大活动需要使用场地的，中标单位应按要求优先安排使用，每年政府免费使用天数不超过15天。</w:t>
      </w:r>
    </w:p>
    <w:p w14:paraId="1E8679E4">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运营服务：建立规范的运营管理制度，提供场地预订、咨询服务、设备租售、赛事组织等服务；配备专业教练及运营管理人员，保障场馆正常有序运行。</w:t>
      </w:r>
    </w:p>
    <w:p w14:paraId="02D05A65">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配套设施：完善灯光系统、通风换气系统、应急照明及疏散通道，配备必要的休息座椅、饮水设备、储物柜、宣传广告等。</w:t>
      </w:r>
    </w:p>
    <w:p w14:paraId="4404F136">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设施维护：运营期内负责场馆设施设备的日常维护、维修及更新，确保场馆始终符合运营标准。</w:t>
      </w:r>
    </w:p>
    <w:p w14:paraId="488333B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安全管理：建立健全安全管理制度，定期开展安全检查及应急演练，承担运营期间的安全责任。</w:t>
      </w:r>
    </w:p>
    <w:p w14:paraId="0F1CDEF7">
      <w:pPr>
        <w:numPr>
          <w:ilvl w:val="0"/>
          <w:numId w:val="0"/>
        </w:numPr>
        <w:spacing w:line="360" w:lineRule="auto"/>
        <w:rPr>
          <w:rFonts w:hint="default"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四、商务</w:t>
      </w:r>
      <w:r>
        <w:rPr>
          <w:rFonts w:hint="eastAsia" w:ascii="宋体" w:hAnsi="宋体" w:cs="宋体"/>
          <w:b/>
          <w:bCs/>
          <w:color w:val="auto"/>
          <w:sz w:val="21"/>
          <w:szCs w:val="21"/>
          <w:highlight w:val="none"/>
          <w:lang w:val="en-US" w:eastAsia="zh-CN"/>
        </w:rPr>
        <w:t>要求</w:t>
      </w:r>
    </w:p>
    <w:p w14:paraId="4F543300">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一</w:t>
      </w:r>
      <w:r>
        <w:rPr>
          <w:rFonts w:hint="default" w:ascii="宋体" w:hAnsi="宋体" w:cs="宋体"/>
          <w:b/>
          <w:bCs/>
          <w:color w:val="auto"/>
          <w:sz w:val="21"/>
          <w:szCs w:val="21"/>
          <w:highlight w:val="none"/>
          <w:lang w:val="en-US" w:eastAsia="zh-CN"/>
        </w:rPr>
        <w:t>）租金缴纳要求</w:t>
      </w:r>
    </w:p>
    <w:p w14:paraId="2D827676">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租金基数：以资产评估确定的月租金</w:t>
      </w:r>
      <w:r>
        <w:rPr>
          <w:rFonts w:hint="eastAsia" w:ascii="宋体" w:hAnsi="宋体" w:cs="宋体"/>
          <w:color w:val="auto"/>
          <w:sz w:val="21"/>
          <w:szCs w:val="21"/>
          <w:highlight w:val="none"/>
          <w:lang w:val="en-US" w:eastAsia="zh-CN"/>
        </w:rPr>
        <w:t>3751</w:t>
      </w:r>
      <w:r>
        <w:rPr>
          <w:rFonts w:hint="default" w:ascii="宋体" w:hAnsi="宋体" w:cs="宋体"/>
          <w:b w:val="0"/>
          <w:bCs w:val="0"/>
          <w:color w:val="auto"/>
          <w:sz w:val="21"/>
          <w:szCs w:val="21"/>
          <w:highlight w:val="none"/>
          <w:lang w:val="en-US" w:eastAsia="zh-CN"/>
        </w:rPr>
        <w:t>元为基准。</w:t>
      </w:r>
    </w:p>
    <w:p w14:paraId="5448FDE5">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抵扣规则：经审计确认的实际改造费用，直接用于抵扣运营期内中标单位应付租金，抵扣顺序按运营年度依次进行：首个运营年度，先以改造费用抵扣当年应付租金，若改造费用≥当年租金，抵扣后当年无需缴纳租金，剩余未抵扣改造费用结转至下一年度继续抵扣；若某一运营年度，剩余未抵扣改造费用＜当年租金，剩余改造费用抵扣部分租金后，差额部分按当运营年度应交租金缴纳租金。</w:t>
      </w:r>
    </w:p>
    <w:p w14:paraId="2C970123">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缴纳方式：改造费用抵扣期间，若需缴纳租金差额，或改造费用抵扣完毕后需缴纳全额租金，均按年度缴纳，每年1月31 日前缴纳当年全额租金（或差额租金）。每次抵扣及缴纳后，招标单位需向中标单位出具改造费用抵扣确认函或租金缴纳凭证，明确剩余未抵扣改造费用金额（如有）。</w:t>
      </w:r>
    </w:p>
    <w:p w14:paraId="0F7CE9DD">
      <w:pPr>
        <w:numPr>
          <w:ilvl w:val="0"/>
          <w:numId w:val="0"/>
        </w:numPr>
        <w:spacing w:line="36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sz w:val="21"/>
          <w:szCs w:val="21"/>
          <w:highlight w:val="none"/>
          <w:lang w:val="en-US" w:eastAsia="zh-CN"/>
        </w:rPr>
        <w:t>验收要求</w:t>
      </w:r>
    </w:p>
    <w:p w14:paraId="3E21D441">
      <w:pPr>
        <w:numPr>
          <w:ilvl w:val="0"/>
          <w:numId w:val="0"/>
        </w:numPr>
        <w:spacing w:line="360" w:lineRule="auto"/>
        <w:ind w:firstLine="420" w:firstLineChars="200"/>
        <w:rPr>
          <w:rFonts w:hint="default" w:ascii="宋体" w:hAnsi="宋体" w:cs="宋体"/>
          <w:b/>
          <w:bCs/>
          <w:color w:val="auto"/>
          <w:sz w:val="21"/>
          <w:szCs w:val="21"/>
          <w:highlight w:val="none"/>
          <w:lang w:val="en-US" w:eastAsia="zh-CN"/>
        </w:rPr>
      </w:pPr>
      <w:r>
        <w:rPr>
          <w:rFonts w:hint="eastAsia" w:eastAsia="宋体"/>
          <w:color w:val="auto"/>
          <w:sz w:val="21"/>
          <w:szCs w:val="21"/>
          <w:highlight w:val="none"/>
          <w:lang w:eastAsia="zh-CN"/>
        </w:rPr>
        <w:t>符合现行国家有关</w:t>
      </w:r>
      <w:r>
        <w:rPr>
          <w:rFonts w:hint="eastAsia" w:eastAsia="宋体"/>
          <w:color w:val="auto"/>
          <w:sz w:val="21"/>
          <w:szCs w:val="21"/>
          <w:highlight w:val="none"/>
          <w:lang w:val="en-US" w:eastAsia="zh-CN"/>
        </w:rPr>
        <w:t>验收</w:t>
      </w:r>
      <w:r>
        <w:rPr>
          <w:rFonts w:hint="eastAsia" w:eastAsia="宋体"/>
          <w:color w:val="auto"/>
          <w:sz w:val="21"/>
          <w:szCs w:val="21"/>
          <w:highlight w:val="none"/>
          <w:lang w:eastAsia="zh-CN"/>
        </w:rPr>
        <w:t>规范标准的要求，达到合格标准，并通过体育主管部门及相关职能部门验收。</w:t>
      </w:r>
    </w:p>
    <w:p w14:paraId="6CC5E5CB">
      <w:pPr>
        <w:numPr>
          <w:ilvl w:val="0"/>
          <w:numId w:val="0"/>
        </w:numPr>
        <w:spacing w:line="360" w:lineRule="auto"/>
        <w:rPr>
          <w:rFonts w:hint="default" w:ascii="宋体" w:hAnsi="宋体" w:cs="宋体"/>
          <w:b/>
          <w:bCs/>
          <w:color w:val="auto"/>
          <w:sz w:val="21"/>
          <w:szCs w:val="21"/>
          <w:highlight w:val="none"/>
          <w:lang w:val="en-US" w:eastAsia="zh-CN"/>
        </w:rPr>
      </w:pPr>
    </w:p>
    <w:p w14:paraId="23F19F1C">
      <w:pPr>
        <w:numPr>
          <w:ilvl w:val="0"/>
          <w:numId w:val="0"/>
        </w:numPr>
        <w:spacing w:line="360" w:lineRule="auto"/>
        <w:rPr>
          <w:rFonts w:hint="default" w:ascii="宋体" w:hAnsi="宋体" w:cs="宋体"/>
          <w:b/>
          <w:bCs/>
          <w:color w:val="auto"/>
          <w:sz w:val="21"/>
          <w:szCs w:val="21"/>
          <w:highlight w:val="none"/>
          <w:lang w:val="en-US" w:eastAsia="zh-CN"/>
        </w:rPr>
      </w:pPr>
    </w:p>
    <w:bookmarkEnd w:id="55"/>
    <w:bookmarkEnd w:id="56"/>
    <w:p w14:paraId="49E310FC">
      <w:pPr>
        <w:rPr>
          <w:rFonts w:hint="eastAsia" w:ascii="宋体" w:hAnsi="宋体" w:eastAsia="宋体" w:cs="宋体"/>
          <w:b/>
          <w:bCs/>
          <w:color w:val="auto"/>
          <w:sz w:val="36"/>
          <w:szCs w:val="36"/>
          <w:highlight w:val="none"/>
        </w:rPr>
      </w:pPr>
      <w:bookmarkStart w:id="58" w:name="_Toc3621"/>
      <w:r>
        <w:rPr>
          <w:rFonts w:hint="eastAsia" w:ascii="宋体" w:hAnsi="宋体" w:eastAsia="宋体" w:cs="宋体"/>
          <w:b/>
          <w:bCs/>
          <w:color w:val="auto"/>
          <w:sz w:val="36"/>
          <w:szCs w:val="36"/>
          <w:highlight w:val="none"/>
        </w:rPr>
        <w:br w:type="page"/>
      </w:r>
    </w:p>
    <w:p w14:paraId="46B09D72">
      <w:pPr>
        <w:rPr>
          <w:rFonts w:hint="eastAsia"/>
          <w:color w:val="auto"/>
          <w:highlight w:val="none"/>
        </w:rPr>
      </w:pPr>
    </w:p>
    <w:p w14:paraId="1AA49114">
      <w:pPr>
        <w:pStyle w:val="3"/>
        <w:spacing w:beforeAutospacing="0" w:afterAutospacing="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第三部分 投标人须知</w:t>
      </w:r>
      <w:bookmarkEnd w:id="58"/>
    </w:p>
    <w:p w14:paraId="11A7D480">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bookmarkStart w:id="59" w:name="_Toc56855648"/>
      <w:bookmarkEnd w:id="59"/>
      <w:bookmarkStart w:id="60" w:name="_Toc56851223"/>
      <w:bookmarkEnd w:id="60"/>
      <w:bookmarkStart w:id="61" w:name="_Toc56846630"/>
      <w:bookmarkEnd w:id="61"/>
      <w:bookmarkStart w:id="62" w:name="_Toc56855616"/>
      <w:bookmarkEnd w:id="62"/>
      <w:bookmarkStart w:id="63" w:name="_Toc56938696"/>
      <w:bookmarkEnd w:id="63"/>
      <w:bookmarkStart w:id="64" w:name="_Toc52288201"/>
      <w:bookmarkEnd w:id="64"/>
      <w:bookmarkStart w:id="65" w:name="_Toc52270232"/>
      <w:bookmarkEnd w:id="65"/>
      <w:r>
        <w:rPr>
          <w:rFonts w:hint="eastAsia" w:ascii="宋体" w:hAnsi="宋体" w:eastAsia="宋体" w:cs="宋体"/>
          <w:b/>
          <w:bCs/>
          <w:color w:val="auto"/>
          <w:szCs w:val="21"/>
          <w:highlight w:val="none"/>
          <w:lang w:val="en-US" w:eastAsia="zh-CN"/>
        </w:rPr>
        <w:t>1.总体说明</w:t>
      </w:r>
    </w:p>
    <w:p w14:paraId="29738185">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1.1.招标类别及资金说明</w:t>
      </w:r>
    </w:p>
    <w:p w14:paraId="7FEBB1E7">
      <w:pPr>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lang w:eastAsia="zh-CN"/>
        </w:rPr>
        <w:t>属于</w:t>
      </w:r>
      <w:r>
        <w:rPr>
          <w:rFonts w:hint="eastAsia" w:ascii="宋体" w:hAnsi="宋体" w:eastAsia="宋体" w:cs="宋体"/>
          <w:b/>
          <w:color w:val="auto"/>
          <w:szCs w:val="21"/>
          <w:highlight w:val="none"/>
        </w:rPr>
        <w:t>服务类</w:t>
      </w:r>
      <w:r>
        <w:rPr>
          <w:rFonts w:hint="eastAsia" w:ascii="宋体" w:hAnsi="宋体" w:eastAsia="宋体" w:cs="宋体"/>
          <w:bCs/>
          <w:color w:val="auto"/>
          <w:szCs w:val="21"/>
          <w:highlight w:val="none"/>
        </w:rPr>
        <w:t>项目。</w:t>
      </w:r>
    </w:p>
    <w:p w14:paraId="2EAF5C3F">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1.2.关于限价</w:t>
      </w:r>
    </w:p>
    <w:p w14:paraId="1CD928A0">
      <w:pPr>
        <w:tabs>
          <w:tab w:val="left" w:pos="1900"/>
        </w:tabs>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本项目的</w:t>
      </w:r>
      <w:r>
        <w:rPr>
          <w:rFonts w:hint="eastAsia" w:ascii="宋体" w:hAnsi="宋体" w:cs="宋体"/>
          <w:bCs/>
          <w:color w:val="auto"/>
          <w:szCs w:val="21"/>
          <w:highlight w:val="none"/>
          <w:lang w:eastAsia="zh-CN"/>
        </w:rPr>
        <w:t>年租金总价最低限价</w:t>
      </w:r>
      <w:r>
        <w:rPr>
          <w:rFonts w:hint="eastAsia" w:ascii="宋体" w:hAnsi="宋体" w:eastAsia="宋体" w:cs="宋体"/>
          <w:bCs/>
          <w:color w:val="auto"/>
          <w:szCs w:val="21"/>
          <w:highlight w:val="none"/>
        </w:rPr>
        <w:t>见第二部分《</w:t>
      </w:r>
      <w:r>
        <w:rPr>
          <w:rFonts w:hint="eastAsia" w:ascii="宋体" w:hAnsi="宋体" w:cs="宋体"/>
          <w:bCs/>
          <w:color w:val="auto"/>
          <w:szCs w:val="21"/>
          <w:highlight w:val="none"/>
          <w:lang w:val="en-US" w:eastAsia="zh-CN"/>
        </w:rPr>
        <w:t>采购需求</w:t>
      </w:r>
      <w:r>
        <w:rPr>
          <w:rFonts w:hint="eastAsia" w:ascii="宋体" w:hAnsi="宋体" w:eastAsia="宋体" w:cs="宋体"/>
          <w:bCs/>
          <w:color w:val="auto"/>
          <w:szCs w:val="21"/>
          <w:highlight w:val="none"/>
        </w:rPr>
        <w:t>》，凡</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w:t>
      </w:r>
      <w:r>
        <w:rPr>
          <w:rFonts w:hint="eastAsia" w:ascii="宋体" w:hAnsi="宋体" w:cs="宋体"/>
          <w:bCs/>
          <w:color w:val="auto"/>
          <w:szCs w:val="21"/>
          <w:highlight w:val="none"/>
          <w:lang w:val="en-US" w:eastAsia="zh-CN"/>
        </w:rPr>
        <w:t>低于</w:t>
      </w:r>
      <w:r>
        <w:rPr>
          <w:rFonts w:hint="eastAsia" w:ascii="宋体" w:hAnsi="宋体" w:cs="宋体"/>
          <w:bCs/>
          <w:color w:val="auto"/>
          <w:szCs w:val="21"/>
          <w:highlight w:val="none"/>
          <w:lang w:eastAsia="zh-CN"/>
        </w:rPr>
        <w:t>年租金总价最低限价</w:t>
      </w:r>
      <w:r>
        <w:rPr>
          <w:rFonts w:hint="eastAsia" w:ascii="宋体" w:hAnsi="宋体" w:eastAsia="宋体" w:cs="宋体"/>
          <w:bCs/>
          <w:color w:val="auto"/>
          <w:szCs w:val="21"/>
          <w:highlight w:val="none"/>
        </w:rPr>
        <w:t>的将被视为无效</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23637E08">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1.3.适用范围</w:t>
      </w:r>
    </w:p>
    <w:p w14:paraId="5F0743E1">
      <w:pPr>
        <w:spacing w:beforeAutospacing="0" w:afterAutospacing="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本项目仅适用于本招标文件所述的</w:t>
      </w:r>
      <w:r>
        <w:rPr>
          <w:rFonts w:hint="eastAsia" w:ascii="宋体" w:hAnsi="宋体" w:eastAsia="宋体" w:cs="宋体"/>
          <w:color w:val="auto"/>
          <w:szCs w:val="21"/>
          <w:highlight w:val="none"/>
        </w:rPr>
        <w:t>招标内容</w:t>
      </w:r>
      <w:r>
        <w:rPr>
          <w:rFonts w:hint="eastAsia" w:ascii="宋体" w:hAnsi="宋体" w:eastAsia="宋体" w:cs="宋体"/>
          <w:bCs/>
          <w:color w:val="auto"/>
          <w:szCs w:val="21"/>
          <w:highlight w:val="none"/>
        </w:rPr>
        <w:t>。</w:t>
      </w:r>
    </w:p>
    <w:p w14:paraId="112CE933">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highlight w:val="none"/>
        </w:rPr>
      </w:pPr>
      <w:r>
        <w:rPr>
          <w:rFonts w:hint="eastAsia" w:ascii="宋体" w:hAnsi="宋体" w:eastAsia="宋体" w:cs="宋体"/>
          <w:b/>
          <w:i w:val="0"/>
          <w:color w:val="auto"/>
          <w:kern w:val="2"/>
          <w:sz w:val="21"/>
          <w:szCs w:val="21"/>
          <w:highlight w:val="none"/>
          <w:lang w:val="en-US" w:eastAsia="zh-CN" w:bidi="ar-SA"/>
        </w:rPr>
        <w:t>1.4.</w:t>
      </w:r>
      <w:r>
        <w:rPr>
          <w:rFonts w:hint="eastAsia" w:ascii="宋体" w:hAnsi="宋体" w:eastAsia="宋体" w:cs="宋体"/>
          <w:b/>
          <w:bCs/>
          <w:color w:val="auto"/>
          <w:szCs w:val="21"/>
          <w:highlight w:val="none"/>
        </w:rPr>
        <w:t>合格的投标人</w:t>
      </w:r>
    </w:p>
    <w:p w14:paraId="6D5A6186">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1.4.1.</w:t>
      </w:r>
      <w:r>
        <w:rPr>
          <w:rFonts w:hint="eastAsia" w:ascii="宋体" w:hAnsi="宋体" w:eastAsia="宋体" w:cs="宋体"/>
          <w:color w:val="auto"/>
          <w:szCs w:val="21"/>
          <w:highlight w:val="none"/>
        </w:rPr>
        <w:t>具有符合《投标邀请》中申请人资格要求；</w:t>
      </w:r>
    </w:p>
    <w:p w14:paraId="4B53F4C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1.4.2.</w:t>
      </w:r>
      <w:r>
        <w:rPr>
          <w:rFonts w:hint="eastAsia" w:ascii="宋体" w:hAnsi="宋体" w:eastAsia="宋体" w:cs="宋体"/>
          <w:color w:val="auto"/>
          <w:szCs w:val="21"/>
          <w:highlight w:val="none"/>
        </w:rPr>
        <w:t>是独立于招标人和招标代理机构的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5C84525B">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1.4.3.</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，不得参加同一合同项目的招标活动；</w:t>
      </w:r>
    </w:p>
    <w:p w14:paraId="5D48982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1.4.4.</w:t>
      </w:r>
      <w:r>
        <w:rPr>
          <w:rFonts w:hint="eastAsia" w:ascii="宋体" w:hAnsi="宋体" w:eastAsia="宋体" w:cs="宋体"/>
          <w:color w:val="auto"/>
          <w:szCs w:val="21"/>
          <w:highlight w:val="none"/>
        </w:rPr>
        <w:t>为本项目提供整体设计、规范编制、招标等服务的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，不得再参加本项目的招标活动；</w:t>
      </w:r>
    </w:p>
    <w:p w14:paraId="15D43187">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1.4.5.</w:t>
      </w:r>
      <w:r>
        <w:rPr>
          <w:rFonts w:hint="eastAsia" w:ascii="宋体" w:hAnsi="宋体" w:eastAsia="宋体" w:cs="宋体"/>
          <w:color w:val="auto"/>
          <w:szCs w:val="21"/>
          <w:highlight w:val="none"/>
        </w:rPr>
        <w:t>已在本项目报名及购买招标文件的投标人。</w:t>
      </w:r>
    </w:p>
    <w:p w14:paraId="4BFAEDCA">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highlight w:val="none"/>
        </w:rPr>
      </w:pPr>
      <w:r>
        <w:rPr>
          <w:rFonts w:hint="eastAsia" w:ascii="宋体" w:hAnsi="宋体" w:eastAsia="宋体" w:cs="宋体"/>
          <w:b/>
          <w:i w:val="0"/>
          <w:color w:val="auto"/>
          <w:kern w:val="2"/>
          <w:sz w:val="21"/>
          <w:szCs w:val="21"/>
          <w:highlight w:val="none"/>
          <w:lang w:val="en-US" w:eastAsia="zh-CN" w:bidi="ar-SA"/>
        </w:rPr>
        <w:t>1.5.</w:t>
      </w:r>
      <w:r>
        <w:rPr>
          <w:rFonts w:hint="eastAsia" w:ascii="宋体" w:hAnsi="宋体" w:eastAsia="宋体" w:cs="宋体"/>
          <w:b/>
          <w:bCs/>
          <w:color w:val="auto"/>
          <w:szCs w:val="21"/>
          <w:highlight w:val="none"/>
        </w:rPr>
        <w:t>投标费用</w:t>
      </w:r>
    </w:p>
    <w:p w14:paraId="3D18B510">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1.5.1.</w:t>
      </w:r>
      <w:r>
        <w:rPr>
          <w:rFonts w:hint="eastAsia" w:ascii="宋体" w:hAnsi="宋体" w:eastAsia="宋体" w:cs="宋体"/>
          <w:color w:val="auto"/>
          <w:szCs w:val="21"/>
          <w:highlight w:val="none"/>
        </w:rPr>
        <w:t>投标人应承担所有参与本次投标的全部费用。不论投标的结果如何，招标代理机构和招标人均无义务和责任承担这些费用。</w:t>
      </w:r>
    </w:p>
    <w:p w14:paraId="722C17F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1.5.2.</w:t>
      </w:r>
      <w:r>
        <w:rPr>
          <w:rFonts w:hint="eastAsia" w:ascii="宋体" w:hAnsi="宋体" w:eastAsia="宋体" w:cs="宋体"/>
          <w:color w:val="auto"/>
          <w:szCs w:val="21"/>
          <w:highlight w:val="none"/>
        </w:rPr>
        <w:t>投标人参与重新招标的项目，招标代理机构报名费不予退还，投标人必须重新按招标文件要求的金额及规定的期限内重新报名和重新</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投标保证金，否则，评标委员会将对其投标文件作无效投标处理。</w:t>
      </w:r>
    </w:p>
    <w:p w14:paraId="6A31D34E">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1.6.</w:t>
      </w:r>
      <w:r>
        <w:rPr>
          <w:rFonts w:hint="eastAsia" w:ascii="宋体" w:hAnsi="宋体" w:eastAsia="宋体" w:cs="宋体"/>
          <w:b/>
          <w:bCs/>
          <w:color w:val="auto"/>
          <w:szCs w:val="21"/>
          <w:highlight w:val="none"/>
        </w:rPr>
        <w:t>合格的货物和服务</w:t>
      </w:r>
    </w:p>
    <w:p w14:paraId="776E911C">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1.6.1.</w:t>
      </w:r>
      <w:r>
        <w:rPr>
          <w:rFonts w:hint="eastAsia" w:ascii="宋体" w:hAnsi="宋体" w:eastAsia="宋体" w:cs="宋体"/>
          <w:color w:val="auto"/>
          <w:szCs w:val="21"/>
          <w:highlight w:val="none"/>
        </w:rPr>
        <w:t>投标人提供的所有货物及服务，其来源均应符合相关法律法规的规定。</w:t>
      </w:r>
    </w:p>
    <w:p w14:paraId="28C143E5">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1.6.2.</w:t>
      </w:r>
      <w:r>
        <w:rPr>
          <w:rFonts w:hint="eastAsia" w:ascii="宋体" w:hAnsi="宋体" w:eastAsia="宋体" w:cs="宋体"/>
          <w:color w:val="auto"/>
          <w:szCs w:val="21"/>
          <w:highlight w:val="none"/>
        </w:rPr>
        <w:t>招标人将拒绝接受不合格的货物和服务。</w:t>
      </w:r>
    </w:p>
    <w:p w14:paraId="461CB9E8">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1.7.</w:t>
      </w:r>
      <w:r>
        <w:rPr>
          <w:rFonts w:hint="eastAsia" w:ascii="宋体" w:hAnsi="宋体" w:eastAsia="宋体" w:cs="宋体"/>
          <w:b/>
          <w:bCs/>
          <w:color w:val="auto"/>
          <w:szCs w:val="21"/>
          <w:highlight w:val="none"/>
        </w:rPr>
        <w:t>定义</w:t>
      </w:r>
    </w:p>
    <w:p w14:paraId="26673C04">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1.7.1.</w:t>
      </w:r>
      <w:r>
        <w:rPr>
          <w:rFonts w:hint="eastAsia" w:ascii="宋体" w:hAnsi="宋体" w:eastAsia="宋体" w:cs="宋体"/>
          <w:color w:val="auto"/>
          <w:szCs w:val="21"/>
          <w:highlight w:val="none"/>
        </w:rPr>
        <w:t>“招标人”指本招标项目的委托人和最终使用单位，亦指“业主</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p>
    <w:p w14:paraId="5BB3BE5E">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1.7.2.</w:t>
      </w:r>
      <w:r>
        <w:rPr>
          <w:rFonts w:hint="eastAsia" w:ascii="宋体" w:hAnsi="宋体" w:eastAsia="宋体" w:cs="宋体"/>
          <w:color w:val="auto"/>
          <w:szCs w:val="21"/>
          <w:highlight w:val="none"/>
        </w:rPr>
        <w:t>“招标代理机构”指</w:t>
      </w: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w:t>
      </w:r>
    </w:p>
    <w:p w14:paraId="65A4599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1.7.3.</w:t>
      </w:r>
      <w:r>
        <w:rPr>
          <w:rFonts w:hint="eastAsia" w:ascii="宋体" w:hAnsi="宋体" w:eastAsia="宋体" w:cs="宋体"/>
          <w:color w:val="auto"/>
          <w:szCs w:val="21"/>
          <w:highlight w:val="none"/>
        </w:rPr>
        <w:t>“投标人”指向招标代理机构提交投标文件并参与投标报价的法人或其他组织，亦指“</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7CCC2DC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 指经法定程序确定并授予合同的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2ABFE11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1.7.5.</w:t>
      </w:r>
      <w:r>
        <w:rPr>
          <w:rFonts w:hint="eastAsia" w:ascii="宋体" w:hAnsi="宋体" w:eastAsia="宋体" w:cs="宋体"/>
          <w:color w:val="auto"/>
          <w:szCs w:val="21"/>
          <w:highlight w:val="none"/>
        </w:rPr>
        <w:t>“甲方”指招标人，合同的一方当事人。</w:t>
      </w:r>
    </w:p>
    <w:p w14:paraId="2C8B585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1.7.6.</w:t>
      </w:r>
      <w:r>
        <w:rPr>
          <w:rFonts w:hint="eastAsia" w:ascii="宋体" w:hAnsi="宋体" w:eastAsia="宋体" w:cs="宋体"/>
          <w:color w:val="auto"/>
          <w:szCs w:val="21"/>
          <w:highlight w:val="none"/>
        </w:rPr>
        <w:t>“乙方”系指</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，合同的一方当事人。</w:t>
      </w:r>
    </w:p>
    <w:p w14:paraId="70974C1A">
      <w:pPr>
        <w:numPr>
          <w:ilvl w:val="2"/>
          <w:numId w:val="0"/>
        </w:numPr>
        <w:tabs>
          <w:tab w:val="left" w:pos="180"/>
          <w:tab w:val="left" w:pos="540"/>
        </w:tabs>
        <w:spacing w:beforeAutospacing="0" w:afterAutospacing="0" w:line="360" w:lineRule="auto"/>
        <w:ind w:left="624" w:leftChars="0" w:hanging="624"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1.7.7.</w:t>
      </w:r>
      <w:r>
        <w:rPr>
          <w:rFonts w:hint="eastAsia" w:ascii="宋体" w:hAnsi="宋体" w:eastAsia="宋体" w:cs="宋体"/>
          <w:bCs/>
          <w:color w:val="auto"/>
          <w:szCs w:val="21"/>
          <w:highlight w:val="none"/>
        </w:rPr>
        <w:t>“日期”指公历日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“时间”指北京时间。</w:t>
      </w:r>
    </w:p>
    <w:p w14:paraId="07C2C6DF">
      <w:pPr>
        <w:numPr>
          <w:ilvl w:val="2"/>
          <w:numId w:val="0"/>
        </w:numPr>
        <w:tabs>
          <w:tab w:val="left" w:pos="720"/>
          <w:tab w:val="left" w:pos="1050"/>
          <w:tab w:val="left" w:pos="1155"/>
        </w:tabs>
        <w:spacing w:beforeAutospacing="0" w:afterAutospacing="0" w:line="360" w:lineRule="auto"/>
        <w:ind w:left="735" w:leftChars="0" w:hanging="735" w:hangingChars="35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1.7.8.</w:t>
      </w:r>
      <w:r>
        <w:rPr>
          <w:rFonts w:hint="eastAsia" w:ascii="宋体" w:hAnsi="宋体" w:eastAsia="宋体" w:cs="宋体"/>
          <w:bCs/>
          <w:color w:val="auto"/>
          <w:szCs w:val="21"/>
          <w:highlight w:val="none"/>
        </w:rPr>
        <w:t>“实质性响应”系指符合招标文件要求、条款、条件和规定，且没有重大偏离或保留。重大偏离或保留指影响到招标文件规定的范围、质量和性能，或限制招标人的权</w:t>
      </w:r>
      <w:r>
        <w:rPr>
          <w:rFonts w:hint="eastAsia" w:ascii="宋体" w:hAnsi="宋体" w:eastAsia="宋体" w:cs="宋体"/>
          <w:color w:val="auto"/>
          <w:szCs w:val="21"/>
          <w:highlight w:val="none"/>
        </w:rPr>
        <w:t>利和投标人的义务的规定，而纠正这些偏离将影响到其他递交实质性响应</w:t>
      </w:r>
      <w:r>
        <w:rPr>
          <w:rFonts w:hint="eastAsia" w:ascii="宋体" w:hAnsi="宋体" w:eastAsia="宋体" w:cs="宋体"/>
          <w:bCs/>
          <w:color w:val="auto"/>
          <w:szCs w:val="21"/>
          <w:highlight w:val="none"/>
        </w:rPr>
        <w:t>招标文件</w:t>
      </w:r>
      <w:r>
        <w:rPr>
          <w:rFonts w:hint="eastAsia" w:ascii="宋体" w:hAnsi="宋体" w:eastAsia="宋体" w:cs="宋体"/>
          <w:color w:val="auto"/>
          <w:szCs w:val="21"/>
          <w:highlight w:val="none"/>
        </w:rPr>
        <w:t>的投标人的公平竞争地位。</w:t>
      </w:r>
    </w:p>
    <w:p w14:paraId="233BE9D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1.7.9.</w:t>
      </w:r>
      <w:r>
        <w:rPr>
          <w:rFonts w:hint="eastAsia" w:ascii="宋体" w:hAnsi="宋体" w:eastAsia="宋体" w:cs="宋体"/>
          <w:color w:val="auto"/>
          <w:szCs w:val="21"/>
          <w:highlight w:val="none"/>
        </w:rPr>
        <w:t>招标文件中的标题或题名仅起引导作用，而不应该作为对招标文件内容的理解或解释。</w:t>
      </w:r>
    </w:p>
    <w:p w14:paraId="195BB13A">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知识产权</w:t>
      </w:r>
    </w:p>
    <w:p w14:paraId="740B5D4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1.8.1.</w:t>
      </w:r>
      <w:r>
        <w:rPr>
          <w:rFonts w:hint="eastAsia" w:ascii="宋体" w:hAnsi="宋体" w:eastAsia="宋体" w:cs="宋体"/>
          <w:color w:val="auto"/>
          <w:szCs w:val="21"/>
          <w:highlight w:val="none"/>
        </w:rPr>
        <w:t>投标人必须保证，招标人在中华人民共和国境内使用报价货物、资料、技术、服务或其任何一部分时，享有不受限制的无偿使用权，不会产生因第三方提出侵犯其专利权、商标权或</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知识产权而引起的法律或经济纠纷。如投标人不拥有相应的知识产权，则应由投标人负责获得并提供给招标人使用，其报价中必须包括合法获取该知识产权的一切相关费用，如投标人没有单独列出的，视为已包含在相应报价中。一旦使用投标人提供的产品或服务，招标人不再承担第三方提出侵犯其专利权、商标权或</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知识产权而引起的法律或经济纠纷。</w:t>
      </w:r>
    </w:p>
    <w:p w14:paraId="64757CB3">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1.9.禁止事项</w:t>
      </w:r>
    </w:p>
    <w:p w14:paraId="3AC5F89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1.9.1.招标人、投标人和招标代理机构不得相互串通投标损害国家利益，社会公共利益和其他当事人的合法权益；不得以任何手段排斥其他投标人参与竞争。</w:t>
      </w:r>
    </w:p>
    <w:p w14:paraId="641A970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1.9.2.投标人不得向招标人、招标代理机构、评标委员会的组成人员行贿或者采取其他不正当手段谋取中标。</w:t>
      </w:r>
    </w:p>
    <w:p w14:paraId="5611008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1.9.3.除投标人质疑和投诉外，从开标之时起至授予合同止，投标人不得就与其投标有关的事项主动与评标委员会、招标人以及招标代理机构接触。</w:t>
      </w:r>
    </w:p>
    <w:p w14:paraId="5B1CE9A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1.9.4.相关法规规定的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禁止事项。</w:t>
      </w:r>
    </w:p>
    <w:p w14:paraId="7A4C8155">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1.10.保密事项</w:t>
      </w:r>
    </w:p>
    <w:p w14:paraId="3D1FCA3C">
      <w:pPr>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1.10.1.由招标人及招标代理机构向投标人提供的招标文件、</w:t>
      </w:r>
      <w:r>
        <w:rPr>
          <w:rFonts w:hint="eastAsia" w:ascii="宋体" w:hAnsi="宋体" w:cs="宋体"/>
          <w:color w:val="auto"/>
          <w:szCs w:val="21"/>
          <w:highlight w:val="none"/>
          <w:lang w:eastAsia="zh-CN"/>
        </w:rPr>
        <w:t>采购需求</w:t>
      </w:r>
      <w:r>
        <w:rPr>
          <w:rFonts w:hint="eastAsia" w:ascii="宋体" w:hAnsi="宋体" w:eastAsia="宋体" w:cs="宋体"/>
          <w:color w:val="auto"/>
          <w:szCs w:val="21"/>
          <w:highlight w:val="none"/>
        </w:rPr>
        <w:t>、图纸、样品、模型、模件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14:paraId="550C1BFC">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招标文件</w:t>
      </w:r>
    </w:p>
    <w:p w14:paraId="68864226">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2.1.招标文件的组成</w:t>
      </w:r>
    </w:p>
    <w:p w14:paraId="43A5B99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投标邀请</w:t>
      </w:r>
    </w:p>
    <w:p w14:paraId="1BB6E23F">
      <w:pPr>
        <w:spacing w:beforeAutospacing="0" w:afterAutospacing="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2.1.2. </w:t>
      </w:r>
      <w:r>
        <w:rPr>
          <w:rFonts w:hint="eastAsia" w:ascii="宋体" w:hAnsi="宋体" w:cs="宋体"/>
          <w:color w:val="auto"/>
          <w:szCs w:val="21"/>
          <w:highlight w:val="none"/>
          <w:lang w:eastAsia="zh-CN"/>
        </w:rPr>
        <w:t>采购需求</w:t>
      </w:r>
    </w:p>
    <w:p w14:paraId="7A149A4E">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投标人须知</w:t>
      </w:r>
    </w:p>
    <w:p w14:paraId="5FCC52AA">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2.1.4. </w:t>
      </w:r>
      <w:r>
        <w:rPr>
          <w:rFonts w:hint="eastAsia" w:ascii="宋体" w:hAnsi="宋体" w:eastAsia="宋体" w:cs="宋体"/>
          <w:bCs/>
          <w:color w:val="auto"/>
          <w:szCs w:val="21"/>
          <w:highlight w:val="none"/>
        </w:rPr>
        <w:t>开标、评标和定标</w:t>
      </w:r>
    </w:p>
    <w:p w14:paraId="2E27D8EC">
      <w:pPr>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rPr>
        <w:t xml:space="preserve">2.1.5. </w:t>
      </w:r>
      <w:r>
        <w:rPr>
          <w:rFonts w:hint="eastAsia" w:ascii="宋体" w:hAnsi="宋体" w:eastAsia="宋体" w:cs="宋体"/>
          <w:color w:val="auto"/>
          <w:szCs w:val="21"/>
          <w:highlight w:val="none"/>
        </w:rPr>
        <w:t>合同书</w:t>
      </w:r>
      <w:r>
        <w:rPr>
          <w:rFonts w:hint="eastAsia" w:ascii="宋体" w:hAnsi="宋体" w:cs="宋体"/>
          <w:color w:val="auto"/>
          <w:szCs w:val="21"/>
          <w:highlight w:val="none"/>
          <w:lang w:val="en-US" w:eastAsia="zh-CN"/>
        </w:rPr>
        <w:t>格式</w:t>
      </w:r>
    </w:p>
    <w:p w14:paraId="13EA2B8D">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投标文件格式（仅供参考）</w:t>
      </w:r>
    </w:p>
    <w:p w14:paraId="30DA62C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 在招标过程中由招标人或招标代理机构发出的修正和补充文件等。</w:t>
      </w:r>
    </w:p>
    <w:p w14:paraId="78395B4D">
      <w:pPr>
        <w:spacing w:beforeAutospacing="0" w:afterAutospacing="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2.2.招标文件的澄清和修改</w:t>
      </w:r>
    </w:p>
    <w:p w14:paraId="54D2106D">
      <w:pPr>
        <w:spacing w:beforeAutospacing="0" w:afterAutospacing="0" w:line="360" w:lineRule="auto"/>
        <w:ind w:left="735" w:hanging="735" w:hangingChars="350"/>
        <w:rPr>
          <w:rFonts w:hint="eastAsia" w:ascii="宋体" w:hAnsi="宋体" w:eastAsia="宋体" w:cs="宋体"/>
          <w:bCs/>
          <w:color w:val="auto"/>
          <w:szCs w:val="21"/>
          <w:highlight w:val="none"/>
        </w:rPr>
      </w:pPr>
      <w:bookmarkStart w:id="66" w:name="_Hlt230510880"/>
      <w:bookmarkEnd w:id="66"/>
      <w:bookmarkStart w:id="67" w:name="_Hlt230510881"/>
      <w:bookmarkEnd w:id="67"/>
      <w:bookmarkStart w:id="68" w:name="_Hlt230510879"/>
      <w:bookmarkEnd w:id="68"/>
      <w:bookmarkStart w:id="69" w:name="_Hlt230510878"/>
      <w:bookmarkEnd w:id="69"/>
      <w:bookmarkStart w:id="70" w:name="_Toc52288203"/>
      <w:bookmarkStart w:id="71" w:name="_Toc56938698"/>
      <w:bookmarkStart w:id="72" w:name="_Toc56855618"/>
      <w:bookmarkStart w:id="73" w:name="_Toc56846632"/>
      <w:bookmarkStart w:id="74" w:name="_Toc56855650"/>
      <w:bookmarkStart w:id="75" w:name="_Toc56851225"/>
      <w:bookmarkStart w:id="76" w:name="_Toc52270234"/>
      <w:r>
        <w:rPr>
          <w:rFonts w:hint="eastAsia" w:ascii="宋体" w:hAnsi="宋体" w:eastAsia="宋体" w:cs="宋体"/>
          <w:bCs/>
          <w:color w:val="auto"/>
          <w:szCs w:val="21"/>
          <w:highlight w:val="none"/>
        </w:rPr>
        <w:t>2.2.1.投标人如需澄清招标文件的疑点，均应以书面形式加盖公章（电传、传真、电报无效）向招标代理机构提出澄清要求，</w:t>
      </w:r>
      <w:r>
        <w:rPr>
          <w:rFonts w:hint="eastAsia" w:ascii="宋体" w:hAnsi="宋体" w:eastAsia="宋体" w:cs="宋体"/>
          <w:color w:val="auto"/>
          <w:szCs w:val="21"/>
          <w:highlight w:val="none"/>
        </w:rPr>
        <w:t>通知应确保招标代理机构在投标截止日期</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天前收到</w:t>
      </w:r>
      <w:r>
        <w:rPr>
          <w:rFonts w:hint="eastAsia" w:ascii="宋体" w:hAnsi="宋体" w:eastAsia="宋体" w:cs="宋体"/>
          <w:bCs/>
          <w:color w:val="auto"/>
          <w:szCs w:val="21"/>
          <w:highlight w:val="none"/>
        </w:rPr>
        <w:t>。招标代理机构</w:t>
      </w:r>
      <w:r>
        <w:rPr>
          <w:rFonts w:hint="eastAsia" w:ascii="宋体" w:hAnsi="宋体" w:eastAsia="宋体" w:cs="宋体"/>
          <w:color w:val="auto"/>
          <w:szCs w:val="21"/>
          <w:highlight w:val="none"/>
        </w:rPr>
        <w:t>在投标截止日期</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天前</w:t>
      </w:r>
      <w:r>
        <w:rPr>
          <w:rFonts w:hint="eastAsia" w:ascii="宋体" w:hAnsi="宋体" w:eastAsia="宋体" w:cs="宋体"/>
          <w:bCs/>
          <w:color w:val="auto"/>
          <w:szCs w:val="21"/>
          <w:highlight w:val="none"/>
        </w:rPr>
        <w:t>将用信函、传真等形式</w:t>
      </w:r>
      <w:r>
        <w:rPr>
          <w:rFonts w:hint="eastAsia" w:ascii="宋体" w:hAnsi="宋体" w:eastAsia="宋体" w:cs="宋体"/>
          <w:bCs/>
          <w:color w:val="auto"/>
          <w:szCs w:val="21"/>
          <w:highlight w:val="none"/>
          <w:lang w:eastAsia="zh-CN"/>
        </w:rPr>
        <w:t>作出</w:t>
      </w:r>
      <w:r>
        <w:rPr>
          <w:rFonts w:hint="eastAsia" w:ascii="宋体" w:hAnsi="宋体" w:eastAsia="宋体" w:cs="宋体"/>
          <w:bCs/>
          <w:color w:val="auto"/>
          <w:szCs w:val="21"/>
          <w:highlight w:val="none"/>
        </w:rPr>
        <w:t>答复。</w:t>
      </w:r>
    </w:p>
    <w:p w14:paraId="7F4E0661">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招标人或者招标代理机构可以对已发出的招标文件进行必要的澄清或者修改，但不得改变招标标的和资格条件。澄清或者修改应当在原公告发布媒体上发布澄清公告。澄清或者修改的内容为招标文件的组成部分。</w:t>
      </w:r>
    </w:p>
    <w:p w14:paraId="4CAB7A66">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2.2.3.澄清或者修改的内容可能影响投标文件编制的，招标人或者招标代理机构应当在投标截止时间至少15日前，以书面形式通知所有获取招标文件的潜在</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；不足15日的，招标人或者招标代理机构应当顺延提交投标文件的截止时间。</w:t>
      </w:r>
    </w:p>
    <w:p w14:paraId="3580F5C0">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2.2.4.潜在</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在收到上述通知或在本项目上查阅相关通知或公告后，应当立即以书面形式向招标代理机构确认，</w:t>
      </w:r>
      <w:r>
        <w:rPr>
          <w:rFonts w:hint="eastAsia" w:ascii="宋体" w:hAnsi="宋体" w:eastAsia="宋体" w:cs="宋体"/>
          <w:color w:val="auto"/>
          <w:sz w:val="21"/>
          <w:szCs w:val="21"/>
          <w:highlight w:val="none"/>
          <w:lang w:val="en-US" w:eastAsia="zh-CN"/>
        </w:rPr>
        <w:t>潜在投标人在收到上述通知后，应立即以书面形式向招标采购单位确认，如在修改通知发布之日起 24 小时之内没有以书面形式向招标采购单位确认的，视作同意修改内容。</w:t>
      </w:r>
    </w:p>
    <w:p w14:paraId="3C4D8597">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2.2.5.</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未在相关法律法规规定的时间内提出询问或质疑的，招标人和招标代理机构将视其为无异议。</w:t>
      </w:r>
    </w:p>
    <w:bookmarkEnd w:id="70"/>
    <w:bookmarkEnd w:id="71"/>
    <w:bookmarkEnd w:id="72"/>
    <w:bookmarkEnd w:id="73"/>
    <w:bookmarkEnd w:id="74"/>
    <w:bookmarkEnd w:id="75"/>
    <w:bookmarkEnd w:id="76"/>
    <w:p w14:paraId="29F8C947">
      <w:pPr>
        <w:pStyle w:val="5"/>
        <w:numPr>
          <w:ilvl w:val="0"/>
          <w:numId w:val="0"/>
        </w:numPr>
        <w:adjustRightInd/>
        <w:spacing w:before="260" w:beforeAutospacing="0" w:afterAutospacing="0"/>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b/>
          <w:i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投标文件</w:t>
      </w:r>
    </w:p>
    <w:p w14:paraId="372177A4">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3.1.</w:t>
      </w:r>
      <w:r>
        <w:rPr>
          <w:rFonts w:hint="eastAsia" w:ascii="宋体" w:hAnsi="宋体" w:eastAsia="宋体" w:cs="宋体"/>
          <w:b/>
          <w:bCs/>
          <w:color w:val="auto"/>
          <w:szCs w:val="21"/>
          <w:highlight w:val="none"/>
        </w:rPr>
        <w:t>投标文件的编写</w:t>
      </w:r>
    </w:p>
    <w:p w14:paraId="1CE560C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3.1.1.</w:t>
      </w:r>
      <w:r>
        <w:rPr>
          <w:rFonts w:hint="eastAsia" w:ascii="宋体" w:hAnsi="宋体" w:eastAsia="宋体" w:cs="宋体"/>
          <w:bCs/>
          <w:color w:val="auto"/>
          <w:szCs w:val="21"/>
          <w:highlight w:val="none"/>
        </w:rPr>
        <w:t>投标人应仔细阅读招标文件的所有内容，按招标文件的要求制作并递交投标文件，并保证所提供的全部资料的真实性、准确性，以确保其投标对招标文件做出实质性响应。投标人在投标中提供不真实的材料，无论其材料是否重要，都将直接导致投标文件无效，并承担由此产生的法律责任。</w:t>
      </w:r>
    </w:p>
    <w:p w14:paraId="69CD54BE">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3.1.2.</w:t>
      </w:r>
      <w:r>
        <w:rPr>
          <w:rFonts w:hint="eastAsia" w:ascii="宋体" w:hAnsi="宋体" w:eastAsia="宋体" w:cs="宋体"/>
          <w:bCs/>
          <w:color w:val="auto"/>
          <w:szCs w:val="21"/>
          <w:highlight w:val="none"/>
        </w:rPr>
        <w:t>投标语言和计量单位：投标文件和来往函件应用简体中文书写，投标人提供的支持文件、技术资料和印刷的文献可以用其他语言，但相应内容应附有中文翻译文本，对不同文字文本投标文件的解释发生异议的，以中文文本为准。计量单位应使用国际公制单位。</w:t>
      </w:r>
    </w:p>
    <w:p w14:paraId="2B6BB69A">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3.1.3.</w:t>
      </w:r>
      <w:r>
        <w:rPr>
          <w:rFonts w:hint="eastAsia" w:ascii="宋体" w:hAnsi="宋体" w:eastAsia="宋体" w:cs="宋体"/>
          <w:bCs/>
          <w:color w:val="auto"/>
          <w:szCs w:val="21"/>
          <w:highlight w:val="none"/>
        </w:rPr>
        <w:t>投标人须用人民币作为报价的货币单位。</w:t>
      </w:r>
      <w:r>
        <w:rPr>
          <w:rFonts w:hint="eastAsia" w:ascii="宋体" w:hAnsi="宋体" w:eastAsia="宋体" w:cs="宋体"/>
          <w:color w:val="auto"/>
          <w:szCs w:val="21"/>
          <w:highlight w:val="none"/>
        </w:rPr>
        <w:t>投标文件中开标一览表（报价表）内容与投标文件中明细表内容不一致的，以开标一览表（报价表）为准。</w:t>
      </w:r>
      <w:r>
        <w:rPr>
          <w:rFonts w:hint="eastAsia" w:ascii="宋体" w:hAnsi="宋体" w:eastAsia="宋体" w:cs="宋体"/>
          <w:bCs/>
          <w:color w:val="auto"/>
          <w:szCs w:val="21"/>
          <w:highlight w:val="none"/>
        </w:rPr>
        <w:t>投标文件的大写金额和小写金额不一致的，以大写金额为准；总价金额与按单价汇总金额不一致的，以单价金额计算结果为准；单价金额小数点或者百分比有明显错位的，以开标一览表总价为准，并修改单价。</w:t>
      </w:r>
    </w:p>
    <w:p w14:paraId="5FE50134">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3.1.4.</w:t>
      </w:r>
      <w:r>
        <w:rPr>
          <w:rFonts w:hint="eastAsia" w:ascii="宋体" w:hAnsi="宋体" w:eastAsia="宋体" w:cs="宋体"/>
          <w:bCs/>
          <w:color w:val="auto"/>
          <w:szCs w:val="21"/>
          <w:highlight w:val="none"/>
        </w:rPr>
        <w:t>本项目要求投标报价应包含但不限于（安保费用、文化工作者费用、</w:t>
      </w:r>
      <w:r>
        <w:rPr>
          <w:rFonts w:hint="eastAsia" w:ascii="宋体" w:hAnsi="宋体" w:eastAsia="宋体" w:cs="宋体"/>
          <w:bCs/>
          <w:color w:val="auto"/>
          <w:szCs w:val="21"/>
          <w:highlight w:val="none"/>
          <w:lang w:val="en-US" w:eastAsia="zh-CN"/>
        </w:rPr>
        <w:t>山塘管理人员费用、</w:t>
      </w:r>
      <w:r>
        <w:rPr>
          <w:rFonts w:hint="eastAsia" w:ascii="宋体" w:hAnsi="宋体" w:eastAsia="宋体" w:cs="宋体"/>
          <w:bCs/>
          <w:color w:val="auto"/>
          <w:szCs w:val="21"/>
          <w:highlight w:val="none"/>
        </w:rPr>
        <w:t>清洁人员费用、日常水电支出、杂费支出、电力设施维护、消防设施维护等）</w:t>
      </w:r>
    </w:p>
    <w:p w14:paraId="7DB02F7D">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3.1.5.</w:t>
      </w:r>
      <w:r>
        <w:rPr>
          <w:rFonts w:hint="eastAsia" w:ascii="宋体" w:hAnsi="宋体" w:eastAsia="宋体" w:cs="宋体"/>
          <w:bCs/>
          <w:color w:val="auto"/>
          <w:szCs w:val="21"/>
          <w:highlight w:val="none"/>
        </w:rPr>
        <w:t>投标人在详细报价中应列出招标人需求的所有项目，投标人认为必要的但在招标文件中未列出的</w:t>
      </w:r>
      <w:r>
        <w:rPr>
          <w:rFonts w:hint="eastAsia" w:ascii="宋体" w:hAnsi="宋体" w:eastAsia="宋体" w:cs="宋体"/>
          <w:bCs/>
          <w:color w:val="auto"/>
          <w:szCs w:val="21"/>
          <w:highlight w:val="none"/>
          <w:lang w:eastAsia="zh-CN"/>
        </w:rPr>
        <w:t>其他</w:t>
      </w:r>
      <w:r>
        <w:rPr>
          <w:rFonts w:hint="eastAsia" w:ascii="宋体" w:hAnsi="宋体" w:eastAsia="宋体" w:cs="宋体"/>
          <w:bCs/>
          <w:color w:val="auto"/>
          <w:szCs w:val="21"/>
          <w:highlight w:val="none"/>
        </w:rPr>
        <w:t>项目可在报价表后面</w:t>
      </w:r>
      <w:r>
        <w:rPr>
          <w:rFonts w:hint="eastAsia" w:ascii="宋体" w:hAnsi="宋体" w:eastAsia="宋体" w:cs="宋体"/>
          <w:bCs/>
          <w:color w:val="auto"/>
          <w:szCs w:val="21"/>
          <w:highlight w:val="none"/>
          <w:lang w:eastAsia="zh-CN"/>
        </w:rPr>
        <w:t>作出</w:t>
      </w:r>
      <w:r>
        <w:rPr>
          <w:rFonts w:hint="eastAsia" w:ascii="宋体" w:hAnsi="宋体" w:eastAsia="宋体" w:cs="宋体"/>
          <w:bCs/>
          <w:color w:val="auto"/>
          <w:szCs w:val="21"/>
          <w:highlight w:val="none"/>
        </w:rPr>
        <w:t>补充，所补充的内容应在投标文件中加以详细说明。</w:t>
      </w:r>
    </w:p>
    <w:p w14:paraId="59FA97AB">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3.1.6.</w:t>
      </w:r>
      <w:r>
        <w:rPr>
          <w:rFonts w:hint="eastAsia" w:ascii="宋体" w:hAnsi="宋体" w:eastAsia="宋体" w:cs="宋体"/>
          <w:bCs/>
          <w:color w:val="auto"/>
          <w:szCs w:val="21"/>
          <w:highlight w:val="none"/>
        </w:rPr>
        <w:t>报价栏项目中如出现唯一的数字“0”，则视报价为零；如出现空白或出现负数，视为未响应。</w:t>
      </w:r>
    </w:p>
    <w:p w14:paraId="2A0CF1A1">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3.1.7.</w:t>
      </w:r>
      <w:r>
        <w:rPr>
          <w:rFonts w:hint="eastAsia" w:ascii="宋体" w:hAnsi="宋体" w:eastAsia="宋体" w:cs="宋体"/>
          <w:color w:val="auto"/>
          <w:szCs w:val="21"/>
          <w:highlight w:val="none"/>
        </w:rPr>
        <w:t>投标人在编写投标文件时，应填写招标文件要求的内容及其附件，并根据实际情况补充评审所需资料，投标文件</w:t>
      </w:r>
      <w:r>
        <w:rPr>
          <w:rFonts w:hint="eastAsia" w:ascii="宋体" w:hAnsi="宋体" w:eastAsia="宋体" w:cs="宋体"/>
          <w:color w:val="auto"/>
          <w:szCs w:val="21"/>
          <w:highlight w:val="none"/>
          <w:lang w:eastAsia="zh-TW"/>
        </w:rPr>
        <w:t>只填写和提供了</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eastAsia="zh-TW"/>
        </w:rPr>
        <w:t>文件要求的部分内容和附件，或没有提供</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eastAsia="zh-TW"/>
        </w:rPr>
        <w:t>文件中所要求的全部资料及数据，</w:t>
      </w:r>
      <w:r>
        <w:rPr>
          <w:rFonts w:hint="eastAsia" w:ascii="宋体" w:hAnsi="宋体" w:eastAsia="宋体" w:cs="宋体"/>
          <w:color w:val="auto"/>
          <w:szCs w:val="21"/>
          <w:highlight w:val="none"/>
        </w:rPr>
        <w:t>或没有按实际情况提供投标所需资料的，</w:t>
      </w:r>
      <w:r>
        <w:rPr>
          <w:rFonts w:hint="eastAsia" w:ascii="宋体" w:hAnsi="宋体" w:eastAsia="宋体" w:cs="宋体"/>
          <w:color w:val="auto"/>
          <w:szCs w:val="21"/>
          <w:highlight w:val="none"/>
          <w:lang w:eastAsia="zh-TW"/>
        </w:rPr>
        <w:t>其可能</w:t>
      </w:r>
      <w:r>
        <w:rPr>
          <w:rFonts w:hint="eastAsia" w:ascii="宋体" w:hAnsi="宋体" w:eastAsia="宋体" w:cs="宋体"/>
          <w:bCs/>
          <w:color w:val="auto"/>
          <w:szCs w:val="21"/>
          <w:highlight w:val="none"/>
          <w:lang w:eastAsia="zh-TW"/>
        </w:rPr>
        <w:t>导致的结果和责任由</w:t>
      </w: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lang w:eastAsia="zh-TW"/>
        </w:rPr>
        <w:t>自行承担。</w:t>
      </w:r>
    </w:p>
    <w:p w14:paraId="49791D84">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3.2.</w:t>
      </w:r>
      <w:r>
        <w:rPr>
          <w:rFonts w:hint="eastAsia" w:ascii="宋体" w:hAnsi="宋体" w:eastAsia="宋体" w:cs="宋体"/>
          <w:b/>
          <w:bCs/>
          <w:color w:val="auto"/>
          <w:szCs w:val="21"/>
          <w:highlight w:val="none"/>
        </w:rPr>
        <w:t>投标文件的构成</w:t>
      </w:r>
    </w:p>
    <w:p w14:paraId="5BDC10BC">
      <w:pPr>
        <w:spacing w:beforeAutospacing="0" w:afterAutospacing="0" w:line="360" w:lineRule="auto"/>
        <w:ind w:left="7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投标人编写的投标文件应包含</w:t>
      </w:r>
      <w:r>
        <w:rPr>
          <w:rFonts w:hint="eastAsia" w:ascii="宋体" w:hAnsi="宋体" w:eastAsia="宋体" w:cs="宋体"/>
          <w:b/>
          <w:bCs/>
          <w:color w:val="auto"/>
          <w:szCs w:val="21"/>
          <w:highlight w:val="none"/>
          <w:lang w:val="en-US" w:eastAsia="zh-CN"/>
        </w:rPr>
        <w:t>但不限于三</w:t>
      </w:r>
      <w:r>
        <w:rPr>
          <w:rFonts w:hint="eastAsia" w:ascii="宋体" w:hAnsi="宋体" w:eastAsia="宋体" w:cs="宋体"/>
          <w:b/>
          <w:bCs/>
          <w:color w:val="auto"/>
          <w:szCs w:val="21"/>
          <w:highlight w:val="none"/>
        </w:rPr>
        <w:t>部分内容：①资格性和符合性；</w:t>
      </w:r>
      <w:r>
        <w:rPr>
          <w:rFonts w:hint="eastAsia" w:ascii="宋体" w:hAnsi="宋体" w:eastAsia="宋体" w:cs="宋体"/>
          <w:b/>
          <w:bCs/>
          <w:color w:val="auto"/>
          <w:szCs w:val="21"/>
          <w:highlight w:val="none"/>
          <w:lang w:val="en-US" w:eastAsia="zh-CN"/>
        </w:rPr>
        <w:t>②</w:t>
      </w:r>
      <w:r>
        <w:rPr>
          <w:rFonts w:hint="eastAsia" w:ascii="宋体" w:hAnsi="宋体" w:eastAsia="宋体" w:cs="宋体"/>
          <w:b/>
          <w:bCs/>
          <w:color w:val="auto"/>
          <w:szCs w:val="21"/>
          <w:highlight w:val="none"/>
        </w:rPr>
        <w:t>商务文件；</w:t>
      </w:r>
      <w:r>
        <w:rPr>
          <w:rFonts w:hint="eastAsia" w:ascii="宋体" w:hAnsi="宋体" w:eastAsia="宋体" w:cs="宋体"/>
          <w:b/>
          <w:bCs/>
          <w:color w:val="auto"/>
          <w:szCs w:val="21"/>
          <w:highlight w:val="none"/>
          <w:lang w:val="en-US" w:eastAsia="zh-CN"/>
        </w:rPr>
        <w:t>③</w:t>
      </w:r>
      <w:r>
        <w:rPr>
          <w:rFonts w:hint="eastAsia" w:ascii="宋体" w:hAnsi="宋体" w:eastAsia="宋体" w:cs="宋体"/>
          <w:b/>
          <w:bCs/>
          <w:color w:val="auto"/>
          <w:szCs w:val="21"/>
          <w:highlight w:val="none"/>
        </w:rPr>
        <w:t>技术文件。</w:t>
      </w:r>
      <w:r>
        <w:rPr>
          <w:rFonts w:hint="eastAsia" w:ascii="宋体" w:hAnsi="宋体" w:eastAsia="宋体" w:cs="宋体"/>
          <w:b/>
          <w:bCs/>
          <w:color w:val="auto"/>
          <w:szCs w:val="21"/>
          <w:highlight w:val="none"/>
          <w:lang w:val="en-US" w:eastAsia="zh-CN"/>
        </w:rPr>
        <w:t>具体</w:t>
      </w:r>
      <w:r>
        <w:rPr>
          <w:rFonts w:hint="eastAsia" w:ascii="宋体" w:hAnsi="宋体" w:eastAsia="宋体" w:cs="宋体"/>
          <w:b/>
          <w:bCs/>
          <w:color w:val="auto"/>
          <w:szCs w:val="21"/>
          <w:highlight w:val="none"/>
        </w:rPr>
        <w:t>内容可按《第六部分 投标文件格式》进行编排。</w:t>
      </w:r>
    </w:p>
    <w:p w14:paraId="4120E6F3">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3.2.1.</w:t>
      </w:r>
      <w:r>
        <w:rPr>
          <w:rFonts w:hint="eastAsia" w:ascii="宋体" w:hAnsi="宋体" w:eastAsia="宋体" w:cs="宋体"/>
          <w:b/>
          <w:color w:val="auto"/>
          <w:szCs w:val="21"/>
          <w:highlight w:val="none"/>
        </w:rPr>
        <w:t>投标人应按照招标文件的要求编制带有目录和页码并装订成册的投标文件。</w:t>
      </w:r>
    </w:p>
    <w:p w14:paraId="20932E9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3.2.2.</w:t>
      </w:r>
      <w:r>
        <w:rPr>
          <w:rFonts w:hint="eastAsia" w:ascii="宋体" w:hAnsi="宋体" w:eastAsia="宋体" w:cs="宋体"/>
          <w:color w:val="auto"/>
          <w:szCs w:val="21"/>
          <w:highlight w:val="none"/>
        </w:rPr>
        <w:t>投标人必须自行承担因其投标文件的任何错漏而导致的一切后果。</w:t>
      </w:r>
    </w:p>
    <w:p w14:paraId="74DD9373">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highlight w:val="none"/>
        </w:rPr>
      </w:pPr>
      <w:r>
        <w:rPr>
          <w:rFonts w:hint="eastAsia" w:ascii="宋体" w:hAnsi="宋体" w:eastAsia="宋体" w:cs="宋体"/>
          <w:b/>
          <w:i w:val="0"/>
          <w:color w:val="auto"/>
          <w:kern w:val="2"/>
          <w:sz w:val="21"/>
          <w:szCs w:val="21"/>
          <w:highlight w:val="none"/>
          <w:lang w:val="en-US" w:eastAsia="zh-CN" w:bidi="ar-SA"/>
        </w:rPr>
        <w:t>3.3.</w:t>
      </w:r>
      <w:r>
        <w:rPr>
          <w:rFonts w:hint="eastAsia" w:ascii="宋体" w:hAnsi="宋体" w:eastAsia="宋体" w:cs="宋体"/>
          <w:b/>
          <w:color w:val="auto"/>
          <w:szCs w:val="21"/>
          <w:highlight w:val="none"/>
        </w:rPr>
        <w:t>投标文件的修改及撤回</w:t>
      </w:r>
    </w:p>
    <w:p w14:paraId="326DBB69">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3.3.1.</w:t>
      </w:r>
      <w:r>
        <w:rPr>
          <w:rFonts w:hint="eastAsia" w:ascii="宋体" w:hAnsi="宋体" w:eastAsia="宋体" w:cs="宋体"/>
          <w:color w:val="auto"/>
          <w:kern w:val="0"/>
          <w:szCs w:val="21"/>
          <w:highlight w:val="none"/>
        </w:rPr>
        <w:t>投标人在投标截止时</w:t>
      </w:r>
      <w:r>
        <w:rPr>
          <w:rFonts w:hint="eastAsia" w:ascii="宋体" w:hAnsi="宋体" w:eastAsia="宋体" w:cs="宋体"/>
          <w:color w:val="auto"/>
          <w:kern w:val="0"/>
          <w:szCs w:val="21"/>
          <w:highlight w:val="none"/>
          <w:lang w:eastAsia="zh-CN"/>
        </w:rPr>
        <w:t>间之</w:t>
      </w:r>
      <w:r>
        <w:rPr>
          <w:rFonts w:hint="eastAsia" w:ascii="宋体" w:hAnsi="宋体" w:eastAsia="宋体" w:cs="宋体"/>
          <w:color w:val="auto"/>
          <w:kern w:val="0"/>
          <w:szCs w:val="21"/>
          <w:highlight w:val="none"/>
        </w:rPr>
        <w:t>前，可以对所递交的投标文件进行补充、修改或者撤回，并书面通知招标代理机构。补充、修改的内容应当按招标文件要求签署、盖章，并作为投标文件的组成部分。</w:t>
      </w:r>
      <w:r>
        <w:rPr>
          <w:rFonts w:hint="eastAsia" w:ascii="宋体" w:hAnsi="宋体" w:eastAsia="宋体" w:cs="宋体"/>
          <w:color w:val="auto"/>
          <w:szCs w:val="21"/>
          <w:highlight w:val="none"/>
        </w:rPr>
        <w:t>修改后的投标文件须按照本招标文件的相关规定在投标截止时间之前重新递交，否则，招标代理机构将拒绝接受修改后的投标文件。</w:t>
      </w:r>
    </w:p>
    <w:p w14:paraId="03231028">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3.3.2.</w:t>
      </w:r>
      <w:r>
        <w:rPr>
          <w:rFonts w:hint="eastAsia" w:ascii="宋体" w:hAnsi="宋体" w:eastAsia="宋体" w:cs="宋体"/>
          <w:color w:val="auto"/>
          <w:szCs w:val="21"/>
          <w:highlight w:val="none"/>
        </w:rPr>
        <w:t>投标截止时间之后，投标人不得对其投标文件做任何修改。从投标截止时间起至投标有效期前，投标人不得撤回其投标文件。</w:t>
      </w:r>
    </w:p>
    <w:p w14:paraId="1A7A4A0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3.3.3.</w:t>
      </w:r>
      <w:r>
        <w:rPr>
          <w:rFonts w:hint="eastAsia" w:ascii="宋体" w:hAnsi="宋体" w:eastAsia="宋体" w:cs="宋体"/>
          <w:color w:val="auto"/>
          <w:szCs w:val="21"/>
          <w:highlight w:val="none"/>
        </w:rPr>
        <w:t>招标代理机构对因不可抗力事件所造成投标文件的损坏、丢失不承担任何责任。</w:t>
      </w:r>
    </w:p>
    <w:p w14:paraId="71D840A2">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3.4.</w:t>
      </w:r>
      <w:r>
        <w:rPr>
          <w:rFonts w:hint="eastAsia" w:ascii="宋体" w:hAnsi="宋体" w:eastAsia="宋体" w:cs="宋体"/>
          <w:b/>
          <w:color w:val="auto"/>
          <w:szCs w:val="21"/>
          <w:highlight w:val="none"/>
        </w:rPr>
        <w:t>投标文件的签署、封装和递交</w:t>
      </w:r>
    </w:p>
    <w:p w14:paraId="2BCEFDCB">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3.4.1.</w:t>
      </w:r>
      <w:r>
        <w:rPr>
          <w:rFonts w:hint="eastAsia" w:ascii="宋体" w:hAnsi="宋体"/>
          <w:b/>
          <w:bCs/>
          <w:color w:val="auto"/>
          <w:szCs w:val="21"/>
          <w:highlight w:val="none"/>
        </w:rPr>
        <w:t>在投标文件提交截止时间前，投标人须在产权招标交易系统按要求完成授权、</w:t>
      </w:r>
      <w:r>
        <w:rPr>
          <w:rFonts w:hint="eastAsia" w:ascii="宋体" w:hAnsi="宋体"/>
          <w:b/>
          <w:bCs/>
          <w:color w:val="auto"/>
          <w:szCs w:val="21"/>
          <w:highlight w:val="none"/>
          <w:lang w:eastAsia="zh-CN"/>
        </w:rPr>
        <w:t>投标保证交纳</w:t>
      </w:r>
      <w:r>
        <w:rPr>
          <w:rFonts w:hint="eastAsia" w:ascii="宋体" w:hAnsi="宋体"/>
          <w:b/>
          <w:bCs/>
          <w:color w:val="auto"/>
          <w:szCs w:val="21"/>
          <w:highlight w:val="none"/>
        </w:rPr>
        <w:t>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b/>
          <w:bCs/>
          <w:color w:val="auto"/>
          <w:szCs w:val="21"/>
          <w:highlight w:val="none"/>
        </w:rPr>
        <w:t>，相关操作流程可查看投标韶关市公共资源交易一体化平台的《韶关市公共资源交易一体化平台使用产权招标交易系统注意事项》的附件《韶关市公共资源交易一体化平台产权招标交易-投标人用户手册》</w:t>
      </w:r>
      <w:r>
        <w:rPr>
          <w:rFonts w:hint="eastAsia" w:ascii="宋体" w:hAnsi="宋体"/>
          <w:b/>
          <w:bCs/>
          <w:color w:val="auto"/>
          <w:szCs w:val="21"/>
          <w:highlight w:val="none"/>
          <w:lang w:eastAsia="zh-CN"/>
        </w:rPr>
        <w:t>）</w:t>
      </w:r>
      <w:r>
        <w:rPr>
          <w:rFonts w:hint="eastAsia" w:ascii="宋体" w:hAnsi="宋体"/>
          <w:b/>
          <w:bCs/>
          <w:color w:val="auto"/>
          <w:szCs w:val="21"/>
          <w:highlight w:val="none"/>
        </w:rPr>
        <w:t>。如遇系统问题请联系系统技术支持</w:t>
      </w:r>
      <w:r>
        <w:rPr>
          <w:rFonts w:hint="eastAsia" w:ascii="宋体" w:hAnsi="宋体"/>
          <w:b/>
          <w:bCs/>
          <w:color w:val="auto"/>
          <w:szCs w:val="21"/>
          <w:highlight w:val="none"/>
          <w:lang w:eastAsia="zh-CN"/>
        </w:rPr>
        <w:t>：</w:t>
      </w:r>
      <w:r>
        <w:rPr>
          <w:rFonts w:hint="eastAsia" w:ascii="宋体" w:hAnsi="宋体"/>
          <w:b/>
          <w:bCs/>
          <w:color w:val="auto"/>
          <w:szCs w:val="21"/>
          <w:highlight w:val="none"/>
        </w:rPr>
        <w:t>伍工</w:t>
      </w:r>
      <w:r>
        <w:rPr>
          <w:rFonts w:hint="eastAsia" w:ascii="宋体" w:hAnsi="宋体"/>
          <w:b/>
          <w:bCs/>
          <w:color w:val="auto"/>
          <w:szCs w:val="21"/>
          <w:highlight w:val="none"/>
          <w:lang w:eastAsia="zh-CN"/>
        </w:rPr>
        <w:t>QQ：260153990</w:t>
      </w:r>
      <w:r>
        <w:rPr>
          <w:rFonts w:hint="eastAsia" w:ascii="宋体" w:hAnsi="宋体"/>
          <w:b/>
          <w:bCs/>
          <w:color w:val="auto"/>
          <w:szCs w:val="21"/>
          <w:highlight w:val="none"/>
        </w:rPr>
        <w:t>/</w:t>
      </w:r>
      <w:r>
        <w:rPr>
          <w:rFonts w:hint="eastAsia" w:ascii="宋体" w:hAnsi="宋体"/>
          <w:b/>
          <w:bCs/>
          <w:color w:val="auto"/>
          <w:szCs w:val="21"/>
          <w:highlight w:val="none"/>
          <w:lang w:eastAsia="zh-CN"/>
        </w:rPr>
        <w:t>电话：0751-8379671</w:t>
      </w:r>
      <w:r>
        <w:rPr>
          <w:rFonts w:hint="eastAsia" w:ascii="宋体" w:hAnsi="宋体"/>
          <w:b/>
          <w:bCs/>
          <w:color w:val="auto"/>
          <w:szCs w:val="21"/>
          <w:highlight w:val="none"/>
        </w:rPr>
        <w:t>。</w:t>
      </w:r>
    </w:p>
    <w:p w14:paraId="611F0854">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3.4.2.</w:t>
      </w:r>
      <w:r>
        <w:rPr>
          <w:rFonts w:hint="eastAsia" w:ascii="宋体" w:hAnsi="宋体" w:eastAsia="宋体" w:cs="宋体"/>
          <w:b/>
          <w:bCs/>
          <w:color w:val="auto"/>
          <w:szCs w:val="21"/>
          <w:highlight w:val="none"/>
        </w:rPr>
        <w:t>投标文件纸质文档总共</w:t>
      </w:r>
      <w:r>
        <w:rPr>
          <w:rFonts w:hint="eastAsia" w:ascii="宋体" w:hAnsi="宋体" w:cs="宋体"/>
          <w:b/>
          <w:bCs/>
          <w:color w:val="auto"/>
          <w:szCs w:val="21"/>
          <w:highlight w:val="none"/>
          <w:lang w:val="en-US" w:eastAsia="zh-CN"/>
        </w:rPr>
        <w:t>五</w:t>
      </w:r>
      <w:r>
        <w:rPr>
          <w:rFonts w:hint="eastAsia" w:ascii="宋体" w:hAnsi="宋体" w:eastAsia="宋体" w:cs="宋体"/>
          <w:b/>
          <w:bCs/>
          <w:color w:val="auto"/>
          <w:szCs w:val="21"/>
          <w:highlight w:val="none"/>
        </w:rPr>
        <w:t>套：正本一套，副本</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套，投标文件电子文档一份。</w:t>
      </w:r>
      <w:r>
        <w:rPr>
          <w:rFonts w:hint="eastAsia" w:ascii="宋体" w:hAnsi="宋体" w:eastAsia="宋体" w:cs="宋体"/>
          <w:color w:val="auto"/>
          <w:szCs w:val="21"/>
          <w:highlight w:val="none"/>
        </w:rPr>
        <w:t>所有投标文件（</w:t>
      </w:r>
      <w:r>
        <w:rPr>
          <w:rFonts w:hint="eastAsia" w:ascii="宋体" w:hAnsi="宋体" w:eastAsia="宋体" w:cs="宋体"/>
          <w:color w:val="auto"/>
          <w:szCs w:val="21"/>
          <w:highlight w:val="none"/>
          <w:lang w:eastAsia="zh-CN"/>
        </w:rPr>
        <w:t>除</w:t>
      </w:r>
      <w:r>
        <w:rPr>
          <w:rFonts w:hint="eastAsia" w:ascii="宋体" w:hAnsi="宋体" w:eastAsia="宋体" w:cs="宋体"/>
          <w:color w:val="auto"/>
          <w:szCs w:val="21"/>
          <w:highlight w:val="none"/>
        </w:rPr>
        <w:t>特殊规格的图纸外）应按A4规格制作。副本可由正本复印而成，如正本与副本不符，以正本为准。投标文件电子版</w:t>
      </w:r>
      <w:r>
        <w:rPr>
          <w:rFonts w:hint="eastAsia" w:ascii="宋体" w:hAnsi="宋体" w:cs="宋体"/>
          <w:color w:val="auto"/>
          <w:szCs w:val="21"/>
          <w:highlight w:val="none"/>
          <w:lang w:val="en-US" w:eastAsia="zh-CN"/>
        </w:rPr>
        <w:t>以</w:t>
      </w:r>
      <w:r>
        <w:rPr>
          <w:rFonts w:hint="eastAsia" w:ascii="宋体" w:hAnsi="宋体" w:cs="宋体"/>
          <w:b/>
          <w:bCs/>
          <w:color w:val="auto"/>
          <w:szCs w:val="21"/>
          <w:highlight w:val="none"/>
        </w:rPr>
        <w:t>纸质盖章版投标文件正本的扫描件PDF格式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采用U盘</w:t>
      </w:r>
      <w:r>
        <w:rPr>
          <w:rFonts w:hint="eastAsia" w:ascii="宋体" w:hAnsi="宋体" w:cs="宋体"/>
          <w:b/>
          <w:bCs/>
          <w:color w:val="auto"/>
          <w:highlight w:val="none"/>
        </w:rPr>
        <w:t>介质</w:t>
      </w:r>
      <w:r>
        <w:rPr>
          <w:rFonts w:hint="eastAsia" w:ascii="宋体" w:hAnsi="宋体" w:cs="宋体"/>
          <w:b/>
          <w:bCs/>
          <w:color w:val="auto"/>
          <w:szCs w:val="21"/>
          <w:highlight w:val="none"/>
          <w:lang w:val="en-US" w:eastAsia="zh-CN"/>
        </w:rPr>
        <w:t>存储</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不留密码，无病毒，内容应与纸质投标文件内容一致，如有不同，以纸质投标文件为准。投标文件应由投标人的合法授权代表正式签署，如有任何更改应由原签署人签字。无论投标结果如何，投标人的全部投标文件均不退回。</w:t>
      </w:r>
    </w:p>
    <w:p w14:paraId="49D21919">
      <w:pPr>
        <w:numPr>
          <w:ilvl w:val="2"/>
          <w:numId w:val="0"/>
        </w:numPr>
        <w:tabs>
          <w:tab w:val="left" w:pos="720"/>
        </w:tabs>
        <w:spacing w:beforeAutospacing="0" w:afterAutospacing="0" w:line="360" w:lineRule="auto"/>
        <w:ind w:left="735" w:leftChars="0" w:hanging="735" w:hangingChars="35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3.4.3.</w:t>
      </w:r>
      <w:r>
        <w:rPr>
          <w:rFonts w:hint="eastAsia" w:ascii="宋体" w:hAnsi="宋体" w:eastAsia="宋体" w:cs="宋体"/>
          <w:b/>
          <w:color w:val="auto"/>
          <w:szCs w:val="21"/>
          <w:highlight w:val="none"/>
        </w:rPr>
        <w:t>投标文件封装成三份：“唱标信封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正本</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副本”，</w:t>
      </w:r>
      <w:r>
        <w:rPr>
          <w:rFonts w:hint="eastAsia" w:ascii="宋体" w:hAnsi="宋体" w:eastAsia="宋体" w:cs="宋体"/>
          <w:color w:val="auto"/>
          <w:szCs w:val="21"/>
          <w:highlight w:val="none"/>
        </w:rPr>
        <w:t>分别封装于密封的信封或包装（</w:t>
      </w:r>
      <w:r>
        <w:rPr>
          <w:rFonts w:hint="eastAsia" w:ascii="宋体" w:hAnsi="宋体" w:eastAsia="宋体" w:cs="宋体"/>
          <w:b/>
          <w:bCs/>
          <w:color w:val="auto"/>
          <w:szCs w:val="21"/>
          <w:highlight w:val="none"/>
        </w:rPr>
        <w:t>电子文档装入唱标信封内</w:t>
      </w:r>
      <w:r>
        <w:rPr>
          <w:rFonts w:hint="eastAsia" w:ascii="宋体" w:hAnsi="宋体" w:eastAsia="宋体" w:cs="宋体"/>
          <w:color w:val="auto"/>
          <w:szCs w:val="21"/>
          <w:highlight w:val="none"/>
        </w:rPr>
        <w:t>），在封口处加盖投标单位公章，并在每一信封或包装的封面上写明：</w:t>
      </w:r>
    </w:p>
    <w:tbl>
      <w:tblPr>
        <w:tblStyle w:val="47"/>
        <w:tblW w:w="98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9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9800" w:type="dxa"/>
            <w:vAlign w:val="top"/>
          </w:tcPr>
          <w:p w14:paraId="109ECE0A">
            <w:pPr>
              <w:spacing w:beforeAutospacing="0" w:afterAutospacing="0" w:line="400" w:lineRule="exact"/>
              <w:ind w:left="25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（正本/副本/唱标信封）</w:t>
            </w:r>
          </w:p>
          <w:p w14:paraId="26F471A9">
            <w:pPr>
              <w:spacing w:beforeAutospacing="0" w:afterAutospacing="0" w:line="400" w:lineRule="exact"/>
              <w:ind w:left="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收件人名称：</w:t>
            </w:r>
            <w:r>
              <w:rPr>
                <w:rFonts w:hint="eastAsia" w:ascii="宋体" w:hAnsi="宋体" w:cs="宋体"/>
                <w:color w:val="auto"/>
                <w:szCs w:val="21"/>
                <w:highlight w:val="none"/>
                <w:lang w:eastAsia="zh-CN"/>
              </w:rPr>
              <w:t>韶关市繁盛项目管理有限公司</w:t>
            </w:r>
          </w:p>
          <w:p w14:paraId="43FE61B2">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                      项目编号：</w:t>
            </w:r>
          </w:p>
          <w:p w14:paraId="5C8E7CC8">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                    投标人地址：</w:t>
            </w:r>
          </w:p>
          <w:p w14:paraId="347090DD">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                        联系电话：</w:t>
            </w:r>
          </w:p>
          <w:p w14:paraId="1EEFB49A">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    时    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之前不得启封</w:t>
            </w:r>
          </w:p>
        </w:tc>
      </w:tr>
    </w:tbl>
    <w:p w14:paraId="5A8A152D">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3.4.4.</w:t>
      </w:r>
      <w:r>
        <w:rPr>
          <w:rFonts w:hint="eastAsia" w:ascii="宋体" w:hAnsi="宋体" w:eastAsia="宋体" w:cs="宋体"/>
          <w:color w:val="auto"/>
          <w:szCs w:val="21"/>
          <w:highlight w:val="none"/>
        </w:rPr>
        <w:t>招标代理机构对因投标文件未装订成册而造成的投标文件的损坏、丢失不承担任何责任。</w:t>
      </w:r>
    </w:p>
    <w:p w14:paraId="6259E5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3.4.5.</w:t>
      </w:r>
      <w:r>
        <w:rPr>
          <w:rFonts w:hint="eastAsia" w:ascii="宋体" w:hAnsi="宋体" w:eastAsia="宋体" w:cs="宋体"/>
          <w:color w:val="auto"/>
          <w:szCs w:val="21"/>
          <w:highlight w:val="none"/>
          <w:lang w:val="en-US" w:eastAsia="zh-CN"/>
        </w:rPr>
        <w:t>在投标文件提交截止时间前，</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通过</w:t>
      </w:r>
      <w:r>
        <w:rPr>
          <w:rFonts w:hint="eastAsia" w:ascii="宋体" w:hAnsi="宋体" w:eastAsia="宋体" w:cs="宋体"/>
          <w:color w:val="auto"/>
          <w:szCs w:val="21"/>
          <w:highlight w:val="none"/>
          <w:lang w:val="en-US" w:eastAsia="zh-CN"/>
        </w:rPr>
        <w:t>韶关市公共资源交易一体化平台“产权招标交易系统”</w:t>
      </w:r>
      <w:r>
        <w:rPr>
          <w:rFonts w:hint="eastAsia" w:ascii="宋体" w:hAnsi="宋体" w:eastAsia="宋体" w:cs="宋体"/>
          <w:color w:val="auto"/>
          <w:szCs w:val="21"/>
          <w:highlight w:val="none"/>
        </w:rPr>
        <w:t>上传</w:t>
      </w:r>
      <w:r>
        <w:rPr>
          <w:rFonts w:hint="eastAsia" w:ascii="宋体" w:hAnsi="宋体" w:eastAsia="宋体" w:cs="宋体"/>
          <w:color w:val="auto"/>
          <w:szCs w:val="21"/>
          <w:highlight w:val="none"/>
          <w:lang w:eastAsia="zh-CN"/>
        </w:rPr>
        <w:t>电子</w:t>
      </w:r>
      <w:r>
        <w:rPr>
          <w:rFonts w:hint="eastAsia" w:ascii="宋体" w:hAnsi="宋体" w:eastAsia="宋体" w:cs="宋体"/>
          <w:color w:val="auto"/>
          <w:szCs w:val="21"/>
          <w:highlight w:val="none"/>
        </w:rPr>
        <w:t>投标文件。逾期提交的电子投标文件，韶关市公共资源交易一体化平台将予以拒收</w:t>
      </w:r>
      <w:r>
        <w:rPr>
          <w:rFonts w:hint="eastAsia" w:ascii="宋体" w:hAnsi="宋体" w:eastAsia="宋体" w:cs="宋体"/>
          <w:color w:val="auto"/>
          <w:szCs w:val="21"/>
          <w:highlight w:val="none"/>
          <w:lang w:val="zh-CN"/>
        </w:rPr>
        <w:t>。</w:t>
      </w:r>
    </w:p>
    <w:p w14:paraId="33189D95">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3.4.6.</w:t>
      </w:r>
      <w:r>
        <w:rPr>
          <w:rFonts w:ascii="宋体" w:hAnsi="宋体"/>
          <w:color w:val="auto"/>
          <w:szCs w:val="21"/>
          <w:highlight w:val="none"/>
        </w:rPr>
        <w:t>投标人在投标截止时间前，可以对所递交的投标文件进行补充、修改或者撤回，并书面通知</w:t>
      </w:r>
      <w:r>
        <w:rPr>
          <w:rFonts w:hint="eastAsia" w:ascii="宋体" w:hAnsi="宋体"/>
          <w:color w:val="auto"/>
          <w:szCs w:val="21"/>
          <w:highlight w:val="none"/>
          <w:lang w:eastAsia="zh-CN"/>
        </w:rPr>
        <w:t>招标</w:t>
      </w:r>
      <w:r>
        <w:rPr>
          <w:rFonts w:ascii="宋体" w:hAnsi="宋体"/>
          <w:color w:val="auto"/>
          <w:szCs w:val="21"/>
          <w:highlight w:val="none"/>
        </w:rPr>
        <w:t>单位。补充、修改的内容应当按招标文件要求签署、盖章，并作为投标文件的组成部分。</w:t>
      </w:r>
      <w:r>
        <w:rPr>
          <w:rFonts w:hint="eastAsia" w:ascii="宋体" w:hAnsi="宋体"/>
          <w:color w:val="auto"/>
          <w:szCs w:val="21"/>
          <w:highlight w:val="none"/>
          <w:lang w:val="en-US" w:eastAsia="zh-CN"/>
        </w:rPr>
        <w:t>在投标邀请函截止时点之后，投标人不得对已上传交易系统的投标文件做任何修改和补充。</w:t>
      </w:r>
    </w:p>
    <w:p w14:paraId="04EF98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3.4.7.</w:t>
      </w:r>
      <w:r>
        <w:rPr>
          <w:rFonts w:hint="eastAsia" w:ascii="宋体" w:hAnsi="宋体"/>
          <w:color w:val="auto"/>
          <w:kern w:val="0"/>
          <w:szCs w:val="21"/>
          <w:highlight w:val="none"/>
        </w:rPr>
        <w:t>投标人在韶关市公共资源交易一体化平台“产权招标交易系统”成功上传投标文件后，在电子投标截止时间前可以撤回其投标</w:t>
      </w:r>
      <w:r>
        <w:rPr>
          <w:rFonts w:hint="eastAsia" w:ascii="宋体" w:hAnsi="宋体"/>
          <w:color w:val="auto"/>
          <w:kern w:val="0"/>
          <w:szCs w:val="21"/>
          <w:highlight w:val="none"/>
          <w:lang w:val="en-US" w:eastAsia="zh-CN"/>
        </w:rPr>
        <w:t>。</w:t>
      </w:r>
    </w:p>
    <w:p w14:paraId="449E418F">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3.4.8.</w:t>
      </w:r>
      <w:r>
        <w:rPr>
          <w:rFonts w:hint="eastAsia" w:ascii="宋体" w:hAnsi="宋体" w:eastAsia="宋体" w:cs="宋体"/>
          <w:color w:val="auto"/>
          <w:szCs w:val="21"/>
          <w:highlight w:val="none"/>
        </w:rPr>
        <w:t>招标代理机构不接受电报、电话、电传、传真、邮寄的投标文件。</w:t>
      </w:r>
    </w:p>
    <w:p w14:paraId="08990899">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color w:val="auto"/>
          <w:highlight w:val="none"/>
        </w:rPr>
      </w:pPr>
      <w:r>
        <w:rPr>
          <w:rFonts w:hint="eastAsia" w:ascii="宋体" w:hAnsi="宋体" w:eastAsia="宋体" w:cs="宋体"/>
          <w:b w:val="0"/>
          <w:i w:val="0"/>
          <w:color w:val="auto"/>
          <w:kern w:val="2"/>
          <w:sz w:val="21"/>
          <w:szCs w:val="21"/>
          <w:highlight w:val="none"/>
          <w:lang w:val="en-US" w:eastAsia="zh-CN" w:bidi="ar-SA"/>
        </w:rPr>
        <w:t>3.4.9.</w:t>
      </w:r>
      <w:r>
        <w:rPr>
          <w:rFonts w:hint="eastAsia" w:ascii="宋体" w:hAnsi="宋体" w:eastAsia="宋体" w:cs="宋体"/>
          <w:b/>
          <w:bCs/>
          <w:color w:val="auto"/>
          <w:szCs w:val="21"/>
          <w:highlight w:val="none"/>
        </w:rPr>
        <w:t>投标文件应按上述要求提供齐全并封装，投标文件提供不齐全或未按要求装订成册的将会作为符合性审查不合格处理。</w:t>
      </w:r>
    </w:p>
    <w:p w14:paraId="70304841">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3.5.</w:t>
      </w:r>
      <w:r>
        <w:rPr>
          <w:rFonts w:hint="eastAsia" w:ascii="宋体" w:hAnsi="宋体" w:eastAsia="宋体" w:cs="宋体"/>
          <w:b/>
          <w:bCs/>
          <w:color w:val="auto"/>
          <w:szCs w:val="21"/>
          <w:highlight w:val="none"/>
        </w:rPr>
        <w:t>投标有效期</w:t>
      </w:r>
    </w:p>
    <w:p w14:paraId="0FF631CB">
      <w:pPr>
        <w:spacing w:beforeAutospacing="0" w:afterAutospacing="0"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从投标截止日起，投标有效期为90日历天。</w:t>
      </w:r>
      <w:r>
        <w:rPr>
          <w:rFonts w:hint="eastAsia" w:ascii="宋体" w:hAnsi="宋体" w:eastAsia="宋体" w:cs="宋体"/>
          <w:color w:val="auto"/>
          <w:szCs w:val="21"/>
          <w:highlight w:val="none"/>
        </w:rPr>
        <w:t>在特殊情况下，招标代理机构可于投标有效期满之前要求投标人同意延长有效期，要求与答复均应以书面形式。投标人可以拒绝上述要求而其保证金不被没收，同意延期的投标人根据原截止期所享有的权利及其所负有的义务相应也延至新的截止期。</w:t>
      </w:r>
    </w:p>
    <w:p w14:paraId="4EB9B17F">
      <w:pPr>
        <w:pStyle w:val="19"/>
        <w:adjustRightInd w:val="0"/>
        <w:snapToGrid w:val="0"/>
        <w:spacing w:line="36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3.6.缴纳</w:t>
      </w:r>
      <w:r>
        <w:rPr>
          <w:rFonts w:hint="eastAsia" w:ascii="宋体" w:hAnsi="宋体" w:eastAsia="宋体" w:cs="宋体"/>
          <w:b/>
          <w:bCs w:val="0"/>
          <w:color w:val="auto"/>
          <w:sz w:val="21"/>
          <w:szCs w:val="21"/>
          <w:highlight w:val="none"/>
          <w:lang w:eastAsia="zh-CN"/>
        </w:rPr>
        <w:t>投标保证金</w:t>
      </w:r>
      <w:r>
        <w:rPr>
          <w:rFonts w:hint="eastAsia" w:ascii="宋体" w:hAnsi="宋体" w:eastAsia="宋体" w:cs="宋体"/>
          <w:b/>
          <w:bCs w:val="0"/>
          <w:color w:val="auto"/>
          <w:sz w:val="21"/>
          <w:szCs w:val="21"/>
          <w:highlight w:val="none"/>
          <w:lang w:val="en-US" w:eastAsia="zh-CN"/>
        </w:rPr>
        <w:t>事宜（技术支持：QQ：260153990/电话：0751-8379671伍工）</w:t>
      </w:r>
    </w:p>
    <w:p w14:paraId="673815DD">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（1）投标保证金缴纳截止时间：202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点</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eastAsia="zh-CN"/>
        </w:rPr>
        <w:t>分</w:t>
      </w:r>
    </w:p>
    <w:p w14:paraId="24A208AE">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（2）本项目投标保证金金额为：¥</w:t>
      </w:r>
      <w:r>
        <w:rPr>
          <w:rFonts w:hint="eastAsia" w:ascii="宋体" w:hAnsi="宋体" w:cs="宋体"/>
          <w:bCs/>
          <w:color w:val="auto"/>
          <w:sz w:val="21"/>
          <w:szCs w:val="21"/>
          <w:highlight w:val="none"/>
          <w:u w:val="single"/>
          <w:lang w:val="en-US" w:eastAsia="zh-CN"/>
        </w:rPr>
        <w:t>5000.00</w:t>
      </w:r>
      <w:r>
        <w:rPr>
          <w:rFonts w:hint="eastAsia" w:ascii="宋体" w:hAnsi="宋体" w:eastAsia="宋体" w:cs="宋体"/>
          <w:bCs/>
          <w:color w:val="auto"/>
          <w:sz w:val="21"/>
          <w:szCs w:val="21"/>
          <w:highlight w:val="none"/>
          <w:lang w:eastAsia="zh-CN"/>
        </w:rPr>
        <w:t>元（人民币</w:t>
      </w:r>
      <w:r>
        <w:rPr>
          <w:rFonts w:hint="eastAsia" w:ascii="宋体" w:hAnsi="宋体" w:cs="宋体"/>
          <w:bCs/>
          <w:color w:val="auto"/>
          <w:sz w:val="21"/>
          <w:szCs w:val="21"/>
          <w:highlight w:val="none"/>
          <w:u w:val="single"/>
          <w:lang w:val="en-US" w:eastAsia="zh-CN"/>
        </w:rPr>
        <w:t>伍仟元整</w:t>
      </w:r>
      <w:r>
        <w:rPr>
          <w:rFonts w:hint="eastAsia" w:ascii="宋体" w:hAnsi="宋体" w:eastAsia="宋体" w:cs="宋体"/>
          <w:bCs/>
          <w:color w:val="auto"/>
          <w:sz w:val="21"/>
          <w:szCs w:val="21"/>
          <w:highlight w:val="none"/>
          <w:lang w:eastAsia="zh-CN"/>
        </w:rPr>
        <w:t>）</w:t>
      </w:r>
    </w:p>
    <w:p w14:paraId="6FFA270E">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（3）缴纳投标保证金流程：投标人在已报项目处理页面中，点击“缴纳保证金”按钮，可以进入缴纳投标保证金页面。</w:t>
      </w:r>
    </w:p>
    <w:p w14:paraId="78E21F0A">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（4）缴纳投标保证金方式：转账</w:t>
      </w:r>
    </w:p>
    <w:p w14:paraId="50D53DCB">
      <w:pPr>
        <w:pStyle w:val="19"/>
        <w:adjustRightInd w:val="0"/>
        <w:snapToGrid w:val="0"/>
        <w:spacing w:line="360" w:lineRule="auto"/>
        <w:ind w:firstLine="630" w:firstLineChars="3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转账：转账方式缴纳保证金时，需选择一家缴纳保证金的银行。选中银行后，点击“确认，下一步”按钮，可以生成保证金付款子账号信息。转账方式支付保证金，需要使用投标人公司账户，在保证金缴纳截止时间之前，一次性打入足额保证金到保证金收款子账号中，才能缴纳成功。</w:t>
      </w:r>
    </w:p>
    <w:p w14:paraId="6E75AEC5">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具体操作流程：登录广东省公共资源交易平台（韶关市）（https://ygp.gdzwfw.gov.cn/ggzy-portal/#/440200/index）－服务指南－下载《韶关市公共资源交易一体化平台产权招标交易-投标人用户手册》</w:t>
      </w:r>
    </w:p>
    <w:p w14:paraId="4DE14087">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lang w:val="en-US" w:eastAsia="zh-CN"/>
        </w:rPr>
        <w:t>首次在韶关市公共资源交易一体化平台“产权招标交易”招标投标活动的投标人，必须在平台系统上传企业相关资料办理企业入库事宜。投标人可登录全国公共资源交易平台（广东省·韶关市）（https://ygp.gdzwfw.gov.cn/#/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3F88881">
      <w:pPr>
        <w:pStyle w:val="19"/>
        <w:adjustRightInd w:val="0"/>
        <w:snapToGrid w:val="0"/>
        <w:spacing w:line="360" w:lineRule="auto"/>
        <w:ind w:firstLine="630" w:firstLineChars="3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具体操作流程：登录广东省公共资源交易平台（韶关市）（https://ygp.gdzwfw.gov.cn/ggzy-portal/#/440200/index）－服务指南－下载《韶关市公共资源交易一体化平台产权招标交易-投标人用户手册》</w:t>
      </w:r>
    </w:p>
    <w:p w14:paraId="0A77CDC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3.7</w:t>
      </w:r>
      <w:r>
        <w:rPr>
          <w:rFonts w:hint="eastAsia" w:ascii="宋体" w:hAnsi="宋体" w:eastAsia="宋体" w:cs="宋体"/>
          <w:b/>
          <w:bCs/>
          <w:color w:val="auto"/>
          <w:szCs w:val="21"/>
          <w:highlight w:val="none"/>
          <w:lang w:eastAsia="zh-CN"/>
        </w:rPr>
        <w:t>.缴纳投标保证金注意事项：</w:t>
      </w:r>
    </w:p>
    <w:p w14:paraId="0D4585A0">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缴纳投标保证金的投标人必须已报名本项目，投标人必须按招标文件规定的金额和规定的期限内缴纳投标保证金，投标人与投标保证金的交款人名称必须一致，否则，评标委员会将对其投标文件作无效投标处理。</w:t>
      </w:r>
    </w:p>
    <w:p w14:paraId="33DB9D61">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投标人必须将投标保证金一次性足额汇入交易系统自动生成的子账户，不接受现金、分批次交款或采用EFT系统（广东金融结算系统）方式缴纳投标保证金，否则，评标委员会将对其投标文件作无效投标处理。</w:t>
      </w:r>
    </w:p>
    <w:p w14:paraId="7A6F2FF6">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（3）产权招标交易系统将在招标活动结束后按</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相关法律法规的规定以“原渠道返回”方式退回投标保证金。</w:t>
      </w:r>
    </w:p>
    <w:p w14:paraId="3864BD62">
      <w:pPr>
        <w:pStyle w:val="19"/>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）投标人应按以上所述方式及时间提交投标保证金，投标保证金作为投标文件的组成部分，招标</w:t>
      </w:r>
      <w:r>
        <w:rPr>
          <w:rFonts w:hint="eastAsia" w:ascii="宋体" w:hAnsi="宋体" w:eastAsia="宋体" w:cs="宋体"/>
          <w:color w:val="auto"/>
          <w:sz w:val="21"/>
          <w:szCs w:val="21"/>
          <w:highlight w:val="none"/>
          <w:lang w:val="en-US" w:eastAsia="zh-CN"/>
        </w:rPr>
        <w:t>代理</w:t>
      </w:r>
      <w:r>
        <w:rPr>
          <w:rFonts w:hint="eastAsia" w:ascii="宋体" w:hAnsi="宋体" w:eastAsia="宋体" w:cs="宋体"/>
          <w:color w:val="auto"/>
          <w:sz w:val="21"/>
          <w:szCs w:val="21"/>
          <w:highlight w:val="none"/>
          <w:lang w:eastAsia="zh-CN"/>
        </w:rPr>
        <w:t>机构不承担投标人的投标保证金未能及时到账的风险。</w:t>
      </w:r>
    </w:p>
    <w:p w14:paraId="5045A89D">
      <w:pPr>
        <w:numPr>
          <w:ilvl w:val="0"/>
          <w:numId w:val="0"/>
        </w:numPr>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）投标人参与分包项目的多个分包，应当在招标文件规定的期限内对应各分包分别获取子账号，并按招标文件规定的金额缴纳投标保证金。</w:t>
      </w:r>
    </w:p>
    <w:p w14:paraId="087F279C">
      <w:pPr>
        <w:numPr>
          <w:ilvl w:val="0"/>
          <w:numId w:val="0"/>
        </w:numPr>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）投标人参与重新采购的项目，必须在招标文件规定的期限内登录产权招标交易系统重新获取子账号，并按招标文件规定的金额重新缴纳投标保证金，否则，评标委员会将对其投标文件作无效投标处理。</w:t>
      </w:r>
    </w:p>
    <w:p w14:paraId="11BC0B1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bookmarkStart w:id="180" w:name="_GoBack"/>
      <w:bookmarkEnd w:id="180"/>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开标、评标和定标（详见招标文件第四部分）</w:t>
      </w:r>
    </w:p>
    <w:p w14:paraId="7CC23012">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合同的订立和履行</w:t>
      </w:r>
    </w:p>
    <w:p w14:paraId="76647BC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77" w:name="_Toc56855654"/>
      <w:bookmarkStart w:id="78" w:name="_Toc56938702"/>
      <w:bookmarkStart w:id="79" w:name="_Toc56855622"/>
      <w:r>
        <w:rPr>
          <w:rFonts w:hint="eastAsia" w:ascii="宋体" w:hAnsi="宋体" w:eastAsia="宋体" w:cs="宋体"/>
          <w:color w:val="auto"/>
          <w:szCs w:val="21"/>
          <w:highlight w:val="none"/>
        </w:rPr>
        <w:t>5.1. 合同的订立</w:t>
      </w:r>
    </w:p>
    <w:p w14:paraId="6CE7F04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 招标人确认结果后，招标代理机构将中标结果以网上公告的方式或其他方式通知所有未中标的投标人，并向</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发出《中标通知书》。</w:t>
      </w:r>
    </w:p>
    <w:p w14:paraId="7D1A621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5.1.2</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自中标通知书发出之日起三十日内，凭中标通知书并按招标文件要求和</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投标文件的承诺与招标人签订合同，但不得超出招标文件和</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投标文件的范围</w:t>
      </w:r>
      <w:r>
        <w:rPr>
          <w:rFonts w:hint="eastAsia" w:ascii="宋体" w:hAnsi="宋体" w:eastAsia="宋体" w:cs="宋体"/>
          <w:color w:val="auto"/>
          <w:szCs w:val="21"/>
          <w:highlight w:val="none"/>
          <w:lang w:eastAsia="zh-CN"/>
        </w:rPr>
        <w:t>，也</w:t>
      </w:r>
      <w:r>
        <w:rPr>
          <w:rFonts w:hint="eastAsia" w:ascii="宋体" w:hAnsi="宋体" w:eastAsia="宋体" w:cs="宋体"/>
          <w:color w:val="auto"/>
          <w:szCs w:val="21"/>
          <w:highlight w:val="none"/>
        </w:rPr>
        <w:t>不得再行订立背离合同实质性内容的其他协议。</w:t>
      </w:r>
    </w:p>
    <w:p w14:paraId="4188677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.在签订合同过程中，如发现</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以他人名义投标或者以</w:t>
      </w:r>
      <w:r>
        <w:rPr>
          <w:rFonts w:hint="eastAsia" w:ascii="宋体" w:hAnsi="宋体" w:eastAsia="宋体" w:cs="宋体"/>
          <w:color w:val="auto"/>
          <w:spacing w:val="-2"/>
          <w:szCs w:val="21"/>
          <w:highlight w:val="none"/>
        </w:rPr>
        <w:t>其他方式弄虚作假，骗取中</w:t>
      </w:r>
      <w:r>
        <w:rPr>
          <w:rFonts w:hint="eastAsia" w:ascii="宋体" w:hAnsi="宋体" w:eastAsia="宋体" w:cs="宋体"/>
          <w:color w:val="auto"/>
          <w:szCs w:val="21"/>
          <w:highlight w:val="none"/>
        </w:rPr>
        <w:t>标的，招标人有权取消其中标资格，并将第二中标候选人确定为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以此类推</w:t>
      </w:r>
      <w:r>
        <w:rPr>
          <w:rFonts w:hint="eastAsia" w:ascii="宋体" w:hAnsi="宋体" w:eastAsia="宋体" w:cs="宋体"/>
          <w:color w:val="auto"/>
          <w:szCs w:val="21"/>
          <w:highlight w:val="none"/>
        </w:rPr>
        <w:t>。</w:t>
      </w:r>
    </w:p>
    <w:p w14:paraId="67A575B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.签订合同后7个工作日内，招标人应当将合同副本报同级招标监督管理部门备案。</w:t>
      </w:r>
    </w:p>
    <w:p w14:paraId="689A96A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合同的履行</w:t>
      </w:r>
    </w:p>
    <w:p w14:paraId="232A1B8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合同订立后，合同各方不得擅自变更、中止或者终止合同。合同需要变更的，招标人应当将有关合同变更内容，以书面形式报招标监督管理机关备案；因特殊情况需要中止或终止合同的，招标人应当将中止或终止合同的理由以及相应措施，以书面形式报招标监督管理机关备案。</w:t>
      </w:r>
    </w:p>
    <w:p w14:paraId="6E0FA3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5.2.2.合同履行中，招标人需追加与合同标的相同的货物、工程或者服务的，在不改变合同其他条款的前提下，可以与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签订补充合同，但所补充合同的招标金额不得超过原招标金额的</w:t>
      </w:r>
      <w:r>
        <w:rPr>
          <w:rFonts w:hint="eastAsia" w:ascii="宋体" w:hAnsi="宋体" w:eastAsia="宋体" w:cs="宋体"/>
          <w:color w:val="auto"/>
          <w:szCs w:val="21"/>
          <w:highlight w:val="none"/>
          <w:lang w:eastAsia="zh-CN"/>
        </w:rPr>
        <w:t>10%</w:t>
      </w:r>
      <w:r>
        <w:rPr>
          <w:rFonts w:hint="eastAsia" w:ascii="宋体" w:hAnsi="宋体" w:eastAsia="宋体" w:cs="宋体"/>
          <w:color w:val="auto"/>
          <w:szCs w:val="21"/>
          <w:highlight w:val="none"/>
        </w:rPr>
        <w:t>。签订补充合同的必须按照相关规定备案。</w:t>
      </w:r>
    </w:p>
    <w:bookmarkEnd w:id="77"/>
    <w:bookmarkEnd w:id="78"/>
    <w:bookmarkEnd w:id="79"/>
    <w:p w14:paraId="0039A50A">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招标服务费</w:t>
      </w:r>
    </w:p>
    <w:p w14:paraId="177D715D">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lang w:eastAsia="zh-CN"/>
        </w:rPr>
        <w:t>中标人</w:t>
      </w:r>
      <w:r>
        <w:rPr>
          <w:rFonts w:hint="eastAsia" w:ascii="宋体" w:hAnsi="宋体" w:cs="宋体"/>
          <w:color w:val="auto"/>
          <w:szCs w:val="21"/>
          <w:highlight w:val="none"/>
          <w:lang w:val="en-US" w:eastAsia="zh-CN"/>
        </w:rPr>
        <w:t>按照招标文件要求</w:t>
      </w:r>
      <w:r>
        <w:rPr>
          <w:rFonts w:hint="eastAsia" w:ascii="宋体" w:hAnsi="宋体" w:eastAsia="宋体" w:cs="宋体"/>
          <w:color w:val="auto"/>
          <w:szCs w:val="21"/>
          <w:highlight w:val="none"/>
        </w:rPr>
        <w:t>向采购代理机构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招标服务费，招标服务费由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向采购代理机构一次性支付，参照国家计委颁布的《招标代理服务收费管理暂行</w:t>
      </w:r>
      <w:r>
        <w:rPr>
          <w:rFonts w:hint="eastAsia" w:ascii="宋体" w:hAnsi="宋体" w:eastAsia="宋体" w:cs="宋体"/>
          <w:color w:val="auto"/>
          <w:szCs w:val="21"/>
          <w:highlight w:val="none"/>
          <w:lang w:eastAsia="zh-CN"/>
        </w:rPr>
        <w:t>办法</w:t>
      </w:r>
      <w:r>
        <w:rPr>
          <w:rFonts w:hint="eastAsia" w:ascii="宋体" w:hAnsi="宋体" w:eastAsia="宋体" w:cs="宋体"/>
          <w:color w:val="auto"/>
          <w:szCs w:val="21"/>
          <w:highlight w:val="none"/>
        </w:rPr>
        <w:t>》（计价格</w:t>
      </w:r>
      <w:r>
        <w:rPr>
          <w:rFonts w:hint="eastAsia" w:ascii="宋体" w:hAnsi="宋体" w:eastAsia="宋体" w:cs="宋体"/>
          <w:color w:val="auto"/>
          <w:szCs w:val="21"/>
          <w:highlight w:val="none"/>
          <w:lang w:eastAsia="zh-CN"/>
        </w:rPr>
        <w:t>〔2002〕</w:t>
      </w:r>
      <w:r>
        <w:rPr>
          <w:rFonts w:hint="eastAsia" w:ascii="宋体" w:hAnsi="宋体" w:eastAsia="宋体" w:cs="宋体"/>
          <w:color w:val="auto"/>
          <w:szCs w:val="21"/>
          <w:highlight w:val="none"/>
        </w:rPr>
        <w:t>1980 号）和</w:t>
      </w:r>
      <w:r>
        <w:rPr>
          <w:rFonts w:hint="eastAsia" w:ascii="宋体" w:hAnsi="宋体" w:eastAsia="宋体" w:cs="宋体"/>
          <w:color w:val="auto"/>
          <w:szCs w:val="21"/>
          <w:highlight w:val="none"/>
          <w:lang w:eastAsia="zh-CN"/>
        </w:rPr>
        <w:t>国家发展改革委</w:t>
      </w:r>
      <w:r>
        <w:rPr>
          <w:rFonts w:hint="eastAsia" w:ascii="宋体" w:hAnsi="宋体" w:eastAsia="宋体" w:cs="宋体"/>
          <w:color w:val="auto"/>
          <w:szCs w:val="21"/>
          <w:highlight w:val="none"/>
        </w:rPr>
        <w:t>办公厅颁布的《</w:t>
      </w:r>
      <w:r>
        <w:rPr>
          <w:rFonts w:hint="eastAsia" w:ascii="宋体" w:hAnsi="宋体" w:eastAsia="宋体" w:cs="宋体"/>
          <w:color w:val="auto"/>
          <w:szCs w:val="21"/>
          <w:highlight w:val="none"/>
          <w:lang w:eastAsia="zh-CN"/>
        </w:rPr>
        <w:t>国家发展改革委</w:t>
      </w:r>
      <w:r>
        <w:rPr>
          <w:rFonts w:hint="eastAsia" w:ascii="宋体" w:hAnsi="宋体" w:eastAsia="宋体" w:cs="宋体"/>
          <w:color w:val="auto"/>
          <w:szCs w:val="21"/>
          <w:highlight w:val="none"/>
        </w:rPr>
        <w:t>办公厅关于招标代理服务收费有关问题的通知 》（发改办价格[2003 ]857 号）、根据国家发展和改革委员会《关于进一步放开建设项目专业服务价格的通知》（发改价格</w:t>
      </w:r>
      <w:r>
        <w:rPr>
          <w:rFonts w:hint="eastAsia" w:ascii="宋体" w:hAnsi="宋体" w:eastAsia="宋体" w:cs="宋体"/>
          <w:color w:val="auto"/>
          <w:szCs w:val="21"/>
          <w:highlight w:val="none"/>
          <w:lang w:eastAsia="zh-CN"/>
        </w:rPr>
        <w:t>〔2015〕</w:t>
      </w:r>
      <w:r>
        <w:rPr>
          <w:rFonts w:hint="eastAsia" w:ascii="宋体" w:hAnsi="宋体" w:eastAsia="宋体" w:cs="宋体"/>
          <w:color w:val="auto"/>
          <w:szCs w:val="21"/>
          <w:highlight w:val="none"/>
        </w:rPr>
        <w:t>299 号）的</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规定收取</w:t>
      </w:r>
      <w:r>
        <w:rPr>
          <w:rFonts w:hint="eastAsia" w:ascii="宋体" w:hAnsi="宋体" w:eastAsia="宋体" w:cs="宋体"/>
          <w:color w:val="auto"/>
          <w:szCs w:val="21"/>
          <w:highlight w:val="none"/>
          <w:lang w:eastAsia="zh-CN"/>
        </w:rPr>
        <w:t>招标代理服务费</w:t>
      </w:r>
      <w:r>
        <w:rPr>
          <w:rFonts w:hint="eastAsia" w:ascii="宋体" w:hAnsi="宋体" w:eastAsia="宋体" w:cs="宋体"/>
          <w:color w:val="auto"/>
          <w:szCs w:val="21"/>
          <w:highlight w:val="none"/>
        </w:rPr>
        <w:t>。</w:t>
      </w:r>
    </w:p>
    <w:p w14:paraId="1CCB587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6.2.招标服务费以</w:t>
      </w:r>
      <w:r>
        <w:rPr>
          <w:rFonts w:hint="eastAsia" w:ascii="宋体" w:hAnsi="宋体" w:eastAsia="宋体" w:cs="宋体"/>
          <w:color w:val="auto"/>
          <w:szCs w:val="21"/>
          <w:highlight w:val="none"/>
          <w:lang w:eastAsia="zh-CN"/>
        </w:rPr>
        <w:t>银行转账</w:t>
      </w:r>
      <w:r>
        <w:rPr>
          <w:rFonts w:hint="eastAsia" w:ascii="宋体" w:hAnsi="宋体" w:eastAsia="宋体" w:cs="宋体"/>
          <w:color w:val="auto"/>
          <w:szCs w:val="21"/>
          <w:highlight w:val="none"/>
        </w:rPr>
        <w:t>、电汇或现金形式用人民币一次性支付。收款</w:t>
      </w:r>
      <w:r>
        <w:rPr>
          <w:rFonts w:hint="eastAsia" w:ascii="宋体" w:hAnsi="宋体" w:eastAsia="宋体" w:cs="宋体"/>
          <w:color w:val="auto"/>
          <w:szCs w:val="21"/>
          <w:highlight w:val="none"/>
          <w:lang w:eastAsia="zh-CN"/>
        </w:rPr>
        <w:t>银行账号</w:t>
      </w:r>
      <w:r>
        <w:rPr>
          <w:rFonts w:hint="eastAsia" w:ascii="宋体" w:hAnsi="宋体" w:eastAsia="宋体" w:cs="宋体"/>
          <w:color w:val="auto"/>
          <w:szCs w:val="21"/>
          <w:highlight w:val="none"/>
        </w:rPr>
        <w:t>以招标代理机构发出的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招标服务费通知书中指定的</w:t>
      </w:r>
      <w:r>
        <w:rPr>
          <w:rFonts w:hint="eastAsia" w:ascii="宋体" w:hAnsi="宋体" w:eastAsia="宋体" w:cs="宋体"/>
          <w:color w:val="auto"/>
          <w:szCs w:val="21"/>
          <w:highlight w:val="none"/>
          <w:lang w:eastAsia="zh-CN"/>
        </w:rPr>
        <w:t>银行账号</w:t>
      </w:r>
      <w:r>
        <w:rPr>
          <w:rFonts w:hint="eastAsia" w:ascii="宋体" w:hAnsi="宋体" w:eastAsia="宋体" w:cs="宋体"/>
          <w:color w:val="auto"/>
          <w:szCs w:val="21"/>
          <w:highlight w:val="none"/>
        </w:rPr>
        <w:t>为准。</w:t>
      </w:r>
    </w:p>
    <w:p w14:paraId="7F223E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不按规定</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服务费的，招标代理机构将以</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的投标保证金抵扣服务费，不足部分招标代理机构保留进一步追索权利。</w:t>
      </w:r>
    </w:p>
    <w:p w14:paraId="73C2AC9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招标服务费不在报价中单列。</w:t>
      </w:r>
    </w:p>
    <w:p w14:paraId="3B00B80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经依法取消或放弃中标资格的，招标服务费不予退还。</w:t>
      </w:r>
    </w:p>
    <w:p w14:paraId="722DB65F">
      <w:pPr>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6.6. 招标服务费本公司仅开具普通发票。</w:t>
      </w:r>
    </w:p>
    <w:p w14:paraId="6DDFDBD8">
      <w:pPr>
        <w:numPr>
          <w:ilvl w:val="0"/>
          <w:numId w:val="0"/>
        </w:numPr>
        <w:tabs>
          <w:tab w:val="left" w:pos="425"/>
          <w:tab w:val="left" w:pos="624"/>
          <w:tab w:val="left" w:pos="735"/>
        </w:tabs>
        <w:spacing w:beforeAutospacing="0" w:afterAutospacing="0" w:line="360" w:lineRule="auto"/>
        <w:ind w:leftChars="0"/>
        <w:rPr>
          <w:rFonts w:hint="eastAsia" w:ascii="宋体" w:hAnsi="宋体" w:eastAsia="宋体" w:cs="宋体"/>
          <w:b/>
          <w:bCs/>
          <w:color w:val="auto"/>
          <w:sz w:val="21"/>
          <w:szCs w:val="21"/>
          <w:highlight w:val="none"/>
          <w:lang w:val="en-US" w:eastAsia="zh-CN"/>
        </w:rPr>
      </w:pPr>
      <w:bookmarkStart w:id="80" w:name="_Toc134956124"/>
      <w:bookmarkEnd w:id="80"/>
      <w:bookmarkStart w:id="81" w:name="_Toc387076653"/>
      <w:bookmarkEnd w:id="81"/>
      <w:bookmarkStart w:id="82" w:name="_Toc134955411"/>
      <w:r>
        <w:rPr>
          <w:rFonts w:hint="eastAsia" w:ascii="宋体" w:hAnsi="宋体" w:eastAsia="宋体" w:cs="宋体"/>
          <w:b/>
          <w:bCs/>
          <w:color w:val="auto"/>
          <w:sz w:val="21"/>
          <w:szCs w:val="21"/>
          <w:highlight w:val="none"/>
          <w:lang w:val="en-US" w:eastAsia="zh-CN"/>
        </w:rPr>
        <w:t>7.异议与回复</w:t>
      </w:r>
      <w:bookmarkEnd w:id="82"/>
    </w:p>
    <w:p w14:paraId="2C7BBDEC">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已领购招标文件的潜在投标人对招标文件有异议的，应当在投标截止时间10日前以书面形式（加盖投标人公章）向招标代理机构提交异议函原件，逾期异议无效。投标人对开标异议的，应当在开标现场提出，招标人或招标代理机构应当当场作出答复，并制作记录。</w:t>
      </w:r>
    </w:p>
    <w:p w14:paraId="728C8288">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投标人对评标结果有异议的，</w:t>
      </w:r>
      <w:r>
        <w:rPr>
          <w:rFonts w:hint="eastAsia" w:ascii="宋体" w:hAnsi="宋体" w:eastAsia="宋体" w:cs="宋体"/>
          <w:color w:val="auto"/>
          <w:sz w:val="21"/>
          <w:szCs w:val="21"/>
          <w:highlight w:val="none"/>
          <w:lang w:val="en-US" w:eastAsia="zh-CN"/>
        </w:rPr>
        <w:t>按相关法规进行处理</w:t>
      </w:r>
      <w:r>
        <w:rPr>
          <w:rFonts w:hint="eastAsia" w:ascii="宋体" w:hAnsi="宋体" w:eastAsia="宋体" w:cs="宋体"/>
          <w:color w:val="auto"/>
          <w:sz w:val="21"/>
          <w:szCs w:val="21"/>
          <w:highlight w:val="none"/>
          <w:lang w:eastAsia="zh-CN"/>
        </w:rPr>
        <w:t>。</w:t>
      </w:r>
    </w:p>
    <w:p w14:paraId="606D5F65">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提交异议应以书面形式（加盖投标人公章）向招标人及招标代理机构提出异议，异议内容不得含有虚假、恶意成分。依据谁主张谁举证的原则，异议者提供的异议书应当包括下列主要内容：具体的异议事项、事实依据及相关确凿的证明材料、明确的请求、投标人名称及地址、授权代表姓名</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受理书面异议书原件之日起，在规定的期限内作出答复。投标人以电话、传真或电邮形式提交的异议属于无效异议。</w:t>
      </w:r>
    </w:p>
    <w:p w14:paraId="01FFD0C7">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投标人异议应当有明确的请求和必要的证明材料，捏造事实、提供虚假材料或者以非法手段取得证明材料不能作为异议的证明材料。</w:t>
      </w:r>
    </w:p>
    <w:p w14:paraId="317FEDD9">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投标人异议须提供相关证明材料，包括但不限于权益受损害的情况说明及受损害的原因、证据内容等，并对异议内容的真实性承担责任。</w:t>
      </w:r>
    </w:p>
    <w:p w14:paraId="19A9E722">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招标人及招标代理机构应当在收到书面异议之日起3日内作出答复，但答复的内容不得涉及其他投标人的投标秘密。</w:t>
      </w:r>
    </w:p>
    <w:p w14:paraId="71095E3E">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7.7</w:t>
      </w:r>
      <w:r>
        <w:rPr>
          <w:rFonts w:hint="eastAsia" w:ascii="宋体" w:hAnsi="宋体" w:eastAsia="宋体" w:cs="宋体"/>
          <w:color w:val="auto"/>
          <w:sz w:val="21"/>
          <w:szCs w:val="21"/>
          <w:highlight w:val="none"/>
        </w:rPr>
        <w:t>投标人提出的异议涉及评审过程或者结果的，招标人及招标代理机构可以组织原评审委员会协助处理质疑事项，并依据评审委员会出具的意见进行答复。</w:t>
      </w:r>
    </w:p>
    <w:p w14:paraId="240B4F3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8.招标文件的解释权</w:t>
      </w:r>
    </w:p>
    <w:p w14:paraId="50F7DDC6">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本招标文件的解释权归“</w:t>
      </w: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”所有。</w:t>
      </w:r>
    </w:p>
    <w:p w14:paraId="5B4314EB">
      <w:pPr>
        <w:pStyle w:val="57"/>
        <w:rPr>
          <w:rFonts w:hint="eastAsia" w:ascii="宋体" w:hAnsi="宋体" w:eastAsia="宋体" w:cs="宋体"/>
          <w:b/>
          <w:color w:val="auto"/>
          <w:szCs w:val="21"/>
          <w:highlight w:val="none"/>
          <w:lang w:val="zh-CN"/>
        </w:rPr>
      </w:pPr>
    </w:p>
    <w:p w14:paraId="2749E365">
      <w:pPr>
        <w:pStyle w:val="57"/>
        <w:rPr>
          <w:rFonts w:hint="eastAsia" w:ascii="宋体" w:hAnsi="宋体" w:eastAsia="宋体" w:cs="宋体"/>
          <w:b/>
          <w:color w:val="auto"/>
          <w:szCs w:val="21"/>
          <w:highlight w:val="none"/>
          <w:lang w:val="zh-CN"/>
        </w:rPr>
      </w:pPr>
    </w:p>
    <w:p w14:paraId="3E6BE977">
      <w:pP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br w:type="page"/>
      </w:r>
    </w:p>
    <w:p w14:paraId="36F38788">
      <w:pPr>
        <w:spacing w:beforeAutospacing="0" w:afterAutospacing="0" w:line="360" w:lineRule="auto"/>
        <w:ind w:right="1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附件 询问函</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zh-CN"/>
        </w:rPr>
        <w:t>质疑函格式</w:t>
      </w:r>
    </w:p>
    <w:p w14:paraId="22A9A87D">
      <w:pPr>
        <w:pStyle w:val="16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说明：本部分格式为投标人提交询问函、质疑函时使用，不属于投标文件格式的组成部分。</w:t>
      </w:r>
    </w:p>
    <w:p w14:paraId="11D6DF69">
      <w:pPr>
        <w:pStyle w:val="160"/>
        <w:spacing w:beforeAutospacing="0" w:afterAutospacing="0" w:line="360" w:lineRule="auto"/>
        <w:rPr>
          <w:rFonts w:hint="eastAsia" w:ascii="宋体" w:hAnsi="宋体" w:eastAsia="宋体" w:cs="宋体"/>
          <w:color w:val="auto"/>
          <w:sz w:val="21"/>
          <w:szCs w:val="21"/>
          <w:highlight w:val="none"/>
        </w:rPr>
      </w:pPr>
    </w:p>
    <w:p w14:paraId="30698DCB">
      <w:pPr>
        <w:pStyle w:val="42"/>
        <w:spacing w:beforeAutospacing="0" w:afterAutospacing="0" w:line="360" w:lineRule="auto"/>
        <w:jc w:val="center"/>
        <w:rPr>
          <w:rStyle w:val="50"/>
          <w:rFonts w:hint="eastAsia" w:ascii="宋体" w:hAnsi="宋体" w:eastAsia="宋体" w:cs="宋体"/>
          <w:b w:val="0"/>
          <w:color w:val="auto"/>
          <w:sz w:val="28"/>
          <w:szCs w:val="28"/>
          <w:highlight w:val="none"/>
        </w:rPr>
      </w:pPr>
      <w:r>
        <w:rPr>
          <w:rFonts w:hint="eastAsia" w:ascii="宋体" w:hAnsi="宋体" w:eastAsia="宋体" w:cs="宋体"/>
          <w:b/>
          <w:bCs/>
          <w:color w:val="auto"/>
          <w:kern w:val="16"/>
          <w:sz w:val="28"/>
          <w:szCs w:val="28"/>
          <w:highlight w:val="none"/>
        </w:rPr>
        <w:t>询问函</w:t>
      </w:r>
    </w:p>
    <w:p w14:paraId="7243511D">
      <w:pPr>
        <w:tabs>
          <w:tab w:val="left" w:pos="6300"/>
        </w:tabs>
        <w:snapToGrid w:val="0"/>
        <w:spacing w:beforeAutospacing="0" w:afterAutospacing="0"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w:t>
      </w:r>
    </w:p>
    <w:p w14:paraId="3AA5797D">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p>
    <w:p w14:paraId="3015D61E">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我单位已报名并准备参与</w:t>
      </w:r>
      <w:r>
        <w:rPr>
          <w:rFonts w:hint="eastAsia" w:ascii="宋体" w:hAnsi="宋体" w:eastAsia="宋体" w:cs="宋体"/>
          <w:i/>
          <w:color w:val="auto"/>
          <w:szCs w:val="21"/>
          <w:highlight w:val="none"/>
          <w:u w:val="single"/>
        </w:rPr>
        <w:t>（项目名称）</w:t>
      </w:r>
      <w:r>
        <w:rPr>
          <w:rFonts w:hint="eastAsia" w:ascii="宋体" w:hAnsi="宋体" w:eastAsia="宋体" w:cs="宋体"/>
          <w:color w:val="auto"/>
          <w:szCs w:val="21"/>
          <w:highlight w:val="none"/>
        </w:rPr>
        <w:t>项目（招标文件编号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的投标（或报价）活动，现有以下几个内容（或条款）存在疑问（或无法理解），特提出询问。</w:t>
      </w:r>
    </w:p>
    <w:p w14:paraId="0D5D0296">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一、_____________________（事项一）</w:t>
      </w:r>
    </w:p>
    <w:p w14:paraId="62482925">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（1）____________________（问题或条款内容）</w:t>
      </w:r>
    </w:p>
    <w:p w14:paraId="4BD9B50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（2）____________________（说明疑问或无法理解原因）</w:t>
      </w:r>
    </w:p>
    <w:p w14:paraId="6CC216F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（3）____________________（建议）</w:t>
      </w:r>
    </w:p>
    <w:p w14:paraId="2ACE1E3C">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二、_____________________（事项二）</w:t>
      </w:r>
    </w:p>
    <w:p w14:paraId="00279924">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099D5B3">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随附相关证明材料如下：（目录）。</w:t>
      </w:r>
    </w:p>
    <w:p w14:paraId="059F028C">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询问人：（公章）</w:t>
      </w:r>
    </w:p>
    <w:p w14:paraId="6776BCF0">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法定代表人/负责人（授权代表）：</w:t>
      </w:r>
    </w:p>
    <w:p w14:paraId="67CA9E03">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14:paraId="6F04DA8D">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电话/传真：</w:t>
      </w:r>
    </w:p>
    <w:p w14:paraId="45E5E8C9">
      <w:pPr>
        <w:spacing w:beforeAutospacing="0" w:afterAutospacing="0" w:line="360" w:lineRule="auto"/>
        <w:jc w:val="right"/>
        <w:rPr>
          <w:rFonts w:hint="eastAsia" w:ascii="宋体" w:hAnsi="宋体" w:eastAsia="宋体" w:cs="宋体"/>
          <w:color w:val="auto"/>
          <w:szCs w:val="21"/>
          <w:highlight w:val="none"/>
        </w:rPr>
      </w:pPr>
    </w:p>
    <w:p w14:paraId="14528740">
      <w:pPr>
        <w:spacing w:beforeAutospacing="0" w:afterAutospacing="0" w:line="360" w:lineRule="auto"/>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  月  日</w:t>
      </w:r>
    </w:p>
    <w:p w14:paraId="5F739A4B">
      <w:pPr>
        <w:spacing w:beforeAutospacing="0" w:afterAutospacing="0" w:line="360" w:lineRule="auto"/>
        <w:ind w:left="539" w:right="17" w:hanging="539"/>
        <w:jc w:val="center"/>
        <w:rPr>
          <w:rFonts w:hint="eastAsia" w:ascii="宋体" w:hAnsi="宋体" w:eastAsia="宋体" w:cs="宋体"/>
          <w:b/>
          <w:color w:val="auto"/>
          <w:sz w:val="24"/>
          <w:highlight w:val="none"/>
          <w:lang w:val="zh-CN"/>
        </w:rPr>
        <w:sectPr>
          <w:footerReference r:id="rId5" w:type="default"/>
          <w:pgSz w:w="11905" w:h="16838"/>
          <w:pgMar w:top="1440" w:right="1080" w:bottom="1440" w:left="1080" w:header="283" w:footer="1077" w:gutter="0"/>
          <w:pgNumType w:fmt="decimal" w:start="1"/>
          <w:cols w:space="0" w:num="1"/>
          <w:rtlGutter w:val="0"/>
          <w:docGrid w:type="lines" w:linePitch="317" w:charSpace="0"/>
        </w:sectPr>
      </w:pPr>
    </w:p>
    <w:p w14:paraId="10D5359F">
      <w:pPr>
        <w:spacing w:beforeAutospacing="0" w:afterAutospacing="0" w:line="360" w:lineRule="auto"/>
        <w:ind w:left="539" w:right="17" w:hanging="539"/>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质疑函</w:t>
      </w:r>
    </w:p>
    <w:p w14:paraId="5F07DBAF">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一、质疑投标人基本信息</w:t>
      </w:r>
    </w:p>
    <w:p w14:paraId="09CBA543">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质疑投标人：</w:t>
      </w:r>
      <w:r>
        <w:rPr>
          <w:rFonts w:hint="eastAsia" w:ascii="宋体" w:hAnsi="宋体" w:eastAsia="宋体" w:cs="宋体"/>
          <w:color w:val="auto"/>
          <w:w w:val="90"/>
          <w:szCs w:val="21"/>
          <w:highlight w:val="none"/>
          <w:u w:val="single"/>
        </w:rPr>
        <w:t xml:space="preserve">                                        </w:t>
      </w:r>
    </w:p>
    <w:p w14:paraId="7141F7CB">
      <w:pPr>
        <w:pStyle w:val="136"/>
        <w:adjustRightInd w:val="0"/>
        <w:snapToGrid w:val="0"/>
        <w:spacing w:beforeAutospacing="0" w:afterAutospacing="0" w:line="400" w:lineRule="exact"/>
        <w:jc w:val="lef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地址：</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邮编：</w:t>
      </w:r>
      <w:r>
        <w:rPr>
          <w:rFonts w:hint="eastAsia" w:ascii="宋体" w:hAnsi="宋体" w:eastAsia="宋体" w:cs="宋体"/>
          <w:color w:val="auto"/>
          <w:w w:val="90"/>
          <w:szCs w:val="21"/>
          <w:highlight w:val="none"/>
          <w:u w:val="single"/>
        </w:rPr>
        <w:t xml:space="preserve">                     </w:t>
      </w:r>
    </w:p>
    <w:p w14:paraId="7364F4A4">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联系人：</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联系电话：</w:t>
      </w:r>
      <w:r>
        <w:rPr>
          <w:rFonts w:hint="eastAsia" w:ascii="宋体" w:hAnsi="宋体" w:eastAsia="宋体" w:cs="宋体"/>
          <w:color w:val="auto"/>
          <w:w w:val="90"/>
          <w:szCs w:val="21"/>
          <w:highlight w:val="none"/>
          <w:u w:val="single"/>
        </w:rPr>
        <w:t xml:space="preserve">                              </w:t>
      </w:r>
    </w:p>
    <w:p w14:paraId="7725592C">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授权代表：</w:t>
      </w:r>
      <w:r>
        <w:rPr>
          <w:rFonts w:hint="eastAsia" w:ascii="宋体" w:hAnsi="宋体" w:eastAsia="宋体" w:cs="宋体"/>
          <w:color w:val="auto"/>
          <w:w w:val="90"/>
          <w:szCs w:val="21"/>
          <w:highlight w:val="none"/>
          <w:u w:val="single"/>
        </w:rPr>
        <w:t xml:space="preserve">                                          </w:t>
      </w:r>
    </w:p>
    <w:p w14:paraId="36488A2E">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联系电话：</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w w:val="90"/>
          <w:szCs w:val="21"/>
          <w:highlight w:val="none"/>
        </w:rPr>
        <w:t xml:space="preserve"> </w:t>
      </w:r>
    </w:p>
    <w:p w14:paraId="15C82AB0">
      <w:pPr>
        <w:pStyle w:val="136"/>
        <w:adjustRightInd w:val="0"/>
        <w:snapToGrid w:val="0"/>
        <w:spacing w:beforeAutospacing="0" w:afterAutospacing="0" w:line="400" w:lineRule="exact"/>
        <w:jc w:val="lef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地址：</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 xml:space="preserve"> 邮编：</w:t>
      </w:r>
      <w:r>
        <w:rPr>
          <w:rFonts w:hint="eastAsia" w:ascii="宋体" w:hAnsi="宋体" w:eastAsia="宋体" w:cs="宋体"/>
          <w:color w:val="auto"/>
          <w:w w:val="90"/>
          <w:szCs w:val="21"/>
          <w:highlight w:val="none"/>
          <w:u w:val="single"/>
        </w:rPr>
        <w:t xml:space="preserve">                     </w:t>
      </w:r>
    </w:p>
    <w:p w14:paraId="2005434B">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二、质疑项目基本情况</w:t>
      </w:r>
    </w:p>
    <w:p w14:paraId="309EE8AC">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质疑项目的招标项目名称：</w:t>
      </w:r>
      <w:r>
        <w:rPr>
          <w:rFonts w:hint="eastAsia" w:ascii="宋体" w:hAnsi="宋体" w:eastAsia="宋体" w:cs="宋体"/>
          <w:color w:val="auto"/>
          <w:w w:val="90"/>
          <w:szCs w:val="21"/>
          <w:highlight w:val="none"/>
          <w:u w:val="single"/>
        </w:rPr>
        <w:t xml:space="preserve">                          </w:t>
      </w:r>
    </w:p>
    <w:p w14:paraId="0BC8C784">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质疑项目的招标项目编号：</w:t>
      </w:r>
      <w:r>
        <w:rPr>
          <w:rFonts w:hint="eastAsia" w:ascii="宋体" w:hAnsi="宋体" w:eastAsia="宋体" w:cs="宋体"/>
          <w:color w:val="auto"/>
          <w:w w:val="90"/>
          <w:szCs w:val="21"/>
          <w:highlight w:val="none"/>
          <w:u w:val="single"/>
        </w:rPr>
        <w:t xml:space="preserve">                          </w:t>
      </w:r>
    </w:p>
    <w:p w14:paraId="4DE1D62B">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招标编号：</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分包号：</w:t>
      </w:r>
      <w:r>
        <w:rPr>
          <w:rFonts w:hint="eastAsia" w:ascii="宋体" w:hAnsi="宋体" w:eastAsia="宋体" w:cs="宋体"/>
          <w:color w:val="auto"/>
          <w:w w:val="90"/>
          <w:szCs w:val="21"/>
          <w:highlight w:val="none"/>
          <w:u w:val="single"/>
        </w:rPr>
        <w:t xml:space="preserve">                 </w:t>
      </w:r>
    </w:p>
    <w:p w14:paraId="18E5D340">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招标人名称：</w:t>
      </w:r>
      <w:r>
        <w:rPr>
          <w:rFonts w:hint="eastAsia" w:ascii="宋体" w:hAnsi="宋体" w:eastAsia="宋体" w:cs="宋体"/>
          <w:color w:val="auto"/>
          <w:w w:val="90"/>
          <w:szCs w:val="21"/>
          <w:highlight w:val="none"/>
          <w:u w:val="single"/>
        </w:rPr>
        <w:t xml:space="preserve">                                         </w:t>
      </w:r>
    </w:p>
    <w:p w14:paraId="471B473E">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招标文件获取日期：</w:t>
      </w:r>
      <w:r>
        <w:rPr>
          <w:rFonts w:hint="eastAsia" w:ascii="宋体" w:hAnsi="宋体" w:eastAsia="宋体" w:cs="宋体"/>
          <w:color w:val="auto"/>
          <w:w w:val="90"/>
          <w:szCs w:val="21"/>
          <w:highlight w:val="none"/>
          <w:u w:val="single"/>
        </w:rPr>
        <w:t xml:space="preserve">                                           </w:t>
      </w:r>
    </w:p>
    <w:p w14:paraId="2D232382">
      <w:pPr>
        <w:spacing w:beforeAutospacing="0" w:afterAutospacing="0" w:line="400" w:lineRule="exact"/>
        <w:ind w:left="539" w:right="17" w:hanging="539"/>
        <w:rPr>
          <w:rFonts w:hint="eastAsia" w:ascii="宋体" w:hAnsi="宋体" w:eastAsia="宋体" w:cs="宋体"/>
          <w:bCs/>
          <w:color w:val="auto"/>
          <w:w w:val="90"/>
          <w:szCs w:val="21"/>
          <w:highlight w:val="none"/>
        </w:rPr>
      </w:pPr>
      <w:r>
        <w:rPr>
          <w:rFonts w:hint="eastAsia" w:ascii="宋体" w:hAnsi="宋体" w:eastAsia="宋体" w:cs="宋体"/>
          <w:color w:val="auto"/>
          <w:szCs w:val="21"/>
          <w:highlight w:val="none"/>
          <w:lang w:val="zh-CN"/>
        </w:rPr>
        <w:t>三、质疑事项具体内容</w:t>
      </w:r>
    </w:p>
    <w:p w14:paraId="32C2D821">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质疑事项1：</w:t>
      </w:r>
      <w:r>
        <w:rPr>
          <w:rFonts w:hint="eastAsia" w:ascii="宋体" w:hAnsi="宋体" w:eastAsia="宋体" w:cs="宋体"/>
          <w:color w:val="auto"/>
          <w:w w:val="90"/>
          <w:szCs w:val="21"/>
          <w:highlight w:val="none"/>
          <w:u w:val="single"/>
        </w:rPr>
        <w:t xml:space="preserve">                                         </w:t>
      </w:r>
    </w:p>
    <w:p w14:paraId="7206F5DB">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事实依据：</w:t>
      </w:r>
      <w:r>
        <w:rPr>
          <w:rFonts w:hint="eastAsia" w:ascii="宋体" w:hAnsi="宋体" w:eastAsia="宋体" w:cs="宋体"/>
          <w:color w:val="auto"/>
          <w:w w:val="90"/>
          <w:szCs w:val="21"/>
          <w:highlight w:val="none"/>
          <w:u w:val="single"/>
        </w:rPr>
        <w:t xml:space="preserve">                                          </w:t>
      </w:r>
    </w:p>
    <w:p w14:paraId="3127343A">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法律依据：                                          </w:t>
      </w:r>
    </w:p>
    <w:p w14:paraId="4A105D94">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质疑事项2</w:t>
      </w:r>
    </w:p>
    <w:p w14:paraId="2F31471B">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1C3CF6DC">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四、与质疑事项相关的质疑请求</w:t>
      </w:r>
    </w:p>
    <w:p w14:paraId="008D9280">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请求：</w:t>
      </w:r>
      <w:r>
        <w:rPr>
          <w:rFonts w:hint="eastAsia" w:ascii="宋体" w:hAnsi="宋体" w:eastAsia="宋体" w:cs="宋体"/>
          <w:color w:val="auto"/>
          <w:w w:val="90"/>
          <w:szCs w:val="21"/>
          <w:highlight w:val="none"/>
          <w:u w:val="single"/>
        </w:rPr>
        <w:t xml:space="preserve">                                               </w:t>
      </w:r>
    </w:p>
    <w:p w14:paraId="6F7834F0">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签字（签章）：</w:t>
      </w:r>
      <w:r>
        <w:rPr>
          <w:rFonts w:hint="eastAsia" w:ascii="宋体" w:hAnsi="宋体" w:eastAsia="宋体" w:cs="宋体"/>
          <w:color w:val="auto"/>
          <w:w w:val="90"/>
          <w:szCs w:val="21"/>
          <w:highlight w:val="none"/>
        </w:rPr>
        <w:t xml:space="preserve">                   </w:t>
      </w:r>
      <w:r>
        <w:rPr>
          <w:rFonts w:hint="eastAsia" w:ascii="宋体" w:hAnsi="宋体" w:eastAsia="宋体" w:cs="宋体"/>
          <w:color w:val="auto"/>
          <w:szCs w:val="21"/>
          <w:highlight w:val="none"/>
          <w:lang w:val="zh-CN"/>
        </w:rPr>
        <w:t>公章：</w:t>
      </w:r>
      <w:r>
        <w:rPr>
          <w:rFonts w:hint="eastAsia" w:ascii="宋体" w:hAnsi="宋体" w:eastAsia="宋体" w:cs="宋体"/>
          <w:color w:val="auto"/>
          <w:w w:val="90"/>
          <w:szCs w:val="21"/>
          <w:highlight w:val="none"/>
        </w:rPr>
        <w:t xml:space="preserve">                      </w:t>
      </w:r>
    </w:p>
    <w:p w14:paraId="05667D5B">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w w:val="90"/>
          <w:szCs w:val="21"/>
          <w:highlight w:val="none"/>
        </w:rPr>
        <w:t xml:space="preserve">    </w:t>
      </w:r>
    </w:p>
    <w:p w14:paraId="0E06325E">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质疑函制作说明：</w:t>
      </w:r>
    </w:p>
    <w:p w14:paraId="5DC85EBE">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1.投标人提出质疑时，应提交质疑函和必要的证明材料。</w:t>
      </w:r>
    </w:p>
    <w:p w14:paraId="3A84D92B">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F9B6072">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3.质疑投标人若对项目的某一分包进行质疑，质疑函中应列明具体分包号。</w:t>
      </w:r>
    </w:p>
    <w:p w14:paraId="3D7EAC22">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4.质疑函的质疑事项应具体、明确，并有必要的事实依据和法律依据。</w:t>
      </w:r>
    </w:p>
    <w:p w14:paraId="6B0B38B3">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5.质疑函的质疑请求应与质疑事项相关。</w:t>
      </w:r>
    </w:p>
    <w:p w14:paraId="35AA8508">
      <w:pPr>
        <w:spacing w:beforeAutospacing="0" w:afterAutospacing="0" w:line="400" w:lineRule="exact"/>
        <w:ind w:right="17"/>
        <w:jc w:val="lef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6.质疑投标人为自然人的，质疑函应由本人签字；质疑投标人为法人或者其他组织的，质疑函应由法定代表人、主要负责人，或者其授权代表签字或者盖章，并加盖公章。</w:t>
      </w:r>
    </w:p>
    <w:p w14:paraId="37F3C392">
      <w:pPr>
        <w:pStyle w:val="3"/>
        <w:spacing w:beforeAutospacing="0" w:afterAutospacing="0" w:line="360" w:lineRule="auto"/>
        <w:rPr>
          <w:rFonts w:hint="eastAsia" w:ascii="宋体" w:hAnsi="宋体" w:eastAsia="宋体" w:cs="宋体"/>
          <w:color w:val="auto"/>
          <w:sz w:val="36"/>
          <w:szCs w:val="36"/>
          <w:highlight w:val="none"/>
        </w:rPr>
        <w:sectPr>
          <w:pgSz w:w="11905" w:h="16838"/>
          <w:pgMar w:top="1440" w:right="1803" w:bottom="1440" w:left="1803" w:header="283" w:footer="1077" w:gutter="0"/>
          <w:pgNumType w:fmt="decimal"/>
          <w:cols w:space="0" w:num="1"/>
          <w:rtlGutter w:val="0"/>
          <w:docGrid w:type="lines" w:linePitch="317" w:charSpace="0"/>
        </w:sectPr>
      </w:pPr>
      <w:bookmarkStart w:id="83" w:name="_Toc796_WPSOffice_Level1"/>
      <w:bookmarkStart w:id="84" w:name="_Toc28924_WPSOffice_Level1"/>
      <w:bookmarkStart w:id="85" w:name="_Toc25609"/>
    </w:p>
    <w:bookmarkEnd w:id="83"/>
    <w:bookmarkEnd w:id="84"/>
    <w:bookmarkEnd w:id="85"/>
    <w:p w14:paraId="09F37A73">
      <w:pPr>
        <w:pStyle w:val="3"/>
        <w:spacing w:beforeAutospacing="0" w:afterAutospacing="0" w:line="360" w:lineRule="auto"/>
        <w:jc w:val="center"/>
        <w:rPr>
          <w:rFonts w:hint="eastAsia" w:ascii="宋体" w:hAnsi="宋体" w:eastAsia="宋体" w:cs="宋体"/>
          <w:b/>
          <w:bCs/>
          <w:color w:val="auto"/>
          <w:sz w:val="28"/>
          <w:szCs w:val="28"/>
          <w:highlight w:val="none"/>
        </w:rPr>
      </w:pPr>
      <w:bookmarkStart w:id="86" w:name="_Toc18906"/>
      <w:r>
        <w:rPr>
          <w:rFonts w:hint="eastAsia" w:ascii="宋体" w:hAnsi="宋体" w:eastAsia="宋体" w:cs="宋体"/>
          <w:b/>
          <w:bCs/>
          <w:color w:val="auto"/>
          <w:sz w:val="28"/>
          <w:szCs w:val="28"/>
          <w:highlight w:val="none"/>
        </w:rPr>
        <w:t>第四部分  开标、评标和定标</w:t>
      </w:r>
      <w:bookmarkEnd w:id="86"/>
    </w:p>
    <w:p w14:paraId="723F302A">
      <w:pPr>
        <w:spacing w:beforeAutospacing="0" w:afterAutospacing="0" w:line="360" w:lineRule="auto"/>
        <w:ind w:right="678" w:rightChars="323"/>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 开标</w:t>
      </w:r>
      <w:r>
        <w:rPr>
          <w:rFonts w:hint="eastAsia" w:hAnsi="宋体" w:cs="Times New Roman"/>
          <w:b/>
          <w:bCs/>
          <w:color w:val="auto"/>
          <w:highlight w:val="none"/>
          <w:lang w:eastAsia="zh-CN"/>
        </w:rPr>
        <w:t>（电子开标）</w:t>
      </w:r>
    </w:p>
    <w:p w14:paraId="1A92A6F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招标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在《投标邀请书》中规定的日期、时间和地点组织公开开标。开标时原则上应当有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代表和投标人代表参加。参加开标的代表应签到以证明其出席。</w:t>
      </w:r>
    </w:p>
    <w:p w14:paraId="49F5213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开标时，主持人进入开标会议后，页面上将进行开标倒计时。到达开标时间后，主持人宣读“开标会议议程”，议程宣读完成后进行开标，点击“开始开标，下一步”，显示投标企业公司</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rPr>
        <w:t>，授权代表名称等信息，下一步进入“文件解密”环节。主持人点击“主持人解密”环节，并插入C</w:t>
      </w: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进行认证后，对投标电子标书进行解密操作。文件解密完成后，参会人员确认内容和电子投标书的有效性。点击“文件解密完成，进入评标环节”，进入评标环节。纸质标书由投标人或其推选的代表检查投标文件的密封情况，或由招标采购单位委托的机构检查并见证，经确认无误后由招标代理机构保管，在电子评标过程无异常时，不需要拆封使用。</w:t>
      </w:r>
    </w:p>
    <w:p w14:paraId="55301AD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1.3   </w:t>
      </w:r>
      <w:r>
        <w:rPr>
          <w:rFonts w:hint="eastAsia" w:ascii="宋体" w:hAnsi="宋体" w:eastAsia="宋体" w:cs="宋体"/>
          <w:color w:val="auto"/>
          <w:szCs w:val="21"/>
          <w:highlight w:val="none"/>
        </w:rPr>
        <w:t>开标结束后，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CN"/>
        </w:rPr>
        <w:t>招标代理</w:t>
      </w:r>
      <w:r>
        <w:rPr>
          <w:rFonts w:hint="eastAsia" w:ascii="宋体" w:hAnsi="宋体" w:eastAsia="宋体" w:cs="宋体"/>
          <w:color w:val="auto"/>
          <w:szCs w:val="21"/>
          <w:highlight w:val="none"/>
        </w:rPr>
        <w:t>机构</w:t>
      </w:r>
      <w:r>
        <w:rPr>
          <w:rFonts w:hint="eastAsia" w:ascii="宋体" w:hAnsi="宋体" w:eastAsia="宋体" w:cs="宋体"/>
          <w:color w:val="auto"/>
          <w:szCs w:val="21"/>
          <w:highlight w:val="none"/>
          <w:lang w:eastAsia="zh-CN"/>
        </w:rPr>
        <w:t>或评标委员会</w:t>
      </w:r>
      <w:r>
        <w:rPr>
          <w:rFonts w:hint="eastAsia" w:ascii="宋体" w:hAnsi="宋体" w:eastAsia="宋体" w:cs="宋体"/>
          <w:color w:val="auto"/>
          <w:szCs w:val="21"/>
          <w:highlight w:val="none"/>
        </w:rPr>
        <w:t>依法对投标人的资格进行审查</w:t>
      </w:r>
    </w:p>
    <w:p w14:paraId="47EC531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不足3家的，不得开标。</w:t>
      </w:r>
    </w:p>
    <w:p w14:paraId="72976AA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招标代理机构负责记录开标过程，参加开标的各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代表和相关工作人员签字确认。</w:t>
      </w:r>
    </w:p>
    <w:p w14:paraId="3CD03AD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代表对开标过程和开标记录有疑义，以及认为招标人、招标代理机构相关工作人员有需要回避的情形的，应当场提出询问或者回避申请。</w:t>
      </w:r>
    </w:p>
    <w:p w14:paraId="720898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未参加开标的，视同认可开标结果。</w:t>
      </w:r>
    </w:p>
    <w:p w14:paraId="0C78E0A2">
      <w:pPr>
        <w:spacing w:beforeAutospacing="0" w:afterAutospacing="0" w:line="360" w:lineRule="auto"/>
        <w:ind w:right="678" w:rightChars="323"/>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 评标</w:t>
      </w:r>
    </w:p>
    <w:p w14:paraId="1977BF53">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87" w:name="_Toc23940"/>
      <w:bookmarkEnd w:id="87"/>
      <w:r>
        <w:rPr>
          <w:rFonts w:hint="eastAsia" w:ascii="宋体" w:hAnsi="宋体" w:eastAsia="宋体" w:cs="宋体"/>
          <w:b/>
          <w:bCs/>
          <w:color w:val="auto"/>
          <w:sz w:val="21"/>
          <w:szCs w:val="21"/>
          <w:highlight w:val="none"/>
        </w:rPr>
        <w:t>2.1.评标委员会</w:t>
      </w:r>
    </w:p>
    <w:p w14:paraId="51E15A6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88" w:name="_Toc19552"/>
      <w:bookmarkStart w:id="89" w:name="_Toc183338099"/>
      <w:bookmarkStart w:id="90" w:name="_Toc231028410"/>
      <w:bookmarkStart w:id="91" w:name="_Toc234746299"/>
      <w:bookmarkStart w:id="92" w:name="_Toc238275023"/>
      <w:bookmarkStart w:id="93" w:name="_Toc185746883"/>
      <w:bookmarkStart w:id="94" w:name="_Toc461991243"/>
      <w:bookmarkStart w:id="95" w:name="_Toc453695711"/>
      <w:bookmarkStart w:id="96" w:name="_Toc231010457"/>
      <w:bookmarkStart w:id="97" w:name="_Toc238274905"/>
      <w:bookmarkStart w:id="98" w:name="_Toc338083288"/>
      <w:bookmarkStart w:id="99" w:name="_Toc237684322"/>
      <w:bookmarkStart w:id="100" w:name="_Toc453695584"/>
      <w:bookmarkStart w:id="101" w:name="_Toc237683961"/>
      <w:r>
        <w:rPr>
          <w:rFonts w:hint="eastAsia" w:ascii="宋体" w:hAnsi="宋体" w:eastAsia="宋体" w:cs="宋体"/>
          <w:color w:val="auto"/>
          <w:szCs w:val="21"/>
          <w:highlight w:val="none"/>
        </w:rPr>
        <w:t>2.1.1.本次招标依法组建评标委员会。评标委员会由</w:t>
      </w:r>
      <w:r>
        <w:rPr>
          <w:rFonts w:hint="eastAsia" w:ascii="宋体" w:hAnsi="宋体" w:cs="宋体"/>
          <w:b/>
          <w:bCs/>
          <w:color w:val="auto"/>
          <w:szCs w:val="21"/>
          <w:highlight w:val="none"/>
          <w:lang w:val="en-US" w:eastAsia="zh-CN"/>
        </w:rPr>
        <w:t>5</w:t>
      </w:r>
      <w:r>
        <w:rPr>
          <w:rFonts w:hint="eastAsia" w:ascii="宋体" w:hAnsi="宋体" w:eastAsia="宋体" w:cs="宋体"/>
          <w:color w:val="auto"/>
          <w:szCs w:val="21"/>
          <w:highlight w:val="none"/>
        </w:rPr>
        <w:t>人组成，除招标人指派评委代表参加外（招标人评委不多于评委会成员三分之一），其他成员均从</w:t>
      </w:r>
      <w:r>
        <w:rPr>
          <w:rFonts w:hint="eastAsia" w:ascii="宋体" w:hAnsi="宋体"/>
          <w:color w:val="auto"/>
          <w:szCs w:val="21"/>
          <w:highlight w:val="none"/>
          <w:lang w:eastAsia="zh-CN"/>
        </w:rPr>
        <w:t>广东省综合评标评审专家库——韶关区域中随机抽取</w:t>
      </w:r>
      <w:r>
        <w:rPr>
          <w:rFonts w:hint="eastAsia" w:ascii="宋体" w:hAnsi="宋体" w:eastAsia="宋体" w:cs="宋体"/>
          <w:color w:val="auto"/>
          <w:szCs w:val="21"/>
          <w:highlight w:val="none"/>
        </w:rPr>
        <w:t>产生（专家人数不少于评委会成员总数的三分之二）。评委会将本着公平、公正、科学、择优的原则，严格按照法律法规和招标文件的要求推荐评审结果。</w:t>
      </w:r>
    </w:p>
    <w:p w14:paraId="54EC4A0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2.1.2.评审专家有下列情形之一的，受到邀请应主动提出回避，招标当事人也可以要求该评审专家回避：</w:t>
      </w:r>
    </w:p>
    <w:p w14:paraId="56AF6421">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1）参加招标活动前三年内，与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存在劳动关系，或者担任过</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的董事、监事，或者是</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的控股股东或实际控制人；</w:t>
      </w:r>
    </w:p>
    <w:p w14:paraId="4EF12369">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的法定代表人或者负责人有夫妻、直系血亲、三代以内旁系血亲或者近姻亲关系；</w:t>
      </w:r>
    </w:p>
    <w:p w14:paraId="370914CF">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有其他可能影响招标活动公平、公正进行的关系。</w:t>
      </w:r>
    </w:p>
    <w:p w14:paraId="738B84C7">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评审专家发现本人与参加招标活动的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有利害关系的，应当主动提出回避。招标人或者招标代理机构发现评审专家与参加招标活动的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有利害关系的，应当要求其回避。</w:t>
      </w:r>
    </w:p>
    <w:p w14:paraId="32D2969A">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评审专家对本单位的招标项目只能作为招标人代表参与评审活动。</w:t>
      </w:r>
    </w:p>
    <w:p w14:paraId="479B0E4D">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各级招标监督管理工作人员，不得作为评审专家参与招标项目的评审活动。</w:t>
      </w:r>
    </w:p>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087F968F">
      <w:pPr>
        <w:pStyle w:val="4"/>
        <w:spacing w:before="120" w:beforeAutospacing="0" w:after="120" w:afterAutospacing="0"/>
        <w:ind w:right="678" w:rightChars="32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2.2.评标方法、程序及标准</w:t>
      </w:r>
    </w:p>
    <w:p w14:paraId="4C905E5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2.2.1.本次评标采用综合评分法。</w:t>
      </w:r>
    </w:p>
    <w:p w14:paraId="5F0CEF0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评标程序：</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对投标人资格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符合性审查，对通过资格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符合性审查的投标人进行技术、商务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的详细评审，最终推荐出中标候选人并出具评标报告。</w:t>
      </w:r>
    </w:p>
    <w:p w14:paraId="57A6975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评分方法：按照评分标准以及权重分配的规定，评标委员会成员就各个投标人的技术状况、商务状况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价格状况</w:t>
      </w:r>
      <w:r>
        <w:rPr>
          <w:rFonts w:hint="eastAsia" w:ascii="宋体" w:hAnsi="宋体" w:eastAsia="宋体" w:cs="宋体"/>
          <w:color w:val="auto"/>
          <w:szCs w:val="21"/>
          <w:highlight w:val="none"/>
        </w:rPr>
        <w:t>及其对招标文件要求的响应情况进行评议和比较，评出其技术评分和商务评分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价格评分</w:t>
      </w:r>
      <w:r>
        <w:rPr>
          <w:rFonts w:hint="eastAsia" w:ascii="宋体" w:hAnsi="宋体" w:eastAsia="宋体" w:cs="宋体"/>
          <w:color w:val="auto"/>
          <w:szCs w:val="21"/>
          <w:highlight w:val="none"/>
        </w:rPr>
        <w:t>相加得出其综合评分。</w:t>
      </w:r>
    </w:p>
    <w:p w14:paraId="023484F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2.2.4.评标委员会对招标文件描述有歧义或前后不一致的地方，有权按法律法规的规定进行评判，但对同一条款的评判应适用于每个</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203A428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2.2.5.评标委员会成员对需要共同认定的事项存在争议的，按照少数服从多数的原则作出结论。</w:t>
      </w:r>
    </w:p>
    <w:p w14:paraId="719946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2.2.6.投标文件的澄清：评标期间，对于投标文件中含义不明确、同类问题表述不一致或者有明显文字和计算错误的内容，评标委员会应当以书面形式要求</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作出必要的澄清、说明或者补正。</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的澄清、说明或者补正应当采用书面形式，并加盖公章，或者由法定代表人或其授权的代表签署。</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的澄清、说明或者补正不得超出投标文件的范围或者改变投标文件的实质性内容。</w:t>
      </w:r>
    </w:p>
    <w:p w14:paraId="28A87D5E">
      <w:pPr>
        <w:spacing w:beforeAutospacing="0" w:afterAutospacing="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 投标文件资格性审查、符合性审查</w:t>
      </w:r>
    </w:p>
    <w:p w14:paraId="5F588A9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2.3.1.开标结束后，</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依法对投标人的资格进行审查，详见《</w:t>
      </w:r>
      <w:r>
        <w:rPr>
          <w:rFonts w:hint="eastAsia" w:ascii="宋体" w:hAnsi="宋体" w:eastAsia="宋体" w:cs="宋体"/>
          <w:color w:val="auto"/>
          <w:szCs w:val="21"/>
          <w:highlight w:val="none"/>
          <w:lang w:eastAsia="zh-CN"/>
        </w:rPr>
        <w:t>资格</w:t>
      </w:r>
      <w:r>
        <w:rPr>
          <w:rFonts w:hint="eastAsia" w:ascii="宋体" w:hAnsi="宋体" w:eastAsia="宋体" w:cs="宋体"/>
          <w:color w:val="auto"/>
          <w:szCs w:val="21"/>
          <w:highlight w:val="none"/>
        </w:rPr>
        <w:t>审查表》。对初步被认定为</w:t>
      </w:r>
      <w:r>
        <w:rPr>
          <w:rFonts w:hint="eastAsia" w:ascii="宋体" w:hAnsi="宋体" w:eastAsia="宋体" w:cs="宋体"/>
          <w:color w:val="auto"/>
          <w:szCs w:val="21"/>
          <w:highlight w:val="none"/>
          <w:lang w:eastAsia="zh-CN"/>
        </w:rPr>
        <w:t>资格</w:t>
      </w:r>
      <w:r>
        <w:rPr>
          <w:rFonts w:hint="eastAsia" w:ascii="宋体" w:hAnsi="宋体" w:eastAsia="宋体" w:cs="宋体"/>
          <w:color w:val="auto"/>
          <w:szCs w:val="21"/>
          <w:highlight w:val="none"/>
        </w:rPr>
        <w:t>审查不合格的，应实行及时告知投标当事人，以让其核证、澄清事实。未通过资格性审查的投标人，不进入符合性审查。</w:t>
      </w:r>
    </w:p>
    <w:p w14:paraId="60D0BBB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2.3.2.评标委员会将根据评审细则的规定，对各投标文件进行符合性审查。</w:t>
      </w:r>
    </w:p>
    <w:p w14:paraId="33B9339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2.3.3.投标文件出现下列情况之一时将被认定为无效投标：</w:t>
      </w:r>
    </w:p>
    <w:p w14:paraId="60718E9A">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2" w:name="_Toc334797742"/>
      <w:bookmarkEnd w:id="102"/>
      <w:r>
        <w:rPr>
          <w:rFonts w:hint="eastAsia" w:ascii="宋体" w:hAnsi="宋体" w:eastAsia="宋体" w:cs="宋体"/>
          <w:color w:val="auto"/>
          <w:szCs w:val="21"/>
          <w:highlight w:val="none"/>
        </w:rPr>
        <w:t>1）投标文件未按招标文件的要求盖章及由法定代表人/负责人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或法定代表人/负责人委托的代理人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的印鉴或签名的；</w:t>
      </w:r>
    </w:p>
    <w:p w14:paraId="471871A5">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3" w:name="_Toc334797744"/>
      <w:bookmarkEnd w:id="103"/>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）投标文件没有提供有效的法定代表人证明及授权书；</w:t>
      </w:r>
    </w:p>
    <w:p w14:paraId="1C75BBEF">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4" w:name="_Toc334797745"/>
      <w:bookmarkEnd w:id="104"/>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）投标有效期不足的；</w:t>
      </w:r>
    </w:p>
    <w:p w14:paraId="777F3E43">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5" w:name="_Toc334797746"/>
      <w:bookmarkEnd w:id="105"/>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）投标文件未完全满足招标文件中带★号的条款和指标，或不符合招标文件的其他要求，有重大偏离的；</w:t>
      </w:r>
    </w:p>
    <w:p w14:paraId="5B71FE28">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6" w:name="_Toc334797747"/>
      <w:bookmarkEnd w:id="106"/>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）评标期间，投标人没有按评标委员会的要求提交经授权代表签字的澄清、说明、补正或改变了投标文件的实质性内容的；</w:t>
      </w:r>
    </w:p>
    <w:p w14:paraId="51A91CF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7" w:name="_Toc334797748"/>
      <w:bookmarkEnd w:id="107"/>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）经评标委员会认定投标文件提供虚假材料的；</w:t>
      </w:r>
    </w:p>
    <w:p w14:paraId="3341585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8" w:name="_Toc334797749"/>
      <w:bookmarkEnd w:id="108"/>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）投标人以他人的名义投标、串通投标、以行贿手段谋取中标或者以其他弄虚作假方式投标的；</w:t>
      </w:r>
    </w:p>
    <w:p w14:paraId="09112DD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9" w:name="_Toc334797750"/>
      <w:bookmarkEnd w:id="109"/>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）投标人对招标人、招标代理机构、评标委员会及其工作人员施加影响，有碍招标公平、公正的；</w:t>
      </w:r>
    </w:p>
    <w:p w14:paraId="7B37F12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10" w:name="_Toc334797751"/>
      <w:bookmarkEnd w:id="110"/>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）投标文件附有招标人不能接受的条件；</w:t>
      </w:r>
    </w:p>
    <w:p w14:paraId="4B109136">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11" w:name="_Toc334797752"/>
      <w:bookmarkEnd w:id="111"/>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）出现不符合相关</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要求的情况的。</w:t>
      </w:r>
    </w:p>
    <w:p w14:paraId="755C71A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2.3.4.符合性审查结论意见采取少数服从多数原则，即超过半数评委的结论为“通过”则该投标人通过符合性检查，否则不通过。</w:t>
      </w:r>
    </w:p>
    <w:p w14:paraId="41F9DCC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2.3.5.招标文件中，如标有“▲”的条款均为评审的重要评分指标，投标人若有部分“▲”条款未响应或不满足，将导致其响应性评审严重扣分。</w:t>
      </w:r>
    </w:p>
    <w:p w14:paraId="5FA270A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.被评标委员会确定为投标文件无效的，其投标文件即被视为不能通过符合性审查，不得参与技术商务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的评审。</w:t>
      </w:r>
    </w:p>
    <w:p w14:paraId="67993D6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.评标委员会对各投标人进行符合性审查过程中，对初步认定为无效投标者应实行及时告知，由评标委员会主任将集体意见现场及时告知投标当事人，以让其核证、澄清事实。</w:t>
      </w:r>
    </w:p>
    <w:p w14:paraId="21B8C008">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112" w:name="_Toc19731"/>
      <w:bookmarkEnd w:id="112"/>
      <w:r>
        <w:rPr>
          <w:rFonts w:hint="eastAsia" w:ascii="宋体" w:hAnsi="宋体" w:eastAsia="宋体" w:cs="宋体"/>
          <w:b/>
          <w:bCs/>
          <w:color w:val="auto"/>
          <w:sz w:val="21"/>
          <w:szCs w:val="21"/>
          <w:highlight w:val="none"/>
        </w:rPr>
        <w:t>2.4. 技术、商务评定</w:t>
      </w:r>
    </w:p>
    <w:p w14:paraId="33CF208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2.4.1.由评委对所有有效投标文件的技术商务响应方案进行审核和分析，填写《</w:t>
      </w:r>
      <w:r>
        <w:rPr>
          <w:rFonts w:hint="eastAsia" w:ascii="Calibri" w:hAnsi="Calibri"/>
          <w:b/>
          <w:bCs/>
          <w:color w:val="auto"/>
          <w:sz w:val="21"/>
          <w:szCs w:val="21"/>
          <w:highlight w:val="none"/>
        </w:rPr>
        <w:t>综合评分表</w:t>
      </w:r>
      <w:r>
        <w:rPr>
          <w:rFonts w:hint="eastAsia" w:ascii="宋体" w:hAnsi="宋体" w:eastAsia="宋体" w:cs="宋体"/>
          <w:color w:val="auto"/>
          <w:szCs w:val="21"/>
          <w:highlight w:val="none"/>
        </w:rPr>
        <w:t>》。评审内容见附表。</w:t>
      </w:r>
    </w:p>
    <w:p w14:paraId="5B0B222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color w:val="auto"/>
          <w:szCs w:val="21"/>
          <w:highlight w:val="none"/>
          <w:lang w:val="zh-CN"/>
        </w:rPr>
        <w:t>将每一个评委的评分汇总进行算术平均，得出该投标人的商务、技术评分。</w:t>
      </w:r>
    </w:p>
    <w:p w14:paraId="7806DE7E">
      <w:pPr>
        <w:pStyle w:val="4"/>
        <w:pageBreakBefore w:val="0"/>
        <w:tabs>
          <w:tab w:val="left" w:pos="5235"/>
        </w:tabs>
        <w:kinsoku/>
        <w:wordWrap/>
        <w:overflowPunct/>
        <w:topLinePunct w:val="0"/>
        <w:autoSpaceDE/>
        <w:autoSpaceDN/>
        <w:bidi w:val="0"/>
        <w:adjustRightInd/>
        <w:spacing w:before="0" w:after="0" w:line="480" w:lineRule="exact"/>
        <w:ind w:left="0" w:right="0" w:rightChars="0"/>
        <w:rPr>
          <w:rFonts w:hint="eastAsia" w:ascii="宋体" w:hAnsi="宋体" w:eastAsia="宋体" w:cs="宋体"/>
          <w:b/>
          <w:bCs/>
          <w:color w:val="auto"/>
          <w:sz w:val="21"/>
          <w:szCs w:val="21"/>
          <w:highlight w:val="none"/>
        </w:rPr>
      </w:pPr>
      <w:bookmarkStart w:id="113" w:name="_Toc1247"/>
      <w:bookmarkEnd w:id="113"/>
      <w:bookmarkStart w:id="114" w:name="_Toc1431"/>
      <w:r>
        <w:rPr>
          <w:rFonts w:hint="eastAsia" w:ascii="宋体" w:hAnsi="宋体" w:eastAsia="宋体" w:cs="宋体"/>
          <w:b/>
          <w:bCs/>
          <w:color w:val="auto"/>
          <w:sz w:val="21"/>
          <w:szCs w:val="21"/>
          <w:highlight w:val="none"/>
        </w:rPr>
        <w:t>2.5.价格评定</w:t>
      </w:r>
      <w:bookmarkEnd w:id="114"/>
    </w:p>
    <w:p w14:paraId="2CF2C7AC">
      <w:pPr>
        <w:pageBreakBefore w:val="0"/>
        <w:tabs>
          <w:tab w:val="left" w:pos="425"/>
          <w:tab w:val="left" w:pos="624"/>
          <w:tab w:val="left" w:pos="735"/>
        </w:tabs>
        <w:kinsoku/>
        <w:wordWrap/>
        <w:overflowPunct/>
        <w:topLinePunct w:val="0"/>
        <w:autoSpaceDE/>
        <w:autoSpaceDN/>
        <w:bidi w:val="0"/>
        <w:adjustRightInd/>
        <w:spacing w:line="480" w:lineRule="exact"/>
        <w:ind w:left="0" w:right="0" w:rightChars="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2.5.1.价格核准：评委对有效投标人的详细报价进行复核，复核原则为：</w:t>
      </w:r>
    </w:p>
    <w:p w14:paraId="1C8E709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投标文件中开标一览表（报价表）内容与投标文件中明细表内容不一致的，以开标一览表（报价表）为准。投标文件的大写金额和小写金额不一致的，以大写金额为准；总价金额与按单价计算汇总金额不一致的，以单价计算汇总金额为准；单价金额小数点有明显错位的，应以总价为准，并修改单价；</w:t>
      </w:r>
    </w:p>
    <w:p w14:paraId="30331E1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2）对投标货物或服务的关键、主要内容，投标人报价漏项的，作非实质性</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处理；</w:t>
      </w:r>
    </w:p>
    <w:p w14:paraId="31E5952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3）对投标货物或服务的非关键、非主要内容，投标人报价漏项的，评标时将要求漏项的投标人予以澄清，但该澄清不作为评标的依据；</w:t>
      </w:r>
    </w:p>
    <w:p w14:paraId="63D8C351">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4）对非关键、非主要内容的费用，如果投标人是另行单独报价的，评标时也</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另行计入其评标价；</w:t>
      </w:r>
    </w:p>
    <w:p w14:paraId="416E0A7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color w:val="auto"/>
          <w:szCs w:val="21"/>
          <w:highlight w:val="none"/>
        </w:rPr>
        <w:t>5）对数量的评审，以第二部分《采购需求》所明示数量为准；《采购需求》未明示的，由评标委员会以其专业知识判断，必要时参考投标人的澄清文件决定；</w:t>
      </w:r>
    </w:p>
    <w:p w14:paraId="6401BD5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2.5.2.价格评分：</w:t>
      </w:r>
      <w:r>
        <w:rPr>
          <w:rFonts w:hint="eastAsia" w:ascii="宋体" w:hAnsi="宋体" w:eastAsia="宋体" w:cs="宋体"/>
          <w:b/>
          <w:i w:val="0"/>
          <w:color w:val="auto"/>
          <w:kern w:val="0"/>
          <w:sz w:val="21"/>
          <w:szCs w:val="21"/>
          <w:highlight w:val="none"/>
          <w:u w:val="none"/>
          <w:lang w:val="en-US" w:eastAsia="zh-CN" w:bidi="ar"/>
        </w:rPr>
        <w:t>根据投标人的投标报价为依据。</w:t>
      </w:r>
    </w:p>
    <w:p w14:paraId="4CA7CF72">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.综合评分的计算</w:t>
      </w:r>
    </w:p>
    <w:p w14:paraId="138889E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.1.综合评分=技术得分+商务得分</w:t>
      </w:r>
      <w:r>
        <w:rPr>
          <w:rFonts w:hint="eastAsia" w:ascii="宋体" w:hAnsi="宋体" w:eastAsia="宋体" w:cs="宋体"/>
          <w:color w:val="auto"/>
          <w:szCs w:val="21"/>
          <w:highlight w:val="none"/>
          <w:lang w:val="en-US" w:eastAsia="zh-CN"/>
        </w:rPr>
        <w:t>+价格得分</w:t>
      </w:r>
      <w:r>
        <w:rPr>
          <w:rFonts w:hint="eastAsia" w:ascii="宋体" w:hAnsi="宋体" w:eastAsia="宋体" w:cs="宋体"/>
          <w:color w:val="auto"/>
          <w:szCs w:val="21"/>
          <w:highlight w:val="none"/>
        </w:rPr>
        <w:t>。</w:t>
      </w:r>
    </w:p>
    <w:p w14:paraId="6A7934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.2.各项得分按四舍五入原则精确到小数点后两位。将综合评分由高到低顺序排列。评标总得分相同的，名次由评标委员会与招标人商讨确定。</w:t>
      </w:r>
      <w:r>
        <w:rPr>
          <w:rFonts w:hint="eastAsia" w:ascii="宋体" w:hAnsi="宋体" w:eastAsia="宋体" w:cs="宋体"/>
          <w:color w:val="auto"/>
          <w:szCs w:val="21"/>
          <w:highlight w:val="none"/>
          <w:lang w:val="en-US" w:eastAsia="zh-CN"/>
        </w:rPr>
        <w:t>本次项目产生3名中标候选人，</w:t>
      </w:r>
      <w:r>
        <w:rPr>
          <w:rFonts w:hint="eastAsia" w:ascii="宋体" w:hAnsi="宋体" w:eastAsia="宋体" w:cs="宋体"/>
          <w:color w:val="auto"/>
          <w:szCs w:val="21"/>
          <w:highlight w:val="none"/>
        </w:rPr>
        <w:t>评委会按上述排列向招标人推荐综合总得分第一名为</w:t>
      </w:r>
      <w:r>
        <w:rPr>
          <w:rFonts w:hint="eastAsia" w:ascii="宋体" w:hAnsi="宋体" w:eastAsia="宋体" w:cs="宋体"/>
          <w:color w:val="auto"/>
          <w:szCs w:val="21"/>
          <w:highlight w:val="none"/>
          <w:lang w:val="en-US" w:eastAsia="zh-CN"/>
        </w:rPr>
        <w:t>第一</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，第二名为第二</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名为第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依此类推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第一中标候选人不得随意放弃中标资格。</w:t>
      </w:r>
      <w:r>
        <w:rPr>
          <w:rFonts w:hint="eastAsia" w:ascii="宋体" w:hAnsi="宋体" w:eastAsia="宋体" w:cs="宋体"/>
          <w:caps w:val="0"/>
          <w:color w:val="auto"/>
          <w:szCs w:val="21"/>
          <w:highlight w:val="none"/>
        </w:rPr>
        <w:t>综合得分相同的，按下列顺序比较确定：技术评分（由高到低）。如以上都相同的，名次由</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抽签确定。</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按上述</w:t>
      </w:r>
      <w:r>
        <w:rPr>
          <w:rFonts w:hint="eastAsia" w:ascii="宋体" w:hAnsi="宋体" w:eastAsia="宋体" w:cs="宋体"/>
          <w:caps w:val="0"/>
          <w:color w:val="auto"/>
          <w:szCs w:val="21"/>
          <w:highlight w:val="none"/>
          <w:lang w:eastAsia="zh-CN"/>
        </w:rPr>
        <w:t>排序</w:t>
      </w:r>
      <w:r>
        <w:rPr>
          <w:rFonts w:hint="eastAsia" w:ascii="宋体" w:hAnsi="宋体" w:eastAsia="宋体" w:cs="宋体"/>
          <w:caps w:val="0"/>
          <w:color w:val="auto"/>
          <w:szCs w:val="21"/>
          <w:highlight w:val="none"/>
        </w:rPr>
        <w:t>向</w:t>
      </w:r>
      <w:r>
        <w:rPr>
          <w:rFonts w:hint="eastAsia" w:ascii="宋体" w:hAnsi="宋体" w:eastAsia="宋体" w:cs="宋体"/>
          <w:caps w:val="0"/>
          <w:color w:val="auto"/>
          <w:szCs w:val="21"/>
          <w:highlight w:val="none"/>
          <w:lang w:val="en-US" w:eastAsia="zh-CN"/>
        </w:rPr>
        <w:t>招标</w:t>
      </w:r>
      <w:r>
        <w:rPr>
          <w:rFonts w:hint="eastAsia" w:ascii="宋体" w:hAnsi="宋体" w:eastAsia="宋体" w:cs="宋体"/>
          <w:caps w:val="0"/>
          <w:color w:val="auto"/>
          <w:szCs w:val="21"/>
          <w:highlight w:val="none"/>
        </w:rPr>
        <w:t>人推荐综合总得分第一名为</w:t>
      </w:r>
      <w:r>
        <w:rPr>
          <w:rFonts w:hint="eastAsia" w:ascii="宋体" w:hAnsi="宋体" w:eastAsia="宋体" w:cs="宋体"/>
          <w:caps w:val="0"/>
          <w:color w:val="auto"/>
          <w:szCs w:val="21"/>
          <w:highlight w:val="none"/>
          <w:lang w:val="en-US" w:eastAsia="zh-CN"/>
        </w:rPr>
        <w:t>中标人</w:t>
      </w:r>
      <w:r>
        <w:rPr>
          <w:rFonts w:hint="eastAsia" w:ascii="宋体" w:hAnsi="宋体" w:eastAsia="宋体" w:cs="宋体"/>
          <w:caps w:val="0"/>
          <w:color w:val="auto"/>
          <w:szCs w:val="21"/>
          <w:highlight w:val="none"/>
        </w:rPr>
        <w:t>，其余依次为</w:t>
      </w:r>
      <w:r>
        <w:rPr>
          <w:rFonts w:hint="eastAsia" w:ascii="宋体" w:hAnsi="宋体" w:eastAsia="宋体" w:cs="宋体"/>
          <w:caps w:val="0"/>
          <w:color w:val="auto"/>
          <w:szCs w:val="21"/>
          <w:highlight w:val="none"/>
          <w:lang w:val="en-US" w:eastAsia="zh-CN"/>
        </w:rPr>
        <w:t>中标</w:t>
      </w:r>
      <w:r>
        <w:rPr>
          <w:rFonts w:hint="eastAsia" w:ascii="宋体" w:hAnsi="宋体" w:eastAsia="宋体" w:cs="宋体"/>
          <w:caps w:val="0"/>
          <w:color w:val="auto"/>
          <w:szCs w:val="21"/>
          <w:highlight w:val="none"/>
        </w:rPr>
        <w:t>备选</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w:t>
      </w:r>
    </w:p>
    <w:p w14:paraId="1C4F1E7B">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115" w:name="_Toc101775130"/>
      <w:bookmarkEnd w:id="115"/>
      <w:bookmarkStart w:id="116" w:name="_Toc101843130"/>
      <w:bookmarkEnd w:id="116"/>
      <w:bookmarkStart w:id="117" w:name="_Toc17018"/>
      <w:bookmarkEnd w:id="117"/>
      <w:bookmarkStart w:id="118" w:name="_Toc101771377"/>
      <w:bookmarkEnd w:id="118"/>
      <w:bookmarkStart w:id="119" w:name="_Toc101951268"/>
      <w:bookmarkEnd w:id="119"/>
      <w:bookmarkStart w:id="120" w:name="_Toc264203537"/>
      <w:bookmarkEnd w:id="120"/>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 xml:space="preserve"> 项目废标处理</w:t>
      </w:r>
    </w:p>
    <w:p w14:paraId="46479A22">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根据相关法律法规规定，出现下列情况将作废标处理：</w:t>
      </w:r>
    </w:p>
    <w:p w14:paraId="0AF45912">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21" w:name="_Toc334795470"/>
      <w:bookmarkEnd w:id="121"/>
      <w:r>
        <w:rPr>
          <w:rFonts w:hint="eastAsia" w:ascii="宋体" w:hAnsi="宋体" w:eastAsia="宋体" w:cs="宋体"/>
          <w:color w:val="auto"/>
          <w:szCs w:val="21"/>
          <w:highlight w:val="none"/>
        </w:rPr>
        <w:t>2.7.1.符合专业资格条件的投标人或者对招标文件作实质响应的有效投标人不足三家的；</w:t>
      </w:r>
    </w:p>
    <w:p w14:paraId="11D00E5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22" w:name="_Toc334795471"/>
      <w:bookmarkEnd w:id="122"/>
      <w:r>
        <w:rPr>
          <w:rFonts w:hint="eastAsia" w:ascii="宋体" w:hAnsi="宋体" w:eastAsia="宋体" w:cs="宋体"/>
          <w:color w:val="auto"/>
          <w:szCs w:val="21"/>
          <w:highlight w:val="none"/>
        </w:rPr>
        <w:t>2.7.2 出现影响招标公正的违法、违规行为的；</w:t>
      </w:r>
    </w:p>
    <w:p w14:paraId="0CDBFAE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23" w:name="_Toc334795472"/>
      <w:bookmarkEnd w:id="123"/>
      <w:r>
        <w:rPr>
          <w:rFonts w:hint="eastAsia" w:ascii="宋体" w:hAnsi="宋体" w:eastAsia="宋体" w:cs="宋体"/>
          <w:color w:val="auto"/>
          <w:szCs w:val="21"/>
          <w:highlight w:val="none"/>
        </w:rPr>
        <w:t>2.7.3 因重大变故，招标任务取消的。</w:t>
      </w:r>
    </w:p>
    <w:p w14:paraId="28086B07">
      <w:pPr>
        <w:spacing w:beforeAutospacing="0" w:afterAutospacing="0" w:line="360" w:lineRule="auto"/>
        <w:ind w:right="678" w:rightChars="323"/>
        <w:rPr>
          <w:rFonts w:hint="eastAsia" w:ascii="宋体" w:hAnsi="宋体" w:eastAsia="宋体" w:cs="宋体"/>
          <w:b/>
          <w:bCs/>
          <w:color w:val="auto"/>
          <w:kern w:val="0"/>
          <w:szCs w:val="21"/>
          <w:highlight w:val="none"/>
        </w:rPr>
      </w:pPr>
      <w:bookmarkStart w:id="124" w:name="_Toc98579607"/>
      <w:bookmarkEnd w:id="124"/>
      <w:bookmarkStart w:id="125" w:name="_Toc101951269"/>
      <w:bookmarkEnd w:id="125"/>
      <w:bookmarkStart w:id="126" w:name="_Toc98579008"/>
      <w:bookmarkEnd w:id="126"/>
      <w:bookmarkStart w:id="127" w:name="_Toc98580290"/>
      <w:bookmarkEnd w:id="127"/>
      <w:bookmarkStart w:id="128" w:name="_Toc50276154"/>
      <w:bookmarkEnd w:id="128"/>
      <w:bookmarkStart w:id="129" w:name="_Toc42394670"/>
      <w:bookmarkEnd w:id="129"/>
      <w:bookmarkStart w:id="130" w:name="_Toc41723933"/>
      <w:bookmarkEnd w:id="130"/>
      <w:bookmarkStart w:id="131" w:name="_Toc101771378"/>
      <w:bookmarkEnd w:id="131"/>
      <w:bookmarkStart w:id="132" w:name="_Toc98579066"/>
      <w:bookmarkEnd w:id="132"/>
      <w:bookmarkStart w:id="133" w:name="_Toc101775131"/>
      <w:bookmarkEnd w:id="133"/>
      <w:bookmarkStart w:id="134" w:name="_Toc42313169"/>
      <w:bookmarkEnd w:id="134"/>
      <w:bookmarkStart w:id="135" w:name="_Toc101843131"/>
      <w:bookmarkEnd w:id="135"/>
      <w:bookmarkStart w:id="136" w:name="_Toc42394514"/>
      <w:bookmarkEnd w:id="136"/>
      <w:bookmarkStart w:id="137" w:name="_Toc41884703"/>
      <w:bookmarkEnd w:id="137"/>
      <w:bookmarkStart w:id="138" w:name="_Toc264203538"/>
      <w:bookmarkEnd w:id="138"/>
      <w:r>
        <w:rPr>
          <w:rFonts w:hint="eastAsia" w:ascii="宋体" w:hAnsi="宋体" w:eastAsia="宋体" w:cs="宋体"/>
          <w:b/>
          <w:bCs/>
          <w:color w:val="auto"/>
          <w:kern w:val="0"/>
          <w:szCs w:val="21"/>
          <w:highlight w:val="none"/>
        </w:rPr>
        <w:t>3. 定标</w:t>
      </w:r>
    </w:p>
    <w:p w14:paraId="7685E8E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39" w:name="_Toc334795474"/>
      <w:bookmarkEnd w:id="139"/>
      <w:r>
        <w:rPr>
          <w:rFonts w:hint="eastAsia" w:ascii="宋体" w:hAnsi="宋体" w:eastAsia="宋体" w:cs="宋体"/>
          <w:color w:val="auto"/>
          <w:szCs w:val="21"/>
          <w:highlight w:val="none"/>
        </w:rPr>
        <w:t>3.1.招标人根据评标报告确定的中标候选人名单顺序确定</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w:t>
      </w:r>
    </w:p>
    <w:p w14:paraId="6702D62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3.2.招标人确认结果后，招标代理机构将中标结果以网上公告的方式通知所有投标人。</w:t>
      </w:r>
    </w:p>
    <w:p w14:paraId="4FFDFE0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40" w:name="_Toc334795477"/>
      <w:bookmarkEnd w:id="140"/>
      <w:r>
        <w:rPr>
          <w:rFonts w:hint="eastAsia" w:ascii="宋体" w:hAnsi="宋体" w:eastAsia="宋体" w:cs="宋体"/>
          <w:color w:val="auto"/>
          <w:szCs w:val="21"/>
          <w:highlight w:val="none"/>
        </w:rPr>
        <w:t>3.3.中标结果公告后，招标代理机构以书面形式向</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发出《</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招标服务费通知书》。</w:t>
      </w:r>
    </w:p>
    <w:p w14:paraId="006D2D4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41" w:name="_Toc334795478"/>
      <w:bookmarkEnd w:id="14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凭招标代理机构开具的《招标代理服务费缴费通知书》到银行办理缴费手续，凭银行回单原件到招标代理机构开具发票，领取《中标通知书》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《中标通知书》将作为授予合同资格的唯一合法依据。</w:t>
      </w:r>
    </w:p>
    <w:p w14:paraId="301563D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42" w:name="_Toc334795479"/>
      <w:bookmarkEnd w:id="142"/>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放弃中标的，应当依法承担法律责任。</w:t>
      </w:r>
    </w:p>
    <w:p w14:paraId="33D2AFF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3.6.凡发现</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有下列行为之一的，其中标无效，并移交招标监督管理部门依法处理。</w:t>
      </w:r>
    </w:p>
    <w:p w14:paraId="2AA412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1）提供虚假材料谋取中标的；</w:t>
      </w:r>
    </w:p>
    <w:p w14:paraId="723C34C5">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2）采取不正当手段诋毁、排挤其他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p>
    <w:p w14:paraId="63DA80CA">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3）与招标人、其他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或者招标代理机构工作人员恶意串通的；</w:t>
      </w:r>
    </w:p>
    <w:p w14:paraId="485A605C">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4）向招标人、招标代理机构工作人员行贿或者提供其他不正当利益的；</w:t>
      </w:r>
    </w:p>
    <w:p w14:paraId="1E04F751">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过程中与招标人进行协商谈判的；</w:t>
      </w:r>
    </w:p>
    <w:p w14:paraId="22CB19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6）拒绝有关部门监督检查或者提供虚假情况的；</w:t>
      </w:r>
    </w:p>
    <w:p w14:paraId="3C018EE1">
      <w:pPr>
        <w:tabs>
          <w:tab w:val="left" w:pos="425"/>
          <w:tab w:val="left" w:pos="624"/>
          <w:tab w:val="left" w:pos="735"/>
        </w:tabs>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7）有</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规定的其他损害招标人利益和社会公共利益情形的。</w:t>
      </w:r>
    </w:p>
    <w:p w14:paraId="76349127">
      <w:pPr>
        <w:pStyle w:val="174"/>
        <w:numPr>
          <w:ilvl w:val="0"/>
          <w:numId w:val="0"/>
        </w:numPr>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评审附表</w:t>
      </w:r>
    </w:p>
    <w:p w14:paraId="222024DF">
      <w:pPr>
        <w:spacing w:beforeAutospacing="0" w:afterAutospacing="0" w:line="360" w:lineRule="auto"/>
        <w:ind w:right="678" w:rightChars="323" w:firstLine="632" w:firstLineChars="3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本次评审总分值为100分，具体</w:t>
      </w:r>
      <w:r>
        <w:rPr>
          <w:rFonts w:hint="eastAsia" w:ascii="宋体" w:hAnsi="宋体" w:cs="宋体"/>
          <w:b/>
          <w:bCs/>
          <w:color w:val="auto"/>
          <w:kern w:val="0"/>
          <w:sz w:val="21"/>
          <w:szCs w:val="21"/>
          <w:highlight w:val="none"/>
          <w:lang w:val="en-US" w:eastAsia="zh-CN"/>
        </w:rPr>
        <w:t>详见</w:t>
      </w:r>
      <w:r>
        <w:rPr>
          <w:rFonts w:hint="eastAsia" w:ascii="Calibri" w:hAnsi="Calibri"/>
          <w:b/>
          <w:bCs/>
          <w:color w:val="auto"/>
          <w:sz w:val="21"/>
          <w:szCs w:val="21"/>
          <w:highlight w:val="none"/>
        </w:rPr>
        <w:t>综合评分表</w:t>
      </w:r>
      <w:r>
        <w:rPr>
          <w:rFonts w:hint="eastAsia" w:ascii="Calibri" w:hAnsi="Calibri"/>
          <w:b/>
          <w:bCs/>
          <w:color w:val="auto"/>
          <w:sz w:val="21"/>
          <w:szCs w:val="21"/>
          <w:highlight w:val="none"/>
          <w:lang w:eastAsia="zh-CN"/>
        </w:rPr>
        <w:t>，</w:t>
      </w:r>
      <w:r>
        <w:rPr>
          <w:rFonts w:hint="eastAsia" w:ascii="宋体" w:hAnsi="宋体" w:eastAsia="宋体" w:cs="宋体"/>
          <w:b/>
          <w:bCs/>
          <w:color w:val="auto"/>
          <w:kern w:val="0"/>
          <w:sz w:val="21"/>
          <w:szCs w:val="21"/>
          <w:highlight w:val="none"/>
        </w:rPr>
        <w:t>评分分值保留小数点后两位小数</w:t>
      </w:r>
      <w:r>
        <w:rPr>
          <w:rFonts w:hint="eastAsia" w:ascii="宋体" w:hAnsi="宋体" w:cs="宋体"/>
          <w:b/>
          <w:bCs/>
          <w:color w:val="auto"/>
          <w:kern w:val="0"/>
          <w:sz w:val="21"/>
          <w:szCs w:val="21"/>
          <w:highlight w:val="none"/>
          <w:lang w:eastAsia="zh-CN"/>
        </w:rPr>
        <w:t>。</w:t>
      </w:r>
    </w:p>
    <w:p w14:paraId="7C3305C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FBE95E9">
      <w:pPr>
        <w:spacing w:line="360" w:lineRule="auto"/>
        <w:ind w:firstLine="48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附</w:t>
      </w:r>
      <w:r>
        <w:rPr>
          <w:rFonts w:hint="eastAsia" w:ascii="宋体" w:hAnsi="宋体" w:eastAsia="宋体" w:cs="宋体"/>
          <w:b/>
          <w:bCs/>
          <w:color w:val="auto"/>
          <w:sz w:val="21"/>
          <w:szCs w:val="21"/>
          <w:highlight w:val="none"/>
        </w:rPr>
        <w:t>表一</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资格性审查表：</w:t>
      </w:r>
    </w:p>
    <w:tbl>
      <w:tblPr>
        <w:tblStyle w:val="47"/>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2100"/>
        <w:gridCol w:w="5850"/>
      </w:tblGrid>
      <w:tr w14:paraId="2485E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0CA91B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950" w:type="dxa"/>
            <w:gridSpan w:val="2"/>
            <w:noWrap w:val="0"/>
            <w:vAlign w:val="top"/>
          </w:tcPr>
          <w:p w14:paraId="733E7F0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资格审查内容</w:t>
            </w:r>
          </w:p>
        </w:tc>
      </w:tr>
      <w:tr w14:paraId="6EDED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FB165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0" w:type="dxa"/>
            <w:noWrap w:val="0"/>
            <w:vAlign w:val="top"/>
          </w:tcPr>
          <w:p w14:paraId="3F4DDE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850" w:type="dxa"/>
            <w:noWrap w:val="0"/>
            <w:vAlign w:val="top"/>
          </w:tcPr>
          <w:p w14:paraId="4CBAFF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7CEB6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046604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0" w:type="dxa"/>
            <w:noWrap w:val="0"/>
            <w:vAlign w:val="top"/>
          </w:tcPr>
          <w:p w14:paraId="2B64F46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850" w:type="dxa"/>
            <w:noWrap w:val="0"/>
            <w:vAlign w:val="top"/>
          </w:tcPr>
          <w:p w14:paraId="456E1A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tc>
      </w:tr>
      <w:tr w14:paraId="40F01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4FED4D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00" w:type="dxa"/>
            <w:noWrap w:val="0"/>
            <w:vAlign w:val="top"/>
          </w:tcPr>
          <w:p w14:paraId="0298D5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5850" w:type="dxa"/>
            <w:noWrap w:val="0"/>
            <w:vAlign w:val="top"/>
          </w:tcPr>
          <w:p w14:paraId="2561CF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 。</w:t>
            </w:r>
          </w:p>
        </w:tc>
      </w:tr>
      <w:tr w14:paraId="620FC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37AF3F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00" w:type="dxa"/>
            <w:noWrap w:val="0"/>
            <w:vAlign w:val="top"/>
          </w:tcPr>
          <w:p w14:paraId="119567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5850" w:type="dxa"/>
            <w:noWrap w:val="0"/>
            <w:vAlign w:val="top"/>
          </w:tcPr>
          <w:p w14:paraId="439835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tc>
      </w:tr>
      <w:tr w14:paraId="4EA94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59540B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00" w:type="dxa"/>
            <w:noWrap w:val="0"/>
            <w:vAlign w:val="top"/>
          </w:tcPr>
          <w:p w14:paraId="400B45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5850" w:type="dxa"/>
            <w:noWrap w:val="0"/>
            <w:vAlign w:val="top"/>
          </w:tcPr>
          <w:p w14:paraId="04388C8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在响应文件中提供《资格条件承诺函》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重大违法记录，是指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DA28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15BE10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00" w:type="dxa"/>
            <w:shd w:val="clear" w:color="auto" w:fill="auto"/>
            <w:noWrap w:val="0"/>
            <w:vAlign w:val="top"/>
          </w:tcPr>
          <w:p w14:paraId="14B6B7C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信用记录</w:t>
            </w:r>
          </w:p>
        </w:tc>
        <w:tc>
          <w:tcPr>
            <w:tcW w:w="5850" w:type="dxa"/>
            <w:shd w:val="clear" w:color="auto" w:fill="auto"/>
            <w:noWrap w:val="0"/>
            <w:vAlign w:val="top"/>
          </w:tcPr>
          <w:p w14:paraId="79A7064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需提供相关证明资料）。</w:t>
            </w:r>
          </w:p>
        </w:tc>
      </w:tr>
      <w:tr w14:paraId="0354B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44AF6F9B">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100" w:type="dxa"/>
            <w:shd w:val="clear" w:color="auto" w:fill="auto"/>
            <w:noWrap w:val="0"/>
            <w:vAlign w:val="top"/>
          </w:tcPr>
          <w:p w14:paraId="7F6AFC6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必须符合法律、行政法规规定的其他条件</w:t>
            </w:r>
          </w:p>
        </w:tc>
        <w:tc>
          <w:tcPr>
            <w:tcW w:w="5850" w:type="dxa"/>
            <w:shd w:val="clear" w:color="auto" w:fill="auto"/>
            <w:noWrap w:val="0"/>
            <w:vAlign w:val="top"/>
          </w:tcPr>
          <w:p w14:paraId="2D06F8EB">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单位负责人为同一人或者存在直接控股、 管理关系的不同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，不得同时参加本采购项目（或采购包） 投标（响应）。为本项目提供整体设计、规范编制或者项目管理、监理、检测等服务的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，不得再参与本项目投标（响应）。投标（报价）函相关承诺要求内容。</w:t>
            </w:r>
          </w:p>
        </w:tc>
      </w:tr>
      <w:tr w14:paraId="7626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733B8531">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2100" w:type="dxa"/>
            <w:noWrap w:val="0"/>
            <w:vAlign w:val="top"/>
          </w:tcPr>
          <w:p w14:paraId="5B0F79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营业执照经营范围</w:t>
            </w:r>
          </w:p>
        </w:tc>
        <w:tc>
          <w:tcPr>
            <w:tcW w:w="5850" w:type="dxa"/>
            <w:noWrap w:val="0"/>
            <w:vAlign w:val="top"/>
          </w:tcPr>
          <w:p w14:paraId="5D3B1D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具有独立法人资格，营业执照经营范围包含体育场馆运营</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体育赛事组织或相关体育服务内容（提供营业执照副本复印件加盖公章）。</w:t>
            </w:r>
          </w:p>
        </w:tc>
      </w:tr>
      <w:tr w14:paraId="0A9B8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AD60CB9">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100" w:type="dxa"/>
            <w:shd w:val="clear" w:color="auto" w:fill="auto"/>
            <w:noWrap w:val="0"/>
            <w:vAlign w:val="top"/>
          </w:tcPr>
          <w:p w14:paraId="7ACC38B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承诺函</w:t>
            </w:r>
          </w:p>
        </w:tc>
        <w:tc>
          <w:tcPr>
            <w:tcW w:w="5850" w:type="dxa"/>
            <w:shd w:val="clear" w:color="auto" w:fill="auto"/>
            <w:noWrap w:val="0"/>
            <w:vAlign w:val="top"/>
          </w:tcPr>
          <w:p w14:paraId="0A029AE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承诺按要求完成改造并接受全程监督，同意本招标方案及后续合同约定的全部条款（提供书面承诺函）。</w:t>
            </w:r>
          </w:p>
        </w:tc>
      </w:tr>
    </w:tbl>
    <w:p w14:paraId="56F50070">
      <w:pPr>
        <w:rPr>
          <w:color w:val="auto"/>
          <w:highlight w:val="none"/>
        </w:rPr>
      </w:pPr>
      <w:r>
        <w:rPr>
          <w:color w:val="auto"/>
          <w:highlight w:val="none"/>
        </w:rPr>
        <w:br w:type="page"/>
      </w:r>
    </w:p>
    <w:p w14:paraId="3F7A96D4">
      <w:pPr>
        <w:ind w:firstLine="480"/>
        <w:rPr>
          <w:b/>
          <w:bCs/>
          <w:color w:val="auto"/>
          <w:highlight w:val="none"/>
        </w:rPr>
      </w:pPr>
      <w:r>
        <w:rPr>
          <w:rFonts w:hint="eastAsia"/>
          <w:b/>
          <w:bCs/>
          <w:color w:val="auto"/>
          <w:highlight w:val="none"/>
          <w:lang w:val="en-US" w:eastAsia="zh-CN"/>
        </w:rPr>
        <w:t>附</w:t>
      </w:r>
      <w:r>
        <w:rPr>
          <w:b/>
          <w:bCs/>
          <w:color w:val="auto"/>
          <w:highlight w:val="none"/>
        </w:rPr>
        <w:t>表二</w:t>
      </w:r>
      <w:r>
        <w:rPr>
          <w:rFonts w:hint="eastAsia"/>
          <w:b/>
          <w:bCs/>
          <w:color w:val="auto"/>
          <w:highlight w:val="none"/>
          <w:lang w:val="en-US" w:eastAsia="zh-CN"/>
        </w:rPr>
        <w:t xml:space="preserve"> </w:t>
      </w:r>
      <w:r>
        <w:rPr>
          <w:b/>
          <w:bCs/>
          <w:color w:val="auto"/>
          <w:highlight w:val="none"/>
        </w:rPr>
        <w:t>符合性审查表：</w:t>
      </w:r>
    </w:p>
    <w:tbl>
      <w:tblPr>
        <w:tblStyle w:val="47"/>
        <w:tblW w:w="87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3399"/>
        <w:gridCol w:w="4731"/>
      </w:tblGrid>
      <w:tr w14:paraId="661E4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348797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99" w:type="dxa"/>
            <w:noWrap w:val="0"/>
            <w:vAlign w:val="center"/>
          </w:tcPr>
          <w:p w14:paraId="364855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4731" w:type="dxa"/>
            <w:noWrap w:val="0"/>
            <w:vAlign w:val="center"/>
          </w:tcPr>
          <w:p w14:paraId="1D74F0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14:paraId="2DA27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3027A5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99" w:type="dxa"/>
            <w:noWrap w:val="0"/>
            <w:vAlign w:val="center"/>
          </w:tcPr>
          <w:p w14:paraId="344B7D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签署盖章</w:t>
            </w:r>
          </w:p>
        </w:tc>
        <w:tc>
          <w:tcPr>
            <w:tcW w:w="4731" w:type="dxa"/>
            <w:noWrap w:val="0"/>
            <w:vAlign w:val="center"/>
          </w:tcPr>
          <w:p w14:paraId="1B498D2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响应文件按招标文件要求签署、盖章。</w:t>
            </w:r>
          </w:p>
        </w:tc>
      </w:tr>
      <w:tr w14:paraId="679D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2D7ED0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399" w:type="dxa"/>
            <w:noWrap w:val="0"/>
            <w:vAlign w:val="center"/>
          </w:tcPr>
          <w:p w14:paraId="2672F5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p>
        </w:tc>
        <w:tc>
          <w:tcPr>
            <w:tcW w:w="4731" w:type="dxa"/>
            <w:noWrap w:val="0"/>
            <w:vAlign w:val="center"/>
          </w:tcPr>
          <w:p w14:paraId="65A0D338">
            <w:pPr>
              <w:spacing w:line="360" w:lineRule="auto"/>
              <w:jc w:val="left"/>
              <w:rPr>
                <w:rFonts w:hint="eastAsia"/>
                <w:color w:val="auto"/>
                <w:highlight w:val="none"/>
              </w:rPr>
            </w:pPr>
            <w:r>
              <w:rPr>
                <w:rFonts w:hint="eastAsia"/>
                <w:color w:val="auto"/>
                <w:highlight w:val="none"/>
              </w:rPr>
              <w:t>投标报价是固定价且是唯一的，未超过本项目的预算金额。</w:t>
            </w:r>
          </w:p>
        </w:tc>
      </w:tr>
      <w:tr w14:paraId="02023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23FCEFD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3399" w:type="dxa"/>
            <w:noWrap w:val="0"/>
            <w:vAlign w:val="center"/>
          </w:tcPr>
          <w:p w14:paraId="43F0F1C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实质性响应</w:t>
            </w:r>
          </w:p>
        </w:tc>
        <w:tc>
          <w:tcPr>
            <w:tcW w:w="4731" w:type="dxa"/>
            <w:noWrap w:val="0"/>
            <w:vAlign w:val="center"/>
          </w:tcPr>
          <w:p w14:paraId="57B7FA69">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响应文件满足招标文件中实质性响应★号条款。</w:t>
            </w:r>
          </w:p>
        </w:tc>
      </w:tr>
      <w:tr w14:paraId="26F3D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6ED7465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3399" w:type="dxa"/>
            <w:noWrap w:val="0"/>
            <w:vAlign w:val="center"/>
          </w:tcPr>
          <w:p w14:paraId="368C7E2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未发现无效其他情形</w:t>
            </w:r>
          </w:p>
        </w:tc>
        <w:tc>
          <w:tcPr>
            <w:tcW w:w="4731" w:type="dxa"/>
            <w:noWrap w:val="0"/>
            <w:vAlign w:val="center"/>
          </w:tcPr>
          <w:p w14:paraId="2EDF170F">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未出现法律、法规和招标文件规定的其他无效情形。</w:t>
            </w:r>
          </w:p>
        </w:tc>
      </w:tr>
    </w:tbl>
    <w:p w14:paraId="58C110C4">
      <w:pPr>
        <w:pStyle w:val="109"/>
        <w:spacing w:beforeAutospacing="0" w:afterAutospacing="0" w:line="360" w:lineRule="auto"/>
        <w:rPr>
          <w:rFonts w:hint="eastAsia" w:ascii="宋体" w:hAnsi="宋体" w:eastAsia="宋体" w:cs="宋体"/>
          <w:b/>
          <w:bCs/>
          <w:color w:val="auto"/>
          <w:szCs w:val="21"/>
          <w:highlight w:val="none"/>
        </w:rPr>
      </w:pPr>
    </w:p>
    <w:p w14:paraId="19E0CEFA">
      <w:pPr>
        <w:pStyle w:val="109"/>
        <w:spacing w:beforeAutospacing="0" w:afterAutospacing="0" w:line="360" w:lineRule="auto"/>
        <w:ind w:firstLine="0"/>
        <w:rPr>
          <w:rFonts w:hint="eastAsia" w:ascii="宋体" w:hAnsi="宋体" w:eastAsia="宋体" w:cs="宋体"/>
          <w:b/>
          <w:bCs/>
          <w:color w:val="auto"/>
          <w:szCs w:val="21"/>
          <w:highlight w:val="none"/>
        </w:rPr>
      </w:pPr>
    </w:p>
    <w:p w14:paraId="41D38EC5">
      <w:pPr>
        <w:pStyle w:val="109"/>
        <w:spacing w:beforeAutospacing="0" w:afterAutospacing="0" w:line="360" w:lineRule="auto"/>
        <w:ind w:firstLine="0"/>
        <w:rPr>
          <w:rFonts w:hint="eastAsia" w:ascii="宋体" w:hAnsi="宋体" w:eastAsia="宋体" w:cs="宋体"/>
          <w:b/>
          <w:bCs/>
          <w:color w:val="auto"/>
          <w:szCs w:val="21"/>
          <w:highlight w:val="none"/>
        </w:rPr>
      </w:pPr>
    </w:p>
    <w:p w14:paraId="18840848">
      <w:pPr>
        <w:pStyle w:val="109"/>
        <w:spacing w:beforeAutospacing="0" w:afterAutospacing="0" w:line="360" w:lineRule="auto"/>
        <w:ind w:firstLine="0"/>
        <w:rPr>
          <w:rFonts w:hint="eastAsia" w:ascii="宋体" w:hAnsi="宋体" w:eastAsia="宋体" w:cs="宋体"/>
          <w:b/>
          <w:bCs/>
          <w:color w:val="auto"/>
          <w:szCs w:val="21"/>
          <w:highlight w:val="none"/>
        </w:rPr>
      </w:pPr>
    </w:p>
    <w:p w14:paraId="57E0D0E0">
      <w:pPr>
        <w:pStyle w:val="4"/>
        <w:jc w:val="center"/>
        <w:rPr>
          <w:rFonts w:hint="eastAsia" w:ascii="宋体" w:hAnsi="宋体" w:eastAsia="宋体" w:cs="宋体"/>
          <w:bCs/>
          <w:color w:val="auto"/>
          <w:szCs w:val="30"/>
          <w:highlight w:val="none"/>
        </w:rPr>
        <w:sectPr>
          <w:pgSz w:w="11905" w:h="16838"/>
          <w:pgMar w:top="1440" w:right="1803" w:bottom="1440" w:left="1803" w:header="283" w:footer="1077" w:gutter="0"/>
          <w:pgNumType w:fmt="decimal"/>
          <w:cols w:space="0" w:num="1"/>
          <w:rtlGutter w:val="0"/>
          <w:docGrid w:type="lines" w:linePitch="317" w:charSpace="0"/>
        </w:sectPr>
      </w:pPr>
    </w:p>
    <w:p w14:paraId="1F086DEA">
      <w:pPr>
        <w:pStyle w:val="19"/>
        <w:jc w:val="left"/>
        <w:rPr>
          <w:rFonts w:hint="eastAsia" w:ascii="宋体" w:hAnsi="宋体" w:cs="宋体"/>
          <w:color w:val="auto"/>
          <w:sz w:val="21"/>
          <w:szCs w:val="21"/>
          <w:highlight w:val="none"/>
        </w:rPr>
      </w:pPr>
      <w:r>
        <w:rPr>
          <w:rFonts w:hint="eastAsia"/>
          <w:b/>
          <w:bCs/>
          <w:color w:val="auto"/>
          <w:sz w:val="21"/>
          <w:szCs w:val="21"/>
          <w:highlight w:val="none"/>
          <w:lang w:val="en-US" w:eastAsia="zh-CN"/>
        </w:rPr>
        <w:t>附</w:t>
      </w:r>
      <w:r>
        <w:rPr>
          <w:b/>
          <w:bCs/>
          <w:color w:val="auto"/>
          <w:sz w:val="21"/>
          <w:szCs w:val="21"/>
          <w:highlight w:val="none"/>
        </w:rPr>
        <w:t>表</w:t>
      </w:r>
      <w:r>
        <w:rPr>
          <w:rFonts w:hint="eastAsia"/>
          <w:b/>
          <w:bCs/>
          <w:color w:val="auto"/>
          <w:sz w:val="21"/>
          <w:szCs w:val="21"/>
          <w:highlight w:val="none"/>
          <w:lang w:val="en-US" w:eastAsia="zh-CN"/>
        </w:rPr>
        <w:t xml:space="preserve">三 </w:t>
      </w:r>
      <w:r>
        <w:rPr>
          <w:rFonts w:hint="eastAsia" w:ascii="Calibri" w:hAnsi="Calibri"/>
          <w:b/>
          <w:bCs/>
          <w:color w:val="auto"/>
          <w:sz w:val="21"/>
          <w:szCs w:val="21"/>
          <w:highlight w:val="none"/>
        </w:rPr>
        <w:t>综合评分表</w:t>
      </w:r>
    </w:p>
    <w:tbl>
      <w:tblPr>
        <w:tblStyle w:val="47"/>
        <w:tblW w:w="88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1186"/>
        <w:gridCol w:w="7066"/>
      </w:tblGrid>
      <w:tr w14:paraId="0C7C6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8" w:hRule="atLeast"/>
          <w:jc w:val="center"/>
        </w:trPr>
        <w:tc>
          <w:tcPr>
            <w:tcW w:w="646" w:type="dxa"/>
            <w:noWrap w:val="0"/>
            <w:vAlign w:val="center"/>
          </w:tcPr>
          <w:p w14:paraId="7EEC6CF1">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8252" w:type="dxa"/>
            <w:gridSpan w:val="2"/>
            <w:noWrap w:val="0"/>
            <w:vAlign w:val="center"/>
          </w:tcPr>
          <w:p w14:paraId="55A70562">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14:paraId="0BE5B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3" w:hRule="atLeast"/>
          <w:jc w:val="center"/>
        </w:trPr>
        <w:tc>
          <w:tcPr>
            <w:tcW w:w="646" w:type="dxa"/>
            <w:noWrap w:val="0"/>
            <w:vAlign w:val="center"/>
          </w:tcPr>
          <w:p w14:paraId="665D3265">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分值构成</w:t>
            </w:r>
          </w:p>
        </w:tc>
        <w:tc>
          <w:tcPr>
            <w:tcW w:w="8252" w:type="dxa"/>
            <w:gridSpan w:val="2"/>
            <w:noWrap w:val="0"/>
            <w:vAlign w:val="center"/>
          </w:tcPr>
          <w:p w14:paraId="3D0D2FF5">
            <w:pP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 xml:space="preserve"> 20 </w:t>
            </w:r>
            <w:r>
              <w:rPr>
                <w:rFonts w:hint="eastAsia" w:ascii="宋体" w:hAnsi="宋体" w:cs="宋体"/>
                <w:color w:val="auto"/>
                <w:sz w:val="21"/>
                <w:szCs w:val="21"/>
                <w:highlight w:val="none"/>
              </w:rPr>
              <w:t>分</w:t>
            </w:r>
          </w:p>
          <w:p w14:paraId="2E7CE860">
            <w:pPr>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 xml:space="preserve"> 60 </w:t>
            </w:r>
            <w:r>
              <w:rPr>
                <w:rFonts w:hint="eastAsia" w:ascii="宋体" w:hAnsi="宋体" w:cs="宋体"/>
                <w:color w:val="auto"/>
                <w:sz w:val="21"/>
                <w:szCs w:val="21"/>
                <w:highlight w:val="none"/>
              </w:rPr>
              <w:t>分</w:t>
            </w:r>
          </w:p>
          <w:p w14:paraId="7634D390">
            <w:pPr>
              <w:rPr>
                <w:rFonts w:hint="eastAsia" w:ascii="宋体" w:hAnsi="宋体" w:cs="宋体"/>
                <w:color w:val="auto"/>
                <w:sz w:val="21"/>
                <w:szCs w:val="21"/>
                <w:highlight w:val="none"/>
              </w:rPr>
            </w:pPr>
            <w:r>
              <w:rPr>
                <w:rFonts w:hint="eastAsia" w:ascii="宋体" w:hAnsi="宋体" w:cs="宋体"/>
                <w:color w:val="auto"/>
                <w:sz w:val="21"/>
                <w:szCs w:val="21"/>
                <w:highlight w:val="none"/>
              </w:rPr>
              <w:t>报价得分</w:t>
            </w:r>
            <w:r>
              <w:rPr>
                <w:rFonts w:hint="eastAsia" w:ascii="宋体" w:hAnsi="宋体" w:cs="宋体"/>
                <w:color w:val="auto"/>
                <w:sz w:val="21"/>
                <w:szCs w:val="21"/>
                <w:highlight w:val="none"/>
                <w:lang w:val="en-US" w:eastAsia="zh-CN"/>
              </w:rPr>
              <w:t xml:space="preserve"> 20 </w:t>
            </w:r>
            <w:r>
              <w:rPr>
                <w:rFonts w:hint="eastAsia" w:ascii="宋体" w:hAnsi="宋体" w:cs="宋体"/>
                <w:color w:val="auto"/>
                <w:sz w:val="21"/>
                <w:szCs w:val="21"/>
                <w:highlight w:val="none"/>
              </w:rPr>
              <w:t>分</w:t>
            </w:r>
          </w:p>
        </w:tc>
      </w:tr>
      <w:tr w14:paraId="7BE3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 w:hRule="atLeast"/>
          <w:jc w:val="center"/>
        </w:trPr>
        <w:tc>
          <w:tcPr>
            <w:tcW w:w="646" w:type="dxa"/>
            <w:vMerge w:val="restart"/>
            <w:noWrap w:val="0"/>
            <w:vAlign w:val="center"/>
          </w:tcPr>
          <w:p w14:paraId="34A0DD67">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技术部分</w:t>
            </w:r>
          </w:p>
        </w:tc>
        <w:tc>
          <w:tcPr>
            <w:tcW w:w="1186" w:type="dxa"/>
            <w:noWrap w:val="0"/>
            <w:vAlign w:val="center"/>
          </w:tcPr>
          <w:p w14:paraId="231A5FEE">
            <w:pPr>
              <w:keepNext w:val="0"/>
              <w:keepLines w:val="0"/>
              <w:widowControl/>
              <w:suppressLineNumbers w:val="0"/>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项目实施方案(10分)</w:t>
            </w:r>
          </w:p>
          <w:p w14:paraId="72C05004">
            <w:pPr>
              <w:rPr>
                <w:rFonts w:hint="eastAsia" w:ascii="宋体" w:hAnsi="宋体" w:cs="宋体"/>
                <w:color w:val="auto"/>
                <w:sz w:val="21"/>
                <w:szCs w:val="21"/>
                <w:highlight w:val="none"/>
              </w:rPr>
            </w:pPr>
          </w:p>
        </w:tc>
        <w:tc>
          <w:tcPr>
            <w:tcW w:w="7066" w:type="dxa"/>
            <w:noWrap w:val="0"/>
            <w:vAlign w:val="center"/>
          </w:tcPr>
          <w:p w14:paraId="59740525">
            <w:pPr>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根据各投标人针对本项目提供的项目实施方案（包含但不限于作业内容、作业时间、作业人员安排、作业方法、保障措施等要素）进行评审：</w:t>
            </w:r>
          </w:p>
          <w:p w14:paraId="101F89B1">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173205BC">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00CAA4B4">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（1）实施方案内容全面、具体、完善，作业内容、作业时间、作业人员安排、作业方法、保障措施等内容完善，完全满足或优于采购人需求，得5分；</w:t>
            </w:r>
          </w:p>
          <w:p w14:paraId="5025CBC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（2）实施方案内容较全面、较具体、较完善，作业内容、作业时间、作业人员安排、作业方法、保障措施等内容较完善，较满足采购人需求，得3分；</w:t>
            </w:r>
          </w:p>
          <w:p w14:paraId="6AFB0D01">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（3）实施方案内容基本完善，作业内容、作业时间、作业人员安排、作业方法、保障措施等内基本完善，基本满足采购人需求，得2分。</w:t>
            </w:r>
          </w:p>
          <w:p w14:paraId="14E25AC0">
            <w:pPr>
              <w:numPr>
                <w:ilvl w:val="0"/>
                <w:numId w:val="0"/>
              </w:numPr>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（4）未提供的不得分。</w:t>
            </w:r>
          </w:p>
        </w:tc>
      </w:tr>
      <w:tr w14:paraId="73547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46" w:type="dxa"/>
            <w:vMerge w:val="continue"/>
            <w:noWrap w:val="0"/>
            <w:vAlign w:val="center"/>
          </w:tcPr>
          <w:p w14:paraId="405105A7">
            <w:pPr>
              <w:rPr>
                <w:rFonts w:hint="eastAsia" w:ascii="宋体" w:hAnsi="宋体" w:cs="宋体"/>
                <w:color w:val="auto"/>
                <w:sz w:val="21"/>
                <w:szCs w:val="21"/>
                <w:highlight w:val="none"/>
              </w:rPr>
            </w:pPr>
          </w:p>
        </w:tc>
        <w:tc>
          <w:tcPr>
            <w:tcW w:w="1186" w:type="dxa"/>
            <w:noWrap w:val="0"/>
            <w:vAlign w:val="center"/>
          </w:tcPr>
          <w:p w14:paraId="3A8F0A8D">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应急处置方案(15分)</w:t>
            </w:r>
          </w:p>
        </w:tc>
        <w:tc>
          <w:tcPr>
            <w:tcW w:w="7066" w:type="dxa"/>
            <w:noWrap w:val="0"/>
            <w:vAlign w:val="center"/>
          </w:tcPr>
          <w:p w14:paraId="1AB130AD">
            <w:pPr>
              <w:numPr>
                <w:ilvl w:val="0"/>
                <w:numId w:val="0"/>
              </w:numPr>
              <w:ind w:left="105" w:lef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根据投标人针对本项目提供的应急处置方案（包括但不限于应急服务保障措施、应急服务响应时间、应急设备保障、重大或突发事件的人员配合、控制失误及其他相关服务等）进行评审：</w:t>
            </w:r>
          </w:p>
          <w:p w14:paraId="0B8DA48F">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0F1F5A41">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65D5427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（1）应急服务方案系统、完整、可操作性强，应急服务保障措施、应急服务响应时间、应急设备保障、重大或突发事件的人员配合、控制失误及其他相关服务，完全满足或优于采购人需求，得10分；</w:t>
            </w:r>
          </w:p>
          <w:p w14:paraId="3BC6594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（2）应急服务方案较系统、较完整、可操作性较强，得7分；</w:t>
            </w:r>
          </w:p>
          <w:p w14:paraId="4F2DB686">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（3）应急服务方案较一般、可操作性一般，得4分；</w:t>
            </w:r>
          </w:p>
          <w:p w14:paraId="2832A074">
            <w:pPr>
              <w:numPr>
                <w:ilvl w:val="0"/>
                <w:numId w:val="0"/>
              </w:numPr>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（4）没有提供方案的，得0分。</w:t>
            </w:r>
          </w:p>
        </w:tc>
      </w:tr>
      <w:tr w14:paraId="592A0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46" w:type="dxa"/>
            <w:vMerge w:val="continue"/>
            <w:noWrap w:val="0"/>
            <w:vAlign w:val="center"/>
          </w:tcPr>
          <w:p w14:paraId="6E40548B">
            <w:pPr>
              <w:rPr>
                <w:rFonts w:hint="eastAsia" w:ascii="宋体" w:hAnsi="宋体" w:cs="宋体"/>
                <w:color w:val="auto"/>
                <w:sz w:val="21"/>
                <w:szCs w:val="21"/>
                <w:highlight w:val="none"/>
              </w:rPr>
            </w:pPr>
          </w:p>
        </w:tc>
        <w:tc>
          <w:tcPr>
            <w:tcW w:w="1186" w:type="dxa"/>
            <w:noWrap w:val="0"/>
            <w:vAlign w:val="center"/>
          </w:tcPr>
          <w:p w14:paraId="49A739D7">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人员配置及管理方案(10分)</w:t>
            </w:r>
          </w:p>
        </w:tc>
        <w:tc>
          <w:tcPr>
            <w:tcW w:w="7066" w:type="dxa"/>
            <w:noWrap w:val="0"/>
            <w:vAlign w:val="center"/>
          </w:tcPr>
          <w:p w14:paraId="18EDC391">
            <w:pPr>
              <w:numPr>
                <w:ilvl w:val="0"/>
                <w:numId w:val="0"/>
              </w:numPr>
              <w:ind w:left="105"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根据投标人针对本项目提供的人员配置及管理方案（包括但不限于人员配置方案、人员培训方案、人员规章制度等管理方案等），进行评审：</w:t>
            </w:r>
          </w:p>
          <w:p w14:paraId="0F331ACD">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分，无不得分；</w:t>
            </w:r>
          </w:p>
          <w:p w14:paraId="547D4837">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54ECDE3F">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（1）人员委派数量优于采购需求，人员管理组织结构明确、人员调配科学性、操作性强的，得7分；</w:t>
            </w:r>
          </w:p>
          <w:p w14:paraId="3AAC3D2F">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（2）人员委派数量符合采购需求，人员管理组织结构清晰、人员调配科学性、操作性较强的，得5分；</w:t>
            </w:r>
          </w:p>
          <w:p w14:paraId="6F209139">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（3）人员委派数量符合采购需求，人员管理组织结构简单、人员调配科学性、操作性一般的，得3分；</w:t>
            </w:r>
          </w:p>
          <w:p w14:paraId="0E679910">
            <w:pPr>
              <w:numPr>
                <w:ilvl w:val="0"/>
                <w:numId w:val="0"/>
              </w:numPr>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（4）未提供方案的，得0分。</w:t>
            </w:r>
          </w:p>
        </w:tc>
      </w:tr>
      <w:tr w14:paraId="42F86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4" w:hRule="atLeast"/>
          <w:jc w:val="center"/>
        </w:trPr>
        <w:tc>
          <w:tcPr>
            <w:tcW w:w="646" w:type="dxa"/>
            <w:vMerge w:val="continue"/>
            <w:noWrap w:val="0"/>
            <w:vAlign w:val="center"/>
          </w:tcPr>
          <w:p w14:paraId="07A993B9">
            <w:pPr>
              <w:rPr>
                <w:rFonts w:hint="eastAsia" w:ascii="宋体" w:hAnsi="宋体" w:cs="宋体"/>
                <w:color w:val="auto"/>
                <w:sz w:val="21"/>
                <w:szCs w:val="21"/>
                <w:highlight w:val="none"/>
              </w:rPr>
            </w:pPr>
          </w:p>
        </w:tc>
        <w:tc>
          <w:tcPr>
            <w:tcW w:w="1186" w:type="dxa"/>
            <w:noWrap w:val="0"/>
            <w:vAlign w:val="center"/>
          </w:tcPr>
          <w:p w14:paraId="075DF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整体运营服务方案</w:t>
            </w:r>
          </w:p>
          <w:p w14:paraId="7CE71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(15分)</w:t>
            </w:r>
          </w:p>
        </w:tc>
        <w:tc>
          <w:tcPr>
            <w:tcW w:w="7066" w:type="dxa"/>
            <w:noWrap w:val="0"/>
            <w:vAlign w:val="center"/>
          </w:tcPr>
          <w:p w14:paraId="0C186EF1">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根据投标人针对本项目提供的整体运营服务方案（包括但不限于：项目理解程度、运营具体内容、服务计划、管理模式、售后维护内容等）进行评分：</w:t>
            </w:r>
          </w:p>
          <w:p w14:paraId="5DB5131A">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5715929E">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58D388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整体运营方案全面完整、具体可行，符合整体运营要求，目标明确，针对性强，完全满足或优于采购需求的，得10分；</w:t>
            </w:r>
          </w:p>
          <w:p w14:paraId="1C2C28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（2）整体运营方案较全面可行，符合整体运营要求，目标较明确，针对性较强，满足采购需求的，得7分；</w:t>
            </w:r>
          </w:p>
          <w:p w14:paraId="2D7E2B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（3）整体运营方案一般，基本可行，基本符合整体运营要求，目标基本明确，针对性一般，基本满足采购需求的，得4分；</w:t>
            </w:r>
          </w:p>
          <w:p w14:paraId="6A0AE5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（4）整体运营方案有欠缺，可行性不强，针对性不够，较难满足采购需求的，得1分；</w:t>
            </w:r>
          </w:p>
          <w:p w14:paraId="5731BC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（5）无提供或其他不得分。</w:t>
            </w:r>
          </w:p>
        </w:tc>
      </w:tr>
      <w:tr w14:paraId="659B9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0" w:hRule="atLeast"/>
          <w:jc w:val="center"/>
        </w:trPr>
        <w:tc>
          <w:tcPr>
            <w:tcW w:w="646" w:type="dxa"/>
            <w:vMerge w:val="continue"/>
            <w:noWrap w:val="0"/>
            <w:vAlign w:val="center"/>
          </w:tcPr>
          <w:p w14:paraId="38DF991B">
            <w:pPr>
              <w:rPr>
                <w:rFonts w:hint="eastAsia" w:ascii="宋体" w:hAnsi="宋体" w:cs="宋体"/>
                <w:color w:val="auto"/>
                <w:sz w:val="21"/>
                <w:szCs w:val="21"/>
                <w:highlight w:val="none"/>
              </w:rPr>
            </w:pPr>
          </w:p>
        </w:tc>
        <w:tc>
          <w:tcPr>
            <w:tcW w:w="1186" w:type="dxa"/>
            <w:noWrap w:val="0"/>
            <w:vAlign w:val="center"/>
          </w:tcPr>
          <w:p w14:paraId="3C167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质量保障方案(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066" w:type="dxa"/>
            <w:noWrap w:val="0"/>
            <w:vAlign w:val="top"/>
          </w:tcPr>
          <w:p w14:paraId="44E061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根据投标人针对本项目提供的质量保障方案（包括但不限于：服务质量目标、服务质量保障方案、服务质量管理监测、售后质量保障方案等）进行评分：</w:t>
            </w:r>
          </w:p>
          <w:p w14:paraId="6DE67A48">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Hans"/>
              </w:rPr>
              <w:t>分，无不得分；</w:t>
            </w:r>
          </w:p>
          <w:p w14:paraId="231830BD">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33D89B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有全面完善的质量保障措施，质量管理科学严谨，可行性强，完全满足或有利于保障项目服务质量的，得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20C3B9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（2）有较完善的质量保障措施，质量管理较科学严谨，可行性较强，满足保障项目服务质量的，得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3FC54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（3）质量保障措施一般，质量管理一般，基本可行，基本能保障项目服务质量的，得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0C386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（4）质量保障措施有欠缺，质量管理不够科学，可行性较差，较难保障项目服务质量的，得1分；</w:t>
            </w:r>
          </w:p>
          <w:p w14:paraId="34C788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（5）无提供或其他不得分。</w:t>
            </w:r>
          </w:p>
        </w:tc>
      </w:tr>
      <w:tr w14:paraId="2B7FA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3" w:hRule="atLeast"/>
          <w:jc w:val="center"/>
        </w:trPr>
        <w:tc>
          <w:tcPr>
            <w:tcW w:w="646" w:type="dxa"/>
            <w:vMerge w:val="restart"/>
            <w:noWrap w:val="0"/>
            <w:vAlign w:val="center"/>
          </w:tcPr>
          <w:p w14:paraId="49B33EB4">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商务部分</w:t>
            </w:r>
          </w:p>
        </w:tc>
        <w:tc>
          <w:tcPr>
            <w:tcW w:w="1186" w:type="dxa"/>
            <w:noWrap w:val="0"/>
            <w:vAlign w:val="center"/>
          </w:tcPr>
          <w:p w14:paraId="2342914B">
            <w:pPr>
              <w:pStyle w:val="23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业绩情况(</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066" w:type="dxa"/>
            <w:noWrap w:val="0"/>
            <w:vAlign w:val="top"/>
          </w:tcPr>
          <w:p w14:paraId="2F6C3337">
            <w:pPr>
              <w:pStyle w:val="23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自2020年1月1日起至提交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文件截止时间（以合同签订时间为准）完成过同类项目业绩的，每提供一份有效业绩证明得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B36279B">
            <w:pPr>
              <w:pStyle w:val="23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注：须提供合同复印件，签订时间以合同签订时间为准，资料不符合或不齐全不得分。</w:t>
            </w:r>
          </w:p>
        </w:tc>
      </w:tr>
      <w:tr w14:paraId="0E5E9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1" w:hRule="atLeast"/>
          <w:jc w:val="center"/>
        </w:trPr>
        <w:tc>
          <w:tcPr>
            <w:tcW w:w="646" w:type="dxa"/>
            <w:vMerge w:val="continue"/>
            <w:noWrap w:val="0"/>
            <w:vAlign w:val="center"/>
          </w:tcPr>
          <w:p w14:paraId="74ED00C2">
            <w:pPr>
              <w:rPr>
                <w:rFonts w:hint="eastAsia" w:ascii="宋体" w:hAnsi="宋体" w:cs="宋体"/>
                <w:color w:val="auto"/>
                <w:sz w:val="21"/>
                <w:szCs w:val="21"/>
                <w:highlight w:val="none"/>
              </w:rPr>
            </w:pPr>
          </w:p>
        </w:tc>
        <w:tc>
          <w:tcPr>
            <w:tcW w:w="1186" w:type="dxa"/>
            <w:shd w:val="clear" w:color="auto" w:fill="auto"/>
            <w:noWrap w:val="0"/>
            <w:vAlign w:val="center"/>
          </w:tcPr>
          <w:p w14:paraId="3E34DFC2">
            <w:pPr>
              <w:pStyle w:val="238"/>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运营管理人员（10分）</w:t>
            </w:r>
          </w:p>
        </w:tc>
        <w:tc>
          <w:tcPr>
            <w:tcW w:w="7066" w:type="dxa"/>
            <w:shd w:val="clear" w:color="auto" w:fill="auto"/>
            <w:noWrap w:val="0"/>
            <w:vAlign w:val="top"/>
          </w:tcPr>
          <w:p w14:paraId="4E96A34D">
            <w:pPr>
              <w:pStyle w:val="238"/>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投标人提供2名体育场馆运营管理人员，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每增加1名体育场馆运营管理人员，得1分，</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886A2AB">
            <w:pPr>
              <w:pStyle w:val="238"/>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注：须提供人员职称证书或职业资格证书复印件并加盖投标人公章作为评审依据，不提供不得分。</w:t>
            </w:r>
          </w:p>
        </w:tc>
      </w:tr>
      <w:tr w14:paraId="61D82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646" w:type="dxa"/>
            <w:vMerge w:val="continue"/>
            <w:noWrap w:val="0"/>
            <w:vAlign w:val="center"/>
          </w:tcPr>
          <w:p w14:paraId="6B1A22D2">
            <w:pPr>
              <w:rPr>
                <w:rFonts w:hint="eastAsia" w:ascii="宋体" w:hAnsi="宋体" w:cs="宋体"/>
                <w:color w:val="auto"/>
                <w:sz w:val="21"/>
                <w:szCs w:val="21"/>
                <w:highlight w:val="none"/>
              </w:rPr>
            </w:pPr>
          </w:p>
        </w:tc>
        <w:tc>
          <w:tcPr>
            <w:tcW w:w="1186" w:type="dxa"/>
            <w:shd w:val="clear" w:color="auto" w:fill="auto"/>
            <w:noWrap w:val="0"/>
            <w:vAlign w:val="top"/>
          </w:tcPr>
          <w:p w14:paraId="6EDA2A3D">
            <w:pPr>
              <w:pStyle w:val="238"/>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安全事故承诺（3分）</w:t>
            </w:r>
          </w:p>
        </w:tc>
        <w:tc>
          <w:tcPr>
            <w:tcW w:w="7066" w:type="dxa"/>
            <w:shd w:val="clear" w:color="auto" w:fill="auto"/>
            <w:noWrap w:val="0"/>
            <w:vAlign w:val="top"/>
          </w:tcPr>
          <w:p w14:paraId="41984A00">
            <w:pPr>
              <w:pStyle w:val="19"/>
              <w:numPr>
                <w:ilvl w:val="0"/>
                <w:numId w:val="0"/>
              </w:numPr>
              <w:shd w:val="clear" w:color="auto" w:fill="auto"/>
              <w:wordWrap w:val="0"/>
              <w:adjustRightInd w:val="0"/>
              <w:snapToGrid w:val="0"/>
              <w:spacing w:after="0" w:line="40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近年来（20</w:t>
            </w:r>
            <w:r>
              <w:rPr>
                <w:rFonts w:hint="eastAsia" w:ascii="宋体" w:hAnsi="宋体" w:eastAsia="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1月1日</w:t>
            </w:r>
            <w:r>
              <w:rPr>
                <w:rFonts w:hint="eastAsia" w:ascii="宋体" w:hAnsi="宋体" w:eastAsia="宋体" w:cs="宋体"/>
                <w:snapToGrid w:val="0"/>
                <w:color w:val="auto"/>
                <w:kern w:val="0"/>
                <w:sz w:val="21"/>
                <w:szCs w:val="21"/>
                <w:highlight w:val="none"/>
              </w:rPr>
              <w:t>至今）投标人未发生事故等级为一般事故及以上的生产安全事故、一般质量事故及以上的工程质量事故的，得</w:t>
            </w: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p>
          <w:p w14:paraId="0EAFB36F">
            <w:pPr>
              <w:pStyle w:val="238"/>
              <w:numPr>
                <w:ilvl w:val="0"/>
                <w:numId w:val="0"/>
              </w:numPr>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注：需提供本单位承诺书（格式自拟）并加盖单位公章，未提供不得分。</w:t>
            </w:r>
          </w:p>
        </w:tc>
      </w:tr>
      <w:tr w14:paraId="23847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646" w:type="dxa"/>
            <w:vMerge w:val="continue"/>
            <w:noWrap w:val="0"/>
            <w:vAlign w:val="center"/>
          </w:tcPr>
          <w:p w14:paraId="5184A673">
            <w:pPr>
              <w:rPr>
                <w:rFonts w:hint="eastAsia" w:ascii="宋体" w:hAnsi="宋体" w:cs="宋体"/>
                <w:color w:val="auto"/>
                <w:sz w:val="21"/>
                <w:szCs w:val="21"/>
                <w:highlight w:val="none"/>
              </w:rPr>
            </w:pPr>
          </w:p>
        </w:tc>
        <w:tc>
          <w:tcPr>
            <w:tcW w:w="1186" w:type="dxa"/>
            <w:noWrap w:val="0"/>
            <w:vAlign w:val="center"/>
          </w:tcPr>
          <w:p w14:paraId="4196CE08">
            <w:pPr>
              <w:pStyle w:val="23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诚信记录（5分）</w:t>
            </w:r>
          </w:p>
        </w:tc>
        <w:tc>
          <w:tcPr>
            <w:tcW w:w="7066" w:type="dxa"/>
            <w:noWrap w:val="0"/>
            <w:vAlign w:val="top"/>
          </w:tcPr>
          <w:p w14:paraId="1D58259D">
            <w:pPr>
              <w:pStyle w:val="238"/>
              <w:jc w:val="left"/>
              <w:rPr>
                <w:rFonts w:hint="eastAsia" w:ascii="宋体" w:hAnsi="宋体" w:eastAsia="宋体" w:cs="宋体"/>
                <w:color w:val="auto"/>
                <w:sz w:val="21"/>
                <w:szCs w:val="21"/>
                <w:highlight w:val="none"/>
                <w:lang w:val="en-US" w:eastAsia="zh-CN"/>
              </w:rPr>
            </w:pPr>
            <w:bookmarkStart w:id="143" w:name="OLE_LINK8"/>
            <w:r>
              <w:rPr>
                <w:rFonts w:hint="eastAsia" w:ascii="宋体" w:hAnsi="宋体" w:eastAsia="宋体" w:cs="宋体"/>
                <w:color w:val="auto"/>
                <w:sz w:val="21"/>
                <w:szCs w:val="21"/>
                <w:highlight w:val="none"/>
                <w:lang w:val="en-US" w:eastAsia="zh-CN"/>
              </w:rPr>
              <w:t>根据《关于优化政府采购信用评价工作的通知》（韶财采购〔2024〕5 号）文件要求，本项目采取“评审扣分”诚信管理运用措施，即响应供应商该项目评审因素得分=诚信记录得分×5%。 注：1.在评审活动开始前，由采购代理机构通过广东政府采购网“其他监管检查公告”栏和韶关市财政局政务信息公开网站“政府采购”栏查询响应供应商诚信状况（即有效期内的诚信记录得分），提供给评审委员会，由评审委员会根据采购文件的规定进行评审。 2.首次参加韶关市政府采购活动的供应商诚信管理基础得分为100 分，在广东政府采购网“其他监管检查公告”栏和韶关市财政局政务信息公开网站“政府采购”栏查询不到相关供应商扣分记录的，视为该供应商年度诚信记录得分为100 分。 3.两个以上的自然人、法人或者其他组织组成一个联合体，以一个供应商的身份共同参加政府采购活动的，应当对所有联合体成员进行诚信记录查询，诚信记录得分以联合体成员的诚信记录平均得分参与评审。</w:t>
            </w:r>
            <w:bookmarkEnd w:id="143"/>
          </w:p>
        </w:tc>
      </w:tr>
      <w:tr w14:paraId="00A6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7" w:hRule="atLeast"/>
          <w:jc w:val="center"/>
        </w:trPr>
        <w:tc>
          <w:tcPr>
            <w:tcW w:w="646" w:type="dxa"/>
            <w:noWrap w:val="0"/>
            <w:vAlign w:val="center"/>
          </w:tcPr>
          <w:p w14:paraId="365941E8">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投标报价</w:t>
            </w:r>
          </w:p>
        </w:tc>
        <w:tc>
          <w:tcPr>
            <w:tcW w:w="1186" w:type="dxa"/>
            <w:noWrap w:val="0"/>
            <w:vAlign w:val="center"/>
          </w:tcPr>
          <w:p w14:paraId="4C42ADD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0分)</w:t>
            </w:r>
          </w:p>
        </w:tc>
        <w:tc>
          <w:tcPr>
            <w:tcW w:w="7066" w:type="dxa"/>
            <w:noWrap w:val="0"/>
            <w:vAlign w:val="center"/>
          </w:tcPr>
          <w:p w14:paraId="5A9A7F3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投标报价得分＝（评标基准价/投标报价）×价格分值【注：满足招标文件要求且投标价格最</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的投标报价为评标基准价。】最</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报价不是中标的唯一依据。因落实政府采购政策进行价格调整的，以调整后的价格计算评标基准价和投标报价。</w:t>
            </w:r>
          </w:p>
        </w:tc>
      </w:tr>
    </w:tbl>
    <w:p w14:paraId="25739AD4">
      <w:pPr>
        <w:rPr>
          <w:rFonts w:hint="eastAsia" w:ascii="宋体" w:hAnsi="宋体" w:eastAsia="宋体" w:cs="宋体"/>
          <w:b/>
          <w:bCs/>
          <w:color w:val="auto"/>
          <w:szCs w:val="24"/>
          <w:highlight w:val="none"/>
        </w:rPr>
      </w:pPr>
    </w:p>
    <w:p w14:paraId="517CA219">
      <w:pPr>
        <w:pStyle w:val="2"/>
        <w:rPr>
          <w:rFonts w:hint="eastAsia" w:ascii="宋体" w:hAnsi="宋体" w:eastAsia="宋体" w:cs="宋体"/>
          <w:b/>
          <w:bCs/>
          <w:color w:val="auto"/>
          <w:szCs w:val="24"/>
          <w:highlight w:val="none"/>
        </w:rPr>
      </w:pPr>
    </w:p>
    <w:p w14:paraId="4232D7BB">
      <w:pPr>
        <w:rPr>
          <w:rFonts w:hint="eastAsia"/>
          <w:color w:val="auto"/>
          <w:highlight w:val="none"/>
        </w:rPr>
        <w:sectPr>
          <w:pgSz w:w="11905" w:h="16838"/>
          <w:pgMar w:top="1440" w:right="1803" w:bottom="1440" w:left="1803" w:header="283" w:footer="1077" w:gutter="0"/>
          <w:pgNumType w:fmt="decimal"/>
          <w:cols w:space="0" w:num="1"/>
          <w:rtlGutter w:val="0"/>
          <w:docGrid w:type="lines" w:linePitch="317" w:charSpace="0"/>
        </w:sectPr>
      </w:pPr>
    </w:p>
    <w:p w14:paraId="6E4FEAFC">
      <w:pPr>
        <w:ind w:right="678" w:rightChars="323" w:firstLine="723" w:firstLineChars="200"/>
        <w:jc w:val="center"/>
        <w:outlineLvl w:val="0"/>
        <w:rPr>
          <w:rFonts w:hint="eastAsia" w:ascii="宋体" w:hAnsi="宋体" w:eastAsia="宋体" w:cs="宋体"/>
          <w:color w:val="auto"/>
          <w:sz w:val="36"/>
          <w:szCs w:val="36"/>
          <w:highlight w:val="none"/>
        </w:rPr>
      </w:pPr>
      <w:bookmarkStart w:id="144" w:name="_Toc16480"/>
      <w:bookmarkStart w:id="145" w:name="_Toc9427"/>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 xml:space="preserve">部分 </w:t>
      </w:r>
      <w:bookmarkEnd w:id="144"/>
      <w:r>
        <w:rPr>
          <w:rFonts w:hint="eastAsia" w:ascii="宋体" w:hAnsi="宋体" w:cs="宋体"/>
          <w:b/>
          <w:bCs/>
          <w:color w:val="auto"/>
          <w:sz w:val="36"/>
          <w:szCs w:val="36"/>
          <w:highlight w:val="none"/>
          <w:lang w:val="en-US" w:eastAsia="zh-CN"/>
        </w:rPr>
        <w:t>合同书格式</w:t>
      </w:r>
    </w:p>
    <w:bookmarkEnd w:id="145"/>
    <w:p w14:paraId="4C3CD39D">
      <w:pPr>
        <w:pStyle w:val="19"/>
        <w:spacing w:line="360" w:lineRule="auto"/>
        <w:rPr>
          <w:rFonts w:hint="eastAsia" w:ascii="宋体" w:hAnsi="宋体" w:eastAsia="宋体" w:cs="宋体"/>
          <w:b/>
          <w:bCs/>
          <w:color w:val="auto"/>
          <w:spacing w:val="-14"/>
          <w:kern w:val="2"/>
          <w:sz w:val="21"/>
          <w:szCs w:val="21"/>
          <w:highlight w:val="none"/>
          <w:lang w:val="en-US" w:eastAsia="zh-CN" w:bidi="ar-SA"/>
        </w:rPr>
      </w:pPr>
      <w:r>
        <w:rPr>
          <w:rFonts w:hint="eastAsia" w:ascii="宋体" w:hAnsi="宋体" w:eastAsia="宋体" w:cs="宋体"/>
          <w:b/>
          <w:bCs/>
          <w:color w:val="auto"/>
          <w:spacing w:val="-14"/>
          <w:kern w:val="2"/>
          <w:sz w:val="21"/>
          <w:szCs w:val="21"/>
          <w:highlight w:val="none"/>
          <w:lang w:val="en-US" w:eastAsia="zh-CN" w:bidi="ar-SA"/>
        </w:rPr>
        <w:t>注：本合同仅为合同的参考文本，合同签订双方可根据项目的具体要求进行修订，但不得偏离实质性条款。</w:t>
      </w:r>
    </w:p>
    <w:p w14:paraId="4269EEBE">
      <w:pPr>
        <w:pStyle w:val="239"/>
        <w:spacing w:line="360" w:lineRule="auto"/>
        <w:rPr>
          <w:rFonts w:hint="eastAsia" w:cs="宋体"/>
          <w:color w:val="auto"/>
          <w:kern w:val="0"/>
          <w:sz w:val="21"/>
          <w:szCs w:val="21"/>
          <w:highlight w:val="none"/>
        </w:rPr>
      </w:pPr>
      <w:bookmarkStart w:id="146" w:name="_Toc11647"/>
      <w:r>
        <w:rPr>
          <w:rFonts w:hint="eastAsia" w:cs="宋体"/>
          <w:color w:val="auto"/>
          <w:kern w:val="0"/>
          <w:sz w:val="21"/>
          <w:szCs w:val="21"/>
          <w:highlight w:val="none"/>
        </w:rPr>
        <w:t xml:space="preserve">甲方： 　　　　　  </w:t>
      </w:r>
    </w:p>
    <w:p w14:paraId="78A01925">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电话： 　　　　  传真 ： 　　　  地址： 　　　   </w:t>
      </w:r>
    </w:p>
    <w:p w14:paraId="6D1D8D0C">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乙方： 　　　　　  </w:t>
      </w:r>
    </w:p>
    <w:p w14:paraId="4D1D5BCC">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电话： 　　　　   传真：　　　   地址： 　　　   </w:t>
      </w:r>
    </w:p>
    <w:p w14:paraId="4549342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 </w:t>
      </w:r>
    </w:p>
    <w:p w14:paraId="419D4A48">
      <w:pPr>
        <w:pStyle w:val="239"/>
        <w:spacing w:line="360" w:lineRule="auto"/>
        <w:rPr>
          <w:rFonts w:hint="eastAsia" w:cs="宋体"/>
          <w:color w:val="auto"/>
          <w:kern w:val="0"/>
          <w:sz w:val="21"/>
          <w:szCs w:val="21"/>
          <w:highlight w:val="none"/>
        </w:rPr>
      </w:pPr>
      <w:bookmarkStart w:id="147" w:name="OLE_LINK11"/>
      <w:bookmarkStart w:id="148" w:name="OLE_LINK27"/>
      <w:r>
        <w:rPr>
          <w:rFonts w:hint="eastAsia" w:cs="宋体"/>
          <w:color w:val="auto"/>
          <w:kern w:val="0"/>
          <w:sz w:val="21"/>
          <w:szCs w:val="21"/>
          <w:highlight w:val="none"/>
        </w:rPr>
        <w:t xml:space="preserve">  根据</w:t>
      </w:r>
      <w:r>
        <w:rPr>
          <w:rFonts w:hint="eastAsia" w:cs="宋体"/>
          <w:color w:val="auto"/>
          <w:kern w:val="0"/>
          <w:sz w:val="21"/>
          <w:szCs w:val="21"/>
          <w:highlight w:val="none"/>
          <w:u w:val="single"/>
        </w:rPr>
        <w:t xml:space="preserve">          </w:t>
      </w:r>
      <w:r>
        <w:rPr>
          <w:rFonts w:hint="eastAsia" w:cs="宋体"/>
          <w:color w:val="auto"/>
          <w:kern w:val="0"/>
          <w:sz w:val="21"/>
          <w:szCs w:val="21"/>
          <w:highlight w:val="none"/>
        </w:rPr>
        <w:t>项目 的采购结果，按照《中华人民共和国政府采购法》，《中华人民共和国民法典(合同编)》的规定，经双方协商，本着平等互利和诚实信用的原则，一致同意遵守本合同如下。</w:t>
      </w:r>
    </w:p>
    <w:p w14:paraId="57969428">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一、合同金额</w:t>
      </w:r>
    </w:p>
    <w:p w14:paraId="0C73C615">
      <w:pPr>
        <w:pStyle w:val="239"/>
        <w:spacing w:line="360" w:lineRule="auto"/>
        <w:ind w:firstLine="420"/>
        <w:rPr>
          <w:rFonts w:hint="eastAsia" w:cs="宋体"/>
          <w:color w:val="auto"/>
          <w:kern w:val="0"/>
          <w:sz w:val="21"/>
          <w:szCs w:val="21"/>
          <w:highlight w:val="none"/>
        </w:rPr>
      </w:pPr>
      <w:r>
        <w:rPr>
          <w:rFonts w:hint="eastAsia" w:cs="宋体"/>
          <w:color w:val="auto"/>
          <w:kern w:val="0"/>
          <w:sz w:val="21"/>
          <w:szCs w:val="21"/>
          <w:highlight w:val="none"/>
        </w:rPr>
        <w:t>合同金额为（大写）：_____________元（￥_________元）人民币。</w:t>
      </w:r>
    </w:p>
    <w:p w14:paraId="60A1F9D2">
      <w:pPr>
        <w:pStyle w:val="239"/>
        <w:spacing w:line="360" w:lineRule="auto"/>
        <w:ind w:firstLine="420"/>
        <w:rPr>
          <w:rFonts w:hint="eastAsia" w:cs="宋体"/>
          <w:color w:val="auto"/>
          <w:kern w:val="0"/>
          <w:sz w:val="21"/>
          <w:szCs w:val="21"/>
          <w:highlight w:val="none"/>
          <w:lang w:val="en-US" w:eastAsia="zh-CN"/>
        </w:rPr>
      </w:pPr>
    </w:p>
    <w:p w14:paraId="185A9BD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二、服务范围</w:t>
      </w:r>
    </w:p>
    <w:p w14:paraId="49804D67">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甲方聘请乙方提供以下服务：</w:t>
      </w:r>
    </w:p>
    <w:p w14:paraId="28439E1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中标单位需全额承担改造费用，将场馆改造为符合《匹克球运动场地的通用要求及检验方法》的专业匹克球馆，</w:t>
      </w:r>
      <w:r>
        <w:rPr>
          <w:rFonts w:hint="eastAsia" w:cs="宋体"/>
          <w:color w:val="auto"/>
          <w:kern w:val="0"/>
          <w:sz w:val="21"/>
          <w:szCs w:val="21"/>
          <w:highlight w:val="none"/>
          <w:lang w:val="en-US" w:eastAsia="zh-CN"/>
        </w:rPr>
        <w:t>建设不少于3片</w:t>
      </w:r>
      <w:r>
        <w:rPr>
          <w:rFonts w:hint="eastAsia" w:cs="宋体"/>
          <w:color w:val="auto"/>
          <w:kern w:val="0"/>
          <w:sz w:val="21"/>
          <w:szCs w:val="21"/>
          <w:highlight w:val="none"/>
        </w:rPr>
        <w:t>标准匹克球场地</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改造后需通过体育主管部门及相关职能部门验收</w:t>
      </w:r>
      <w:r>
        <w:rPr>
          <w:rFonts w:hint="eastAsia" w:cs="宋体"/>
          <w:color w:val="auto"/>
          <w:kern w:val="0"/>
          <w:sz w:val="21"/>
          <w:szCs w:val="21"/>
          <w:highlight w:val="none"/>
          <w:lang w:eastAsia="zh-CN"/>
        </w:rPr>
        <w:t>。运营</w:t>
      </w:r>
      <w:r>
        <w:rPr>
          <w:rFonts w:hint="eastAsia" w:cs="宋体"/>
          <w:color w:val="auto"/>
          <w:kern w:val="0"/>
          <w:sz w:val="21"/>
          <w:szCs w:val="21"/>
          <w:highlight w:val="none"/>
          <w:lang w:val="en-US" w:eastAsia="zh-CN"/>
        </w:rPr>
        <w:t>10</w:t>
      </w:r>
      <w:r>
        <w:rPr>
          <w:rFonts w:hint="eastAsia" w:cs="宋体"/>
          <w:color w:val="auto"/>
          <w:kern w:val="0"/>
          <w:sz w:val="21"/>
          <w:szCs w:val="21"/>
          <w:highlight w:val="none"/>
          <w:lang w:eastAsia="zh-CN"/>
        </w:rPr>
        <w:t>年（自改造验收合格次日起计算）。</w:t>
      </w:r>
    </w:p>
    <w:p w14:paraId="3401B652">
      <w:pPr>
        <w:pStyle w:val="239"/>
        <w:spacing w:line="360" w:lineRule="auto"/>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w:t>
      </w:r>
    </w:p>
    <w:p w14:paraId="0360724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三、甲方乙方的权利和义务</w:t>
      </w:r>
    </w:p>
    <w:p w14:paraId="0D455B0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1.甲方的权利和义务</w:t>
      </w:r>
    </w:p>
    <w:p w14:paraId="48A7DF5F">
      <w:pPr>
        <w:pStyle w:val="239"/>
        <w:spacing w:line="360" w:lineRule="auto"/>
        <w:ind w:firstLine="420"/>
        <w:rPr>
          <w:rFonts w:hint="eastAsia" w:cs="宋体"/>
          <w:color w:val="auto"/>
          <w:kern w:val="0"/>
          <w:sz w:val="21"/>
          <w:szCs w:val="21"/>
          <w:highlight w:val="none"/>
          <w:lang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1</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w:t>
      </w:r>
    </w:p>
    <w:p w14:paraId="430FBBEA">
      <w:pPr>
        <w:pStyle w:val="239"/>
        <w:spacing w:line="360" w:lineRule="auto"/>
        <w:ind w:firstLine="420"/>
        <w:rPr>
          <w:rFonts w:hint="default" w:cs="宋体"/>
          <w:color w:val="auto"/>
          <w:kern w:val="0"/>
          <w:sz w:val="21"/>
          <w:szCs w:val="21"/>
          <w:highlight w:val="none"/>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2</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w:t>
      </w:r>
    </w:p>
    <w:p w14:paraId="6D3D3D05">
      <w:pPr>
        <w:pStyle w:val="239"/>
        <w:spacing w:line="360" w:lineRule="auto"/>
        <w:ind w:firstLine="420"/>
        <w:rPr>
          <w:rFonts w:hint="eastAsia" w:cs="宋体"/>
          <w:color w:val="auto"/>
          <w:kern w:val="0"/>
          <w:sz w:val="21"/>
          <w:szCs w:val="21"/>
          <w:highlight w:val="none"/>
        </w:rPr>
      </w:pPr>
      <w:r>
        <w:rPr>
          <w:rFonts w:hint="eastAsia" w:cs="宋体"/>
          <w:color w:val="auto"/>
          <w:kern w:val="0"/>
          <w:sz w:val="21"/>
          <w:szCs w:val="21"/>
          <w:highlight w:val="none"/>
        </w:rPr>
        <w:t>2.</w:t>
      </w:r>
      <w:bookmarkStart w:id="149" w:name="OLE_LINK15"/>
      <w:r>
        <w:rPr>
          <w:rFonts w:hint="eastAsia" w:cs="宋体"/>
          <w:color w:val="auto"/>
          <w:kern w:val="0"/>
          <w:sz w:val="21"/>
          <w:szCs w:val="21"/>
          <w:highlight w:val="none"/>
        </w:rPr>
        <w:t>乙方</w:t>
      </w:r>
      <w:bookmarkEnd w:id="149"/>
      <w:r>
        <w:rPr>
          <w:rFonts w:hint="eastAsia" w:cs="宋体"/>
          <w:color w:val="auto"/>
          <w:kern w:val="0"/>
          <w:sz w:val="21"/>
          <w:szCs w:val="21"/>
          <w:highlight w:val="none"/>
        </w:rPr>
        <w:t>的权利和义务</w:t>
      </w:r>
    </w:p>
    <w:p w14:paraId="4BFB73A6">
      <w:pPr>
        <w:pStyle w:val="239"/>
        <w:spacing w:line="360" w:lineRule="auto"/>
        <w:ind w:firstLine="420"/>
        <w:rPr>
          <w:rFonts w:hint="eastAsia" w:ascii="宋体" w:hAnsi="宋体" w:eastAsia="宋体" w:cs="宋体"/>
          <w:color w:val="auto"/>
          <w:highlight w:val="none"/>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1</w:t>
      </w:r>
      <w:r>
        <w:rPr>
          <w:rFonts w:hint="eastAsia" w:cs="宋体"/>
          <w:color w:val="auto"/>
          <w:kern w:val="0"/>
          <w:sz w:val="21"/>
          <w:szCs w:val="21"/>
          <w:highlight w:val="none"/>
          <w:lang w:eastAsia="zh-CN"/>
        </w:rPr>
        <w:t>）</w:t>
      </w:r>
      <w:r>
        <w:rPr>
          <w:rFonts w:hint="eastAsia"/>
          <w:color w:val="auto"/>
          <w:sz w:val="21"/>
          <w:szCs w:val="21"/>
          <w:highlight w:val="none"/>
          <w:lang w:val="en-US" w:eastAsia="zh-CN"/>
        </w:rPr>
        <w:t>中标单位全额投入改造资金完成匹克球馆改造，在运营期内扣除经审核的改造费用后，按约定标准逐年向市政府缴纳租金，实现“改造投入换长期运营权+租金合理抵扣”的合作机制</w:t>
      </w:r>
      <w:r>
        <w:rPr>
          <w:rFonts w:hint="eastAsia" w:ascii="宋体" w:hAnsi="宋体" w:eastAsia="宋体" w:cs="宋体"/>
          <w:color w:val="auto"/>
          <w:sz w:val="21"/>
          <w:szCs w:val="21"/>
          <w:highlight w:val="none"/>
          <w:lang w:val="en-US" w:eastAsia="zh-CN"/>
        </w:rPr>
        <w:t>。</w:t>
      </w:r>
    </w:p>
    <w:p w14:paraId="76E1B3D2">
      <w:pPr>
        <w:pStyle w:val="239"/>
        <w:spacing w:line="360" w:lineRule="auto"/>
        <w:ind w:firstLine="42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14:paraId="4F964A4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四、服务期间（项目完成期限）</w:t>
      </w:r>
    </w:p>
    <w:p w14:paraId="7FAB72AC">
      <w:pPr>
        <w:pStyle w:val="239"/>
        <w:spacing w:line="360" w:lineRule="auto"/>
        <w:ind w:firstLine="420"/>
        <w:rPr>
          <w:rFonts w:hint="eastAsia" w:ascii="宋体" w:hAnsi="宋体" w:eastAsia="宋体" w:cs="宋体"/>
          <w:color w:val="auto"/>
          <w:sz w:val="21"/>
          <w:szCs w:val="21"/>
          <w:highlight w:val="none"/>
        </w:rPr>
      </w:pPr>
      <w:r>
        <w:rPr>
          <w:rFonts w:hint="eastAsia" w:cs="宋体"/>
          <w:color w:val="auto"/>
          <w:kern w:val="0"/>
          <w:sz w:val="21"/>
          <w:szCs w:val="21"/>
          <w:highlight w:val="none"/>
        </w:rPr>
        <w:t>1.运营期限：</w:t>
      </w:r>
      <w:r>
        <w:rPr>
          <w:rFonts w:hint="eastAsia" w:cs="宋体"/>
          <w:color w:val="auto"/>
          <w:kern w:val="0"/>
          <w:sz w:val="21"/>
          <w:szCs w:val="21"/>
          <w:highlight w:val="none"/>
          <w:lang w:val="en-US" w:eastAsia="zh-CN"/>
        </w:rPr>
        <w:t>10</w:t>
      </w:r>
      <w:r>
        <w:rPr>
          <w:rFonts w:hint="eastAsia" w:cs="宋体"/>
          <w:color w:val="auto"/>
          <w:kern w:val="0"/>
          <w:sz w:val="21"/>
          <w:szCs w:val="21"/>
          <w:highlight w:val="none"/>
        </w:rPr>
        <w:t>年（自改造验收合格次日起计算）</w:t>
      </w:r>
      <w:r>
        <w:rPr>
          <w:rFonts w:hint="eastAsia" w:ascii="宋体" w:hAnsi="宋体" w:eastAsia="宋体" w:cs="宋体"/>
          <w:color w:val="auto"/>
          <w:sz w:val="21"/>
          <w:szCs w:val="21"/>
          <w:highlight w:val="none"/>
          <w:lang w:val="en-US" w:eastAsia="zh-CN"/>
        </w:rPr>
        <w:t>。</w:t>
      </w:r>
    </w:p>
    <w:p w14:paraId="12A7587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五、付款方式</w:t>
      </w:r>
    </w:p>
    <w:p w14:paraId="03175EF3">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租金基数：以资产评估确定的月租金</w:t>
      </w:r>
      <w:r>
        <w:rPr>
          <w:rFonts w:hint="eastAsia" w:ascii="宋体" w:hAnsi="宋体" w:cs="宋体"/>
          <w:color w:val="auto"/>
          <w:sz w:val="21"/>
          <w:szCs w:val="21"/>
          <w:highlight w:val="none"/>
          <w:lang w:val="en-US" w:eastAsia="zh-CN"/>
        </w:rPr>
        <w:t>3751</w:t>
      </w:r>
      <w:r>
        <w:rPr>
          <w:rFonts w:hint="default" w:cs="宋体"/>
          <w:color w:val="auto"/>
          <w:kern w:val="0"/>
          <w:sz w:val="21"/>
          <w:szCs w:val="21"/>
          <w:highlight w:val="none"/>
          <w:lang w:val="en-US" w:eastAsia="zh-CN"/>
        </w:rPr>
        <w:t>元为基准。</w:t>
      </w:r>
    </w:p>
    <w:p w14:paraId="78A5864A">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抵扣规则：经审计确认的实际改造费用，直接用于抵扣运营期内中标单位应付租金，抵扣顺序按运营年度依次进行：首个运营年度，先以改造费用抵扣当年应付租金，若改造费用≥当年租金，抵扣后当年无需缴纳租金，剩余未抵扣改造费用结转至下一年度继续抵扣；若某一运营年度，剩余未抵扣改造费用＜当年租金，剩余改造费用抵扣部分租金后，差额部分按当运营年度应交租金缴纳租金。</w:t>
      </w:r>
    </w:p>
    <w:p w14:paraId="68C24BA7">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缴纳方式：改造费用抵扣期间，若需缴纳租金差额，或改造费用抵扣完毕后需缴纳全额租金，均按年度缴纳，每年1月31 日前缴纳当年全额租金（或差额租金）。每次抵扣及缴纳后，招标单位需向中标单位出具改造费用抵扣确认函或租金缴纳凭证，明确剩余未抵扣改造费用金额（如有）。</w:t>
      </w:r>
    </w:p>
    <w:p w14:paraId="2B8A7E6E">
      <w:pPr>
        <w:pStyle w:val="239"/>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验收要求</w:t>
      </w:r>
    </w:p>
    <w:p w14:paraId="20E7D328">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1.履约验收主体：采购人。</w:t>
      </w:r>
    </w:p>
    <w:p w14:paraId="1EDB25ED">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2.履约验收方式：采取当场验收的方式，验收工作由采购人的负责人验收。</w:t>
      </w:r>
    </w:p>
    <w:p w14:paraId="34F3CB26">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.履约验收内容：</w:t>
      </w:r>
      <w:r>
        <w:rPr>
          <w:rFonts w:hint="eastAsia" w:ascii="宋体" w:hAnsi="宋体" w:cs="宋体"/>
          <w:color w:val="auto"/>
          <w:sz w:val="21"/>
          <w:szCs w:val="21"/>
          <w:highlight w:val="none"/>
          <w:lang w:val="en-US" w:eastAsia="zh-CN"/>
        </w:rPr>
        <w:t>本项目所有内容</w:t>
      </w:r>
      <w:r>
        <w:rPr>
          <w:rFonts w:hint="eastAsia" w:ascii="宋体" w:hAnsi="宋体" w:eastAsia="宋体" w:cs="宋体"/>
          <w:color w:val="auto"/>
          <w:sz w:val="21"/>
          <w:szCs w:val="21"/>
          <w:highlight w:val="none"/>
          <w:lang w:val="en-US" w:eastAsia="zh-CN"/>
        </w:rPr>
        <w:t>。</w:t>
      </w:r>
    </w:p>
    <w:p w14:paraId="543A77C0">
      <w:pPr>
        <w:pStyle w:val="239"/>
        <w:numPr>
          <w:ilvl w:val="0"/>
          <w:numId w:val="0"/>
        </w:numPr>
        <w:spacing w:line="360" w:lineRule="auto"/>
        <w:ind w:leftChars="0"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.履约验收标准：符合现行国家有关验收规范标准的要求，达到合格标准，并通过体育主管部门及相关职能部门验收。</w:t>
      </w:r>
    </w:p>
    <w:p w14:paraId="525C6CA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七</w:t>
      </w:r>
      <w:r>
        <w:rPr>
          <w:rFonts w:hint="eastAsia" w:cs="宋体"/>
          <w:color w:val="auto"/>
          <w:kern w:val="0"/>
          <w:sz w:val="21"/>
          <w:szCs w:val="21"/>
          <w:highlight w:val="none"/>
        </w:rPr>
        <w:t>、知识产权归属</w:t>
      </w:r>
    </w:p>
    <w:p w14:paraId="16A1225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八</w:t>
      </w:r>
      <w:r>
        <w:rPr>
          <w:rFonts w:hint="eastAsia" w:cs="宋体"/>
          <w:color w:val="auto"/>
          <w:kern w:val="0"/>
          <w:sz w:val="21"/>
          <w:szCs w:val="21"/>
          <w:highlight w:val="none"/>
        </w:rPr>
        <w:t>、保密</w:t>
      </w:r>
    </w:p>
    <w:p w14:paraId="1B60E6E6">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九</w:t>
      </w:r>
      <w:r>
        <w:rPr>
          <w:rFonts w:hint="eastAsia" w:cs="宋体"/>
          <w:color w:val="auto"/>
          <w:kern w:val="0"/>
          <w:sz w:val="21"/>
          <w:szCs w:val="21"/>
          <w:highlight w:val="none"/>
        </w:rPr>
        <w:t>、违约责任与赔偿损失</w:t>
      </w:r>
    </w:p>
    <w:p w14:paraId="787E0AD4">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1.乙方提供的服务不符合本合同规定的，甲方有权拒收，并且乙方须向甲方方支付本合同总价5%的违 约金。</w:t>
      </w:r>
    </w:p>
    <w:p w14:paraId="50E95956">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2.乙方未能按本合同规定的交货时间提供服务，从逾期之日起每日按本合同总价3‰的数额向甲方支付 违约金；逾期半个月以上的，甲方有权终止合同，由此造成的甲方经济损失由乙方承担。</w:t>
      </w:r>
    </w:p>
    <w:p w14:paraId="6AE89C2B">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3.甲方无正当理由拒收接受服务，到期拒付服务款项的，甲方向乙方偿付本合同总的5%的违约金。甲方人逾期付款，则每日按本合同总价的3‰向乙方偿付违约金。</w:t>
      </w:r>
    </w:p>
    <w:p w14:paraId="1B9A6FEF">
      <w:pPr>
        <w:pStyle w:val="239"/>
        <w:spacing w:line="360" w:lineRule="auto"/>
        <w:ind w:firstLine="420" w:firstLineChars="200"/>
        <w:rPr>
          <w:rFonts w:hint="default" w:eastAsia="宋体" w:cs="宋体"/>
          <w:color w:val="auto"/>
          <w:kern w:val="0"/>
          <w:sz w:val="21"/>
          <w:szCs w:val="21"/>
          <w:highlight w:val="none"/>
          <w:lang w:val="en-US" w:eastAsia="zh-CN"/>
        </w:rPr>
      </w:pPr>
      <w:r>
        <w:rPr>
          <w:rFonts w:hint="eastAsia" w:cs="宋体"/>
          <w:color w:val="auto"/>
          <w:kern w:val="0"/>
          <w:sz w:val="21"/>
          <w:szCs w:val="21"/>
          <w:highlight w:val="none"/>
        </w:rPr>
        <w:t>4.对于因甲方原因导致变更、中止或者终止政府采购合同的，甲方应当依照以下合同约定对供应商受到的损失予以赔偿或者补偿：</w:t>
      </w:r>
      <w:r>
        <w:rPr>
          <w:rFonts w:hint="eastAsia" w:cs="宋体"/>
          <w:color w:val="auto"/>
          <w:kern w:val="0"/>
          <w:sz w:val="21"/>
          <w:szCs w:val="21"/>
          <w:highlight w:val="none"/>
          <w:u w:val="single"/>
          <w:lang w:val="en-US" w:eastAsia="zh-CN"/>
        </w:rPr>
        <w:t xml:space="preserve">        </w:t>
      </w:r>
    </w:p>
    <w:p w14:paraId="0C93BBBD">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5.其它违约责任按《中华人民共和国民法典(合同编)》处理。</w:t>
      </w:r>
    </w:p>
    <w:p w14:paraId="3EF3E3B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十</w:t>
      </w:r>
      <w:r>
        <w:rPr>
          <w:rFonts w:hint="eastAsia" w:cs="宋体"/>
          <w:color w:val="auto"/>
          <w:kern w:val="0"/>
          <w:sz w:val="21"/>
          <w:szCs w:val="21"/>
          <w:highlight w:val="none"/>
        </w:rPr>
        <w:t>、争议的解决</w:t>
      </w:r>
    </w:p>
    <w:p w14:paraId="5869535E">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本协议项下发生的争议，由双方协商解决或申请有关部分调解解决，协商或调解不成的，可依法向</w:t>
      </w:r>
      <w:r>
        <w:rPr>
          <w:rFonts w:hint="eastAsia" w:cs="宋体"/>
          <w:color w:val="auto"/>
          <w:kern w:val="0"/>
          <w:sz w:val="21"/>
          <w:szCs w:val="21"/>
          <w:highlight w:val="none"/>
          <w:lang w:val="en-US" w:eastAsia="zh-CN"/>
        </w:rPr>
        <w:t>甲</w:t>
      </w:r>
      <w:r>
        <w:rPr>
          <w:rFonts w:hint="eastAsia" w:cs="宋体"/>
          <w:color w:val="auto"/>
          <w:kern w:val="0"/>
          <w:sz w:val="21"/>
          <w:szCs w:val="21"/>
          <w:highlight w:val="none"/>
        </w:rPr>
        <w:t>方所在地人民法院起诉。</w:t>
      </w:r>
    </w:p>
    <w:p w14:paraId="1BFB6464">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一</w:t>
      </w:r>
      <w:r>
        <w:rPr>
          <w:rFonts w:hint="eastAsia" w:cs="宋体"/>
          <w:color w:val="auto"/>
          <w:kern w:val="0"/>
          <w:sz w:val="21"/>
          <w:szCs w:val="21"/>
          <w:highlight w:val="none"/>
        </w:rPr>
        <w:t>、不可抗力</w:t>
      </w:r>
    </w:p>
    <w:p w14:paraId="374C64E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A9C5464">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二</w:t>
      </w:r>
      <w:r>
        <w:rPr>
          <w:rFonts w:hint="eastAsia" w:cs="宋体"/>
          <w:color w:val="auto"/>
          <w:kern w:val="0"/>
          <w:sz w:val="21"/>
          <w:szCs w:val="21"/>
          <w:highlight w:val="none"/>
        </w:rPr>
        <w:t>、税费</w:t>
      </w:r>
    </w:p>
    <w:p w14:paraId="58BE3038">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在中国境内、外发生的与本合同执行有关的一切税费均由乙方负担。</w:t>
      </w:r>
    </w:p>
    <w:p w14:paraId="3A88A60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三</w:t>
      </w:r>
      <w:r>
        <w:rPr>
          <w:rFonts w:hint="eastAsia" w:cs="宋体"/>
          <w:color w:val="auto"/>
          <w:kern w:val="0"/>
          <w:sz w:val="21"/>
          <w:szCs w:val="21"/>
          <w:highlight w:val="none"/>
        </w:rPr>
        <w:t>、其它</w:t>
      </w:r>
    </w:p>
    <w:p w14:paraId="7AB2B83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1.本合同所有附件、</w:t>
      </w:r>
      <w:r>
        <w:rPr>
          <w:rFonts w:hint="eastAsia" w:cs="宋体"/>
          <w:color w:val="auto"/>
          <w:kern w:val="0"/>
          <w:sz w:val="21"/>
          <w:szCs w:val="21"/>
          <w:highlight w:val="none"/>
          <w:lang w:val="en-US" w:eastAsia="zh-CN"/>
        </w:rPr>
        <w:t>招标</w:t>
      </w:r>
      <w:r>
        <w:rPr>
          <w:rFonts w:hint="eastAsia" w:cs="宋体"/>
          <w:color w:val="auto"/>
          <w:kern w:val="0"/>
          <w:sz w:val="21"/>
          <w:szCs w:val="21"/>
          <w:highlight w:val="none"/>
          <w:lang w:eastAsia="zh-CN"/>
        </w:rPr>
        <w:t>文件</w:t>
      </w:r>
      <w:r>
        <w:rPr>
          <w:rFonts w:hint="eastAsia" w:cs="宋体"/>
          <w:color w:val="auto"/>
          <w:kern w:val="0"/>
          <w:sz w:val="21"/>
          <w:szCs w:val="21"/>
          <w:highlight w:val="none"/>
        </w:rPr>
        <w:t>、</w:t>
      </w:r>
      <w:r>
        <w:rPr>
          <w:rFonts w:hint="eastAsia" w:cs="宋体"/>
          <w:color w:val="auto"/>
          <w:kern w:val="0"/>
          <w:sz w:val="21"/>
          <w:szCs w:val="21"/>
          <w:highlight w:val="none"/>
          <w:lang w:val="en-US" w:eastAsia="zh-CN"/>
        </w:rPr>
        <w:t>投标</w:t>
      </w:r>
      <w:r>
        <w:rPr>
          <w:rFonts w:hint="eastAsia" w:cs="宋体"/>
          <w:color w:val="auto"/>
          <w:kern w:val="0"/>
          <w:sz w:val="21"/>
          <w:szCs w:val="21"/>
          <w:highlight w:val="none"/>
          <w:lang w:eastAsia="zh-CN"/>
        </w:rPr>
        <w:t>文件</w:t>
      </w:r>
      <w:r>
        <w:rPr>
          <w:rFonts w:hint="eastAsia" w:cs="宋体"/>
          <w:color w:val="auto"/>
          <w:kern w:val="0"/>
          <w:sz w:val="21"/>
          <w:szCs w:val="21"/>
          <w:highlight w:val="none"/>
        </w:rPr>
        <w:t>、</w:t>
      </w:r>
      <w:r>
        <w:rPr>
          <w:rFonts w:hint="eastAsia" w:cs="宋体"/>
          <w:color w:val="auto"/>
          <w:kern w:val="0"/>
          <w:sz w:val="21"/>
          <w:szCs w:val="21"/>
          <w:highlight w:val="none"/>
          <w:lang w:val="en-US" w:eastAsia="zh-CN"/>
        </w:rPr>
        <w:t>中标</w:t>
      </w:r>
      <w:r>
        <w:rPr>
          <w:rFonts w:hint="eastAsia" w:cs="宋体"/>
          <w:color w:val="auto"/>
          <w:kern w:val="0"/>
          <w:sz w:val="21"/>
          <w:szCs w:val="21"/>
          <w:highlight w:val="none"/>
        </w:rPr>
        <w:t>通知书均为合同的有效组成部分，与本合同具有同等法律效力。</w:t>
      </w:r>
    </w:p>
    <w:p w14:paraId="56798CE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2.在执行本合同的过程中，所有经双方签署确认的文件（包括会议纪要、补充协议、往来信函）即成为本合同的有效组成部分。</w:t>
      </w:r>
    </w:p>
    <w:p w14:paraId="1209D0A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3.如一方地址、电话、传真号码有变更，应在变更当日内书面通知对方，否则，应承担相应责任。</w:t>
      </w:r>
    </w:p>
    <w:p w14:paraId="7DE7260E">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4.除甲方事先书面同意外，乙方不得部分或全部转让其应履行的合同项下的义务。</w:t>
      </w:r>
    </w:p>
    <w:p w14:paraId="63EACCA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十三、合同生效</w:t>
      </w:r>
    </w:p>
    <w:p w14:paraId="7FA40F3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1.本合同在甲乙双方法人代表或其授权代表签字盖章后生效。</w:t>
      </w:r>
    </w:p>
    <w:p w14:paraId="2543B37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2.合同一式    份。</w:t>
      </w:r>
    </w:p>
    <w:bookmarkEnd w:id="147"/>
    <w:p w14:paraId="61D26E76">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 </w:t>
      </w:r>
    </w:p>
    <w:p w14:paraId="204327E3">
      <w:pPr>
        <w:pStyle w:val="239"/>
        <w:spacing w:line="360" w:lineRule="auto"/>
        <w:rPr>
          <w:rFonts w:hint="eastAsia" w:cs="宋体"/>
          <w:color w:val="auto"/>
          <w:kern w:val="0"/>
          <w:sz w:val="21"/>
          <w:szCs w:val="21"/>
          <w:highlight w:val="none"/>
        </w:rPr>
      </w:pPr>
      <w:bookmarkStart w:id="150" w:name="OLE_LINK12"/>
      <w:r>
        <w:rPr>
          <w:rFonts w:hint="eastAsia" w:cs="宋体"/>
          <w:color w:val="auto"/>
          <w:kern w:val="0"/>
          <w:sz w:val="21"/>
          <w:szCs w:val="21"/>
          <w:highlight w:val="none"/>
        </w:rPr>
        <w:t xml:space="preserve">甲方（盖章）：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乙方（盖章）：</w:t>
      </w:r>
    </w:p>
    <w:p w14:paraId="47BCF747">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代表：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 xml:space="preserve"> 代表：</w:t>
      </w:r>
    </w:p>
    <w:p w14:paraId="1F48751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签订地点：</w:t>
      </w:r>
    </w:p>
    <w:p w14:paraId="60880CF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签订日期：　　　年　　月　　日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签订日期：　　　年　　月　　日</w:t>
      </w:r>
    </w:p>
    <w:p w14:paraId="435BC2E6">
      <w:pPr>
        <w:pStyle w:val="239"/>
        <w:spacing w:line="360" w:lineRule="auto"/>
        <w:ind w:firstLine="3780" w:firstLineChars="1800"/>
        <w:rPr>
          <w:rFonts w:hint="eastAsia" w:cs="宋体"/>
          <w:color w:val="auto"/>
          <w:kern w:val="0"/>
          <w:sz w:val="21"/>
          <w:szCs w:val="21"/>
          <w:highlight w:val="none"/>
        </w:rPr>
      </w:pPr>
      <w:r>
        <w:rPr>
          <w:rFonts w:hint="eastAsia" w:cs="宋体"/>
          <w:color w:val="auto"/>
          <w:kern w:val="0"/>
          <w:sz w:val="21"/>
          <w:szCs w:val="21"/>
          <w:highlight w:val="none"/>
        </w:rPr>
        <w:t>开户名称：</w:t>
      </w:r>
    </w:p>
    <w:p w14:paraId="2216C3BF">
      <w:pPr>
        <w:pStyle w:val="239"/>
        <w:spacing w:line="360" w:lineRule="auto"/>
        <w:ind w:firstLine="3780" w:firstLineChars="1800"/>
        <w:rPr>
          <w:rFonts w:hint="eastAsia" w:cs="宋体"/>
          <w:color w:val="auto"/>
          <w:kern w:val="0"/>
          <w:sz w:val="21"/>
          <w:szCs w:val="21"/>
          <w:highlight w:val="none"/>
        </w:rPr>
      </w:pPr>
      <w:r>
        <w:rPr>
          <w:rFonts w:hint="eastAsia" w:cs="宋体"/>
          <w:color w:val="auto"/>
          <w:kern w:val="0"/>
          <w:sz w:val="21"/>
          <w:szCs w:val="21"/>
          <w:highlight w:val="none"/>
        </w:rPr>
        <w:t>银行</w:t>
      </w:r>
      <w:r>
        <w:rPr>
          <w:rFonts w:hint="eastAsia" w:cs="宋体"/>
          <w:color w:val="auto"/>
          <w:kern w:val="0"/>
          <w:sz w:val="21"/>
          <w:szCs w:val="21"/>
          <w:highlight w:val="none"/>
          <w:lang w:val="en-US" w:eastAsia="zh-CN"/>
        </w:rPr>
        <w:t>账号</w:t>
      </w:r>
      <w:r>
        <w:rPr>
          <w:rFonts w:hint="eastAsia" w:cs="宋体"/>
          <w:color w:val="auto"/>
          <w:kern w:val="0"/>
          <w:sz w:val="21"/>
          <w:szCs w:val="21"/>
          <w:highlight w:val="none"/>
        </w:rPr>
        <w:t>：</w:t>
      </w:r>
    </w:p>
    <w:p w14:paraId="2E8C8477">
      <w:pPr>
        <w:ind w:firstLine="3780" w:firstLineChars="1800"/>
        <w:rPr>
          <w:color w:val="auto"/>
          <w:sz w:val="21"/>
          <w:szCs w:val="21"/>
          <w:highlight w:val="none"/>
        </w:rPr>
      </w:pPr>
      <w:r>
        <w:rPr>
          <w:rFonts w:hint="eastAsia" w:cs="宋体"/>
          <w:color w:val="auto"/>
          <w:kern w:val="0"/>
          <w:sz w:val="21"/>
          <w:szCs w:val="21"/>
          <w:highlight w:val="none"/>
        </w:rPr>
        <w:t>开 户 行：</w:t>
      </w:r>
      <w:bookmarkEnd w:id="148"/>
    </w:p>
    <w:bookmarkEnd w:id="150"/>
    <w:p w14:paraId="6B0AB18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E8CCF8">
      <w:pPr>
        <w:pStyle w:val="2"/>
        <w:rPr>
          <w:rFonts w:hint="eastAsia"/>
          <w:color w:val="auto"/>
          <w:highlight w:val="none"/>
        </w:rPr>
      </w:pPr>
    </w:p>
    <w:p w14:paraId="357C81FE">
      <w:pPr>
        <w:ind w:right="678" w:rightChars="323" w:firstLine="562" w:firstLineChars="200"/>
        <w:jc w:val="center"/>
        <w:outlineLvl w:val="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第六部分 投标文件格式</w:t>
      </w:r>
      <w:bookmarkEnd w:id="146"/>
    </w:p>
    <w:p w14:paraId="0CA44288">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格式要求：</w:t>
      </w:r>
    </w:p>
    <w:p w14:paraId="77227581">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须编页码，且页码必须连续；</w:t>
      </w:r>
    </w:p>
    <w:p w14:paraId="1608C23D">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应自行承担所提供的</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任何错漏而导致的一切后果；</w:t>
      </w:r>
    </w:p>
    <w:p w14:paraId="6815E7B4">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rPr>
        <w:t>3.</w:t>
      </w:r>
      <w:r>
        <w:rPr>
          <w:rFonts w:hint="eastAsia" w:ascii="宋体" w:hAnsi="宋体" w:eastAsia="宋体" w:cs="宋体"/>
          <w:b/>
          <w:bCs/>
          <w:color w:val="auto"/>
          <w:kern w:val="2"/>
          <w:sz w:val="21"/>
          <w:szCs w:val="21"/>
          <w:highlight w:val="none"/>
          <w:lang w:eastAsia="zh-CN"/>
        </w:rPr>
        <w:t>投标文件</w:t>
      </w:r>
      <w:r>
        <w:rPr>
          <w:rFonts w:hint="eastAsia" w:ascii="宋体" w:hAnsi="宋体" w:eastAsia="宋体" w:cs="宋体"/>
          <w:b/>
          <w:bCs/>
          <w:color w:val="auto"/>
          <w:kern w:val="2"/>
          <w:sz w:val="21"/>
          <w:szCs w:val="21"/>
          <w:highlight w:val="none"/>
        </w:rPr>
        <w:t>编制一式</w:t>
      </w:r>
      <w:r>
        <w:rPr>
          <w:rFonts w:hint="eastAsia"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套，正本1套，副本</w:t>
      </w:r>
      <w:r>
        <w:rPr>
          <w:rFonts w:hint="eastAsia" w:hAnsi="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套</w:t>
      </w:r>
      <w:r>
        <w:rPr>
          <w:rFonts w:hint="eastAsia" w:ascii="宋体" w:hAnsi="宋体" w:eastAsia="宋体" w:cs="宋体"/>
          <w:bCs/>
          <w:color w:val="auto"/>
          <w:kern w:val="2"/>
          <w:sz w:val="21"/>
          <w:szCs w:val="21"/>
          <w:highlight w:val="none"/>
        </w:rPr>
        <w:t>。正本封面及内容须全部加盖</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公章和骑缝章，副本可采用正本的复印件，副本封面须加盖</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公章和骑缝章。</w:t>
      </w:r>
    </w:p>
    <w:p w14:paraId="5E3EBFDF">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全部用A4规格打印。</w:t>
      </w:r>
    </w:p>
    <w:p w14:paraId="15D112E8">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应装订成册，密封封装为三份，正本封装一份，副本封装一份，唱标信封一份。</w:t>
      </w:r>
    </w:p>
    <w:p w14:paraId="0E855A47">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6.唱标信封内装以下文件（可采用</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正本的复印件并加盖公章）：</w:t>
      </w:r>
    </w:p>
    <w:p w14:paraId="7C7FFA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①投标（报价）函；</w:t>
      </w:r>
    </w:p>
    <w:p w14:paraId="70C60C89">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②</w:t>
      </w:r>
      <w:r>
        <w:rPr>
          <w:rFonts w:hint="eastAsia" w:ascii="宋体" w:hAnsi="宋体" w:eastAsia="宋体" w:cs="宋体"/>
          <w:b/>
          <w:bCs/>
          <w:color w:val="auto"/>
          <w:kern w:val="2"/>
          <w:sz w:val="21"/>
          <w:szCs w:val="21"/>
          <w:highlight w:val="none"/>
          <w:lang w:val="en-US" w:eastAsia="zh-CN"/>
        </w:rPr>
        <w:t>开标</w:t>
      </w:r>
      <w:r>
        <w:rPr>
          <w:rFonts w:hint="eastAsia" w:ascii="宋体" w:hAnsi="宋体" w:eastAsia="宋体" w:cs="宋体"/>
          <w:b/>
          <w:bCs/>
          <w:color w:val="auto"/>
          <w:kern w:val="2"/>
          <w:sz w:val="21"/>
          <w:szCs w:val="21"/>
          <w:highlight w:val="none"/>
        </w:rPr>
        <w:t>一览表</w:t>
      </w:r>
    </w:p>
    <w:p w14:paraId="500B68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③法定代表人证明及授权书；</w:t>
      </w:r>
    </w:p>
    <w:p w14:paraId="7CBBCA33">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④</w:t>
      </w:r>
      <w:r>
        <w:rPr>
          <w:rFonts w:hint="eastAsia" w:ascii="宋体" w:hAnsi="宋体" w:eastAsia="宋体" w:cs="宋体"/>
          <w:b/>
          <w:bCs/>
          <w:color w:val="auto"/>
          <w:kern w:val="2"/>
          <w:sz w:val="21"/>
          <w:szCs w:val="21"/>
          <w:highlight w:val="none"/>
          <w:lang w:val="en-US" w:eastAsia="zh-CN"/>
        </w:rPr>
        <w:t>投标保证金缴纳相关资料</w:t>
      </w:r>
      <w:r>
        <w:rPr>
          <w:rFonts w:hint="eastAsia" w:ascii="宋体" w:hAnsi="宋体" w:eastAsia="宋体" w:cs="宋体"/>
          <w:b/>
          <w:bCs/>
          <w:color w:val="auto"/>
          <w:kern w:val="2"/>
          <w:sz w:val="21"/>
          <w:szCs w:val="21"/>
          <w:highlight w:val="none"/>
        </w:rPr>
        <w:t>；</w:t>
      </w:r>
    </w:p>
    <w:p w14:paraId="546FFC7D">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⑤</w:t>
      </w:r>
      <w:r>
        <w:rPr>
          <w:rFonts w:hint="eastAsia" w:ascii="宋体" w:hAnsi="宋体" w:eastAsia="宋体" w:cs="宋体"/>
          <w:b/>
          <w:bCs/>
          <w:color w:val="auto"/>
          <w:kern w:val="2"/>
          <w:sz w:val="21"/>
          <w:szCs w:val="21"/>
          <w:highlight w:val="none"/>
          <w:lang w:eastAsia="zh-CN"/>
        </w:rPr>
        <w:t>投标文件</w:t>
      </w:r>
      <w:r>
        <w:rPr>
          <w:rFonts w:hint="eastAsia" w:ascii="宋体" w:hAnsi="宋体" w:eastAsia="宋体" w:cs="宋体"/>
          <w:b/>
          <w:bCs/>
          <w:color w:val="auto"/>
          <w:kern w:val="2"/>
          <w:sz w:val="21"/>
          <w:szCs w:val="21"/>
          <w:highlight w:val="none"/>
        </w:rPr>
        <w:t>电子文档壹份。</w:t>
      </w:r>
    </w:p>
    <w:p w14:paraId="7B73574F">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包含但不限于：</w:t>
      </w:r>
    </w:p>
    <w:p w14:paraId="43FBD75E">
      <w:pPr>
        <w:pStyle w:val="4"/>
        <w:pageBreakBefore w:val="0"/>
        <w:widowControl/>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（一）自查表</w:t>
      </w:r>
    </w:p>
    <w:p w14:paraId="0A025BFA">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1.资格性自查表</w:t>
      </w:r>
    </w:p>
    <w:p w14:paraId="59E61AD7">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2.符合性自查表</w:t>
      </w:r>
    </w:p>
    <w:p w14:paraId="781E394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3.商务评审自查表</w:t>
      </w:r>
    </w:p>
    <w:p w14:paraId="1A3DB59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4.技术评审自查表</w:t>
      </w:r>
    </w:p>
    <w:p w14:paraId="4E2036F1">
      <w:pPr>
        <w:pStyle w:val="4"/>
        <w:pageBreakBefore w:val="0"/>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（二）资格性、符合性文件</w:t>
      </w:r>
    </w:p>
    <w:p w14:paraId="7A4362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1.投标（报价）函</w:t>
      </w:r>
    </w:p>
    <w:p w14:paraId="74D62A0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2.资格条件承诺函</w:t>
      </w:r>
    </w:p>
    <w:p w14:paraId="51EA308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3.法定代表人证明及授权书</w:t>
      </w:r>
    </w:p>
    <w:p w14:paraId="0E14F313">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1）法定代表人/负责人资格证明书</w:t>
      </w:r>
    </w:p>
    <w:p w14:paraId="14B3C796">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2）法定代表人/负责人授权委托书</w:t>
      </w:r>
    </w:p>
    <w:p w14:paraId="1873019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4.“★”（实质性）条款响应表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如有</w:t>
      </w:r>
      <w:r>
        <w:rPr>
          <w:rFonts w:hint="eastAsia" w:ascii="宋体" w:hAnsi="宋体" w:eastAsia="宋体" w:cs="宋体"/>
          <w:bCs/>
          <w:color w:val="auto"/>
          <w:sz w:val="21"/>
          <w:szCs w:val="21"/>
          <w:highlight w:val="none"/>
          <w:lang w:eastAsia="zh-CN"/>
        </w:rPr>
        <w:t>）</w:t>
      </w:r>
    </w:p>
    <w:p w14:paraId="3E95CA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GB"/>
        </w:rPr>
        <w:t>“</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GB"/>
        </w:rPr>
        <w:t>”</w:t>
      </w:r>
      <w:r>
        <w:rPr>
          <w:rFonts w:hint="eastAsia" w:ascii="宋体" w:hAnsi="宋体" w:eastAsia="宋体" w:cs="宋体"/>
          <w:bCs/>
          <w:color w:val="auto"/>
          <w:sz w:val="21"/>
          <w:szCs w:val="21"/>
          <w:highlight w:val="none"/>
        </w:rPr>
        <w:t>重要条款响应表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如有</w:t>
      </w:r>
      <w:r>
        <w:rPr>
          <w:rFonts w:hint="eastAsia" w:ascii="宋体" w:hAnsi="宋体" w:eastAsia="宋体" w:cs="宋体"/>
          <w:bCs/>
          <w:color w:val="auto"/>
          <w:sz w:val="21"/>
          <w:szCs w:val="21"/>
          <w:highlight w:val="none"/>
          <w:lang w:eastAsia="zh-CN"/>
        </w:rPr>
        <w:t>）</w:t>
      </w:r>
    </w:p>
    <w:p w14:paraId="6D221D1E">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（三）商务文件（按《综合评分表》商务部分评审内容提供相关材料）</w:t>
      </w:r>
    </w:p>
    <w:p w14:paraId="6B937E82">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1.商务</w:t>
      </w:r>
      <w:r>
        <w:rPr>
          <w:rFonts w:hint="eastAsia" w:ascii="宋体" w:hAnsi="宋体" w:eastAsia="宋体" w:cs="宋体"/>
          <w:bCs/>
          <w:color w:val="auto"/>
          <w:sz w:val="21"/>
          <w:szCs w:val="21"/>
          <w:highlight w:val="none"/>
          <w:lang w:val="en-US" w:eastAsia="zh-CN"/>
        </w:rPr>
        <w:t>技术</w:t>
      </w:r>
      <w:r>
        <w:rPr>
          <w:rFonts w:hint="eastAsia" w:ascii="宋体" w:hAnsi="宋体" w:eastAsia="宋体" w:cs="宋体"/>
          <w:bCs/>
          <w:color w:val="auto"/>
          <w:sz w:val="21"/>
          <w:szCs w:val="21"/>
          <w:highlight w:val="none"/>
        </w:rPr>
        <w:t>条款响应表</w:t>
      </w:r>
    </w:p>
    <w:p w14:paraId="10191D6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2.缴纳</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服务费承诺书</w:t>
      </w:r>
    </w:p>
    <w:p w14:paraId="2805CF93">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3.同意</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文件条款说明</w:t>
      </w:r>
    </w:p>
    <w:p w14:paraId="6F1BC84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p>
    <w:p w14:paraId="7962AFAD">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（四）技术文件（按《综合评分表》</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部分评审内容提供相关材料）</w:t>
      </w:r>
    </w:p>
    <w:p w14:paraId="4C7E6CEF">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投标保证金缴纳相关凭证</w:t>
      </w:r>
    </w:p>
    <w:p w14:paraId="07A0C072">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报价文件</w:t>
      </w:r>
    </w:p>
    <w:p w14:paraId="401776EA">
      <w:pPr>
        <w:pStyle w:val="24"/>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1.报价一览表</w:t>
      </w:r>
    </w:p>
    <w:p w14:paraId="1240544E">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）各类证明材料</w:t>
      </w:r>
    </w:p>
    <w:p w14:paraId="18122A3B">
      <w:pPr>
        <w:pStyle w:val="24"/>
        <w:spacing w:beforeAutospacing="0" w:afterAutospacing="0" w:line="360" w:lineRule="auto"/>
        <w:jc w:val="center"/>
        <w:rPr>
          <w:rFonts w:hint="eastAsia" w:ascii="宋体" w:hAnsi="宋体" w:eastAsia="宋体" w:cs="宋体"/>
          <w:b/>
          <w:color w:val="auto"/>
          <w:sz w:val="48"/>
          <w:szCs w:val="48"/>
          <w:highlight w:val="none"/>
        </w:rPr>
      </w:pPr>
    </w:p>
    <w:p w14:paraId="63118B4A">
      <w:pPr>
        <w:rPr>
          <w:rFonts w:hint="eastAsia" w:ascii="宋体" w:hAnsi="宋体" w:eastAsia="宋体" w:cs="宋体"/>
          <w:b/>
          <w:color w:val="auto"/>
          <w:sz w:val="48"/>
          <w:szCs w:val="48"/>
          <w:highlight w:val="none"/>
        </w:rPr>
      </w:pPr>
    </w:p>
    <w:p w14:paraId="37079668">
      <w:pPr>
        <w:pStyle w:val="46"/>
        <w:rPr>
          <w:rFonts w:hint="eastAsia" w:ascii="宋体" w:hAnsi="宋体" w:eastAsia="宋体" w:cs="宋体"/>
          <w:b/>
          <w:color w:val="auto"/>
          <w:sz w:val="48"/>
          <w:szCs w:val="48"/>
          <w:highlight w:val="none"/>
        </w:rPr>
      </w:pPr>
    </w:p>
    <w:p w14:paraId="535BFFAB">
      <w:pPr>
        <w:pStyle w:val="46"/>
        <w:rPr>
          <w:rFonts w:hint="eastAsia" w:ascii="宋体" w:hAnsi="宋体" w:eastAsia="宋体" w:cs="宋体"/>
          <w:b/>
          <w:color w:val="auto"/>
          <w:sz w:val="48"/>
          <w:szCs w:val="48"/>
          <w:highlight w:val="none"/>
        </w:rPr>
      </w:pPr>
    </w:p>
    <w:p w14:paraId="3C73C486">
      <w:pPr>
        <w:pStyle w:val="46"/>
        <w:rPr>
          <w:rFonts w:hint="eastAsia" w:ascii="宋体" w:hAnsi="宋体" w:eastAsia="宋体" w:cs="宋体"/>
          <w:b/>
          <w:color w:val="auto"/>
          <w:sz w:val="48"/>
          <w:szCs w:val="48"/>
          <w:highlight w:val="none"/>
        </w:rPr>
      </w:pPr>
    </w:p>
    <w:p w14:paraId="13890B36">
      <w:pPr>
        <w:pStyle w:val="46"/>
        <w:rPr>
          <w:rFonts w:hint="eastAsia" w:ascii="宋体" w:hAnsi="宋体" w:eastAsia="宋体" w:cs="宋体"/>
          <w:b/>
          <w:color w:val="auto"/>
          <w:sz w:val="48"/>
          <w:szCs w:val="48"/>
          <w:highlight w:val="none"/>
        </w:rPr>
      </w:pPr>
    </w:p>
    <w:p w14:paraId="3316A7C8">
      <w:pPr>
        <w:pStyle w:val="46"/>
        <w:rPr>
          <w:rFonts w:hint="eastAsia" w:ascii="宋体" w:hAnsi="宋体" w:eastAsia="宋体" w:cs="宋体"/>
          <w:b/>
          <w:color w:val="auto"/>
          <w:sz w:val="48"/>
          <w:szCs w:val="48"/>
          <w:highlight w:val="none"/>
        </w:rPr>
      </w:pPr>
    </w:p>
    <w:p w14:paraId="7FED32BF">
      <w:pPr>
        <w:pStyle w:val="46"/>
        <w:rPr>
          <w:rFonts w:hint="eastAsia" w:ascii="宋体" w:hAnsi="宋体" w:eastAsia="宋体" w:cs="宋体"/>
          <w:b/>
          <w:color w:val="auto"/>
          <w:sz w:val="48"/>
          <w:szCs w:val="48"/>
          <w:highlight w:val="none"/>
        </w:rPr>
      </w:pPr>
    </w:p>
    <w:p w14:paraId="536D82E3">
      <w:pPr>
        <w:pStyle w:val="46"/>
        <w:rPr>
          <w:rFonts w:hint="eastAsia" w:ascii="宋体" w:hAnsi="宋体" w:eastAsia="宋体" w:cs="宋体"/>
          <w:b/>
          <w:color w:val="auto"/>
          <w:sz w:val="48"/>
          <w:szCs w:val="48"/>
          <w:highlight w:val="none"/>
        </w:rPr>
      </w:pPr>
    </w:p>
    <w:p w14:paraId="044BFD4B">
      <w:pPr>
        <w:pStyle w:val="46"/>
        <w:rPr>
          <w:rFonts w:hint="eastAsia" w:ascii="宋体" w:hAnsi="宋体" w:eastAsia="宋体" w:cs="宋体"/>
          <w:b/>
          <w:color w:val="auto"/>
          <w:sz w:val="48"/>
          <w:szCs w:val="48"/>
          <w:highlight w:val="none"/>
        </w:rPr>
      </w:pPr>
    </w:p>
    <w:p w14:paraId="5DDB4A3C">
      <w:pPr>
        <w:pStyle w:val="46"/>
        <w:rPr>
          <w:rFonts w:hint="eastAsia" w:ascii="宋体" w:hAnsi="宋体" w:eastAsia="宋体" w:cs="宋体"/>
          <w:b/>
          <w:color w:val="auto"/>
          <w:sz w:val="48"/>
          <w:szCs w:val="48"/>
          <w:highlight w:val="none"/>
        </w:rPr>
      </w:pPr>
    </w:p>
    <w:p w14:paraId="185BB9E3">
      <w:pPr>
        <w:pStyle w:val="46"/>
        <w:rPr>
          <w:rFonts w:hint="eastAsia" w:ascii="宋体" w:hAnsi="宋体" w:eastAsia="宋体" w:cs="宋体"/>
          <w:b/>
          <w:color w:val="auto"/>
          <w:sz w:val="48"/>
          <w:szCs w:val="48"/>
          <w:highlight w:val="none"/>
        </w:rPr>
      </w:pPr>
    </w:p>
    <w:p w14:paraId="25205A37">
      <w:pPr>
        <w:pStyle w:val="24"/>
        <w:spacing w:beforeAutospacing="0" w:afterAutospacing="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【正本/副本】</w:t>
      </w:r>
    </w:p>
    <w:p w14:paraId="182C67DD">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48F5C642">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0061F7A9">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32A64362">
      <w:pPr>
        <w:pStyle w:val="24"/>
        <w:tabs>
          <w:tab w:val="left" w:pos="1260"/>
        </w:tabs>
        <w:spacing w:beforeAutospacing="0" w:afterAutospacing="0" w:line="360" w:lineRule="auto"/>
        <w:rPr>
          <w:rFonts w:hint="eastAsia" w:ascii="宋体" w:hAnsi="宋体" w:eastAsia="宋体" w:cs="宋体"/>
          <w:b/>
          <w:color w:val="auto"/>
          <w:spacing w:val="100"/>
          <w:sz w:val="48"/>
          <w:szCs w:val="48"/>
          <w:highlight w:val="none"/>
        </w:rPr>
      </w:pPr>
    </w:p>
    <w:p w14:paraId="254F1B96">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3DAE160B">
      <w:pPr>
        <w:pStyle w:val="24"/>
        <w:tabs>
          <w:tab w:val="left" w:pos="1260"/>
        </w:tabs>
        <w:spacing w:beforeAutospacing="0" w:afterAutospacing="0" w:line="360" w:lineRule="auto"/>
        <w:jc w:val="center"/>
        <w:rPr>
          <w:rFonts w:hint="eastAsia" w:ascii="宋体" w:hAnsi="宋体" w:eastAsia="宋体" w:cs="宋体"/>
          <w:b/>
          <w:color w:val="auto"/>
          <w:spacing w:val="100"/>
          <w:sz w:val="84"/>
          <w:szCs w:val="84"/>
          <w:highlight w:val="none"/>
        </w:rPr>
      </w:pPr>
      <w:r>
        <w:rPr>
          <w:rFonts w:hint="eastAsia" w:ascii="宋体" w:hAnsi="宋体" w:eastAsia="宋体" w:cs="宋体"/>
          <w:b/>
          <w:color w:val="auto"/>
          <w:spacing w:val="100"/>
          <w:sz w:val="84"/>
          <w:szCs w:val="84"/>
          <w:highlight w:val="none"/>
        </w:rPr>
        <w:t>投标文件</w:t>
      </w:r>
    </w:p>
    <w:p w14:paraId="25179006">
      <w:pPr>
        <w:pStyle w:val="24"/>
        <w:spacing w:beforeAutospacing="0" w:afterAutospacing="0" w:line="360" w:lineRule="auto"/>
        <w:jc w:val="center"/>
        <w:rPr>
          <w:rFonts w:hint="eastAsia" w:ascii="宋体" w:hAnsi="宋体" w:eastAsia="宋体" w:cs="宋体"/>
          <w:b/>
          <w:color w:val="auto"/>
          <w:sz w:val="28"/>
          <w:szCs w:val="28"/>
          <w:highlight w:val="none"/>
        </w:rPr>
      </w:pPr>
    </w:p>
    <w:p w14:paraId="19AEEA1B">
      <w:pPr>
        <w:pStyle w:val="24"/>
        <w:spacing w:beforeAutospacing="0" w:afterAutospacing="0" w:line="360" w:lineRule="auto"/>
        <w:jc w:val="center"/>
        <w:rPr>
          <w:rFonts w:hint="eastAsia" w:ascii="宋体" w:hAnsi="宋体" w:eastAsia="宋体" w:cs="宋体"/>
          <w:b/>
          <w:color w:val="auto"/>
          <w:sz w:val="28"/>
          <w:szCs w:val="28"/>
          <w:highlight w:val="none"/>
        </w:rPr>
      </w:pPr>
    </w:p>
    <w:p w14:paraId="679C9866">
      <w:pPr>
        <w:pStyle w:val="24"/>
        <w:spacing w:beforeAutospacing="0" w:afterAutospacing="0" w:line="360" w:lineRule="auto"/>
        <w:ind w:firstLine="1521" w:firstLineChars="541"/>
        <w:rPr>
          <w:rFonts w:hint="eastAsia" w:ascii="宋体" w:hAnsi="宋体" w:eastAsia="宋体" w:cs="宋体"/>
          <w:b/>
          <w:color w:val="auto"/>
          <w:sz w:val="28"/>
          <w:szCs w:val="28"/>
          <w:highlight w:val="none"/>
        </w:rPr>
      </w:pPr>
    </w:p>
    <w:p w14:paraId="081AA636">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rPr>
      </w:pPr>
      <w:bookmarkStart w:id="151" w:name="_Toc10412"/>
      <w:bookmarkEnd w:id="151"/>
      <w:bookmarkStart w:id="152" w:name="_Toc30208"/>
      <w:r>
        <w:rPr>
          <w:rFonts w:hint="eastAsia" w:ascii="宋体" w:hAnsi="宋体" w:eastAsia="宋体" w:cs="宋体"/>
          <w:b/>
          <w:color w:val="auto"/>
          <w:sz w:val="28"/>
          <w:szCs w:val="28"/>
          <w:highlight w:val="none"/>
        </w:rPr>
        <w:t>项目编号：</w:t>
      </w:r>
      <w:bookmarkEnd w:id="152"/>
    </w:p>
    <w:p w14:paraId="7D940638">
      <w:pPr>
        <w:pStyle w:val="20"/>
        <w:ind w:left="481" w:leftChars="229" w:firstLine="967" w:firstLineChars="344"/>
        <w:outlineLvl w:val="0"/>
        <w:rPr>
          <w:rFonts w:hint="eastAsia" w:ascii="宋体" w:hAnsi="宋体" w:eastAsia="宋体" w:cs="宋体"/>
          <w:b/>
          <w:color w:val="auto"/>
          <w:sz w:val="28"/>
          <w:szCs w:val="28"/>
          <w:highlight w:val="none"/>
        </w:rPr>
      </w:pPr>
      <w:bookmarkStart w:id="153" w:name="_Toc641"/>
      <w:bookmarkEnd w:id="153"/>
      <w:bookmarkStart w:id="154" w:name="_Toc30657"/>
      <w:r>
        <w:rPr>
          <w:rFonts w:hint="eastAsia" w:ascii="宋体" w:hAnsi="宋体" w:eastAsia="宋体" w:cs="宋体"/>
          <w:b/>
          <w:color w:val="auto"/>
          <w:sz w:val="28"/>
          <w:szCs w:val="28"/>
          <w:highlight w:val="none"/>
        </w:rPr>
        <w:t>项目名称：</w:t>
      </w:r>
      <w:bookmarkEnd w:id="154"/>
    </w:p>
    <w:p w14:paraId="492357D9">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u w:val="single"/>
        </w:rPr>
      </w:pPr>
      <w:bookmarkStart w:id="155" w:name="_Toc22056"/>
      <w:bookmarkEnd w:id="155"/>
      <w:bookmarkStart w:id="156" w:name="_Toc12829"/>
      <w:r>
        <w:rPr>
          <w:rFonts w:hint="eastAsia" w:ascii="宋体" w:hAnsi="宋体" w:eastAsia="宋体" w:cs="宋体"/>
          <w:b/>
          <w:color w:val="auto"/>
          <w:sz w:val="28"/>
          <w:szCs w:val="28"/>
          <w:highlight w:val="none"/>
        </w:rPr>
        <w:t>投标人名称：</w:t>
      </w:r>
      <w:bookmarkEnd w:id="156"/>
    </w:p>
    <w:p w14:paraId="43B29A65">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rPr>
      </w:pPr>
      <w:bookmarkStart w:id="157" w:name="_Toc4396"/>
      <w:bookmarkEnd w:id="157"/>
      <w:bookmarkStart w:id="158" w:name="_Toc4060"/>
      <w:r>
        <w:rPr>
          <w:rFonts w:hint="eastAsia" w:ascii="宋体" w:hAnsi="宋体" w:eastAsia="宋体" w:cs="宋体"/>
          <w:b/>
          <w:color w:val="auto"/>
          <w:sz w:val="28"/>
          <w:szCs w:val="28"/>
          <w:highlight w:val="none"/>
        </w:rPr>
        <w:t>日期：</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bookmarkEnd w:id="158"/>
    </w:p>
    <w:p w14:paraId="67A2762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6F9D04F">
      <w:pPr>
        <w:pStyle w:val="4"/>
        <w:numPr>
          <w:ilvl w:val="0"/>
          <w:numId w:val="0"/>
        </w:numPr>
        <w:spacing w:beforeAutospacing="0" w:after="120" w:afterAutospacing="0"/>
        <w:jc w:val="left"/>
        <w:rPr>
          <w:rFonts w:hint="eastAsia" w:ascii="宋体" w:hAnsi="宋体" w:eastAsia="宋体" w:cs="宋体"/>
          <w:b/>
          <w:bCs/>
          <w:color w:val="auto"/>
          <w:highlight w:val="none"/>
        </w:rPr>
      </w:pPr>
      <w:bookmarkStart w:id="159" w:name="_Toc29156"/>
      <w:bookmarkEnd w:id="159"/>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rPr>
        <w:t>自查表</w:t>
      </w:r>
    </w:p>
    <w:p w14:paraId="143000F6">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资格性自查表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5510"/>
        <w:gridCol w:w="1064"/>
        <w:gridCol w:w="1233"/>
      </w:tblGrid>
      <w:tr w14:paraId="5A4C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4" w:type="pct"/>
            <w:noWrap w:val="0"/>
            <w:vAlign w:val="center"/>
          </w:tcPr>
          <w:p w14:paraId="67D1A4B6">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236" w:type="pct"/>
            <w:noWrap w:val="0"/>
            <w:vAlign w:val="center"/>
          </w:tcPr>
          <w:p w14:paraId="109FABBE">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625" w:type="pct"/>
            <w:noWrap w:val="0"/>
            <w:vAlign w:val="center"/>
          </w:tcPr>
          <w:p w14:paraId="5705DEA1">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w:t>
            </w:r>
          </w:p>
          <w:p w14:paraId="3CD6D94E">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c>
          <w:tcPr>
            <w:tcW w:w="724" w:type="pct"/>
            <w:noWrap w:val="0"/>
            <w:vAlign w:val="center"/>
          </w:tcPr>
          <w:p w14:paraId="6C4FCB4C">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证明材料</w:t>
            </w:r>
          </w:p>
        </w:tc>
      </w:tr>
      <w:tr w14:paraId="535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14" w:type="pct"/>
            <w:noWrap w:val="0"/>
            <w:vAlign w:val="center"/>
          </w:tcPr>
          <w:p w14:paraId="3000FCB5">
            <w:pPr>
              <w:autoSpaceDN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36" w:type="pct"/>
            <w:noWrap w:val="0"/>
            <w:vAlign w:val="center"/>
          </w:tcPr>
          <w:p w14:paraId="1546FEC9">
            <w:pPr>
              <w:pStyle w:val="42"/>
              <w:widowControl/>
              <w:shd w:val="clear" w:color="auto" w:fill="FFFFFF"/>
              <w:spacing w:line="480" w:lineRule="exact"/>
              <w:textAlignment w:val="baseline"/>
              <w:rPr>
                <w:rFonts w:hint="eastAsia" w:ascii="宋体" w:hAnsi="宋体" w:eastAsia="宋体" w:cs="宋体"/>
                <w:color w:val="auto"/>
                <w:sz w:val="21"/>
                <w:szCs w:val="21"/>
                <w:highlight w:val="none"/>
              </w:rPr>
            </w:pPr>
          </w:p>
        </w:tc>
        <w:tc>
          <w:tcPr>
            <w:tcW w:w="625" w:type="pct"/>
            <w:noWrap w:val="0"/>
            <w:vAlign w:val="center"/>
          </w:tcPr>
          <w:p w14:paraId="02B2B0D7">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     □不通过</w:t>
            </w:r>
          </w:p>
        </w:tc>
        <w:tc>
          <w:tcPr>
            <w:tcW w:w="724" w:type="pct"/>
            <w:noWrap w:val="0"/>
            <w:vAlign w:val="center"/>
          </w:tcPr>
          <w:p w14:paraId="319C879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24F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88DC1E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36" w:type="pct"/>
            <w:noWrap w:val="0"/>
            <w:vAlign w:val="center"/>
          </w:tcPr>
          <w:p w14:paraId="13D1A91F">
            <w:pPr>
              <w:pStyle w:val="42"/>
              <w:widowControl/>
              <w:shd w:val="clear" w:color="auto" w:fill="FFFFFF"/>
              <w:spacing w:line="480" w:lineRule="exact"/>
              <w:textAlignment w:val="baseline"/>
              <w:rPr>
                <w:rFonts w:hint="eastAsia" w:ascii="宋体" w:hAnsi="宋体" w:eastAsia="宋体" w:cs="宋体"/>
                <w:color w:val="auto"/>
                <w:szCs w:val="21"/>
                <w:highlight w:val="none"/>
                <w:lang w:eastAsia="zh-CN"/>
              </w:rPr>
            </w:pPr>
          </w:p>
        </w:tc>
        <w:tc>
          <w:tcPr>
            <w:tcW w:w="625" w:type="pct"/>
            <w:noWrap w:val="0"/>
            <w:vAlign w:val="center"/>
          </w:tcPr>
          <w:p w14:paraId="1189D65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24" w:type="pct"/>
            <w:noWrap w:val="0"/>
            <w:vAlign w:val="center"/>
          </w:tcPr>
          <w:p w14:paraId="5EBF126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26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5C6B9AF9">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236" w:type="pct"/>
            <w:noWrap w:val="0"/>
            <w:vAlign w:val="center"/>
          </w:tcPr>
          <w:p w14:paraId="2664491A">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noWrap w:val="0"/>
            <w:vAlign w:val="center"/>
          </w:tcPr>
          <w:p w14:paraId="66B0981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□通过     □不通过</w:t>
            </w:r>
          </w:p>
        </w:tc>
        <w:tc>
          <w:tcPr>
            <w:tcW w:w="724" w:type="pct"/>
            <w:noWrap w:val="0"/>
            <w:vAlign w:val="center"/>
          </w:tcPr>
          <w:p w14:paraId="3E9BAAF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E2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A3901AD">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3236" w:type="pct"/>
            <w:noWrap w:val="0"/>
            <w:vAlign w:val="center"/>
          </w:tcPr>
          <w:p w14:paraId="03CDA27B">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noWrap w:val="0"/>
            <w:vAlign w:val="center"/>
          </w:tcPr>
          <w:p w14:paraId="384C2E5A">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24" w:type="pct"/>
            <w:noWrap w:val="0"/>
            <w:vAlign w:val="center"/>
          </w:tcPr>
          <w:p w14:paraId="379F2D0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E24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0E1811A5">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236" w:type="pct"/>
            <w:noWrap w:val="0"/>
            <w:vAlign w:val="center"/>
          </w:tcPr>
          <w:p w14:paraId="6E2FE09D">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4894DF0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     □不通过</w:t>
            </w:r>
          </w:p>
        </w:tc>
        <w:tc>
          <w:tcPr>
            <w:tcW w:w="724" w:type="pct"/>
            <w:shd w:val="clear" w:color="auto" w:fill="auto"/>
            <w:noWrap w:val="0"/>
            <w:vAlign w:val="center"/>
          </w:tcPr>
          <w:p w14:paraId="05583F70">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42D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23370153">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236" w:type="pct"/>
            <w:noWrap w:val="0"/>
            <w:vAlign w:val="center"/>
          </w:tcPr>
          <w:p w14:paraId="5FD0366D">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23D4FF14">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     □不通过</w:t>
            </w:r>
          </w:p>
        </w:tc>
        <w:tc>
          <w:tcPr>
            <w:tcW w:w="724" w:type="pct"/>
            <w:shd w:val="clear" w:color="auto" w:fill="auto"/>
            <w:noWrap w:val="0"/>
            <w:vAlign w:val="center"/>
          </w:tcPr>
          <w:p w14:paraId="1FC4F9C6">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E0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3A23E770">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236" w:type="pct"/>
            <w:noWrap w:val="0"/>
            <w:vAlign w:val="center"/>
          </w:tcPr>
          <w:p w14:paraId="1A829EFB">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3F7B675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□通过     □不通过</w:t>
            </w:r>
          </w:p>
        </w:tc>
        <w:tc>
          <w:tcPr>
            <w:tcW w:w="724" w:type="pct"/>
            <w:shd w:val="clear" w:color="auto" w:fill="auto"/>
            <w:noWrap w:val="0"/>
            <w:vAlign w:val="center"/>
          </w:tcPr>
          <w:p w14:paraId="3708611E">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14FF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6DCA74E2">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236" w:type="pct"/>
            <w:noWrap w:val="0"/>
            <w:vAlign w:val="center"/>
          </w:tcPr>
          <w:p w14:paraId="0829FE36">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735CD9B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□通过     □不通过</w:t>
            </w:r>
          </w:p>
        </w:tc>
        <w:tc>
          <w:tcPr>
            <w:tcW w:w="724" w:type="pct"/>
            <w:shd w:val="clear" w:color="auto" w:fill="auto"/>
            <w:noWrap w:val="0"/>
            <w:vAlign w:val="center"/>
          </w:tcPr>
          <w:p w14:paraId="7C258228">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CB0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6A62795">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3236" w:type="pct"/>
            <w:noWrap w:val="0"/>
            <w:vAlign w:val="center"/>
          </w:tcPr>
          <w:p w14:paraId="3AE5D6FE">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2EDE2375">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3D61CCF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9C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969F595">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236" w:type="pct"/>
            <w:noWrap w:val="0"/>
            <w:vAlign w:val="center"/>
          </w:tcPr>
          <w:p w14:paraId="01747DF4">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6A0277D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5C9C828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B2E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2A7556D0">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236" w:type="pct"/>
            <w:noWrap w:val="0"/>
            <w:vAlign w:val="center"/>
          </w:tcPr>
          <w:p w14:paraId="72705571">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35F7F29B">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376FCCA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14:paraId="0F44FE0E">
      <w:pPr>
        <w:spacing w:beforeAutospacing="0" w:afterAutospacing="0" w:line="360" w:lineRule="auto"/>
        <w:jc w:val="center"/>
        <w:rPr>
          <w:rFonts w:hint="eastAsia" w:ascii="宋体" w:hAnsi="宋体" w:eastAsia="宋体" w:cs="宋体"/>
          <w:b/>
          <w:color w:val="auto"/>
          <w:sz w:val="28"/>
          <w:szCs w:val="28"/>
          <w:highlight w:val="none"/>
          <w:lang w:eastAsia="zh-CN"/>
        </w:rPr>
      </w:pPr>
    </w:p>
    <w:p w14:paraId="4CAAFC8D">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14418014">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2.</w:t>
      </w:r>
      <w:r>
        <w:rPr>
          <w:rFonts w:hint="eastAsia" w:ascii="宋体" w:hAnsi="宋体" w:eastAsia="宋体" w:cs="宋体"/>
          <w:b/>
          <w:color w:val="auto"/>
          <w:sz w:val="28"/>
          <w:szCs w:val="28"/>
          <w:highlight w:val="none"/>
        </w:rPr>
        <w:t>符合性自查表</w:t>
      </w:r>
    </w:p>
    <w:tbl>
      <w:tblPr>
        <w:tblStyle w:val="47"/>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5497"/>
        <w:gridCol w:w="1161"/>
        <w:gridCol w:w="1212"/>
      </w:tblGrid>
      <w:tr w14:paraId="7C2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307E769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28" w:type="pct"/>
            <w:vAlign w:val="center"/>
          </w:tcPr>
          <w:p w14:paraId="63E6649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682" w:type="pct"/>
            <w:vAlign w:val="center"/>
          </w:tcPr>
          <w:p w14:paraId="6F05EA7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711" w:type="pct"/>
            <w:vAlign w:val="center"/>
          </w:tcPr>
          <w:p w14:paraId="12922651">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证明材料</w:t>
            </w:r>
          </w:p>
        </w:tc>
      </w:tr>
      <w:tr w14:paraId="76BB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7" w:type="pct"/>
            <w:vAlign w:val="center"/>
          </w:tcPr>
          <w:p w14:paraId="311C730F">
            <w:pPr>
              <w:spacing w:beforeAutospacing="0" w:afterAutospacing="0"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28" w:type="pct"/>
            <w:vAlign w:val="center"/>
          </w:tcPr>
          <w:p w14:paraId="041BE782">
            <w:pPr>
              <w:rPr>
                <w:rFonts w:hint="eastAsia" w:ascii="宋体" w:hAnsi="宋体" w:eastAsia="宋体" w:cs="宋体"/>
                <w:color w:val="auto"/>
                <w:szCs w:val="21"/>
                <w:highlight w:val="none"/>
              </w:rPr>
            </w:pPr>
          </w:p>
        </w:tc>
        <w:tc>
          <w:tcPr>
            <w:tcW w:w="682" w:type="pct"/>
            <w:vAlign w:val="center"/>
          </w:tcPr>
          <w:p w14:paraId="7B97C81C">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6FF507B">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D30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013C49F1">
            <w:pPr>
              <w:spacing w:beforeAutospacing="0" w:afterAutospacing="0" w:line="38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28" w:type="pct"/>
            <w:vAlign w:val="center"/>
          </w:tcPr>
          <w:p w14:paraId="7F0F5D63">
            <w:pPr>
              <w:rPr>
                <w:rFonts w:hint="eastAsia" w:ascii="宋体" w:hAnsi="宋体" w:eastAsia="宋体" w:cs="宋体"/>
                <w:color w:val="auto"/>
                <w:sz w:val="21"/>
                <w:szCs w:val="21"/>
                <w:highlight w:val="none"/>
              </w:rPr>
            </w:pPr>
          </w:p>
        </w:tc>
        <w:tc>
          <w:tcPr>
            <w:tcW w:w="1161" w:type="dxa"/>
            <w:vAlign w:val="center"/>
          </w:tcPr>
          <w:p w14:paraId="790FCC1E">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12" w:type="dxa"/>
            <w:vAlign w:val="center"/>
          </w:tcPr>
          <w:p w14:paraId="5787E213">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2F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170C2FA6">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3228" w:type="pct"/>
            <w:vAlign w:val="center"/>
          </w:tcPr>
          <w:p w14:paraId="49B81D08">
            <w:pPr>
              <w:rPr>
                <w:rFonts w:hint="eastAsia" w:ascii="宋体" w:hAnsi="宋体" w:eastAsia="宋体" w:cs="宋体"/>
                <w:color w:val="auto"/>
                <w:szCs w:val="21"/>
                <w:highlight w:val="none"/>
              </w:rPr>
            </w:pPr>
          </w:p>
        </w:tc>
        <w:tc>
          <w:tcPr>
            <w:tcW w:w="682" w:type="pct"/>
            <w:vAlign w:val="center"/>
          </w:tcPr>
          <w:p w14:paraId="31ADF1AD">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C300F76">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06E6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26D09C91">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3228" w:type="pct"/>
            <w:vAlign w:val="center"/>
          </w:tcPr>
          <w:p w14:paraId="195F46F0">
            <w:pPr>
              <w:rPr>
                <w:rFonts w:hint="eastAsia" w:ascii="宋体" w:hAnsi="宋体" w:eastAsia="宋体" w:cs="宋体"/>
                <w:color w:val="auto"/>
                <w:szCs w:val="21"/>
                <w:highlight w:val="none"/>
              </w:rPr>
            </w:pPr>
          </w:p>
        </w:tc>
        <w:tc>
          <w:tcPr>
            <w:tcW w:w="682" w:type="pct"/>
            <w:vAlign w:val="center"/>
          </w:tcPr>
          <w:p w14:paraId="63B7E5D4">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AFBC0FA">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836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14144949">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3228" w:type="pct"/>
            <w:vAlign w:val="center"/>
          </w:tcPr>
          <w:p w14:paraId="03FEB347">
            <w:pPr>
              <w:rPr>
                <w:rFonts w:hint="eastAsia" w:ascii="宋体" w:hAnsi="宋体" w:eastAsia="宋体" w:cs="宋体"/>
                <w:color w:val="auto"/>
                <w:szCs w:val="21"/>
                <w:highlight w:val="none"/>
              </w:rPr>
            </w:pPr>
          </w:p>
        </w:tc>
        <w:tc>
          <w:tcPr>
            <w:tcW w:w="682" w:type="pct"/>
            <w:vAlign w:val="center"/>
          </w:tcPr>
          <w:p w14:paraId="13A09530">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8B0B12A">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346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5EF8F681">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3228" w:type="pct"/>
            <w:vAlign w:val="center"/>
          </w:tcPr>
          <w:p w14:paraId="162C563F">
            <w:pPr>
              <w:rPr>
                <w:rFonts w:hint="eastAsia" w:ascii="宋体" w:hAnsi="宋体" w:eastAsia="宋体" w:cs="宋体"/>
                <w:color w:val="auto"/>
                <w:szCs w:val="21"/>
                <w:highlight w:val="none"/>
              </w:rPr>
            </w:pPr>
          </w:p>
        </w:tc>
        <w:tc>
          <w:tcPr>
            <w:tcW w:w="682" w:type="pct"/>
            <w:vAlign w:val="center"/>
          </w:tcPr>
          <w:p w14:paraId="239D220C">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2602525">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1553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01173565">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3228" w:type="pct"/>
            <w:vAlign w:val="center"/>
          </w:tcPr>
          <w:p w14:paraId="7B3A7CF1">
            <w:pPr>
              <w:rPr>
                <w:rFonts w:hint="eastAsia" w:ascii="宋体" w:hAnsi="宋体" w:eastAsia="宋体" w:cs="宋体"/>
                <w:color w:val="auto"/>
                <w:szCs w:val="21"/>
                <w:highlight w:val="none"/>
              </w:rPr>
            </w:pPr>
          </w:p>
        </w:tc>
        <w:tc>
          <w:tcPr>
            <w:tcW w:w="682" w:type="pct"/>
            <w:vAlign w:val="center"/>
          </w:tcPr>
          <w:p w14:paraId="771CBBD3">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ECE63E4">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1E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6BBCC397">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3228" w:type="pct"/>
            <w:vAlign w:val="center"/>
          </w:tcPr>
          <w:p w14:paraId="7261A8DA">
            <w:pPr>
              <w:rPr>
                <w:rFonts w:hint="eastAsia" w:ascii="宋体" w:hAnsi="宋体" w:eastAsia="宋体" w:cs="宋体"/>
                <w:color w:val="auto"/>
                <w:szCs w:val="21"/>
                <w:highlight w:val="none"/>
              </w:rPr>
            </w:pPr>
          </w:p>
        </w:tc>
        <w:tc>
          <w:tcPr>
            <w:tcW w:w="682" w:type="pct"/>
            <w:vAlign w:val="center"/>
          </w:tcPr>
          <w:p w14:paraId="7493AF73">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0BE0787">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bl>
    <w:p w14:paraId="74194F3A">
      <w:pPr>
        <w:rPr>
          <w:rFonts w:hint="eastAsia" w:ascii="宋体" w:hAnsi="宋体" w:eastAsia="宋体" w:cs="宋体"/>
          <w:b/>
          <w:color w:val="auto"/>
          <w:sz w:val="28"/>
          <w:szCs w:val="22"/>
          <w:highlight w:val="none"/>
          <w:lang w:eastAsia="zh-CN"/>
        </w:rPr>
      </w:pPr>
      <w:r>
        <w:rPr>
          <w:rFonts w:hint="eastAsia" w:ascii="宋体" w:hAnsi="宋体" w:eastAsia="宋体" w:cs="宋体"/>
          <w:b/>
          <w:color w:val="auto"/>
          <w:sz w:val="28"/>
          <w:szCs w:val="22"/>
          <w:highlight w:val="none"/>
          <w:lang w:eastAsia="zh-CN"/>
        </w:rPr>
        <w:br w:type="page"/>
      </w:r>
    </w:p>
    <w:p w14:paraId="04B88DCF">
      <w:pPr>
        <w:jc w:val="center"/>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eastAsia="zh-CN"/>
        </w:rPr>
        <w:t>3.</w:t>
      </w:r>
      <w:r>
        <w:rPr>
          <w:rFonts w:hint="eastAsia" w:ascii="宋体" w:hAnsi="宋体" w:eastAsia="宋体" w:cs="宋体"/>
          <w:b/>
          <w:color w:val="auto"/>
          <w:sz w:val="28"/>
          <w:szCs w:val="22"/>
          <w:highlight w:val="none"/>
        </w:rPr>
        <w:t>商务评审自查表</w:t>
      </w:r>
    </w:p>
    <w:tbl>
      <w:tblPr>
        <w:tblStyle w:val="47"/>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32"/>
        <w:gridCol w:w="4554"/>
        <w:gridCol w:w="1141"/>
      </w:tblGrid>
      <w:tr w14:paraId="2F29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0" w:type="pct"/>
            <w:vAlign w:val="center"/>
          </w:tcPr>
          <w:p w14:paraId="2CF0FB06">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序号</w:t>
            </w:r>
          </w:p>
        </w:tc>
        <w:tc>
          <w:tcPr>
            <w:tcW w:w="1245" w:type="pct"/>
            <w:vAlign w:val="center"/>
          </w:tcPr>
          <w:p w14:paraId="59A5F940">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评审内容</w:t>
            </w:r>
          </w:p>
        </w:tc>
        <w:tc>
          <w:tcPr>
            <w:tcW w:w="2659" w:type="pct"/>
            <w:vAlign w:val="center"/>
          </w:tcPr>
          <w:p w14:paraId="3DC9379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评分准则</w:t>
            </w:r>
          </w:p>
        </w:tc>
        <w:tc>
          <w:tcPr>
            <w:tcW w:w="664" w:type="pct"/>
            <w:vAlign w:val="center"/>
          </w:tcPr>
          <w:p w14:paraId="42105428">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证明文件</w:t>
            </w:r>
          </w:p>
        </w:tc>
      </w:tr>
      <w:tr w14:paraId="2DC9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0" w:type="pct"/>
            <w:vAlign w:val="center"/>
          </w:tcPr>
          <w:p w14:paraId="742AD900">
            <w:pPr>
              <w:pStyle w:val="16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pct"/>
            <w:vAlign w:val="center"/>
          </w:tcPr>
          <w:p w14:paraId="735B749E">
            <w:pPr>
              <w:pStyle w:val="160"/>
              <w:snapToGrid w:val="0"/>
              <w:spacing w:before="0" w:beforeAutospacing="0" w:after="0" w:afterAutospacing="0" w:line="360" w:lineRule="auto"/>
              <w:rPr>
                <w:rFonts w:hint="eastAsia" w:ascii="宋体" w:hAnsi="宋体" w:eastAsia="宋体" w:cs="宋体"/>
                <w:color w:val="auto"/>
                <w:sz w:val="21"/>
                <w:szCs w:val="21"/>
                <w:highlight w:val="none"/>
              </w:rPr>
            </w:pPr>
          </w:p>
        </w:tc>
        <w:tc>
          <w:tcPr>
            <w:tcW w:w="2659" w:type="pct"/>
            <w:vAlign w:val="center"/>
          </w:tcPr>
          <w:p w14:paraId="1E5C86C3">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664" w:type="pct"/>
            <w:vAlign w:val="center"/>
          </w:tcPr>
          <w:p w14:paraId="724C250F">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D13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0" w:type="pct"/>
            <w:vAlign w:val="center"/>
          </w:tcPr>
          <w:p w14:paraId="7A00A00D">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45" w:type="pct"/>
            <w:vAlign w:val="center"/>
          </w:tcPr>
          <w:p w14:paraId="49B88136">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1E294743">
            <w:pPr>
              <w:pStyle w:val="179"/>
              <w:snapToGrid w:val="0"/>
              <w:spacing w:beforeAutospacing="0" w:afterAutospacing="0" w:line="360" w:lineRule="auto"/>
              <w:rPr>
                <w:rFonts w:hint="eastAsia" w:ascii="宋体" w:hAnsi="宋体" w:eastAsia="宋体" w:cs="宋体"/>
                <w:color w:val="auto"/>
                <w:szCs w:val="21"/>
                <w:highlight w:val="none"/>
              </w:rPr>
            </w:pPr>
          </w:p>
        </w:tc>
        <w:tc>
          <w:tcPr>
            <w:tcW w:w="664" w:type="pct"/>
            <w:vAlign w:val="center"/>
          </w:tcPr>
          <w:p w14:paraId="5A7E8B97">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05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0" w:type="pct"/>
            <w:vAlign w:val="center"/>
          </w:tcPr>
          <w:p w14:paraId="3EC9BDAC">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45" w:type="pct"/>
            <w:vAlign w:val="center"/>
          </w:tcPr>
          <w:p w14:paraId="574CDA3A">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1A8908A2">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664" w:type="pct"/>
            <w:vAlign w:val="center"/>
          </w:tcPr>
          <w:p w14:paraId="54225B8F">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24E4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pct"/>
            <w:vAlign w:val="center"/>
          </w:tcPr>
          <w:p w14:paraId="78AC95DB">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45" w:type="pct"/>
            <w:vAlign w:val="center"/>
          </w:tcPr>
          <w:p w14:paraId="05DA1A65">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05D6ED92">
            <w:pPr>
              <w:pStyle w:val="179"/>
              <w:snapToGrid w:val="0"/>
              <w:spacing w:beforeAutospacing="0" w:afterAutospacing="0" w:line="360" w:lineRule="auto"/>
              <w:rPr>
                <w:rFonts w:hint="eastAsia" w:ascii="宋体" w:hAnsi="宋体" w:eastAsia="宋体" w:cs="宋体"/>
                <w:color w:val="auto"/>
                <w:szCs w:val="21"/>
                <w:highlight w:val="none"/>
              </w:rPr>
            </w:pPr>
          </w:p>
        </w:tc>
        <w:tc>
          <w:tcPr>
            <w:tcW w:w="664" w:type="pct"/>
            <w:vAlign w:val="center"/>
          </w:tcPr>
          <w:p w14:paraId="24A59412">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C1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5F9FBDCD">
            <w:pPr>
              <w:snapToGrid w:val="0"/>
              <w:spacing w:beforeAutospacing="0" w:afterAutospacing="0" w:line="360" w:lineRule="auto"/>
              <w:ind w:left="-65" w:leftChars="-3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说明：按招标文件中《综合评分表》评审内容填写，并注明每项评审内容所对应的页码，以便查对。</w:t>
            </w:r>
          </w:p>
        </w:tc>
      </w:tr>
    </w:tbl>
    <w:p w14:paraId="2C51DCAE">
      <w:pPr>
        <w:rPr>
          <w:rFonts w:hint="eastAsia" w:ascii="宋体" w:hAnsi="宋体" w:eastAsia="宋体" w:cs="宋体"/>
          <w:color w:val="auto"/>
          <w:highlight w:val="none"/>
        </w:rPr>
      </w:pPr>
    </w:p>
    <w:p w14:paraId="262A507B">
      <w:pPr>
        <w:jc w:val="center"/>
        <w:rPr>
          <w:rFonts w:hint="eastAsia" w:ascii="宋体" w:hAnsi="宋体" w:eastAsia="宋体" w:cs="宋体"/>
          <w:b/>
          <w:color w:val="auto"/>
          <w:sz w:val="28"/>
          <w:highlight w:val="none"/>
        </w:rPr>
      </w:pPr>
      <w:r>
        <w:rPr>
          <w:rFonts w:hint="eastAsia" w:ascii="宋体" w:hAnsi="宋体" w:eastAsia="宋体" w:cs="宋体"/>
          <w:b/>
          <w:color w:val="auto"/>
          <w:sz w:val="28"/>
          <w:szCs w:val="22"/>
          <w:highlight w:val="none"/>
          <w:lang w:eastAsia="zh-CN"/>
        </w:rPr>
        <w:t>4.</w:t>
      </w:r>
      <w:r>
        <w:rPr>
          <w:rFonts w:hint="eastAsia" w:ascii="宋体" w:hAnsi="宋体" w:eastAsia="宋体" w:cs="宋体"/>
          <w:b/>
          <w:color w:val="auto"/>
          <w:sz w:val="28"/>
          <w:szCs w:val="22"/>
          <w:highlight w:val="none"/>
        </w:rPr>
        <w:t>技术评审自查表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40"/>
        <w:gridCol w:w="4878"/>
        <w:gridCol w:w="1251"/>
      </w:tblGrid>
      <w:tr w14:paraId="20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7" w:type="pct"/>
            <w:vAlign w:val="center"/>
          </w:tcPr>
          <w:p w14:paraId="5B1166C1">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序号</w:t>
            </w:r>
          </w:p>
        </w:tc>
        <w:tc>
          <w:tcPr>
            <w:tcW w:w="963" w:type="pct"/>
            <w:vAlign w:val="center"/>
          </w:tcPr>
          <w:p w14:paraId="5ADF1544">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评审内容</w:t>
            </w:r>
          </w:p>
        </w:tc>
        <w:tc>
          <w:tcPr>
            <w:tcW w:w="2865" w:type="pct"/>
            <w:vAlign w:val="center"/>
          </w:tcPr>
          <w:p w14:paraId="2042231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评分准则</w:t>
            </w:r>
          </w:p>
        </w:tc>
        <w:tc>
          <w:tcPr>
            <w:tcW w:w="733" w:type="pct"/>
            <w:vAlign w:val="center"/>
          </w:tcPr>
          <w:p w14:paraId="4C5BE89A">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证明文件</w:t>
            </w:r>
          </w:p>
        </w:tc>
      </w:tr>
      <w:tr w14:paraId="6A2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7" w:type="pct"/>
            <w:vAlign w:val="center"/>
          </w:tcPr>
          <w:p w14:paraId="689D516D">
            <w:pPr>
              <w:pStyle w:val="16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3" w:type="pct"/>
            <w:vAlign w:val="center"/>
          </w:tcPr>
          <w:p w14:paraId="43E66B5C">
            <w:pPr>
              <w:pStyle w:val="160"/>
              <w:snapToGrid w:val="0"/>
              <w:spacing w:before="0" w:beforeAutospacing="0" w:after="0" w:afterAutospacing="0" w:line="360" w:lineRule="auto"/>
              <w:rPr>
                <w:rFonts w:hint="eastAsia" w:ascii="宋体" w:hAnsi="宋体" w:eastAsia="宋体" w:cs="宋体"/>
                <w:color w:val="auto"/>
                <w:sz w:val="21"/>
                <w:szCs w:val="21"/>
                <w:highlight w:val="none"/>
              </w:rPr>
            </w:pPr>
          </w:p>
        </w:tc>
        <w:tc>
          <w:tcPr>
            <w:tcW w:w="2865" w:type="pct"/>
            <w:vAlign w:val="center"/>
          </w:tcPr>
          <w:p w14:paraId="77F903BC">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733" w:type="pct"/>
            <w:vAlign w:val="center"/>
          </w:tcPr>
          <w:p w14:paraId="07ABC506">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D1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7" w:type="pct"/>
            <w:vAlign w:val="center"/>
          </w:tcPr>
          <w:p w14:paraId="4C396AAF">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63" w:type="pct"/>
            <w:vAlign w:val="center"/>
          </w:tcPr>
          <w:p w14:paraId="7596AF92">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594A6BD5">
            <w:pPr>
              <w:pStyle w:val="179"/>
              <w:snapToGrid w:val="0"/>
              <w:spacing w:beforeAutospacing="0" w:afterAutospacing="0" w:line="360" w:lineRule="auto"/>
              <w:rPr>
                <w:rFonts w:hint="eastAsia" w:ascii="宋体" w:hAnsi="宋体" w:eastAsia="宋体" w:cs="宋体"/>
                <w:color w:val="auto"/>
                <w:szCs w:val="21"/>
                <w:highlight w:val="none"/>
              </w:rPr>
            </w:pPr>
          </w:p>
        </w:tc>
        <w:tc>
          <w:tcPr>
            <w:tcW w:w="733" w:type="pct"/>
            <w:vAlign w:val="center"/>
          </w:tcPr>
          <w:p w14:paraId="1C9C0198">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2F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7" w:type="pct"/>
            <w:vAlign w:val="center"/>
          </w:tcPr>
          <w:p w14:paraId="7D7A0588">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63" w:type="pct"/>
            <w:vAlign w:val="center"/>
          </w:tcPr>
          <w:p w14:paraId="221B49A0">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15CD2C25">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733" w:type="pct"/>
            <w:vAlign w:val="center"/>
          </w:tcPr>
          <w:p w14:paraId="75A80246">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B14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7" w:type="pct"/>
            <w:vAlign w:val="center"/>
          </w:tcPr>
          <w:p w14:paraId="24D28AB9">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63" w:type="pct"/>
            <w:vAlign w:val="center"/>
          </w:tcPr>
          <w:p w14:paraId="5BA98EA7">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2857E16C">
            <w:pPr>
              <w:pStyle w:val="179"/>
              <w:snapToGrid w:val="0"/>
              <w:spacing w:beforeAutospacing="0" w:afterAutospacing="0" w:line="360" w:lineRule="auto"/>
              <w:rPr>
                <w:rFonts w:hint="eastAsia" w:ascii="宋体" w:hAnsi="宋体" w:eastAsia="宋体" w:cs="宋体"/>
                <w:color w:val="auto"/>
                <w:szCs w:val="21"/>
                <w:highlight w:val="none"/>
              </w:rPr>
            </w:pPr>
          </w:p>
        </w:tc>
        <w:tc>
          <w:tcPr>
            <w:tcW w:w="733" w:type="pct"/>
            <w:vAlign w:val="center"/>
          </w:tcPr>
          <w:p w14:paraId="572A9E2C">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38B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35888614">
            <w:pPr>
              <w:snapToGrid w:val="0"/>
              <w:spacing w:beforeAutospacing="0" w:afterAutospacing="0" w:line="360" w:lineRule="auto"/>
              <w:ind w:left="-65" w:leftChars="-3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说明：按招标文件中《综合评分表》评审内容填写，并注明每项评审内容所对应的页码，以便查对。</w:t>
            </w:r>
          </w:p>
        </w:tc>
      </w:tr>
    </w:tbl>
    <w:p w14:paraId="5ADEBD9D">
      <w:pPr>
        <w:spacing w:beforeAutospacing="0" w:afterAutospacing="0" w:line="360" w:lineRule="auto"/>
        <w:jc w:val="center"/>
        <w:rPr>
          <w:rFonts w:hint="eastAsia" w:ascii="宋体" w:hAnsi="宋体" w:eastAsia="宋体" w:cs="宋体"/>
          <w:b/>
          <w:color w:val="auto"/>
          <w:sz w:val="28"/>
          <w:highlight w:val="none"/>
        </w:rPr>
      </w:pPr>
    </w:p>
    <w:p w14:paraId="2BBFF722">
      <w:pPr>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07B558F">
      <w:pPr>
        <w:pStyle w:val="4"/>
        <w:spacing w:before="0" w:beforeAutospacing="0" w:after="120" w:afterAutospacing="0" w:line="240" w:lineRule="auto"/>
        <w:rPr>
          <w:rFonts w:hint="eastAsia" w:ascii="宋体" w:hAnsi="宋体" w:eastAsia="宋体" w:cs="宋体"/>
          <w:b/>
          <w:bCs/>
          <w:color w:val="auto"/>
          <w:highlight w:val="none"/>
        </w:rPr>
      </w:pPr>
      <w:bookmarkStart w:id="160" w:name="_Toc16224"/>
      <w:bookmarkEnd w:id="160"/>
      <w:r>
        <w:rPr>
          <w:rFonts w:hint="eastAsia" w:ascii="宋体" w:hAnsi="宋体" w:eastAsia="宋体" w:cs="宋体"/>
          <w:b/>
          <w:bCs/>
          <w:color w:val="auto"/>
          <w:highlight w:val="none"/>
        </w:rPr>
        <w:t>二、资格性、符合性文件</w:t>
      </w:r>
    </w:p>
    <w:p w14:paraId="6FF10E05">
      <w:pPr>
        <w:pStyle w:val="4"/>
        <w:keepNext w:val="0"/>
        <w:keepLines w:val="0"/>
        <w:pageBreakBefore w:val="0"/>
        <w:widowControl w:val="0"/>
        <w:kinsoku/>
        <w:wordWrap/>
        <w:overflowPunct/>
        <w:topLinePunct w:val="0"/>
        <w:autoSpaceDE/>
        <w:autoSpaceDN/>
        <w:bidi w:val="0"/>
        <w:spacing w:before="0" w:beforeAutospacing="0" w:after="120" w:afterAutospacing="0" w:line="288"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1.</w:t>
      </w:r>
      <w:r>
        <w:rPr>
          <w:rFonts w:hint="eastAsia" w:ascii="宋体" w:hAnsi="宋体" w:eastAsia="宋体" w:cs="宋体"/>
          <w:b/>
          <w:bCs/>
          <w:color w:val="auto"/>
          <w:sz w:val="28"/>
          <w:szCs w:val="28"/>
          <w:highlight w:val="none"/>
        </w:rPr>
        <w:t>投标（报价）函</w:t>
      </w:r>
    </w:p>
    <w:p w14:paraId="67BE779B">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47051303">
      <w:pPr>
        <w:keepNext w:val="0"/>
        <w:keepLines w:val="0"/>
        <w:pageBreakBefore w:val="0"/>
        <w:widowControl w:val="0"/>
        <w:kinsoku/>
        <w:wordWrap/>
        <w:overflowPunct/>
        <w:topLinePunct w:val="0"/>
        <w:autoSpaceDE/>
        <w:autoSpaceDN/>
        <w:bidi w:val="0"/>
        <w:spacing w:beforeAutospacing="0" w:afterAutospacing="0" w:line="312"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我方确认收到你方提供的</w:t>
      </w:r>
      <w:r>
        <w:rPr>
          <w:rFonts w:hint="eastAsia" w:ascii="宋体" w:hAnsi="宋体" w:cs="宋体"/>
          <w:color w:val="auto"/>
          <w:sz w:val="21"/>
          <w:szCs w:val="21"/>
          <w:highlight w:val="none"/>
          <w:u w:val="single"/>
          <w:lang w:val="en-US" w:eastAsia="zh-CN"/>
        </w:rPr>
        <w:t xml:space="preserve">    （项目名称）         </w:t>
      </w:r>
      <w:r>
        <w:rPr>
          <w:rFonts w:hint="eastAsia" w:ascii="宋体" w:hAnsi="宋体" w:eastAsia="宋体" w:cs="宋体"/>
          <w:color w:val="auto"/>
          <w:szCs w:val="21"/>
          <w:highlight w:val="none"/>
        </w:rPr>
        <w:t>及其相关服务的招标文件的全部内容。我方：</w:t>
      </w:r>
      <w:r>
        <w:rPr>
          <w:rFonts w:hint="eastAsia" w:ascii="宋体" w:hAnsi="宋体" w:eastAsia="宋体" w:cs="宋体"/>
          <w:b/>
          <w:bCs/>
          <w:color w:val="auto"/>
          <w:szCs w:val="21"/>
          <w:highlight w:val="none"/>
          <w:u w:val="single"/>
        </w:rPr>
        <w:t>（投标人名称）</w:t>
      </w:r>
      <w:r>
        <w:rPr>
          <w:rFonts w:hint="eastAsia" w:ascii="宋体" w:hAnsi="宋体" w:eastAsia="宋体" w:cs="宋体"/>
          <w:color w:val="auto"/>
          <w:szCs w:val="21"/>
          <w:highlight w:val="none"/>
        </w:rPr>
        <w:t>作为投标人正式授权</w:t>
      </w:r>
      <w:r>
        <w:rPr>
          <w:rFonts w:hint="eastAsia" w:ascii="宋体" w:hAnsi="宋体" w:eastAsia="宋体" w:cs="宋体"/>
          <w:b/>
          <w:bCs/>
          <w:color w:val="auto"/>
          <w:szCs w:val="21"/>
          <w:highlight w:val="none"/>
          <w:u w:val="single"/>
        </w:rPr>
        <w:t>（授权代表全名、职务）</w:t>
      </w:r>
      <w:r>
        <w:rPr>
          <w:rFonts w:hint="eastAsia" w:ascii="宋体" w:hAnsi="宋体" w:eastAsia="宋体" w:cs="宋体"/>
          <w:color w:val="auto"/>
          <w:szCs w:val="21"/>
          <w:highlight w:val="none"/>
        </w:rPr>
        <w:t>代表我方进行有关投标的一切事宜。在此提交的投标文件，正本</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份。我方已完全明白招标文件的所有条款要求，并重申以下几点：</w:t>
      </w:r>
    </w:p>
    <w:p w14:paraId="3FE8FE3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1.我方决定参加项目编号为：</w:t>
      </w:r>
      <w:r>
        <w:rPr>
          <w:rFonts w:hint="eastAsia" w:ascii="宋体" w:hAnsi="宋体" w:cs="宋体"/>
          <w:color w:val="auto"/>
          <w:szCs w:val="21"/>
          <w:highlight w:val="none"/>
          <w:u w:val="single"/>
          <w:lang w:val="en-US" w:eastAsia="zh-CN"/>
        </w:rPr>
        <w:t xml:space="preserve">     （项目编号） </w:t>
      </w:r>
      <w:r>
        <w:rPr>
          <w:rFonts w:hint="eastAsia" w:ascii="宋体" w:hAnsi="宋体" w:eastAsia="宋体" w:cs="宋体"/>
          <w:color w:val="auto"/>
          <w:szCs w:val="21"/>
          <w:highlight w:val="none"/>
        </w:rPr>
        <w:t>的投标；</w:t>
      </w:r>
    </w:p>
    <w:p w14:paraId="7FE3412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文件的有效期为</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截止日后</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天有效，如被确定为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，有效期将延至合同终止日为止；</w:t>
      </w:r>
    </w:p>
    <w:p w14:paraId="4EC84726">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3.我方已详细研究了</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的所有内容包括修正（如果有）和所有已提供的参考资料以及有关格式并完全明白，我方放弃在此方面提出含糊意见或误解的一切权利；</w:t>
      </w:r>
    </w:p>
    <w:p w14:paraId="3C414E3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4.我方同意按照你方可能提出的要求提供与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有关的任何</w:t>
      </w:r>
      <w:r>
        <w:rPr>
          <w:rFonts w:hint="eastAsia" w:ascii="宋体" w:hAnsi="宋体" w:eastAsia="宋体" w:cs="宋体"/>
          <w:color w:val="auto"/>
          <w:szCs w:val="21"/>
          <w:highlight w:val="none"/>
          <w:lang w:eastAsia="zh-CN"/>
        </w:rPr>
        <w:t>其他数据</w:t>
      </w:r>
      <w:r>
        <w:rPr>
          <w:rFonts w:hint="eastAsia" w:ascii="宋体" w:hAnsi="宋体" w:eastAsia="宋体" w:cs="宋体"/>
          <w:color w:val="auto"/>
          <w:szCs w:val="21"/>
          <w:highlight w:val="none"/>
        </w:rPr>
        <w:t>或信息；</w:t>
      </w:r>
    </w:p>
    <w:p w14:paraId="1391DED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5.我方理解</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小组不一定接受最低报价或任何你方可能收到的报价；</w:t>
      </w:r>
    </w:p>
    <w:p w14:paraId="366FA5D9">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6.我方如被确定为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，将保证履行</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以及</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修改书（如有的话）中的全部责任和义务，按质、按量、按期完成《合同》中的全部任务；</w:t>
      </w:r>
    </w:p>
    <w:p w14:paraId="375DC0D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7.我方自行完全承担因</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错误、缺漏、不清晰而导致的一切后果；</w:t>
      </w:r>
    </w:p>
    <w:p w14:paraId="4265A778">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8.我方确认此次</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中提供的一切资料均是真实的，准确的，并完全承担因此产生的一切后果。</w:t>
      </w:r>
    </w:p>
    <w:p w14:paraId="69E3C4D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9.我方的报价被接受，我方同意按照</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规定向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代理机构缴纳</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代理服务费。</w:t>
      </w:r>
    </w:p>
    <w:p w14:paraId="6B17D9F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我方与其他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 xml:space="preserve">不存在单位负责人为同一人或者存在直接控股、管理关系。 </w:t>
      </w:r>
    </w:p>
    <w:p w14:paraId="6BDEAC4D">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我方承诺未为本项目提供整体设计、规范编制或者项目管理、监理、检测等服务。</w:t>
      </w:r>
    </w:p>
    <w:p w14:paraId="75F918C9">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我方理解你方可能还要求提供更进一步的资格资料，并愿意应你方的要求提交。我单位若有违反本资格声明内容的行为，被</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代理机构发现或被他人举报查实，将无条件接受监管部门作出的取消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资格、中标资格、不良行为记录的处罚。对造成的损失，任何法律和经济责任完全由我方负责。</w:t>
      </w:r>
    </w:p>
    <w:p w14:paraId="3AFA0252">
      <w:pPr>
        <w:pStyle w:val="46"/>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highlight w:val="none"/>
        </w:rPr>
      </w:pPr>
    </w:p>
    <w:p w14:paraId="2634E33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投标人名称（加盖公章）：</w:t>
      </w:r>
    </w:p>
    <w:p w14:paraId="00AF8067">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投标人地址：</w:t>
      </w:r>
    </w:p>
    <w:p w14:paraId="5C044A6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电子邮箱：</w:t>
      </w:r>
    </w:p>
    <w:p w14:paraId="76D363A2">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法定代表人（或授权代表）签字：</w:t>
      </w:r>
    </w:p>
    <w:p w14:paraId="6277573F">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39581FC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4E01991">
      <w:pPr>
        <w:pStyle w:val="46"/>
        <w:ind w:left="0" w:leftChars="0" w:firstLine="0" w:firstLineChars="0"/>
        <w:rPr>
          <w:rFonts w:hint="eastAsia" w:ascii="宋体" w:hAnsi="宋体" w:eastAsia="宋体" w:cs="宋体"/>
          <w:color w:val="auto"/>
          <w:highlight w:val="none"/>
        </w:rPr>
      </w:pPr>
    </w:p>
    <w:p w14:paraId="4AFEF6A1">
      <w:pPr>
        <w:pStyle w:val="4"/>
        <w:spacing w:before="0" w:after="120"/>
        <w:jc w:val="center"/>
        <w:rPr>
          <w:rFonts w:hint="eastAsia" w:ascii="宋体" w:hAnsi="宋体" w:eastAsia="宋体" w:cs="宋体"/>
          <w:color w:val="auto"/>
          <w:sz w:val="43"/>
          <w:szCs w:val="43"/>
          <w:highlight w:val="none"/>
        </w:rPr>
      </w:pPr>
      <w:r>
        <w:rPr>
          <w:rFonts w:hint="eastAsia" w:ascii="宋体" w:hAnsi="宋体" w:eastAsia="宋体" w:cs="宋体"/>
          <w:b/>
          <w:color w:val="auto"/>
          <w:kern w:val="0"/>
          <w:sz w:val="28"/>
          <w:szCs w:val="28"/>
          <w:highlight w:val="none"/>
          <w:lang w:val="en-US" w:eastAsia="zh-CN" w:bidi="ar-SA"/>
        </w:rPr>
        <w:t>2.资格条件承诺函</w:t>
      </w:r>
    </w:p>
    <w:p w14:paraId="31C5B16C">
      <w:pPr>
        <w:spacing w:line="351" w:lineRule="auto"/>
        <w:rPr>
          <w:rFonts w:hint="eastAsia" w:ascii="宋体" w:hAnsi="宋体" w:eastAsia="宋体" w:cs="宋体"/>
          <w:color w:val="auto"/>
          <w:sz w:val="21"/>
          <w:highlight w:val="none"/>
        </w:rPr>
      </w:pPr>
    </w:p>
    <w:p w14:paraId="77157C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符合《中华人民共和国政府采购法》第二十二条第一款第（二）项、第（三）项、第（四）项、第（五）项规定条件，具体包括：</w:t>
      </w:r>
    </w:p>
    <w:p w14:paraId="0E5E42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1.具有良好的商业信誉和健全的财务会计制度；</w:t>
      </w:r>
    </w:p>
    <w:p w14:paraId="513BA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2.具有履行合同所必需的设备和专业技术能力；</w:t>
      </w:r>
    </w:p>
    <w:p w14:paraId="777AAD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3.具有依法缴纳税收和社会保障资金的良好记录；</w:t>
      </w:r>
    </w:p>
    <w:p w14:paraId="385B8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4.参加政府采购活动前三年内，在经营活动中没有重大违法记录。</w:t>
      </w:r>
    </w:p>
    <w:p w14:paraId="2980A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83F5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1FAC24B">
      <w:pPr>
        <w:spacing w:line="360" w:lineRule="auto"/>
        <w:ind w:firstLine="420" w:firstLineChars="200"/>
        <w:rPr>
          <w:rFonts w:hint="eastAsia" w:ascii="宋体" w:hAnsi="宋体" w:eastAsia="宋体" w:cs="宋体"/>
          <w:color w:val="auto"/>
          <w:szCs w:val="21"/>
          <w:highlight w:val="none"/>
        </w:rPr>
      </w:pPr>
    </w:p>
    <w:p w14:paraId="4BFC9368">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3AFE6A8">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E3087C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F317A4F">
      <w:pPr>
        <w:spacing w:line="257" w:lineRule="auto"/>
        <w:rPr>
          <w:rFonts w:hint="eastAsia" w:ascii="宋体" w:hAnsi="宋体" w:eastAsia="宋体" w:cs="宋体"/>
          <w:color w:val="auto"/>
          <w:sz w:val="21"/>
          <w:highlight w:val="none"/>
        </w:rPr>
      </w:pPr>
    </w:p>
    <w:p w14:paraId="24C14C6B">
      <w:pPr>
        <w:spacing w:line="257" w:lineRule="auto"/>
        <w:rPr>
          <w:rFonts w:hint="eastAsia" w:ascii="宋体" w:hAnsi="宋体" w:eastAsia="宋体" w:cs="宋体"/>
          <w:color w:val="auto"/>
          <w:sz w:val="21"/>
          <w:highlight w:val="none"/>
        </w:rPr>
      </w:pPr>
    </w:p>
    <w:p w14:paraId="0E89F0BA">
      <w:pPr>
        <w:spacing w:line="257" w:lineRule="auto"/>
        <w:rPr>
          <w:rFonts w:hint="eastAsia" w:ascii="宋体" w:hAnsi="宋体" w:eastAsia="宋体" w:cs="宋体"/>
          <w:color w:val="auto"/>
          <w:sz w:val="21"/>
          <w:highlight w:val="none"/>
        </w:rPr>
      </w:pPr>
    </w:p>
    <w:p w14:paraId="13847B7C">
      <w:pPr>
        <w:spacing w:line="257" w:lineRule="auto"/>
        <w:rPr>
          <w:rFonts w:hint="eastAsia" w:ascii="宋体" w:hAnsi="宋体" w:eastAsia="宋体" w:cs="宋体"/>
          <w:color w:val="auto"/>
          <w:sz w:val="21"/>
          <w:highlight w:val="none"/>
        </w:rPr>
      </w:pPr>
    </w:p>
    <w:p w14:paraId="415C0A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highlight w:val="none"/>
        </w:rPr>
      </w:pPr>
    </w:p>
    <w:p w14:paraId="025B6F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2FCC37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1C91097C">
      <w:pPr>
        <w:pStyle w:val="57"/>
        <w:rPr>
          <w:rFonts w:hint="eastAsia" w:ascii="宋体" w:hAnsi="宋体" w:eastAsia="宋体" w:cs="宋体"/>
          <w:color w:val="auto"/>
          <w:szCs w:val="21"/>
          <w:highlight w:val="none"/>
        </w:rPr>
      </w:pPr>
    </w:p>
    <w:p w14:paraId="6395C7A5">
      <w:pPr>
        <w:pStyle w:val="57"/>
        <w:rPr>
          <w:rFonts w:hint="eastAsia" w:ascii="宋体" w:hAnsi="宋体" w:eastAsia="宋体" w:cs="宋体"/>
          <w:color w:val="auto"/>
          <w:szCs w:val="21"/>
          <w:highlight w:val="none"/>
        </w:rPr>
      </w:pPr>
    </w:p>
    <w:p w14:paraId="5F04C2B8">
      <w:pPr>
        <w:pStyle w:val="57"/>
        <w:rPr>
          <w:rFonts w:hint="eastAsia" w:ascii="宋体" w:hAnsi="宋体" w:eastAsia="宋体" w:cs="宋体"/>
          <w:color w:val="auto"/>
          <w:szCs w:val="21"/>
          <w:highlight w:val="none"/>
        </w:rPr>
      </w:pPr>
    </w:p>
    <w:p w14:paraId="6680B8C4">
      <w:pPr>
        <w:pStyle w:val="57"/>
        <w:rPr>
          <w:rFonts w:hint="eastAsia" w:ascii="宋体" w:hAnsi="宋体" w:eastAsia="宋体" w:cs="宋体"/>
          <w:color w:val="auto"/>
          <w:szCs w:val="21"/>
          <w:highlight w:val="none"/>
        </w:rPr>
      </w:pPr>
    </w:p>
    <w:p w14:paraId="26862D4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5B34C1">
      <w:pPr>
        <w:pStyle w:val="57"/>
        <w:rPr>
          <w:rFonts w:hint="eastAsia" w:ascii="宋体" w:hAnsi="宋体" w:eastAsia="宋体" w:cs="宋体"/>
          <w:color w:val="auto"/>
          <w:szCs w:val="21"/>
          <w:highlight w:val="none"/>
        </w:rPr>
      </w:pPr>
    </w:p>
    <w:p w14:paraId="20D621C7">
      <w:pPr>
        <w:pStyle w:val="4"/>
        <w:jc w:val="center"/>
        <w:rPr>
          <w:rFonts w:hint="eastAsia" w:ascii="宋体" w:hAnsi="宋体" w:eastAsia="宋体" w:cs="宋体"/>
          <w:b/>
          <w:bCs/>
          <w:color w:val="auto"/>
          <w:sz w:val="28"/>
          <w:szCs w:val="28"/>
          <w:highlight w:val="none"/>
        </w:rPr>
      </w:pPr>
      <w:bookmarkStart w:id="161" w:name="_Toc453695693"/>
      <w:bookmarkEnd w:id="161"/>
      <w:bookmarkStart w:id="162" w:name="_Toc223939104"/>
      <w:bookmarkEnd w:id="162"/>
      <w:bookmarkStart w:id="163" w:name="_Toc461991257"/>
      <w:bookmarkEnd w:id="163"/>
      <w:bookmarkStart w:id="164" w:name="_Toc453695566"/>
      <w:bookmarkEnd w:id="164"/>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法定代表人证明及授权书</w:t>
      </w:r>
    </w:p>
    <w:p w14:paraId="520E380D">
      <w:pPr>
        <w:adjustRightInd w:val="0"/>
        <w:snapToGrid w:val="0"/>
        <w:spacing w:beforeAutospacing="0" w:afterAutospacing="0" w:line="480" w:lineRule="auto"/>
        <w:jc w:val="center"/>
        <w:rPr>
          <w:rFonts w:hint="eastAsia" w:ascii="宋体" w:hAnsi="宋体" w:eastAsia="宋体" w:cs="宋体"/>
          <w:b/>
          <w:color w:val="auto"/>
          <w:szCs w:val="21"/>
          <w:highlight w:val="none"/>
        </w:rPr>
      </w:pPr>
      <w:bookmarkStart w:id="165" w:name="_Toc453695567"/>
      <w:bookmarkStart w:id="166" w:name="_Toc461991258"/>
      <w:bookmarkStart w:id="167" w:name="_Toc453695694"/>
      <w:r>
        <w:rPr>
          <w:rFonts w:hint="eastAsia" w:ascii="宋体" w:hAnsi="宋体" w:eastAsia="宋体" w:cs="宋体"/>
          <w:b/>
          <w:color w:val="auto"/>
          <w:szCs w:val="21"/>
          <w:highlight w:val="none"/>
        </w:rPr>
        <w:t>（1）法定代表人/负责人资格证明书</w:t>
      </w:r>
    </w:p>
    <w:p w14:paraId="685D380C">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77D25E09">
      <w:pPr>
        <w:adjustRightInd w:val="0"/>
        <w:snapToGrid w:val="0"/>
        <w:spacing w:beforeAutospacing="0" w:afterAutospacing="0" w:line="300" w:lineRule="auto"/>
        <w:ind w:firstLine="105" w:firstLineChars="50"/>
        <w:rPr>
          <w:rFonts w:hint="eastAsia" w:ascii="宋体" w:hAnsi="宋体" w:eastAsia="宋体" w:cs="宋体"/>
          <w:b/>
          <w:bCs/>
          <w:color w:val="auto"/>
          <w:szCs w:val="21"/>
          <w:highlight w:val="none"/>
          <w:u w:val="single"/>
          <w:lang w:eastAsia="zh-CN"/>
        </w:rPr>
      </w:pPr>
    </w:p>
    <w:p w14:paraId="54F2CFE8">
      <w:pPr>
        <w:adjustRightInd w:val="0"/>
        <w:snapToGrid w:val="0"/>
        <w:spacing w:beforeAutospacing="0" w:afterAutospacing="0" w:line="300" w:lineRule="auto"/>
        <w:ind w:firstLine="735" w:firstLineChars="350"/>
        <w:rPr>
          <w:rFonts w:hint="eastAsia" w:ascii="宋体" w:hAnsi="宋体" w:eastAsia="宋体" w:cs="宋体"/>
          <w:color w:val="auto"/>
          <w:szCs w:val="21"/>
          <w:highlight w:val="none"/>
          <w:u w:val="single"/>
        </w:rPr>
      </w:pPr>
    </w:p>
    <w:p w14:paraId="7F50884F">
      <w:pPr>
        <w:adjustRightInd w:val="0"/>
        <w:snapToGrid w:val="0"/>
        <w:spacing w:beforeAutospacing="0" w:afterAutospacing="0" w:line="30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同志，现任我单位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职务，为法定代表人，特此证明。</w:t>
      </w:r>
    </w:p>
    <w:p w14:paraId="7FD0FE92">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签发日期：                           单位：           （盖章）    </w:t>
      </w:r>
    </w:p>
    <w:p w14:paraId="3927A8F6">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3F85E384">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营业执照号码：                       经济性质：</w:t>
      </w:r>
    </w:p>
    <w:p w14:paraId="257D55D2">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主营（产）：</w:t>
      </w:r>
    </w:p>
    <w:p w14:paraId="67591C0F">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兼营（产）：</w:t>
      </w:r>
    </w:p>
    <w:p w14:paraId="24DC0294">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进口物品经营许可证号码：</w:t>
      </w:r>
    </w:p>
    <w:p w14:paraId="3AE98A5A">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主营：</w:t>
      </w:r>
    </w:p>
    <w:p w14:paraId="309555CF">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兼营：</w:t>
      </w:r>
    </w:p>
    <w:p w14:paraId="45FDBAA0">
      <w:pPr>
        <w:spacing w:beforeAutospacing="0" w:afterAutospacing="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说明：1、法定代表人为企业事业单位、国家机关、社会团体的主要行政负责人。</w:t>
      </w:r>
    </w:p>
    <w:p w14:paraId="343C6126">
      <w:pPr>
        <w:spacing w:beforeAutospacing="0" w:afterAutospacing="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内容必须填写真实、清楚、涂改无效，不得转让、买卖。</w:t>
      </w:r>
    </w:p>
    <w:p w14:paraId="79A1B7EE">
      <w:pPr>
        <w:spacing w:beforeAutospacing="0" w:afterAutospacing="0"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将此证明书提交对方作为合同附件</w:t>
      </w:r>
      <w:r>
        <w:rPr>
          <w:rFonts w:hint="eastAsia" w:ascii="宋体" w:hAnsi="宋体" w:eastAsia="宋体" w:cs="宋体"/>
          <w:b/>
          <w:color w:val="auto"/>
          <w:szCs w:val="21"/>
          <w:highlight w:val="none"/>
        </w:rPr>
        <w:t>。</w:t>
      </w:r>
    </w:p>
    <w:p w14:paraId="526F738E">
      <w:pPr>
        <w:rPr>
          <w:rFonts w:hint="eastAsia" w:ascii="宋体" w:hAnsi="宋体" w:eastAsia="宋体" w:cs="宋体"/>
          <w:b/>
          <w:color w:val="auto"/>
          <w:szCs w:val="21"/>
          <w:highlight w:val="none"/>
        </w:rPr>
      </w:pPr>
    </w:p>
    <w:p w14:paraId="40D5980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为避免废标，请</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务必提供本附件</w:t>
      </w:r>
      <w:r>
        <w:rPr>
          <w:rFonts w:hint="eastAsia" w:ascii="宋体" w:hAnsi="宋体" w:eastAsia="宋体" w:cs="宋体"/>
          <w:b/>
          <w:color w:val="auto"/>
          <w:szCs w:val="21"/>
          <w:highlight w:val="none"/>
          <w:lang w:eastAsia="zh-CN"/>
        </w:rPr>
        <w:t>）</w:t>
      </w:r>
    </w:p>
    <w:p w14:paraId="0E946449">
      <w:pPr>
        <w:rPr>
          <w:rFonts w:hint="eastAsia" w:ascii="宋体" w:hAnsi="宋体" w:eastAsia="宋体" w:cs="宋体"/>
          <w:color w:val="auto"/>
          <w:szCs w:val="21"/>
          <w:highlight w:val="none"/>
        </w:rPr>
      </w:pPr>
    </w:p>
    <w:p w14:paraId="6A4FE858">
      <w:pPr>
        <w:rPr>
          <w:rFonts w:hint="eastAsia" w:ascii="宋体" w:hAnsi="宋体" w:eastAsia="宋体" w:cs="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201295</wp:posOffset>
                </wp:positionV>
                <wp:extent cx="2388235" cy="1738630"/>
                <wp:effectExtent l="4445" t="4445" r="7620" b="9525"/>
                <wp:wrapNone/>
                <wp:docPr id="2"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2" o:spid="_x0000_s1026" o:spt="176" type="#_x0000_t176" style="position:absolute;left:0pt;margin-left:3.05pt;margin-top:15.85pt;height:136.9pt;width:188.05pt;z-index:251662336;mso-width-relative:page;mso-height-relative:page;" fillcolor="#FFFFFF" filled="t" stroked="t" coordsize="21600,21600" o:gfxdata="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RiNOdYAAAAIAQAADwAAAAAAAAABACAAAAAiAAAAZHJzL2Rvd25yZXYueG1sUEsBAhQAFAAAAAgA&#10;h07iQJVpqLgnAgAAUwQAAA4AAAAAAAAAAQAgAAAAJQEAAGRycy9lMm9Eb2MueG1sUEsFBgAAAAAG&#10;AAYAWQEAAL4FAAAAAA==&#10;">
                <v:fill on="t" focussize="0,0"/>
                <v:stroke color="#000000" joinstyle="miter"/>
                <v:imagedata o:title=""/>
                <o:lock v:ext="edit" aspectratio="f"/>
                <v:textbo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v:textbox>
              </v:shape>
            </w:pict>
          </mc:Fallback>
        </mc:AlternateContent>
      </w:r>
    </w:p>
    <w:p w14:paraId="30A8ECF0">
      <w:pPr>
        <w:rPr>
          <w:rFonts w:hint="eastAsia" w:ascii="宋体" w:hAnsi="宋体" w:eastAsia="宋体" w:cs="宋体"/>
          <w:color w:val="auto"/>
          <w:szCs w:val="21"/>
          <w:highlight w:val="none"/>
        </w:rPr>
      </w:pPr>
    </w:p>
    <w:p w14:paraId="1666CC27">
      <w:pPr>
        <w:rPr>
          <w:rFonts w:hint="eastAsia" w:ascii="宋体" w:hAnsi="宋体" w:eastAsia="宋体" w:cs="宋体"/>
          <w:color w:val="auto"/>
          <w:szCs w:val="21"/>
          <w:highlight w:val="none"/>
        </w:rPr>
      </w:pPr>
    </w:p>
    <w:p w14:paraId="45D7A7A1">
      <w:pPr>
        <w:rPr>
          <w:rFonts w:hint="eastAsia" w:ascii="宋体" w:hAnsi="宋体" w:eastAsia="宋体" w:cs="宋体"/>
          <w:color w:val="auto"/>
          <w:szCs w:val="21"/>
          <w:highlight w:val="none"/>
        </w:rPr>
      </w:pPr>
    </w:p>
    <w:p w14:paraId="3E1580D5">
      <w:pPr>
        <w:rPr>
          <w:rFonts w:hint="eastAsia" w:ascii="宋体" w:hAnsi="宋体" w:eastAsia="宋体" w:cs="宋体"/>
          <w:color w:val="auto"/>
          <w:szCs w:val="21"/>
          <w:highlight w:val="none"/>
        </w:rPr>
      </w:pPr>
    </w:p>
    <w:p w14:paraId="34EBC17C">
      <w:pPr>
        <w:rPr>
          <w:rFonts w:hint="eastAsia" w:ascii="宋体" w:hAnsi="宋体" w:eastAsia="宋体" w:cs="宋体"/>
          <w:color w:val="auto"/>
          <w:szCs w:val="21"/>
          <w:highlight w:val="none"/>
        </w:rPr>
      </w:pPr>
    </w:p>
    <w:p w14:paraId="74400DB8">
      <w:pPr>
        <w:rPr>
          <w:rFonts w:hint="eastAsia" w:ascii="宋体" w:hAnsi="宋体" w:eastAsia="宋体" w:cs="宋体"/>
          <w:color w:val="auto"/>
          <w:szCs w:val="21"/>
          <w:highlight w:val="none"/>
        </w:rPr>
      </w:pPr>
    </w:p>
    <w:p w14:paraId="21DC9EAC">
      <w:pPr>
        <w:pStyle w:val="4"/>
        <w:rPr>
          <w:rFonts w:hint="eastAsia" w:ascii="宋体" w:hAnsi="宋体" w:eastAsia="宋体" w:cs="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2753360</wp:posOffset>
                </wp:positionH>
                <wp:positionV relativeFrom="paragraph">
                  <wp:posOffset>-1207770</wp:posOffset>
                </wp:positionV>
                <wp:extent cx="2388235" cy="1738630"/>
                <wp:effectExtent l="4445" t="4445" r="7620" b="9525"/>
                <wp:wrapNone/>
                <wp:docPr id="3"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2" o:spid="_x0000_s1026" o:spt="176" type="#_x0000_t176" style="position:absolute;left:0pt;margin-left:216.8pt;margin-top:-95.1pt;height:136.9pt;width:188.05pt;z-index:251663360;mso-width-relative:page;mso-height-relative:page;" fillcolor="#FFFFFF" filled="t" stroked="t" coordsize="21600,21600" o:gfxdata="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H5kRNkAAAALAQAADwAAAAAAAAABACAAAAAiAAAAZHJzL2Rvd25yZXYueG1sUEsBAhQAFAAA&#10;AAgAh07iQFsyytcnAgAAUwQAAA4AAAAAAAAAAQAgAAAAKAEAAGRycy9lMm9Eb2MueG1sUEsFBgAA&#10;AAAGAAYAWQEAAMEFAAAAAA==&#10;">
                <v:fill on="t" focussize="0,0"/>
                <v:stroke color="#000000" joinstyle="miter"/>
                <v:imagedata o:title=""/>
                <o:lock v:ext="edit" aspectratio="f"/>
                <v:textbo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v:textbox>
              </v:shape>
            </w:pict>
          </mc:Fallback>
        </mc:AlternateContent>
      </w:r>
    </w:p>
    <w:p w14:paraId="3A3729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9C0188">
      <w:pPr>
        <w:spacing w:beforeAutospacing="0" w:afterAutospacing="0"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w:t>
      </w:r>
    </w:p>
    <w:p w14:paraId="6FDB2E41">
      <w:pPr>
        <w:adjustRightInd w:val="0"/>
        <w:snapToGrid w:val="0"/>
        <w:spacing w:beforeAutospacing="0" w:afterAutospacing="0" w:line="300" w:lineRule="auto"/>
        <w:rPr>
          <w:rFonts w:hint="eastAsia" w:ascii="宋体" w:hAnsi="宋体" w:eastAsia="宋体" w:cs="宋体"/>
          <w:color w:val="auto"/>
          <w:szCs w:val="21"/>
          <w:highlight w:val="none"/>
        </w:rPr>
      </w:pPr>
    </w:p>
    <w:p w14:paraId="305CDB6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28313BE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rPr>
          <w:rFonts w:hint="eastAsia" w:ascii="宋体" w:hAnsi="宋体" w:eastAsia="宋体" w:cs="宋体"/>
          <w:b/>
          <w:bCs/>
          <w:color w:val="auto"/>
          <w:szCs w:val="21"/>
          <w:highlight w:val="none"/>
          <w:lang w:eastAsia="zh-CN"/>
        </w:rPr>
      </w:pPr>
    </w:p>
    <w:p w14:paraId="29114EF7">
      <w:pPr>
        <w:pStyle w:val="109"/>
        <w:keepNext w:val="0"/>
        <w:keepLines w:val="0"/>
        <w:pageBreakBefore w:val="0"/>
        <w:widowControl w:val="0"/>
        <w:kinsoku/>
        <w:wordWrap/>
        <w:overflowPunct/>
        <w:topLinePunct w:val="0"/>
        <w:autoSpaceDE/>
        <w:autoSpaceDN/>
        <w:bidi w:val="0"/>
        <w:spacing w:beforeAutospacing="0" w:afterAutospacing="0" w:line="336" w:lineRule="auto"/>
        <w:ind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同志，为我方签订</w:t>
      </w:r>
      <w:r>
        <w:rPr>
          <w:rFonts w:hint="eastAsia" w:ascii="宋体" w:hAnsi="宋体" w:cs="宋体"/>
          <w:color w:val="auto"/>
          <w:sz w:val="21"/>
          <w:szCs w:val="21"/>
          <w:highlight w:val="none"/>
          <w:u w:val="single"/>
          <w:lang w:val="en-US" w:eastAsia="zh-CN"/>
        </w:rPr>
        <w:t xml:space="preserve">                  （项目名称）</w:t>
      </w:r>
      <w:r>
        <w:rPr>
          <w:rFonts w:hint="eastAsia" w:ascii="宋体" w:hAnsi="宋体" w:eastAsia="宋体" w:cs="宋体"/>
          <w:color w:val="auto"/>
          <w:szCs w:val="21"/>
          <w:highlight w:val="none"/>
        </w:rPr>
        <w:t>经济合同及办理其他事务代理人，其权限是：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C1970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授权单位：</w:t>
      </w:r>
      <w:r>
        <w:rPr>
          <w:rFonts w:hint="eastAsia" w:ascii="宋体" w:hAnsi="宋体" w:eastAsia="宋体" w:cs="宋体"/>
          <w:color w:val="auto"/>
          <w:szCs w:val="21"/>
          <w:highlight w:val="none"/>
          <w:u w:val="single"/>
        </w:rPr>
        <w:t xml:space="preserve">                 </w:t>
      </w:r>
      <w:r>
        <w:rPr>
          <w:rStyle w:val="234"/>
          <w:rFonts w:hint="eastAsia" w:ascii="宋体" w:hAnsi="宋体" w:eastAsia="宋体" w:cs="宋体"/>
          <w:color w:val="auto"/>
          <w:szCs w:val="21"/>
          <w:highlight w:val="none"/>
        </w:rPr>
        <w:t xml:space="preserve">（盖章）     </w:t>
      </w:r>
    </w:p>
    <w:p w14:paraId="08ED7E6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u w:val="single"/>
        </w:rPr>
        <w:t xml:space="preserve">         </w:t>
      </w:r>
      <w:r>
        <w:rPr>
          <w:rStyle w:val="234"/>
          <w:rFonts w:hint="eastAsia" w:ascii="宋体" w:hAnsi="宋体" w:eastAsia="宋体" w:cs="宋体"/>
          <w:color w:val="auto"/>
          <w:szCs w:val="21"/>
          <w:highlight w:val="none"/>
        </w:rPr>
        <w:t>（签名或盖私章）</w:t>
      </w:r>
    </w:p>
    <w:p w14:paraId="76BB8837">
      <w:pPr>
        <w:keepNext w:val="0"/>
        <w:keepLines w:val="0"/>
        <w:pageBreakBefore w:val="0"/>
        <w:widowControl w:val="0"/>
        <w:kinsoku/>
        <w:wordWrap/>
        <w:overflowPunct/>
        <w:topLinePunct w:val="0"/>
        <w:autoSpaceDE/>
        <w:autoSpaceDN/>
        <w:bidi w:val="0"/>
        <w:spacing w:line="336" w:lineRule="auto"/>
        <w:textAlignment w:val="baseline"/>
        <w:rPr>
          <w:rStyle w:val="234"/>
          <w:rFonts w:hint="eastAsia" w:ascii="宋体" w:hAnsi="宋体" w:eastAsia="宋体" w:cs="宋体"/>
          <w:color w:val="auto"/>
          <w:kern w:val="2"/>
          <w:sz w:val="21"/>
          <w:szCs w:val="21"/>
          <w:highlight w:val="none"/>
          <w:lang w:eastAsia="zh-CN"/>
        </w:rPr>
      </w:pPr>
      <w:r>
        <w:rPr>
          <w:rStyle w:val="234"/>
          <w:rFonts w:hint="eastAsia" w:ascii="宋体" w:hAnsi="宋体" w:eastAsia="宋体" w:cs="宋体"/>
          <w:color w:val="auto"/>
          <w:kern w:val="2"/>
          <w:sz w:val="21"/>
          <w:szCs w:val="21"/>
          <w:highlight w:val="none"/>
          <w:lang w:eastAsia="zh-CN"/>
        </w:rPr>
        <w:t>本授权书于</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年</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月</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日签字生效，特此声明。</w:t>
      </w:r>
    </w:p>
    <w:p w14:paraId="2788D93D">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附：代理人性别：</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年龄：</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职务：</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身份证号码：</w:t>
      </w:r>
      <w:r>
        <w:rPr>
          <w:rStyle w:val="234"/>
          <w:rFonts w:hint="eastAsia" w:ascii="宋体" w:hAnsi="宋体" w:cs="宋体"/>
          <w:color w:val="auto"/>
          <w:kern w:val="2"/>
          <w:sz w:val="21"/>
          <w:szCs w:val="21"/>
          <w:highlight w:val="none"/>
          <w:u w:val="single"/>
          <w:lang w:val="en-US" w:eastAsia="zh-CN"/>
        </w:rPr>
        <w:t xml:space="preserve">      </w:t>
      </w:r>
    </w:p>
    <w:p w14:paraId="1D4DEB2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  联系电话：</w:t>
      </w:r>
    </w:p>
    <w:p w14:paraId="58B552D0">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营业执照号码：                         经济性质：</w:t>
      </w:r>
    </w:p>
    <w:p w14:paraId="4160621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主营（产）：</w:t>
      </w:r>
    </w:p>
    <w:p w14:paraId="57FED9BC">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兼营（产）：</w:t>
      </w:r>
    </w:p>
    <w:p w14:paraId="4813C553">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进口物品经营许可证号码：</w:t>
      </w:r>
    </w:p>
    <w:p w14:paraId="614576F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主营：</w:t>
      </w:r>
    </w:p>
    <w:p w14:paraId="1348C2A7">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兼营：</w:t>
      </w:r>
    </w:p>
    <w:p w14:paraId="742F8E5F">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说明：1.法定代表人为企业事业单位、国家机关、社会团体的主要行政负责人。</w:t>
      </w:r>
    </w:p>
    <w:p w14:paraId="36AE8FBC">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      2.内容必须填写真实、清楚、涂改无效，不得转让、买卖。</w:t>
      </w:r>
    </w:p>
    <w:p w14:paraId="037603DB">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b/>
          <w:color w:val="auto"/>
          <w:szCs w:val="21"/>
          <w:highlight w:val="none"/>
        </w:rPr>
      </w:pPr>
      <w:r>
        <w:rPr>
          <w:rStyle w:val="234"/>
          <w:rFonts w:hint="eastAsia" w:ascii="宋体" w:hAnsi="宋体" w:eastAsia="宋体" w:cs="宋体"/>
          <w:color w:val="auto"/>
          <w:szCs w:val="21"/>
          <w:highlight w:val="none"/>
        </w:rPr>
        <w:t>3.将此证明书提交对方作为合同附件</w:t>
      </w:r>
      <w:r>
        <w:rPr>
          <w:rStyle w:val="234"/>
          <w:rFonts w:hint="eastAsia" w:ascii="宋体" w:hAnsi="宋体" w:eastAsia="宋体" w:cs="宋体"/>
          <w:b/>
          <w:color w:val="auto"/>
          <w:szCs w:val="21"/>
          <w:highlight w:val="none"/>
        </w:rPr>
        <w:t>。</w:t>
      </w:r>
    </w:p>
    <w:p w14:paraId="1A2DD695">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4.授权权限：全权代表本公司参与上述采购项目的报价，负责提供与签署确认一切文书资料，以及向贵方递交的任何补充承诺。</w:t>
      </w:r>
    </w:p>
    <w:p w14:paraId="6354F089">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5.有效期限：与本公司报价文件中标注的报价有效期相同，自本单位加盖公章之日起生效。</w:t>
      </w:r>
    </w:p>
    <w:p w14:paraId="6BD8A9EC">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6.报价签字代表为法定代表人，则本表不适用。</w:t>
      </w:r>
    </w:p>
    <w:p w14:paraId="6113F00F">
      <w:pPr>
        <w:spacing w:line="360" w:lineRule="auto"/>
        <w:ind w:firstLine="420"/>
        <w:rPr>
          <w:rFonts w:hint="eastAsia" w:hAnsi="宋体"/>
          <w:color w:val="auto"/>
          <w:szCs w:val="21"/>
          <w:highlight w:val="none"/>
          <w:u w:val="single"/>
        </w:rPr>
      </w:pPr>
      <w:r>
        <w:rPr>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2867025</wp:posOffset>
                </wp:positionH>
                <wp:positionV relativeFrom="paragraph">
                  <wp:posOffset>234315</wp:posOffset>
                </wp:positionV>
                <wp:extent cx="2333625" cy="1584325"/>
                <wp:effectExtent l="4445" t="4445" r="5080" b="11430"/>
                <wp:wrapNone/>
                <wp:docPr id="8"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4" o:spid="_x0000_s1026" o:spt="176" type="#_x0000_t176" style="position:absolute;left:0pt;margin-left:225.75pt;margin-top:18.45pt;height:124.75pt;width:183.75pt;z-index:251661312;mso-width-relative:page;mso-height-relative:page;" fillcolor="#FFFFFF" filled="t" stroked="t" coordsize="21600,21600" o:gfxdata="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wBjz2AAAAAoBAAAPAAAAAAAAAAEAIAAAACIAAABkcnMvZG93bnJldi54bWxQSwECFAAUAAAACACH&#10;TuJAbdPpfiQCAABTBAAADgAAAAAAAAABACAAAAAnAQAAZHJzL2Uyb0RvYy54bWxQSwUGAAAAAAYA&#10;BgBZAQAAvQUAAAAA&#10;">
                <v:fill on="t" focussize="0,0"/>
                <v:stroke color="#000000" joinstyle="miter"/>
                <v:imagedata o:title=""/>
                <o:lock v:ext="edit" aspectratio="f"/>
                <v:textbo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v:textbox>
              </v:shape>
            </w:pict>
          </mc:Fallback>
        </mc:AlternateContent>
      </w:r>
      <w:r>
        <w:rPr>
          <w:rFonts w:hint="eastAsia" w:hAnsi="宋体"/>
          <w:color w:val="auto"/>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234315</wp:posOffset>
                </wp:positionV>
                <wp:extent cx="2333625" cy="1584325"/>
                <wp:effectExtent l="4445" t="4445" r="5080" b="11430"/>
                <wp:wrapNone/>
                <wp:docPr id="1"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23.25pt;margin-top:18.45pt;height:124.75pt;width:183.75pt;z-index:251660288;mso-width-relative:page;mso-height-relative:page;" fillcolor="#FFFFFF" filled="t" stroked="t" coordsize="21600,21600" o:gfxdata="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iq&#10;2/PXAAAACQEAAA8AAAAAAAAAAQAgAAAAIgAAAGRycy9kb3ducmV2LnhtbFBLAQIUABQAAAAIAIdO&#10;4kBRWnvcJAIAAFMEAAAOAAAAAAAAAAEAIAAAACYBAABkcnMvZTJvRG9jLnhtbFBLBQYAAAAABgAG&#10;AFkBAAC8BQAAAAA=&#10;">
                <v:fill on="t" focussize="0,0"/>
                <v:stroke color="#000000" joinstyle="miter"/>
                <v:imagedata o:title=""/>
                <o:lock v:ext="edit" aspectratio="f"/>
                <v:textbo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v:textbox>
              </v:shape>
            </w:pict>
          </mc:Fallback>
        </mc:AlternateContent>
      </w:r>
    </w:p>
    <w:p w14:paraId="6695B216">
      <w:pPr>
        <w:spacing w:line="360" w:lineRule="auto"/>
        <w:ind w:firstLine="420"/>
        <w:rPr>
          <w:rFonts w:hint="eastAsia" w:hAnsi="宋体"/>
          <w:color w:val="auto"/>
          <w:szCs w:val="21"/>
          <w:highlight w:val="none"/>
          <w:u w:val="single"/>
        </w:rPr>
      </w:pPr>
    </w:p>
    <w:p w14:paraId="3D4DD637">
      <w:pPr>
        <w:spacing w:beforeAutospacing="0" w:afterAutospacing="0" w:line="360" w:lineRule="auto"/>
        <w:ind w:firstLine="420"/>
        <w:rPr>
          <w:rFonts w:hint="eastAsia" w:ascii="宋体" w:hAnsi="宋体" w:eastAsia="宋体" w:cs="宋体"/>
          <w:color w:val="auto"/>
          <w:szCs w:val="21"/>
          <w:highlight w:val="none"/>
          <w:u w:val="single"/>
        </w:rPr>
      </w:pPr>
      <w:r>
        <w:rPr>
          <w:bCs/>
          <w:color w:val="auto"/>
          <w:szCs w:val="21"/>
          <w:highlight w:val="none"/>
        </w:rPr>
        <w:br w:type="page"/>
      </w:r>
    </w:p>
    <w:bookmarkEnd w:id="165"/>
    <w:bookmarkEnd w:id="166"/>
    <w:bookmarkEnd w:id="167"/>
    <w:p w14:paraId="114771B8">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4.</w:t>
      </w:r>
      <w:r>
        <w:rPr>
          <w:rFonts w:hint="eastAsia" w:ascii="宋体" w:hAnsi="宋体" w:eastAsia="宋体" w:cs="宋体"/>
          <w:b/>
          <w:bCs/>
          <w:color w:val="auto"/>
          <w:sz w:val="28"/>
          <w:szCs w:val="28"/>
          <w:highlight w:val="none"/>
        </w:rPr>
        <w:t>“★”（实质性）条款响应表</w:t>
      </w:r>
    </w:p>
    <w:p w14:paraId="371D128F">
      <w:pPr>
        <w:spacing w:beforeAutospacing="0" w:afterAutospacing="0" w:line="360" w:lineRule="auto"/>
        <w:ind w:firstLine="105" w:firstLineChars="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kern w:val="28"/>
          <w:szCs w:val="21"/>
          <w:highlight w:val="none"/>
        </w:rPr>
        <w:t>：</w:t>
      </w:r>
      <w:r>
        <w:rPr>
          <w:rFonts w:hint="eastAsia" w:ascii="宋体" w:hAnsi="宋体" w:cs="宋体"/>
          <w:color w:val="auto"/>
          <w:sz w:val="21"/>
          <w:szCs w:val="21"/>
          <w:highlight w:val="none"/>
          <w:u w:val="none"/>
          <w:lang w:val="en-US" w:eastAsia="zh-CN"/>
        </w:rPr>
        <w:t xml:space="preserve"> </w:t>
      </w:r>
    </w:p>
    <w:p w14:paraId="509CF5A9">
      <w:pPr>
        <w:spacing w:beforeAutospacing="0" w:afterAutospacing="0" w:line="360" w:lineRule="auto"/>
        <w:ind w:firstLine="105" w:firstLineChars="50"/>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 </w:t>
      </w:r>
    </w:p>
    <w:tbl>
      <w:tblPr>
        <w:tblStyle w:val="4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66"/>
        <w:gridCol w:w="1328"/>
        <w:gridCol w:w="1330"/>
        <w:gridCol w:w="1169"/>
      </w:tblGrid>
      <w:tr w14:paraId="726F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32" w:type="pct"/>
            <w:vAlign w:val="center"/>
          </w:tcPr>
          <w:p w14:paraId="06A39E17">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075" w:type="pct"/>
            <w:tcBorders>
              <w:left w:val="single" w:color="000000" w:sz="4" w:space="0"/>
            </w:tcBorders>
            <w:vAlign w:val="center"/>
          </w:tcPr>
          <w:p w14:paraId="6FE831C8">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采购需求</w:t>
            </w:r>
            <w:r>
              <w:rPr>
                <w:rFonts w:hint="eastAsia" w:ascii="宋体" w:hAnsi="宋体" w:eastAsia="宋体" w:cs="宋体"/>
                <w:b/>
                <w:bCs/>
                <w:color w:val="auto"/>
                <w:szCs w:val="21"/>
                <w:highlight w:val="none"/>
              </w:rPr>
              <w:t>带“★”号条款内容</w:t>
            </w:r>
          </w:p>
        </w:tc>
        <w:tc>
          <w:tcPr>
            <w:tcW w:w="795" w:type="pct"/>
            <w:vAlign w:val="center"/>
          </w:tcPr>
          <w:p w14:paraId="668FA298">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是否响应</w:t>
            </w:r>
          </w:p>
        </w:tc>
        <w:tc>
          <w:tcPr>
            <w:tcW w:w="796" w:type="pct"/>
            <w:vAlign w:val="center"/>
          </w:tcPr>
          <w:p w14:paraId="35412AA9">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w:t>
            </w:r>
          </w:p>
        </w:tc>
        <w:tc>
          <w:tcPr>
            <w:tcW w:w="700" w:type="pct"/>
            <w:vAlign w:val="center"/>
          </w:tcPr>
          <w:p w14:paraId="358409CA">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响应页码</w:t>
            </w:r>
          </w:p>
        </w:tc>
      </w:tr>
      <w:tr w14:paraId="1086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32" w:type="pct"/>
            <w:vAlign w:val="center"/>
          </w:tcPr>
          <w:p w14:paraId="2420E12D">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75" w:type="pct"/>
            <w:tcBorders>
              <w:left w:val="single" w:color="000000" w:sz="4" w:space="0"/>
            </w:tcBorders>
            <w:vAlign w:val="center"/>
          </w:tcPr>
          <w:p w14:paraId="76469A5A">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4723E1FA">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26ABACBC">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2B945755">
            <w:pPr>
              <w:spacing w:before="240" w:beforeAutospacing="0" w:afterAutospacing="0" w:line="360" w:lineRule="auto"/>
              <w:rPr>
                <w:rFonts w:hint="eastAsia" w:ascii="宋体" w:hAnsi="宋体" w:eastAsia="宋体" w:cs="宋体"/>
                <w:color w:val="auto"/>
                <w:szCs w:val="21"/>
                <w:highlight w:val="none"/>
              </w:rPr>
            </w:pPr>
          </w:p>
        </w:tc>
      </w:tr>
      <w:tr w14:paraId="602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32" w:type="pct"/>
            <w:vAlign w:val="center"/>
          </w:tcPr>
          <w:p w14:paraId="36CC98FC">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075" w:type="pct"/>
            <w:tcBorders>
              <w:left w:val="single" w:color="000000" w:sz="4" w:space="0"/>
            </w:tcBorders>
            <w:vAlign w:val="center"/>
          </w:tcPr>
          <w:p w14:paraId="693ED0B8">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5184663C">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5D6918B9">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3E5C50DC">
            <w:pPr>
              <w:spacing w:before="240" w:beforeAutospacing="0" w:afterAutospacing="0" w:line="360" w:lineRule="auto"/>
              <w:ind w:left="902" w:hanging="902"/>
              <w:rPr>
                <w:rFonts w:hint="eastAsia" w:ascii="宋体" w:hAnsi="宋体" w:eastAsia="宋体" w:cs="宋体"/>
                <w:color w:val="auto"/>
                <w:szCs w:val="21"/>
                <w:highlight w:val="none"/>
              </w:rPr>
            </w:pPr>
          </w:p>
        </w:tc>
      </w:tr>
      <w:tr w14:paraId="6FC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5508685D">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075" w:type="pct"/>
            <w:tcBorders>
              <w:left w:val="single" w:color="000000" w:sz="4" w:space="0"/>
            </w:tcBorders>
            <w:vAlign w:val="top"/>
          </w:tcPr>
          <w:p w14:paraId="54AB3CD8">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328D520E">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1EA9CDF0">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3FA920E2">
            <w:pPr>
              <w:spacing w:before="240" w:beforeAutospacing="0" w:afterAutospacing="0" w:line="360" w:lineRule="auto"/>
              <w:ind w:left="902" w:hanging="902"/>
              <w:rPr>
                <w:rFonts w:hint="eastAsia" w:ascii="宋体" w:hAnsi="宋体" w:eastAsia="宋体" w:cs="宋体"/>
                <w:color w:val="auto"/>
                <w:szCs w:val="21"/>
                <w:highlight w:val="none"/>
              </w:rPr>
            </w:pPr>
          </w:p>
        </w:tc>
      </w:tr>
      <w:tr w14:paraId="6D1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1C909F3E">
            <w:pPr>
              <w:spacing w:before="240" w:beforeAutospacing="0" w:afterAutospacing="0"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75" w:type="pct"/>
            <w:tcBorders>
              <w:left w:val="single" w:color="000000" w:sz="4" w:space="0"/>
            </w:tcBorders>
            <w:vAlign w:val="top"/>
          </w:tcPr>
          <w:p w14:paraId="7C77906A">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69DDA393">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128C0493">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50995879">
            <w:pPr>
              <w:spacing w:before="240" w:beforeAutospacing="0" w:afterAutospacing="0" w:line="360" w:lineRule="auto"/>
              <w:ind w:left="902" w:hanging="902"/>
              <w:rPr>
                <w:rFonts w:hint="eastAsia" w:ascii="宋体" w:hAnsi="宋体" w:eastAsia="宋体" w:cs="宋体"/>
                <w:color w:val="auto"/>
                <w:szCs w:val="21"/>
                <w:highlight w:val="none"/>
              </w:rPr>
            </w:pPr>
          </w:p>
        </w:tc>
      </w:tr>
    </w:tbl>
    <w:p w14:paraId="5BD140DD">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说明：1、投标人必须对应招标文件的 “★”号条款逐条应答并按要求填写下表。</w:t>
      </w:r>
    </w:p>
    <w:p w14:paraId="31CC8E49">
      <w:pPr>
        <w:spacing w:beforeAutospacing="0" w:afterAutospacing="0" w:line="360" w:lineRule="auto"/>
        <w:ind w:left="510" w:leftChars="243" w:firstLine="102" w:firstLineChars="4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w:t>
      </w:r>
      <w:r>
        <w:rPr>
          <w:rFonts w:hint="eastAsia" w:ascii="宋体" w:hAnsi="宋体" w:eastAsia="宋体" w:cs="宋体"/>
          <w:color w:val="auto"/>
          <w:sz w:val="21"/>
          <w:szCs w:val="21"/>
          <w:highlight w:val="none"/>
        </w:rPr>
        <w:t>“是否响应”项下应按下列规定填写：填写“</w:t>
      </w:r>
      <w:r>
        <w:rPr>
          <w:rFonts w:hint="eastAsia" w:ascii="宋体" w:hAnsi="宋体" w:cs="宋体"/>
          <w:color w:val="auto"/>
          <w:sz w:val="21"/>
          <w:szCs w:val="21"/>
          <w:highlight w:val="none"/>
          <w:lang w:val="en-US" w:eastAsia="zh-CN"/>
        </w:rPr>
        <w:t>是或否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“偏离说明”处可填写偏离情况的说明。</w:t>
      </w:r>
    </w:p>
    <w:p w14:paraId="6B1AFF42">
      <w:pPr>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3.</w:t>
      </w:r>
      <w:r>
        <w:rPr>
          <w:rFonts w:hint="eastAsia" w:ascii="宋体" w:hAnsi="宋体" w:eastAsia="宋体" w:cs="宋体"/>
          <w:bCs/>
          <w:color w:val="auto"/>
          <w:szCs w:val="21"/>
          <w:highlight w:val="none"/>
        </w:rPr>
        <w:t>如招标文件没有带“</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”号条款的不需填写此表。</w:t>
      </w:r>
    </w:p>
    <w:p w14:paraId="4DFAA36D">
      <w:pPr>
        <w:spacing w:beforeAutospacing="0" w:afterAutospacing="0" w:line="360" w:lineRule="auto"/>
        <w:ind w:firstLine="422" w:firstLineChars="200"/>
        <w:rPr>
          <w:rFonts w:hint="eastAsia" w:ascii="宋体" w:hAnsi="宋体" w:eastAsia="宋体" w:cs="宋体"/>
          <w:b/>
          <w:bCs/>
          <w:color w:val="auto"/>
          <w:szCs w:val="21"/>
          <w:highlight w:val="none"/>
        </w:rPr>
      </w:pPr>
    </w:p>
    <w:p w14:paraId="144E6840">
      <w:pPr>
        <w:adjustRightInd w:val="0"/>
        <w:snapToGrid w:val="0"/>
        <w:spacing w:beforeAutospacing="0" w:afterAutospacing="0" w:line="360" w:lineRule="auto"/>
        <w:rPr>
          <w:rFonts w:hint="eastAsia" w:ascii="宋体" w:hAnsi="宋体" w:eastAsia="宋体" w:cs="宋体"/>
          <w:color w:val="auto"/>
          <w:szCs w:val="21"/>
          <w:highlight w:val="none"/>
        </w:rPr>
      </w:pPr>
    </w:p>
    <w:p w14:paraId="6B65023A">
      <w:pPr>
        <w:adjustRightInd w:val="0"/>
        <w:snapToGrid w:val="0"/>
        <w:spacing w:beforeAutospacing="0" w:afterAutospacing="0" w:line="360" w:lineRule="auto"/>
        <w:rPr>
          <w:rFonts w:hint="eastAsia" w:ascii="宋体" w:hAnsi="宋体" w:eastAsia="宋体" w:cs="宋体"/>
          <w:color w:val="auto"/>
          <w:szCs w:val="21"/>
          <w:highlight w:val="none"/>
        </w:rPr>
      </w:pPr>
    </w:p>
    <w:p w14:paraId="10262B7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D47BB1">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6B05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8E20C11">
      <w:pPr>
        <w:spacing w:beforeAutospacing="0" w:afterAutospacing="0" w:line="360" w:lineRule="auto"/>
        <w:ind w:firstLine="422" w:firstLineChars="200"/>
        <w:rPr>
          <w:rFonts w:hint="eastAsia" w:ascii="宋体" w:hAnsi="宋体" w:eastAsia="宋体" w:cs="宋体"/>
          <w:b/>
          <w:bCs/>
          <w:color w:val="auto"/>
          <w:szCs w:val="21"/>
          <w:highlight w:val="none"/>
        </w:rPr>
      </w:pPr>
    </w:p>
    <w:p w14:paraId="2137A4CA">
      <w:pPr>
        <w:spacing w:beforeAutospacing="0" w:afterAutospacing="0" w:line="360" w:lineRule="auto"/>
        <w:ind w:firstLine="422" w:firstLineChars="200"/>
        <w:rPr>
          <w:rFonts w:hint="eastAsia" w:ascii="宋体" w:hAnsi="宋体" w:eastAsia="宋体" w:cs="宋体"/>
          <w:b/>
          <w:bCs/>
          <w:color w:val="auto"/>
          <w:szCs w:val="21"/>
          <w:highlight w:val="none"/>
        </w:rPr>
      </w:pPr>
    </w:p>
    <w:p w14:paraId="68713EEC">
      <w:pPr>
        <w:pStyle w:val="62"/>
        <w:rPr>
          <w:rFonts w:hint="eastAsia" w:ascii="宋体" w:hAnsi="宋体" w:eastAsia="宋体" w:cs="宋体"/>
          <w:b/>
          <w:bCs/>
          <w:color w:val="auto"/>
          <w:szCs w:val="21"/>
          <w:highlight w:val="none"/>
        </w:rPr>
      </w:pPr>
    </w:p>
    <w:p w14:paraId="7459654E">
      <w:pPr>
        <w:rPr>
          <w:rFonts w:hint="eastAsia" w:ascii="宋体" w:hAnsi="宋体" w:eastAsia="宋体" w:cs="宋体"/>
          <w:b/>
          <w:bCs/>
          <w:color w:val="auto"/>
          <w:szCs w:val="21"/>
          <w:highlight w:val="none"/>
        </w:rPr>
      </w:pPr>
    </w:p>
    <w:p w14:paraId="46251EC1">
      <w:pPr>
        <w:spacing w:beforeAutospacing="0" w:afterAutospacing="0" w:line="360" w:lineRule="auto"/>
        <w:rPr>
          <w:rFonts w:hint="eastAsia" w:ascii="宋体" w:hAnsi="宋体" w:eastAsia="宋体" w:cs="宋体"/>
          <w:b/>
          <w:bCs/>
          <w:color w:val="auto"/>
          <w:szCs w:val="21"/>
          <w:highlight w:val="none"/>
        </w:rPr>
      </w:pPr>
    </w:p>
    <w:p w14:paraId="5C556055">
      <w:pPr>
        <w:pStyle w:val="61"/>
        <w:rPr>
          <w:rFonts w:hint="eastAsia" w:ascii="宋体" w:hAnsi="宋体" w:eastAsia="宋体" w:cs="宋体"/>
          <w:bCs/>
          <w:color w:val="auto"/>
          <w:szCs w:val="21"/>
          <w:highlight w:val="none"/>
        </w:rPr>
      </w:pPr>
    </w:p>
    <w:p w14:paraId="52E6F58C">
      <w:pPr>
        <w:pStyle w:val="61"/>
        <w:rPr>
          <w:rFonts w:hint="eastAsia" w:ascii="宋体" w:hAnsi="宋体" w:eastAsia="宋体" w:cs="宋体"/>
          <w:bCs/>
          <w:color w:val="auto"/>
          <w:szCs w:val="21"/>
          <w:highlight w:val="none"/>
        </w:rPr>
      </w:pPr>
    </w:p>
    <w:p w14:paraId="7631B26A">
      <w:pPr>
        <w:pStyle w:val="61"/>
        <w:rPr>
          <w:rFonts w:hint="eastAsia" w:ascii="宋体" w:hAnsi="宋体" w:eastAsia="宋体" w:cs="宋体"/>
          <w:bCs/>
          <w:color w:val="auto"/>
          <w:szCs w:val="21"/>
          <w:highlight w:val="none"/>
        </w:rPr>
      </w:pPr>
    </w:p>
    <w:p w14:paraId="18DF88FB">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3CE28786">
      <w:pPr>
        <w:pStyle w:val="61"/>
        <w:rPr>
          <w:rFonts w:hint="eastAsia" w:ascii="宋体" w:hAnsi="宋体" w:eastAsia="宋体" w:cs="宋体"/>
          <w:bCs/>
          <w:color w:val="auto"/>
          <w:szCs w:val="21"/>
          <w:highlight w:val="none"/>
        </w:rPr>
      </w:pPr>
    </w:p>
    <w:p w14:paraId="3008DEE0">
      <w:pPr>
        <w:pStyle w:val="4"/>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5.</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w:t>
      </w:r>
      <w:r>
        <w:rPr>
          <w:rFonts w:hint="eastAsia" w:ascii="宋体" w:hAnsi="宋体" w:eastAsia="宋体" w:cs="宋体"/>
          <w:b/>
          <w:color w:val="auto"/>
          <w:sz w:val="28"/>
          <w:szCs w:val="28"/>
          <w:highlight w:val="none"/>
        </w:rPr>
        <w:t>”重要条款响应表</w:t>
      </w:r>
    </w:p>
    <w:p w14:paraId="144F21DF">
      <w:pPr>
        <w:spacing w:beforeAutospacing="0" w:afterAutospacing="0" w:line="360" w:lineRule="auto"/>
        <w:ind w:firstLine="105" w:firstLineChars="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kern w:val="28"/>
          <w:szCs w:val="21"/>
          <w:highlight w:val="none"/>
        </w:rPr>
        <w:t>：</w:t>
      </w:r>
    </w:p>
    <w:p w14:paraId="40B0FF49">
      <w:pPr>
        <w:spacing w:beforeAutospacing="0" w:afterAutospacing="0" w:line="360" w:lineRule="auto"/>
        <w:ind w:firstLine="105" w:firstLineChars="5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94"/>
        <w:gridCol w:w="1329"/>
        <w:gridCol w:w="1330"/>
        <w:gridCol w:w="1330"/>
      </w:tblGrid>
      <w:tr w14:paraId="47E3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74" w:type="pct"/>
            <w:vAlign w:val="center"/>
          </w:tcPr>
          <w:p w14:paraId="3390F650">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128" w:type="pct"/>
            <w:tcBorders>
              <w:left w:val="single" w:color="000000" w:sz="4" w:space="0"/>
            </w:tcBorders>
            <w:vAlign w:val="center"/>
          </w:tcPr>
          <w:p w14:paraId="73823C76">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采购需求</w:t>
            </w:r>
            <w:r>
              <w:rPr>
                <w:rFonts w:hint="eastAsia" w:ascii="宋体" w:hAnsi="宋体" w:eastAsia="宋体" w:cs="宋体"/>
                <w:b/>
                <w:bCs/>
                <w:color w:val="auto"/>
                <w:szCs w:val="21"/>
                <w:highlight w:val="none"/>
              </w:rPr>
              <w:t>带“</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Cs w:val="21"/>
                <w:highlight w:val="none"/>
              </w:rPr>
              <w:t>”号条款内容</w:t>
            </w:r>
          </w:p>
        </w:tc>
        <w:tc>
          <w:tcPr>
            <w:tcW w:w="890" w:type="pct"/>
            <w:vAlign w:val="center"/>
          </w:tcPr>
          <w:p w14:paraId="18E2856E">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是否响应</w:t>
            </w:r>
          </w:p>
        </w:tc>
        <w:tc>
          <w:tcPr>
            <w:tcW w:w="768" w:type="pct"/>
            <w:vAlign w:val="center"/>
          </w:tcPr>
          <w:p w14:paraId="2BFE8E6E">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w:t>
            </w:r>
          </w:p>
        </w:tc>
        <w:tc>
          <w:tcPr>
            <w:tcW w:w="737" w:type="pct"/>
            <w:vAlign w:val="center"/>
          </w:tcPr>
          <w:p w14:paraId="54173BC6">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响应页码</w:t>
            </w:r>
          </w:p>
        </w:tc>
      </w:tr>
      <w:tr w14:paraId="67F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4" w:type="pct"/>
            <w:vAlign w:val="center"/>
          </w:tcPr>
          <w:p w14:paraId="44579633">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pct"/>
            <w:tcBorders>
              <w:left w:val="single" w:color="000000" w:sz="4" w:space="0"/>
            </w:tcBorders>
            <w:vAlign w:val="center"/>
          </w:tcPr>
          <w:p w14:paraId="00C74A89">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0FBD6AAF">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078C192D">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7418A95B">
            <w:pPr>
              <w:spacing w:before="240" w:beforeAutospacing="0" w:afterAutospacing="0" w:line="360" w:lineRule="auto"/>
              <w:rPr>
                <w:rFonts w:hint="eastAsia" w:ascii="宋体" w:hAnsi="宋体" w:eastAsia="宋体" w:cs="宋体"/>
                <w:color w:val="auto"/>
                <w:szCs w:val="21"/>
                <w:highlight w:val="none"/>
              </w:rPr>
            </w:pPr>
          </w:p>
        </w:tc>
      </w:tr>
      <w:tr w14:paraId="7D6F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74" w:type="pct"/>
            <w:vAlign w:val="center"/>
          </w:tcPr>
          <w:p w14:paraId="6325DAAA">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pct"/>
            <w:tcBorders>
              <w:left w:val="single" w:color="000000" w:sz="4" w:space="0"/>
            </w:tcBorders>
            <w:vAlign w:val="center"/>
          </w:tcPr>
          <w:p w14:paraId="0701E296">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753E05F2">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579523DC">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3FE9F21C">
            <w:pPr>
              <w:spacing w:before="240" w:beforeAutospacing="0" w:afterAutospacing="0" w:line="360" w:lineRule="auto"/>
              <w:ind w:left="902" w:hanging="902"/>
              <w:rPr>
                <w:rFonts w:hint="eastAsia" w:ascii="宋体" w:hAnsi="宋体" w:eastAsia="宋体" w:cs="宋体"/>
                <w:color w:val="auto"/>
                <w:szCs w:val="21"/>
                <w:highlight w:val="none"/>
              </w:rPr>
            </w:pPr>
          </w:p>
        </w:tc>
      </w:tr>
      <w:tr w14:paraId="11D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2E4A8459">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pct"/>
            <w:tcBorders>
              <w:left w:val="single" w:color="000000" w:sz="4" w:space="0"/>
            </w:tcBorders>
            <w:vAlign w:val="top"/>
          </w:tcPr>
          <w:p w14:paraId="57C8964F">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362283EE">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3F56DB90">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155B5F9B">
            <w:pPr>
              <w:spacing w:before="240" w:beforeAutospacing="0" w:afterAutospacing="0" w:line="360" w:lineRule="auto"/>
              <w:ind w:left="902" w:hanging="902"/>
              <w:rPr>
                <w:rFonts w:hint="eastAsia" w:ascii="宋体" w:hAnsi="宋体" w:eastAsia="宋体" w:cs="宋体"/>
                <w:color w:val="auto"/>
                <w:szCs w:val="21"/>
                <w:highlight w:val="none"/>
              </w:rPr>
            </w:pPr>
          </w:p>
        </w:tc>
      </w:tr>
      <w:tr w14:paraId="21B4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33E545FA">
            <w:pPr>
              <w:spacing w:before="240" w:beforeAutospacing="0" w:afterAutospacing="0"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pct"/>
            <w:tcBorders>
              <w:left w:val="single" w:color="000000" w:sz="4" w:space="0"/>
            </w:tcBorders>
            <w:vAlign w:val="top"/>
          </w:tcPr>
          <w:p w14:paraId="5B0747AA">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6FDE3C44">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21DC31AD">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1C84885E">
            <w:pPr>
              <w:spacing w:before="240" w:beforeAutospacing="0" w:afterAutospacing="0" w:line="360" w:lineRule="auto"/>
              <w:ind w:left="902" w:hanging="902"/>
              <w:rPr>
                <w:rFonts w:hint="eastAsia" w:ascii="宋体" w:hAnsi="宋体" w:eastAsia="宋体" w:cs="宋体"/>
                <w:color w:val="auto"/>
                <w:szCs w:val="21"/>
                <w:highlight w:val="none"/>
              </w:rPr>
            </w:pPr>
          </w:p>
        </w:tc>
      </w:tr>
    </w:tbl>
    <w:p w14:paraId="1A2FBDDD">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说明：1、投标人必须对应招标文件的 “</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Cs w:val="21"/>
          <w:highlight w:val="none"/>
        </w:rPr>
        <w:t>”号条款逐条应答并按要求填写上表。</w:t>
      </w:r>
    </w:p>
    <w:p w14:paraId="0A03C8E6">
      <w:pPr>
        <w:spacing w:beforeAutospacing="0" w:afterAutospacing="0" w:line="360" w:lineRule="auto"/>
        <w:ind w:left="510" w:leftChars="243" w:firstLine="102" w:firstLineChars="4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2.</w:t>
      </w:r>
      <w:r>
        <w:rPr>
          <w:rFonts w:hint="eastAsia" w:ascii="宋体" w:hAnsi="宋体" w:eastAsia="宋体" w:cs="宋体"/>
          <w:color w:val="auto"/>
          <w:sz w:val="21"/>
          <w:szCs w:val="21"/>
          <w:highlight w:val="none"/>
        </w:rPr>
        <w:t>“是否响应”项下应按下列规定填写：填写“</w:t>
      </w:r>
      <w:r>
        <w:rPr>
          <w:rFonts w:hint="eastAsia" w:ascii="宋体" w:hAnsi="宋体" w:cs="宋体"/>
          <w:color w:val="auto"/>
          <w:sz w:val="21"/>
          <w:szCs w:val="21"/>
          <w:highlight w:val="none"/>
          <w:lang w:val="en-US" w:eastAsia="zh-CN"/>
        </w:rPr>
        <w:t>是或否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“偏离说明”处可填写偏离情况的说明。</w:t>
      </w:r>
    </w:p>
    <w:p w14:paraId="537EBA66">
      <w:pPr>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3.</w:t>
      </w:r>
      <w:r>
        <w:rPr>
          <w:rFonts w:hint="eastAsia" w:ascii="宋体" w:hAnsi="宋体" w:eastAsia="宋体" w:cs="宋体"/>
          <w:bCs/>
          <w:color w:val="auto"/>
          <w:szCs w:val="21"/>
          <w:highlight w:val="none"/>
        </w:rPr>
        <w:t>如招标文件没有带“</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Cs w:val="21"/>
          <w:highlight w:val="none"/>
        </w:rPr>
        <w:t>”号条款的不需填写此表。</w:t>
      </w:r>
    </w:p>
    <w:p w14:paraId="3110C17E">
      <w:pPr>
        <w:spacing w:beforeAutospacing="0" w:afterAutospacing="0" w:line="360" w:lineRule="auto"/>
        <w:ind w:firstLine="422" w:firstLineChars="200"/>
        <w:rPr>
          <w:rFonts w:hint="eastAsia" w:ascii="宋体" w:hAnsi="宋体" w:eastAsia="宋体" w:cs="宋体"/>
          <w:b/>
          <w:bCs/>
          <w:color w:val="auto"/>
          <w:szCs w:val="21"/>
          <w:highlight w:val="none"/>
        </w:rPr>
      </w:pPr>
    </w:p>
    <w:p w14:paraId="7010F70D">
      <w:pPr>
        <w:adjustRightInd w:val="0"/>
        <w:snapToGrid w:val="0"/>
        <w:spacing w:beforeAutospacing="0" w:afterAutospacing="0" w:line="360" w:lineRule="auto"/>
        <w:rPr>
          <w:rFonts w:hint="eastAsia" w:ascii="宋体" w:hAnsi="宋体" w:eastAsia="宋体" w:cs="宋体"/>
          <w:color w:val="auto"/>
          <w:szCs w:val="21"/>
          <w:highlight w:val="none"/>
        </w:rPr>
      </w:pPr>
    </w:p>
    <w:p w14:paraId="1FEC919D">
      <w:pPr>
        <w:spacing w:beforeAutospacing="0" w:afterAutospacing="0" w:line="360" w:lineRule="auto"/>
        <w:rPr>
          <w:rFonts w:hint="eastAsia" w:ascii="宋体" w:hAnsi="宋体" w:eastAsia="宋体" w:cs="宋体"/>
          <w:color w:val="auto"/>
          <w:highlight w:val="none"/>
        </w:rPr>
      </w:pPr>
    </w:p>
    <w:p w14:paraId="7D94E35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1B495DE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FDA3A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4E3A8A9">
      <w:pPr>
        <w:spacing w:beforeAutospacing="0" w:afterAutospacing="0" w:line="360" w:lineRule="auto"/>
        <w:rPr>
          <w:rFonts w:hint="eastAsia" w:ascii="宋体" w:hAnsi="宋体" w:eastAsia="宋体" w:cs="宋体"/>
          <w:color w:val="auto"/>
          <w:highlight w:val="none"/>
        </w:rPr>
      </w:pPr>
    </w:p>
    <w:p w14:paraId="6E8EE460">
      <w:pPr>
        <w:spacing w:beforeAutospacing="0" w:afterAutospacing="0" w:line="360" w:lineRule="auto"/>
        <w:jc w:val="center"/>
        <w:rPr>
          <w:rFonts w:hint="eastAsia" w:ascii="宋体" w:hAnsi="宋体" w:eastAsia="宋体" w:cs="宋体"/>
          <w:b/>
          <w:color w:val="auto"/>
          <w:sz w:val="28"/>
          <w:szCs w:val="28"/>
          <w:highlight w:val="none"/>
        </w:rPr>
      </w:pPr>
    </w:p>
    <w:p w14:paraId="667793E0">
      <w:pPr>
        <w:pStyle w:val="109"/>
        <w:spacing w:beforeAutospacing="0" w:afterAutospacing="0" w:line="360" w:lineRule="auto"/>
        <w:rPr>
          <w:rFonts w:hint="eastAsia" w:ascii="宋体" w:hAnsi="宋体" w:eastAsia="宋体" w:cs="宋体"/>
          <w:b/>
          <w:color w:val="auto"/>
          <w:sz w:val="28"/>
          <w:szCs w:val="28"/>
          <w:highlight w:val="none"/>
        </w:rPr>
      </w:pPr>
    </w:p>
    <w:p w14:paraId="06856BC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FAE13B8">
      <w:pPr>
        <w:pStyle w:val="4"/>
        <w:spacing w:before="0" w:beforeAutospacing="0" w:after="120" w:afterAutospacing="0"/>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三、商务</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文件</w:t>
      </w:r>
    </w:p>
    <w:p w14:paraId="7137D7E9">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条款响应表</w:t>
      </w:r>
    </w:p>
    <w:p w14:paraId="6C76FDDE">
      <w:pPr>
        <w:spacing w:beforeAutospacing="0" w:afterAutospacing="0"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[说明]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应对照招标文件第二部分《</w:t>
      </w:r>
      <w:r>
        <w:rPr>
          <w:rFonts w:hint="eastAsia" w:ascii="宋体" w:hAnsi="宋体" w:cs="宋体"/>
          <w:color w:val="auto"/>
          <w:highlight w:val="none"/>
          <w:lang w:eastAsia="zh-CN"/>
        </w:rPr>
        <w:t>采购需求</w:t>
      </w:r>
      <w:r>
        <w:rPr>
          <w:rFonts w:hint="eastAsia" w:ascii="宋体" w:hAnsi="宋体" w:eastAsia="宋体" w:cs="宋体"/>
          <w:color w:val="auto"/>
          <w:highlight w:val="none"/>
        </w:rPr>
        <w:t>》所列商务</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条款的内容一一响应，完全满足的在“是否响应”栏中填写“完全响应”，不能满足的填写“否”，有差异的则在“差异内容”栏中写明差异内容。</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972"/>
        <w:gridCol w:w="856"/>
        <w:gridCol w:w="2553"/>
        <w:gridCol w:w="1907"/>
        <w:gridCol w:w="2068"/>
      </w:tblGrid>
      <w:tr w14:paraId="3742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584" w:hRule="atLeast"/>
        </w:trPr>
        <w:tc>
          <w:tcPr>
            <w:tcW w:w="582" w:type="pct"/>
            <w:vMerge w:val="restart"/>
            <w:tcBorders>
              <w:top w:val="single" w:color="auto" w:sz="12" w:space="0"/>
              <w:left w:val="single" w:color="auto" w:sz="12" w:space="0"/>
              <w:right w:val="single" w:color="auto" w:sz="6" w:space="0"/>
            </w:tcBorders>
            <w:vAlign w:val="center"/>
          </w:tcPr>
          <w:p w14:paraId="4E94494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039" w:type="pct"/>
            <w:gridSpan w:val="2"/>
            <w:tcBorders>
              <w:top w:val="single" w:color="auto" w:sz="12" w:space="0"/>
              <w:left w:val="single" w:color="auto" w:sz="6" w:space="0"/>
              <w:bottom w:val="single" w:color="auto" w:sz="4" w:space="0"/>
            </w:tcBorders>
            <w:vAlign w:val="center"/>
          </w:tcPr>
          <w:p w14:paraId="57CBC422">
            <w:pPr>
              <w:autoSpaceDE w:val="0"/>
              <w:autoSpaceDN w:val="0"/>
              <w:adjustRightInd w:val="0"/>
              <w:spacing w:beforeAutospacing="0" w:afterAutospacing="0" w:line="360" w:lineRule="auto"/>
              <w:ind w:left="-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招标文件商务</w:t>
            </w:r>
            <w:r>
              <w:rPr>
                <w:rFonts w:hint="eastAsia" w:ascii="宋体" w:hAnsi="宋体" w:eastAsia="宋体" w:cs="宋体"/>
                <w:b/>
                <w:bCs/>
                <w:color w:val="auto"/>
                <w:highlight w:val="none"/>
                <w:lang w:val="en-US" w:eastAsia="zh-CN"/>
              </w:rPr>
              <w:t>技术</w:t>
            </w:r>
            <w:r>
              <w:rPr>
                <w:rFonts w:hint="eastAsia" w:ascii="宋体" w:hAnsi="宋体" w:eastAsia="宋体" w:cs="宋体"/>
                <w:b/>
                <w:bCs/>
                <w:color w:val="auto"/>
                <w:highlight w:val="none"/>
              </w:rPr>
              <w:t>要求</w:t>
            </w:r>
          </w:p>
        </w:tc>
        <w:tc>
          <w:tcPr>
            <w:tcW w:w="2378" w:type="pct"/>
            <w:gridSpan w:val="2"/>
            <w:tcBorders>
              <w:top w:val="single" w:color="auto" w:sz="12" w:space="0"/>
              <w:left w:val="single" w:color="auto" w:sz="6" w:space="0"/>
              <w:bottom w:val="single" w:color="auto" w:sz="6" w:space="0"/>
              <w:right w:val="single" w:color="auto" w:sz="12" w:space="0"/>
            </w:tcBorders>
            <w:vAlign w:val="center"/>
          </w:tcPr>
          <w:p w14:paraId="094EDF82">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投标文件内容</w:t>
            </w:r>
          </w:p>
        </w:tc>
      </w:tr>
      <w:tr w14:paraId="51EA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607" w:hRule="atLeast"/>
        </w:trPr>
        <w:tc>
          <w:tcPr>
            <w:tcW w:w="582" w:type="pct"/>
            <w:vMerge w:val="continue"/>
            <w:tcBorders>
              <w:left w:val="single" w:color="auto" w:sz="12" w:space="0"/>
              <w:bottom w:val="single" w:color="auto" w:sz="6" w:space="0"/>
              <w:right w:val="single" w:color="auto" w:sz="6" w:space="0"/>
            </w:tcBorders>
            <w:vAlign w:val="top"/>
          </w:tcPr>
          <w:p w14:paraId="7FFB3DE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p>
        </w:tc>
        <w:tc>
          <w:tcPr>
            <w:tcW w:w="512" w:type="pct"/>
            <w:tcBorders>
              <w:top w:val="single" w:color="auto" w:sz="4" w:space="0"/>
              <w:left w:val="single" w:color="auto" w:sz="6" w:space="0"/>
              <w:bottom w:val="single" w:color="auto" w:sz="6" w:space="0"/>
              <w:right w:val="single" w:color="auto" w:sz="4" w:space="0"/>
            </w:tcBorders>
            <w:vAlign w:val="center"/>
          </w:tcPr>
          <w:p w14:paraId="322EDF0D">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条目</w:t>
            </w:r>
          </w:p>
        </w:tc>
        <w:tc>
          <w:tcPr>
            <w:tcW w:w="1526" w:type="pct"/>
            <w:tcBorders>
              <w:top w:val="single" w:color="auto" w:sz="6" w:space="0"/>
              <w:left w:val="single" w:color="auto" w:sz="4" w:space="0"/>
              <w:bottom w:val="single" w:color="auto" w:sz="6" w:space="0"/>
              <w:right w:val="single" w:color="auto" w:sz="6" w:space="0"/>
            </w:tcBorders>
            <w:vAlign w:val="center"/>
          </w:tcPr>
          <w:p w14:paraId="779DD91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简要内容</w:t>
            </w:r>
          </w:p>
        </w:tc>
        <w:tc>
          <w:tcPr>
            <w:tcW w:w="1141" w:type="pct"/>
            <w:tcBorders>
              <w:top w:val="single" w:color="auto" w:sz="6" w:space="0"/>
              <w:left w:val="single" w:color="auto" w:sz="6" w:space="0"/>
              <w:bottom w:val="single" w:color="auto" w:sz="6" w:space="0"/>
              <w:right w:val="single" w:color="auto" w:sz="6" w:space="0"/>
            </w:tcBorders>
            <w:vAlign w:val="center"/>
          </w:tcPr>
          <w:p w14:paraId="54DB5227">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是否响应</w:t>
            </w:r>
          </w:p>
        </w:tc>
        <w:tc>
          <w:tcPr>
            <w:tcW w:w="1237" w:type="pct"/>
            <w:tcBorders>
              <w:top w:val="single" w:color="auto" w:sz="6" w:space="0"/>
              <w:left w:val="single" w:color="auto" w:sz="6" w:space="0"/>
              <w:bottom w:val="single" w:color="auto" w:sz="6" w:space="0"/>
              <w:right w:val="single" w:color="auto" w:sz="12" w:space="0"/>
            </w:tcBorders>
            <w:vAlign w:val="center"/>
          </w:tcPr>
          <w:p w14:paraId="27564768">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差异内容</w:t>
            </w:r>
          </w:p>
        </w:tc>
      </w:tr>
      <w:tr w14:paraId="3D99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0" w:hRule="exact"/>
        </w:trPr>
        <w:tc>
          <w:tcPr>
            <w:tcW w:w="582" w:type="pct"/>
            <w:tcBorders>
              <w:top w:val="single" w:color="auto" w:sz="6" w:space="0"/>
              <w:left w:val="single" w:color="auto" w:sz="12" w:space="0"/>
              <w:bottom w:val="single" w:color="auto" w:sz="6" w:space="0"/>
              <w:right w:val="single" w:color="auto" w:sz="6" w:space="0"/>
            </w:tcBorders>
            <w:vAlign w:val="top"/>
          </w:tcPr>
          <w:p w14:paraId="7A8B1E8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30DE9F1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18E2A075">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3321C4B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BE5E95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2B2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6" w:hRule="exact"/>
        </w:trPr>
        <w:tc>
          <w:tcPr>
            <w:tcW w:w="582" w:type="pct"/>
            <w:tcBorders>
              <w:top w:val="single" w:color="auto" w:sz="6" w:space="0"/>
              <w:left w:val="single" w:color="auto" w:sz="12" w:space="0"/>
              <w:bottom w:val="single" w:color="auto" w:sz="6" w:space="0"/>
              <w:right w:val="single" w:color="auto" w:sz="6" w:space="0"/>
            </w:tcBorders>
            <w:vAlign w:val="top"/>
          </w:tcPr>
          <w:p w14:paraId="7C6709AF">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361700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327D9DD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6CA6090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7EF36164">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3D67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90" w:hRule="exact"/>
        </w:trPr>
        <w:tc>
          <w:tcPr>
            <w:tcW w:w="582" w:type="pct"/>
            <w:tcBorders>
              <w:top w:val="single" w:color="auto" w:sz="6" w:space="0"/>
              <w:left w:val="single" w:color="auto" w:sz="12" w:space="0"/>
              <w:bottom w:val="single" w:color="auto" w:sz="6" w:space="0"/>
              <w:right w:val="single" w:color="auto" w:sz="6" w:space="0"/>
            </w:tcBorders>
            <w:vAlign w:val="top"/>
          </w:tcPr>
          <w:p w14:paraId="64B8BCF2">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67CC22B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55BBB83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68B46DC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681FC712">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539B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4BA624E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071F8D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1E2362A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1E3B67C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342EDB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044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7C4C82E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22C8EEB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36AAACE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45630EC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580455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1C3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60B0404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0C4AC24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4EBCAC7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499C90D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502CA77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57F2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3267A5E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3149DFE">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7E442FB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38550D61">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1305BAD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7BB9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12" w:space="0"/>
              <w:right w:val="single" w:color="auto" w:sz="6" w:space="0"/>
            </w:tcBorders>
            <w:vAlign w:val="top"/>
          </w:tcPr>
          <w:p w14:paraId="4F1B1718">
            <w:pPr>
              <w:autoSpaceDE w:val="0"/>
              <w:autoSpaceDN w:val="0"/>
              <w:adjustRightInd w:val="0"/>
              <w:spacing w:beforeAutospacing="0" w:afterAutospacing="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512" w:type="pct"/>
            <w:tcBorders>
              <w:top w:val="single" w:color="auto" w:sz="6" w:space="0"/>
              <w:left w:val="single" w:color="auto" w:sz="6" w:space="0"/>
              <w:bottom w:val="single" w:color="auto" w:sz="12" w:space="0"/>
              <w:right w:val="single" w:color="auto" w:sz="6" w:space="0"/>
            </w:tcBorders>
            <w:vAlign w:val="top"/>
          </w:tcPr>
          <w:p w14:paraId="0F5B0B4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12" w:space="0"/>
              <w:right w:val="single" w:color="auto" w:sz="6" w:space="0"/>
            </w:tcBorders>
            <w:vAlign w:val="top"/>
          </w:tcPr>
          <w:p w14:paraId="16DB6FF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12" w:space="0"/>
              <w:right w:val="single" w:color="auto" w:sz="6" w:space="0"/>
            </w:tcBorders>
            <w:vAlign w:val="top"/>
          </w:tcPr>
          <w:p w14:paraId="4E19A74A">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12" w:space="0"/>
              <w:right w:val="single" w:color="auto" w:sz="12" w:space="0"/>
            </w:tcBorders>
            <w:vAlign w:val="top"/>
          </w:tcPr>
          <w:p w14:paraId="1CD35FF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bl>
    <w:p w14:paraId="313ADA60">
      <w:pPr>
        <w:spacing w:beforeAutospacing="0" w:afterAutospacing="0" w:line="360" w:lineRule="auto"/>
        <w:ind w:left="515" w:hanging="515"/>
        <w:rPr>
          <w:rFonts w:hint="eastAsia" w:ascii="宋体" w:hAnsi="宋体" w:eastAsia="宋体" w:cs="宋体"/>
          <w:color w:val="auto"/>
          <w:highlight w:val="none"/>
        </w:rPr>
      </w:pPr>
    </w:p>
    <w:p w14:paraId="037B9542">
      <w:pPr>
        <w:spacing w:beforeAutospacing="0" w:afterAutospacing="0" w:line="360" w:lineRule="auto"/>
        <w:rPr>
          <w:rFonts w:hint="eastAsia" w:ascii="宋体" w:hAnsi="宋体" w:eastAsia="宋体" w:cs="宋体"/>
          <w:color w:val="auto"/>
          <w:highlight w:val="none"/>
        </w:rPr>
      </w:pPr>
    </w:p>
    <w:p w14:paraId="7B6349D0">
      <w:pPr>
        <w:pStyle w:val="109"/>
        <w:spacing w:beforeAutospacing="0" w:afterAutospacing="0" w:line="360" w:lineRule="auto"/>
        <w:rPr>
          <w:rFonts w:hint="eastAsia" w:ascii="宋体" w:hAnsi="宋体" w:eastAsia="宋体" w:cs="宋体"/>
          <w:color w:val="auto"/>
          <w:highlight w:val="none"/>
        </w:rPr>
      </w:pPr>
    </w:p>
    <w:p w14:paraId="737C8D8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ABB6FFF">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8104FF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332283">
      <w:pPr>
        <w:spacing w:beforeAutospacing="0" w:afterAutospacing="0" w:line="360" w:lineRule="auto"/>
        <w:jc w:val="center"/>
        <w:rPr>
          <w:rFonts w:hint="eastAsia" w:ascii="宋体" w:hAnsi="宋体" w:eastAsia="宋体" w:cs="宋体"/>
          <w:b/>
          <w:color w:val="auto"/>
          <w:sz w:val="32"/>
          <w:highlight w:val="none"/>
        </w:rPr>
      </w:pPr>
    </w:p>
    <w:p w14:paraId="212DFC71">
      <w:pPr>
        <w:spacing w:beforeAutospacing="0" w:afterAutospacing="0" w:line="360" w:lineRule="auto"/>
        <w:jc w:val="center"/>
        <w:rPr>
          <w:rFonts w:hint="eastAsia" w:ascii="宋体" w:hAnsi="宋体" w:eastAsia="宋体" w:cs="宋体"/>
          <w:b/>
          <w:color w:val="auto"/>
          <w:sz w:val="32"/>
          <w:highlight w:val="none"/>
        </w:rPr>
      </w:pPr>
    </w:p>
    <w:p w14:paraId="3DF52C37">
      <w:pPr>
        <w:spacing w:beforeAutospacing="0" w:afterAutospacing="0" w:line="360" w:lineRule="auto"/>
        <w:jc w:val="center"/>
        <w:rPr>
          <w:rFonts w:hint="eastAsia" w:ascii="宋体" w:hAnsi="宋体" w:eastAsia="宋体" w:cs="宋体"/>
          <w:b/>
          <w:color w:val="auto"/>
          <w:sz w:val="32"/>
          <w:highlight w:val="none"/>
        </w:rPr>
      </w:pPr>
    </w:p>
    <w:p w14:paraId="4FD1FDF9">
      <w:pPr>
        <w:spacing w:beforeAutospacing="0" w:afterAutospacing="0" w:line="360" w:lineRule="auto"/>
        <w:jc w:val="center"/>
        <w:rPr>
          <w:rFonts w:hint="eastAsia" w:ascii="宋体" w:hAnsi="宋体" w:eastAsia="宋体" w:cs="宋体"/>
          <w:b/>
          <w:color w:val="auto"/>
          <w:sz w:val="32"/>
          <w:highlight w:val="none"/>
        </w:rPr>
      </w:pPr>
    </w:p>
    <w:p w14:paraId="1DCFA9DC">
      <w:pPr>
        <w:spacing w:beforeAutospacing="0" w:afterAutospacing="0" w:line="360" w:lineRule="auto"/>
        <w:jc w:val="center"/>
        <w:rPr>
          <w:rFonts w:hint="eastAsia" w:ascii="宋体" w:hAnsi="宋体" w:eastAsia="宋体" w:cs="宋体"/>
          <w:b/>
          <w:color w:val="auto"/>
          <w:sz w:val="32"/>
          <w:highlight w:val="none"/>
        </w:rPr>
      </w:pPr>
    </w:p>
    <w:p w14:paraId="03CD2BE5">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B6BDB2D">
      <w:pPr>
        <w:pStyle w:val="2"/>
        <w:rPr>
          <w:rFonts w:hint="eastAsia"/>
          <w:color w:val="auto"/>
          <w:highlight w:val="none"/>
        </w:rPr>
      </w:pPr>
    </w:p>
    <w:p w14:paraId="00306DB2">
      <w:pPr>
        <w:pStyle w:val="17"/>
        <w:spacing w:beforeAutospacing="0" w:afterAutospacing="0" w:line="360" w:lineRule="auto"/>
        <w:rPr>
          <w:rFonts w:hint="eastAsia" w:ascii="宋体" w:hAnsi="宋体" w:eastAsia="宋体" w:cs="宋体"/>
          <w:b/>
          <w:color w:val="auto"/>
          <w:sz w:val="28"/>
          <w:szCs w:val="28"/>
          <w:highlight w:val="none"/>
        </w:rPr>
      </w:pPr>
      <w:bookmarkStart w:id="168" w:name="_Toc461991260"/>
      <w:bookmarkStart w:id="169" w:name="_Toc453695569"/>
      <w:bookmarkStart w:id="170" w:name="_Toc453695696"/>
      <w:bookmarkStart w:id="171" w:name="_Toc338083273"/>
    </w:p>
    <w:bookmarkEnd w:id="168"/>
    <w:bookmarkEnd w:id="169"/>
    <w:bookmarkEnd w:id="170"/>
    <w:bookmarkEnd w:id="171"/>
    <w:p w14:paraId="605FF620">
      <w:pPr>
        <w:spacing w:beforeAutospacing="0" w:after="12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缴纳招标服务费承诺书</w:t>
      </w:r>
    </w:p>
    <w:p w14:paraId="4EB0EA9B">
      <w:pPr>
        <w:spacing w:beforeAutospacing="0" w:afterAutospacing="0" w:line="360" w:lineRule="auto"/>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2B0EAF99">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我方在贵司代理的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（项目编号：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lang w:val="zh-CN"/>
        </w:rPr>
        <w:t>招标中若中标</w:t>
      </w:r>
      <w:r>
        <w:rPr>
          <w:rFonts w:hint="eastAsia" w:ascii="宋体" w:hAnsi="宋体" w:eastAsia="宋体" w:cs="宋体"/>
          <w:color w:val="auto"/>
          <w:szCs w:val="21"/>
          <w:highlight w:val="none"/>
        </w:rPr>
        <w:t>，我方保证按招标文件的规定，以支票、汇票、电汇、现金或经贵公司认可的一种方式，向贵公司即广东远东招标代理有限公司指定的银行账号，支付</w:t>
      </w:r>
      <w:r>
        <w:rPr>
          <w:rFonts w:hint="eastAsia" w:ascii="宋体" w:hAnsi="宋体" w:eastAsia="宋体" w:cs="宋体"/>
          <w:color w:val="auto"/>
          <w:szCs w:val="21"/>
          <w:highlight w:val="none"/>
          <w:lang w:eastAsia="zh-CN"/>
        </w:rPr>
        <w:t>招标代理服务费</w:t>
      </w:r>
      <w:r>
        <w:rPr>
          <w:rFonts w:hint="eastAsia" w:ascii="宋体" w:hAnsi="宋体" w:eastAsia="宋体" w:cs="宋体"/>
          <w:color w:val="auto"/>
          <w:szCs w:val="21"/>
          <w:highlight w:val="none"/>
        </w:rPr>
        <w:t>。</w:t>
      </w:r>
    </w:p>
    <w:p w14:paraId="0B1763F2">
      <w:pPr>
        <w:spacing w:beforeAutospacing="0" w:afterAutospacing="0" w:line="360" w:lineRule="auto"/>
        <w:ind w:firstLine="420" w:firstLineChars="200"/>
        <w:rPr>
          <w:rFonts w:hint="eastAsia" w:ascii="宋体" w:hAnsi="宋体" w:eastAsia="宋体" w:cs="宋体"/>
          <w:color w:val="auto"/>
          <w:szCs w:val="21"/>
          <w:highlight w:val="none"/>
        </w:rPr>
      </w:pPr>
    </w:p>
    <w:p w14:paraId="4BB73915">
      <w:pPr>
        <w:spacing w:beforeAutospacing="0" w:afterAutospacing="0" w:line="360" w:lineRule="auto"/>
        <w:ind w:firstLine="420" w:firstLineChars="200"/>
        <w:rPr>
          <w:rFonts w:hint="eastAsia" w:ascii="宋体" w:hAnsi="宋体" w:eastAsia="宋体" w:cs="宋体"/>
          <w:color w:val="auto"/>
          <w:szCs w:val="21"/>
          <w:highlight w:val="none"/>
        </w:rPr>
      </w:pPr>
    </w:p>
    <w:p w14:paraId="289CE5AA">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092A16B">
      <w:pPr>
        <w:adjustRightInd w:val="0"/>
        <w:snapToGrid w:val="0"/>
        <w:spacing w:beforeAutospacing="0" w:afterAutospacing="0" w:line="360" w:lineRule="auto"/>
        <w:rPr>
          <w:rFonts w:hint="eastAsia" w:ascii="宋体" w:hAnsi="宋体" w:eastAsia="宋体" w:cs="宋体"/>
          <w:color w:val="auto"/>
          <w:szCs w:val="21"/>
          <w:highlight w:val="none"/>
        </w:rPr>
      </w:pPr>
      <w:bookmarkStart w:id="172" w:name="_Toc338083279"/>
    </w:p>
    <w:p w14:paraId="008E6909">
      <w:pPr>
        <w:adjustRightInd w:val="0"/>
        <w:snapToGrid w:val="0"/>
        <w:spacing w:beforeAutospacing="0" w:afterAutospacing="0" w:line="360" w:lineRule="auto"/>
        <w:rPr>
          <w:rFonts w:hint="eastAsia" w:ascii="宋体" w:hAnsi="宋体" w:eastAsia="宋体" w:cs="宋体"/>
          <w:color w:val="auto"/>
          <w:szCs w:val="21"/>
          <w:highlight w:val="none"/>
        </w:rPr>
      </w:pPr>
    </w:p>
    <w:p w14:paraId="5EFEB1E0">
      <w:pPr>
        <w:adjustRightInd w:val="0"/>
        <w:snapToGrid w:val="0"/>
        <w:spacing w:beforeAutospacing="0" w:afterAutospacing="0" w:line="360" w:lineRule="auto"/>
        <w:rPr>
          <w:rFonts w:hint="eastAsia" w:ascii="宋体" w:hAnsi="宋体" w:eastAsia="宋体" w:cs="宋体"/>
          <w:color w:val="auto"/>
          <w:szCs w:val="21"/>
          <w:highlight w:val="none"/>
        </w:rPr>
      </w:pPr>
    </w:p>
    <w:p w14:paraId="6F74444F">
      <w:pPr>
        <w:snapToGrid w:val="0"/>
        <w:spacing w:line="360" w:lineRule="auto"/>
        <w:rPr>
          <w:rFonts w:hint="eastAsia" w:ascii="宋体" w:hAnsi="宋体" w:eastAsia="宋体" w:cs="宋体"/>
          <w:color w:val="auto"/>
          <w:szCs w:val="21"/>
          <w:highlight w:val="none"/>
          <w:u w:val="single"/>
        </w:rPr>
      </w:pPr>
      <w:bookmarkStart w:id="173" w:name="_Toc453695701"/>
      <w:bookmarkStart w:id="174" w:name="_Toc453695574"/>
      <w:bookmarkStart w:id="175" w:name="_Toc461991265"/>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D45B502">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A32D8B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430919F">
      <w:pPr>
        <w:adjustRightInd w:val="0"/>
        <w:snapToGrid w:val="0"/>
        <w:spacing w:beforeAutospacing="0" w:afterAutospacing="0" w:line="360" w:lineRule="auto"/>
        <w:rPr>
          <w:rFonts w:hint="eastAsia" w:ascii="宋体" w:hAnsi="宋体" w:eastAsia="宋体" w:cs="宋体"/>
          <w:color w:val="auto"/>
          <w:szCs w:val="21"/>
          <w:highlight w:val="none"/>
        </w:rPr>
      </w:pPr>
    </w:p>
    <w:bookmarkEnd w:id="172"/>
    <w:bookmarkEnd w:id="173"/>
    <w:bookmarkEnd w:id="174"/>
    <w:bookmarkEnd w:id="175"/>
    <w:p w14:paraId="3827C891">
      <w:pPr>
        <w:adjustRightInd w:val="0"/>
        <w:snapToGrid w:val="0"/>
        <w:spacing w:beforeAutospacing="0" w:afterAutospacing="0" w:line="360" w:lineRule="auto"/>
        <w:jc w:val="center"/>
        <w:rPr>
          <w:rFonts w:hint="eastAsia" w:ascii="宋体" w:hAnsi="宋体" w:eastAsia="宋体" w:cs="宋体"/>
          <w:b/>
          <w:color w:val="auto"/>
          <w:sz w:val="28"/>
          <w:szCs w:val="28"/>
          <w:highlight w:val="none"/>
          <w:lang w:val="en-US" w:eastAsia="zh-CN"/>
        </w:rPr>
      </w:pPr>
    </w:p>
    <w:p w14:paraId="21FF319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70207F8">
      <w:pPr>
        <w:adjustRightInd w:val="0"/>
        <w:snapToGrid w:val="0"/>
        <w:spacing w:beforeAutospacing="0" w:afterAutospacing="0" w:line="360" w:lineRule="auto"/>
        <w:jc w:val="both"/>
        <w:rPr>
          <w:rFonts w:hint="eastAsia" w:ascii="宋体" w:hAnsi="宋体" w:eastAsia="宋体" w:cs="宋体"/>
          <w:b/>
          <w:color w:val="auto"/>
          <w:sz w:val="28"/>
          <w:szCs w:val="28"/>
          <w:highlight w:val="none"/>
          <w:lang w:val="en-US" w:eastAsia="zh-CN"/>
        </w:rPr>
      </w:pPr>
    </w:p>
    <w:p w14:paraId="3C916499">
      <w:pPr>
        <w:adjustRightInd w:val="0"/>
        <w:snapToGrid w:val="0"/>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同意招标文件条款说明</w:t>
      </w:r>
    </w:p>
    <w:p w14:paraId="5CEB7BAD">
      <w:pPr>
        <w:spacing w:beforeAutospacing="0" w:afterAutospacing="0"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496C274A">
      <w:pPr>
        <w:spacing w:beforeAutospacing="0" w:afterAutospacing="0" w:line="360" w:lineRule="auto"/>
        <w:ind w:firstLine="478" w:firstLineChars="228"/>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为响应你方组织的项目名称：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Cs w:val="21"/>
          <w:highlight w:val="none"/>
        </w:rPr>
        <w:t>的公开招标【项目编号：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】，我方在参与投标前已详细研究了招标文件的所有内容，包括修改文件（如果有的话）和所有已提供的参考资料以及有关附件，我方完全明白并认为此招标文件没有倾向性，也没有存在排斥潜在投标人的内容，</w:t>
      </w:r>
      <w:r>
        <w:rPr>
          <w:rFonts w:hint="eastAsia" w:ascii="宋体" w:hAnsi="宋体" w:eastAsia="宋体" w:cs="宋体"/>
          <w:color w:val="auto"/>
          <w:kern w:val="0"/>
          <w:szCs w:val="21"/>
          <w:highlight w:val="none"/>
          <w:lang w:eastAsia="zh-CN"/>
        </w:rPr>
        <w:t>我方</w:t>
      </w:r>
      <w:r>
        <w:rPr>
          <w:rFonts w:hint="eastAsia" w:ascii="宋体" w:hAnsi="宋体" w:eastAsia="宋体" w:cs="宋体"/>
          <w:color w:val="auto"/>
          <w:kern w:val="0"/>
          <w:szCs w:val="21"/>
          <w:highlight w:val="none"/>
        </w:rPr>
        <w:t>同意招标文件的相关条款。</w:t>
      </w:r>
    </w:p>
    <w:p w14:paraId="126FF78F">
      <w:pPr>
        <w:spacing w:beforeAutospacing="0" w:afterAutospacing="0" w:line="360" w:lineRule="auto"/>
        <w:ind w:firstLine="478" w:firstLineChars="2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特此说明。</w:t>
      </w:r>
    </w:p>
    <w:p w14:paraId="111854BE">
      <w:pPr>
        <w:adjustRightInd w:val="0"/>
        <w:snapToGrid w:val="0"/>
        <w:spacing w:beforeAutospacing="0" w:afterAutospacing="0" w:line="360" w:lineRule="auto"/>
        <w:rPr>
          <w:rFonts w:hint="eastAsia" w:ascii="宋体" w:hAnsi="宋体" w:eastAsia="宋体" w:cs="宋体"/>
          <w:color w:val="auto"/>
          <w:szCs w:val="21"/>
          <w:highlight w:val="none"/>
        </w:rPr>
      </w:pPr>
    </w:p>
    <w:p w14:paraId="7FF0E09D">
      <w:pPr>
        <w:adjustRightInd w:val="0"/>
        <w:snapToGrid w:val="0"/>
        <w:spacing w:beforeAutospacing="0" w:afterAutospacing="0" w:line="360" w:lineRule="auto"/>
        <w:rPr>
          <w:rFonts w:hint="eastAsia" w:ascii="宋体" w:hAnsi="宋体" w:eastAsia="宋体" w:cs="宋体"/>
          <w:color w:val="auto"/>
          <w:szCs w:val="21"/>
          <w:highlight w:val="none"/>
        </w:rPr>
      </w:pPr>
    </w:p>
    <w:p w14:paraId="5DE6D3B3">
      <w:pPr>
        <w:snapToGrid w:val="0"/>
        <w:spacing w:line="360" w:lineRule="auto"/>
        <w:rPr>
          <w:rFonts w:hint="eastAsia" w:ascii="宋体" w:hAnsi="宋体" w:eastAsia="宋体" w:cs="宋体"/>
          <w:color w:val="auto"/>
          <w:szCs w:val="21"/>
          <w:highlight w:val="none"/>
          <w:u w:val="single"/>
        </w:rPr>
      </w:pPr>
      <w:bookmarkStart w:id="176" w:name="_Toc29422"/>
      <w:bookmarkEnd w:id="176"/>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5F510E5">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040364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C44C04A">
      <w:pPr>
        <w:pStyle w:val="4"/>
        <w:spacing w:before="0" w:beforeAutospacing="0" w:after="120" w:afterAutospacing="0"/>
        <w:rPr>
          <w:rFonts w:hint="eastAsia" w:ascii="宋体" w:hAnsi="宋体" w:eastAsia="宋体" w:cs="宋体"/>
          <w:b/>
          <w:bCs/>
          <w:color w:val="auto"/>
          <w:highlight w:val="none"/>
        </w:rPr>
      </w:pPr>
    </w:p>
    <w:p w14:paraId="62ECFA3D">
      <w:pPr>
        <w:pStyle w:val="4"/>
        <w:spacing w:before="0" w:beforeAutospacing="0" w:after="120" w:afterAutospacing="0"/>
        <w:rPr>
          <w:rFonts w:hint="eastAsia" w:ascii="宋体" w:hAnsi="宋体" w:eastAsia="宋体" w:cs="宋体"/>
          <w:b/>
          <w:bCs/>
          <w:color w:val="auto"/>
          <w:highlight w:val="none"/>
        </w:rPr>
      </w:pPr>
    </w:p>
    <w:p w14:paraId="222F92EA">
      <w:pPr>
        <w:pStyle w:val="4"/>
        <w:spacing w:before="0" w:beforeAutospacing="0" w:after="120" w:afterAutospacing="0"/>
        <w:rPr>
          <w:rFonts w:hint="eastAsia" w:ascii="宋体" w:hAnsi="宋体" w:eastAsia="宋体" w:cs="宋体"/>
          <w:b/>
          <w:bCs/>
          <w:color w:val="auto"/>
          <w:highlight w:val="none"/>
        </w:rPr>
      </w:pPr>
    </w:p>
    <w:p w14:paraId="27870BA5">
      <w:pPr>
        <w:pStyle w:val="4"/>
        <w:spacing w:before="0" w:beforeAutospacing="0" w:after="120" w:afterAutospacing="0"/>
        <w:rPr>
          <w:rFonts w:hint="eastAsia" w:ascii="宋体" w:hAnsi="宋体" w:eastAsia="宋体" w:cs="宋体"/>
          <w:b/>
          <w:bCs/>
          <w:color w:val="auto"/>
          <w:highlight w:val="none"/>
        </w:rPr>
      </w:pPr>
    </w:p>
    <w:p w14:paraId="3926D9F1">
      <w:pPr>
        <w:pStyle w:val="4"/>
        <w:spacing w:before="0" w:beforeAutospacing="0" w:after="120" w:afterAutospacing="0"/>
        <w:rPr>
          <w:rFonts w:hint="eastAsia" w:ascii="宋体" w:hAnsi="宋体" w:eastAsia="宋体" w:cs="宋体"/>
          <w:b/>
          <w:bCs/>
          <w:color w:val="auto"/>
          <w:highlight w:val="none"/>
        </w:rPr>
      </w:pPr>
    </w:p>
    <w:p w14:paraId="03E26263">
      <w:pPr>
        <w:pStyle w:val="4"/>
        <w:spacing w:before="0" w:beforeAutospacing="0" w:after="120" w:afterAutospacing="0"/>
        <w:rPr>
          <w:rFonts w:hint="eastAsia" w:ascii="宋体" w:hAnsi="宋体" w:eastAsia="宋体" w:cs="宋体"/>
          <w:b/>
          <w:bCs/>
          <w:color w:val="auto"/>
          <w:highlight w:val="none"/>
        </w:rPr>
      </w:pPr>
    </w:p>
    <w:p w14:paraId="5271DDD3">
      <w:pPr>
        <w:pStyle w:val="4"/>
        <w:spacing w:before="0" w:beforeAutospacing="0" w:after="120" w:afterAutospacing="0"/>
        <w:rPr>
          <w:rFonts w:hint="eastAsia" w:ascii="宋体" w:hAnsi="宋体" w:eastAsia="宋体" w:cs="宋体"/>
          <w:b/>
          <w:bCs/>
          <w:color w:val="auto"/>
          <w:highlight w:val="none"/>
        </w:rPr>
      </w:pPr>
    </w:p>
    <w:p w14:paraId="4CAFCA63">
      <w:pPr>
        <w:pStyle w:val="4"/>
        <w:spacing w:before="0" w:beforeAutospacing="0" w:after="120" w:afterAutospacing="0"/>
        <w:rPr>
          <w:rFonts w:hint="eastAsia" w:ascii="宋体" w:hAnsi="宋体" w:eastAsia="宋体" w:cs="宋体"/>
          <w:b/>
          <w:bCs/>
          <w:color w:val="auto"/>
          <w:highlight w:val="none"/>
        </w:rPr>
      </w:pPr>
    </w:p>
    <w:p w14:paraId="7A864607">
      <w:pPr>
        <w:pStyle w:val="4"/>
        <w:spacing w:before="0" w:beforeAutospacing="0" w:after="120" w:afterAutospacing="0"/>
        <w:rPr>
          <w:rFonts w:hint="eastAsia" w:ascii="宋体" w:hAnsi="宋体" w:eastAsia="宋体" w:cs="宋体"/>
          <w:b/>
          <w:bCs/>
          <w:color w:val="auto"/>
          <w:highlight w:val="none"/>
        </w:rPr>
      </w:pPr>
    </w:p>
    <w:p w14:paraId="22C6C59E">
      <w:pPr>
        <w:pStyle w:val="4"/>
        <w:spacing w:before="0" w:beforeAutospacing="0" w:after="120" w:afterAutospacing="0"/>
        <w:rPr>
          <w:rFonts w:hint="eastAsia" w:ascii="宋体" w:hAnsi="宋体" w:eastAsia="宋体" w:cs="宋体"/>
          <w:b/>
          <w:bCs/>
          <w:color w:val="auto"/>
          <w:highlight w:val="none"/>
        </w:rPr>
      </w:pPr>
    </w:p>
    <w:p w14:paraId="62AA9DF2">
      <w:pPr>
        <w:pStyle w:val="4"/>
        <w:spacing w:before="0" w:beforeAutospacing="0" w:after="120" w:afterAutospacing="0"/>
        <w:rPr>
          <w:rFonts w:hint="eastAsia" w:ascii="宋体" w:hAnsi="宋体" w:eastAsia="宋体" w:cs="宋体"/>
          <w:b/>
          <w:bCs/>
          <w:color w:val="auto"/>
          <w:highlight w:val="none"/>
        </w:rPr>
      </w:pPr>
    </w:p>
    <w:p w14:paraId="1067FA44">
      <w:pPr>
        <w:pStyle w:val="4"/>
        <w:spacing w:before="0" w:beforeAutospacing="0" w:after="120" w:afterAutospacing="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四、技术文件</w:t>
      </w:r>
    </w:p>
    <w:p w14:paraId="175161FA">
      <w:pPr>
        <w:spacing w:beforeAutospacing="0" w:afterAutospacing="0" w:line="360" w:lineRule="auto"/>
        <w:jc w:val="center"/>
        <w:rPr>
          <w:rFonts w:hint="eastAsia" w:ascii="宋体" w:hAnsi="宋体" w:eastAsia="宋体" w:cs="宋体"/>
          <w:b/>
          <w:color w:val="auto"/>
          <w:sz w:val="28"/>
          <w:szCs w:val="28"/>
          <w:highlight w:val="none"/>
        </w:rPr>
      </w:pPr>
    </w:p>
    <w:p w14:paraId="5675BA94">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服务方案</w:t>
      </w:r>
    </w:p>
    <w:p w14:paraId="0DBDCF2C">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Cs/>
          <w:color w:val="auto"/>
          <w:highlight w:val="none"/>
        </w:rPr>
        <w:t>【根据技术评审内容编写服务方案，格式自拟】</w:t>
      </w:r>
    </w:p>
    <w:p w14:paraId="138D87CA">
      <w:pPr>
        <w:spacing w:beforeAutospacing="0" w:afterAutospacing="0" w:line="360" w:lineRule="auto"/>
        <w:rPr>
          <w:rFonts w:hint="eastAsia" w:ascii="宋体" w:hAnsi="宋体" w:eastAsia="宋体" w:cs="宋体"/>
          <w:bCs/>
          <w:color w:val="auto"/>
          <w:highlight w:val="none"/>
        </w:rPr>
      </w:pPr>
    </w:p>
    <w:p w14:paraId="1981E31D">
      <w:pPr>
        <w:spacing w:beforeAutospacing="0" w:afterAutospacing="0" w:line="360" w:lineRule="auto"/>
        <w:rPr>
          <w:rFonts w:hint="eastAsia" w:ascii="宋体" w:hAnsi="宋体" w:eastAsia="宋体" w:cs="宋体"/>
          <w:bCs/>
          <w:color w:val="auto"/>
          <w:highlight w:val="none"/>
        </w:rPr>
      </w:pPr>
    </w:p>
    <w:p w14:paraId="71D5EFC4">
      <w:pPr>
        <w:pStyle w:val="151"/>
        <w:spacing w:beforeAutospacing="0" w:afterAutospacing="0" w:line="360" w:lineRule="auto"/>
        <w:rPr>
          <w:rFonts w:hint="eastAsia" w:ascii="宋体" w:hAnsi="宋体" w:eastAsia="宋体" w:cs="宋体"/>
          <w:bCs/>
          <w:color w:val="auto"/>
          <w:highlight w:val="none"/>
        </w:rPr>
      </w:pPr>
    </w:p>
    <w:p w14:paraId="42D2989E">
      <w:pPr>
        <w:pStyle w:val="109"/>
        <w:spacing w:beforeAutospacing="0" w:afterAutospacing="0" w:line="360" w:lineRule="auto"/>
        <w:rPr>
          <w:rFonts w:hint="eastAsia" w:ascii="宋体" w:hAnsi="宋体" w:eastAsia="宋体" w:cs="宋体"/>
          <w:color w:val="auto"/>
          <w:highlight w:val="none"/>
        </w:rPr>
      </w:pPr>
    </w:p>
    <w:p w14:paraId="4F26951C">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01062BD9">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1ECD33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01BF98">
      <w:pPr>
        <w:pStyle w:val="109"/>
        <w:spacing w:beforeAutospacing="0" w:afterAutospacing="0" w:line="360" w:lineRule="auto"/>
        <w:rPr>
          <w:rFonts w:hint="eastAsia" w:ascii="宋体" w:hAnsi="宋体" w:eastAsia="宋体" w:cs="宋体"/>
          <w:color w:val="auto"/>
          <w:highlight w:val="none"/>
        </w:rPr>
      </w:pPr>
    </w:p>
    <w:p w14:paraId="482C9D07">
      <w:pPr>
        <w:pStyle w:val="109"/>
        <w:spacing w:beforeAutospacing="0" w:afterAutospacing="0" w:line="360" w:lineRule="auto"/>
        <w:rPr>
          <w:rFonts w:hint="eastAsia" w:ascii="宋体" w:hAnsi="宋体" w:eastAsia="宋体" w:cs="宋体"/>
          <w:color w:val="auto"/>
          <w:highlight w:val="none"/>
        </w:rPr>
      </w:pPr>
    </w:p>
    <w:p w14:paraId="0A657E45">
      <w:pPr>
        <w:pStyle w:val="109"/>
        <w:spacing w:beforeAutospacing="0" w:afterAutospacing="0" w:line="360" w:lineRule="auto"/>
        <w:rPr>
          <w:rFonts w:hint="eastAsia" w:ascii="宋体" w:hAnsi="宋体" w:eastAsia="宋体" w:cs="宋体"/>
          <w:color w:val="auto"/>
          <w:highlight w:val="none"/>
        </w:rPr>
      </w:pPr>
    </w:p>
    <w:p w14:paraId="46F410B2">
      <w:pPr>
        <w:pStyle w:val="109"/>
        <w:spacing w:beforeAutospacing="0" w:afterAutospacing="0" w:line="360" w:lineRule="auto"/>
        <w:rPr>
          <w:rFonts w:hint="eastAsia" w:ascii="宋体" w:hAnsi="宋体" w:eastAsia="宋体" w:cs="宋体"/>
          <w:color w:val="auto"/>
          <w:highlight w:val="none"/>
        </w:rPr>
      </w:pPr>
    </w:p>
    <w:p w14:paraId="6E5C6234">
      <w:pPr>
        <w:pStyle w:val="109"/>
        <w:spacing w:beforeAutospacing="0" w:afterAutospacing="0" w:line="360" w:lineRule="auto"/>
        <w:rPr>
          <w:rFonts w:hint="eastAsia" w:ascii="宋体" w:hAnsi="宋体" w:eastAsia="宋体" w:cs="宋体"/>
          <w:color w:val="auto"/>
          <w:highlight w:val="none"/>
        </w:rPr>
      </w:pPr>
    </w:p>
    <w:p w14:paraId="03E411FA">
      <w:pPr>
        <w:pStyle w:val="109"/>
        <w:spacing w:beforeAutospacing="0" w:afterAutospacing="0" w:line="360" w:lineRule="auto"/>
        <w:rPr>
          <w:rFonts w:hint="eastAsia" w:ascii="宋体" w:hAnsi="宋体" w:eastAsia="宋体" w:cs="宋体"/>
          <w:color w:val="auto"/>
          <w:highlight w:val="none"/>
        </w:rPr>
      </w:pPr>
    </w:p>
    <w:p w14:paraId="70F84A38">
      <w:pPr>
        <w:pStyle w:val="24"/>
        <w:spacing w:line="360" w:lineRule="auto"/>
        <w:rPr>
          <w:rFonts w:hint="eastAsia" w:ascii="宋体" w:hAnsi="宋体" w:eastAsia="宋体" w:cs="宋体"/>
          <w:b/>
          <w:color w:val="auto"/>
          <w:sz w:val="28"/>
          <w:szCs w:val="28"/>
          <w:highlight w:val="none"/>
        </w:rPr>
      </w:pPr>
    </w:p>
    <w:p w14:paraId="0659B0A5">
      <w:pPr>
        <w:pStyle w:val="56"/>
        <w:rPr>
          <w:rFonts w:hint="eastAsia" w:ascii="宋体" w:hAnsi="宋体" w:eastAsia="宋体" w:cs="宋体"/>
          <w:b/>
          <w:color w:val="auto"/>
          <w:sz w:val="28"/>
          <w:szCs w:val="28"/>
          <w:highlight w:val="none"/>
        </w:rPr>
      </w:pPr>
    </w:p>
    <w:p w14:paraId="2E4DBBE4">
      <w:pPr>
        <w:pStyle w:val="56"/>
        <w:rPr>
          <w:rFonts w:hint="eastAsia" w:ascii="宋体" w:hAnsi="宋体" w:eastAsia="宋体" w:cs="宋体"/>
          <w:b/>
          <w:color w:val="auto"/>
          <w:sz w:val="28"/>
          <w:szCs w:val="28"/>
          <w:highlight w:val="none"/>
        </w:rPr>
      </w:pPr>
    </w:p>
    <w:p w14:paraId="7512AC5F">
      <w:pPr>
        <w:pStyle w:val="56"/>
        <w:rPr>
          <w:rFonts w:hint="eastAsia" w:ascii="宋体" w:hAnsi="宋体" w:eastAsia="宋体" w:cs="宋体"/>
          <w:b/>
          <w:color w:val="auto"/>
          <w:sz w:val="28"/>
          <w:szCs w:val="28"/>
          <w:highlight w:val="none"/>
        </w:rPr>
      </w:pPr>
    </w:p>
    <w:p w14:paraId="56EA99B3">
      <w:pPr>
        <w:pStyle w:val="56"/>
        <w:rPr>
          <w:rFonts w:hint="eastAsia" w:ascii="宋体" w:hAnsi="宋体" w:eastAsia="宋体" w:cs="宋体"/>
          <w:b/>
          <w:color w:val="auto"/>
          <w:sz w:val="28"/>
          <w:szCs w:val="28"/>
          <w:highlight w:val="none"/>
        </w:rPr>
      </w:pPr>
    </w:p>
    <w:p w14:paraId="25505EFC">
      <w:pPr>
        <w:pStyle w:val="56"/>
        <w:rPr>
          <w:rFonts w:hint="eastAsia" w:ascii="宋体" w:hAnsi="宋体" w:eastAsia="宋体" w:cs="宋体"/>
          <w:b/>
          <w:color w:val="auto"/>
          <w:sz w:val="28"/>
          <w:szCs w:val="28"/>
          <w:highlight w:val="none"/>
        </w:rPr>
      </w:pPr>
    </w:p>
    <w:p w14:paraId="58493403">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360F547">
      <w:pPr>
        <w:pStyle w:val="56"/>
        <w:rPr>
          <w:rFonts w:hint="eastAsia" w:ascii="宋体" w:hAnsi="宋体" w:eastAsia="宋体" w:cs="宋体"/>
          <w:b/>
          <w:color w:val="auto"/>
          <w:sz w:val="28"/>
          <w:szCs w:val="28"/>
          <w:highlight w:val="none"/>
        </w:rPr>
      </w:pPr>
    </w:p>
    <w:p w14:paraId="25CDAF5A">
      <w:pPr>
        <w:pStyle w:val="4"/>
        <w:spacing w:before="0" w:after="120"/>
        <w:rPr>
          <w:rFonts w:hint="eastAsia" w:ascii="宋体" w:hAnsi="宋体" w:eastAsia="宋体" w:cs="宋体"/>
          <w:b/>
          <w:color w:val="auto"/>
          <w:sz w:val="30"/>
          <w:highlight w:val="none"/>
          <w:lang w:val="en-US" w:eastAsia="zh-CN"/>
        </w:rPr>
      </w:pPr>
      <w:r>
        <w:rPr>
          <w:rFonts w:hint="eastAsia" w:ascii="宋体" w:hAnsi="宋体" w:eastAsia="宋体" w:cs="宋体"/>
          <w:b/>
          <w:color w:val="auto"/>
          <w:sz w:val="28"/>
          <w:szCs w:val="28"/>
          <w:highlight w:val="none"/>
          <w:lang w:val="en-US" w:eastAsia="zh-CN"/>
        </w:rPr>
        <w:t>五、</w:t>
      </w:r>
      <w:bookmarkStart w:id="177" w:name="_Toc24492"/>
      <w:r>
        <w:rPr>
          <w:rFonts w:hint="eastAsia" w:ascii="宋体" w:hAnsi="宋体" w:eastAsia="宋体" w:cs="宋体"/>
          <w:b/>
          <w:color w:val="auto"/>
          <w:sz w:val="28"/>
          <w:szCs w:val="28"/>
          <w:highlight w:val="none"/>
          <w:lang w:val="en-US" w:eastAsia="zh-CN"/>
        </w:rPr>
        <w:t>投标保证金缴纳凭证相关资料。</w:t>
      </w:r>
    </w:p>
    <w:p w14:paraId="0FF4F664">
      <w:pPr>
        <w:pStyle w:val="4"/>
        <w:spacing w:before="0" w:after="120"/>
        <w:rPr>
          <w:rFonts w:hint="eastAsia" w:ascii="宋体" w:hAnsi="宋体" w:eastAsia="宋体" w:cs="宋体"/>
          <w:b/>
          <w:color w:val="auto"/>
          <w:sz w:val="30"/>
          <w:highlight w:val="none"/>
          <w:lang w:val="en-US" w:eastAsia="zh-CN"/>
        </w:rPr>
      </w:pPr>
    </w:p>
    <w:p w14:paraId="1376F5E5">
      <w:pPr>
        <w:rPr>
          <w:rFonts w:hint="eastAsia" w:ascii="宋体" w:hAnsi="宋体" w:eastAsia="宋体" w:cs="宋体"/>
          <w:b/>
          <w:color w:val="auto"/>
          <w:sz w:val="30"/>
          <w:highlight w:val="none"/>
          <w:lang w:val="en-US" w:eastAsia="zh-CN"/>
        </w:rPr>
      </w:pPr>
      <w:r>
        <w:rPr>
          <w:rFonts w:hint="eastAsia" w:ascii="宋体" w:hAnsi="宋体" w:eastAsia="宋体" w:cs="宋体"/>
          <w:b/>
          <w:color w:val="auto"/>
          <w:sz w:val="30"/>
          <w:highlight w:val="none"/>
          <w:lang w:val="en-US" w:eastAsia="zh-CN"/>
        </w:rPr>
        <w:br w:type="page"/>
      </w:r>
    </w:p>
    <w:p w14:paraId="09C26F21">
      <w:pPr>
        <w:pStyle w:val="4"/>
        <w:spacing w:before="0" w:after="120"/>
        <w:rPr>
          <w:rFonts w:hint="eastAsia" w:ascii="宋体" w:hAnsi="宋体" w:eastAsia="宋体" w:cs="宋体"/>
          <w:b/>
          <w:color w:val="auto"/>
          <w:sz w:val="30"/>
          <w:highlight w:val="none"/>
          <w:lang w:val="en-US" w:eastAsia="zh-CN"/>
        </w:rPr>
      </w:pPr>
    </w:p>
    <w:p w14:paraId="472D7302">
      <w:pPr>
        <w:pStyle w:val="4"/>
        <w:spacing w:before="0" w:after="12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六、报价文件</w:t>
      </w:r>
      <w:bookmarkEnd w:id="177"/>
    </w:p>
    <w:p w14:paraId="3D8E05BD">
      <w:pPr>
        <w:pStyle w:val="24"/>
        <w:spacing w:line="276"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lang w:val="en-US" w:eastAsia="zh-CN"/>
        </w:rPr>
        <w:t>开标</w:t>
      </w:r>
      <w:r>
        <w:rPr>
          <w:rFonts w:hint="eastAsia" w:ascii="宋体" w:hAnsi="宋体" w:eastAsia="宋体" w:cs="宋体"/>
          <w:b/>
          <w:color w:val="auto"/>
          <w:sz w:val="28"/>
          <w:szCs w:val="28"/>
          <w:highlight w:val="none"/>
        </w:rPr>
        <w:t>一览表</w:t>
      </w:r>
    </w:p>
    <w:p w14:paraId="34E8903F">
      <w:pPr>
        <w:pStyle w:val="24"/>
        <w:spacing w:line="276"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78" w:name="_Toc28790"/>
      <w:bookmarkStart w:id="179" w:name="_Toc11543"/>
      <w:r>
        <w:rPr>
          <w:rFonts w:hint="eastAsia" w:ascii="宋体" w:hAnsi="宋体" w:eastAsia="宋体" w:cs="宋体"/>
          <w:color w:val="auto"/>
          <w:highlight w:val="none"/>
        </w:rPr>
        <w:t>[货币单位：人民币/元]</w:t>
      </w:r>
      <w:bookmarkEnd w:id="178"/>
      <w:bookmarkEnd w:id="179"/>
    </w:p>
    <w:p w14:paraId="63FB023B">
      <w:pPr>
        <w:pStyle w:val="24"/>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项目名称：</w:t>
      </w:r>
    </w:p>
    <w:p w14:paraId="4238258D">
      <w:pPr>
        <w:pStyle w:val="24"/>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项目编号：</w:t>
      </w:r>
    </w:p>
    <w:tbl>
      <w:tblPr>
        <w:tblStyle w:val="4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2"/>
        <w:gridCol w:w="2051"/>
        <w:gridCol w:w="3160"/>
        <w:gridCol w:w="2383"/>
      </w:tblGrid>
      <w:tr w14:paraId="63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9" w:hRule="atLeast"/>
        </w:trPr>
        <w:tc>
          <w:tcPr>
            <w:tcW w:w="515" w:type="pct"/>
            <w:noWrap w:val="0"/>
            <w:vAlign w:val="center"/>
          </w:tcPr>
          <w:p w14:paraId="2E169473">
            <w:pPr>
              <w:autoSpaceDE w:val="0"/>
              <w:autoSpaceDN w:val="0"/>
              <w:adjustRightIn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1211" w:type="pct"/>
            <w:noWrap w:val="0"/>
            <w:vAlign w:val="center"/>
          </w:tcPr>
          <w:p w14:paraId="5D910508">
            <w:pPr>
              <w:autoSpaceDE w:val="0"/>
              <w:autoSpaceDN w:val="0"/>
              <w:adjustRightInd w:val="0"/>
              <w:spacing w:line="360" w:lineRule="auto"/>
              <w:jc w:val="center"/>
              <w:rPr>
                <w:rFonts w:hint="default" w:ascii="宋体" w:hAnsi="宋体" w:eastAsia="宋体" w:cs="宋体"/>
                <w:b/>
                <w:color w:val="auto"/>
                <w:szCs w:val="21"/>
                <w:highlight w:val="none"/>
                <w:lang w:val="en-US"/>
              </w:rPr>
            </w:pPr>
            <w:r>
              <w:rPr>
                <w:rFonts w:hint="eastAsia" w:ascii="宋体" w:hAnsi="宋体" w:cs="宋体"/>
                <w:b/>
                <w:color w:val="auto"/>
                <w:szCs w:val="21"/>
                <w:highlight w:val="none"/>
                <w:lang w:val="en-US" w:eastAsia="zh-CN"/>
              </w:rPr>
              <w:t>项目名称</w:t>
            </w:r>
          </w:p>
        </w:tc>
        <w:tc>
          <w:tcPr>
            <w:tcW w:w="1866" w:type="pct"/>
            <w:noWrap w:val="0"/>
            <w:vAlign w:val="center"/>
          </w:tcPr>
          <w:p w14:paraId="2BA34AF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年租金</w:t>
            </w:r>
            <w:r>
              <w:rPr>
                <w:rFonts w:hint="eastAsia" w:ascii="宋体" w:hAnsi="宋体" w:cs="宋体"/>
                <w:b/>
                <w:color w:val="auto"/>
                <w:szCs w:val="21"/>
                <w:highlight w:val="none"/>
                <w:lang w:val="en-US" w:eastAsia="zh-CN"/>
              </w:rPr>
              <w:t>报价</w:t>
            </w:r>
            <w:r>
              <w:rPr>
                <w:rFonts w:hint="eastAsia" w:ascii="宋体" w:hAnsi="宋体" w:eastAsia="宋体" w:cs="宋体"/>
                <w:b/>
                <w:color w:val="auto"/>
                <w:szCs w:val="21"/>
                <w:highlight w:val="none"/>
                <w:lang w:val="en-US" w:eastAsia="zh-CN"/>
              </w:rPr>
              <w:t>总价（不含税费）</w:t>
            </w:r>
          </w:p>
        </w:tc>
        <w:tc>
          <w:tcPr>
            <w:tcW w:w="1405" w:type="pct"/>
            <w:noWrap w:val="0"/>
            <w:vAlign w:val="center"/>
          </w:tcPr>
          <w:p w14:paraId="09D5C53E">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运营期限</w:t>
            </w:r>
          </w:p>
        </w:tc>
      </w:tr>
      <w:tr w14:paraId="4A8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736B36F6">
            <w:pPr>
              <w:widowControl/>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211" w:type="pct"/>
            <w:noWrap w:val="0"/>
            <w:vAlign w:val="center"/>
          </w:tcPr>
          <w:p w14:paraId="2056249C">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szCs w:val="21"/>
                <w:highlight w:val="none"/>
                <w:lang w:eastAsia="zh-CN"/>
              </w:rPr>
            </w:pPr>
          </w:p>
        </w:tc>
        <w:tc>
          <w:tcPr>
            <w:tcW w:w="1866" w:type="pct"/>
            <w:noWrap w:val="0"/>
            <w:vAlign w:val="center"/>
          </w:tcPr>
          <w:p w14:paraId="4509DADB">
            <w:pPr>
              <w:autoSpaceDE w:val="0"/>
              <w:autoSpaceDN w:val="0"/>
              <w:adjustRightInd w:val="0"/>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大写：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r>
              <w:rPr>
                <w:rFonts w:hint="eastAsia" w:ascii="宋体" w:hAnsi="宋体" w:eastAsia="宋体" w:cs="宋体"/>
                <w:b w:val="0"/>
                <w:bCs/>
                <w:color w:val="auto"/>
                <w:szCs w:val="21"/>
                <w:highlight w:val="none"/>
              </w:rPr>
              <w:t xml:space="preserve">                      </w:t>
            </w:r>
          </w:p>
          <w:p w14:paraId="6A93AE32">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小写：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p>
        </w:tc>
        <w:tc>
          <w:tcPr>
            <w:tcW w:w="1405" w:type="pct"/>
            <w:noWrap w:val="0"/>
            <w:vAlign w:val="center"/>
          </w:tcPr>
          <w:p w14:paraId="582E5086">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kern w:val="0"/>
                <w:szCs w:val="21"/>
                <w:highlight w:val="none"/>
              </w:rPr>
            </w:pPr>
          </w:p>
        </w:tc>
      </w:tr>
      <w:tr w14:paraId="1A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0293D9BA">
            <w:pPr>
              <w:widowControl/>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4484" w:type="pct"/>
            <w:gridSpan w:val="3"/>
            <w:noWrap w:val="0"/>
            <w:vAlign w:val="center"/>
          </w:tcPr>
          <w:p w14:paraId="7A7D382F">
            <w:pPr>
              <w:keepNext w:val="0"/>
              <w:keepLines w:val="0"/>
              <w:pageBreakBefore w:val="0"/>
              <w:kinsoku/>
              <w:overflowPunct/>
              <w:topLinePunct w:val="0"/>
              <w:bidi w:val="0"/>
              <w:adjustRightInd/>
              <w:spacing w:beforeAutospacing="0" w:afterAutospacing="0" w:line="360" w:lineRule="auto"/>
              <w:ind w:left="0" w:leftChars="0"/>
              <w:jc w:val="both"/>
              <w:rPr>
                <w:rFonts w:hint="default" w:ascii="宋体" w:hAnsi="宋体" w:eastAsia="宋体" w:cs="宋体"/>
                <w:color w:val="auto"/>
                <w:kern w:val="0"/>
                <w:szCs w:val="21"/>
                <w:highlight w:val="none"/>
                <w:lang w:val="en-US"/>
              </w:rPr>
            </w:pPr>
            <w:r>
              <w:rPr>
                <w:rFonts w:hint="eastAsia" w:ascii="宋体" w:hAnsi="宋体" w:cs="宋体"/>
                <w:b/>
                <w:bCs/>
                <w:color w:val="auto"/>
                <w:sz w:val="21"/>
                <w:szCs w:val="21"/>
                <w:highlight w:val="none"/>
                <w:lang w:val="en-US" w:eastAsia="zh-CN"/>
              </w:rPr>
              <w:t>10年运营总租金人民币大写：</w:t>
            </w:r>
            <w:r>
              <w:rPr>
                <w:rFonts w:hint="eastAsia" w:ascii="宋体" w:hAnsi="宋体" w:cs="宋体"/>
                <w:b/>
                <w:bCs/>
                <w:color w:val="auto"/>
                <w:sz w:val="21"/>
                <w:szCs w:val="21"/>
                <w:highlight w:val="none"/>
                <w:u w:val="single"/>
                <w:lang w:val="en-US" w:eastAsia="zh-CN"/>
              </w:rPr>
              <w:t xml:space="preserve">                     （小写：</w:t>
            </w:r>
            <w:r>
              <w:rPr>
                <w:rFonts w:hint="default" w:ascii="Arial" w:hAnsi="Arial" w:cs="Arial"/>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 xml:space="preserve">        元）</w:t>
            </w:r>
          </w:p>
        </w:tc>
      </w:tr>
    </w:tbl>
    <w:p w14:paraId="60CD27BF">
      <w:pPr>
        <w:pStyle w:val="4"/>
        <w:rPr>
          <w:rFonts w:hint="eastAsia" w:ascii="宋体" w:hAnsi="宋体" w:eastAsia="宋体" w:cs="宋体"/>
          <w:color w:val="auto"/>
          <w:szCs w:val="21"/>
          <w:highlight w:val="none"/>
        </w:rPr>
      </w:pPr>
      <w:r>
        <w:rPr>
          <w:rFonts w:hint="eastAsia" w:ascii="宋体" w:hAnsi="宋体" w:cs="宋体"/>
          <w:b/>
          <w:bCs/>
          <w:color w:val="auto"/>
          <w:kern w:val="16"/>
          <w:sz w:val="21"/>
          <w:szCs w:val="21"/>
          <w:highlight w:val="none"/>
          <w:lang w:val="en-US" w:eastAsia="zh-CN"/>
        </w:rPr>
        <w:t>备注：报价形式以年总租金来报价，且</w:t>
      </w:r>
      <w:r>
        <w:rPr>
          <w:rFonts w:hint="eastAsia" w:ascii="宋体" w:hAnsi="宋体" w:cs="宋体"/>
          <w:b/>
          <w:bCs/>
          <w:color w:val="auto"/>
          <w:sz w:val="21"/>
          <w:szCs w:val="21"/>
          <w:highlight w:val="none"/>
          <w:lang w:val="en-US" w:eastAsia="zh-CN"/>
        </w:rPr>
        <w:t>10年运营总租金</w:t>
      </w:r>
      <w:r>
        <w:rPr>
          <w:rFonts w:hint="eastAsia" w:ascii="宋体" w:hAnsi="宋体" w:cs="宋体"/>
          <w:b/>
          <w:bCs/>
          <w:color w:val="auto"/>
          <w:kern w:val="16"/>
          <w:sz w:val="21"/>
          <w:szCs w:val="21"/>
          <w:highlight w:val="none"/>
          <w:lang w:val="en-US" w:eastAsia="zh-CN"/>
        </w:rPr>
        <w:t>不得低于</w:t>
      </w:r>
      <w:r>
        <w:rPr>
          <w:rFonts w:hint="default" w:ascii="Arial" w:hAnsi="Arial" w:cs="Arial"/>
          <w:b/>
          <w:bCs/>
          <w:color w:val="auto"/>
          <w:kern w:val="16"/>
          <w:sz w:val="21"/>
          <w:szCs w:val="21"/>
          <w:highlight w:val="none"/>
          <w:lang w:val="en-US" w:eastAsia="zh-CN"/>
        </w:rPr>
        <w:t>¥450120.00</w:t>
      </w:r>
      <w:r>
        <w:rPr>
          <w:rFonts w:hint="eastAsia" w:ascii="宋体" w:hAnsi="宋体" w:eastAsia="宋体" w:cs="宋体"/>
          <w:b/>
          <w:bCs/>
          <w:color w:val="auto"/>
          <w:sz w:val="21"/>
          <w:szCs w:val="21"/>
          <w:highlight w:val="none"/>
          <w:lang w:val="en-US" w:eastAsia="zh-CN"/>
        </w:rPr>
        <w:t>元</w:t>
      </w:r>
      <w:r>
        <w:rPr>
          <w:rFonts w:hint="eastAsia" w:ascii="宋体" w:hAnsi="宋体" w:cs="宋体"/>
          <w:b/>
          <w:bCs/>
          <w:color w:val="auto"/>
          <w:sz w:val="21"/>
          <w:szCs w:val="21"/>
          <w:highlight w:val="none"/>
          <w:lang w:val="en-US" w:eastAsia="zh-CN"/>
        </w:rPr>
        <w:t>。</w:t>
      </w:r>
    </w:p>
    <w:p w14:paraId="28EBDB3C">
      <w:pPr>
        <w:rPr>
          <w:rFonts w:hint="eastAsia" w:ascii="宋体" w:hAnsi="宋体" w:eastAsia="宋体" w:cs="宋体"/>
          <w:color w:val="auto"/>
          <w:szCs w:val="21"/>
          <w:highlight w:val="none"/>
        </w:rPr>
      </w:pPr>
    </w:p>
    <w:p w14:paraId="1ECDB4C2">
      <w:pPr>
        <w:pStyle w:val="65"/>
        <w:rPr>
          <w:rFonts w:hint="eastAsia" w:ascii="宋体" w:hAnsi="宋体" w:eastAsia="宋体" w:cs="宋体"/>
          <w:color w:val="auto"/>
          <w:szCs w:val="21"/>
          <w:highlight w:val="none"/>
        </w:rPr>
      </w:pPr>
    </w:p>
    <w:p w14:paraId="29DE4B33">
      <w:pPr>
        <w:rPr>
          <w:rFonts w:hint="eastAsia" w:ascii="宋体" w:hAnsi="宋体" w:eastAsia="宋体" w:cs="宋体"/>
          <w:color w:val="auto"/>
          <w:highlight w:val="none"/>
        </w:rPr>
      </w:pPr>
    </w:p>
    <w:p w14:paraId="31440867">
      <w:pPr>
        <w:rPr>
          <w:rFonts w:hint="eastAsia" w:ascii="宋体" w:hAnsi="宋体" w:eastAsia="宋体" w:cs="宋体"/>
          <w:color w:val="auto"/>
          <w:highlight w:val="none"/>
        </w:rPr>
      </w:pPr>
    </w:p>
    <w:p w14:paraId="1242938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11EE0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DFF0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A53040">
      <w:pP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3EAA7735">
      <w:pPr>
        <w:rPr>
          <w:rFonts w:hint="eastAsia"/>
          <w:color w:val="auto"/>
          <w:highlight w:val="none"/>
        </w:rPr>
      </w:pPr>
    </w:p>
    <w:p w14:paraId="6E1BD9E6">
      <w:pPr>
        <w:pStyle w:val="4"/>
        <w:spacing w:before="0" w:after="120"/>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各类证明材料</w:t>
      </w:r>
    </w:p>
    <w:p w14:paraId="40C89378">
      <w:pPr>
        <w:adjustRightInd w:val="0"/>
        <w:snapToGrid w:val="0"/>
        <w:spacing w:line="360" w:lineRule="auto"/>
        <w:rPr>
          <w:rFonts w:hint="eastAsia" w:ascii="宋体" w:hAnsi="宋体" w:eastAsia="宋体" w:cs="宋体"/>
          <w:color w:val="auto"/>
          <w:szCs w:val="21"/>
          <w:highlight w:val="none"/>
        </w:rPr>
      </w:pPr>
    </w:p>
    <w:p w14:paraId="384BCF9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文件要求提供的其他资料。</w:t>
      </w:r>
    </w:p>
    <w:p w14:paraId="4CC3DDB0">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认为需提供的其他资料。</w:t>
      </w:r>
    </w:p>
    <w:p w14:paraId="0D01FE49">
      <w:pPr>
        <w:pStyle w:val="109"/>
        <w:spacing w:beforeAutospacing="0" w:afterAutospacing="0" w:line="360" w:lineRule="auto"/>
        <w:rPr>
          <w:rFonts w:hint="eastAsia" w:ascii="宋体" w:hAnsi="宋体" w:eastAsia="宋体" w:cs="宋体"/>
          <w:color w:val="auto"/>
          <w:highlight w:val="none"/>
        </w:rPr>
      </w:pPr>
    </w:p>
    <w:p w14:paraId="4ECF5CCF">
      <w:pPr>
        <w:pStyle w:val="109"/>
        <w:spacing w:beforeAutospacing="0" w:afterAutospacing="0" w:line="360" w:lineRule="auto"/>
        <w:rPr>
          <w:rFonts w:hint="eastAsia" w:ascii="宋体" w:hAnsi="宋体" w:eastAsia="宋体" w:cs="宋体"/>
          <w:color w:val="auto"/>
          <w:highlight w:val="none"/>
        </w:rPr>
      </w:pPr>
    </w:p>
    <w:p w14:paraId="6A0ACFA8">
      <w:pPr>
        <w:pStyle w:val="109"/>
        <w:spacing w:beforeAutospacing="0" w:afterAutospacing="0" w:line="360" w:lineRule="auto"/>
        <w:rPr>
          <w:rFonts w:hint="eastAsia" w:ascii="宋体" w:hAnsi="宋体" w:eastAsia="宋体" w:cs="宋体"/>
          <w:color w:val="auto"/>
          <w:highlight w:val="none"/>
        </w:rPr>
      </w:pPr>
    </w:p>
    <w:p w14:paraId="1F091811">
      <w:pPr>
        <w:pStyle w:val="109"/>
        <w:spacing w:beforeAutospacing="0" w:afterAutospacing="0" w:line="360" w:lineRule="auto"/>
        <w:rPr>
          <w:rFonts w:hint="eastAsia" w:ascii="宋体" w:hAnsi="宋体" w:eastAsia="宋体" w:cs="宋体"/>
          <w:color w:val="auto"/>
          <w:highlight w:val="none"/>
        </w:rPr>
      </w:pPr>
    </w:p>
    <w:sectPr>
      <w:headerReference r:id="rId6" w:type="default"/>
      <w:footerReference r:id="rId7" w:type="default"/>
      <w:pgSz w:w="11905" w:h="16838"/>
      <w:pgMar w:top="1440" w:right="1803" w:bottom="1440" w:left="1803" w:header="283" w:footer="1077"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ity Roman LET">
    <w:altName w:val="Times New Roman"/>
    <w:panose1 w:val="00000000000000000000"/>
    <w:charset w:val="00"/>
    <w:family w:val="auto"/>
    <w:pitch w:val="default"/>
    <w:sig w:usb0="00000000" w:usb1="00000000" w:usb2="00000000" w:usb3="00000000" w:csb0="00000009"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E62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0CC8">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E5A2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D4E5A2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212C">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D877">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21D877">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5E65">
    <w:pPr>
      <w:pStyle w:val="31"/>
      <w:pBdr>
        <w:bottom w:val="none" w:color="auto" w:sz="0" w:space="1"/>
      </w:pBdr>
      <w:jc w:val="left"/>
      <w:rPr>
        <w:rFonts w:eastAsia="隶书"/>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475F">
    <w:pPr>
      <w:pStyle w:val="3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182"/>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olor w:val="000000"/>
        <w:spacing w:val="0"/>
        <w:u w:val="none"/>
      </w:rPr>
    </w:lvl>
    <w:lvl w:ilvl="2" w:tentative="0">
      <w:start w:val="1"/>
      <w:numFmt w:val="decimal"/>
      <w:lvlText w:val="%1.%2.%3"/>
      <w:lvlJc w:val="left"/>
      <w:pPr>
        <w:ind w:left="720" w:hanging="720"/>
      </w:pPr>
      <w:rPr>
        <w:rFonts w:hint="eastAsia"/>
        <w:b w:val="0"/>
        <w:bCs w:val="0"/>
        <w:i w:val="0"/>
        <w:iCs w:val="0"/>
        <w:color w:val="000000"/>
        <w:spacing w:val="0"/>
        <w:sz w:val="32"/>
        <w:szCs w:val="32"/>
        <w:u w:val="no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0000000C"/>
    <w:multiLevelType w:val="multilevel"/>
    <w:tmpl w:val="0000000C"/>
    <w:lvl w:ilvl="0" w:tentative="0">
      <w:start w:val="1"/>
      <w:numFmt w:val="chineseCountingThousand"/>
      <w:pStyle w:val="122"/>
      <w:suff w:val="nothing"/>
      <w:lvlText w:val="%1、"/>
      <w:lvlJc w:val="left"/>
      <w:pPr>
        <w:ind w:left="0" w:firstLine="0"/>
      </w:pPr>
      <w:rPr>
        <w:rFonts w:hint="eastAsia"/>
      </w:rPr>
    </w:lvl>
    <w:lvl w:ilvl="1" w:tentative="0">
      <w:start w:val="1"/>
      <w:numFmt w:val="decimal"/>
      <w:lvlText w:val="%2."/>
      <w:lvlJc w:val="left"/>
      <w:pPr>
        <w:ind w:left="88" w:firstLine="0"/>
      </w:pPr>
      <w:rPr>
        <w:rFonts w:hint="eastAsia"/>
      </w:rPr>
    </w:lvl>
    <w:lvl w:ilvl="2" w:tentative="0">
      <w:start w:val="3"/>
      <w:numFmt w:val="decimal"/>
      <w:lvlText w:val="%3.1."/>
      <w:lvlJc w:val="left"/>
      <w:pPr>
        <w:ind w:left="88" w:firstLine="0"/>
      </w:pPr>
      <w:rPr>
        <w:rFonts w:hint="eastAsia"/>
        <w:b w:val="0"/>
        <w:i w:val="0"/>
      </w:rPr>
    </w:lvl>
    <w:lvl w:ilvl="3" w:tentative="0">
      <w:start w:val="1"/>
      <w:numFmt w:val="decimal"/>
      <w:lvlText w:val="2.4.%4."/>
      <w:lvlJc w:val="left"/>
      <w:pPr>
        <w:ind w:left="1364" w:firstLine="0"/>
      </w:pPr>
      <w:rPr>
        <w:rFonts w:hint="eastAsia"/>
      </w:rPr>
    </w:lvl>
    <w:lvl w:ilvl="4" w:tentative="0">
      <w:start w:val="1"/>
      <w:numFmt w:val="decimal"/>
      <w:suff w:val="space"/>
      <w:lvlText w:val="%1.%2.%3.%4.%5"/>
      <w:lvlJc w:val="left"/>
      <w:pPr>
        <w:ind w:left="88" w:firstLine="0"/>
      </w:pPr>
      <w:rPr>
        <w:rFonts w:hint="eastAsia"/>
      </w:rPr>
    </w:lvl>
    <w:lvl w:ilvl="5" w:tentative="0">
      <w:start w:val="1"/>
      <w:numFmt w:val="decimal"/>
      <w:lvlText w:val="%1.%2.%3.%4.%5.%6"/>
      <w:lvlJc w:val="left"/>
      <w:pPr>
        <w:ind w:left="88" w:firstLine="0"/>
      </w:pPr>
      <w:rPr>
        <w:rFonts w:hint="eastAsia"/>
      </w:rPr>
    </w:lvl>
    <w:lvl w:ilvl="6" w:tentative="0">
      <w:start w:val="1"/>
      <w:numFmt w:val="decimal"/>
      <w:lvlText w:val="%1.%2.%3.%4.%5.%6.%7"/>
      <w:lvlJc w:val="left"/>
      <w:pPr>
        <w:ind w:left="88" w:firstLine="0"/>
      </w:pPr>
      <w:rPr>
        <w:rFonts w:hint="eastAsia"/>
      </w:rPr>
    </w:lvl>
    <w:lvl w:ilvl="7" w:tentative="0">
      <w:start w:val="1"/>
      <w:numFmt w:val="decimal"/>
      <w:lvlText w:val="%1.%2.%3.%4.%5.%6.%7.%8"/>
      <w:lvlJc w:val="left"/>
      <w:pPr>
        <w:ind w:left="88" w:firstLine="0"/>
      </w:pPr>
      <w:rPr>
        <w:rFonts w:hint="eastAsia"/>
      </w:rPr>
    </w:lvl>
    <w:lvl w:ilvl="8" w:tentative="0">
      <w:start w:val="1"/>
      <w:numFmt w:val="decimal"/>
      <w:lvlText w:val="%1.%2.%3.%4.%5.%6.%7.%8.%9"/>
      <w:lvlJc w:val="left"/>
      <w:pPr>
        <w:ind w:left="88" w:firstLine="0"/>
      </w:pPr>
      <w:rPr>
        <w:rFonts w:hint="eastAsia"/>
      </w:rPr>
    </w:lvl>
  </w:abstractNum>
  <w:abstractNum w:abstractNumId="3">
    <w:nsid w:val="31529AB8"/>
    <w:multiLevelType w:val="singleLevel"/>
    <w:tmpl w:val="31529AB8"/>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YjZkZGQ3MTJlNjhjZDJlNjFiMWRiY2IwNjQ3M2MifQ=="/>
  </w:docVars>
  <w:rsids>
    <w:rsidRoot w:val="00000000"/>
    <w:rsid w:val="001570FF"/>
    <w:rsid w:val="003B643A"/>
    <w:rsid w:val="005B0870"/>
    <w:rsid w:val="005C0886"/>
    <w:rsid w:val="00610597"/>
    <w:rsid w:val="00755DF0"/>
    <w:rsid w:val="007A3406"/>
    <w:rsid w:val="00863B59"/>
    <w:rsid w:val="008D313A"/>
    <w:rsid w:val="00BD0A57"/>
    <w:rsid w:val="00C34DAD"/>
    <w:rsid w:val="00D60EB6"/>
    <w:rsid w:val="00F1191B"/>
    <w:rsid w:val="01017684"/>
    <w:rsid w:val="01245390"/>
    <w:rsid w:val="01284C10"/>
    <w:rsid w:val="013E4730"/>
    <w:rsid w:val="01453A14"/>
    <w:rsid w:val="015974C0"/>
    <w:rsid w:val="01687703"/>
    <w:rsid w:val="018067FB"/>
    <w:rsid w:val="01A3073B"/>
    <w:rsid w:val="01A7647D"/>
    <w:rsid w:val="01CE57B8"/>
    <w:rsid w:val="01D614E0"/>
    <w:rsid w:val="0213766F"/>
    <w:rsid w:val="021533E7"/>
    <w:rsid w:val="024840F1"/>
    <w:rsid w:val="02510197"/>
    <w:rsid w:val="02714432"/>
    <w:rsid w:val="0292027E"/>
    <w:rsid w:val="02B23CCA"/>
    <w:rsid w:val="02D23086"/>
    <w:rsid w:val="030703D4"/>
    <w:rsid w:val="032558AB"/>
    <w:rsid w:val="03455F4E"/>
    <w:rsid w:val="03462D29"/>
    <w:rsid w:val="035B5702"/>
    <w:rsid w:val="03767EB5"/>
    <w:rsid w:val="03824AAC"/>
    <w:rsid w:val="0388571F"/>
    <w:rsid w:val="038907AF"/>
    <w:rsid w:val="038D2F2A"/>
    <w:rsid w:val="03AF1619"/>
    <w:rsid w:val="03DE1C9C"/>
    <w:rsid w:val="03EF1A15"/>
    <w:rsid w:val="04096F7B"/>
    <w:rsid w:val="040F5D0F"/>
    <w:rsid w:val="041E3E09"/>
    <w:rsid w:val="042A6EF2"/>
    <w:rsid w:val="04471852"/>
    <w:rsid w:val="04566439"/>
    <w:rsid w:val="04820ADC"/>
    <w:rsid w:val="048C54B6"/>
    <w:rsid w:val="04901C43"/>
    <w:rsid w:val="04934A97"/>
    <w:rsid w:val="04A84C58"/>
    <w:rsid w:val="04AE367F"/>
    <w:rsid w:val="04C25FED"/>
    <w:rsid w:val="04FA6239"/>
    <w:rsid w:val="051200B1"/>
    <w:rsid w:val="05322502"/>
    <w:rsid w:val="058D598A"/>
    <w:rsid w:val="05CD3FD8"/>
    <w:rsid w:val="05FE4192"/>
    <w:rsid w:val="06035C4C"/>
    <w:rsid w:val="063B2989"/>
    <w:rsid w:val="0642677D"/>
    <w:rsid w:val="065B3392"/>
    <w:rsid w:val="068E3768"/>
    <w:rsid w:val="06A74829"/>
    <w:rsid w:val="06AA3194"/>
    <w:rsid w:val="06D373CC"/>
    <w:rsid w:val="06FF01C2"/>
    <w:rsid w:val="073700E5"/>
    <w:rsid w:val="0742552D"/>
    <w:rsid w:val="07465DF0"/>
    <w:rsid w:val="07493882"/>
    <w:rsid w:val="07732C73"/>
    <w:rsid w:val="07972D2B"/>
    <w:rsid w:val="079F3753"/>
    <w:rsid w:val="07B611C8"/>
    <w:rsid w:val="07DC0503"/>
    <w:rsid w:val="07F77D7D"/>
    <w:rsid w:val="08102414"/>
    <w:rsid w:val="08512AE5"/>
    <w:rsid w:val="085F328E"/>
    <w:rsid w:val="086C5D2B"/>
    <w:rsid w:val="087A0447"/>
    <w:rsid w:val="087C0B22"/>
    <w:rsid w:val="089963F4"/>
    <w:rsid w:val="08B82D1E"/>
    <w:rsid w:val="08C6543B"/>
    <w:rsid w:val="08E003AE"/>
    <w:rsid w:val="09026214"/>
    <w:rsid w:val="091E2397"/>
    <w:rsid w:val="091E5277"/>
    <w:rsid w:val="09402DC9"/>
    <w:rsid w:val="09434CDD"/>
    <w:rsid w:val="094B3B92"/>
    <w:rsid w:val="095953E8"/>
    <w:rsid w:val="097A06EC"/>
    <w:rsid w:val="09D65B51"/>
    <w:rsid w:val="09EC6FF8"/>
    <w:rsid w:val="0A1C687B"/>
    <w:rsid w:val="0A232419"/>
    <w:rsid w:val="0A2A37A7"/>
    <w:rsid w:val="0A4B3D93"/>
    <w:rsid w:val="0A540224"/>
    <w:rsid w:val="0A555586"/>
    <w:rsid w:val="0ADC05BC"/>
    <w:rsid w:val="0AEC0542"/>
    <w:rsid w:val="0AF97CC1"/>
    <w:rsid w:val="0B114967"/>
    <w:rsid w:val="0B2823DD"/>
    <w:rsid w:val="0B550CF8"/>
    <w:rsid w:val="0B5F39C0"/>
    <w:rsid w:val="0B8410EC"/>
    <w:rsid w:val="0BA00692"/>
    <w:rsid w:val="0BAB4D99"/>
    <w:rsid w:val="0BBA0B5B"/>
    <w:rsid w:val="0BCB2D68"/>
    <w:rsid w:val="0BCE014A"/>
    <w:rsid w:val="0BF50CD6"/>
    <w:rsid w:val="0BFC1173"/>
    <w:rsid w:val="0BFD025C"/>
    <w:rsid w:val="0C056068"/>
    <w:rsid w:val="0C0B13B7"/>
    <w:rsid w:val="0C0F4B2A"/>
    <w:rsid w:val="0C152235"/>
    <w:rsid w:val="0C1F4E62"/>
    <w:rsid w:val="0C212875"/>
    <w:rsid w:val="0C31167A"/>
    <w:rsid w:val="0C41127C"/>
    <w:rsid w:val="0C4C05FE"/>
    <w:rsid w:val="0C550884"/>
    <w:rsid w:val="0C684A5B"/>
    <w:rsid w:val="0C6A2BAB"/>
    <w:rsid w:val="0C7B5EA6"/>
    <w:rsid w:val="0CA830A9"/>
    <w:rsid w:val="0CFD51A3"/>
    <w:rsid w:val="0D151277"/>
    <w:rsid w:val="0D184EAC"/>
    <w:rsid w:val="0D303444"/>
    <w:rsid w:val="0D767C8F"/>
    <w:rsid w:val="0D983A1B"/>
    <w:rsid w:val="0DAC0678"/>
    <w:rsid w:val="0DD0089A"/>
    <w:rsid w:val="0DD56120"/>
    <w:rsid w:val="0DE74EF1"/>
    <w:rsid w:val="0E0662D9"/>
    <w:rsid w:val="0E0A35FC"/>
    <w:rsid w:val="0E0B1C40"/>
    <w:rsid w:val="0E4F7C80"/>
    <w:rsid w:val="0E7B6CC7"/>
    <w:rsid w:val="0E7F4225"/>
    <w:rsid w:val="0EA0672E"/>
    <w:rsid w:val="0EDC5880"/>
    <w:rsid w:val="0F020460"/>
    <w:rsid w:val="0F205179"/>
    <w:rsid w:val="0F3A26DF"/>
    <w:rsid w:val="0F452E31"/>
    <w:rsid w:val="0F4672D5"/>
    <w:rsid w:val="0F49414A"/>
    <w:rsid w:val="0F4E1CE6"/>
    <w:rsid w:val="0F544C89"/>
    <w:rsid w:val="0F5C22C8"/>
    <w:rsid w:val="0F780762"/>
    <w:rsid w:val="0F7F6343"/>
    <w:rsid w:val="0F8E3AB4"/>
    <w:rsid w:val="0FC14BAE"/>
    <w:rsid w:val="0FED7751"/>
    <w:rsid w:val="101C5D45"/>
    <w:rsid w:val="10305D78"/>
    <w:rsid w:val="10521BED"/>
    <w:rsid w:val="1064458A"/>
    <w:rsid w:val="107C7598"/>
    <w:rsid w:val="10806817"/>
    <w:rsid w:val="10A342B4"/>
    <w:rsid w:val="10B65D95"/>
    <w:rsid w:val="10B95885"/>
    <w:rsid w:val="10F451D4"/>
    <w:rsid w:val="110805BA"/>
    <w:rsid w:val="110A60E1"/>
    <w:rsid w:val="110B145C"/>
    <w:rsid w:val="111B02EE"/>
    <w:rsid w:val="114F1D45"/>
    <w:rsid w:val="11561326"/>
    <w:rsid w:val="1157064B"/>
    <w:rsid w:val="115B40DB"/>
    <w:rsid w:val="115D3896"/>
    <w:rsid w:val="115E033A"/>
    <w:rsid w:val="11785740"/>
    <w:rsid w:val="11870CE9"/>
    <w:rsid w:val="118F65E6"/>
    <w:rsid w:val="1191235E"/>
    <w:rsid w:val="11955682"/>
    <w:rsid w:val="11A352CA"/>
    <w:rsid w:val="11B6682A"/>
    <w:rsid w:val="11CC15E8"/>
    <w:rsid w:val="11F56D91"/>
    <w:rsid w:val="12062D4C"/>
    <w:rsid w:val="120A11A7"/>
    <w:rsid w:val="120E1C01"/>
    <w:rsid w:val="12443F10"/>
    <w:rsid w:val="124B4C03"/>
    <w:rsid w:val="128679E9"/>
    <w:rsid w:val="1287577E"/>
    <w:rsid w:val="128F574E"/>
    <w:rsid w:val="12B101BA"/>
    <w:rsid w:val="12C86253"/>
    <w:rsid w:val="12D67BE7"/>
    <w:rsid w:val="12F048B5"/>
    <w:rsid w:val="130966AE"/>
    <w:rsid w:val="130E484D"/>
    <w:rsid w:val="13166FBF"/>
    <w:rsid w:val="13182D37"/>
    <w:rsid w:val="13215B42"/>
    <w:rsid w:val="13496F8C"/>
    <w:rsid w:val="135C01FC"/>
    <w:rsid w:val="137756C7"/>
    <w:rsid w:val="13854E35"/>
    <w:rsid w:val="13B862C8"/>
    <w:rsid w:val="13BF31B2"/>
    <w:rsid w:val="13E23345"/>
    <w:rsid w:val="13E50081"/>
    <w:rsid w:val="14005F6A"/>
    <w:rsid w:val="14276FAA"/>
    <w:rsid w:val="142E05AF"/>
    <w:rsid w:val="14364D57"/>
    <w:rsid w:val="14593607"/>
    <w:rsid w:val="14634486"/>
    <w:rsid w:val="147922AC"/>
    <w:rsid w:val="14861F22"/>
    <w:rsid w:val="14952165"/>
    <w:rsid w:val="14961592"/>
    <w:rsid w:val="14A10B0A"/>
    <w:rsid w:val="14B46A8F"/>
    <w:rsid w:val="14DD7671"/>
    <w:rsid w:val="14EB7FD7"/>
    <w:rsid w:val="150B2427"/>
    <w:rsid w:val="152A4FA3"/>
    <w:rsid w:val="15910B7E"/>
    <w:rsid w:val="15E038B4"/>
    <w:rsid w:val="15FA2BC8"/>
    <w:rsid w:val="166B5873"/>
    <w:rsid w:val="168B3A44"/>
    <w:rsid w:val="169A5917"/>
    <w:rsid w:val="16D27F24"/>
    <w:rsid w:val="16DE614F"/>
    <w:rsid w:val="17164088"/>
    <w:rsid w:val="173A529E"/>
    <w:rsid w:val="17535ED4"/>
    <w:rsid w:val="17626C76"/>
    <w:rsid w:val="176D1ABA"/>
    <w:rsid w:val="1770272B"/>
    <w:rsid w:val="17821613"/>
    <w:rsid w:val="17872239"/>
    <w:rsid w:val="17A34B99"/>
    <w:rsid w:val="17B30290"/>
    <w:rsid w:val="17B31280"/>
    <w:rsid w:val="17B45A93"/>
    <w:rsid w:val="17BA057C"/>
    <w:rsid w:val="17BD5C5B"/>
    <w:rsid w:val="17E21B65"/>
    <w:rsid w:val="18001FEB"/>
    <w:rsid w:val="18003D99"/>
    <w:rsid w:val="180D24AE"/>
    <w:rsid w:val="1843106A"/>
    <w:rsid w:val="18842C1C"/>
    <w:rsid w:val="189D5A8C"/>
    <w:rsid w:val="18AD4B88"/>
    <w:rsid w:val="18DC0363"/>
    <w:rsid w:val="18E81791"/>
    <w:rsid w:val="18F90F15"/>
    <w:rsid w:val="19197809"/>
    <w:rsid w:val="191A1D20"/>
    <w:rsid w:val="191C37A3"/>
    <w:rsid w:val="193A0EBB"/>
    <w:rsid w:val="195E16BF"/>
    <w:rsid w:val="196E525E"/>
    <w:rsid w:val="198F3627"/>
    <w:rsid w:val="19921369"/>
    <w:rsid w:val="19B54023"/>
    <w:rsid w:val="19B968F6"/>
    <w:rsid w:val="19D5046D"/>
    <w:rsid w:val="19DD4BC5"/>
    <w:rsid w:val="19EC6CCB"/>
    <w:rsid w:val="19FF5E4F"/>
    <w:rsid w:val="1A0538E9"/>
    <w:rsid w:val="1A2F6BB8"/>
    <w:rsid w:val="1A8D4386"/>
    <w:rsid w:val="1A8E5352"/>
    <w:rsid w:val="1AAF4FCA"/>
    <w:rsid w:val="1AC75042"/>
    <w:rsid w:val="1AD67034"/>
    <w:rsid w:val="1ADD6614"/>
    <w:rsid w:val="1AF000F5"/>
    <w:rsid w:val="1B3C701D"/>
    <w:rsid w:val="1B3F2E2B"/>
    <w:rsid w:val="1B440441"/>
    <w:rsid w:val="1B5F7084"/>
    <w:rsid w:val="1B616C37"/>
    <w:rsid w:val="1B6C4873"/>
    <w:rsid w:val="1B795796"/>
    <w:rsid w:val="1B8751B7"/>
    <w:rsid w:val="1B8E16B3"/>
    <w:rsid w:val="1BA57132"/>
    <w:rsid w:val="1BC872C4"/>
    <w:rsid w:val="1BCD0942"/>
    <w:rsid w:val="1BDB2B53"/>
    <w:rsid w:val="1C314E69"/>
    <w:rsid w:val="1C363B4D"/>
    <w:rsid w:val="1C3708E7"/>
    <w:rsid w:val="1C625023"/>
    <w:rsid w:val="1C7D36C7"/>
    <w:rsid w:val="1C7F3E27"/>
    <w:rsid w:val="1C8C02F2"/>
    <w:rsid w:val="1C913B5A"/>
    <w:rsid w:val="1CAE64BA"/>
    <w:rsid w:val="1CB01D3C"/>
    <w:rsid w:val="1CB6536F"/>
    <w:rsid w:val="1CB810E7"/>
    <w:rsid w:val="1CCA5772"/>
    <w:rsid w:val="1CD852E5"/>
    <w:rsid w:val="1D102CD1"/>
    <w:rsid w:val="1D3F1652"/>
    <w:rsid w:val="1D4902FB"/>
    <w:rsid w:val="1D65301C"/>
    <w:rsid w:val="1D661485"/>
    <w:rsid w:val="1D6B6623"/>
    <w:rsid w:val="1D752371"/>
    <w:rsid w:val="1D9C27B6"/>
    <w:rsid w:val="1DAB6A18"/>
    <w:rsid w:val="1DAC212A"/>
    <w:rsid w:val="1DAF6046"/>
    <w:rsid w:val="1DB4365C"/>
    <w:rsid w:val="1DF446A3"/>
    <w:rsid w:val="1DFF0F95"/>
    <w:rsid w:val="1DFF22D5"/>
    <w:rsid w:val="1E2660A9"/>
    <w:rsid w:val="1E311151"/>
    <w:rsid w:val="1E3E5320"/>
    <w:rsid w:val="1E617C32"/>
    <w:rsid w:val="1E672DC4"/>
    <w:rsid w:val="1E8972BF"/>
    <w:rsid w:val="1EF74148"/>
    <w:rsid w:val="1F0C3339"/>
    <w:rsid w:val="1F196F16"/>
    <w:rsid w:val="1F2E6B9D"/>
    <w:rsid w:val="1F7A6B27"/>
    <w:rsid w:val="1F7E03C6"/>
    <w:rsid w:val="1FA03B59"/>
    <w:rsid w:val="1FA13238"/>
    <w:rsid w:val="1FB913FE"/>
    <w:rsid w:val="1FC102B2"/>
    <w:rsid w:val="1FC107E4"/>
    <w:rsid w:val="1FC54AD0"/>
    <w:rsid w:val="1FD77AD6"/>
    <w:rsid w:val="1FEB2F17"/>
    <w:rsid w:val="1FF448FC"/>
    <w:rsid w:val="2085578B"/>
    <w:rsid w:val="209D487B"/>
    <w:rsid w:val="20A26336"/>
    <w:rsid w:val="20BE0F44"/>
    <w:rsid w:val="20BE320C"/>
    <w:rsid w:val="20CA1ACE"/>
    <w:rsid w:val="20CE712B"/>
    <w:rsid w:val="20FD17BE"/>
    <w:rsid w:val="211803A6"/>
    <w:rsid w:val="212C5E28"/>
    <w:rsid w:val="214E314D"/>
    <w:rsid w:val="2167490E"/>
    <w:rsid w:val="2190618E"/>
    <w:rsid w:val="21AB2FC8"/>
    <w:rsid w:val="21C72108"/>
    <w:rsid w:val="21C91A13"/>
    <w:rsid w:val="22066788"/>
    <w:rsid w:val="22147453"/>
    <w:rsid w:val="22210F14"/>
    <w:rsid w:val="22261CEE"/>
    <w:rsid w:val="22295B8D"/>
    <w:rsid w:val="22941CAE"/>
    <w:rsid w:val="22983E9F"/>
    <w:rsid w:val="22A6463F"/>
    <w:rsid w:val="22AC6FF8"/>
    <w:rsid w:val="22BB4743"/>
    <w:rsid w:val="22D60519"/>
    <w:rsid w:val="22E91FFA"/>
    <w:rsid w:val="22EA7B20"/>
    <w:rsid w:val="234644D3"/>
    <w:rsid w:val="235F050E"/>
    <w:rsid w:val="235F7C2F"/>
    <w:rsid w:val="237D6BE6"/>
    <w:rsid w:val="238E58F4"/>
    <w:rsid w:val="239A32F4"/>
    <w:rsid w:val="239B0E1A"/>
    <w:rsid w:val="23C136C0"/>
    <w:rsid w:val="23C55BDE"/>
    <w:rsid w:val="23D20CE0"/>
    <w:rsid w:val="23DA5DE6"/>
    <w:rsid w:val="23F46EA8"/>
    <w:rsid w:val="245060A9"/>
    <w:rsid w:val="247A5D05"/>
    <w:rsid w:val="249C0AA0"/>
    <w:rsid w:val="24A759DB"/>
    <w:rsid w:val="24CD14A7"/>
    <w:rsid w:val="24DD793C"/>
    <w:rsid w:val="24E551BD"/>
    <w:rsid w:val="24F84BE0"/>
    <w:rsid w:val="25182615"/>
    <w:rsid w:val="25270BB7"/>
    <w:rsid w:val="25310FEB"/>
    <w:rsid w:val="254A2AF8"/>
    <w:rsid w:val="25666701"/>
    <w:rsid w:val="257A518B"/>
    <w:rsid w:val="25B6018D"/>
    <w:rsid w:val="25CB59E7"/>
    <w:rsid w:val="25D250DA"/>
    <w:rsid w:val="25DF5936"/>
    <w:rsid w:val="25DF76E4"/>
    <w:rsid w:val="25E47183"/>
    <w:rsid w:val="26217CFD"/>
    <w:rsid w:val="264B2FCC"/>
    <w:rsid w:val="26681488"/>
    <w:rsid w:val="26712A32"/>
    <w:rsid w:val="26797B39"/>
    <w:rsid w:val="268169ED"/>
    <w:rsid w:val="268B33C8"/>
    <w:rsid w:val="26E50D2A"/>
    <w:rsid w:val="26F92E10"/>
    <w:rsid w:val="27337014"/>
    <w:rsid w:val="273F6C96"/>
    <w:rsid w:val="275C7C1C"/>
    <w:rsid w:val="275E288B"/>
    <w:rsid w:val="277B51EB"/>
    <w:rsid w:val="279C3BBD"/>
    <w:rsid w:val="27A23EDD"/>
    <w:rsid w:val="27AC7A9A"/>
    <w:rsid w:val="27B626C7"/>
    <w:rsid w:val="27DC4334"/>
    <w:rsid w:val="27F35233"/>
    <w:rsid w:val="27FC27CF"/>
    <w:rsid w:val="28017DE6"/>
    <w:rsid w:val="281C050B"/>
    <w:rsid w:val="28213FE4"/>
    <w:rsid w:val="284764F0"/>
    <w:rsid w:val="28537F15"/>
    <w:rsid w:val="285C501C"/>
    <w:rsid w:val="286B21EF"/>
    <w:rsid w:val="287D0D71"/>
    <w:rsid w:val="28B40D42"/>
    <w:rsid w:val="28B766F6"/>
    <w:rsid w:val="28CC03F4"/>
    <w:rsid w:val="28EA0701"/>
    <w:rsid w:val="28FC0A1F"/>
    <w:rsid w:val="2916341D"/>
    <w:rsid w:val="291E012D"/>
    <w:rsid w:val="29352537"/>
    <w:rsid w:val="293D1D0B"/>
    <w:rsid w:val="294D7CF1"/>
    <w:rsid w:val="29562B06"/>
    <w:rsid w:val="29642508"/>
    <w:rsid w:val="296C74E1"/>
    <w:rsid w:val="297F5EFD"/>
    <w:rsid w:val="29890093"/>
    <w:rsid w:val="29A64648"/>
    <w:rsid w:val="29CA4207"/>
    <w:rsid w:val="29E057D9"/>
    <w:rsid w:val="29F30179"/>
    <w:rsid w:val="2A070FB7"/>
    <w:rsid w:val="2A726D79"/>
    <w:rsid w:val="2A846AAC"/>
    <w:rsid w:val="2A9267CE"/>
    <w:rsid w:val="2AB23619"/>
    <w:rsid w:val="2ACF41CB"/>
    <w:rsid w:val="2AD0640E"/>
    <w:rsid w:val="2B0D4CF3"/>
    <w:rsid w:val="2B5C4B6E"/>
    <w:rsid w:val="2B782521"/>
    <w:rsid w:val="2B8C5C18"/>
    <w:rsid w:val="2BAF7B59"/>
    <w:rsid w:val="2BBA196F"/>
    <w:rsid w:val="2BDE3F9A"/>
    <w:rsid w:val="2BE13AE1"/>
    <w:rsid w:val="2BE9306B"/>
    <w:rsid w:val="2BEA306D"/>
    <w:rsid w:val="2BF10171"/>
    <w:rsid w:val="2C1128D2"/>
    <w:rsid w:val="2C147CBD"/>
    <w:rsid w:val="2C44306F"/>
    <w:rsid w:val="2C567FD4"/>
    <w:rsid w:val="2C5A1872"/>
    <w:rsid w:val="2C5F17B9"/>
    <w:rsid w:val="2C730B86"/>
    <w:rsid w:val="2C8261B9"/>
    <w:rsid w:val="2CB4503B"/>
    <w:rsid w:val="2CB847EB"/>
    <w:rsid w:val="2D067C4C"/>
    <w:rsid w:val="2D0D0FDB"/>
    <w:rsid w:val="2D2A5DE1"/>
    <w:rsid w:val="2D3252A7"/>
    <w:rsid w:val="2D4367AA"/>
    <w:rsid w:val="2D621F11"/>
    <w:rsid w:val="2D8E211C"/>
    <w:rsid w:val="2D984D48"/>
    <w:rsid w:val="2DA82AB1"/>
    <w:rsid w:val="2DB65067"/>
    <w:rsid w:val="2DBB27E5"/>
    <w:rsid w:val="2DDE64D3"/>
    <w:rsid w:val="2E47051C"/>
    <w:rsid w:val="2E5A3CBA"/>
    <w:rsid w:val="2E821554"/>
    <w:rsid w:val="2E875789"/>
    <w:rsid w:val="2E8B21B7"/>
    <w:rsid w:val="2E996A2A"/>
    <w:rsid w:val="2ECB4CA9"/>
    <w:rsid w:val="2ED02896"/>
    <w:rsid w:val="2EE8585B"/>
    <w:rsid w:val="2F4C6F51"/>
    <w:rsid w:val="2F561582"/>
    <w:rsid w:val="2F723377"/>
    <w:rsid w:val="2F7610B9"/>
    <w:rsid w:val="2F8F3F29"/>
    <w:rsid w:val="2F917CA1"/>
    <w:rsid w:val="2FBD5011"/>
    <w:rsid w:val="2FCB1763"/>
    <w:rsid w:val="2FCC3D0C"/>
    <w:rsid w:val="2FCF4325"/>
    <w:rsid w:val="2FDB2CCA"/>
    <w:rsid w:val="2FF70277"/>
    <w:rsid w:val="2FF7387C"/>
    <w:rsid w:val="30427C69"/>
    <w:rsid w:val="304B09A8"/>
    <w:rsid w:val="305F4F6B"/>
    <w:rsid w:val="30711881"/>
    <w:rsid w:val="30744ECD"/>
    <w:rsid w:val="307F5C44"/>
    <w:rsid w:val="308A7BC2"/>
    <w:rsid w:val="30AD648F"/>
    <w:rsid w:val="30D836AE"/>
    <w:rsid w:val="30E65DCB"/>
    <w:rsid w:val="30FB4587"/>
    <w:rsid w:val="310B75DF"/>
    <w:rsid w:val="31173BCD"/>
    <w:rsid w:val="31376626"/>
    <w:rsid w:val="3143187A"/>
    <w:rsid w:val="315A0F54"/>
    <w:rsid w:val="31B761B9"/>
    <w:rsid w:val="31BB7257"/>
    <w:rsid w:val="31BE0AF5"/>
    <w:rsid w:val="31C03994"/>
    <w:rsid w:val="31CA0AD7"/>
    <w:rsid w:val="31F746FE"/>
    <w:rsid w:val="321049C3"/>
    <w:rsid w:val="321B1AA4"/>
    <w:rsid w:val="32213D0C"/>
    <w:rsid w:val="32292413"/>
    <w:rsid w:val="32312863"/>
    <w:rsid w:val="3239017C"/>
    <w:rsid w:val="32445C96"/>
    <w:rsid w:val="327C2DF9"/>
    <w:rsid w:val="32904240"/>
    <w:rsid w:val="329362BA"/>
    <w:rsid w:val="32951856"/>
    <w:rsid w:val="32B048E2"/>
    <w:rsid w:val="32DA54BB"/>
    <w:rsid w:val="32DB28D0"/>
    <w:rsid w:val="32E75E2A"/>
    <w:rsid w:val="32E847CF"/>
    <w:rsid w:val="32F11300"/>
    <w:rsid w:val="32F26CA9"/>
    <w:rsid w:val="33042538"/>
    <w:rsid w:val="33182487"/>
    <w:rsid w:val="332B6F4B"/>
    <w:rsid w:val="333E1EEE"/>
    <w:rsid w:val="33527747"/>
    <w:rsid w:val="337C6572"/>
    <w:rsid w:val="33802506"/>
    <w:rsid w:val="339A2E9C"/>
    <w:rsid w:val="33BC2E13"/>
    <w:rsid w:val="33D91C17"/>
    <w:rsid w:val="33EB75AE"/>
    <w:rsid w:val="33EF31E8"/>
    <w:rsid w:val="3410040A"/>
    <w:rsid w:val="341113B0"/>
    <w:rsid w:val="341E492E"/>
    <w:rsid w:val="342509B8"/>
    <w:rsid w:val="34384B8F"/>
    <w:rsid w:val="343E5F1E"/>
    <w:rsid w:val="347B4A7C"/>
    <w:rsid w:val="347E631A"/>
    <w:rsid w:val="34894B8C"/>
    <w:rsid w:val="34B87A7E"/>
    <w:rsid w:val="34C401D1"/>
    <w:rsid w:val="34E20283"/>
    <w:rsid w:val="351A3611"/>
    <w:rsid w:val="351C00EA"/>
    <w:rsid w:val="352944D8"/>
    <w:rsid w:val="352C084C"/>
    <w:rsid w:val="352F312B"/>
    <w:rsid w:val="354D30E3"/>
    <w:rsid w:val="355B5071"/>
    <w:rsid w:val="358C4D11"/>
    <w:rsid w:val="358D4A67"/>
    <w:rsid w:val="359202CF"/>
    <w:rsid w:val="359C114E"/>
    <w:rsid w:val="35D2691D"/>
    <w:rsid w:val="35DA1C76"/>
    <w:rsid w:val="35EC7C60"/>
    <w:rsid w:val="35EF74CF"/>
    <w:rsid w:val="36006B49"/>
    <w:rsid w:val="363932F5"/>
    <w:rsid w:val="36401255"/>
    <w:rsid w:val="36936E01"/>
    <w:rsid w:val="369509D4"/>
    <w:rsid w:val="36963DEF"/>
    <w:rsid w:val="36B91800"/>
    <w:rsid w:val="36D8742F"/>
    <w:rsid w:val="36DD477E"/>
    <w:rsid w:val="36DE12F2"/>
    <w:rsid w:val="36EA029A"/>
    <w:rsid w:val="371C142E"/>
    <w:rsid w:val="371D3482"/>
    <w:rsid w:val="375872F6"/>
    <w:rsid w:val="376167C9"/>
    <w:rsid w:val="377D1455"/>
    <w:rsid w:val="378448BE"/>
    <w:rsid w:val="379C71E3"/>
    <w:rsid w:val="37A30B05"/>
    <w:rsid w:val="37B81B43"/>
    <w:rsid w:val="37C329C2"/>
    <w:rsid w:val="37CD55EE"/>
    <w:rsid w:val="37ED5C91"/>
    <w:rsid w:val="37EE3839"/>
    <w:rsid w:val="3805255C"/>
    <w:rsid w:val="38196A86"/>
    <w:rsid w:val="38207E14"/>
    <w:rsid w:val="38323C4F"/>
    <w:rsid w:val="38361BA7"/>
    <w:rsid w:val="383C2774"/>
    <w:rsid w:val="38486C73"/>
    <w:rsid w:val="384F06F9"/>
    <w:rsid w:val="38741F0E"/>
    <w:rsid w:val="387C7014"/>
    <w:rsid w:val="387E4B3B"/>
    <w:rsid w:val="389D1465"/>
    <w:rsid w:val="38C06F01"/>
    <w:rsid w:val="38D236A7"/>
    <w:rsid w:val="38FD63A7"/>
    <w:rsid w:val="38FE5C7B"/>
    <w:rsid w:val="39203E44"/>
    <w:rsid w:val="39224AE5"/>
    <w:rsid w:val="39225E0E"/>
    <w:rsid w:val="394E275F"/>
    <w:rsid w:val="396E0276"/>
    <w:rsid w:val="39B63DA1"/>
    <w:rsid w:val="39DF4537"/>
    <w:rsid w:val="39E63BA1"/>
    <w:rsid w:val="39E90113"/>
    <w:rsid w:val="39EA5F63"/>
    <w:rsid w:val="3A00614F"/>
    <w:rsid w:val="3A0F434E"/>
    <w:rsid w:val="3A1B2697"/>
    <w:rsid w:val="3A241364"/>
    <w:rsid w:val="3A3C4CAD"/>
    <w:rsid w:val="3A541FF7"/>
    <w:rsid w:val="3A6F0BDF"/>
    <w:rsid w:val="3A7D77A0"/>
    <w:rsid w:val="3A83543A"/>
    <w:rsid w:val="3A8A5A19"/>
    <w:rsid w:val="3A965379"/>
    <w:rsid w:val="3A991A8C"/>
    <w:rsid w:val="3AB333D7"/>
    <w:rsid w:val="3ABE3914"/>
    <w:rsid w:val="3AC21656"/>
    <w:rsid w:val="3AD4138A"/>
    <w:rsid w:val="3ADF736C"/>
    <w:rsid w:val="3AE55345"/>
    <w:rsid w:val="3B0C4680"/>
    <w:rsid w:val="3B0F5F1E"/>
    <w:rsid w:val="3B4C2CCE"/>
    <w:rsid w:val="3B685395"/>
    <w:rsid w:val="3B900DC8"/>
    <w:rsid w:val="3B9B4C08"/>
    <w:rsid w:val="3BBF16F2"/>
    <w:rsid w:val="3BC15DB8"/>
    <w:rsid w:val="3BDC6748"/>
    <w:rsid w:val="3C320116"/>
    <w:rsid w:val="3C336DD6"/>
    <w:rsid w:val="3C4936B2"/>
    <w:rsid w:val="3C4F6F1A"/>
    <w:rsid w:val="3C641104"/>
    <w:rsid w:val="3C6E4EC6"/>
    <w:rsid w:val="3C776471"/>
    <w:rsid w:val="3C8A7F52"/>
    <w:rsid w:val="3C9506A5"/>
    <w:rsid w:val="3CBA010B"/>
    <w:rsid w:val="3CBE19AA"/>
    <w:rsid w:val="3CC01BC6"/>
    <w:rsid w:val="3CD91FD0"/>
    <w:rsid w:val="3CEF4259"/>
    <w:rsid w:val="3D033860"/>
    <w:rsid w:val="3D0E20FE"/>
    <w:rsid w:val="3D0F48FB"/>
    <w:rsid w:val="3D2F0533"/>
    <w:rsid w:val="3D583BAC"/>
    <w:rsid w:val="3D705439"/>
    <w:rsid w:val="3D7753A5"/>
    <w:rsid w:val="3D8726E3"/>
    <w:rsid w:val="3DCE20C0"/>
    <w:rsid w:val="3DF8713D"/>
    <w:rsid w:val="3E0B6E71"/>
    <w:rsid w:val="3E2717D1"/>
    <w:rsid w:val="3E2D328B"/>
    <w:rsid w:val="3E3E1C48"/>
    <w:rsid w:val="3E471F24"/>
    <w:rsid w:val="3E681840"/>
    <w:rsid w:val="3EC30DB5"/>
    <w:rsid w:val="3EC36F33"/>
    <w:rsid w:val="3EC62D97"/>
    <w:rsid w:val="3ECD5E56"/>
    <w:rsid w:val="3ECF7A14"/>
    <w:rsid w:val="3F110A59"/>
    <w:rsid w:val="3F165ACD"/>
    <w:rsid w:val="3F395C5F"/>
    <w:rsid w:val="3F5860E5"/>
    <w:rsid w:val="3F702E03"/>
    <w:rsid w:val="3F970A7C"/>
    <w:rsid w:val="3FAF1333"/>
    <w:rsid w:val="3FC45529"/>
    <w:rsid w:val="3FED00F0"/>
    <w:rsid w:val="3FF73B50"/>
    <w:rsid w:val="3FF81676"/>
    <w:rsid w:val="401A339B"/>
    <w:rsid w:val="40557EB1"/>
    <w:rsid w:val="407231D7"/>
    <w:rsid w:val="40C757BD"/>
    <w:rsid w:val="40D95004"/>
    <w:rsid w:val="40E02836"/>
    <w:rsid w:val="4109680D"/>
    <w:rsid w:val="412D3C44"/>
    <w:rsid w:val="413B181B"/>
    <w:rsid w:val="41401E8B"/>
    <w:rsid w:val="414A3DAF"/>
    <w:rsid w:val="415F56D9"/>
    <w:rsid w:val="416960AB"/>
    <w:rsid w:val="41790595"/>
    <w:rsid w:val="417B430D"/>
    <w:rsid w:val="41803457"/>
    <w:rsid w:val="41845BCF"/>
    <w:rsid w:val="41962EF5"/>
    <w:rsid w:val="419D24D5"/>
    <w:rsid w:val="41A25D3E"/>
    <w:rsid w:val="41AF3FB7"/>
    <w:rsid w:val="41C7565B"/>
    <w:rsid w:val="41DD72D9"/>
    <w:rsid w:val="41FD11C6"/>
    <w:rsid w:val="42023D07"/>
    <w:rsid w:val="42033254"/>
    <w:rsid w:val="421057B6"/>
    <w:rsid w:val="4280659A"/>
    <w:rsid w:val="42862F6A"/>
    <w:rsid w:val="429F5DD9"/>
    <w:rsid w:val="42AB1299"/>
    <w:rsid w:val="42AC088C"/>
    <w:rsid w:val="42CE4911"/>
    <w:rsid w:val="42DA32B5"/>
    <w:rsid w:val="42FC147E"/>
    <w:rsid w:val="42FC322C"/>
    <w:rsid w:val="430B7913"/>
    <w:rsid w:val="433665E9"/>
    <w:rsid w:val="433834D6"/>
    <w:rsid w:val="4340580E"/>
    <w:rsid w:val="43486471"/>
    <w:rsid w:val="43560B8E"/>
    <w:rsid w:val="43583E01"/>
    <w:rsid w:val="435C1F1C"/>
    <w:rsid w:val="435E1696"/>
    <w:rsid w:val="43657023"/>
    <w:rsid w:val="4379487C"/>
    <w:rsid w:val="43B054BC"/>
    <w:rsid w:val="43F263DD"/>
    <w:rsid w:val="44022AC4"/>
    <w:rsid w:val="44872AD4"/>
    <w:rsid w:val="44950109"/>
    <w:rsid w:val="44AE49FA"/>
    <w:rsid w:val="4505081B"/>
    <w:rsid w:val="45126D36"/>
    <w:rsid w:val="45343151"/>
    <w:rsid w:val="4541761C"/>
    <w:rsid w:val="4585533A"/>
    <w:rsid w:val="45876384"/>
    <w:rsid w:val="458B6AE9"/>
    <w:rsid w:val="45B72B27"/>
    <w:rsid w:val="45B778DE"/>
    <w:rsid w:val="45D472F0"/>
    <w:rsid w:val="45ED3300"/>
    <w:rsid w:val="45F81B5F"/>
    <w:rsid w:val="465914A9"/>
    <w:rsid w:val="466E1623"/>
    <w:rsid w:val="46767799"/>
    <w:rsid w:val="467A1037"/>
    <w:rsid w:val="46A63BDA"/>
    <w:rsid w:val="46C202E8"/>
    <w:rsid w:val="46ED1809"/>
    <w:rsid w:val="470D3C59"/>
    <w:rsid w:val="473E02B7"/>
    <w:rsid w:val="47490A0A"/>
    <w:rsid w:val="475A6773"/>
    <w:rsid w:val="4764659D"/>
    <w:rsid w:val="478D13A9"/>
    <w:rsid w:val="47B9631D"/>
    <w:rsid w:val="47C6325F"/>
    <w:rsid w:val="47DC19EB"/>
    <w:rsid w:val="47E56F93"/>
    <w:rsid w:val="47EC1AC1"/>
    <w:rsid w:val="47EF7803"/>
    <w:rsid w:val="47F6064A"/>
    <w:rsid w:val="48180B08"/>
    <w:rsid w:val="48496F13"/>
    <w:rsid w:val="48580F04"/>
    <w:rsid w:val="486755EB"/>
    <w:rsid w:val="486C49B0"/>
    <w:rsid w:val="486E4086"/>
    <w:rsid w:val="48A0176E"/>
    <w:rsid w:val="48AB4D23"/>
    <w:rsid w:val="48B466DB"/>
    <w:rsid w:val="48B5518F"/>
    <w:rsid w:val="48BF71D5"/>
    <w:rsid w:val="48C26B67"/>
    <w:rsid w:val="48C60564"/>
    <w:rsid w:val="48D2100A"/>
    <w:rsid w:val="48DE4364"/>
    <w:rsid w:val="490B41C9"/>
    <w:rsid w:val="49263D60"/>
    <w:rsid w:val="49267254"/>
    <w:rsid w:val="493A4AAE"/>
    <w:rsid w:val="494D2A33"/>
    <w:rsid w:val="495042D1"/>
    <w:rsid w:val="49B916CD"/>
    <w:rsid w:val="49C56A6D"/>
    <w:rsid w:val="49C604E7"/>
    <w:rsid w:val="49D15412"/>
    <w:rsid w:val="49F01532"/>
    <w:rsid w:val="4A1452FF"/>
    <w:rsid w:val="4A190B67"/>
    <w:rsid w:val="4A2D016F"/>
    <w:rsid w:val="4A330784"/>
    <w:rsid w:val="4A596C44"/>
    <w:rsid w:val="4AAE7501"/>
    <w:rsid w:val="4AAF6DD6"/>
    <w:rsid w:val="4AD131F0"/>
    <w:rsid w:val="4AED038C"/>
    <w:rsid w:val="4AFC64BF"/>
    <w:rsid w:val="4B08477A"/>
    <w:rsid w:val="4B090BDC"/>
    <w:rsid w:val="4B2771E0"/>
    <w:rsid w:val="4B3612A5"/>
    <w:rsid w:val="4B37154F"/>
    <w:rsid w:val="4B380D8C"/>
    <w:rsid w:val="4B3D4012"/>
    <w:rsid w:val="4B715402"/>
    <w:rsid w:val="4B916D9B"/>
    <w:rsid w:val="4BF70537"/>
    <w:rsid w:val="4C025E9A"/>
    <w:rsid w:val="4C101AF6"/>
    <w:rsid w:val="4C275277"/>
    <w:rsid w:val="4C371778"/>
    <w:rsid w:val="4C3C7AA7"/>
    <w:rsid w:val="4C5E06C3"/>
    <w:rsid w:val="4CAF203B"/>
    <w:rsid w:val="4CAF3D9F"/>
    <w:rsid w:val="4CC21BDE"/>
    <w:rsid w:val="4CC535CC"/>
    <w:rsid w:val="4CCC52D2"/>
    <w:rsid w:val="4CD849F3"/>
    <w:rsid w:val="4D0C1DC1"/>
    <w:rsid w:val="4D4B7458"/>
    <w:rsid w:val="4D5C3508"/>
    <w:rsid w:val="4D987FF5"/>
    <w:rsid w:val="4D9F3131"/>
    <w:rsid w:val="4DB029E2"/>
    <w:rsid w:val="4DD252B5"/>
    <w:rsid w:val="4E150E29"/>
    <w:rsid w:val="4E1E674C"/>
    <w:rsid w:val="4E2F6FA7"/>
    <w:rsid w:val="4E455EBB"/>
    <w:rsid w:val="4E491A35"/>
    <w:rsid w:val="4E7B3B9E"/>
    <w:rsid w:val="4E7D7917"/>
    <w:rsid w:val="4E952649"/>
    <w:rsid w:val="4E9904C8"/>
    <w:rsid w:val="4EA20779"/>
    <w:rsid w:val="4EA312FE"/>
    <w:rsid w:val="4ECE0172"/>
    <w:rsid w:val="4EE9082F"/>
    <w:rsid w:val="4EEC684A"/>
    <w:rsid w:val="4EF13E61"/>
    <w:rsid w:val="4EFA0F67"/>
    <w:rsid w:val="4EFF576B"/>
    <w:rsid w:val="4F31425D"/>
    <w:rsid w:val="4F4426F6"/>
    <w:rsid w:val="4F634CFA"/>
    <w:rsid w:val="4F674123"/>
    <w:rsid w:val="4F8133D7"/>
    <w:rsid w:val="4FA3572B"/>
    <w:rsid w:val="4FBC446F"/>
    <w:rsid w:val="4FC9093A"/>
    <w:rsid w:val="4FDE2637"/>
    <w:rsid w:val="4FF84D7B"/>
    <w:rsid w:val="4FFD38BA"/>
    <w:rsid w:val="50354221"/>
    <w:rsid w:val="5038283F"/>
    <w:rsid w:val="503F29AA"/>
    <w:rsid w:val="5045626C"/>
    <w:rsid w:val="505F4DFA"/>
    <w:rsid w:val="509264D2"/>
    <w:rsid w:val="50A75DAE"/>
    <w:rsid w:val="50A82D49"/>
    <w:rsid w:val="50DE6667"/>
    <w:rsid w:val="50EA6DB9"/>
    <w:rsid w:val="510C4F82"/>
    <w:rsid w:val="51133638"/>
    <w:rsid w:val="51231512"/>
    <w:rsid w:val="5139564B"/>
    <w:rsid w:val="51577ADD"/>
    <w:rsid w:val="516A3A56"/>
    <w:rsid w:val="51752B27"/>
    <w:rsid w:val="517D0AC3"/>
    <w:rsid w:val="51870AAC"/>
    <w:rsid w:val="51917235"/>
    <w:rsid w:val="51A90A23"/>
    <w:rsid w:val="51CC51CF"/>
    <w:rsid w:val="51D435BC"/>
    <w:rsid w:val="523F1B72"/>
    <w:rsid w:val="52411891"/>
    <w:rsid w:val="524349D3"/>
    <w:rsid w:val="52440CB0"/>
    <w:rsid w:val="5248023B"/>
    <w:rsid w:val="525070F0"/>
    <w:rsid w:val="52630BD1"/>
    <w:rsid w:val="526B217C"/>
    <w:rsid w:val="527A416D"/>
    <w:rsid w:val="5284493B"/>
    <w:rsid w:val="52845B17"/>
    <w:rsid w:val="52AD6AF2"/>
    <w:rsid w:val="52AF2069"/>
    <w:rsid w:val="52B4142D"/>
    <w:rsid w:val="52DC6BD6"/>
    <w:rsid w:val="52E0494A"/>
    <w:rsid w:val="52E30126"/>
    <w:rsid w:val="52E71802"/>
    <w:rsid w:val="53095C1D"/>
    <w:rsid w:val="5314011E"/>
    <w:rsid w:val="531719BC"/>
    <w:rsid w:val="531A2B63"/>
    <w:rsid w:val="531C6F66"/>
    <w:rsid w:val="53563628"/>
    <w:rsid w:val="538C05FC"/>
    <w:rsid w:val="53927EB5"/>
    <w:rsid w:val="539F6EFE"/>
    <w:rsid w:val="53A70F92"/>
    <w:rsid w:val="53AF7E46"/>
    <w:rsid w:val="53C41F32"/>
    <w:rsid w:val="53D37FD9"/>
    <w:rsid w:val="53EC11EE"/>
    <w:rsid w:val="540B7773"/>
    <w:rsid w:val="541B1589"/>
    <w:rsid w:val="543071C7"/>
    <w:rsid w:val="54A379AB"/>
    <w:rsid w:val="54B66098"/>
    <w:rsid w:val="54C47921"/>
    <w:rsid w:val="54CD4055"/>
    <w:rsid w:val="550A17D8"/>
    <w:rsid w:val="5511700B"/>
    <w:rsid w:val="55291B4E"/>
    <w:rsid w:val="55696358"/>
    <w:rsid w:val="556E620B"/>
    <w:rsid w:val="5587107B"/>
    <w:rsid w:val="55976FB7"/>
    <w:rsid w:val="55A001A3"/>
    <w:rsid w:val="55BD684B"/>
    <w:rsid w:val="55CF7C27"/>
    <w:rsid w:val="55DF5D59"/>
    <w:rsid w:val="55F61D5C"/>
    <w:rsid w:val="560B479E"/>
    <w:rsid w:val="561F5757"/>
    <w:rsid w:val="5641747C"/>
    <w:rsid w:val="5642563C"/>
    <w:rsid w:val="56440D1A"/>
    <w:rsid w:val="56463975"/>
    <w:rsid w:val="5664316A"/>
    <w:rsid w:val="566969D2"/>
    <w:rsid w:val="569F23F4"/>
    <w:rsid w:val="56AA12B5"/>
    <w:rsid w:val="56F444EE"/>
    <w:rsid w:val="56F97D56"/>
    <w:rsid w:val="57212E09"/>
    <w:rsid w:val="574A2360"/>
    <w:rsid w:val="575E6A88"/>
    <w:rsid w:val="57713D91"/>
    <w:rsid w:val="577420E6"/>
    <w:rsid w:val="579161E1"/>
    <w:rsid w:val="57917F8F"/>
    <w:rsid w:val="57920EE1"/>
    <w:rsid w:val="57BD0D84"/>
    <w:rsid w:val="57C739B1"/>
    <w:rsid w:val="57DD7A72"/>
    <w:rsid w:val="57DE0CFA"/>
    <w:rsid w:val="57E55F1B"/>
    <w:rsid w:val="57FB3A55"/>
    <w:rsid w:val="57FD5624"/>
    <w:rsid w:val="5805272B"/>
    <w:rsid w:val="580A1AEF"/>
    <w:rsid w:val="58127D36"/>
    <w:rsid w:val="582B2191"/>
    <w:rsid w:val="586D7D66"/>
    <w:rsid w:val="589F3426"/>
    <w:rsid w:val="58B52AE8"/>
    <w:rsid w:val="58C840FD"/>
    <w:rsid w:val="58CB127E"/>
    <w:rsid w:val="58D35CF5"/>
    <w:rsid w:val="58DA7713"/>
    <w:rsid w:val="58DC7B06"/>
    <w:rsid w:val="58F669E4"/>
    <w:rsid w:val="590824D3"/>
    <w:rsid w:val="593432C8"/>
    <w:rsid w:val="5940651D"/>
    <w:rsid w:val="59434156"/>
    <w:rsid w:val="594554D5"/>
    <w:rsid w:val="596D0588"/>
    <w:rsid w:val="5975743C"/>
    <w:rsid w:val="598D0C2A"/>
    <w:rsid w:val="598F27C6"/>
    <w:rsid w:val="599947F9"/>
    <w:rsid w:val="59A0270B"/>
    <w:rsid w:val="59A913B1"/>
    <w:rsid w:val="59AA5338"/>
    <w:rsid w:val="59B80C9B"/>
    <w:rsid w:val="59C962F5"/>
    <w:rsid w:val="59D62AD0"/>
    <w:rsid w:val="59EB778D"/>
    <w:rsid w:val="5A084146"/>
    <w:rsid w:val="5A265D97"/>
    <w:rsid w:val="5A355549"/>
    <w:rsid w:val="5A3F1F24"/>
    <w:rsid w:val="5A53777D"/>
    <w:rsid w:val="5A5B574E"/>
    <w:rsid w:val="5A690D4F"/>
    <w:rsid w:val="5A6E2779"/>
    <w:rsid w:val="5A7B0A82"/>
    <w:rsid w:val="5A7D236A"/>
    <w:rsid w:val="5AA20705"/>
    <w:rsid w:val="5ABA77FD"/>
    <w:rsid w:val="5ACB7C5C"/>
    <w:rsid w:val="5AF70A51"/>
    <w:rsid w:val="5B40505E"/>
    <w:rsid w:val="5B5152B3"/>
    <w:rsid w:val="5B630C7D"/>
    <w:rsid w:val="5B6C2D6A"/>
    <w:rsid w:val="5B7E077C"/>
    <w:rsid w:val="5B8D3163"/>
    <w:rsid w:val="5B8F0C89"/>
    <w:rsid w:val="5BA364E3"/>
    <w:rsid w:val="5BBE50CA"/>
    <w:rsid w:val="5BDE3691"/>
    <w:rsid w:val="5BDE576D"/>
    <w:rsid w:val="5BEF1728"/>
    <w:rsid w:val="5BF02BDC"/>
    <w:rsid w:val="5C0F5926"/>
    <w:rsid w:val="5C2D3FFE"/>
    <w:rsid w:val="5C390BF5"/>
    <w:rsid w:val="5C4542D5"/>
    <w:rsid w:val="5C797243"/>
    <w:rsid w:val="5C7B745F"/>
    <w:rsid w:val="5C8A31FF"/>
    <w:rsid w:val="5C906697"/>
    <w:rsid w:val="5CA95D7B"/>
    <w:rsid w:val="5CAB38A1"/>
    <w:rsid w:val="5CAE0433"/>
    <w:rsid w:val="5CD65FE4"/>
    <w:rsid w:val="5CE172C2"/>
    <w:rsid w:val="5CEB0141"/>
    <w:rsid w:val="5CFD6AA8"/>
    <w:rsid w:val="5D0E5BDE"/>
    <w:rsid w:val="5D1E4295"/>
    <w:rsid w:val="5D303DA6"/>
    <w:rsid w:val="5D4D6A3C"/>
    <w:rsid w:val="5D551A5E"/>
    <w:rsid w:val="5D5A0E23"/>
    <w:rsid w:val="5D6D3F49"/>
    <w:rsid w:val="5D79574D"/>
    <w:rsid w:val="5D885990"/>
    <w:rsid w:val="5DA55329"/>
    <w:rsid w:val="5DAF0D3C"/>
    <w:rsid w:val="5E0771FD"/>
    <w:rsid w:val="5E2143E8"/>
    <w:rsid w:val="5E3E0745"/>
    <w:rsid w:val="5E541D16"/>
    <w:rsid w:val="5E5D506F"/>
    <w:rsid w:val="5E781EA8"/>
    <w:rsid w:val="5E8425FB"/>
    <w:rsid w:val="5E87257A"/>
    <w:rsid w:val="5E8D2864"/>
    <w:rsid w:val="5E990FD6"/>
    <w:rsid w:val="5EB56C59"/>
    <w:rsid w:val="5F096992"/>
    <w:rsid w:val="5F0D1CEC"/>
    <w:rsid w:val="5F1B2917"/>
    <w:rsid w:val="5F2E0541"/>
    <w:rsid w:val="5F353859"/>
    <w:rsid w:val="5F3730B2"/>
    <w:rsid w:val="5F4B2916"/>
    <w:rsid w:val="5F4E54FF"/>
    <w:rsid w:val="5F5A15AE"/>
    <w:rsid w:val="5F6856DD"/>
    <w:rsid w:val="5F74364D"/>
    <w:rsid w:val="5F864151"/>
    <w:rsid w:val="5F8B5419"/>
    <w:rsid w:val="5F9D76BA"/>
    <w:rsid w:val="5FAF3513"/>
    <w:rsid w:val="5FB47948"/>
    <w:rsid w:val="5FD56E87"/>
    <w:rsid w:val="5FEF619A"/>
    <w:rsid w:val="601B6F8F"/>
    <w:rsid w:val="60267593"/>
    <w:rsid w:val="6031230F"/>
    <w:rsid w:val="60344CB6"/>
    <w:rsid w:val="60522285"/>
    <w:rsid w:val="60602BF4"/>
    <w:rsid w:val="60A17B22"/>
    <w:rsid w:val="60B225DB"/>
    <w:rsid w:val="60C74A21"/>
    <w:rsid w:val="6101384B"/>
    <w:rsid w:val="613320B7"/>
    <w:rsid w:val="6138591F"/>
    <w:rsid w:val="613A1697"/>
    <w:rsid w:val="61477910"/>
    <w:rsid w:val="61B77211"/>
    <w:rsid w:val="61BD2427"/>
    <w:rsid w:val="61C83B89"/>
    <w:rsid w:val="61FC06FB"/>
    <w:rsid w:val="620B6B90"/>
    <w:rsid w:val="623A79A1"/>
    <w:rsid w:val="626A672E"/>
    <w:rsid w:val="626F4FCE"/>
    <w:rsid w:val="62720633"/>
    <w:rsid w:val="62746094"/>
    <w:rsid w:val="627C0263"/>
    <w:rsid w:val="628801E0"/>
    <w:rsid w:val="6292105F"/>
    <w:rsid w:val="62AF1C11"/>
    <w:rsid w:val="62B17737"/>
    <w:rsid w:val="62C41E6F"/>
    <w:rsid w:val="62CD0742"/>
    <w:rsid w:val="62E95123"/>
    <w:rsid w:val="62E96ED1"/>
    <w:rsid w:val="62F6339C"/>
    <w:rsid w:val="631B72A6"/>
    <w:rsid w:val="633C1A70"/>
    <w:rsid w:val="633D0FCB"/>
    <w:rsid w:val="636D2D43"/>
    <w:rsid w:val="637360B8"/>
    <w:rsid w:val="63770A3E"/>
    <w:rsid w:val="63972DD1"/>
    <w:rsid w:val="63CC396A"/>
    <w:rsid w:val="63F34FF4"/>
    <w:rsid w:val="63F35B2D"/>
    <w:rsid w:val="63FE3E85"/>
    <w:rsid w:val="641F131C"/>
    <w:rsid w:val="64224F76"/>
    <w:rsid w:val="644115AE"/>
    <w:rsid w:val="644A1BF1"/>
    <w:rsid w:val="64721148"/>
    <w:rsid w:val="64813AA7"/>
    <w:rsid w:val="64A07A63"/>
    <w:rsid w:val="64A151CC"/>
    <w:rsid w:val="64A40AB5"/>
    <w:rsid w:val="64AD3F2E"/>
    <w:rsid w:val="64CA5C4A"/>
    <w:rsid w:val="64D41B49"/>
    <w:rsid w:val="64E02575"/>
    <w:rsid w:val="6519685F"/>
    <w:rsid w:val="65245934"/>
    <w:rsid w:val="656C5B97"/>
    <w:rsid w:val="656E5DB3"/>
    <w:rsid w:val="658E1FB1"/>
    <w:rsid w:val="65CE23AE"/>
    <w:rsid w:val="65D04378"/>
    <w:rsid w:val="65D57BE0"/>
    <w:rsid w:val="65DF0A5F"/>
    <w:rsid w:val="65F20792"/>
    <w:rsid w:val="66042274"/>
    <w:rsid w:val="662621EA"/>
    <w:rsid w:val="66326DE1"/>
    <w:rsid w:val="663C1A0D"/>
    <w:rsid w:val="66482932"/>
    <w:rsid w:val="665129A4"/>
    <w:rsid w:val="665E3544"/>
    <w:rsid w:val="669B6734"/>
    <w:rsid w:val="66F10A4A"/>
    <w:rsid w:val="670626E7"/>
    <w:rsid w:val="67220C03"/>
    <w:rsid w:val="6740552D"/>
    <w:rsid w:val="675B44A0"/>
    <w:rsid w:val="67711188"/>
    <w:rsid w:val="677A27ED"/>
    <w:rsid w:val="67A00465"/>
    <w:rsid w:val="67A22DEA"/>
    <w:rsid w:val="67AF7FBD"/>
    <w:rsid w:val="67E501F3"/>
    <w:rsid w:val="67F325A0"/>
    <w:rsid w:val="6832131A"/>
    <w:rsid w:val="686E5601"/>
    <w:rsid w:val="6888718C"/>
    <w:rsid w:val="68A1024E"/>
    <w:rsid w:val="68AE65DD"/>
    <w:rsid w:val="68B7181F"/>
    <w:rsid w:val="68C61D0B"/>
    <w:rsid w:val="68CB1AE5"/>
    <w:rsid w:val="68D93CAA"/>
    <w:rsid w:val="68E13B71"/>
    <w:rsid w:val="690E5222"/>
    <w:rsid w:val="692D4614"/>
    <w:rsid w:val="69344C1E"/>
    <w:rsid w:val="69390486"/>
    <w:rsid w:val="69581096"/>
    <w:rsid w:val="69584DB0"/>
    <w:rsid w:val="695B03FD"/>
    <w:rsid w:val="69633F60"/>
    <w:rsid w:val="69811F27"/>
    <w:rsid w:val="699D27C3"/>
    <w:rsid w:val="699F7753"/>
    <w:rsid w:val="69AA3132"/>
    <w:rsid w:val="69BF098B"/>
    <w:rsid w:val="69BF395D"/>
    <w:rsid w:val="69DC778F"/>
    <w:rsid w:val="69DD276E"/>
    <w:rsid w:val="69F36887"/>
    <w:rsid w:val="69FE712C"/>
    <w:rsid w:val="69FF522C"/>
    <w:rsid w:val="6A0C16F7"/>
    <w:rsid w:val="6A162854"/>
    <w:rsid w:val="6A3879EE"/>
    <w:rsid w:val="6A4E6C01"/>
    <w:rsid w:val="6A642E74"/>
    <w:rsid w:val="6A6D03E7"/>
    <w:rsid w:val="6A7A3556"/>
    <w:rsid w:val="6A7C687C"/>
    <w:rsid w:val="6A7F55F8"/>
    <w:rsid w:val="6A9E4BEF"/>
    <w:rsid w:val="6AA708FE"/>
    <w:rsid w:val="6AE1332F"/>
    <w:rsid w:val="6AE553B7"/>
    <w:rsid w:val="6AE605EF"/>
    <w:rsid w:val="6B4F0603"/>
    <w:rsid w:val="6B6932A5"/>
    <w:rsid w:val="6B785296"/>
    <w:rsid w:val="6B7E6624"/>
    <w:rsid w:val="6BCE53F0"/>
    <w:rsid w:val="6BD12BF8"/>
    <w:rsid w:val="6C1740BD"/>
    <w:rsid w:val="6C2B5ACD"/>
    <w:rsid w:val="6C3A689C"/>
    <w:rsid w:val="6C615D2A"/>
    <w:rsid w:val="6C6756D8"/>
    <w:rsid w:val="6C7041BF"/>
    <w:rsid w:val="6C727F37"/>
    <w:rsid w:val="6C797445"/>
    <w:rsid w:val="6CAB34E9"/>
    <w:rsid w:val="6CB44309"/>
    <w:rsid w:val="6CD429A0"/>
    <w:rsid w:val="6CD920FB"/>
    <w:rsid w:val="6CDE737B"/>
    <w:rsid w:val="6CF46B9E"/>
    <w:rsid w:val="6D0E5975"/>
    <w:rsid w:val="6D0F39D8"/>
    <w:rsid w:val="6D420527"/>
    <w:rsid w:val="6D791F7D"/>
    <w:rsid w:val="6D8A12B0"/>
    <w:rsid w:val="6DAC7479"/>
    <w:rsid w:val="6DB0153E"/>
    <w:rsid w:val="6DF57072"/>
    <w:rsid w:val="6E0E5823"/>
    <w:rsid w:val="6E14501E"/>
    <w:rsid w:val="6E4A0A40"/>
    <w:rsid w:val="6E55569D"/>
    <w:rsid w:val="6E7F1F3C"/>
    <w:rsid w:val="6E9F0D8B"/>
    <w:rsid w:val="6EA33633"/>
    <w:rsid w:val="6EA84C4D"/>
    <w:rsid w:val="6EA91C0A"/>
    <w:rsid w:val="6EC62972"/>
    <w:rsid w:val="6ED06684"/>
    <w:rsid w:val="6ED30A35"/>
    <w:rsid w:val="6EDD378E"/>
    <w:rsid w:val="6EFC4430"/>
    <w:rsid w:val="6F01126C"/>
    <w:rsid w:val="6F011A46"/>
    <w:rsid w:val="6F084B83"/>
    <w:rsid w:val="6F101C89"/>
    <w:rsid w:val="6F54601A"/>
    <w:rsid w:val="6F6D49E6"/>
    <w:rsid w:val="6F793838"/>
    <w:rsid w:val="6F7A7103"/>
    <w:rsid w:val="6F7E4E45"/>
    <w:rsid w:val="6F861647"/>
    <w:rsid w:val="6F8A23CA"/>
    <w:rsid w:val="6F9C52CB"/>
    <w:rsid w:val="6F9D22B8"/>
    <w:rsid w:val="6FB72105"/>
    <w:rsid w:val="6FBB1BF5"/>
    <w:rsid w:val="6FD12B02"/>
    <w:rsid w:val="6FDA7CC8"/>
    <w:rsid w:val="6FDE3B35"/>
    <w:rsid w:val="6FE3114C"/>
    <w:rsid w:val="6FF13869"/>
    <w:rsid w:val="6FF62C2D"/>
    <w:rsid w:val="701D465E"/>
    <w:rsid w:val="70470382"/>
    <w:rsid w:val="70553DF8"/>
    <w:rsid w:val="7060454A"/>
    <w:rsid w:val="707429EA"/>
    <w:rsid w:val="709C427C"/>
    <w:rsid w:val="70A1703D"/>
    <w:rsid w:val="70DD2DD2"/>
    <w:rsid w:val="70EC412D"/>
    <w:rsid w:val="71072C18"/>
    <w:rsid w:val="71080E6A"/>
    <w:rsid w:val="711B3EE9"/>
    <w:rsid w:val="71237A52"/>
    <w:rsid w:val="713117BE"/>
    <w:rsid w:val="71496ECC"/>
    <w:rsid w:val="715440AF"/>
    <w:rsid w:val="71557594"/>
    <w:rsid w:val="715955FE"/>
    <w:rsid w:val="71687B5B"/>
    <w:rsid w:val="717958C4"/>
    <w:rsid w:val="717B788E"/>
    <w:rsid w:val="718638D1"/>
    <w:rsid w:val="719E770A"/>
    <w:rsid w:val="71A212BE"/>
    <w:rsid w:val="71B52674"/>
    <w:rsid w:val="71E116BB"/>
    <w:rsid w:val="71EF5B86"/>
    <w:rsid w:val="72071122"/>
    <w:rsid w:val="72135D18"/>
    <w:rsid w:val="723D2D95"/>
    <w:rsid w:val="72442376"/>
    <w:rsid w:val="724E58A4"/>
    <w:rsid w:val="724E69A2"/>
    <w:rsid w:val="724F4877"/>
    <w:rsid w:val="72897302"/>
    <w:rsid w:val="728D76E0"/>
    <w:rsid w:val="72BD7A32"/>
    <w:rsid w:val="72C139C6"/>
    <w:rsid w:val="72CC5EC7"/>
    <w:rsid w:val="72F0605A"/>
    <w:rsid w:val="72F773E8"/>
    <w:rsid w:val="733C129F"/>
    <w:rsid w:val="733E137A"/>
    <w:rsid w:val="73426189"/>
    <w:rsid w:val="73440153"/>
    <w:rsid w:val="738A38ED"/>
    <w:rsid w:val="73903019"/>
    <w:rsid w:val="73A56E44"/>
    <w:rsid w:val="73C53042"/>
    <w:rsid w:val="73C66DBA"/>
    <w:rsid w:val="73E84F83"/>
    <w:rsid w:val="741519E4"/>
    <w:rsid w:val="742F1727"/>
    <w:rsid w:val="74363F40"/>
    <w:rsid w:val="74373BCB"/>
    <w:rsid w:val="743B50B2"/>
    <w:rsid w:val="74626AE3"/>
    <w:rsid w:val="7463285B"/>
    <w:rsid w:val="746555EC"/>
    <w:rsid w:val="74681043"/>
    <w:rsid w:val="74850A24"/>
    <w:rsid w:val="74A470FC"/>
    <w:rsid w:val="74AD7F4C"/>
    <w:rsid w:val="74B82BA7"/>
    <w:rsid w:val="74B86703"/>
    <w:rsid w:val="74D07EF1"/>
    <w:rsid w:val="74E4399C"/>
    <w:rsid w:val="750269A4"/>
    <w:rsid w:val="75075625"/>
    <w:rsid w:val="750C6A4F"/>
    <w:rsid w:val="751650A5"/>
    <w:rsid w:val="753541F8"/>
    <w:rsid w:val="75381CFD"/>
    <w:rsid w:val="75501031"/>
    <w:rsid w:val="7568637B"/>
    <w:rsid w:val="75B570E6"/>
    <w:rsid w:val="75D86033"/>
    <w:rsid w:val="75DC0B17"/>
    <w:rsid w:val="76434533"/>
    <w:rsid w:val="76BB072D"/>
    <w:rsid w:val="770976EA"/>
    <w:rsid w:val="77147E3D"/>
    <w:rsid w:val="771A36A5"/>
    <w:rsid w:val="772C5186"/>
    <w:rsid w:val="773455EC"/>
    <w:rsid w:val="77400C32"/>
    <w:rsid w:val="7746449A"/>
    <w:rsid w:val="77525CE6"/>
    <w:rsid w:val="77543075"/>
    <w:rsid w:val="775F37AE"/>
    <w:rsid w:val="77626189"/>
    <w:rsid w:val="776455AF"/>
    <w:rsid w:val="776C7C79"/>
    <w:rsid w:val="776E0387"/>
    <w:rsid w:val="7783749C"/>
    <w:rsid w:val="77870578"/>
    <w:rsid w:val="77872E31"/>
    <w:rsid w:val="77B533CE"/>
    <w:rsid w:val="781616D0"/>
    <w:rsid w:val="78173F63"/>
    <w:rsid w:val="78252301"/>
    <w:rsid w:val="782642CC"/>
    <w:rsid w:val="784939F7"/>
    <w:rsid w:val="78532F74"/>
    <w:rsid w:val="786F5C73"/>
    <w:rsid w:val="78743289"/>
    <w:rsid w:val="7877212D"/>
    <w:rsid w:val="787F3141"/>
    <w:rsid w:val="789A1B9C"/>
    <w:rsid w:val="789F0BD6"/>
    <w:rsid w:val="78A51694"/>
    <w:rsid w:val="78BD078C"/>
    <w:rsid w:val="78E545C3"/>
    <w:rsid w:val="790C526F"/>
    <w:rsid w:val="7936053E"/>
    <w:rsid w:val="79617310"/>
    <w:rsid w:val="796369CD"/>
    <w:rsid w:val="79A547A8"/>
    <w:rsid w:val="79DF29C5"/>
    <w:rsid w:val="79E35D78"/>
    <w:rsid w:val="7A033BF3"/>
    <w:rsid w:val="7A141937"/>
    <w:rsid w:val="7A256BFD"/>
    <w:rsid w:val="7A2B5BC9"/>
    <w:rsid w:val="7A2C59FE"/>
    <w:rsid w:val="7A2F7467"/>
    <w:rsid w:val="7A435E34"/>
    <w:rsid w:val="7A5E5F9F"/>
    <w:rsid w:val="7A603C98"/>
    <w:rsid w:val="7A7C4677"/>
    <w:rsid w:val="7A8F7F06"/>
    <w:rsid w:val="7A903C7E"/>
    <w:rsid w:val="7AB23BF5"/>
    <w:rsid w:val="7AB91427"/>
    <w:rsid w:val="7ACB4CB6"/>
    <w:rsid w:val="7AEE3332"/>
    <w:rsid w:val="7AEF6BF7"/>
    <w:rsid w:val="7B256ABC"/>
    <w:rsid w:val="7B5B1E73"/>
    <w:rsid w:val="7B6E3EA5"/>
    <w:rsid w:val="7B711B1F"/>
    <w:rsid w:val="7B82002F"/>
    <w:rsid w:val="7BC260B9"/>
    <w:rsid w:val="7BC736D0"/>
    <w:rsid w:val="7BFA1CF7"/>
    <w:rsid w:val="7C030BAC"/>
    <w:rsid w:val="7C0675C4"/>
    <w:rsid w:val="7C166F69"/>
    <w:rsid w:val="7C26489A"/>
    <w:rsid w:val="7C45642A"/>
    <w:rsid w:val="7C4C743D"/>
    <w:rsid w:val="7C501917"/>
    <w:rsid w:val="7C7C2903"/>
    <w:rsid w:val="7CAC1243"/>
    <w:rsid w:val="7CD56640"/>
    <w:rsid w:val="7CED0C9D"/>
    <w:rsid w:val="7D0746CC"/>
    <w:rsid w:val="7D1140FE"/>
    <w:rsid w:val="7D241562"/>
    <w:rsid w:val="7D3905FD"/>
    <w:rsid w:val="7D3B6123"/>
    <w:rsid w:val="7D573693"/>
    <w:rsid w:val="7D5E506A"/>
    <w:rsid w:val="7D9019D7"/>
    <w:rsid w:val="7DD16A88"/>
    <w:rsid w:val="7DE1316F"/>
    <w:rsid w:val="7DE90659"/>
    <w:rsid w:val="7DF72144"/>
    <w:rsid w:val="7E100852"/>
    <w:rsid w:val="7E1C7D03"/>
    <w:rsid w:val="7E4C610E"/>
    <w:rsid w:val="7E5C27F5"/>
    <w:rsid w:val="7EAB1EEB"/>
    <w:rsid w:val="7EAC2A89"/>
    <w:rsid w:val="7EC565EC"/>
    <w:rsid w:val="7EF23159"/>
    <w:rsid w:val="7EFA1310"/>
    <w:rsid w:val="7F005876"/>
    <w:rsid w:val="7F390511"/>
    <w:rsid w:val="7FA015CE"/>
    <w:rsid w:val="7FB37823"/>
    <w:rsid w:val="7FE93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4"/>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3"/>
    <w:qFormat/>
    <w:uiPriority w:val="0"/>
    <w:pPr>
      <w:spacing w:before="340" w:beforeAutospacing="0" w:after="330" w:afterAutospacing="0" w:line="578" w:lineRule="auto"/>
      <w:outlineLvl w:val="0"/>
    </w:pPr>
    <w:rPr>
      <w:kern w:val="44"/>
      <w:sz w:val="44"/>
    </w:rPr>
  </w:style>
  <w:style w:type="paragraph" w:styleId="4">
    <w:name w:val="heading 2"/>
    <w:basedOn w:val="1"/>
    <w:next w:val="1"/>
    <w:link w:val="184"/>
    <w:qFormat/>
    <w:uiPriority w:val="0"/>
    <w:pPr>
      <w:spacing w:before="260" w:beforeAutospacing="0" w:after="260" w:afterAutospacing="0" w:line="360" w:lineRule="auto"/>
      <w:outlineLvl w:val="1"/>
    </w:pPr>
    <w:rPr>
      <w:rFonts w:ascii="宋体" w:hAnsi="宋体"/>
      <w:color w:val="000000"/>
      <w:sz w:val="30"/>
    </w:rPr>
  </w:style>
  <w:style w:type="paragraph" w:styleId="5">
    <w:name w:val="heading 3"/>
    <w:basedOn w:val="4"/>
    <w:next w:val="2"/>
    <w:link w:val="185"/>
    <w:qFormat/>
    <w:uiPriority w:val="0"/>
    <w:pPr>
      <w:autoSpaceDE w:val="0"/>
      <w:autoSpaceDN w:val="0"/>
      <w:adjustRightInd w:val="0"/>
      <w:snapToGrid w:val="0"/>
      <w:spacing w:before="360" w:beforeAutospacing="0" w:after="260" w:afterAutospacing="0" w:line="360" w:lineRule="auto"/>
      <w:textAlignment w:val="baseline"/>
      <w:outlineLvl w:val="2"/>
    </w:pPr>
    <w:rPr>
      <w:rFonts w:ascii="宋体" w:hAnsi="宋体"/>
      <w:b/>
      <w:sz w:val="28"/>
    </w:rPr>
  </w:style>
  <w:style w:type="paragraph" w:styleId="2">
    <w:name w:val="heading 4"/>
    <w:basedOn w:val="1"/>
    <w:next w:val="1"/>
    <w:link w:val="186"/>
    <w:qFormat/>
    <w:uiPriority w:val="0"/>
    <w:pPr>
      <w:spacing w:before="280" w:beforeAutospacing="0" w:after="290" w:afterAutospacing="0" w:line="376" w:lineRule="auto"/>
      <w:outlineLvl w:val="3"/>
    </w:pPr>
    <w:rPr>
      <w:rFonts w:ascii="宋体" w:hAnsi="宋体"/>
      <w:b/>
      <w:sz w:val="28"/>
    </w:rPr>
  </w:style>
  <w:style w:type="paragraph" w:styleId="6">
    <w:name w:val="heading 5"/>
    <w:basedOn w:val="1"/>
    <w:next w:val="1"/>
    <w:link w:val="187"/>
    <w:qFormat/>
    <w:uiPriority w:val="0"/>
    <w:pPr>
      <w:spacing w:before="60" w:beforeAutospacing="0" w:after="60" w:afterAutospacing="0" w:line="360" w:lineRule="auto"/>
      <w:outlineLvl w:val="4"/>
    </w:pPr>
    <w:rPr>
      <w:b/>
      <w:bCs/>
      <w:sz w:val="28"/>
      <w:szCs w:val="28"/>
    </w:rPr>
  </w:style>
  <w:style w:type="paragraph" w:styleId="7">
    <w:name w:val="heading 6"/>
    <w:basedOn w:val="1"/>
    <w:next w:val="1"/>
    <w:link w:val="189"/>
    <w:qFormat/>
    <w:uiPriority w:val="0"/>
    <w:pPr>
      <w:spacing w:before="60" w:beforeAutospacing="0" w:after="60" w:afterAutospacing="0" w:line="360" w:lineRule="auto"/>
      <w:outlineLvl w:val="5"/>
    </w:pPr>
    <w:rPr>
      <w:b/>
      <w:bCs/>
      <w:sz w:val="24"/>
      <w:szCs w:val="24"/>
    </w:rPr>
  </w:style>
  <w:style w:type="paragraph" w:styleId="8">
    <w:name w:val="heading 7"/>
    <w:basedOn w:val="1"/>
    <w:next w:val="1"/>
    <w:link w:val="190"/>
    <w:qFormat/>
    <w:uiPriority w:val="0"/>
    <w:pPr>
      <w:tabs>
        <w:tab w:val="left" w:pos="1296"/>
      </w:tabs>
      <w:spacing w:before="240" w:beforeAutospacing="0" w:after="64" w:afterAutospacing="0" w:line="317" w:lineRule="auto"/>
      <w:ind w:left="1296" w:hanging="1296"/>
      <w:jc w:val="left"/>
      <w:outlineLvl w:val="6"/>
    </w:pPr>
    <w:rPr>
      <w:b/>
      <w:bCs/>
      <w:sz w:val="24"/>
      <w:szCs w:val="24"/>
    </w:rPr>
  </w:style>
  <w:style w:type="paragraph" w:styleId="9">
    <w:name w:val="heading 8"/>
    <w:basedOn w:val="1"/>
    <w:next w:val="1"/>
    <w:link w:val="191"/>
    <w:qFormat/>
    <w:uiPriority w:val="0"/>
    <w:pPr>
      <w:tabs>
        <w:tab w:val="left" w:pos="1440"/>
      </w:tabs>
      <w:spacing w:before="240" w:beforeAutospacing="0" w:after="64" w:afterAutospacing="0" w:line="317" w:lineRule="auto"/>
      <w:ind w:left="1440" w:hanging="1440"/>
      <w:jc w:val="left"/>
      <w:outlineLvl w:val="7"/>
    </w:pPr>
    <w:rPr>
      <w:rFonts w:ascii="Arial" w:hAnsi="Arial" w:eastAsia="黑体"/>
      <w:sz w:val="24"/>
      <w:szCs w:val="24"/>
    </w:rPr>
  </w:style>
  <w:style w:type="paragraph" w:styleId="10">
    <w:name w:val="heading 9"/>
    <w:basedOn w:val="1"/>
    <w:next w:val="1"/>
    <w:link w:val="192"/>
    <w:qFormat/>
    <w:uiPriority w:val="0"/>
    <w:pPr>
      <w:tabs>
        <w:tab w:val="left" w:pos="1584"/>
      </w:tabs>
      <w:spacing w:before="240" w:beforeAutospacing="0" w:after="64" w:afterAutospacing="0" w:line="317" w:lineRule="auto"/>
      <w:ind w:left="1584" w:hanging="1584"/>
      <w:jc w:val="left"/>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table of authorities"/>
    <w:basedOn w:val="1"/>
    <w:next w:val="1"/>
    <w:qFormat/>
    <w:uiPriority w:val="99"/>
    <w:pPr>
      <w:ind w:left="420" w:leftChars="200"/>
    </w:pPr>
    <w:rPr>
      <w:rFonts w:ascii="University Roman LET" w:hAnsi="University Roman LET" w:cs="University Roman LET"/>
    </w:rPr>
  </w:style>
  <w:style w:type="paragraph" w:styleId="13">
    <w:name w:val="Normal Indent"/>
    <w:basedOn w:val="1"/>
    <w:qFormat/>
    <w:uiPriority w:val="0"/>
    <w:pPr>
      <w:ind w:firstLine="420"/>
      <w:jc w:val="left"/>
    </w:pPr>
    <w:rPr>
      <w:kern w:val="0"/>
    </w:rPr>
  </w:style>
  <w:style w:type="paragraph" w:styleId="14">
    <w:name w:val="caption"/>
    <w:basedOn w:val="1"/>
    <w:next w:val="1"/>
    <w:qFormat/>
    <w:uiPriority w:val="0"/>
    <w:pPr>
      <w:jc w:val="left"/>
    </w:pPr>
    <w:rPr>
      <w:rFonts w:ascii="Arial" w:hAnsi="Arial" w:eastAsia="黑体" w:cs="Arial"/>
      <w:kern w:val="0"/>
      <w:sz w:val="20"/>
    </w:rPr>
  </w:style>
  <w:style w:type="paragraph" w:styleId="15">
    <w:name w:val="List Bullet"/>
    <w:basedOn w:val="1"/>
    <w:qFormat/>
    <w:uiPriority w:val="0"/>
    <w:pPr>
      <w:tabs>
        <w:tab w:val="left" w:pos="360"/>
      </w:tabs>
      <w:autoSpaceDE w:val="0"/>
      <w:autoSpaceDN w:val="0"/>
      <w:adjustRightInd w:val="0"/>
      <w:snapToGrid w:val="0"/>
      <w:spacing w:beforeAutospacing="0" w:afterAutospacing="0" w:line="360" w:lineRule="auto"/>
      <w:ind w:left="360" w:hanging="360"/>
      <w:textAlignment w:val="baseline"/>
    </w:pPr>
    <w:rPr>
      <w:rFonts w:ascii="宋体" w:hAnsi="Tms Rmn"/>
      <w:snapToGrid w:val="0"/>
      <w:color w:val="000000"/>
      <w:kern w:val="24"/>
      <w:sz w:val="28"/>
    </w:rPr>
  </w:style>
  <w:style w:type="paragraph" w:styleId="16">
    <w:name w:val="Document Map"/>
    <w:basedOn w:val="1"/>
    <w:link w:val="193"/>
    <w:qFormat/>
    <w:uiPriority w:val="0"/>
    <w:pPr>
      <w:shd w:val="clear" w:color="auto" w:fill="000080"/>
    </w:pPr>
    <w:rPr>
      <w:shd w:val="clear" w:color="auto" w:fill="000080"/>
    </w:rPr>
  </w:style>
  <w:style w:type="paragraph" w:styleId="17">
    <w:name w:val="annotation text"/>
    <w:basedOn w:val="1"/>
    <w:link w:val="194"/>
    <w:qFormat/>
    <w:uiPriority w:val="0"/>
    <w:pPr>
      <w:jc w:val="left"/>
    </w:pPr>
    <w:rPr>
      <w:szCs w:val="24"/>
    </w:rPr>
  </w:style>
  <w:style w:type="paragraph" w:styleId="18">
    <w:name w:val="Body Text 3"/>
    <w:basedOn w:val="1"/>
    <w:link w:val="195"/>
    <w:qFormat/>
    <w:uiPriority w:val="0"/>
    <w:pPr>
      <w:spacing w:beforeAutospacing="0" w:afterAutospacing="0" w:line="360" w:lineRule="auto"/>
    </w:pPr>
    <w:rPr>
      <w:rFonts w:ascii="宋体" w:hAnsi="宋体"/>
      <w:b/>
      <w:bCs/>
    </w:rPr>
  </w:style>
  <w:style w:type="paragraph" w:styleId="19">
    <w:name w:val="Body Text"/>
    <w:basedOn w:val="1"/>
    <w:link w:val="188"/>
    <w:qFormat/>
    <w:uiPriority w:val="0"/>
    <w:pPr>
      <w:spacing w:beforeAutospacing="0" w:afterAutospacing="0" w:line="360" w:lineRule="auto"/>
    </w:pPr>
    <w:rPr>
      <w:rFonts w:ascii="黑体"/>
      <w:sz w:val="24"/>
    </w:rPr>
  </w:style>
  <w:style w:type="paragraph" w:styleId="20">
    <w:name w:val="Body Text Indent"/>
    <w:basedOn w:val="1"/>
    <w:link w:val="196"/>
    <w:qFormat/>
    <w:uiPriority w:val="0"/>
    <w:pPr>
      <w:spacing w:beforeAutospacing="0" w:afterAutospacing="0" w:line="360" w:lineRule="auto"/>
      <w:ind w:left="480"/>
    </w:pPr>
    <w:rPr>
      <w:rFonts w:ascii="宋体"/>
      <w:sz w:val="24"/>
    </w:rPr>
  </w:style>
  <w:style w:type="paragraph" w:styleId="21">
    <w:name w:val="List 2"/>
    <w:basedOn w:val="1"/>
    <w:qFormat/>
    <w:uiPriority w:val="0"/>
    <w:pPr>
      <w:spacing w:before="60" w:beforeAutospacing="0" w:after="60" w:afterAutospacing="0" w:line="240" w:lineRule="atLeast"/>
    </w:pPr>
    <w:rPr>
      <w:szCs w:val="24"/>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szCs w:val="24"/>
    </w:rPr>
  </w:style>
  <w:style w:type="paragraph" w:styleId="24">
    <w:name w:val="Plain Text"/>
    <w:basedOn w:val="1"/>
    <w:next w:val="1"/>
    <w:link w:val="197"/>
    <w:qFormat/>
    <w:uiPriority w:val="0"/>
    <w:rPr>
      <w:rFonts w:ascii="宋体" w:hAnsi="Courier New"/>
    </w:rPr>
  </w:style>
  <w:style w:type="paragraph" w:styleId="25">
    <w:name w:val="toc 8"/>
    <w:basedOn w:val="1"/>
    <w:next w:val="1"/>
    <w:qFormat/>
    <w:uiPriority w:val="0"/>
    <w:pPr>
      <w:ind w:left="1470"/>
      <w:jc w:val="left"/>
    </w:pPr>
    <w:rPr>
      <w:szCs w:val="21"/>
    </w:rPr>
  </w:style>
  <w:style w:type="paragraph" w:styleId="26">
    <w:name w:val="Date"/>
    <w:basedOn w:val="1"/>
    <w:next w:val="1"/>
    <w:link w:val="198"/>
    <w:qFormat/>
    <w:uiPriority w:val="0"/>
    <w:rPr>
      <w:sz w:val="24"/>
    </w:rPr>
  </w:style>
  <w:style w:type="paragraph" w:styleId="27">
    <w:name w:val="Body Text Indent 2"/>
    <w:basedOn w:val="1"/>
    <w:link w:val="199"/>
    <w:qFormat/>
    <w:uiPriority w:val="0"/>
    <w:pPr>
      <w:autoSpaceDE w:val="0"/>
      <w:autoSpaceDN w:val="0"/>
      <w:adjustRightInd w:val="0"/>
      <w:spacing w:beforeAutospacing="0" w:afterAutospacing="0" w:line="360" w:lineRule="auto"/>
      <w:ind w:firstLine="538"/>
      <w:jc w:val="left"/>
    </w:pPr>
    <w:rPr>
      <w:rFonts w:ascii="仿宋_GB2312" w:eastAsia="仿宋_GB2312"/>
      <w:color w:val="000000"/>
      <w:kern w:val="0"/>
      <w:sz w:val="28"/>
    </w:rPr>
  </w:style>
  <w:style w:type="paragraph" w:styleId="28">
    <w:name w:val="Balloon Text"/>
    <w:basedOn w:val="1"/>
    <w:link w:val="200"/>
    <w:qFormat/>
    <w:uiPriority w:val="0"/>
    <w:rPr>
      <w:sz w:val="18"/>
      <w:szCs w:val="18"/>
    </w:rPr>
  </w:style>
  <w:style w:type="paragraph" w:styleId="29">
    <w:name w:val="footer"/>
    <w:basedOn w:val="1"/>
    <w:link w:val="201"/>
    <w:qFormat/>
    <w:uiPriority w:val="0"/>
    <w:pPr>
      <w:pBdr>
        <w:top w:val="single" w:color="auto" w:sz="4" w:space="1"/>
      </w:pBdr>
      <w:tabs>
        <w:tab w:val="center" w:pos="4153"/>
        <w:tab w:val="right" w:pos="8306"/>
      </w:tabs>
      <w:snapToGrid w:val="0"/>
      <w:spacing w:beforeAutospacing="0" w:afterAutospacing="0" w:line="360" w:lineRule="auto"/>
      <w:jc w:val="left"/>
    </w:pPr>
    <w:rPr>
      <w:sz w:val="18"/>
    </w:rPr>
  </w:style>
  <w:style w:type="paragraph" w:styleId="30">
    <w:name w:val="envelope return"/>
    <w:basedOn w:val="1"/>
    <w:qFormat/>
    <w:uiPriority w:val="99"/>
    <w:pPr>
      <w:snapToGrid w:val="0"/>
    </w:pPr>
    <w:rPr>
      <w:rFonts w:ascii="Arial" w:hAnsi="Arial"/>
    </w:rPr>
  </w:style>
  <w:style w:type="paragraph" w:styleId="31">
    <w:name w:val="header"/>
    <w:basedOn w:val="1"/>
    <w:link w:val="202"/>
    <w:qFormat/>
    <w:uiPriority w:val="0"/>
    <w:pPr>
      <w:pBdr>
        <w:bottom w:val="thinThickSmallGap" w:color="auto" w:sz="12" w:space="1"/>
      </w:pBdr>
      <w:tabs>
        <w:tab w:val="center" w:pos="4153"/>
        <w:tab w:val="right" w:pos="8306"/>
      </w:tabs>
      <w:snapToGrid w:val="0"/>
      <w:spacing w:beforeAutospacing="0" w:afterAutospacing="0" w:line="360" w:lineRule="auto"/>
      <w:jc w:val="center"/>
    </w:pPr>
    <w:rPr>
      <w:rFonts w:ascii="宋体" w:hAnsi="宋体" w:cs="宋体"/>
      <w:sz w:val="18"/>
      <w:szCs w:val="18"/>
    </w:rPr>
  </w:style>
  <w:style w:type="paragraph" w:styleId="32">
    <w:name w:val="toc 1"/>
    <w:basedOn w:val="1"/>
    <w:next w:val="1"/>
    <w:qFormat/>
    <w:uiPriority w:val="0"/>
    <w:pPr>
      <w:tabs>
        <w:tab w:val="right" w:leader="dot" w:pos="9344"/>
      </w:tabs>
      <w:spacing w:before="120" w:beforeAutospacing="0" w:after="120" w:afterAutospacing="0"/>
      <w:jc w:val="left"/>
    </w:pPr>
    <w:rPr>
      <w:rFonts w:ascii="宋体" w:hAnsi="宋体"/>
      <w:b/>
      <w:bCs/>
      <w:caps/>
      <w:sz w:val="24"/>
      <w:szCs w:val="24"/>
    </w:rPr>
  </w:style>
  <w:style w:type="paragraph" w:styleId="33">
    <w:name w:val="toc 4"/>
    <w:basedOn w:val="1"/>
    <w:next w:val="1"/>
    <w:qFormat/>
    <w:uiPriority w:val="0"/>
    <w:pPr>
      <w:ind w:left="630"/>
      <w:jc w:val="left"/>
    </w:pPr>
    <w:rPr>
      <w:szCs w:val="21"/>
    </w:rPr>
  </w:style>
  <w:style w:type="paragraph" w:styleId="34">
    <w:name w:val="index heading"/>
    <w:basedOn w:val="1"/>
    <w:next w:val="35"/>
    <w:qFormat/>
    <w:uiPriority w:val="0"/>
  </w:style>
  <w:style w:type="paragraph" w:styleId="35">
    <w:name w:val="index 1"/>
    <w:basedOn w:val="1"/>
    <w:next w:val="1"/>
    <w:qFormat/>
    <w:uiPriority w:val="0"/>
    <w:rPr>
      <w:rFonts w:ascii="宋体" w:hAnsi="宋体"/>
      <w:sz w:val="24"/>
      <w:szCs w:val="24"/>
    </w:rPr>
  </w:style>
  <w:style w:type="paragraph" w:styleId="36">
    <w:name w:val="toc 6"/>
    <w:basedOn w:val="1"/>
    <w:next w:val="1"/>
    <w:qFormat/>
    <w:uiPriority w:val="0"/>
    <w:pPr>
      <w:ind w:left="1050"/>
      <w:jc w:val="left"/>
    </w:pPr>
    <w:rPr>
      <w:szCs w:val="21"/>
    </w:rPr>
  </w:style>
  <w:style w:type="paragraph" w:styleId="37">
    <w:name w:val="Body Text Indent 3"/>
    <w:basedOn w:val="1"/>
    <w:link w:val="203"/>
    <w:qFormat/>
    <w:uiPriority w:val="0"/>
    <w:pPr>
      <w:spacing w:beforeAutospacing="0" w:afterAutospacing="0" w:line="360" w:lineRule="auto"/>
      <w:ind w:firstLine="480"/>
    </w:pPr>
    <w:rPr>
      <w:sz w:val="24"/>
    </w:rPr>
  </w:style>
  <w:style w:type="paragraph" w:styleId="38">
    <w:name w:val="toc 2"/>
    <w:basedOn w:val="1"/>
    <w:next w:val="1"/>
    <w:qFormat/>
    <w:uiPriority w:val="0"/>
    <w:pPr>
      <w:ind w:left="210"/>
      <w:jc w:val="left"/>
    </w:pPr>
    <w:rPr>
      <w:smallCaps/>
      <w:szCs w:val="24"/>
    </w:rPr>
  </w:style>
  <w:style w:type="paragraph" w:styleId="39">
    <w:name w:val="toc 9"/>
    <w:basedOn w:val="1"/>
    <w:next w:val="1"/>
    <w:qFormat/>
    <w:uiPriority w:val="0"/>
    <w:pPr>
      <w:ind w:left="1680"/>
      <w:jc w:val="left"/>
    </w:pPr>
    <w:rPr>
      <w:szCs w:val="21"/>
    </w:rPr>
  </w:style>
  <w:style w:type="paragraph" w:styleId="40">
    <w:name w:val="Body Text 2"/>
    <w:basedOn w:val="1"/>
    <w:link w:val="204"/>
    <w:qFormat/>
    <w:uiPriority w:val="0"/>
    <w:rPr>
      <w:rFonts w:eastAsia="楷体_GB2312"/>
      <w:sz w:val="28"/>
    </w:rPr>
  </w:style>
  <w:style w:type="paragraph" w:styleId="41">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2">
    <w:name w:val="Normal (Web)"/>
    <w:basedOn w:val="1"/>
    <w:qFormat/>
    <w:uiPriority w:val="0"/>
    <w:rPr>
      <w:sz w:val="24"/>
      <w:szCs w:val="24"/>
    </w:rPr>
  </w:style>
  <w:style w:type="paragraph" w:styleId="43">
    <w:name w:val="Title"/>
    <w:basedOn w:val="1"/>
    <w:qFormat/>
    <w:uiPriority w:val="0"/>
    <w:pPr>
      <w:numPr>
        <w:ilvl w:val="0"/>
        <w:numId w:val="1"/>
      </w:numPr>
      <w:spacing w:before="240" w:beforeAutospacing="0" w:after="60" w:afterAutospacing="0"/>
      <w:jc w:val="left"/>
      <w:outlineLvl w:val="0"/>
    </w:pPr>
    <w:rPr>
      <w:rFonts w:ascii="Cambria" w:hAnsi="Cambria"/>
      <w:b/>
      <w:bCs/>
      <w:sz w:val="32"/>
      <w:szCs w:val="32"/>
    </w:rPr>
  </w:style>
  <w:style w:type="paragraph" w:styleId="44">
    <w:name w:val="annotation subject"/>
    <w:basedOn w:val="17"/>
    <w:next w:val="17"/>
    <w:link w:val="206"/>
    <w:qFormat/>
    <w:uiPriority w:val="0"/>
    <w:rPr>
      <w:b/>
      <w:bCs/>
    </w:rPr>
  </w:style>
  <w:style w:type="paragraph" w:styleId="45">
    <w:name w:val="Body Text First Indent"/>
    <w:basedOn w:val="1"/>
    <w:link w:val="207"/>
    <w:qFormat/>
    <w:uiPriority w:val="0"/>
    <w:pPr>
      <w:ind w:firstLine="420" w:firstLineChars="100"/>
      <w:jc w:val="left"/>
    </w:pPr>
  </w:style>
  <w:style w:type="paragraph" w:styleId="46">
    <w:name w:val="Body Text First Indent 2"/>
    <w:basedOn w:val="20"/>
    <w:link w:val="208"/>
    <w:qFormat/>
    <w:uiPriority w:val="0"/>
    <w:pPr>
      <w:spacing w:beforeAutospacing="0" w:after="120" w:afterAutospacing="0" w:line="240" w:lineRule="auto"/>
      <w:ind w:left="420" w:leftChars="200" w:firstLine="420" w:firstLineChars="200"/>
      <w:jc w:val="left"/>
    </w:pPr>
    <w:rPr>
      <w:rFonts w:ascii="Times New Roman"/>
      <w:b/>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rFonts w:eastAsia="黑体"/>
      <w:b/>
      <w:bCs/>
      <w:sz w:val="44"/>
      <w:szCs w:val="44"/>
    </w:rPr>
  </w:style>
  <w:style w:type="character" w:styleId="51">
    <w:name w:val="page number"/>
    <w:basedOn w:val="49"/>
    <w:qFormat/>
    <w:uiPriority w:val="0"/>
    <w:rPr>
      <w:rFonts w:eastAsia="宋体"/>
      <w:sz w:val="18"/>
    </w:rPr>
  </w:style>
  <w:style w:type="character" w:styleId="52">
    <w:name w:val="FollowedHyperlink"/>
    <w:qFormat/>
    <w:uiPriority w:val="0"/>
    <w:rPr>
      <w:color w:val="800080"/>
      <w:u w:val="single"/>
    </w:rPr>
  </w:style>
  <w:style w:type="character" w:styleId="53">
    <w:name w:val="Emphasis"/>
    <w:qFormat/>
    <w:uiPriority w:val="0"/>
  </w:style>
  <w:style w:type="character" w:styleId="54">
    <w:name w:val="Hyperlink"/>
    <w:basedOn w:val="49"/>
    <w:qFormat/>
    <w:uiPriority w:val="0"/>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正文正"/>
    <w:basedOn w:val="58"/>
    <w:qFormat/>
    <w:uiPriority w:val="0"/>
    <w:pPr>
      <w:spacing w:beforeAutospacing="0" w:afterAutospacing="0" w:line="560" w:lineRule="exact"/>
      <w:ind w:firstLine="561"/>
    </w:pPr>
    <w:rPr>
      <w:rFonts w:eastAsia="仿宋_GB2312"/>
      <w:sz w:val="28"/>
    </w:rPr>
  </w:style>
  <w:style w:type="paragraph" w:customStyle="1" w:styleId="58">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59">
    <w:name w:val="正文文本 New"/>
    <w:basedOn w:val="60"/>
    <w:qFormat/>
    <w:uiPriority w:val="0"/>
    <w:pPr>
      <w:spacing w:beforeAutospacing="0" w:after="120" w:afterAutospacing="0" w:line="360" w:lineRule="auto"/>
    </w:pPr>
    <w:rPr>
      <w:rFonts w:ascii="宋体" w:hAnsi="Calibri"/>
      <w:szCs w:val="22"/>
    </w:rPr>
  </w:style>
  <w:style w:type="paragraph" w:customStyle="1" w:styleId="60">
    <w:name w:val="正文 New New New New"/>
    <w:qFormat/>
    <w:uiPriority w:val="0"/>
    <w:pPr>
      <w:widowControl w:val="0"/>
      <w:jc w:val="both"/>
    </w:pPr>
    <w:rPr>
      <w:rFonts w:ascii="Calibri" w:hAnsi="Calibri" w:eastAsia="宋体" w:cs="Times New Roman"/>
      <w:sz w:val="21"/>
      <w:szCs w:val="22"/>
      <w:lang w:val="en-US" w:eastAsia="zh-CN" w:bidi="ar-SA"/>
    </w:rPr>
  </w:style>
  <w:style w:type="paragraph" w:customStyle="1" w:styleId="61">
    <w:name w:val="样式 宋体 行距: 1.5 倍行距"/>
    <w:basedOn w:val="1"/>
    <w:qFormat/>
    <w:uiPriority w:val="0"/>
    <w:pPr>
      <w:jc w:val="center"/>
    </w:pPr>
    <w:rPr>
      <w:b/>
    </w:rPr>
  </w:style>
  <w:style w:type="paragraph" w:customStyle="1" w:styleId="62">
    <w:name w:val="正文缩进1"/>
    <w:basedOn w:val="63"/>
    <w:next w:val="1"/>
    <w:qFormat/>
    <w:uiPriority w:val="0"/>
    <w:pPr>
      <w:ind w:firstLine="420"/>
      <w:jc w:val="left"/>
    </w:pPr>
    <w:rPr>
      <w:kern w:val="0"/>
    </w:rPr>
  </w:style>
  <w:style w:type="paragraph" w:customStyle="1" w:styleId="63">
    <w:name w:val="正文 New"/>
    <w:next w:val="64"/>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Normal Indent1"/>
    <w:basedOn w:val="1"/>
    <w:next w:val="1"/>
    <w:qFormat/>
    <w:uiPriority w:val="0"/>
    <w:pPr>
      <w:ind w:firstLine="420"/>
      <w:jc w:val="left"/>
    </w:pPr>
    <w:rPr>
      <w:kern w:val="0"/>
    </w:rPr>
  </w:style>
  <w:style w:type="paragraph" w:customStyle="1" w:styleId="66">
    <w:name w:val="页脚2"/>
    <w:basedOn w:val="1"/>
    <w:link w:val="209"/>
    <w:qFormat/>
    <w:uiPriority w:val="0"/>
    <w:pPr>
      <w:pBdr>
        <w:top w:val="single" w:color="auto" w:sz="6" w:space="0"/>
      </w:pBdr>
      <w:jc w:val="right"/>
      <w:textAlignment w:val="center"/>
    </w:pPr>
    <w:rPr>
      <w:rFonts w:ascii="宋体" w:hAnsi="宋体"/>
      <w:sz w:val="18"/>
      <w:szCs w:val="18"/>
    </w:rPr>
  </w:style>
  <w:style w:type="paragraph" w:customStyle="1" w:styleId="67">
    <w:name w:val="Char Char Char"/>
    <w:basedOn w:val="1"/>
    <w:link w:val="211"/>
    <w:qFormat/>
    <w:uiPriority w:val="0"/>
    <w:rPr>
      <w:rFonts w:ascii="Tahoma" w:hAnsi="Tahoma"/>
      <w:sz w:val="24"/>
    </w:rPr>
  </w:style>
  <w:style w:type="paragraph" w:customStyle="1" w:styleId="68">
    <w:name w:val="Char Char Char New"/>
    <w:basedOn w:val="1"/>
    <w:link w:val="218"/>
    <w:qFormat/>
    <w:uiPriority w:val="0"/>
    <w:rPr>
      <w:rFonts w:ascii="等线" w:hAnsi="等线" w:cs="等线"/>
      <w:sz w:val="24"/>
      <w:szCs w:val="24"/>
    </w:rPr>
  </w:style>
  <w:style w:type="paragraph" w:customStyle="1" w:styleId="69">
    <w:name w:val="Char Char Char New New New"/>
    <w:basedOn w:val="1"/>
    <w:link w:val="222"/>
    <w:qFormat/>
    <w:uiPriority w:val="0"/>
    <w:rPr>
      <w:rFonts w:ascii="等线" w:hAnsi="等线" w:cs="等线"/>
      <w:sz w:val="24"/>
      <w:szCs w:val="24"/>
    </w:rPr>
  </w:style>
  <w:style w:type="paragraph" w:customStyle="1" w:styleId="70">
    <w:name w:val="Char Char Char New New"/>
    <w:basedOn w:val="1"/>
    <w:link w:val="223"/>
    <w:qFormat/>
    <w:uiPriority w:val="0"/>
    <w:rPr>
      <w:rFonts w:ascii="等线" w:hAnsi="等线" w:cs="等线"/>
      <w:sz w:val="24"/>
      <w:szCs w:val="24"/>
    </w:rPr>
  </w:style>
  <w:style w:type="paragraph" w:customStyle="1" w:styleId="71">
    <w:name w:val="本文正文 Char1 Char Char Char Char Char Char Char Char Char Char Char Char Char Char Char Char Char Char Char Char Char Char Char Char"/>
    <w:basedOn w:val="1"/>
    <w:link w:val="224"/>
    <w:qFormat/>
    <w:uiPriority w:val="0"/>
    <w:pPr>
      <w:spacing w:beforeAutospacing="0" w:afterAutospacing="0" w:line="480" w:lineRule="exact"/>
      <w:ind w:firstLine="200" w:firstLineChars="200"/>
      <w:jc w:val="left"/>
    </w:pPr>
    <w:rPr>
      <w:rFonts w:ascii="宋体" w:hAnsi="宋体"/>
      <w:kern w:val="0"/>
      <w:sz w:val="24"/>
    </w:rPr>
  </w:style>
  <w:style w:type="paragraph" w:customStyle="1" w:styleId="7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b/>
      <w:kern w:val="0"/>
      <w:sz w:val="18"/>
    </w:rPr>
  </w:style>
  <w:style w:type="paragraph" w:customStyle="1" w:styleId="73">
    <w:name w:val="xl22"/>
    <w:basedOn w:val="1"/>
    <w:qFormat/>
    <w:uiPriority w:val="0"/>
    <w:pP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4">
    <w:name w:val="表"/>
    <w:basedOn w:val="1"/>
    <w:qFormat/>
    <w:uiPriority w:val="0"/>
    <w:pPr>
      <w:jc w:val="center"/>
    </w:pPr>
    <w:rPr>
      <w:rFonts w:ascii="宋体" w:hAnsi="宋体"/>
    </w:rPr>
  </w:style>
  <w:style w:type="paragraph" w:customStyle="1" w:styleId="75">
    <w:name w:val="xl24"/>
    <w:basedOn w:val="1"/>
    <w:qFormat/>
    <w:uiPriority w:val="0"/>
    <w:pPr>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6">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77">
    <w:name w:val="text"/>
    <w:basedOn w:val="1"/>
    <w:qFormat/>
    <w:uiPriority w:val="0"/>
    <w:pPr>
      <w:spacing w:before="100" w:beforeAutospacing="1" w:after="100" w:afterAutospacing="1" w:line="347" w:lineRule="atLeast"/>
      <w:jc w:val="left"/>
    </w:pPr>
    <w:rPr>
      <w:rFonts w:ascii="Arial Unicode MS" w:hAnsi="Arial Unicode MS" w:eastAsia="Arial Unicode MS" w:cs="Arial Unicode MS"/>
      <w:color w:val="000000"/>
      <w:kern w:val="0"/>
      <w:szCs w:val="21"/>
    </w:rPr>
  </w:style>
  <w:style w:type="paragraph" w:customStyle="1" w:styleId="78">
    <w:name w:val="正文3"/>
    <w:basedOn w:val="1"/>
    <w:qFormat/>
    <w:uiPriority w:val="0"/>
    <w:pPr>
      <w:spacing w:before="60" w:beforeAutospacing="0" w:after="60" w:afterAutospacing="0" w:line="360" w:lineRule="auto"/>
      <w:outlineLvl w:val="8"/>
    </w:pPr>
    <w:rPr>
      <w:sz w:val="24"/>
      <w:szCs w:val="21"/>
    </w:rPr>
  </w:style>
  <w:style w:type="paragraph" w:customStyle="1" w:styleId="79">
    <w:name w:val="tb-public-price1"/>
    <w:basedOn w:val="1"/>
    <w:qFormat/>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jc w:val="left"/>
    </w:pPr>
    <w:rPr>
      <w:rFonts w:ascii="宋体" w:hAnsi="宋体" w:cs="宋体"/>
      <w:kern w:val="0"/>
      <w:sz w:val="24"/>
      <w:szCs w:val="24"/>
    </w:rPr>
  </w:style>
  <w:style w:type="paragraph" w:customStyle="1" w:styleId="80">
    <w:name w:val="列出段落11"/>
    <w:basedOn w:val="1"/>
    <w:qFormat/>
    <w:uiPriority w:val="0"/>
    <w:pPr>
      <w:ind w:firstLine="420" w:firstLineChars="200"/>
    </w:pPr>
  </w:style>
  <w:style w:type="paragraph" w:customStyle="1" w:styleId="81">
    <w:name w:val="font8"/>
    <w:basedOn w:val="1"/>
    <w:qFormat/>
    <w:uiPriority w:val="0"/>
    <w:pPr>
      <w:spacing w:before="100" w:beforeAutospacing="1" w:after="100" w:afterAutospacing="1"/>
      <w:jc w:val="left"/>
    </w:pPr>
    <w:rPr>
      <w:rFonts w:ascii="Arial" w:hAnsi="Arial"/>
      <w:kern w:val="0"/>
      <w:sz w:val="18"/>
    </w:rPr>
  </w:style>
  <w:style w:type="paragraph" w:customStyle="1" w:styleId="82">
    <w:name w:val="题注4"/>
    <w:basedOn w:val="1"/>
    <w:qFormat/>
    <w:uiPriority w:val="0"/>
    <w:pPr>
      <w:ind w:left="-132" w:leftChars="-64" w:right="-105" w:rightChars="-50" w:hanging="2"/>
      <w:jc w:val="center"/>
    </w:pPr>
    <w:rPr>
      <w:b/>
      <w:color w:val="FF0000"/>
      <w:szCs w:val="21"/>
    </w:rPr>
  </w:style>
  <w:style w:type="paragraph" w:customStyle="1" w:styleId="83">
    <w:name w:val="正文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4">
    <w:name w:val="font9"/>
    <w:basedOn w:val="1"/>
    <w:qFormat/>
    <w:uiPriority w:val="0"/>
    <w:pPr>
      <w:spacing w:before="100" w:beforeAutospacing="1" w:after="100" w:afterAutospacing="1"/>
      <w:jc w:val="left"/>
    </w:pPr>
    <w:rPr>
      <w:rFonts w:ascii="Arial" w:hAnsi="Arial"/>
      <w:kern w:val="0"/>
      <w:sz w:val="18"/>
    </w:rPr>
  </w:style>
  <w:style w:type="paragraph" w:customStyle="1" w:styleId="85">
    <w:name w:val="正文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6">
    <w:name w:val="列出段落3"/>
    <w:basedOn w:val="1"/>
    <w:qFormat/>
    <w:uiPriority w:val="0"/>
    <w:pPr>
      <w:ind w:firstLine="420" w:firstLineChars="200"/>
      <w:jc w:val="left"/>
    </w:pPr>
    <w:rPr>
      <w:rFonts w:ascii="Calibri" w:hAnsi="Calibri"/>
      <w:kern w:val="0"/>
      <w:szCs w:val="22"/>
    </w:rPr>
  </w:style>
  <w:style w:type="paragraph" w:customStyle="1" w:styleId="87">
    <w:name w:val="正文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8">
    <w:name w:val="List Paragraph"/>
    <w:basedOn w:val="1"/>
    <w:qFormat/>
    <w:uiPriority w:val="0"/>
    <w:pPr>
      <w:ind w:firstLine="420" w:firstLineChars="200"/>
    </w:pPr>
  </w:style>
  <w:style w:type="paragraph" w:customStyle="1" w:styleId="89">
    <w:name w:val="Char Char Char Char Char Char1 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90">
    <w:name w:val="正文2"/>
    <w:basedOn w:val="1"/>
    <w:qFormat/>
    <w:uiPriority w:val="0"/>
    <w:pPr>
      <w:spacing w:before="60" w:beforeAutospacing="0" w:after="60" w:afterAutospacing="0" w:line="360" w:lineRule="auto"/>
      <w:outlineLvl w:val="7"/>
    </w:pPr>
    <w:rPr>
      <w:sz w:val="24"/>
      <w:szCs w:val="24"/>
    </w:rPr>
  </w:style>
  <w:style w:type="paragraph" w:customStyle="1" w:styleId="9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2">
    <w:name w:val="Char Char Char1"/>
    <w:basedOn w:val="1"/>
    <w:qFormat/>
    <w:uiPriority w:val="0"/>
    <w:rPr>
      <w:rFonts w:ascii="宋体" w:hAnsi="宋体"/>
      <w:b/>
      <w:sz w:val="28"/>
      <w:szCs w:val="28"/>
    </w:rPr>
  </w:style>
  <w:style w:type="paragraph" w:customStyle="1" w:styleId="93">
    <w:name w:val="第二级"/>
    <w:qFormat/>
    <w:uiPriority w:val="0"/>
    <w:pPr>
      <w:widowControl w:val="0"/>
      <w:spacing w:before="260" w:beforeAutospacing="0" w:after="260" w:afterAutospacing="0" w:line="416" w:lineRule="auto"/>
      <w:jc w:val="both"/>
      <w:outlineLvl w:val="1"/>
    </w:pPr>
    <w:rPr>
      <w:rFonts w:ascii="Cambria" w:hAnsi="Cambria" w:eastAsia="Cambria" w:cs="Cambria"/>
      <w:b/>
      <w:bCs/>
      <w:color w:val="000000"/>
      <w:kern w:val="2"/>
      <w:sz w:val="32"/>
      <w:szCs w:val="32"/>
      <w:lang w:val="en-US" w:eastAsia="zh-CN" w:bidi="ar-SA"/>
    </w:rPr>
  </w:style>
  <w:style w:type="paragraph" w:customStyle="1" w:styleId="94">
    <w:name w:val="投标文件3"/>
    <w:basedOn w:val="1"/>
    <w:qFormat/>
    <w:uiPriority w:val="0"/>
    <w:pPr>
      <w:spacing w:beforeAutospacing="0" w:afterAutospacing="0" w:line="360" w:lineRule="auto"/>
    </w:pPr>
    <w:rPr>
      <w:rFonts w:ascii="宋体" w:hAnsi="Courier New" w:eastAsia="黑体"/>
      <w:b/>
      <w:sz w:val="30"/>
    </w:rPr>
  </w:style>
  <w:style w:type="paragraph" w:customStyle="1" w:styleId="95">
    <w:name w:val="List Paragraph1"/>
    <w:basedOn w:val="1"/>
    <w:qFormat/>
    <w:uiPriority w:val="0"/>
    <w:pPr>
      <w:ind w:firstLine="420" w:firstLineChars="200"/>
    </w:pPr>
  </w:style>
  <w:style w:type="paragraph" w:customStyle="1" w:styleId="96">
    <w:name w:val="Char1 Char Char Char"/>
    <w:basedOn w:val="1"/>
    <w:qFormat/>
    <w:uiPriority w:val="0"/>
    <w:pPr>
      <w:ind w:left="420" w:hanging="420"/>
    </w:pPr>
    <w:rPr>
      <w:sz w:val="24"/>
      <w:szCs w:val="24"/>
    </w:rPr>
  </w:style>
  <w:style w:type="paragraph" w:customStyle="1" w:styleId="9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8">
    <w:name w:val="Char Char Char Char Char Char Char Char Char Char Char Char Char Char Char Char Char"/>
    <w:basedOn w:val="1"/>
    <w:qFormat/>
    <w:uiPriority w:val="0"/>
    <w:pPr>
      <w:spacing w:beforeAutospacing="0" w:after="160" w:afterAutospacing="0" w:line="240" w:lineRule="exact"/>
      <w:jc w:val="left"/>
    </w:pPr>
    <w:rPr>
      <w:rFonts w:ascii="Verdana" w:hAnsi="Verdana" w:eastAsia="仿宋_GB2312"/>
      <w:kern w:val="0"/>
      <w:sz w:val="24"/>
      <w:lang w:eastAsia="en-US"/>
    </w:rPr>
  </w:style>
  <w:style w:type="paragraph" w:customStyle="1" w:styleId="9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缩进_0"/>
    <w:basedOn w:val="101"/>
    <w:qFormat/>
    <w:uiPriority w:val="0"/>
    <w:pPr>
      <w:ind w:firstLine="420"/>
    </w:pPr>
    <w:rPr>
      <w:rFonts w:ascii="Times New Roman" w:hAnsi="Times New Roman"/>
      <w:kern w:val="0"/>
      <w:sz w:val="20"/>
      <w:szCs w:val="20"/>
    </w:rPr>
  </w:style>
  <w:style w:type="paragraph" w:customStyle="1" w:styleId="1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p0"/>
    <w:basedOn w:val="1"/>
    <w:qFormat/>
    <w:uiPriority w:val="0"/>
    <w:rPr>
      <w:kern w:val="0"/>
      <w:szCs w:val="21"/>
    </w:rPr>
  </w:style>
  <w:style w:type="paragraph" w:customStyle="1" w:styleId="103">
    <w:name w:val="列出段落2"/>
    <w:basedOn w:val="1"/>
    <w:qFormat/>
    <w:uiPriority w:val="0"/>
    <w:pPr>
      <w:ind w:firstLine="420" w:firstLineChars="200"/>
    </w:pPr>
    <w:rPr>
      <w:rFonts w:ascii="Calibri" w:hAnsi="Calibri"/>
      <w:szCs w:val="22"/>
    </w:rPr>
  </w:style>
  <w:style w:type="paragraph" w:customStyle="1" w:styleId="104">
    <w:name w:val="元正正文标题2"/>
    <w:basedOn w:val="2"/>
    <w:qFormat/>
    <w:uiPriority w:val="0"/>
    <w:pPr>
      <w:tabs>
        <w:tab w:val="left" w:pos="1116"/>
        <w:tab w:val="left" w:pos="2159"/>
      </w:tabs>
      <w:adjustRightInd w:val="0"/>
      <w:snapToGrid w:val="0"/>
      <w:spacing w:before="0" w:beforeAutospacing="0" w:after="0" w:afterAutospacing="0" w:line="300" w:lineRule="auto"/>
      <w:jc w:val="center"/>
      <w:outlineLvl w:val="9"/>
    </w:pPr>
    <w:rPr>
      <w:rFonts w:cs="宋体"/>
      <w:bCs/>
      <w:sz w:val="30"/>
      <w:szCs w:val="30"/>
    </w:rPr>
  </w:style>
  <w:style w:type="paragraph" w:customStyle="1" w:styleId="105">
    <w:name w:val="xl38"/>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11"/>
    <w:basedOn w:val="1"/>
    <w:qFormat/>
    <w:uiPriority w:val="0"/>
    <w:pPr>
      <w:spacing w:beforeAutospacing="0" w:after="160" w:afterAutospacing="0" w:line="240" w:lineRule="exact"/>
      <w:jc w:val="left"/>
    </w:pPr>
  </w:style>
  <w:style w:type="paragraph" w:customStyle="1" w:styleId="107">
    <w:name w:val="索引 11"/>
    <w:basedOn w:val="1"/>
    <w:qFormat/>
    <w:uiPriority w:val="0"/>
    <w:rPr>
      <w:rFonts w:ascii="宋体" w:hAnsi="宋体"/>
      <w:sz w:val="24"/>
      <w:szCs w:val="24"/>
    </w:rPr>
  </w:style>
  <w:style w:type="paragraph" w:customStyle="1" w:styleId="108">
    <w:name w:val="Char Char Char Char Char Char Char Char Char Char"/>
    <w:basedOn w:val="1"/>
    <w:qFormat/>
    <w:uiPriority w:val="0"/>
    <w:rPr>
      <w:rFonts w:ascii="Tahoma" w:hAnsi="Tahoma"/>
      <w:sz w:val="24"/>
    </w:rPr>
  </w:style>
  <w:style w:type="paragraph" w:customStyle="1" w:styleId="109">
    <w:name w:val="正文缩进111"/>
    <w:basedOn w:val="1"/>
    <w:qFormat/>
    <w:uiPriority w:val="0"/>
    <w:pPr>
      <w:ind w:firstLine="420"/>
      <w:jc w:val="left"/>
    </w:pPr>
    <w:rPr>
      <w:kern w:val="0"/>
    </w:rPr>
  </w:style>
  <w:style w:type="paragraph" w:customStyle="1" w:styleId="1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1">
    <w:name w:val="默认段落字体 Para Char Char Char Char1 Char Char Char"/>
    <w:basedOn w:val="1"/>
    <w:qFormat/>
    <w:uiPriority w:val="0"/>
    <w:rPr>
      <w:szCs w:val="24"/>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113">
    <w:name w:val="章标题"/>
    <w:qFormat/>
    <w:uiPriority w:val="0"/>
    <w:pPr>
      <w:spacing w:before="50" w:beforeAutospacing="0" w:after="50" w:afterAutospacing="0" w:line="360" w:lineRule="auto"/>
      <w:jc w:val="both"/>
      <w:outlineLvl w:val="1"/>
    </w:pPr>
    <w:rPr>
      <w:rFonts w:ascii="黑体" w:hAnsi="Times New Roman" w:eastAsia="黑体" w:cs="Times New Roman"/>
      <w:sz w:val="21"/>
      <w:lang w:val="en-US" w:eastAsia="zh-CN" w:bidi="ar-SA"/>
    </w:rPr>
  </w:style>
  <w:style w:type="paragraph" w:customStyle="1" w:styleId="114">
    <w:name w:val="图"/>
    <w:basedOn w:val="1"/>
    <w:qFormat/>
    <w:uiPriority w:val="0"/>
    <w:pPr>
      <w:adjustRightInd w:val="0"/>
      <w:spacing w:before="60" w:beforeAutospacing="0" w:after="60" w:afterAutospacing="0" w:line="300" w:lineRule="auto"/>
      <w:jc w:val="center"/>
      <w:textAlignment w:val="center"/>
    </w:pPr>
    <w:rPr>
      <w:snapToGrid w:val="0"/>
      <w:spacing w:val="20"/>
      <w:kern w:val="0"/>
      <w:sz w:val="24"/>
    </w:rPr>
  </w:style>
  <w:style w:type="paragraph" w:customStyle="1" w:styleId="115">
    <w:name w:val="font5"/>
    <w:basedOn w:val="1"/>
    <w:qFormat/>
    <w:uiPriority w:val="0"/>
    <w:pPr>
      <w:spacing w:before="100" w:beforeAutospacing="1" w:after="100" w:afterAutospacing="1"/>
      <w:jc w:val="left"/>
    </w:pPr>
    <w:rPr>
      <w:rFonts w:ascii="宋体" w:hAnsi="宋体"/>
      <w:kern w:val="0"/>
      <w:sz w:val="18"/>
    </w:rPr>
  </w:style>
  <w:style w:type="paragraph" w:customStyle="1" w:styleId="11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8">
    <w:name w:val="普通(网站)1"/>
    <w:basedOn w:val="1"/>
    <w:qFormat/>
    <w:uiPriority w:val="0"/>
    <w:pPr>
      <w:jc w:val="left"/>
    </w:pPr>
    <w:rPr>
      <w:rFonts w:ascii="Calibri" w:hAnsi="Calibri" w:cs="Calibri"/>
      <w:kern w:val="0"/>
      <w:sz w:val="24"/>
      <w:szCs w:val="24"/>
    </w:rPr>
  </w:style>
  <w:style w:type="paragraph" w:customStyle="1" w:styleId="119">
    <w:name w:val="索引标题1"/>
    <w:basedOn w:val="1"/>
    <w:qFormat/>
    <w:uiPriority w:val="0"/>
  </w:style>
  <w:style w:type="paragraph" w:customStyle="1" w:styleId="120">
    <w:name w:val="修订1"/>
    <w:qFormat/>
    <w:uiPriority w:val="0"/>
    <w:rPr>
      <w:rFonts w:ascii="Times New Roman" w:hAnsi="Times New Roman" w:eastAsia="宋体" w:cs="Times New Roman"/>
      <w:kern w:val="2"/>
      <w:sz w:val="21"/>
      <w:lang w:val="en-US" w:eastAsia="zh-CN" w:bidi="ar-SA"/>
    </w:rPr>
  </w:style>
  <w:style w:type="paragraph" w:customStyle="1" w:styleId="121">
    <w:name w:val="纯文本1"/>
    <w:basedOn w:val="1"/>
    <w:qFormat/>
    <w:uiPriority w:val="0"/>
    <w:rPr>
      <w:rFonts w:ascii="宋体" w:hAnsi="Courier New" w:cs="宋体"/>
      <w:szCs w:val="21"/>
    </w:rPr>
  </w:style>
  <w:style w:type="paragraph" w:customStyle="1" w:styleId="122">
    <w:name w:val="HZY01级标题"/>
    <w:qFormat/>
    <w:uiPriority w:val="0"/>
    <w:pPr>
      <w:numPr>
        <w:ilvl w:val="0"/>
        <w:numId w:val="2"/>
      </w:numPr>
      <w:spacing w:before="200" w:beforeAutospacing="0" w:after="60" w:afterAutospacing="0" w:line="360" w:lineRule="auto"/>
      <w:outlineLvl w:val="0"/>
    </w:pPr>
    <w:rPr>
      <w:rFonts w:ascii="Times New Roman" w:hAnsi="Times New Roman" w:eastAsia="宋体" w:cs="Times New Roman"/>
      <w:b/>
      <w:sz w:val="32"/>
      <w:szCs w:val="21"/>
      <w:lang w:val="en-US" w:eastAsia="en-US" w:bidi="en-US"/>
    </w:rPr>
  </w:style>
  <w:style w:type="paragraph" w:customStyle="1" w:styleId="123">
    <w:name w:val="HZY正文"/>
    <w:qFormat/>
    <w:uiPriority w:val="0"/>
    <w:pPr>
      <w:widowControl w:val="0"/>
      <w:spacing w:beforeAutospacing="0" w:after="200" w:afterAutospacing="0" w:line="360" w:lineRule="auto"/>
      <w:ind w:firstLine="200" w:firstLineChars="200"/>
    </w:pPr>
    <w:rPr>
      <w:rFonts w:ascii="Times New Roman" w:hAnsi="Times New Roman" w:eastAsia="宋体" w:cs="Times New Roman"/>
      <w:sz w:val="24"/>
      <w:szCs w:val="21"/>
      <w:lang w:val="en-US" w:eastAsia="en-US" w:bidi="en-US"/>
    </w:rPr>
  </w:style>
  <w:style w:type="paragraph" w:customStyle="1" w:styleId="124">
    <w:name w:val="D文1"/>
    <w:basedOn w:val="1"/>
    <w:qFormat/>
    <w:uiPriority w:val="0"/>
    <w:pPr>
      <w:tabs>
        <w:tab w:val="left" w:pos="720"/>
      </w:tabs>
      <w:autoSpaceDE w:val="0"/>
      <w:autoSpaceDN w:val="0"/>
      <w:adjustRightInd w:val="0"/>
      <w:spacing w:beforeAutospacing="0" w:after="120" w:afterAutospacing="0" w:line="480" w:lineRule="atLeast"/>
      <w:ind w:left="680" w:firstLine="510"/>
    </w:pPr>
    <w:rPr>
      <w:rFonts w:ascii="宋体"/>
      <w:kern w:val="0"/>
      <w:sz w:val="24"/>
    </w:rPr>
  </w:style>
  <w:style w:type="paragraph" w:customStyle="1" w:styleId="125">
    <w:name w:val="font7"/>
    <w:basedOn w:val="1"/>
    <w:qFormat/>
    <w:uiPriority w:val="0"/>
    <w:pPr>
      <w:spacing w:before="100" w:beforeAutospacing="1" w:after="100" w:afterAutospacing="1"/>
      <w:jc w:val="left"/>
    </w:pPr>
    <w:rPr>
      <w:rFonts w:ascii="Arial" w:hAnsi="Arial"/>
      <w:b/>
      <w:kern w:val="0"/>
      <w:sz w:val="22"/>
    </w:rPr>
  </w:style>
  <w:style w:type="paragraph" w:customStyle="1" w:styleId="126">
    <w:name w:val="列表段落1"/>
    <w:basedOn w:val="1"/>
    <w:qFormat/>
    <w:uiPriority w:val="34"/>
    <w:pPr>
      <w:ind w:firstLine="420" w:firstLineChars="200"/>
    </w:pPr>
  </w:style>
  <w:style w:type="paragraph" w:customStyle="1" w:styleId="127">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attention naked"/>
    <w:basedOn w:val="1"/>
    <w:qFormat/>
    <w:uiPriority w:val="0"/>
    <w:pPr>
      <w:spacing w:before="100" w:beforeAutospacing="1" w:after="100" w:afterAutospacing="1"/>
      <w:jc w:val="left"/>
    </w:pPr>
    <w:rPr>
      <w:rFonts w:ascii="宋体" w:hAnsi="宋体" w:cs="宋体"/>
      <w:kern w:val="0"/>
      <w:sz w:val="24"/>
      <w:szCs w:val="24"/>
    </w:rPr>
  </w:style>
  <w:style w:type="paragraph" w:customStyle="1" w:styleId="130">
    <w:name w:val="Char1"/>
    <w:basedOn w:val="1"/>
    <w:qFormat/>
    <w:uiPriority w:val="0"/>
    <w:pPr>
      <w:spacing w:beforeAutospacing="0" w:after="160" w:afterAutospacing="0" w:line="240" w:lineRule="exact"/>
      <w:jc w:val="left"/>
    </w:pPr>
    <w:rPr>
      <w:rFonts w:ascii="Verdana" w:hAnsi="Verdana"/>
      <w:kern w:val="0"/>
      <w:lang w:eastAsia="en-US"/>
    </w:rPr>
  </w:style>
  <w:style w:type="paragraph" w:customStyle="1" w:styleId="131">
    <w:name w:val="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18"/>
    </w:rPr>
  </w:style>
  <w:style w:type="paragraph" w:customStyle="1" w:styleId="13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font6"/>
    <w:basedOn w:val="1"/>
    <w:qFormat/>
    <w:uiPriority w:val="0"/>
    <w:pPr>
      <w:spacing w:before="100" w:beforeAutospacing="1" w:after="100" w:afterAutospacing="1"/>
      <w:jc w:val="left"/>
    </w:pPr>
    <w:rPr>
      <w:rFonts w:ascii="宋体" w:hAnsi="宋体"/>
      <w:b/>
      <w:kern w:val="0"/>
      <w:sz w:val="22"/>
    </w:rPr>
  </w:style>
  <w:style w:type="paragraph" w:customStyle="1" w:styleId="138">
    <w:name w:val="正文缩进2"/>
    <w:basedOn w:val="1"/>
    <w:qFormat/>
    <w:uiPriority w:val="0"/>
    <w:pPr>
      <w:spacing w:beforeAutospacing="0" w:afterAutospacing="0" w:line="360" w:lineRule="auto"/>
      <w:ind w:firstLine="420"/>
      <w:jc w:val="left"/>
    </w:pPr>
    <w:rPr>
      <w:spacing w:val="-2"/>
      <w:szCs w:val="24"/>
    </w:rPr>
  </w:style>
  <w:style w:type="paragraph" w:customStyle="1" w:styleId="139">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0">
    <w:name w:val="列出段落1"/>
    <w:basedOn w:val="1"/>
    <w:qFormat/>
    <w:uiPriority w:val="0"/>
    <w:pPr>
      <w:autoSpaceDE w:val="0"/>
      <w:autoSpaceDN w:val="0"/>
      <w:adjustRightInd w:val="0"/>
      <w:ind w:firstLine="420" w:firstLineChars="200"/>
    </w:pPr>
    <w:rPr>
      <w:kern w:val="0"/>
      <w:sz w:val="20"/>
    </w:rPr>
  </w:style>
  <w:style w:type="paragraph" w:customStyle="1" w:styleId="141">
    <w:name w:val="列出段落4"/>
    <w:basedOn w:val="1"/>
    <w:qFormat/>
    <w:uiPriority w:val="0"/>
    <w:pPr>
      <w:ind w:firstLine="420" w:firstLineChars="200"/>
    </w:pPr>
  </w:style>
  <w:style w:type="paragraph" w:customStyle="1" w:styleId="142">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43">
    <w:name w:val="xl29"/>
    <w:basedOn w:val="1"/>
    <w:qFormat/>
    <w:uiPriority w:val="0"/>
    <w:pPr>
      <w:spacing w:before="100" w:beforeAutospacing="0" w:after="100" w:afterAutospacing="0"/>
      <w:jc w:val="center"/>
    </w:pPr>
    <w:rPr>
      <w:rFonts w:ascii="宋体" w:hAnsi="宋体"/>
      <w:kern w:val="0"/>
      <w:sz w:val="28"/>
    </w:rPr>
  </w:style>
  <w:style w:type="paragraph" w:customStyle="1" w:styleId="14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5">
    <w:name w:val="Char Char2 Char"/>
    <w:basedOn w:val="1"/>
    <w:qFormat/>
    <w:uiPriority w:val="0"/>
    <w:rPr>
      <w:rFonts w:ascii="宋体" w:hAnsi="宋体"/>
      <w:b/>
      <w:sz w:val="28"/>
      <w:szCs w:val="28"/>
    </w:rPr>
  </w:style>
  <w:style w:type="paragraph" w:customStyle="1" w:styleId="146">
    <w:name w:val="样式 标题 3H3l3CTh33rd levelLevel 3 HeadHeading 3 - oldISO2..."/>
    <w:basedOn w:val="5"/>
    <w:qFormat/>
    <w:uiPriority w:val="0"/>
    <w:pPr>
      <w:adjustRightInd/>
      <w:spacing w:before="0" w:beforeAutospacing="0" w:after="0" w:afterAutospacing="0"/>
      <w:ind w:left="737" w:hanging="539"/>
      <w:textAlignment w:val="auto"/>
    </w:pPr>
    <w:rPr>
      <w:sz w:val="24"/>
    </w:rPr>
  </w:style>
  <w:style w:type="paragraph" w:customStyle="1" w:styleId="147">
    <w:name w:val="Char1 Char Char Char Char Char Char Char Char Char"/>
    <w:basedOn w:val="1"/>
    <w:qFormat/>
    <w:uiPriority w:val="0"/>
    <w:pPr>
      <w:spacing w:beforeAutospacing="0" w:afterAutospacing="0" w:line="400" w:lineRule="exact"/>
      <w:jc w:val="center"/>
    </w:pPr>
    <w:rPr>
      <w:rFonts w:ascii="Verdana" w:hAnsi="Verdana" w:cs="Verdana"/>
      <w:kern w:val="0"/>
      <w:szCs w:val="21"/>
      <w:lang w:eastAsia="en-US"/>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样式 样式 标题 2H2PIM2Heading 2 Hidden2nd levelh22Header 2l2Titr... + ..."/>
    <w:basedOn w:val="1"/>
    <w:qFormat/>
    <w:uiPriority w:val="0"/>
    <w:pPr>
      <w:spacing w:beforeLines="50" w:beforeAutospacing="0" w:afterAutospacing="0" w:line="360" w:lineRule="auto"/>
      <w:ind w:left="180"/>
      <w:outlineLvl w:val="1"/>
    </w:pPr>
    <w:rPr>
      <w:rFonts w:ascii="宋体" w:hAnsi="宋体"/>
      <w:b/>
      <w:sz w:val="28"/>
    </w:rPr>
  </w:style>
  <w:style w:type="paragraph" w:customStyle="1" w:styleId="151">
    <w:name w:val="正文缩进11"/>
    <w:basedOn w:val="1"/>
    <w:qFormat/>
    <w:uiPriority w:val="0"/>
    <w:pPr>
      <w:ind w:firstLine="420"/>
    </w:pPr>
    <w:rPr>
      <w:rFonts w:ascii="Calibri" w:hAnsi="Calibri" w:cs="Calibri"/>
      <w:szCs w:val="21"/>
    </w:rPr>
  </w:style>
  <w:style w:type="paragraph" w:customStyle="1" w:styleId="152">
    <w:name w:val="正文1"/>
    <w:basedOn w:val="1"/>
    <w:qFormat/>
    <w:uiPriority w:val="0"/>
    <w:pPr>
      <w:spacing w:before="60" w:beforeAutospacing="0" w:after="60" w:afterAutospacing="0" w:line="360" w:lineRule="auto"/>
      <w:outlineLvl w:val="6"/>
    </w:pPr>
    <w:rPr>
      <w:sz w:val="24"/>
      <w:szCs w:val="24"/>
    </w:rPr>
  </w:style>
  <w:style w:type="paragraph" w:customStyle="1" w:styleId="153">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able Text"/>
    <w:basedOn w:val="1"/>
    <w:qFormat/>
    <w:uiPriority w:val="0"/>
    <w:rPr>
      <w:sz w:val="18"/>
    </w:rPr>
  </w:style>
  <w:style w:type="paragraph" w:customStyle="1" w:styleId="155">
    <w:name w:val="题注5"/>
    <w:basedOn w:val="1"/>
    <w:qFormat/>
    <w:uiPriority w:val="0"/>
    <w:pPr>
      <w:jc w:val="center"/>
    </w:pPr>
    <w:rPr>
      <w:b/>
      <w:color w:val="000000"/>
      <w:sz w:val="24"/>
      <w:szCs w:val="21"/>
    </w:rPr>
  </w:style>
  <w:style w:type="paragraph" w:customStyle="1" w:styleId="156">
    <w:name w:val="正文 首行缩进"/>
    <w:basedOn w:val="1"/>
    <w:qFormat/>
    <w:uiPriority w:val="0"/>
    <w:pPr>
      <w:adjustRightInd w:val="0"/>
      <w:ind w:firstLine="437"/>
      <w:jc w:val="left"/>
    </w:pPr>
    <w:rPr>
      <w:rFonts w:hint="eastAsia" w:ascii="宋体" w:hAnsi="宋体"/>
      <w:kern w:val="0"/>
      <w:szCs w:val="21"/>
    </w:rPr>
  </w:style>
  <w:style w:type="paragraph" w:customStyle="1" w:styleId="157">
    <w:name w:val="Char Char1"/>
    <w:basedOn w:val="1"/>
    <w:qFormat/>
    <w:uiPriority w:val="0"/>
    <w:pPr>
      <w:spacing w:beforeAutospacing="0" w:after="160" w:afterAutospacing="0" w:line="240" w:lineRule="exact"/>
      <w:jc w:val="left"/>
    </w:pPr>
    <w:rPr>
      <w:rFonts w:ascii="Verdana" w:hAnsi="Verdana" w:eastAsia="楷体_GB2312"/>
      <w:b/>
      <w:i/>
      <w:iCs/>
      <w:color w:val="000000"/>
      <w:kern w:val="0"/>
      <w:sz w:val="20"/>
      <w:lang w:eastAsia="en-US"/>
    </w:rPr>
  </w:style>
  <w:style w:type="paragraph" w:customStyle="1" w:styleId="158">
    <w:name w:val="正文文本 21"/>
    <w:basedOn w:val="1"/>
    <w:qFormat/>
    <w:uiPriority w:val="0"/>
    <w:pPr>
      <w:autoSpaceDE w:val="0"/>
      <w:autoSpaceDN w:val="0"/>
      <w:adjustRightInd w:val="0"/>
      <w:jc w:val="center"/>
    </w:pPr>
    <w:rPr>
      <w:rFonts w:ascii="宋体" w:hAnsi="Calibri" w:cs="宋体"/>
      <w:szCs w:val="21"/>
      <w:lang w:val="zh-CN"/>
    </w:rPr>
  </w:style>
  <w:style w:type="paragraph" w:customStyle="1" w:styleId="159">
    <w:name w:val="wsf"/>
    <w:basedOn w:val="1"/>
    <w:qFormat/>
    <w:uiPriority w:val="0"/>
    <w:pPr>
      <w:outlineLvl w:val="0"/>
    </w:pPr>
    <w:rPr>
      <w:rFonts w:ascii="Calibri" w:hAnsi="Calibri"/>
      <w:b/>
      <w:sz w:val="24"/>
      <w:szCs w:val="22"/>
    </w:rPr>
  </w:style>
  <w:style w:type="paragraph" w:customStyle="1" w:styleId="160">
    <w:name w:val="表格文字"/>
    <w:basedOn w:val="1"/>
    <w:qFormat/>
    <w:uiPriority w:val="0"/>
    <w:pPr>
      <w:spacing w:before="25" w:beforeAutospacing="0" w:after="25" w:afterAutospacing="0"/>
      <w:jc w:val="left"/>
    </w:pPr>
    <w:rPr>
      <w:bCs/>
      <w:spacing w:val="10"/>
      <w:kern w:val="0"/>
      <w:sz w:val="24"/>
    </w:rPr>
  </w:style>
  <w:style w:type="paragraph" w:customStyle="1" w:styleId="161">
    <w:name w:val="正文_0_0"/>
    <w:qFormat/>
    <w:uiPriority w:val="0"/>
    <w:pPr>
      <w:widowControl w:val="0"/>
      <w:spacing w:beforeAutospacing="0" w:after="200" w:afterAutospacing="0" w:line="276" w:lineRule="auto"/>
      <w:jc w:val="both"/>
    </w:pPr>
    <w:rPr>
      <w:rFonts w:ascii="Calibri" w:hAnsi="Calibri" w:eastAsia="宋体" w:cs="Calibri"/>
      <w:kern w:val="2"/>
      <w:sz w:val="21"/>
      <w:szCs w:val="21"/>
      <w:lang w:val="en-US" w:eastAsia="zh-CN" w:bidi="ar-SA"/>
    </w:rPr>
  </w:style>
  <w:style w:type="paragraph" w:customStyle="1" w:styleId="162">
    <w:name w:val="Table Paragraph"/>
    <w:basedOn w:val="1"/>
    <w:qFormat/>
    <w:uiPriority w:val="0"/>
    <w:rPr>
      <w:rFonts w:cs="宋体"/>
    </w:rPr>
  </w:style>
  <w:style w:type="paragraph" w:customStyle="1" w:styleId="163">
    <w:name w:val="font10"/>
    <w:basedOn w:val="1"/>
    <w:qFormat/>
    <w:uiPriority w:val="0"/>
    <w:pPr>
      <w:spacing w:before="100" w:beforeAutospacing="1" w:after="100" w:afterAutospacing="1"/>
      <w:jc w:val="left"/>
    </w:pPr>
    <w:rPr>
      <w:rFonts w:ascii="宋体" w:hAnsi="宋体"/>
      <w:kern w:val="0"/>
      <w:sz w:val="18"/>
    </w:rPr>
  </w:style>
  <w:style w:type="paragraph" w:customStyle="1" w:styleId="164">
    <w:name w:val="表格"/>
    <w:basedOn w:val="1"/>
    <w:qFormat/>
    <w:uiPriority w:val="0"/>
    <w:pPr>
      <w:spacing w:beforeAutospacing="0" w:afterAutospacing="0" w:line="400" w:lineRule="exact"/>
    </w:pPr>
    <w:rPr>
      <w:sz w:val="24"/>
      <w:szCs w:val="24"/>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DocParagraph"/>
    <w:basedOn w:val="1"/>
    <w:qFormat/>
    <w:uiPriority w:val="1"/>
    <w:pPr>
      <w:spacing w:before="120" w:beforeAutospacing="0" w:afterAutospacing="0" w:line="288" w:lineRule="auto"/>
      <w:ind w:left="1247"/>
    </w:pPr>
    <w:rPr>
      <w:kern w:val="44"/>
      <w:szCs w:val="44"/>
    </w:rPr>
  </w:style>
  <w:style w:type="paragraph" w:customStyle="1" w:styleId="167">
    <w:name w:val="TableContent"/>
    <w:qFormat/>
    <w:uiPriority w:val="1"/>
    <w:pPr>
      <w:spacing w:before="40" w:beforeAutospacing="0" w:after="40" w:afterAutospacing="0"/>
      <w:jc w:val="both"/>
    </w:pPr>
    <w:rPr>
      <w:rFonts w:ascii="Arial" w:hAnsi="Arial" w:eastAsia="宋体" w:cs="Times New Roman"/>
      <w:kern w:val="44"/>
      <w:sz w:val="18"/>
      <w:szCs w:val="44"/>
      <w:lang w:val="en-US" w:eastAsia="zh-CN" w:bidi="ar-SA"/>
    </w:rPr>
  </w:style>
  <w:style w:type="paragraph" w:customStyle="1" w:styleId="16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样式 行距: 1.5 倍行距 首行缩进:  2 字符"/>
    <w:basedOn w:val="1"/>
    <w:qFormat/>
    <w:uiPriority w:val="0"/>
    <w:pPr>
      <w:adjustRightInd w:val="0"/>
      <w:snapToGrid w:val="0"/>
      <w:spacing w:beforeAutospacing="0" w:afterAutospacing="0" w:line="460" w:lineRule="exact"/>
    </w:pPr>
    <w:rPr>
      <w:sz w:val="24"/>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宋体" w:hAnsi="宋体" w:eastAsia="宋体" w:cs="Times New Roman"/>
      <w:kern w:val="16"/>
      <w:sz w:val="21"/>
      <w:szCs w:val="24"/>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方案正文"/>
    <w:basedOn w:val="1"/>
    <w:qFormat/>
    <w:uiPriority w:val="0"/>
    <w:pPr>
      <w:spacing w:beforeAutospacing="0" w:afterAutospacing="0" w:line="360" w:lineRule="auto"/>
      <w:ind w:firstLine="200" w:firstLineChars="200"/>
    </w:pPr>
    <w:rPr>
      <w:sz w:val="24"/>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样式 正文文本 + 首行缩进:  2 字符"/>
    <w:basedOn w:val="1"/>
    <w:qFormat/>
    <w:uiPriority w:val="0"/>
    <w:pPr>
      <w:spacing w:beforeAutospacing="0" w:after="120" w:afterAutospacing="0" w:line="360" w:lineRule="auto"/>
      <w:ind w:firstLine="480" w:firstLineChars="200"/>
    </w:pPr>
    <w:rPr>
      <w:rFonts w:ascii="Arial" w:hAnsi="Arial" w:cs="宋体"/>
      <w:sz w:val="24"/>
    </w:rPr>
  </w:style>
  <w:style w:type="paragraph" w:customStyle="1" w:styleId="179">
    <w:name w:val="索引标题2"/>
    <w:basedOn w:val="1"/>
    <w:qFormat/>
    <w:uiPriority w:val="0"/>
  </w:style>
  <w:style w:type="paragraph" w:customStyle="1" w:styleId="180">
    <w:name w:val="索引 12"/>
    <w:basedOn w:val="1"/>
    <w:qFormat/>
    <w:uiPriority w:val="0"/>
    <w:rPr>
      <w:rFonts w:ascii="宋体" w:hAnsi="宋体"/>
      <w:sz w:val="24"/>
      <w:szCs w:val="24"/>
    </w:rPr>
  </w:style>
  <w:style w:type="paragraph" w:customStyle="1" w:styleId="181">
    <w:name w:val="文档正文"/>
    <w:basedOn w:val="134"/>
    <w:qFormat/>
    <w:uiPriority w:val="0"/>
    <w:pPr>
      <w:ind w:firstLine="482"/>
    </w:pPr>
    <w:rPr>
      <w:sz w:val="24"/>
    </w:rPr>
  </w:style>
  <w:style w:type="paragraph" w:customStyle="1" w:styleId="182">
    <w:name w:val="标题 1 New"/>
    <w:basedOn w:val="134"/>
    <w:qFormat/>
    <w:uiPriority w:val="0"/>
    <w:pPr>
      <w:numPr>
        <w:ilvl w:val="0"/>
        <w:numId w:val="3"/>
      </w:numPr>
      <w:spacing w:before="0" w:beforeAutospacing="0" w:after="0" w:afterAutospacing="0"/>
      <w:ind w:firstLine="0" w:firstLineChars="0"/>
      <w:jc w:val="left"/>
      <w:outlineLvl w:val="0"/>
    </w:pPr>
    <w:rPr>
      <w:rFonts w:ascii="微软雅黑" w:hAnsi="微软雅黑" w:eastAsia="微软雅黑"/>
      <w:b/>
      <w:kern w:val="44"/>
      <w:sz w:val="36"/>
    </w:rPr>
  </w:style>
  <w:style w:type="character" w:customStyle="1" w:styleId="183">
    <w:name w:val="标题 1 Char"/>
    <w:basedOn w:val="49"/>
    <w:link w:val="3"/>
    <w:qFormat/>
    <w:uiPriority w:val="0"/>
    <w:rPr>
      <w:rFonts w:ascii="Times New Roman" w:hAnsi="Times New Roman" w:eastAsia="宋体" w:cs="Times New Roman"/>
      <w:b/>
      <w:kern w:val="44"/>
      <w:sz w:val="44"/>
      <w:szCs w:val="20"/>
    </w:rPr>
  </w:style>
  <w:style w:type="character" w:customStyle="1" w:styleId="184">
    <w:name w:val="标题 2 Char"/>
    <w:basedOn w:val="49"/>
    <w:link w:val="4"/>
    <w:qFormat/>
    <w:uiPriority w:val="0"/>
    <w:rPr>
      <w:rFonts w:ascii="宋体" w:hAnsi="宋体" w:eastAsia="宋体" w:cs="Times New Roman"/>
      <w:b/>
      <w:color w:val="000000"/>
      <w:sz w:val="30"/>
      <w:szCs w:val="20"/>
    </w:rPr>
  </w:style>
  <w:style w:type="character" w:customStyle="1" w:styleId="185">
    <w:name w:val="标题 3 Char"/>
    <w:basedOn w:val="49"/>
    <w:link w:val="5"/>
    <w:qFormat/>
    <w:uiPriority w:val="0"/>
    <w:rPr>
      <w:rFonts w:ascii="宋体" w:hAnsi="宋体" w:eastAsia="宋体" w:cs="Times New Roman"/>
      <w:b/>
      <w:sz w:val="28"/>
      <w:szCs w:val="20"/>
    </w:rPr>
  </w:style>
  <w:style w:type="character" w:customStyle="1" w:styleId="186">
    <w:name w:val="标题 4 Char"/>
    <w:basedOn w:val="49"/>
    <w:link w:val="2"/>
    <w:qFormat/>
    <w:uiPriority w:val="0"/>
    <w:rPr>
      <w:rFonts w:ascii="宋体" w:hAnsi="宋体" w:eastAsia="宋体" w:cs="Times New Roman"/>
      <w:b/>
      <w:sz w:val="28"/>
      <w:szCs w:val="20"/>
    </w:rPr>
  </w:style>
  <w:style w:type="character" w:customStyle="1" w:styleId="187">
    <w:name w:val="标题 5 Char"/>
    <w:basedOn w:val="49"/>
    <w:link w:val="6"/>
    <w:qFormat/>
    <w:uiPriority w:val="0"/>
    <w:rPr>
      <w:rFonts w:ascii="Times New Roman" w:hAnsi="Times New Roman" w:eastAsia="宋体" w:cs="Times New Roman"/>
      <w:b/>
      <w:bCs/>
      <w:sz w:val="28"/>
      <w:szCs w:val="28"/>
    </w:rPr>
  </w:style>
  <w:style w:type="character" w:customStyle="1" w:styleId="188">
    <w:name w:val="正文文本 Char"/>
    <w:basedOn w:val="49"/>
    <w:link w:val="19"/>
    <w:qFormat/>
    <w:uiPriority w:val="0"/>
    <w:rPr>
      <w:rFonts w:ascii="黑体" w:hAnsi="Times New Roman" w:eastAsia="宋体" w:cs="Times New Roman"/>
      <w:sz w:val="24"/>
      <w:szCs w:val="20"/>
    </w:rPr>
  </w:style>
  <w:style w:type="character" w:customStyle="1" w:styleId="189">
    <w:name w:val="标题 6 Char"/>
    <w:basedOn w:val="49"/>
    <w:link w:val="7"/>
    <w:qFormat/>
    <w:uiPriority w:val="0"/>
    <w:rPr>
      <w:rFonts w:ascii="Times New Roman" w:hAnsi="Times New Roman" w:eastAsia="宋体" w:cs="Times New Roman"/>
      <w:b/>
      <w:bCs/>
      <w:sz w:val="24"/>
      <w:szCs w:val="24"/>
    </w:rPr>
  </w:style>
  <w:style w:type="character" w:customStyle="1" w:styleId="190">
    <w:name w:val="标题 7 Char"/>
    <w:basedOn w:val="49"/>
    <w:link w:val="8"/>
    <w:qFormat/>
    <w:uiPriority w:val="0"/>
    <w:rPr>
      <w:rFonts w:ascii="Times New Roman" w:hAnsi="Times New Roman" w:eastAsia="宋体" w:cs="Times New Roman"/>
      <w:b/>
      <w:bCs/>
      <w:sz w:val="24"/>
      <w:szCs w:val="24"/>
    </w:rPr>
  </w:style>
  <w:style w:type="character" w:customStyle="1" w:styleId="191">
    <w:name w:val="标题 8 Char"/>
    <w:basedOn w:val="49"/>
    <w:link w:val="9"/>
    <w:qFormat/>
    <w:uiPriority w:val="0"/>
    <w:rPr>
      <w:rFonts w:ascii="Arial" w:hAnsi="Arial" w:eastAsia="黑体" w:cs="Times New Roman"/>
      <w:sz w:val="24"/>
      <w:szCs w:val="24"/>
    </w:rPr>
  </w:style>
  <w:style w:type="character" w:customStyle="1" w:styleId="192">
    <w:name w:val="标题 9 Char"/>
    <w:basedOn w:val="49"/>
    <w:link w:val="10"/>
    <w:qFormat/>
    <w:uiPriority w:val="0"/>
    <w:rPr>
      <w:rFonts w:ascii="Arial" w:hAnsi="Arial" w:eastAsia="黑体" w:cs="Times New Roman"/>
      <w:sz w:val="21"/>
      <w:szCs w:val="21"/>
    </w:rPr>
  </w:style>
  <w:style w:type="character" w:customStyle="1" w:styleId="193">
    <w:name w:val="文档结构图 Char"/>
    <w:basedOn w:val="49"/>
    <w:link w:val="16"/>
    <w:qFormat/>
    <w:uiPriority w:val="0"/>
    <w:rPr>
      <w:rFonts w:ascii="Times New Roman" w:hAnsi="Times New Roman" w:eastAsia="宋体" w:cs="Times New Roman"/>
      <w:szCs w:val="20"/>
      <w:shd w:val="clear" w:color="auto" w:fill="000080"/>
    </w:rPr>
  </w:style>
  <w:style w:type="character" w:customStyle="1" w:styleId="194">
    <w:name w:val="批注文字 Char"/>
    <w:basedOn w:val="49"/>
    <w:link w:val="17"/>
    <w:qFormat/>
    <w:uiPriority w:val="0"/>
    <w:rPr>
      <w:rFonts w:eastAsia="宋体"/>
      <w:szCs w:val="24"/>
    </w:rPr>
  </w:style>
  <w:style w:type="character" w:customStyle="1" w:styleId="195">
    <w:name w:val="正文文本 3 Char"/>
    <w:basedOn w:val="49"/>
    <w:link w:val="18"/>
    <w:qFormat/>
    <w:uiPriority w:val="0"/>
    <w:rPr>
      <w:rFonts w:ascii="宋体" w:hAnsi="宋体" w:eastAsia="宋体" w:cs="Times New Roman"/>
      <w:b/>
      <w:bCs/>
      <w:szCs w:val="20"/>
    </w:rPr>
  </w:style>
  <w:style w:type="character" w:customStyle="1" w:styleId="196">
    <w:name w:val="正文文本缩进 Char"/>
    <w:basedOn w:val="49"/>
    <w:link w:val="20"/>
    <w:qFormat/>
    <w:uiPriority w:val="0"/>
    <w:rPr>
      <w:rFonts w:ascii="宋体" w:hAnsi="Times New Roman" w:eastAsia="宋体" w:cs="Times New Roman"/>
      <w:sz w:val="24"/>
      <w:szCs w:val="20"/>
    </w:rPr>
  </w:style>
  <w:style w:type="character" w:customStyle="1" w:styleId="197">
    <w:name w:val="纯文本 Char"/>
    <w:basedOn w:val="49"/>
    <w:link w:val="24"/>
    <w:qFormat/>
    <w:uiPriority w:val="0"/>
    <w:rPr>
      <w:rFonts w:ascii="宋体" w:hAnsi="Courier New" w:eastAsia="宋体"/>
    </w:rPr>
  </w:style>
  <w:style w:type="character" w:customStyle="1" w:styleId="198">
    <w:name w:val="日期 Char"/>
    <w:basedOn w:val="49"/>
    <w:link w:val="26"/>
    <w:qFormat/>
    <w:uiPriority w:val="0"/>
    <w:rPr>
      <w:rFonts w:ascii="Times New Roman" w:hAnsi="Times New Roman" w:eastAsia="宋体" w:cs="Times New Roman"/>
      <w:sz w:val="24"/>
      <w:szCs w:val="20"/>
    </w:rPr>
  </w:style>
  <w:style w:type="character" w:customStyle="1" w:styleId="199">
    <w:name w:val="正文文本缩进 2 Char"/>
    <w:basedOn w:val="49"/>
    <w:link w:val="27"/>
    <w:qFormat/>
    <w:uiPriority w:val="0"/>
    <w:rPr>
      <w:rFonts w:ascii="仿宋_GB2312" w:hAnsi="Times New Roman" w:eastAsia="仿宋_GB2312" w:cs="Times New Roman"/>
      <w:color w:val="000000"/>
      <w:kern w:val="0"/>
      <w:sz w:val="28"/>
      <w:szCs w:val="20"/>
    </w:rPr>
  </w:style>
  <w:style w:type="character" w:customStyle="1" w:styleId="200">
    <w:name w:val="批注框文本 Char"/>
    <w:basedOn w:val="49"/>
    <w:link w:val="28"/>
    <w:qFormat/>
    <w:uiPriority w:val="0"/>
    <w:rPr>
      <w:rFonts w:ascii="Times New Roman" w:hAnsi="Times New Roman" w:eastAsia="宋体" w:cs="Times New Roman"/>
      <w:sz w:val="18"/>
      <w:szCs w:val="18"/>
    </w:rPr>
  </w:style>
  <w:style w:type="character" w:customStyle="1" w:styleId="201">
    <w:name w:val="页脚 Char"/>
    <w:basedOn w:val="49"/>
    <w:link w:val="29"/>
    <w:qFormat/>
    <w:uiPriority w:val="0"/>
    <w:rPr>
      <w:rFonts w:ascii="Times New Roman" w:hAnsi="Times New Roman" w:eastAsia="宋体" w:cs="Times New Roman"/>
      <w:sz w:val="18"/>
      <w:szCs w:val="20"/>
    </w:rPr>
  </w:style>
  <w:style w:type="character" w:customStyle="1" w:styleId="202">
    <w:name w:val="页眉 Char"/>
    <w:basedOn w:val="49"/>
    <w:link w:val="31"/>
    <w:qFormat/>
    <w:uiPriority w:val="0"/>
    <w:rPr>
      <w:rFonts w:ascii="宋体" w:hAnsi="宋体" w:eastAsia="宋体" w:cs="宋体"/>
      <w:sz w:val="18"/>
      <w:szCs w:val="18"/>
    </w:rPr>
  </w:style>
  <w:style w:type="character" w:customStyle="1" w:styleId="203">
    <w:name w:val="正文文本缩进 3 Char"/>
    <w:basedOn w:val="49"/>
    <w:link w:val="37"/>
    <w:qFormat/>
    <w:uiPriority w:val="0"/>
    <w:rPr>
      <w:rFonts w:ascii="Times New Roman" w:hAnsi="Times New Roman" w:eastAsia="宋体" w:cs="Times New Roman"/>
      <w:sz w:val="24"/>
      <w:szCs w:val="20"/>
    </w:rPr>
  </w:style>
  <w:style w:type="character" w:customStyle="1" w:styleId="204">
    <w:name w:val="正文文本 2 Char"/>
    <w:basedOn w:val="49"/>
    <w:link w:val="40"/>
    <w:qFormat/>
    <w:uiPriority w:val="0"/>
    <w:rPr>
      <w:rFonts w:ascii="Times New Roman" w:hAnsi="Times New Roman" w:eastAsia="楷体_GB2312" w:cs="Times New Roman"/>
      <w:sz w:val="28"/>
      <w:szCs w:val="20"/>
    </w:rPr>
  </w:style>
  <w:style w:type="character" w:customStyle="1" w:styleId="205">
    <w:name w:val="HTML 预设格式 Char"/>
    <w:basedOn w:val="49"/>
    <w:link w:val="41"/>
    <w:qFormat/>
    <w:uiPriority w:val="0"/>
    <w:rPr>
      <w:rFonts w:ascii="黑体" w:hAnsi="Courier New" w:eastAsia="黑体" w:cs="Courier New"/>
      <w:kern w:val="0"/>
      <w:sz w:val="20"/>
      <w:szCs w:val="20"/>
    </w:rPr>
  </w:style>
  <w:style w:type="character" w:customStyle="1" w:styleId="206">
    <w:name w:val="批注主题 Char"/>
    <w:basedOn w:val="194"/>
    <w:link w:val="44"/>
    <w:qFormat/>
    <w:uiPriority w:val="0"/>
    <w:rPr>
      <w:rFonts w:eastAsia="宋体"/>
      <w:b/>
      <w:bCs/>
      <w:szCs w:val="24"/>
    </w:rPr>
  </w:style>
  <w:style w:type="character" w:customStyle="1" w:styleId="207">
    <w:name w:val="正文首行缩进 Char"/>
    <w:basedOn w:val="188"/>
    <w:link w:val="45"/>
    <w:qFormat/>
    <w:uiPriority w:val="0"/>
    <w:rPr>
      <w:rFonts w:ascii="Times New Roman" w:hAnsi="Times New Roman" w:eastAsia="宋体" w:cs="Times New Roman"/>
      <w:sz w:val="21"/>
      <w:szCs w:val="20"/>
    </w:rPr>
  </w:style>
  <w:style w:type="character" w:customStyle="1" w:styleId="208">
    <w:name w:val="正文首行缩进 2 Char"/>
    <w:basedOn w:val="196"/>
    <w:link w:val="46"/>
    <w:qFormat/>
    <w:uiPriority w:val="0"/>
    <w:rPr>
      <w:rFonts w:ascii="Times New Roman" w:hAnsi="Times New Roman" w:eastAsia="宋体" w:cs="Times New Roman"/>
      <w:b/>
      <w:sz w:val="21"/>
      <w:szCs w:val="20"/>
    </w:rPr>
  </w:style>
  <w:style w:type="character" w:customStyle="1" w:styleId="209">
    <w:name w:val="页脚2 Char Char"/>
    <w:link w:val="66"/>
    <w:qFormat/>
    <w:uiPriority w:val="0"/>
    <w:rPr>
      <w:rFonts w:ascii="宋体" w:hAnsi="宋体" w:eastAsia="宋体"/>
      <w:sz w:val="18"/>
      <w:szCs w:val="18"/>
    </w:rPr>
  </w:style>
  <w:style w:type="character" w:customStyle="1" w:styleId="210">
    <w:name w:val="font01"/>
    <w:basedOn w:val="49"/>
    <w:qFormat/>
    <w:uiPriority w:val="0"/>
    <w:rPr>
      <w:rFonts w:ascii="Calibri" w:hAnsi="Calibri" w:cs="Calibri"/>
      <w:color w:val="000000"/>
      <w:sz w:val="21"/>
      <w:szCs w:val="21"/>
      <w:u w:val="none"/>
    </w:rPr>
  </w:style>
  <w:style w:type="character" w:customStyle="1" w:styleId="211">
    <w:name w:val="默认段落字体1"/>
    <w:link w:val="67"/>
    <w:qFormat/>
    <w:uiPriority w:val="0"/>
    <w:rPr>
      <w:rFonts w:ascii="Tahoma" w:hAnsi="Tahoma" w:eastAsia="宋体" w:cs="Times New Roman"/>
      <w:kern w:val="2"/>
      <w:sz w:val="24"/>
    </w:rPr>
  </w:style>
  <w:style w:type="character" w:customStyle="1" w:styleId="212">
    <w:name w:val="Char Char6"/>
    <w:qFormat/>
    <w:uiPriority w:val="0"/>
    <w:rPr>
      <w:rFonts w:ascii="宋体" w:hAnsi="Courier New" w:eastAsia="宋体"/>
      <w:kern w:val="2"/>
      <w:sz w:val="24"/>
      <w:lang w:val="en-US" w:eastAsia="zh-CN" w:bidi="ar-SA"/>
    </w:rPr>
  </w:style>
  <w:style w:type="character" w:customStyle="1" w:styleId="213">
    <w:name w:val="unnamed21"/>
    <w:qFormat/>
    <w:uiPriority w:val="0"/>
    <w:rPr>
      <w:b/>
      <w:bCs/>
      <w:color w:val="FF6600"/>
      <w:sz w:val="26"/>
      <w:szCs w:val="26"/>
      <w:u w:val="none"/>
    </w:rPr>
  </w:style>
  <w:style w:type="character" w:customStyle="1" w:styleId="214">
    <w:name w:val="font11"/>
    <w:basedOn w:val="49"/>
    <w:qFormat/>
    <w:uiPriority w:val="0"/>
    <w:rPr>
      <w:rFonts w:ascii="宋体" w:hAnsi="宋体" w:eastAsia="宋体" w:cs="宋体"/>
      <w:color w:val="000000"/>
      <w:sz w:val="21"/>
      <w:szCs w:val="21"/>
      <w:u w:val="none"/>
    </w:rPr>
  </w:style>
  <w:style w:type="character" w:customStyle="1" w:styleId="215">
    <w:name w:val="text1"/>
    <w:qFormat/>
    <w:uiPriority w:val="0"/>
    <w:rPr>
      <w:sz w:val="21"/>
      <w:szCs w:val="21"/>
      <w:u w:val="none"/>
    </w:rPr>
  </w:style>
  <w:style w:type="character" w:customStyle="1" w:styleId="216">
    <w:name w:val="正文缩进 Char Char"/>
    <w:qFormat/>
    <w:uiPriority w:val="0"/>
    <w:rPr>
      <w:rFonts w:eastAsia="宋体"/>
      <w:sz w:val="24"/>
    </w:rPr>
  </w:style>
  <w:style w:type="character" w:customStyle="1" w:styleId="217">
    <w:name w:val="banner11"/>
    <w:qFormat/>
    <w:uiPriority w:val="0"/>
    <w:rPr>
      <w:color w:val="000099"/>
      <w:sz w:val="32"/>
      <w:szCs w:val="32"/>
    </w:rPr>
  </w:style>
  <w:style w:type="character" w:customStyle="1" w:styleId="218">
    <w:name w:val="Default Paragraph Font New"/>
    <w:link w:val="68"/>
    <w:qFormat/>
    <w:uiPriority w:val="0"/>
    <w:rPr>
      <w:rFonts w:ascii="等线" w:hAnsi="等线" w:eastAsia="宋体" w:cs="等线"/>
      <w:kern w:val="2"/>
      <w:sz w:val="24"/>
      <w:szCs w:val="24"/>
    </w:rPr>
  </w:style>
  <w:style w:type="character" w:customStyle="1" w:styleId="219">
    <w:name w:val="ww-light ww-large"/>
    <w:basedOn w:val="49"/>
    <w:qFormat/>
    <w:uiPriority w:val="0"/>
    <w:rPr>
      <w:rFonts w:ascii="Verdana" w:hAnsi="Verdana"/>
      <w:lang w:eastAsia="en-US"/>
    </w:rPr>
  </w:style>
  <w:style w:type="character" w:customStyle="1" w:styleId="220">
    <w:name w:val="p141"/>
    <w:basedOn w:val="49"/>
    <w:qFormat/>
    <w:uiPriority w:val="0"/>
    <w:rPr>
      <w:sz w:val="21"/>
      <w:szCs w:val="21"/>
    </w:rPr>
  </w:style>
  <w:style w:type="character" w:customStyle="1" w:styleId="221">
    <w:name w:val="weby11"/>
    <w:qFormat/>
    <w:uiPriority w:val="0"/>
    <w:rPr>
      <w:sz w:val="18"/>
      <w:szCs w:val="18"/>
    </w:rPr>
  </w:style>
  <w:style w:type="character" w:customStyle="1" w:styleId="222">
    <w:name w:val="Default Paragraph Font New New New"/>
    <w:link w:val="69"/>
    <w:qFormat/>
    <w:uiPriority w:val="0"/>
    <w:rPr>
      <w:rFonts w:ascii="等线" w:hAnsi="等线" w:eastAsia="宋体" w:cs="等线"/>
      <w:kern w:val="2"/>
      <w:sz w:val="24"/>
      <w:szCs w:val="24"/>
    </w:rPr>
  </w:style>
  <w:style w:type="character" w:customStyle="1" w:styleId="223">
    <w:name w:val="Default Paragraph Font New New"/>
    <w:link w:val="70"/>
    <w:qFormat/>
    <w:uiPriority w:val="0"/>
    <w:rPr>
      <w:rFonts w:ascii="等线" w:hAnsi="等线" w:eastAsia="宋体" w:cs="等线"/>
      <w:kern w:val="2"/>
      <w:sz w:val="24"/>
      <w:szCs w:val="24"/>
    </w:rPr>
  </w:style>
  <w:style w:type="character" w:customStyle="1" w:styleId="224">
    <w:name w:val="本文正文 Char1 Char Char Char Char Char Char Char Char Char Char Char Char Char Char Char Char Char Char Char Char Char Char Char Char Char Char"/>
    <w:link w:val="71"/>
    <w:qFormat/>
    <w:uiPriority w:val="0"/>
    <w:rPr>
      <w:rFonts w:ascii="宋体" w:hAnsi="宋体"/>
      <w:kern w:val="0"/>
      <w:sz w:val="24"/>
    </w:rPr>
  </w:style>
  <w:style w:type="character" w:customStyle="1" w:styleId="225">
    <w:name w:val="页码1"/>
    <w:basedOn w:val="49"/>
    <w:qFormat/>
    <w:uiPriority w:val="0"/>
  </w:style>
  <w:style w:type="character" w:customStyle="1" w:styleId="226">
    <w:name w:val="apple-style-span"/>
    <w:basedOn w:val="49"/>
    <w:qFormat/>
    <w:uiPriority w:val="0"/>
    <w:rPr>
      <w:rFonts w:ascii="Verdana" w:hAnsi="Verdana"/>
      <w:lang w:eastAsia="en-US"/>
    </w:rPr>
  </w:style>
  <w:style w:type="character" w:customStyle="1" w:styleId="227">
    <w:name w:val="font61"/>
    <w:basedOn w:val="49"/>
    <w:qFormat/>
    <w:uiPriority w:val="0"/>
    <w:rPr>
      <w:rFonts w:hint="default" w:ascii="Times New Roman" w:hAnsi="Times New Roman" w:cs="Times New Roman"/>
      <w:color w:val="000000"/>
      <w:sz w:val="18"/>
      <w:szCs w:val="18"/>
      <w:u w:val="none"/>
    </w:rPr>
  </w:style>
  <w:style w:type="character" w:customStyle="1" w:styleId="228">
    <w:name w:val="font21"/>
    <w:basedOn w:val="49"/>
    <w:qFormat/>
    <w:uiPriority w:val="0"/>
    <w:rPr>
      <w:rFonts w:hint="eastAsia" w:ascii="宋体" w:hAnsi="宋体" w:eastAsia="宋体" w:cs="宋体"/>
      <w:color w:val="000000"/>
      <w:sz w:val="18"/>
      <w:szCs w:val="18"/>
      <w:u w:val="none"/>
    </w:rPr>
  </w:style>
  <w:style w:type="character" w:customStyle="1" w:styleId="229">
    <w:name w:val="font51"/>
    <w:basedOn w:val="49"/>
    <w:qFormat/>
    <w:uiPriority w:val="0"/>
    <w:rPr>
      <w:rFonts w:hint="default" w:ascii="Times New Roman" w:hAnsi="Times New Roman" w:cs="Times New Roman"/>
      <w:color w:val="000000"/>
      <w:sz w:val="21"/>
      <w:szCs w:val="21"/>
      <w:u w:val="none"/>
    </w:rPr>
  </w:style>
  <w:style w:type="character" w:customStyle="1" w:styleId="230">
    <w:name w:val="font71"/>
    <w:basedOn w:val="49"/>
    <w:qFormat/>
    <w:uiPriority w:val="0"/>
    <w:rPr>
      <w:rFonts w:hint="eastAsia" w:ascii="宋体" w:hAnsi="宋体" w:eastAsia="宋体" w:cs="宋体"/>
      <w:b/>
      <w:bCs/>
      <w:color w:val="000000"/>
      <w:sz w:val="24"/>
      <w:szCs w:val="24"/>
      <w:u w:val="none"/>
    </w:rPr>
  </w:style>
  <w:style w:type="character" w:customStyle="1" w:styleId="231">
    <w:name w:val="font41"/>
    <w:basedOn w:val="49"/>
    <w:qFormat/>
    <w:uiPriority w:val="0"/>
    <w:rPr>
      <w:rFonts w:hint="eastAsia" w:ascii="宋体" w:hAnsi="宋体" w:eastAsia="宋体" w:cs="宋体"/>
      <w:color w:val="000000"/>
      <w:sz w:val="24"/>
      <w:szCs w:val="24"/>
      <w:u w:val="none"/>
    </w:rPr>
  </w:style>
  <w:style w:type="character" w:customStyle="1" w:styleId="232">
    <w:name w:val="font31"/>
    <w:basedOn w:val="49"/>
    <w:qFormat/>
    <w:uiPriority w:val="0"/>
    <w:rPr>
      <w:rFonts w:hint="eastAsia" w:ascii="宋体" w:hAnsi="宋体" w:eastAsia="宋体" w:cs="宋体"/>
      <w:color w:val="000000"/>
      <w:sz w:val="22"/>
      <w:szCs w:val="22"/>
      <w:u w:val="none"/>
    </w:rPr>
  </w:style>
  <w:style w:type="character" w:customStyle="1" w:styleId="233">
    <w:name w:val="font81"/>
    <w:basedOn w:val="49"/>
    <w:qFormat/>
    <w:uiPriority w:val="0"/>
    <w:rPr>
      <w:rFonts w:hint="default" w:ascii="Times New Roman" w:hAnsi="Times New Roman" w:cs="Times New Roman"/>
      <w:color w:val="000000"/>
      <w:sz w:val="21"/>
      <w:szCs w:val="21"/>
      <w:u w:val="none"/>
    </w:rPr>
  </w:style>
  <w:style w:type="character" w:customStyle="1" w:styleId="234">
    <w:name w:val="NormalCharacter"/>
    <w:link w:val="1"/>
    <w:qFormat/>
    <w:uiPriority w:val="0"/>
    <w:rPr>
      <w:rFonts w:ascii="Times New Roman" w:hAnsi="Times New Roman" w:eastAsia="宋体" w:cs="Times New Roman"/>
      <w:kern w:val="2"/>
      <w:sz w:val="21"/>
      <w:lang w:val="en-US" w:eastAsia="zh-CN" w:bidi="ar-SA"/>
    </w:rPr>
  </w:style>
  <w:style w:type="character" w:customStyle="1" w:styleId="235">
    <w:name w:val="bjh-p"/>
    <w:basedOn w:val="49"/>
    <w:qFormat/>
    <w:uiPriority w:val="0"/>
  </w:style>
  <w:style w:type="table" w:customStyle="1" w:styleId="2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7">
    <w:name w:val="Normal Indent"/>
    <w:basedOn w:val="1"/>
    <w:qFormat/>
    <w:uiPriority w:val="0"/>
    <w:pPr>
      <w:ind w:firstLine="420"/>
      <w:jc w:val="left"/>
    </w:pPr>
    <w:rPr>
      <w:rFonts w:ascii="Times New Roman" w:hAnsi="Times New Roman"/>
      <w:kern w:val="0"/>
      <w:szCs w:val="20"/>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16175</Words>
  <Characters>17542</Characters>
  <Lines>261</Lines>
  <Paragraphs>73</Paragraphs>
  <TotalTime>30</TotalTime>
  <ScaleCrop>false</ScaleCrop>
  <LinksUpToDate>false</LinksUpToDate>
  <CharactersWithSpaces>18457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2022-04-02T02:13:00Z</dcterms:created>
  <dc:creator>微软用户</dc:creator>
  <cp:lastModifiedBy>晴子小姐</cp:lastModifiedBy>
  <cp:lastPrinted>2025-12-29T08:26:00Z</cp:lastPrinted>
  <dcterms:modified xsi:type="dcterms:W3CDTF">2026-01-29T08:51:44Z</dcterms:modified>
  <dc:title>瑞诚</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E523D8E2DC2042C3AE4449644271F924_13</vt:lpwstr>
  </property>
  <property fmtid="{D5CDD505-2E9C-101B-9397-08002B2CF9AE}" pid="4" name="KSOTemplateDocerSaveRecord">
    <vt:lpwstr>eyJoZGlkIjoiMWQxZDQxNjIwNzlhNGZmZGRjYjcxNTA1ZWE2MzI4YjYiLCJ1c2VySWQiOiIzNzA5OTI3NzAifQ==</vt:lpwstr>
  </property>
</Properties>
</file>